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F5" w:rsidRPr="00B271B1" w:rsidRDefault="00425803" w:rsidP="00AA0A2F">
      <w:pPr>
        <w:pStyle w:val="Title1"/>
      </w:pPr>
      <w:r w:rsidRPr="00B271B1">
        <w:t>ARTISS</w:t>
      </w:r>
    </w:p>
    <w:p w:rsidR="002E296B" w:rsidRPr="00B271B1" w:rsidRDefault="00425803" w:rsidP="00B22666">
      <w:pPr>
        <w:pStyle w:val="Heading1"/>
        <w:spacing w:after="240"/>
        <w:rPr>
          <w:rFonts w:ascii="Times New Roman" w:hAnsi="Times New Roman" w:cs="Times New Roman"/>
          <w:color w:val="000000" w:themeColor="text1"/>
        </w:rPr>
      </w:pPr>
      <w:r w:rsidRPr="00B271B1">
        <w:rPr>
          <w:rFonts w:ascii="Times New Roman" w:hAnsi="Times New Roman" w:cs="Times New Roman"/>
          <w:color w:val="000000" w:themeColor="text1"/>
        </w:rPr>
        <w:t>NAME OF THE MEDICINE</w:t>
      </w:r>
    </w:p>
    <w:p w:rsidR="000F5960" w:rsidRPr="00B271B1" w:rsidRDefault="00425803" w:rsidP="00B91A7A">
      <w:pPr>
        <w:rPr>
          <w:lang w:val="en-AU"/>
        </w:rPr>
      </w:pPr>
      <w:r w:rsidRPr="00B271B1">
        <w:rPr>
          <w:lang w:val="en-AU"/>
        </w:rPr>
        <w:t xml:space="preserve">Two-Component Fibrin Sealant, Deep-Frozen, Vapour Heated (VH) and Solvent Detergent (S/D) treated. </w:t>
      </w:r>
    </w:p>
    <w:p w:rsidR="00CD35EC" w:rsidRPr="00B91A7A" w:rsidRDefault="00425803" w:rsidP="00B22666">
      <w:pPr>
        <w:pStyle w:val="Heading1"/>
        <w:spacing w:after="240"/>
      </w:pPr>
      <w:r w:rsidRPr="00B271B1">
        <w:rPr>
          <w:rFonts w:ascii="Times New Roman" w:hAnsi="Times New Roman" w:cs="Times New Roman"/>
          <w:color w:val="000000" w:themeColor="text1"/>
        </w:rPr>
        <w:t>D</w:t>
      </w:r>
      <w:r w:rsidRPr="00B91A7A">
        <w:t>ESCRIPTION</w:t>
      </w:r>
    </w:p>
    <w:p w:rsidR="00245CE4" w:rsidRPr="00B271B1" w:rsidRDefault="00425803" w:rsidP="00B91A7A">
      <w:r w:rsidRPr="00B271B1">
        <w:t xml:space="preserve">ARTISS is a two-component fibrin sealant made from pooled human plasma. The two components of ARTISS are formulated as two sterile, deep-frozen solutions. Each solution is presented in a separate preloaded chamber of one double-chamber syringe: chamber one [1] contains Sealer Protein Solution (with Aprotinin), deep frozen (1mL, 2mL or 5mL), chamber two [2] contains Thrombin Solution (with Calcium Chloride), deep frozen (1mL, 2mL or 5mL), resulting  in 2mL, 4mL or 10mL total volume of product ready for use. </w:t>
      </w:r>
    </w:p>
    <w:p w:rsidR="00AA781B" w:rsidRPr="00B271B1" w:rsidRDefault="00425803" w:rsidP="00AA0A2F">
      <w:pPr>
        <w:pStyle w:val="Heading2"/>
      </w:pPr>
      <w:r w:rsidRPr="00B271B1">
        <w:t xml:space="preserve">Composition of the Active Ingredients of ARTISS: </w:t>
      </w:r>
    </w:p>
    <w:p w:rsidR="00AA781B" w:rsidRPr="00B271B1" w:rsidRDefault="00425803" w:rsidP="00AA781B">
      <w:pPr>
        <w:rPr>
          <w:color w:val="000000" w:themeColor="text1"/>
          <w:szCs w:val="24"/>
        </w:rPr>
      </w:pPr>
      <w:r w:rsidRPr="00B271B1">
        <w:rPr>
          <w:b/>
          <w:color w:val="000000" w:themeColor="text1"/>
          <w:szCs w:val="24"/>
        </w:rPr>
        <w:t>(1) Sealer Protein Solution</w:t>
      </w:r>
      <w:r w:rsidRPr="00B271B1">
        <w:rPr>
          <w:color w:val="000000" w:themeColor="text1"/>
          <w:szCs w:val="24"/>
        </w:rPr>
        <w:t xml:space="preserve"> 1 mL of the solution contains:</w:t>
      </w:r>
    </w:p>
    <w:tbl>
      <w:tblPr>
        <w:tblStyle w:val="TableGrid"/>
        <w:tblW w:w="0" w:type="auto"/>
        <w:tblLook w:val="04A0"/>
      </w:tblPr>
      <w:tblGrid>
        <w:gridCol w:w="4788"/>
        <w:gridCol w:w="3117"/>
      </w:tblGrid>
      <w:tr w:rsidR="00FF3B7D" w:rsidRPr="00B271B1" w:rsidTr="00AA0A2F">
        <w:trPr>
          <w:cantSplit/>
          <w:tblHeader/>
        </w:trPr>
        <w:tc>
          <w:tcPr>
            <w:tcW w:w="4788"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Active ingredients</w:t>
            </w:r>
          </w:p>
        </w:tc>
        <w:tc>
          <w:tcPr>
            <w:tcW w:w="3117"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Quantity</w:t>
            </w:r>
          </w:p>
        </w:tc>
      </w:tr>
      <w:tr w:rsidR="00FF3B7D" w:rsidRPr="00B271B1" w:rsidTr="00954483">
        <w:tc>
          <w:tcPr>
            <w:tcW w:w="4788"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ab/>
              <w:t>As total protein</w:t>
            </w:r>
          </w:p>
        </w:tc>
        <w:tc>
          <w:tcPr>
            <w:tcW w:w="3117"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96 – 125 mg</w:t>
            </w:r>
          </w:p>
        </w:tc>
      </w:tr>
      <w:tr w:rsidR="00FF3B7D" w:rsidRPr="00B271B1" w:rsidTr="00954483">
        <w:tc>
          <w:tcPr>
            <w:tcW w:w="4788"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ab/>
            </w:r>
            <w:r w:rsidRPr="00B271B1">
              <w:rPr>
                <w:color w:val="000000" w:themeColor="text1"/>
                <w:szCs w:val="24"/>
              </w:rPr>
              <w:tab/>
              <w:t>Thereof Fibrinogen (</w:t>
            </w:r>
            <w:proofErr w:type="spellStart"/>
            <w:r w:rsidRPr="00B271B1">
              <w:rPr>
                <w:color w:val="000000" w:themeColor="text1"/>
                <w:szCs w:val="24"/>
              </w:rPr>
              <w:t>Clottable</w:t>
            </w:r>
            <w:proofErr w:type="spellEnd"/>
            <w:r w:rsidRPr="00B271B1">
              <w:rPr>
                <w:color w:val="000000" w:themeColor="text1"/>
                <w:szCs w:val="24"/>
              </w:rPr>
              <w:t xml:space="preserve"> </w:t>
            </w:r>
            <w:r w:rsidRPr="00B271B1">
              <w:rPr>
                <w:color w:val="000000" w:themeColor="text1"/>
                <w:szCs w:val="24"/>
              </w:rPr>
              <w:tab/>
            </w:r>
            <w:r w:rsidRPr="00B271B1">
              <w:rPr>
                <w:color w:val="000000" w:themeColor="text1"/>
                <w:szCs w:val="24"/>
              </w:rPr>
              <w:tab/>
              <w:t>Protein)</w:t>
            </w:r>
          </w:p>
        </w:tc>
        <w:tc>
          <w:tcPr>
            <w:tcW w:w="3117"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72 – 110 mg</w:t>
            </w:r>
          </w:p>
        </w:tc>
      </w:tr>
      <w:tr w:rsidR="00FF3B7D" w:rsidRPr="00B271B1" w:rsidTr="00954483">
        <w:tc>
          <w:tcPr>
            <w:tcW w:w="4788"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ab/>
              <w:t>Factor XIII (human)</w:t>
            </w:r>
          </w:p>
        </w:tc>
        <w:tc>
          <w:tcPr>
            <w:tcW w:w="3117"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1.2 – 10 IU</w:t>
            </w:r>
          </w:p>
        </w:tc>
      </w:tr>
      <w:tr w:rsidR="00E21F90" w:rsidRPr="00B271B1" w:rsidTr="00954483">
        <w:trPr>
          <w:trHeight w:val="558"/>
        </w:trPr>
        <w:tc>
          <w:tcPr>
            <w:tcW w:w="4788"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ab/>
              <w:t xml:space="preserve">Aprotinin, synthetic (Fibrinolysis </w:t>
            </w:r>
            <w:r w:rsidRPr="00B271B1">
              <w:rPr>
                <w:color w:val="000000" w:themeColor="text1"/>
                <w:szCs w:val="24"/>
              </w:rPr>
              <w:tab/>
              <w:t>Inhibitor)</w:t>
            </w:r>
          </w:p>
        </w:tc>
        <w:tc>
          <w:tcPr>
            <w:tcW w:w="3117"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3000 KIU</w:t>
            </w:r>
            <w:r w:rsidRPr="00B271B1">
              <w:rPr>
                <w:rStyle w:val="FootnoteReference"/>
                <w:color w:val="000000" w:themeColor="text1"/>
              </w:rPr>
              <w:footnoteReference w:id="1"/>
            </w:r>
          </w:p>
        </w:tc>
      </w:tr>
      <w:tr w:rsidR="00FF3B7D" w:rsidRPr="00B271B1" w:rsidTr="00954483">
        <w:tc>
          <w:tcPr>
            <w:tcW w:w="4788" w:type="dxa"/>
          </w:tcPr>
          <w:p w:rsidR="00FF3B7D" w:rsidRPr="00B271B1" w:rsidRDefault="00FF3B7D" w:rsidP="00954483">
            <w:pPr>
              <w:spacing w:before="120" w:after="120" w:line="240" w:lineRule="auto"/>
              <w:rPr>
                <w:color w:val="000000" w:themeColor="text1"/>
                <w:szCs w:val="24"/>
              </w:rPr>
            </w:pPr>
            <w:r w:rsidRPr="00B271B1">
              <w:rPr>
                <w:color w:val="000000" w:themeColor="text1"/>
                <w:szCs w:val="24"/>
              </w:rPr>
              <w:t>Excipients (see below)</w:t>
            </w:r>
          </w:p>
        </w:tc>
        <w:tc>
          <w:tcPr>
            <w:tcW w:w="3117" w:type="dxa"/>
          </w:tcPr>
          <w:p w:rsidR="00FF3B7D" w:rsidRPr="00B271B1" w:rsidRDefault="00FF3B7D" w:rsidP="00954483">
            <w:pPr>
              <w:spacing w:before="120" w:after="120" w:line="240" w:lineRule="auto"/>
              <w:rPr>
                <w:color w:val="000000" w:themeColor="text1"/>
                <w:szCs w:val="24"/>
              </w:rPr>
            </w:pPr>
          </w:p>
        </w:tc>
      </w:tr>
    </w:tbl>
    <w:p w:rsidR="00AA781B" w:rsidRPr="00B271B1" w:rsidRDefault="00AA781B" w:rsidP="00AA781B">
      <w:pPr>
        <w:spacing w:after="0" w:line="240" w:lineRule="auto"/>
        <w:rPr>
          <w:color w:val="000000" w:themeColor="text1"/>
          <w:szCs w:val="24"/>
          <w:lang w:val="en-AU"/>
        </w:rPr>
      </w:pPr>
    </w:p>
    <w:p w:rsidR="00AA0A2F" w:rsidRDefault="00425803" w:rsidP="00B91A7A">
      <w:pPr>
        <w:rPr>
          <w:lang w:val="en-AU"/>
        </w:rPr>
      </w:pPr>
      <w:r w:rsidRPr="00B271B1">
        <w:rPr>
          <w:lang w:val="en-AU"/>
        </w:rPr>
        <w:t>ARTISS contains Human Factor XIII co-purified with Human Fibrinogen in a range of 1.2 - 10.0 IU/</w:t>
      </w:r>
      <w:proofErr w:type="spellStart"/>
      <w:r w:rsidRPr="00B271B1">
        <w:rPr>
          <w:lang w:val="en-AU"/>
        </w:rPr>
        <w:t>mL.</w:t>
      </w:r>
      <w:proofErr w:type="spellEnd"/>
    </w:p>
    <w:p w:rsidR="00B91A7A" w:rsidRDefault="00B91A7A" w:rsidP="00AA0A2F">
      <w:pPr>
        <w:spacing w:after="0"/>
        <w:rPr>
          <w:b/>
          <w:color w:val="000000" w:themeColor="text1"/>
          <w:szCs w:val="24"/>
        </w:rPr>
      </w:pPr>
    </w:p>
    <w:p w:rsidR="00B91A7A" w:rsidRDefault="00B91A7A" w:rsidP="00AA0A2F">
      <w:pPr>
        <w:spacing w:after="0"/>
        <w:rPr>
          <w:b/>
          <w:color w:val="000000" w:themeColor="text1"/>
          <w:szCs w:val="24"/>
        </w:rPr>
      </w:pPr>
    </w:p>
    <w:p w:rsidR="00B91A7A" w:rsidRDefault="00B91A7A" w:rsidP="00AA0A2F">
      <w:pPr>
        <w:spacing w:after="0"/>
        <w:rPr>
          <w:b/>
          <w:color w:val="000000" w:themeColor="text1"/>
          <w:szCs w:val="24"/>
        </w:rPr>
      </w:pPr>
    </w:p>
    <w:p w:rsidR="00B91A7A" w:rsidRDefault="00B91A7A" w:rsidP="00AA0A2F">
      <w:pPr>
        <w:spacing w:after="0"/>
        <w:rPr>
          <w:b/>
          <w:color w:val="000000" w:themeColor="text1"/>
          <w:szCs w:val="24"/>
        </w:rPr>
      </w:pPr>
    </w:p>
    <w:p w:rsidR="00964210" w:rsidRPr="00B271B1" w:rsidRDefault="00425803" w:rsidP="00AA0A2F">
      <w:pPr>
        <w:spacing w:after="0"/>
        <w:rPr>
          <w:color w:val="000000" w:themeColor="text1"/>
          <w:szCs w:val="24"/>
        </w:rPr>
      </w:pPr>
      <w:r w:rsidRPr="00B271B1">
        <w:rPr>
          <w:b/>
          <w:color w:val="000000" w:themeColor="text1"/>
          <w:szCs w:val="24"/>
        </w:rPr>
        <w:lastRenderedPageBreak/>
        <w:t xml:space="preserve">(2) Thrombin Solution: </w:t>
      </w:r>
      <w:r w:rsidRPr="00B271B1">
        <w:rPr>
          <w:color w:val="000000" w:themeColor="text1"/>
          <w:szCs w:val="24"/>
        </w:rPr>
        <w:t>1 mL of the solution contains:</w:t>
      </w:r>
    </w:p>
    <w:tbl>
      <w:tblPr>
        <w:tblStyle w:val="TableGrid"/>
        <w:tblW w:w="0" w:type="auto"/>
        <w:tblLook w:val="04A0"/>
      </w:tblPr>
      <w:tblGrid>
        <w:gridCol w:w="4788"/>
        <w:gridCol w:w="3542"/>
      </w:tblGrid>
      <w:tr w:rsidR="00E21F90" w:rsidRPr="00B271B1" w:rsidTr="00AA0A2F">
        <w:trPr>
          <w:cantSplit/>
          <w:tblHeader/>
        </w:trPr>
        <w:tc>
          <w:tcPr>
            <w:tcW w:w="4788"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Active ingredients</w:t>
            </w:r>
          </w:p>
        </w:tc>
        <w:tc>
          <w:tcPr>
            <w:tcW w:w="3542"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Quantity</w:t>
            </w:r>
          </w:p>
        </w:tc>
      </w:tr>
      <w:tr w:rsidR="00E21F90" w:rsidRPr="00B271B1" w:rsidTr="00954483">
        <w:trPr>
          <w:cantSplit/>
        </w:trPr>
        <w:tc>
          <w:tcPr>
            <w:tcW w:w="4788"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ab/>
              <w:t>Thrombin (human)</w:t>
            </w:r>
          </w:p>
        </w:tc>
        <w:tc>
          <w:tcPr>
            <w:tcW w:w="3542"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4 IU</w:t>
            </w:r>
            <w:r w:rsidRPr="00B271B1">
              <w:rPr>
                <w:rStyle w:val="FootnoteReference"/>
                <w:color w:val="000000" w:themeColor="text1"/>
              </w:rPr>
              <w:footnoteReference w:id="2"/>
            </w:r>
          </w:p>
        </w:tc>
      </w:tr>
      <w:tr w:rsidR="00E21F90" w:rsidRPr="00B271B1" w:rsidTr="00954483">
        <w:trPr>
          <w:cantSplit/>
        </w:trPr>
        <w:tc>
          <w:tcPr>
            <w:tcW w:w="4788"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ab/>
              <w:t>Calcium Chloride (2 H2O)</w:t>
            </w:r>
          </w:p>
        </w:tc>
        <w:tc>
          <w:tcPr>
            <w:tcW w:w="3542"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40 µmol</w:t>
            </w:r>
          </w:p>
        </w:tc>
      </w:tr>
      <w:tr w:rsidR="00E21F90" w:rsidRPr="00B271B1" w:rsidTr="00954483">
        <w:trPr>
          <w:cantSplit/>
        </w:trPr>
        <w:tc>
          <w:tcPr>
            <w:tcW w:w="4788" w:type="dxa"/>
          </w:tcPr>
          <w:p w:rsidR="00E21F90" w:rsidRPr="00B271B1" w:rsidRDefault="00E21F90" w:rsidP="00954483">
            <w:pPr>
              <w:spacing w:before="120" w:after="120" w:line="240" w:lineRule="auto"/>
              <w:rPr>
                <w:color w:val="000000" w:themeColor="text1"/>
                <w:szCs w:val="24"/>
              </w:rPr>
            </w:pPr>
            <w:r w:rsidRPr="00B271B1">
              <w:rPr>
                <w:color w:val="000000" w:themeColor="text1"/>
                <w:szCs w:val="24"/>
              </w:rPr>
              <w:t>Excipients (see below)</w:t>
            </w:r>
          </w:p>
        </w:tc>
        <w:tc>
          <w:tcPr>
            <w:tcW w:w="3542" w:type="dxa"/>
          </w:tcPr>
          <w:p w:rsidR="00E21F90" w:rsidRPr="00B271B1" w:rsidRDefault="00E21F90" w:rsidP="00954483">
            <w:pPr>
              <w:spacing w:before="120" w:after="120" w:line="240" w:lineRule="auto"/>
              <w:rPr>
                <w:color w:val="000000" w:themeColor="text1"/>
                <w:szCs w:val="24"/>
              </w:rPr>
            </w:pPr>
          </w:p>
        </w:tc>
      </w:tr>
    </w:tbl>
    <w:p w:rsidR="00B91A7A" w:rsidRDefault="00B91A7A" w:rsidP="003676E2">
      <w:pPr>
        <w:spacing w:after="240"/>
        <w:outlineLvl w:val="0"/>
        <w:rPr>
          <w:color w:val="000000" w:themeColor="text1"/>
          <w:szCs w:val="24"/>
        </w:rPr>
      </w:pPr>
    </w:p>
    <w:p w:rsidR="00AA781B" w:rsidRPr="00B271B1" w:rsidRDefault="00425803" w:rsidP="00B91A7A">
      <w:r w:rsidRPr="00B271B1">
        <w:t>The 2 components of ARTISS are colourless to pale yellow, opalescent when frozen and clear to slightly turbid solutions once defrosted.</w:t>
      </w:r>
    </w:p>
    <w:p w:rsidR="00E5780C" w:rsidRPr="00B271B1" w:rsidRDefault="00425803" w:rsidP="00AA0A2F">
      <w:pPr>
        <w:pStyle w:val="Heading2"/>
        <w:rPr>
          <w:rFonts w:eastAsia="Times New Roman"/>
        </w:rPr>
      </w:pPr>
      <w:r w:rsidRPr="00B271B1">
        <w:rPr>
          <w:rFonts w:eastAsia="Times New Roman"/>
        </w:rPr>
        <w:t xml:space="preserve">Composition of the </w:t>
      </w:r>
      <w:proofErr w:type="spellStart"/>
      <w:r w:rsidRPr="00B271B1">
        <w:rPr>
          <w:rFonts w:eastAsia="Times New Roman"/>
        </w:rPr>
        <w:t>Excipients</w:t>
      </w:r>
      <w:proofErr w:type="spellEnd"/>
      <w:r w:rsidRPr="00B271B1">
        <w:rPr>
          <w:rFonts w:eastAsia="Times New Roman"/>
        </w:rPr>
        <w:t xml:space="preserve"> of ARTISS:</w:t>
      </w:r>
    </w:p>
    <w:p w:rsidR="0027165B" w:rsidRPr="00B271B1" w:rsidRDefault="00425803" w:rsidP="003676E2">
      <w:pPr>
        <w:ind w:left="567" w:hanging="360"/>
        <w:rPr>
          <w:bCs/>
          <w:color w:val="000000" w:themeColor="text1"/>
          <w:szCs w:val="24"/>
        </w:rPr>
      </w:pPr>
      <w:r w:rsidRPr="00B271B1">
        <w:rPr>
          <w:b/>
          <w:color w:val="000000" w:themeColor="text1"/>
          <w:szCs w:val="24"/>
        </w:rPr>
        <w:t>(1) Sealer Protein Solution</w:t>
      </w:r>
      <w:r w:rsidRPr="00B271B1">
        <w:rPr>
          <w:bCs/>
          <w:color w:val="000000" w:themeColor="text1"/>
          <w:szCs w:val="24"/>
        </w:rPr>
        <w:t xml:space="preserve">: 1 mL of the solution contains, Human Albumin (10-20 mg), Histidine (10-25 mg), Sodium Citrate (4.8-9.7 mg), Polysorbate 80 (0.6–1.9 mg), Nicotinamide (3–9 mg), Water for injection </w:t>
      </w:r>
      <w:proofErr w:type="spellStart"/>
      <w:r w:rsidRPr="00B271B1">
        <w:rPr>
          <w:bCs/>
          <w:color w:val="000000" w:themeColor="text1"/>
          <w:szCs w:val="24"/>
        </w:rPr>
        <w:t>q.s</w:t>
      </w:r>
      <w:proofErr w:type="spellEnd"/>
      <w:r w:rsidRPr="00B271B1">
        <w:rPr>
          <w:bCs/>
          <w:color w:val="000000" w:themeColor="text1"/>
          <w:szCs w:val="24"/>
        </w:rPr>
        <w:t>. to 1 mL.</w:t>
      </w:r>
    </w:p>
    <w:p w:rsidR="0027165B" w:rsidRPr="00B271B1" w:rsidRDefault="00425803" w:rsidP="003676E2">
      <w:pPr>
        <w:pStyle w:val="Formatvorlage1"/>
        <w:overflowPunct/>
        <w:autoSpaceDE/>
        <w:autoSpaceDN/>
        <w:adjustRightInd/>
        <w:spacing w:line="276" w:lineRule="auto"/>
        <w:ind w:left="567" w:hanging="414"/>
        <w:textAlignment w:val="auto"/>
        <w:rPr>
          <w:rFonts w:ascii="Times New Roman" w:hAnsi="Times New Roman"/>
          <w:color w:val="000000" w:themeColor="text1"/>
          <w:szCs w:val="24"/>
        </w:rPr>
      </w:pPr>
      <w:r w:rsidRPr="00B271B1">
        <w:rPr>
          <w:rFonts w:ascii="Times New Roman" w:hAnsi="Times New Roman"/>
          <w:b/>
          <w:color w:val="000000" w:themeColor="text1"/>
          <w:szCs w:val="24"/>
        </w:rPr>
        <w:t xml:space="preserve"> (2)</w:t>
      </w:r>
      <w:r w:rsidRPr="00B271B1">
        <w:rPr>
          <w:rFonts w:ascii="Times New Roman" w:hAnsi="Times New Roman"/>
          <w:bCs/>
          <w:color w:val="000000" w:themeColor="text1"/>
          <w:szCs w:val="24"/>
        </w:rPr>
        <w:t xml:space="preserve"> </w:t>
      </w:r>
      <w:r w:rsidRPr="00B271B1">
        <w:rPr>
          <w:rFonts w:ascii="Times New Roman" w:hAnsi="Times New Roman"/>
          <w:b/>
          <w:color w:val="000000" w:themeColor="text1"/>
          <w:szCs w:val="24"/>
        </w:rPr>
        <w:t>Thrombin Solution</w:t>
      </w:r>
      <w:r w:rsidRPr="00B271B1">
        <w:rPr>
          <w:rFonts w:ascii="Times New Roman" w:hAnsi="Times New Roman"/>
          <w:bCs/>
          <w:color w:val="000000" w:themeColor="text1"/>
          <w:szCs w:val="24"/>
        </w:rPr>
        <w:t xml:space="preserve">: 1 mL of the solution contains, Human Albumin (45–55 mg), Sodium Chloride (3.5–5.5 mg) and Water for injection </w:t>
      </w:r>
      <w:proofErr w:type="spellStart"/>
      <w:r w:rsidRPr="00B271B1">
        <w:rPr>
          <w:rFonts w:ascii="Times New Roman" w:hAnsi="Times New Roman"/>
          <w:bCs/>
          <w:color w:val="000000" w:themeColor="text1"/>
          <w:szCs w:val="24"/>
        </w:rPr>
        <w:t>q.s</w:t>
      </w:r>
      <w:proofErr w:type="spellEnd"/>
      <w:r w:rsidRPr="00B271B1">
        <w:rPr>
          <w:rFonts w:ascii="Times New Roman" w:hAnsi="Times New Roman"/>
          <w:bCs/>
          <w:color w:val="000000" w:themeColor="text1"/>
          <w:szCs w:val="24"/>
        </w:rPr>
        <w:t xml:space="preserve"> to 1 </w:t>
      </w:r>
      <w:proofErr w:type="spellStart"/>
      <w:r w:rsidRPr="00B271B1">
        <w:rPr>
          <w:rFonts w:ascii="Times New Roman" w:hAnsi="Times New Roman"/>
          <w:bCs/>
          <w:color w:val="000000" w:themeColor="text1"/>
          <w:szCs w:val="24"/>
        </w:rPr>
        <w:t>mL</w:t>
      </w:r>
      <w:r w:rsidR="007E55E4" w:rsidRPr="00B271B1">
        <w:rPr>
          <w:rFonts w:ascii="Times New Roman" w:hAnsi="Times New Roman"/>
          <w:bCs/>
          <w:color w:val="000000" w:themeColor="text1"/>
          <w:szCs w:val="24"/>
        </w:rPr>
        <w:t>.</w:t>
      </w:r>
      <w:proofErr w:type="spellEnd"/>
    </w:p>
    <w:p w:rsidR="00A214F5" w:rsidRPr="00B271B1" w:rsidRDefault="00A214F5" w:rsidP="00B91A7A">
      <w:pPr>
        <w:pStyle w:val="Heading2"/>
      </w:pPr>
      <w:r w:rsidRPr="00B271B1">
        <w:t xml:space="preserve">Chemical structures </w:t>
      </w:r>
    </w:p>
    <w:p w:rsidR="00A214F5" w:rsidRPr="00B271B1" w:rsidRDefault="00A214F5" w:rsidP="00B91A7A">
      <w:r w:rsidRPr="00B271B1">
        <w:t xml:space="preserve">The major component of the </w:t>
      </w:r>
      <w:proofErr w:type="spellStart"/>
      <w:r w:rsidRPr="00B271B1">
        <w:t>clottable</w:t>
      </w:r>
      <w:proofErr w:type="spellEnd"/>
      <w:r w:rsidRPr="00B271B1">
        <w:t xml:space="preserve"> protein (human origin) is fibrinogen. The fibrinogen molecule is a dimer composed of two symmetrical subunits linked by -S-S- bonds. It could be written in a simple formula as (A</w:t>
      </w:r>
      <w:r w:rsidRPr="00B271B1">
        <w:sym w:font="Symbol" w:char="F061"/>
      </w:r>
      <w:r w:rsidRPr="00B271B1">
        <w:t>, B</w:t>
      </w:r>
      <w:r w:rsidRPr="00B271B1">
        <w:sym w:font="Symbol" w:char="F062"/>
      </w:r>
      <w:r w:rsidRPr="00B271B1">
        <w:t xml:space="preserve">, </w:t>
      </w:r>
      <w:r w:rsidRPr="00B271B1">
        <w:sym w:font="Symbol" w:char="F067"/>
      </w:r>
      <w:r w:rsidRPr="00B271B1">
        <w:t>)</w:t>
      </w:r>
      <w:r w:rsidRPr="00B271B1">
        <w:rPr>
          <w:vertAlign w:val="subscript"/>
        </w:rPr>
        <w:t>2</w:t>
      </w:r>
      <w:r w:rsidRPr="00B271B1">
        <w:t xml:space="preserve"> and has a molecular weight (MW) of about 340 000. The A</w:t>
      </w:r>
      <w:r w:rsidRPr="00B271B1">
        <w:sym w:font="Symbol" w:char="F061"/>
      </w:r>
      <w:r w:rsidRPr="00B271B1">
        <w:t>-chain contains 610 amino acids (MW about 68 000), the B</w:t>
      </w:r>
      <w:r w:rsidRPr="00B271B1">
        <w:sym w:font="Symbol" w:char="F062"/>
      </w:r>
      <w:r w:rsidRPr="00B271B1">
        <w:t xml:space="preserve">-chain 461 amino acids (MW about 57 000), and the </w:t>
      </w:r>
      <w:r w:rsidRPr="00B271B1">
        <w:sym w:font="Symbol" w:char="F067"/>
      </w:r>
      <w:r w:rsidRPr="00B271B1">
        <w:t xml:space="preserve">-chain 411 amino acids (MW about 47 000). Thus, the entire human fibrinogen contains 2964 amino acids. </w:t>
      </w:r>
    </w:p>
    <w:p w:rsidR="00A214F5" w:rsidRPr="00B271B1" w:rsidRDefault="00A214F5" w:rsidP="00B91A7A">
      <w:r w:rsidRPr="00B271B1">
        <w:t xml:space="preserve">Thrombin (human origin) is a glycosylated protein, consisting of two polypeptide subunits A and B, covalently linked by one -S-S- bond. The molecular weight is about 33 800. The human thrombin subunit A chain is made of 36 amino acids, whilst the B chain contains 259 amino acids. </w:t>
      </w:r>
    </w:p>
    <w:p w:rsidR="00A214F5" w:rsidRPr="00B271B1" w:rsidRDefault="00A214F5" w:rsidP="00B91A7A">
      <w:r w:rsidRPr="00B271B1">
        <w:t xml:space="preserve">Factor XIII (human origin), also called blood-coagulation factor XIII, is a tetramer composed of two a-chains and two b-chains (each of a molecular weight of about 80 000) which are non-covalently associated. </w:t>
      </w:r>
    </w:p>
    <w:p w:rsidR="00A214F5" w:rsidRPr="00B271B1" w:rsidRDefault="00A214F5" w:rsidP="003676E2">
      <w:pPr>
        <w:rPr>
          <w:color w:val="000000" w:themeColor="text1"/>
          <w:szCs w:val="24"/>
        </w:rPr>
      </w:pPr>
      <w:r w:rsidRPr="00B271B1">
        <w:rPr>
          <w:color w:val="000000" w:themeColor="text1"/>
          <w:szCs w:val="24"/>
        </w:rPr>
        <w:t>Aprotinin (synthetic origin) is a protease inhibitor, a polypeptide consisting of one chain of 58 amino acids with a molecular weight of 6511.5, also stabilized by -S-S- bonds.</w:t>
      </w:r>
    </w:p>
    <w:p w:rsidR="00CD35EC" w:rsidRPr="00B271B1" w:rsidRDefault="00425803" w:rsidP="00B91A7A">
      <w:pPr>
        <w:pStyle w:val="Heading1"/>
        <w:rPr>
          <w:lang w:val="en-AU"/>
        </w:rPr>
      </w:pPr>
      <w:r w:rsidRPr="00B271B1">
        <w:rPr>
          <w:lang w:val="en-AU"/>
        </w:rPr>
        <w:lastRenderedPageBreak/>
        <w:t>PHARMACOLOGY</w:t>
      </w:r>
    </w:p>
    <w:p w:rsidR="0027165B" w:rsidRDefault="00425803" w:rsidP="00B91A7A">
      <w:pPr>
        <w:rPr>
          <w:lang w:val="en-AU"/>
        </w:rPr>
      </w:pPr>
      <w:proofErr w:type="spellStart"/>
      <w:r w:rsidRPr="00B271B1">
        <w:rPr>
          <w:lang w:val="en-AU"/>
        </w:rPr>
        <w:t>Pharmacotherapeutic</w:t>
      </w:r>
      <w:proofErr w:type="spellEnd"/>
      <w:r w:rsidRPr="00B271B1">
        <w:rPr>
          <w:lang w:val="en-AU"/>
        </w:rPr>
        <w:t xml:space="preserve"> group: local </w:t>
      </w:r>
      <w:proofErr w:type="spellStart"/>
      <w:r w:rsidRPr="00B271B1">
        <w:rPr>
          <w:lang w:val="en-AU"/>
        </w:rPr>
        <w:t>hemostatics</w:t>
      </w:r>
      <w:proofErr w:type="spellEnd"/>
      <w:r w:rsidRPr="00B271B1">
        <w:rPr>
          <w:lang w:val="en-AU"/>
        </w:rPr>
        <w:t>, ATC code: B02BC; ti</w:t>
      </w:r>
      <w:r w:rsidR="00407D30">
        <w:rPr>
          <w:lang w:val="en-AU"/>
        </w:rPr>
        <w:t>ssue adhesives, ATC code: V03A</w:t>
      </w:r>
      <w:r w:rsidRPr="00B271B1">
        <w:rPr>
          <w:lang w:val="en-AU"/>
        </w:rPr>
        <w:t>K</w:t>
      </w:r>
    </w:p>
    <w:p w:rsidR="00B82A64" w:rsidRPr="00B271B1" w:rsidRDefault="00425803" w:rsidP="00407D30">
      <w:pPr>
        <w:spacing w:before="240" w:after="240" w:line="288" w:lineRule="auto"/>
        <w:rPr>
          <w:rFonts w:eastAsiaTheme="majorEastAsia"/>
          <w:b/>
          <w:bCs/>
          <w:color w:val="000000" w:themeColor="text1"/>
          <w:szCs w:val="24"/>
          <w:lang w:val="en-AU"/>
        </w:rPr>
      </w:pPr>
      <w:proofErr w:type="spellStart"/>
      <w:r w:rsidRPr="00B91A7A">
        <w:rPr>
          <w:rStyle w:val="Heading2Char"/>
        </w:rPr>
        <w:t>Pharmacod</w:t>
      </w:r>
      <w:r w:rsidRPr="00B271B1">
        <w:rPr>
          <w:rFonts w:eastAsiaTheme="majorEastAsia"/>
          <w:b/>
          <w:bCs/>
          <w:color w:val="000000" w:themeColor="text1"/>
          <w:szCs w:val="24"/>
          <w:lang w:val="en-AU"/>
        </w:rPr>
        <w:t>ynamics</w:t>
      </w:r>
      <w:proofErr w:type="spellEnd"/>
      <w:r w:rsidRPr="00B271B1">
        <w:rPr>
          <w:rFonts w:eastAsiaTheme="majorEastAsia"/>
          <w:b/>
          <w:bCs/>
          <w:color w:val="000000" w:themeColor="text1"/>
          <w:szCs w:val="24"/>
          <w:lang w:val="en-AU"/>
        </w:rPr>
        <w:t xml:space="preserve"> </w:t>
      </w:r>
    </w:p>
    <w:p w:rsidR="0027165B" w:rsidRPr="00B271B1" w:rsidRDefault="00425803" w:rsidP="00B91A7A">
      <w:r w:rsidRPr="00B271B1">
        <w:t xml:space="preserve">ARTISS contains two components, Sealer Protein Solution and Thrombin Solution. The Sealer Protein Solution contains fibrinogen as the main active ingredient, </w:t>
      </w:r>
      <w:r w:rsidR="0037152A" w:rsidRPr="00B271B1">
        <w:t xml:space="preserve">and </w:t>
      </w:r>
      <w:r w:rsidRPr="00B271B1">
        <w:t xml:space="preserve">the active ingredient of the Thrombin Solution is human </w:t>
      </w:r>
      <w:r w:rsidR="0037152A" w:rsidRPr="00B271B1">
        <w:t>t</w:t>
      </w:r>
      <w:r w:rsidRPr="00B271B1">
        <w:t>hrombin. These mimic the final step of the coagulation cascade.</w:t>
      </w:r>
    </w:p>
    <w:p w:rsidR="0021549F" w:rsidRPr="00B271B1" w:rsidRDefault="0021549F" w:rsidP="00B91A7A">
      <w:r w:rsidRPr="00B271B1">
        <w:t xml:space="preserve">The thrombin converts fibrinogen to fibrin which then </w:t>
      </w:r>
      <w:proofErr w:type="spellStart"/>
      <w:r w:rsidRPr="00B271B1">
        <w:t>polymerises</w:t>
      </w:r>
      <w:proofErr w:type="spellEnd"/>
      <w:r w:rsidRPr="00B271B1">
        <w:t xml:space="preserve"> and is </w:t>
      </w:r>
      <w:proofErr w:type="spellStart"/>
      <w:r w:rsidRPr="00B271B1">
        <w:t>crosslinked</w:t>
      </w:r>
      <w:proofErr w:type="spellEnd"/>
      <w:r w:rsidRPr="00B271B1">
        <w:t xml:space="preserve"> by factor </w:t>
      </w:r>
      <w:proofErr w:type="spellStart"/>
      <w:r w:rsidRPr="00B271B1">
        <w:t>XIIIa</w:t>
      </w:r>
      <w:proofErr w:type="spellEnd"/>
      <w:r w:rsidRPr="00B271B1">
        <w:t xml:space="preserve"> to form a clot. Due to the low concentration of thrombin in ARTISS, clotting takes about a minute. Clotting causes tissues to adhere and provides a matrix for the in-growth of fibroblasts and capillaries which helps </w:t>
      </w:r>
      <w:proofErr w:type="spellStart"/>
      <w:r w:rsidRPr="00B271B1">
        <w:t>vascularisation</w:t>
      </w:r>
      <w:proofErr w:type="spellEnd"/>
      <w:r w:rsidRPr="00B271B1">
        <w:t xml:space="preserve"> and wound healing. The matrix is eventually broken down and absorbed in a process called fibrinolysis.</w:t>
      </w:r>
      <w:r w:rsidR="00B82A64" w:rsidRPr="00B271B1">
        <w:t xml:space="preserve"> Aprotinin in ARTISS delays fibrinolysis.</w:t>
      </w:r>
    </w:p>
    <w:p w:rsidR="005315D3" w:rsidRPr="00B271B1" w:rsidRDefault="00425803" w:rsidP="00B91A7A">
      <w:r w:rsidRPr="00B271B1">
        <w:t xml:space="preserve">The following diagram illustrates the conversion of fibrinogen to fibrin, and polymerization. </w:t>
      </w:r>
    </w:p>
    <w:p w:rsidR="001C2819" w:rsidRPr="00B271B1" w:rsidRDefault="007E18EF" w:rsidP="009D3026">
      <w:pPr>
        <w:rPr>
          <w:b/>
          <w:i/>
          <w:color w:val="000000" w:themeColor="text1"/>
          <w:szCs w:val="24"/>
          <w:lang w:val="en-AU"/>
        </w:rPr>
      </w:pPr>
      <w:r>
        <w:rPr>
          <w:b/>
          <w:i/>
          <w:color w:val="000000" w:themeColor="text1"/>
          <w:szCs w:val="24"/>
          <w:lang w:val="en-AU"/>
        </w:rPr>
      </w:r>
      <w:r>
        <w:rPr>
          <w:b/>
          <w:i/>
          <w:color w:val="000000" w:themeColor="text1"/>
          <w:szCs w:val="24"/>
          <w:lang w:val="en-AU"/>
        </w:rPr>
        <w:pict>
          <v:group id="_x0000_s1039" alt="Diagram illustrating the conversion of fibrinogen to fibrin, and polymerization" style="width:478.2pt;height:124.2pt;mso-position-horizontal-relative:char;mso-position-vertical-relative:line" coordorigin="1199,8475" coordsize="9564,2484">
            <v:shapetype id="_x0000_t32" coordsize="21600,21600" o:spt="32" o:oned="t" path="m,l21600,21600e" filled="f">
              <v:path arrowok="t" fillok="f" o:connecttype="none"/>
              <o:lock v:ext="edit" shapetype="t"/>
            </v:shapetype>
            <v:shape id="_x0000_s1040" type="#_x0000_t32" style="position:absolute;left:4042;top:8988;width:493;height:0;mso-position-horizontal-relative:text;mso-position-vertical-relative:text" o:connectortype="straight"/>
            <v:shape id="_x0000_s1041" type="#_x0000_t32" style="position:absolute;left:4042;top:10337;width:493;height:0" o:connectortype="straight"/>
            <v:shapetype id="_x0000_t202" coordsize="21600,21600" o:spt="202" path="m,l,21600r21600,l21600,xe">
              <v:stroke joinstyle="miter"/>
              <v:path gradientshapeok="t" o:connecttype="rect"/>
            </v:shapetype>
            <v:shape id="_x0000_s1042" type="#_x0000_t202" style="position:absolute;left:1199;top:8475;width:2843;height:981">
              <v:textbox style="mso-next-textbox:#_x0000_s1042">
                <w:txbxContent>
                  <w:p w:rsidR="00B91A7A" w:rsidRDefault="00B91A7A" w:rsidP="00BE59F0">
                    <w:pPr>
                      <w:spacing w:after="0" w:line="240" w:lineRule="auto"/>
                      <w:jc w:val="center"/>
                      <w:rPr>
                        <w:szCs w:val="24"/>
                        <w:lang w:val="en-AU"/>
                      </w:rPr>
                    </w:pPr>
                    <w:r w:rsidRPr="00706AC6">
                      <w:rPr>
                        <w:szCs w:val="24"/>
                        <w:lang w:val="en-AU"/>
                      </w:rPr>
                      <w:t>Sealer Protein Solution (Fibrinogen and Aprotinin 3000 KIU/mL)</w:t>
                    </w:r>
                  </w:p>
                </w:txbxContent>
              </v:textbox>
            </v:shape>
            <v:shape id="_x0000_s1043" type="#_x0000_t202" style="position:absolute;left:1199;top:9743;width:2843;height:1216">
              <v:textbox style="mso-next-textbox:#_x0000_s1043">
                <w:txbxContent>
                  <w:p w:rsidR="00B91A7A" w:rsidRDefault="00B91A7A" w:rsidP="00BE59F0">
                    <w:pPr>
                      <w:spacing w:after="0" w:line="240" w:lineRule="auto"/>
                      <w:jc w:val="center"/>
                      <w:rPr>
                        <w:szCs w:val="24"/>
                        <w:lang w:val="en-AU"/>
                      </w:rPr>
                    </w:pPr>
                    <w:r>
                      <w:rPr>
                        <w:szCs w:val="24"/>
                        <w:lang w:val="en-AU"/>
                      </w:rPr>
                      <w:t xml:space="preserve">Thrombin Solution 4 </w:t>
                    </w:r>
                  </w:p>
                  <w:p w:rsidR="00B91A7A" w:rsidRDefault="00B91A7A" w:rsidP="00BE59F0">
                    <w:pPr>
                      <w:spacing w:after="0" w:line="240" w:lineRule="auto"/>
                      <w:jc w:val="center"/>
                      <w:rPr>
                        <w:szCs w:val="24"/>
                        <w:lang w:val="en-AU"/>
                      </w:rPr>
                    </w:pPr>
                    <w:r>
                      <w:rPr>
                        <w:szCs w:val="24"/>
                        <w:lang w:val="en-AU"/>
                      </w:rPr>
                      <w:t>(4 IU Thrombin/mL with calcium chloride 40 µmol/mL)</w:t>
                    </w:r>
                  </w:p>
                </w:txbxContent>
              </v:textbox>
            </v:shape>
            <v:shape id="_x0000_s1044" type="#_x0000_t202" style="position:absolute;left:5230;top:9271;width:2805;height:741">
              <v:textbox style="mso-next-textbox:#_x0000_s1044">
                <w:txbxContent>
                  <w:p w:rsidR="00B91A7A" w:rsidRDefault="00B91A7A" w:rsidP="00BE59F0">
                    <w:pPr>
                      <w:spacing w:after="0" w:line="240" w:lineRule="auto"/>
                      <w:jc w:val="center"/>
                      <w:rPr>
                        <w:szCs w:val="24"/>
                        <w:lang w:val="en-AU"/>
                      </w:rPr>
                    </w:pPr>
                    <w:r>
                      <w:rPr>
                        <w:szCs w:val="24"/>
                        <w:lang w:val="en-AU"/>
                      </w:rPr>
                      <w:t>Sealer Protein-Thrombin Solution</w:t>
                    </w:r>
                  </w:p>
                </w:txbxContent>
              </v:textbox>
            </v:shape>
            <v:shape id="_x0000_s1045" type="#_x0000_t202" style="position:absolute;left:8880;top:9271;width:1883;height:741">
              <v:textbox style="mso-next-textbox:#_x0000_s1045">
                <w:txbxContent>
                  <w:p w:rsidR="00B91A7A" w:rsidRDefault="00B91A7A" w:rsidP="00BE59F0">
                    <w:pPr>
                      <w:spacing w:after="0" w:line="240" w:lineRule="auto"/>
                      <w:jc w:val="center"/>
                      <w:rPr>
                        <w:szCs w:val="24"/>
                        <w:lang w:val="en-AU"/>
                      </w:rPr>
                    </w:pPr>
                    <w:r>
                      <w:rPr>
                        <w:szCs w:val="24"/>
                        <w:lang w:val="en-AU"/>
                      </w:rPr>
                      <w:t>Solidified Fibrin Sealant</w:t>
                    </w:r>
                  </w:p>
                </w:txbxContent>
              </v:textbox>
            </v:shape>
            <v:shape id="_x0000_s1046" type="#_x0000_t32" style="position:absolute;left:4535;top:8987;width:1;height:1349;mso-position-horizontal-relative:text;mso-position-vertical-relative:text" o:connectortype="straight"/>
            <v:shape id="_x0000_s1047" type="#_x0000_t32" style="position:absolute;left:4535;top:9629;width:695;height:1" o:connectortype="straight">
              <v:stroke endarrow="block"/>
            </v:shape>
            <v:shape id="_x0000_s1048" type="#_x0000_t32" style="position:absolute;left:8035;top:9630;width:845;height:0" o:connectortype="straight">
              <v:stroke endarrow="block"/>
            </v:shape>
            <w10:wrap type="none"/>
            <w10:anchorlock/>
          </v:group>
        </w:pict>
      </w:r>
    </w:p>
    <w:p w:rsidR="0037152A" w:rsidRPr="00B271B1" w:rsidRDefault="0037152A" w:rsidP="00B91A7A">
      <w:pPr>
        <w:rPr>
          <w:lang w:val="en-AU"/>
        </w:rPr>
      </w:pPr>
      <w:r w:rsidRPr="00B271B1">
        <w:rPr>
          <w:lang w:val="en-AU"/>
        </w:rPr>
        <w:t>ARTISS containing 4 IU thrombin has demonstrated adhesion of autologous split skin grafts to surgically prepared wound beds in a pig model.</w:t>
      </w:r>
    </w:p>
    <w:p w:rsidR="0001482F" w:rsidRPr="00B271B1" w:rsidRDefault="00425803" w:rsidP="00B91A7A">
      <w:pPr>
        <w:pStyle w:val="Heading2"/>
        <w:rPr>
          <w:lang w:val="en-AU"/>
        </w:rPr>
      </w:pPr>
      <w:r w:rsidRPr="00B271B1">
        <w:rPr>
          <w:lang w:val="en-AU"/>
        </w:rPr>
        <w:t>Pharmacokinetic</w:t>
      </w:r>
      <w:r w:rsidR="0037152A" w:rsidRPr="00B271B1">
        <w:rPr>
          <w:lang w:val="en-AU"/>
        </w:rPr>
        <w:t>s</w:t>
      </w:r>
      <w:r w:rsidRPr="00B271B1">
        <w:rPr>
          <w:lang w:val="en-AU"/>
        </w:rPr>
        <w:t xml:space="preserve"> </w:t>
      </w:r>
    </w:p>
    <w:p w:rsidR="0001482F" w:rsidRPr="00B271B1" w:rsidRDefault="00425803" w:rsidP="00B91A7A">
      <w:pPr>
        <w:rPr>
          <w:lang w:val="en-AU"/>
        </w:rPr>
      </w:pPr>
      <w:r w:rsidRPr="00B271B1">
        <w:rPr>
          <w:lang w:val="en-AU"/>
        </w:rPr>
        <w:t xml:space="preserve">ARTISS is intended for </w:t>
      </w:r>
      <w:proofErr w:type="spellStart"/>
      <w:r w:rsidRPr="00B271B1">
        <w:rPr>
          <w:lang w:val="en-AU"/>
        </w:rPr>
        <w:t>epilesional</w:t>
      </w:r>
      <w:proofErr w:type="spellEnd"/>
      <w:r w:rsidRPr="00B271B1">
        <w:rPr>
          <w:lang w:val="en-AU"/>
        </w:rPr>
        <w:t xml:space="preserve"> use only. Intravascular administration is contraindicated. As a consequence, intravascular pharmacokinetic studies were not performed in man.</w:t>
      </w:r>
    </w:p>
    <w:p w:rsidR="002E296B" w:rsidRPr="00B271B1" w:rsidRDefault="00425803" w:rsidP="00B91A7A">
      <w:pPr>
        <w:rPr>
          <w:lang w:val="en-AU"/>
        </w:rPr>
      </w:pPr>
      <w:r w:rsidRPr="00B271B1">
        <w:rPr>
          <w:lang w:val="en-AU"/>
        </w:rPr>
        <w:t>Fibrin sealants/</w:t>
      </w:r>
      <w:proofErr w:type="spellStart"/>
      <w:r w:rsidRPr="00B271B1">
        <w:rPr>
          <w:lang w:val="en-AU"/>
        </w:rPr>
        <w:t>hemostatics</w:t>
      </w:r>
      <w:proofErr w:type="spellEnd"/>
      <w:r w:rsidRPr="00B271B1">
        <w:rPr>
          <w:lang w:val="en-AU"/>
        </w:rPr>
        <w:t xml:space="preserve"> are metabolized in the same way as endogenous fibrin by fibrinolysis and phagocytosis.</w:t>
      </w:r>
    </w:p>
    <w:p w:rsidR="00DC583D" w:rsidRPr="00B271B1" w:rsidRDefault="00425803" w:rsidP="00B91A7A">
      <w:pPr>
        <w:pStyle w:val="Heading1"/>
      </w:pPr>
      <w:r w:rsidRPr="00B271B1">
        <w:t>CLINICAL TRIALS</w:t>
      </w:r>
    </w:p>
    <w:p w:rsidR="00A55256" w:rsidRPr="00407D30" w:rsidRDefault="00A55256" w:rsidP="00B91A7A">
      <w:pPr>
        <w:pStyle w:val="Heading2"/>
        <w:rPr>
          <w:lang w:val="en-AU"/>
        </w:rPr>
      </w:pPr>
      <w:r w:rsidRPr="00407D30">
        <w:rPr>
          <w:lang w:val="en-AU"/>
        </w:rPr>
        <w:t>Burns (grafts)</w:t>
      </w:r>
    </w:p>
    <w:p w:rsidR="000C32FB" w:rsidRPr="00B271B1" w:rsidRDefault="00425803" w:rsidP="00B91A7A">
      <w:pPr>
        <w:rPr>
          <w:lang w:val="en-AU"/>
        </w:rPr>
      </w:pPr>
      <w:r w:rsidRPr="00B271B1">
        <w:rPr>
          <w:lang w:val="en-AU"/>
        </w:rPr>
        <w:t>ARTISS (frozen) was investigated for fixation of split thickness sheet skin grafts in burn patients in a prospective, randomised, controlled, multicentre clinical study</w:t>
      </w:r>
      <w:r w:rsidR="00EF4ED4" w:rsidRPr="00B271B1">
        <w:rPr>
          <w:lang w:val="en-AU"/>
        </w:rPr>
        <w:t>, conducted</w:t>
      </w:r>
      <w:r w:rsidR="00CD76AF" w:rsidRPr="00B271B1">
        <w:rPr>
          <w:lang w:val="en-AU"/>
        </w:rPr>
        <w:t xml:space="preserve"> </w:t>
      </w:r>
      <w:r w:rsidR="00EF4ED4" w:rsidRPr="00B271B1">
        <w:rPr>
          <w:lang w:val="en-AU"/>
        </w:rPr>
        <w:t>in</w:t>
      </w:r>
      <w:r w:rsidRPr="00B271B1">
        <w:rPr>
          <w:lang w:val="en-AU"/>
        </w:rPr>
        <w:t xml:space="preserve"> 138 </w:t>
      </w:r>
      <w:r w:rsidR="00EF4ED4" w:rsidRPr="00B271B1">
        <w:rPr>
          <w:lang w:val="en-AU"/>
        </w:rPr>
        <w:t xml:space="preserve">burn subjects. </w:t>
      </w:r>
      <w:r w:rsidRPr="00B271B1">
        <w:rPr>
          <w:lang w:val="en-AU"/>
        </w:rPr>
        <w:t xml:space="preserve"> </w:t>
      </w:r>
      <w:r w:rsidR="00EF4ED4" w:rsidRPr="00B271B1">
        <w:rPr>
          <w:lang w:val="en-AU"/>
        </w:rPr>
        <w:lastRenderedPageBreak/>
        <w:t xml:space="preserve">In each subject, </w:t>
      </w:r>
      <w:r w:rsidRPr="00B271B1">
        <w:rPr>
          <w:lang w:val="en-AU"/>
        </w:rPr>
        <w:t>two comparable test sites were identified. In one test site the skin graft was fixed with ARTISS</w:t>
      </w:r>
      <w:r w:rsidR="00CD76AF" w:rsidRPr="00B271B1">
        <w:rPr>
          <w:lang w:val="en-AU"/>
        </w:rPr>
        <w:t>;</w:t>
      </w:r>
      <w:r w:rsidRPr="00B271B1">
        <w:rPr>
          <w:lang w:val="en-AU"/>
        </w:rPr>
        <w:t xml:space="preserve"> in the other test site the graft was fixed with staples (control). </w:t>
      </w:r>
    </w:p>
    <w:p w:rsidR="00DC583D" w:rsidRPr="00B271B1" w:rsidRDefault="00EF4ED4" w:rsidP="00B91A7A">
      <w:pPr>
        <w:rPr>
          <w:lang w:val="en-AU"/>
        </w:rPr>
      </w:pPr>
      <w:r w:rsidRPr="00B271B1">
        <w:rPr>
          <w:lang w:val="en-AU"/>
        </w:rPr>
        <w:t>The intent-to-treat (ITT) population reported in the study report included 127 of the treated subjects. The 11 treated subjects not included in the study ITT population were excluded for one of the following reasons: no primary endpoint assessment at both test sites (one subject); lost to follow-up prior to Day 28; or photographs not taken at both test sites on Day 28. The median age of subjects was 31 years, range 1-62 years. 14% were ≤6 years of age and 15% 7-18 years of age. 66% of the subjects were male. Similar areas were treated at the two sites: 1.7 ± 0.8% body surface area at ARTISS sites and 1.7 ± 0.7% body</w:t>
      </w:r>
      <w:r w:rsidR="00D12257" w:rsidRPr="00B271B1">
        <w:rPr>
          <w:lang w:val="en-AU"/>
        </w:rPr>
        <w:t xml:space="preserve"> </w:t>
      </w:r>
      <w:r w:rsidRPr="00B271B1">
        <w:rPr>
          <w:lang w:val="en-AU"/>
        </w:rPr>
        <w:t>surface ar</w:t>
      </w:r>
      <w:r w:rsidR="00D12257" w:rsidRPr="00B271B1">
        <w:rPr>
          <w:lang w:val="en-AU"/>
        </w:rPr>
        <w:t>ea at stapled sites. Burn thick</w:t>
      </w:r>
      <w:r w:rsidRPr="00B271B1">
        <w:rPr>
          <w:lang w:val="en-AU"/>
        </w:rPr>
        <w:t xml:space="preserve">ness was full in 77% of subjects and partial in 23%. The most commonly grafted sites were the lower arms and lower legs. </w:t>
      </w:r>
    </w:p>
    <w:p w:rsidR="0027165B" w:rsidRPr="00B271B1" w:rsidRDefault="00425803" w:rsidP="00B91A7A">
      <w:pPr>
        <w:rPr>
          <w:lang w:val="en-AU"/>
        </w:rPr>
      </w:pPr>
      <w:r w:rsidRPr="00B271B1">
        <w:rPr>
          <w:lang w:val="en-AU"/>
        </w:rPr>
        <w:t xml:space="preserve">ARTISS proved to be non-inferior to staples with respect to the primary efficacy endpoint, complete wound closure at Day 28 using a one-sided 97.5% confidence interval on the difference in the proportion of test sites successfully treated. Wound closure was evaluated by a blinded evaluator panel from Day 28 photographs. Results </w:t>
      </w:r>
      <w:r w:rsidR="002C1C7F" w:rsidRPr="00B271B1">
        <w:rPr>
          <w:lang w:val="en-AU"/>
        </w:rPr>
        <w:t xml:space="preserve">for wound closure on Day 28 are </w:t>
      </w:r>
      <w:r w:rsidRPr="00B271B1">
        <w:rPr>
          <w:lang w:val="en-AU"/>
        </w:rPr>
        <w:t xml:space="preserve">given in </w:t>
      </w:r>
      <w:r w:rsidR="000C32FB" w:rsidRPr="00B271B1">
        <w:rPr>
          <w:lang w:val="en-AU"/>
        </w:rPr>
        <w:t>T</w:t>
      </w:r>
      <w:r w:rsidR="002C1C7F" w:rsidRPr="00B271B1">
        <w:rPr>
          <w:lang w:val="en-AU"/>
        </w:rPr>
        <w:t xml:space="preserve">able </w:t>
      </w:r>
      <w:r w:rsidR="002E3AB1">
        <w:rPr>
          <w:lang w:val="en-AU"/>
        </w:rPr>
        <w:t>1</w:t>
      </w:r>
      <w:r w:rsidR="002E3AB1" w:rsidRPr="00B271B1">
        <w:rPr>
          <w:lang w:val="en-AU"/>
        </w:rPr>
        <w:t xml:space="preserve"> </w:t>
      </w:r>
      <w:r w:rsidRPr="00B271B1">
        <w:rPr>
          <w:lang w:val="en-AU"/>
        </w:rPr>
        <w:t>below:</w:t>
      </w:r>
    </w:p>
    <w:p w:rsidR="00653C99" w:rsidRPr="00B271B1" w:rsidRDefault="00653C99" w:rsidP="00B91A7A">
      <w:pPr>
        <w:pStyle w:val="Tabletitle"/>
      </w:pPr>
      <w:r w:rsidRPr="00B271B1">
        <w:t xml:space="preserve">Table </w:t>
      </w:r>
      <w:r w:rsidR="007F765C">
        <w:t>1</w:t>
      </w:r>
      <w:r w:rsidRPr="00B271B1">
        <w:t>: Test Sites with Complete Wound Closure on Day 28</w:t>
      </w:r>
    </w:p>
    <w:tbl>
      <w:tblPr>
        <w:tblW w:w="9131"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3"/>
        <w:gridCol w:w="1559"/>
        <w:gridCol w:w="1559"/>
        <w:gridCol w:w="1985"/>
        <w:gridCol w:w="1985"/>
      </w:tblGrid>
      <w:tr w:rsidR="00542A11" w:rsidRPr="00B271B1" w:rsidTr="00AA0A2F">
        <w:trPr>
          <w:cantSplit/>
          <w:trHeight w:val="845"/>
          <w:tblHeader/>
        </w:trPr>
        <w:tc>
          <w:tcPr>
            <w:tcW w:w="2043" w:type="dxa"/>
            <w:vAlign w:val="center"/>
          </w:tcPr>
          <w:p w:rsidR="00542A11" w:rsidRPr="00B271B1" w:rsidRDefault="00542A11" w:rsidP="007F7F2B">
            <w:pPr>
              <w:spacing w:after="0" w:line="240" w:lineRule="auto"/>
              <w:rPr>
                <w:color w:val="000000" w:themeColor="text1"/>
                <w:szCs w:val="24"/>
                <w:lang w:val="en-AU"/>
              </w:rPr>
            </w:pPr>
          </w:p>
        </w:tc>
        <w:tc>
          <w:tcPr>
            <w:tcW w:w="1559" w:type="dxa"/>
            <w:vAlign w:val="center"/>
          </w:tcPr>
          <w:p w:rsidR="00542A11" w:rsidRPr="00B271B1" w:rsidRDefault="00542A11" w:rsidP="007F765C">
            <w:pPr>
              <w:spacing w:after="0" w:line="240" w:lineRule="auto"/>
              <w:jc w:val="center"/>
              <w:rPr>
                <w:b/>
                <w:color w:val="000000" w:themeColor="text1"/>
                <w:szCs w:val="24"/>
                <w:lang w:val="en-AU"/>
              </w:rPr>
            </w:pPr>
            <w:r w:rsidRPr="00B271B1">
              <w:rPr>
                <w:b/>
                <w:color w:val="000000" w:themeColor="text1"/>
                <w:szCs w:val="24"/>
                <w:lang w:val="en-AU"/>
              </w:rPr>
              <w:t>ARTISS</w:t>
            </w:r>
          </w:p>
        </w:tc>
        <w:tc>
          <w:tcPr>
            <w:tcW w:w="1559" w:type="dxa"/>
            <w:vAlign w:val="center"/>
          </w:tcPr>
          <w:p w:rsidR="00542A11" w:rsidRPr="00B271B1" w:rsidRDefault="00542A11" w:rsidP="007F765C">
            <w:pPr>
              <w:spacing w:after="0" w:line="240" w:lineRule="auto"/>
              <w:jc w:val="center"/>
              <w:rPr>
                <w:b/>
                <w:color w:val="000000" w:themeColor="text1"/>
                <w:szCs w:val="24"/>
                <w:lang w:val="en-AU"/>
              </w:rPr>
            </w:pPr>
            <w:r w:rsidRPr="00B271B1">
              <w:rPr>
                <w:b/>
                <w:color w:val="000000" w:themeColor="text1"/>
                <w:szCs w:val="24"/>
                <w:lang w:val="en-AU"/>
              </w:rPr>
              <w:t>Staples (control)</w:t>
            </w:r>
          </w:p>
        </w:tc>
        <w:tc>
          <w:tcPr>
            <w:tcW w:w="1985" w:type="dxa"/>
            <w:vAlign w:val="center"/>
          </w:tcPr>
          <w:p w:rsidR="00542A11" w:rsidRPr="00B271B1" w:rsidRDefault="00542A11" w:rsidP="007F765C">
            <w:pPr>
              <w:spacing w:after="0" w:line="240" w:lineRule="auto"/>
              <w:jc w:val="center"/>
              <w:rPr>
                <w:b/>
                <w:color w:val="000000" w:themeColor="text1"/>
                <w:szCs w:val="24"/>
                <w:lang w:val="en-AU"/>
              </w:rPr>
            </w:pPr>
            <w:r w:rsidRPr="00B271B1">
              <w:rPr>
                <w:b/>
                <w:color w:val="000000" w:themeColor="text1"/>
                <w:szCs w:val="24"/>
                <w:lang w:val="en-AU"/>
              </w:rPr>
              <w:t>Difference</w:t>
            </w:r>
          </w:p>
          <w:p w:rsidR="00542A11" w:rsidRPr="00B271B1" w:rsidRDefault="00542A11" w:rsidP="007F765C">
            <w:pPr>
              <w:spacing w:after="0" w:line="240" w:lineRule="auto"/>
              <w:jc w:val="center"/>
              <w:rPr>
                <w:color w:val="000000" w:themeColor="text1"/>
                <w:szCs w:val="24"/>
                <w:lang w:val="en-AU"/>
              </w:rPr>
            </w:pPr>
            <w:r w:rsidRPr="00B271B1">
              <w:rPr>
                <w:b/>
                <w:color w:val="000000" w:themeColor="text1"/>
                <w:szCs w:val="24"/>
                <w:lang w:val="en-AU"/>
              </w:rPr>
              <w:t>[95% CI]</w:t>
            </w:r>
          </w:p>
        </w:tc>
        <w:tc>
          <w:tcPr>
            <w:tcW w:w="1985" w:type="dxa"/>
            <w:vAlign w:val="center"/>
          </w:tcPr>
          <w:p w:rsidR="00542A11" w:rsidRPr="00B271B1" w:rsidRDefault="00C66383" w:rsidP="007F765C">
            <w:pPr>
              <w:spacing w:after="0" w:line="240" w:lineRule="auto"/>
              <w:jc w:val="center"/>
              <w:rPr>
                <w:b/>
                <w:color w:val="000000" w:themeColor="text1"/>
                <w:szCs w:val="24"/>
                <w:lang w:val="en-AU"/>
              </w:rPr>
            </w:pPr>
            <w:r w:rsidRPr="00B271B1">
              <w:rPr>
                <w:b/>
                <w:color w:val="000000" w:themeColor="text1"/>
                <w:szCs w:val="24"/>
                <w:lang w:val="en-AU"/>
              </w:rPr>
              <w:t>Difference</w:t>
            </w:r>
          </w:p>
          <w:p w:rsidR="00C66383" w:rsidRPr="00B271B1" w:rsidRDefault="00C66383" w:rsidP="007F765C">
            <w:pPr>
              <w:spacing w:after="0" w:line="240" w:lineRule="auto"/>
              <w:jc w:val="center"/>
              <w:rPr>
                <w:b/>
                <w:color w:val="000000" w:themeColor="text1"/>
                <w:szCs w:val="24"/>
                <w:lang w:val="en-AU"/>
              </w:rPr>
            </w:pPr>
            <w:r w:rsidRPr="00B271B1">
              <w:rPr>
                <w:b/>
                <w:color w:val="000000" w:themeColor="text1"/>
                <w:szCs w:val="24"/>
                <w:lang w:val="en-AU"/>
              </w:rPr>
              <w:t>[97.5% CI]</w:t>
            </w:r>
            <w:r w:rsidRPr="00B271B1">
              <w:rPr>
                <w:b/>
                <w:color w:val="000000" w:themeColor="text1"/>
                <w:szCs w:val="24"/>
                <w:vertAlign w:val="superscript"/>
                <w:lang w:val="en-AU"/>
              </w:rPr>
              <w:t>1</w:t>
            </w:r>
          </w:p>
        </w:tc>
      </w:tr>
      <w:tr w:rsidR="00542A11" w:rsidRPr="00B271B1" w:rsidTr="007F765C">
        <w:trPr>
          <w:trHeight w:val="843"/>
        </w:trPr>
        <w:tc>
          <w:tcPr>
            <w:tcW w:w="2043" w:type="dxa"/>
            <w:vAlign w:val="center"/>
          </w:tcPr>
          <w:p w:rsidR="00542A11" w:rsidRPr="00B271B1" w:rsidRDefault="00542A11" w:rsidP="007F7F2B">
            <w:pPr>
              <w:spacing w:after="0" w:line="240" w:lineRule="auto"/>
              <w:rPr>
                <w:color w:val="000000" w:themeColor="text1"/>
                <w:szCs w:val="24"/>
                <w:lang w:val="en-AU"/>
              </w:rPr>
            </w:pPr>
            <w:r w:rsidRPr="00B271B1">
              <w:rPr>
                <w:color w:val="000000" w:themeColor="text1"/>
                <w:szCs w:val="24"/>
                <w:lang w:val="en-AU"/>
              </w:rPr>
              <w:t>Modified Intent to Treat Analysis</w:t>
            </w:r>
          </w:p>
        </w:tc>
        <w:tc>
          <w:tcPr>
            <w:tcW w:w="1559" w:type="dxa"/>
            <w:vAlign w:val="center"/>
          </w:tcPr>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55 of 127 (43.3%)</w:t>
            </w:r>
          </w:p>
        </w:tc>
        <w:tc>
          <w:tcPr>
            <w:tcW w:w="1559" w:type="dxa"/>
            <w:vAlign w:val="center"/>
          </w:tcPr>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47 of 127 (37.0%)</w:t>
            </w:r>
          </w:p>
        </w:tc>
        <w:tc>
          <w:tcPr>
            <w:tcW w:w="1985" w:type="dxa"/>
            <w:vAlign w:val="center"/>
          </w:tcPr>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6.3%</w:t>
            </w:r>
          </w:p>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[-2.9%, 15.5%]</w:t>
            </w:r>
          </w:p>
        </w:tc>
        <w:tc>
          <w:tcPr>
            <w:tcW w:w="1985" w:type="dxa"/>
            <w:vAlign w:val="center"/>
          </w:tcPr>
          <w:p w:rsidR="007F3058" w:rsidRPr="00B271B1" w:rsidRDefault="007F3058" w:rsidP="007F765C">
            <w:pPr>
              <w:spacing w:after="0" w:line="240" w:lineRule="auto"/>
              <w:jc w:val="center"/>
              <w:rPr>
                <w:color w:val="000000" w:themeColor="text1"/>
                <w:szCs w:val="24"/>
                <w:lang w:val="en-AU"/>
              </w:rPr>
            </w:pPr>
            <w:r w:rsidRPr="00B271B1">
              <w:rPr>
                <w:color w:val="000000" w:themeColor="text1"/>
                <w:szCs w:val="24"/>
                <w:lang w:val="en-AU"/>
              </w:rPr>
              <w:t>6.3%</w:t>
            </w:r>
          </w:p>
          <w:p w:rsidR="00542A11" w:rsidRPr="00B271B1" w:rsidRDefault="00C44C51" w:rsidP="007F765C">
            <w:pPr>
              <w:spacing w:after="0" w:line="240" w:lineRule="auto"/>
              <w:jc w:val="center"/>
              <w:rPr>
                <w:color w:val="000000" w:themeColor="text1"/>
                <w:szCs w:val="24"/>
                <w:lang w:val="en-AU"/>
              </w:rPr>
            </w:pPr>
            <w:r w:rsidRPr="00B271B1">
              <w:rPr>
                <w:color w:val="000000" w:themeColor="text1"/>
                <w:szCs w:val="24"/>
                <w:lang w:val="en-AU"/>
              </w:rPr>
              <w:t>[-</w:t>
            </w:r>
            <w:r w:rsidR="007F3058" w:rsidRPr="00B271B1">
              <w:rPr>
                <w:color w:val="000000" w:themeColor="text1"/>
                <w:szCs w:val="24"/>
                <w:lang w:val="en-AU"/>
              </w:rPr>
              <w:t>2</w:t>
            </w:r>
            <w:r w:rsidRPr="00B271B1">
              <w:rPr>
                <w:color w:val="000000" w:themeColor="text1"/>
                <w:szCs w:val="24"/>
                <w:lang w:val="en-AU"/>
              </w:rPr>
              <w:t>.</w:t>
            </w:r>
            <w:r w:rsidR="007F3058" w:rsidRPr="00B271B1">
              <w:rPr>
                <w:color w:val="000000" w:themeColor="text1"/>
                <w:szCs w:val="24"/>
                <w:lang w:val="en-AU"/>
              </w:rPr>
              <w:t>9</w:t>
            </w:r>
            <w:r w:rsidRPr="00B271B1">
              <w:rPr>
                <w:color w:val="000000" w:themeColor="text1"/>
                <w:szCs w:val="24"/>
                <w:lang w:val="en-AU"/>
              </w:rPr>
              <w:t>%</w:t>
            </w:r>
            <w:r w:rsidR="00C66383" w:rsidRPr="00B271B1">
              <w:rPr>
                <w:color w:val="000000" w:themeColor="text1"/>
                <w:szCs w:val="24"/>
                <w:lang w:val="en-AU"/>
              </w:rPr>
              <w:t>, -]</w:t>
            </w:r>
          </w:p>
        </w:tc>
      </w:tr>
      <w:tr w:rsidR="00542A11" w:rsidRPr="00B271B1" w:rsidTr="007F765C">
        <w:trPr>
          <w:trHeight w:val="983"/>
        </w:trPr>
        <w:tc>
          <w:tcPr>
            <w:tcW w:w="2043" w:type="dxa"/>
            <w:vAlign w:val="center"/>
          </w:tcPr>
          <w:p w:rsidR="00542A11" w:rsidRPr="00B271B1" w:rsidRDefault="00542A11" w:rsidP="007F7F2B">
            <w:pPr>
              <w:spacing w:after="0" w:line="240" w:lineRule="auto"/>
              <w:rPr>
                <w:color w:val="000000" w:themeColor="text1"/>
                <w:szCs w:val="24"/>
                <w:lang w:val="en-AU"/>
              </w:rPr>
            </w:pPr>
            <w:r w:rsidRPr="00B271B1">
              <w:rPr>
                <w:color w:val="000000" w:themeColor="text1"/>
                <w:szCs w:val="24"/>
                <w:lang w:val="en-AU"/>
              </w:rPr>
              <w:t>Per Protocol Analysis</w:t>
            </w:r>
          </w:p>
        </w:tc>
        <w:tc>
          <w:tcPr>
            <w:tcW w:w="1559" w:type="dxa"/>
            <w:vAlign w:val="center"/>
          </w:tcPr>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48 of 106 (45.3%)</w:t>
            </w:r>
          </w:p>
        </w:tc>
        <w:tc>
          <w:tcPr>
            <w:tcW w:w="1559" w:type="dxa"/>
            <w:vAlign w:val="center"/>
          </w:tcPr>
          <w:p w:rsidR="00542A11" w:rsidRPr="00B271B1" w:rsidRDefault="00542A11" w:rsidP="007F765C">
            <w:pPr>
              <w:spacing w:after="0" w:line="240" w:lineRule="auto"/>
              <w:jc w:val="center"/>
              <w:rPr>
                <w:color w:val="000000" w:themeColor="text1"/>
                <w:szCs w:val="24"/>
                <w:lang w:val="en-AU"/>
              </w:rPr>
            </w:pPr>
            <w:r w:rsidRPr="00B271B1">
              <w:rPr>
                <w:color w:val="000000" w:themeColor="text1"/>
                <w:szCs w:val="24"/>
                <w:lang w:val="en-AU"/>
              </w:rPr>
              <w:t>42 of 106 (39.6%)</w:t>
            </w:r>
          </w:p>
        </w:tc>
        <w:tc>
          <w:tcPr>
            <w:tcW w:w="1985" w:type="dxa"/>
            <w:vAlign w:val="center"/>
          </w:tcPr>
          <w:p w:rsidR="00542A11" w:rsidRPr="00B271B1" w:rsidRDefault="007F3058" w:rsidP="007F765C">
            <w:pPr>
              <w:spacing w:after="0" w:line="240" w:lineRule="auto"/>
              <w:jc w:val="center"/>
              <w:rPr>
                <w:color w:val="000000" w:themeColor="text1"/>
                <w:szCs w:val="24"/>
                <w:highlight w:val="yellow"/>
                <w:lang w:val="en-AU"/>
              </w:rPr>
            </w:pPr>
            <w:r w:rsidRPr="00B271B1">
              <w:rPr>
                <w:color w:val="000000" w:themeColor="text1"/>
                <w:szCs w:val="24"/>
                <w:lang w:val="en-AU"/>
              </w:rPr>
              <w:t>5.7%</w:t>
            </w:r>
          </w:p>
        </w:tc>
        <w:tc>
          <w:tcPr>
            <w:tcW w:w="1985" w:type="dxa"/>
            <w:vAlign w:val="center"/>
          </w:tcPr>
          <w:p w:rsidR="007F3058" w:rsidRPr="00B271B1" w:rsidRDefault="007F3058" w:rsidP="007F765C">
            <w:pPr>
              <w:spacing w:after="0" w:line="240" w:lineRule="auto"/>
              <w:jc w:val="center"/>
              <w:rPr>
                <w:color w:val="000000" w:themeColor="text1"/>
                <w:szCs w:val="24"/>
                <w:lang w:val="en-AU"/>
              </w:rPr>
            </w:pPr>
            <w:r w:rsidRPr="00B271B1">
              <w:rPr>
                <w:color w:val="000000" w:themeColor="text1"/>
                <w:szCs w:val="24"/>
                <w:lang w:val="en-AU"/>
              </w:rPr>
              <w:t>5.7%</w:t>
            </w:r>
          </w:p>
          <w:p w:rsidR="00542A11" w:rsidRPr="00B271B1" w:rsidRDefault="00C44C51" w:rsidP="007F765C">
            <w:pPr>
              <w:spacing w:after="0" w:line="240" w:lineRule="auto"/>
              <w:jc w:val="center"/>
              <w:rPr>
                <w:color w:val="000000" w:themeColor="text1"/>
                <w:szCs w:val="24"/>
                <w:lang w:val="en-AU"/>
              </w:rPr>
            </w:pPr>
            <w:r w:rsidRPr="00B271B1">
              <w:rPr>
                <w:color w:val="000000" w:themeColor="text1"/>
                <w:szCs w:val="24"/>
                <w:lang w:val="en-AU"/>
              </w:rPr>
              <w:t>[-</w:t>
            </w:r>
            <w:r w:rsidR="00F86D13" w:rsidRPr="00B271B1">
              <w:rPr>
                <w:color w:val="000000" w:themeColor="text1"/>
                <w:szCs w:val="24"/>
                <w:lang w:val="en-AU"/>
              </w:rPr>
              <w:t>4</w:t>
            </w:r>
            <w:r w:rsidRPr="00B271B1">
              <w:rPr>
                <w:color w:val="000000" w:themeColor="text1"/>
                <w:szCs w:val="24"/>
                <w:lang w:val="en-AU"/>
              </w:rPr>
              <w:t>.</w:t>
            </w:r>
            <w:r w:rsidR="00F86D13" w:rsidRPr="00B271B1">
              <w:rPr>
                <w:color w:val="000000" w:themeColor="text1"/>
                <w:szCs w:val="24"/>
                <w:lang w:val="en-AU"/>
              </w:rPr>
              <w:t>1</w:t>
            </w:r>
            <w:r w:rsidRPr="00B271B1">
              <w:rPr>
                <w:color w:val="000000" w:themeColor="text1"/>
                <w:szCs w:val="24"/>
                <w:lang w:val="en-AU"/>
              </w:rPr>
              <w:t>%</w:t>
            </w:r>
            <w:r w:rsidR="00F86D13" w:rsidRPr="00B271B1">
              <w:rPr>
                <w:color w:val="000000" w:themeColor="text1"/>
                <w:szCs w:val="24"/>
                <w:lang w:val="en-AU"/>
              </w:rPr>
              <w:t>, -]</w:t>
            </w:r>
          </w:p>
        </w:tc>
      </w:tr>
    </w:tbl>
    <w:p w:rsidR="005D6442" w:rsidRPr="00B271B1" w:rsidRDefault="0030296B" w:rsidP="005D6442">
      <w:pPr>
        <w:spacing w:after="0" w:line="240" w:lineRule="auto"/>
        <w:rPr>
          <w:color w:val="000000" w:themeColor="text1"/>
          <w:sz w:val="20"/>
          <w:szCs w:val="20"/>
          <w:lang w:val="en-AU"/>
        </w:rPr>
      </w:pPr>
      <w:r w:rsidRPr="00B271B1">
        <w:rPr>
          <w:color w:val="000000" w:themeColor="text1"/>
          <w:szCs w:val="24"/>
          <w:lang w:val="en-AU"/>
        </w:rPr>
        <w:tab/>
      </w:r>
      <w:r w:rsidR="00C66383" w:rsidRPr="00B271B1">
        <w:rPr>
          <w:color w:val="000000" w:themeColor="text1"/>
          <w:sz w:val="20"/>
          <w:szCs w:val="20"/>
          <w:vertAlign w:val="superscript"/>
          <w:lang w:val="en-AU"/>
        </w:rPr>
        <w:t>1</w:t>
      </w:r>
      <w:r w:rsidR="00C66383" w:rsidRPr="00B271B1">
        <w:rPr>
          <w:color w:val="000000" w:themeColor="text1"/>
          <w:sz w:val="20"/>
          <w:szCs w:val="20"/>
          <w:lang w:val="en-AU"/>
        </w:rPr>
        <w:t xml:space="preserve"> The non-inferiority criterion was a lower limit of the 97.5% confidence interval of th</w:t>
      </w:r>
      <w:r w:rsidR="00F86D13" w:rsidRPr="00B271B1">
        <w:rPr>
          <w:color w:val="000000" w:themeColor="text1"/>
          <w:sz w:val="20"/>
          <w:szCs w:val="20"/>
          <w:lang w:val="en-AU"/>
        </w:rPr>
        <w:t xml:space="preserve">e difference </w:t>
      </w:r>
    </w:p>
    <w:p w:rsidR="00C66383" w:rsidRPr="00B271B1" w:rsidRDefault="005D6442" w:rsidP="005D6442">
      <w:pPr>
        <w:spacing w:after="0" w:line="240" w:lineRule="auto"/>
        <w:rPr>
          <w:color w:val="000000" w:themeColor="text1"/>
          <w:sz w:val="20"/>
          <w:szCs w:val="20"/>
          <w:lang w:val="en-AU"/>
        </w:rPr>
      </w:pPr>
      <w:r w:rsidRPr="00B271B1">
        <w:rPr>
          <w:color w:val="000000" w:themeColor="text1"/>
          <w:sz w:val="20"/>
          <w:szCs w:val="20"/>
          <w:lang w:val="en-AU"/>
        </w:rPr>
        <w:tab/>
      </w:r>
      <w:r w:rsidR="00F86D13" w:rsidRPr="00B271B1">
        <w:rPr>
          <w:color w:val="000000" w:themeColor="text1"/>
          <w:sz w:val="20"/>
          <w:szCs w:val="20"/>
          <w:lang w:val="en-AU"/>
        </w:rPr>
        <w:t>between treatments</w:t>
      </w:r>
      <w:r w:rsidRPr="00B271B1">
        <w:rPr>
          <w:color w:val="000000" w:themeColor="text1"/>
          <w:sz w:val="20"/>
          <w:szCs w:val="20"/>
          <w:lang w:val="en-AU"/>
        </w:rPr>
        <w:t> </w:t>
      </w:r>
      <w:r w:rsidR="00C66383" w:rsidRPr="00B271B1">
        <w:rPr>
          <w:color w:val="000000" w:themeColor="text1"/>
          <w:sz w:val="20"/>
          <w:szCs w:val="20"/>
          <w:lang w:val="en-AU"/>
        </w:rPr>
        <w:t>&gt;-</w:t>
      </w:r>
      <w:r w:rsidRPr="00B271B1">
        <w:rPr>
          <w:color w:val="000000" w:themeColor="text1"/>
          <w:sz w:val="20"/>
          <w:szCs w:val="20"/>
          <w:lang w:val="en-AU"/>
        </w:rPr>
        <w:t>10%</w:t>
      </w:r>
      <w:r w:rsidR="00C66383" w:rsidRPr="00B271B1">
        <w:rPr>
          <w:color w:val="000000" w:themeColor="text1"/>
          <w:sz w:val="20"/>
          <w:szCs w:val="20"/>
          <w:lang w:val="en-AU"/>
        </w:rPr>
        <w:t>.</w:t>
      </w:r>
    </w:p>
    <w:p w:rsidR="005D6442" w:rsidRPr="00B271B1" w:rsidRDefault="005D6442" w:rsidP="00187E56">
      <w:pPr>
        <w:rPr>
          <w:color w:val="000000" w:themeColor="text1"/>
          <w:szCs w:val="24"/>
          <w:lang w:val="en-AU"/>
        </w:rPr>
      </w:pPr>
    </w:p>
    <w:p w:rsidR="00187E56" w:rsidRPr="00B271B1" w:rsidRDefault="00D43096" w:rsidP="00B91A7A">
      <w:pPr>
        <w:rPr>
          <w:lang w:val="en-AU"/>
        </w:rPr>
      </w:pPr>
      <w:r w:rsidRPr="00B271B1">
        <w:rPr>
          <w:lang w:val="en-AU"/>
        </w:rPr>
        <w:t xml:space="preserve">There was support from the secondary endpoints which were evaluated by the investigator (Table </w:t>
      </w:r>
      <w:r w:rsidR="002E3AB1">
        <w:rPr>
          <w:lang w:val="en-AU"/>
        </w:rPr>
        <w:t>2</w:t>
      </w:r>
      <w:r w:rsidRPr="00B271B1">
        <w:rPr>
          <w:lang w:val="en-AU"/>
        </w:rPr>
        <w:t>).</w:t>
      </w:r>
    </w:p>
    <w:p w:rsidR="00B82A64" w:rsidRPr="00B271B1" w:rsidRDefault="00D65002" w:rsidP="00B91A7A">
      <w:pPr>
        <w:pStyle w:val="Tabletitle"/>
      </w:pPr>
      <w:r w:rsidRPr="00B271B1">
        <w:t xml:space="preserve">Table </w:t>
      </w:r>
      <w:r w:rsidR="007F765C">
        <w:t>2</w:t>
      </w:r>
      <w:r w:rsidRPr="00B271B1">
        <w:t>: Summary of Secondary Efficacy Endpoints – Categorical Variables / Intent-to-Treat</w:t>
      </w:r>
    </w:p>
    <w:tbl>
      <w:tblPr>
        <w:tblStyle w:val="TableGrid"/>
        <w:tblW w:w="4710" w:type="pct"/>
        <w:jc w:val="center"/>
        <w:tblLook w:val="04A0"/>
      </w:tblPr>
      <w:tblGrid>
        <w:gridCol w:w="3648"/>
        <w:gridCol w:w="1847"/>
        <w:gridCol w:w="1777"/>
        <w:gridCol w:w="2011"/>
      </w:tblGrid>
      <w:tr w:rsidR="007F7F2B" w:rsidRPr="00B271B1" w:rsidTr="00AA0A2F">
        <w:trPr>
          <w:cantSplit/>
          <w:trHeight w:val="861"/>
          <w:tblHeader/>
          <w:jc w:val="center"/>
        </w:trPr>
        <w:tc>
          <w:tcPr>
            <w:tcW w:w="1965" w:type="pct"/>
            <w:vMerge w:val="restart"/>
            <w:vAlign w:val="center"/>
          </w:tcPr>
          <w:p w:rsidR="007F7F2B" w:rsidRPr="00B271B1" w:rsidRDefault="007F7F2B" w:rsidP="007F7F2B">
            <w:pPr>
              <w:spacing w:after="0" w:line="240" w:lineRule="auto"/>
              <w:rPr>
                <w:color w:val="000000" w:themeColor="text1"/>
                <w:szCs w:val="24"/>
                <w:lang w:val="en-AU"/>
              </w:rPr>
            </w:pPr>
          </w:p>
        </w:tc>
        <w:tc>
          <w:tcPr>
            <w:tcW w:w="995" w:type="pct"/>
            <w:vAlign w:val="center"/>
          </w:tcPr>
          <w:p w:rsidR="007F7F2B" w:rsidRPr="00B271B1" w:rsidRDefault="007F7F2B" w:rsidP="007F765C">
            <w:pPr>
              <w:spacing w:after="0" w:line="240" w:lineRule="auto"/>
              <w:jc w:val="center"/>
              <w:rPr>
                <w:b/>
                <w:color w:val="000000" w:themeColor="text1"/>
                <w:szCs w:val="24"/>
                <w:lang w:val="en-AU"/>
              </w:rPr>
            </w:pPr>
            <w:r w:rsidRPr="00B271B1">
              <w:rPr>
                <w:b/>
                <w:color w:val="000000" w:themeColor="text1"/>
                <w:szCs w:val="24"/>
                <w:lang w:val="en-AU"/>
              </w:rPr>
              <w:t>ARTISS</w:t>
            </w:r>
          </w:p>
        </w:tc>
        <w:tc>
          <w:tcPr>
            <w:tcW w:w="957" w:type="pct"/>
            <w:vAlign w:val="center"/>
          </w:tcPr>
          <w:p w:rsidR="007F7F2B" w:rsidRPr="00B271B1" w:rsidRDefault="007F7F2B" w:rsidP="007F765C">
            <w:pPr>
              <w:spacing w:after="0" w:line="240" w:lineRule="auto"/>
              <w:jc w:val="center"/>
              <w:rPr>
                <w:b/>
                <w:color w:val="000000" w:themeColor="text1"/>
                <w:szCs w:val="24"/>
                <w:lang w:val="en-AU"/>
              </w:rPr>
            </w:pPr>
            <w:r w:rsidRPr="00B271B1">
              <w:rPr>
                <w:b/>
                <w:color w:val="000000" w:themeColor="text1"/>
                <w:szCs w:val="24"/>
                <w:lang w:val="en-AU"/>
              </w:rPr>
              <w:t>Staples</w:t>
            </w:r>
          </w:p>
        </w:tc>
        <w:tc>
          <w:tcPr>
            <w:tcW w:w="1084" w:type="pct"/>
            <w:vAlign w:val="center"/>
          </w:tcPr>
          <w:p w:rsidR="007F7F2B" w:rsidRPr="00B271B1" w:rsidRDefault="007F7F2B" w:rsidP="007F765C">
            <w:pPr>
              <w:spacing w:after="0" w:line="240" w:lineRule="auto"/>
              <w:jc w:val="center"/>
              <w:rPr>
                <w:b/>
                <w:color w:val="000000" w:themeColor="text1"/>
                <w:szCs w:val="24"/>
                <w:lang w:val="en-AU"/>
              </w:rPr>
            </w:pPr>
            <w:r w:rsidRPr="00B271B1">
              <w:rPr>
                <w:b/>
                <w:color w:val="000000" w:themeColor="text1"/>
                <w:szCs w:val="24"/>
                <w:lang w:val="en-AU"/>
              </w:rPr>
              <w:t>Difference</w:t>
            </w:r>
          </w:p>
          <w:p w:rsidR="007F7F2B" w:rsidRPr="00B271B1" w:rsidRDefault="007F7F2B" w:rsidP="007F765C">
            <w:pPr>
              <w:spacing w:after="0" w:line="240" w:lineRule="auto"/>
              <w:jc w:val="center"/>
              <w:rPr>
                <w:color w:val="000000" w:themeColor="text1"/>
                <w:szCs w:val="24"/>
                <w:lang w:val="en-AU"/>
              </w:rPr>
            </w:pPr>
            <w:r w:rsidRPr="00B271B1">
              <w:rPr>
                <w:b/>
                <w:color w:val="000000" w:themeColor="text1"/>
                <w:szCs w:val="24"/>
                <w:lang w:val="en-AU"/>
              </w:rPr>
              <w:t>[95% CI]</w:t>
            </w:r>
          </w:p>
        </w:tc>
      </w:tr>
      <w:tr w:rsidR="007F7F2B" w:rsidRPr="00B271B1" w:rsidTr="00AA0A2F">
        <w:trPr>
          <w:cantSplit/>
          <w:trHeight w:val="713"/>
          <w:tblHeader/>
          <w:jc w:val="center"/>
        </w:trPr>
        <w:tc>
          <w:tcPr>
            <w:tcW w:w="1965" w:type="pct"/>
            <w:vMerge/>
            <w:vAlign w:val="center"/>
          </w:tcPr>
          <w:p w:rsidR="007F7F2B" w:rsidRPr="00B271B1" w:rsidRDefault="007F7F2B" w:rsidP="007F7F2B">
            <w:pPr>
              <w:spacing w:after="0" w:line="240" w:lineRule="auto"/>
              <w:rPr>
                <w:color w:val="000000" w:themeColor="text1"/>
                <w:szCs w:val="24"/>
                <w:lang w:val="en-AU"/>
              </w:rPr>
            </w:pPr>
          </w:p>
        </w:tc>
        <w:tc>
          <w:tcPr>
            <w:tcW w:w="995" w:type="pct"/>
            <w:vAlign w:val="center"/>
          </w:tcPr>
          <w:p w:rsidR="007F7F2B" w:rsidRPr="00B271B1" w:rsidRDefault="007F7F2B" w:rsidP="007F765C">
            <w:pPr>
              <w:spacing w:after="0" w:line="240" w:lineRule="auto"/>
              <w:jc w:val="center"/>
              <w:rPr>
                <w:color w:val="000000" w:themeColor="text1"/>
                <w:szCs w:val="24"/>
                <w:lang w:val="en-AU"/>
              </w:rPr>
            </w:pPr>
            <w:r w:rsidRPr="00B271B1">
              <w:rPr>
                <w:color w:val="000000" w:themeColor="text1"/>
                <w:szCs w:val="24"/>
                <w:lang w:val="en-AU"/>
              </w:rPr>
              <w:t>[n of N (%)]</w:t>
            </w:r>
          </w:p>
        </w:tc>
        <w:tc>
          <w:tcPr>
            <w:tcW w:w="957" w:type="pct"/>
            <w:vAlign w:val="center"/>
          </w:tcPr>
          <w:p w:rsidR="007F7F2B" w:rsidRPr="00B271B1" w:rsidRDefault="007F7F2B" w:rsidP="007F765C">
            <w:pPr>
              <w:spacing w:after="0" w:line="240" w:lineRule="auto"/>
              <w:jc w:val="center"/>
              <w:rPr>
                <w:color w:val="000000" w:themeColor="text1"/>
                <w:szCs w:val="24"/>
                <w:lang w:val="en-AU"/>
              </w:rPr>
            </w:pPr>
            <w:r w:rsidRPr="00B271B1">
              <w:rPr>
                <w:color w:val="000000" w:themeColor="text1"/>
                <w:szCs w:val="24"/>
                <w:lang w:val="en-AU"/>
              </w:rPr>
              <w:t>[n of N (%)]</w:t>
            </w:r>
          </w:p>
        </w:tc>
        <w:tc>
          <w:tcPr>
            <w:tcW w:w="1084" w:type="pct"/>
            <w:vAlign w:val="center"/>
          </w:tcPr>
          <w:p w:rsidR="007F7F2B" w:rsidRPr="00B271B1" w:rsidRDefault="007F7F2B" w:rsidP="007F765C">
            <w:pPr>
              <w:spacing w:after="0" w:line="240" w:lineRule="auto"/>
              <w:jc w:val="center"/>
              <w:rPr>
                <w:b/>
                <w:color w:val="000000" w:themeColor="text1"/>
                <w:szCs w:val="24"/>
                <w:lang w:val="en-AU"/>
              </w:rPr>
            </w:pPr>
          </w:p>
        </w:tc>
      </w:tr>
      <w:tr w:rsidR="00D43096" w:rsidRPr="00B271B1" w:rsidTr="007F765C">
        <w:trPr>
          <w:trHeight w:val="827"/>
          <w:jc w:val="center"/>
        </w:trPr>
        <w:tc>
          <w:tcPr>
            <w:tcW w:w="1965" w:type="pct"/>
            <w:vAlign w:val="center"/>
          </w:tcPr>
          <w:p w:rsidR="00D43096" w:rsidRPr="00B271B1" w:rsidRDefault="00D43096" w:rsidP="007F7F2B">
            <w:pPr>
              <w:spacing w:after="0" w:line="240" w:lineRule="auto"/>
              <w:rPr>
                <w:color w:val="000000" w:themeColor="text1"/>
                <w:szCs w:val="24"/>
                <w:lang w:val="en-AU"/>
              </w:rPr>
            </w:pPr>
            <w:r w:rsidRPr="00B271B1">
              <w:rPr>
                <w:color w:val="000000" w:themeColor="text1"/>
                <w:szCs w:val="24"/>
                <w:lang w:val="en-AU"/>
              </w:rPr>
              <w:lastRenderedPageBreak/>
              <w:t>Presence of Haematoma/</w:t>
            </w:r>
            <w:proofErr w:type="spellStart"/>
            <w:r w:rsidRPr="00B271B1">
              <w:rPr>
                <w:color w:val="000000" w:themeColor="text1"/>
                <w:szCs w:val="24"/>
                <w:lang w:val="en-AU"/>
              </w:rPr>
              <w:t>seroma</w:t>
            </w:r>
            <w:proofErr w:type="spellEnd"/>
            <w:r w:rsidRPr="00B271B1">
              <w:rPr>
                <w:color w:val="000000" w:themeColor="text1"/>
                <w:szCs w:val="24"/>
                <w:lang w:val="en-AU"/>
              </w:rPr>
              <w:t xml:space="preserve"> on Day 1</w:t>
            </w:r>
          </w:p>
        </w:tc>
        <w:tc>
          <w:tcPr>
            <w:tcW w:w="995" w:type="pct"/>
            <w:vAlign w:val="center"/>
          </w:tcPr>
          <w:p w:rsidR="00D43096" w:rsidRPr="00B271B1" w:rsidRDefault="00D43096" w:rsidP="00661F3E">
            <w:pPr>
              <w:spacing w:after="0" w:line="240" w:lineRule="auto"/>
              <w:jc w:val="center"/>
              <w:rPr>
                <w:color w:val="000000" w:themeColor="text1"/>
                <w:szCs w:val="24"/>
                <w:lang w:val="en-AU"/>
              </w:rPr>
            </w:pPr>
            <w:r w:rsidRPr="00B271B1">
              <w:rPr>
                <w:color w:val="000000" w:themeColor="text1"/>
                <w:szCs w:val="24"/>
                <w:lang w:val="en-AU"/>
              </w:rPr>
              <w:t>41 of 138 (29.7%)</w:t>
            </w:r>
          </w:p>
        </w:tc>
        <w:tc>
          <w:tcPr>
            <w:tcW w:w="957" w:type="pct"/>
            <w:vAlign w:val="center"/>
          </w:tcPr>
          <w:p w:rsidR="00D43096" w:rsidRPr="00B271B1" w:rsidRDefault="00D43096" w:rsidP="00661F3E">
            <w:pPr>
              <w:spacing w:after="0" w:line="240" w:lineRule="auto"/>
              <w:jc w:val="center"/>
              <w:rPr>
                <w:color w:val="000000" w:themeColor="text1"/>
                <w:szCs w:val="24"/>
                <w:lang w:val="en-AU"/>
              </w:rPr>
            </w:pPr>
            <w:r w:rsidRPr="00B271B1">
              <w:rPr>
                <w:color w:val="000000" w:themeColor="text1"/>
                <w:szCs w:val="24"/>
                <w:lang w:val="en-AU"/>
              </w:rPr>
              <w:t>86 of 138 (62.3%)</w:t>
            </w:r>
          </w:p>
        </w:tc>
        <w:tc>
          <w:tcPr>
            <w:tcW w:w="1084" w:type="pct"/>
            <w:vAlign w:val="center"/>
          </w:tcPr>
          <w:p w:rsidR="007F1989" w:rsidRPr="00B271B1" w:rsidRDefault="007F1989" w:rsidP="00661F3E">
            <w:pPr>
              <w:spacing w:after="0" w:line="240" w:lineRule="auto"/>
              <w:jc w:val="center"/>
              <w:rPr>
                <w:color w:val="000000" w:themeColor="text1"/>
                <w:szCs w:val="24"/>
                <w:lang w:val="en-AU"/>
              </w:rPr>
            </w:pPr>
            <w:r w:rsidRPr="00B271B1">
              <w:rPr>
                <w:color w:val="000000" w:themeColor="text1"/>
                <w:szCs w:val="24"/>
                <w:lang w:val="en-AU"/>
              </w:rPr>
              <w:t>-32.6%</w:t>
            </w:r>
          </w:p>
          <w:p w:rsidR="00D43096" w:rsidRPr="00B271B1" w:rsidRDefault="008446D3" w:rsidP="00661F3E">
            <w:pPr>
              <w:spacing w:after="0" w:line="240" w:lineRule="auto"/>
              <w:jc w:val="center"/>
              <w:rPr>
                <w:color w:val="000000" w:themeColor="text1"/>
                <w:szCs w:val="24"/>
                <w:lang w:val="en-AU"/>
              </w:rPr>
            </w:pPr>
            <w:r w:rsidRPr="00B271B1">
              <w:rPr>
                <w:color w:val="000000" w:themeColor="text1"/>
                <w:szCs w:val="24"/>
                <w:lang w:val="en-AU"/>
              </w:rPr>
              <w:t>[-41.4%, -23.8%]</w:t>
            </w:r>
          </w:p>
        </w:tc>
      </w:tr>
      <w:tr w:rsidR="00D43096" w:rsidRPr="00B271B1" w:rsidTr="007F765C">
        <w:trPr>
          <w:trHeight w:val="840"/>
          <w:jc w:val="center"/>
        </w:trPr>
        <w:tc>
          <w:tcPr>
            <w:tcW w:w="1965" w:type="pct"/>
            <w:vAlign w:val="center"/>
          </w:tcPr>
          <w:p w:rsidR="00D43096" w:rsidRPr="00B271B1" w:rsidRDefault="00D43096" w:rsidP="007F7F2B">
            <w:pPr>
              <w:spacing w:after="0" w:line="240" w:lineRule="auto"/>
              <w:rPr>
                <w:color w:val="000000" w:themeColor="text1"/>
                <w:szCs w:val="24"/>
                <w:lang w:val="en-AU"/>
              </w:rPr>
            </w:pPr>
            <w:r w:rsidRPr="00B271B1">
              <w:rPr>
                <w:color w:val="000000" w:themeColor="text1"/>
                <w:szCs w:val="24"/>
                <w:lang w:val="en-AU"/>
              </w:rPr>
              <w:t>100% Engraftment on Day 5</w:t>
            </w:r>
          </w:p>
        </w:tc>
        <w:tc>
          <w:tcPr>
            <w:tcW w:w="995" w:type="pct"/>
            <w:vAlign w:val="center"/>
          </w:tcPr>
          <w:p w:rsidR="00D43096" w:rsidRPr="00B271B1" w:rsidRDefault="00D43096" w:rsidP="00661F3E">
            <w:pPr>
              <w:spacing w:after="0" w:line="240" w:lineRule="auto"/>
              <w:jc w:val="center"/>
              <w:rPr>
                <w:color w:val="000000" w:themeColor="text1"/>
                <w:szCs w:val="24"/>
                <w:lang w:val="en-AU"/>
              </w:rPr>
            </w:pPr>
            <w:r w:rsidRPr="00B271B1">
              <w:rPr>
                <w:color w:val="000000" w:themeColor="text1"/>
                <w:szCs w:val="24"/>
                <w:lang w:val="en-AU"/>
              </w:rPr>
              <w:t>86 of 138 (62.3%)</w:t>
            </w:r>
          </w:p>
        </w:tc>
        <w:tc>
          <w:tcPr>
            <w:tcW w:w="957" w:type="pct"/>
            <w:vAlign w:val="center"/>
          </w:tcPr>
          <w:p w:rsidR="00D43096" w:rsidRPr="00B271B1" w:rsidRDefault="00D43096" w:rsidP="00661F3E">
            <w:pPr>
              <w:spacing w:after="0" w:line="240" w:lineRule="auto"/>
              <w:jc w:val="center"/>
              <w:rPr>
                <w:color w:val="000000" w:themeColor="text1"/>
                <w:szCs w:val="24"/>
                <w:lang w:val="en-AU"/>
              </w:rPr>
            </w:pPr>
            <w:r w:rsidRPr="00B271B1">
              <w:rPr>
                <w:color w:val="000000" w:themeColor="text1"/>
                <w:szCs w:val="24"/>
                <w:lang w:val="en-AU"/>
              </w:rPr>
              <w:t>76 of 138 (55.1%)</w:t>
            </w:r>
          </w:p>
        </w:tc>
        <w:tc>
          <w:tcPr>
            <w:tcW w:w="1084" w:type="pct"/>
            <w:vAlign w:val="center"/>
          </w:tcPr>
          <w:p w:rsidR="008446D3" w:rsidRPr="00B271B1" w:rsidRDefault="007F1989" w:rsidP="00661F3E">
            <w:pPr>
              <w:spacing w:after="0" w:line="240" w:lineRule="auto"/>
              <w:jc w:val="center"/>
              <w:rPr>
                <w:color w:val="000000" w:themeColor="text1"/>
                <w:szCs w:val="24"/>
                <w:lang w:val="en-AU"/>
              </w:rPr>
            </w:pPr>
            <w:r w:rsidRPr="00B271B1">
              <w:rPr>
                <w:color w:val="000000" w:themeColor="text1"/>
                <w:szCs w:val="24"/>
                <w:lang w:val="en-AU"/>
              </w:rPr>
              <w:t>7.2%</w:t>
            </w:r>
          </w:p>
          <w:p w:rsidR="00D43096" w:rsidRPr="00B271B1" w:rsidRDefault="008446D3" w:rsidP="00661F3E">
            <w:pPr>
              <w:spacing w:after="0" w:line="240" w:lineRule="auto"/>
              <w:jc w:val="center"/>
              <w:rPr>
                <w:color w:val="000000" w:themeColor="text1"/>
                <w:szCs w:val="24"/>
                <w:lang w:val="en-AU"/>
              </w:rPr>
            </w:pPr>
            <w:r w:rsidRPr="00B271B1">
              <w:rPr>
                <w:color w:val="000000" w:themeColor="text1"/>
                <w:szCs w:val="24"/>
                <w:lang w:val="en-AU"/>
              </w:rPr>
              <w:t>[-0.2%, 14.7%]</w:t>
            </w:r>
          </w:p>
        </w:tc>
      </w:tr>
      <w:tr w:rsidR="00D43096" w:rsidRPr="00B271B1" w:rsidTr="007F765C">
        <w:trPr>
          <w:trHeight w:val="861"/>
          <w:jc w:val="center"/>
        </w:trPr>
        <w:tc>
          <w:tcPr>
            <w:tcW w:w="1965" w:type="pct"/>
            <w:vAlign w:val="center"/>
          </w:tcPr>
          <w:p w:rsidR="00D43096" w:rsidRPr="00B271B1" w:rsidRDefault="00DC7DDC" w:rsidP="007F7F2B">
            <w:pPr>
              <w:spacing w:after="0" w:line="240" w:lineRule="auto"/>
              <w:rPr>
                <w:color w:val="000000" w:themeColor="text1"/>
                <w:szCs w:val="24"/>
                <w:lang w:val="en-AU"/>
              </w:rPr>
            </w:pPr>
            <w:r w:rsidRPr="00B271B1">
              <w:rPr>
                <w:color w:val="000000" w:themeColor="text1"/>
                <w:szCs w:val="24"/>
                <w:lang w:val="en-AU"/>
              </w:rPr>
              <w:t>Complete Wound Closure on Day 14</w:t>
            </w:r>
          </w:p>
        </w:tc>
        <w:tc>
          <w:tcPr>
            <w:tcW w:w="995" w:type="pct"/>
            <w:vAlign w:val="center"/>
          </w:tcPr>
          <w:p w:rsidR="00D43096" w:rsidRPr="00B271B1" w:rsidRDefault="00DC7DDC" w:rsidP="00661F3E">
            <w:pPr>
              <w:spacing w:after="0" w:line="240" w:lineRule="auto"/>
              <w:jc w:val="center"/>
              <w:rPr>
                <w:color w:val="000000" w:themeColor="text1"/>
                <w:szCs w:val="24"/>
                <w:lang w:val="en-AU"/>
              </w:rPr>
            </w:pPr>
            <w:r w:rsidRPr="00B271B1">
              <w:rPr>
                <w:color w:val="000000" w:themeColor="text1"/>
                <w:szCs w:val="24"/>
                <w:lang w:val="en-AU"/>
              </w:rPr>
              <w:t>63 of 129 (48.8%)</w:t>
            </w:r>
          </w:p>
        </w:tc>
        <w:tc>
          <w:tcPr>
            <w:tcW w:w="957" w:type="pct"/>
            <w:vAlign w:val="center"/>
          </w:tcPr>
          <w:p w:rsidR="00D43096" w:rsidRPr="00B271B1" w:rsidRDefault="00DC7DDC" w:rsidP="00661F3E">
            <w:pPr>
              <w:spacing w:after="0" w:line="240" w:lineRule="auto"/>
              <w:jc w:val="center"/>
              <w:rPr>
                <w:color w:val="000000" w:themeColor="text1"/>
                <w:szCs w:val="24"/>
                <w:lang w:val="en-AU"/>
              </w:rPr>
            </w:pPr>
            <w:r w:rsidRPr="00B271B1">
              <w:rPr>
                <w:color w:val="000000" w:themeColor="text1"/>
                <w:szCs w:val="24"/>
                <w:lang w:val="en-AU"/>
              </w:rPr>
              <w:t>55 of 129 (42.6%)</w:t>
            </w:r>
          </w:p>
        </w:tc>
        <w:tc>
          <w:tcPr>
            <w:tcW w:w="1084" w:type="pct"/>
            <w:vAlign w:val="center"/>
          </w:tcPr>
          <w:p w:rsidR="00D43096" w:rsidRPr="00B271B1" w:rsidRDefault="007F1989" w:rsidP="00661F3E">
            <w:pPr>
              <w:spacing w:after="0" w:line="240" w:lineRule="auto"/>
              <w:jc w:val="center"/>
              <w:rPr>
                <w:color w:val="000000" w:themeColor="text1"/>
                <w:szCs w:val="24"/>
                <w:lang w:val="en-AU"/>
              </w:rPr>
            </w:pPr>
            <w:r w:rsidRPr="00B271B1">
              <w:rPr>
                <w:color w:val="000000" w:themeColor="text1"/>
                <w:szCs w:val="24"/>
                <w:lang w:val="en-AU"/>
              </w:rPr>
              <w:t>6.2%</w:t>
            </w:r>
          </w:p>
          <w:p w:rsidR="008446D3" w:rsidRPr="00B271B1" w:rsidRDefault="008446D3" w:rsidP="00661F3E">
            <w:pPr>
              <w:spacing w:after="0" w:line="240" w:lineRule="auto"/>
              <w:jc w:val="center"/>
              <w:rPr>
                <w:color w:val="000000" w:themeColor="text1"/>
                <w:szCs w:val="24"/>
                <w:lang w:val="en-AU"/>
              </w:rPr>
            </w:pPr>
            <w:r w:rsidRPr="00B271B1">
              <w:rPr>
                <w:color w:val="000000" w:themeColor="text1"/>
                <w:szCs w:val="24"/>
                <w:lang w:val="en-AU"/>
              </w:rPr>
              <w:t>[-2.6%, 15.0%]</w:t>
            </w:r>
          </w:p>
        </w:tc>
      </w:tr>
    </w:tbl>
    <w:p w:rsidR="00A55256" w:rsidRPr="00407D30" w:rsidRDefault="00A55256" w:rsidP="00B91A7A">
      <w:pPr>
        <w:pStyle w:val="Heading2"/>
        <w:rPr>
          <w:lang w:val="en-AU"/>
        </w:rPr>
      </w:pPr>
      <w:r w:rsidRPr="00407D30">
        <w:rPr>
          <w:lang w:val="en-AU"/>
        </w:rPr>
        <w:t>Facial Rhytidectomy (flaps)</w:t>
      </w:r>
    </w:p>
    <w:p w:rsidR="00A55256" w:rsidRPr="00B271B1" w:rsidRDefault="00A55256" w:rsidP="00B91A7A">
      <w:pPr>
        <w:rPr>
          <w:lang w:val="en-AU" w:eastAsia="en-AU"/>
        </w:rPr>
      </w:pPr>
      <w:r w:rsidRPr="00B271B1">
        <w:rPr>
          <w:lang w:val="en-AU" w:eastAsia="en-AU"/>
        </w:rPr>
        <w:t>ARTISS was investigated for adherence of skin flaps in facial rhytidectomy surgeries during two prospective, randomized, controlled, multicenter clinical studies. Both studies had a split-face design in which one side of the face was treated with ARTISS and the other side received standard of care (</w:t>
      </w:r>
      <w:proofErr w:type="spellStart"/>
      <w:r w:rsidRPr="00B271B1">
        <w:rPr>
          <w:lang w:val="en-AU" w:eastAsia="en-AU"/>
        </w:rPr>
        <w:t>SoC</w:t>
      </w:r>
      <w:proofErr w:type="spellEnd"/>
      <w:r w:rsidRPr="00B271B1">
        <w:rPr>
          <w:lang w:val="en-AU" w:eastAsia="en-AU"/>
        </w:rPr>
        <w:t xml:space="preserve">); therefore each subject participated in both arms (ARTISS and </w:t>
      </w:r>
      <w:proofErr w:type="spellStart"/>
      <w:r w:rsidRPr="00B271B1">
        <w:rPr>
          <w:lang w:val="en-AU" w:eastAsia="en-AU"/>
        </w:rPr>
        <w:t>SoC</w:t>
      </w:r>
      <w:proofErr w:type="spellEnd"/>
      <w:r w:rsidRPr="00B271B1">
        <w:rPr>
          <w:lang w:val="en-AU" w:eastAsia="en-AU"/>
        </w:rPr>
        <w:t>). In the Phase 2 study, ecchymosis evaluation was performed by an independent panel of 5 blinded reviewers. In both the Phase 2 and Phase 3 studies, a standardized drain was placed in each side of the face prior to the flap closure and drainage volume from both sides of the face from all</w:t>
      </w:r>
      <w:r w:rsidR="006747C0">
        <w:rPr>
          <w:lang w:val="en-AU" w:eastAsia="en-AU"/>
        </w:rPr>
        <w:t xml:space="preserve"> </w:t>
      </w:r>
      <w:r w:rsidRPr="00B271B1">
        <w:rPr>
          <w:lang w:val="en-AU" w:eastAsia="en-AU"/>
        </w:rPr>
        <w:t xml:space="preserve">subjects was used to compare adherence. </w:t>
      </w:r>
      <w:r w:rsidR="00261ED2">
        <w:rPr>
          <w:lang w:val="en-AU" w:eastAsia="en-AU"/>
        </w:rPr>
        <w:t>Pressure dressings were not permitted</w:t>
      </w:r>
      <w:r w:rsidRPr="00B271B1">
        <w:rPr>
          <w:lang w:val="en-AU" w:eastAsia="en-AU"/>
        </w:rPr>
        <w:t>.</w:t>
      </w:r>
    </w:p>
    <w:p w:rsidR="00A55256" w:rsidRPr="00B271B1" w:rsidRDefault="00A55256" w:rsidP="00B91A7A">
      <w:pPr>
        <w:rPr>
          <w:lang w:val="en-AU" w:eastAsia="en-AU"/>
        </w:rPr>
      </w:pPr>
      <w:r w:rsidRPr="00B271B1">
        <w:rPr>
          <w:lang w:val="en-AU" w:eastAsia="en-AU"/>
        </w:rPr>
        <w:t>The combined study population consisted of 120 subjects of which 113 (94.2%) were female and 7 (5.8%) were</w:t>
      </w:r>
      <w:r w:rsidR="00261ED2">
        <w:rPr>
          <w:lang w:val="en-AU" w:eastAsia="en-AU"/>
        </w:rPr>
        <w:t xml:space="preserve"> </w:t>
      </w:r>
      <w:r w:rsidRPr="00B271B1">
        <w:rPr>
          <w:lang w:val="en-AU" w:eastAsia="en-AU"/>
        </w:rPr>
        <w:t>male. The mean ± SD age was 54.7 ± 7.2 years (range: 40 - 71 years). The mean ± SD weight was 66.5 ± 11.9kg. By race, 116 (96.7%) were white, 2 (1.7%) were black, 1 (0.8%) was Asian, and 1 (0.8%) was of multi race. Ethnicity was Hispanic or Latino in 5 (4.2%) subjects. Overall, the demographic and baseline characteristics were similar for both studies, allowing comparison of appropriate efficacy outcomes.</w:t>
      </w:r>
    </w:p>
    <w:p w:rsidR="00A55256" w:rsidRPr="00B271B1" w:rsidRDefault="00A55256" w:rsidP="00B91A7A">
      <w:pPr>
        <w:rPr>
          <w:lang w:val="en-AU" w:eastAsia="en-AU"/>
        </w:rPr>
      </w:pPr>
      <w:r w:rsidRPr="00B271B1">
        <w:rPr>
          <w:lang w:val="en-AU" w:eastAsia="en-AU"/>
        </w:rPr>
        <w:t>The endpoints analysed for the two studies are:</w:t>
      </w:r>
    </w:p>
    <w:p w:rsidR="00A55256" w:rsidRPr="00F52102" w:rsidRDefault="00A55256" w:rsidP="00B91A7A">
      <w:pPr>
        <w:pStyle w:val="bullet"/>
      </w:pPr>
      <w:r w:rsidRPr="00F52102">
        <w:t>Drainage volumes at 24 h post operatively, for each side of the face (presented in Table 4)</w:t>
      </w:r>
    </w:p>
    <w:p w:rsidR="00A55256" w:rsidRPr="00F52102" w:rsidRDefault="00A55256" w:rsidP="00B91A7A">
      <w:pPr>
        <w:pStyle w:val="bullet"/>
      </w:pPr>
      <w:r w:rsidRPr="00F52102">
        <w:t xml:space="preserve">Occurrence of hematoma and </w:t>
      </w:r>
      <w:proofErr w:type="spellStart"/>
      <w:r w:rsidRPr="00F52102">
        <w:t>seroma</w:t>
      </w:r>
      <w:proofErr w:type="spellEnd"/>
      <w:r w:rsidRPr="00F52102">
        <w:t xml:space="preserve"> (presented in Table </w:t>
      </w:r>
      <w:r w:rsidR="002E3AB1">
        <w:t>3</w:t>
      </w:r>
      <w:r w:rsidRPr="00F52102">
        <w:t>)</w:t>
      </w:r>
    </w:p>
    <w:p w:rsidR="00A55256" w:rsidRPr="00B271B1" w:rsidRDefault="00A55256" w:rsidP="00B91A7A">
      <w:pPr>
        <w:pStyle w:val="Tabletitle"/>
      </w:pPr>
      <w:r w:rsidRPr="00B271B1">
        <w:t xml:space="preserve">Table </w:t>
      </w:r>
      <w:r w:rsidR="007F765C">
        <w:t>3</w:t>
      </w:r>
    </w:p>
    <w:tbl>
      <w:tblPr>
        <w:tblStyle w:val="TableGrid"/>
        <w:tblW w:w="9747" w:type="dxa"/>
        <w:tblLook w:val="04A0"/>
      </w:tblPr>
      <w:tblGrid>
        <w:gridCol w:w="2459"/>
        <w:gridCol w:w="2611"/>
        <w:gridCol w:w="2551"/>
        <w:gridCol w:w="2126"/>
      </w:tblGrid>
      <w:tr w:rsidR="002B1F95" w:rsidRPr="00B271B1" w:rsidTr="00AA0A2F">
        <w:trPr>
          <w:cantSplit/>
          <w:trHeight w:val="212"/>
          <w:tblHeader/>
        </w:trPr>
        <w:tc>
          <w:tcPr>
            <w:tcW w:w="9747" w:type="dxa"/>
            <w:gridSpan w:val="4"/>
            <w:vAlign w:val="center"/>
          </w:tcPr>
          <w:p w:rsidR="002B1F95" w:rsidRPr="00B271B1" w:rsidRDefault="002B1F95" w:rsidP="007F765C">
            <w:pPr>
              <w:spacing w:before="120" w:after="120" w:line="240" w:lineRule="auto"/>
              <w:jc w:val="center"/>
              <w:rPr>
                <w:color w:val="000000" w:themeColor="text1"/>
                <w:szCs w:val="24"/>
                <w:lang w:val="en-AU"/>
              </w:rPr>
            </w:pPr>
            <w:r w:rsidRPr="00B271B1">
              <w:rPr>
                <w:b/>
                <w:bCs/>
                <w:color w:val="000000" w:themeColor="text1"/>
                <w:sz w:val="20"/>
                <w:szCs w:val="20"/>
                <w:lang w:val="en-AU" w:eastAsia="en-AU"/>
              </w:rPr>
              <w:t>Drainage Volume Comparison at 24 h Post Operative</w:t>
            </w:r>
          </w:p>
        </w:tc>
      </w:tr>
      <w:tr w:rsidR="00A55256" w:rsidRPr="00B271B1" w:rsidTr="00AA0A2F">
        <w:trPr>
          <w:cantSplit/>
          <w:tblHeader/>
        </w:trPr>
        <w:tc>
          <w:tcPr>
            <w:tcW w:w="2459" w:type="dxa"/>
            <w:vAlign w:val="center"/>
          </w:tcPr>
          <w:p w:rsidR="00A55256" w:rsidRPr="00B271B1" w:rsidRDefault="00A55256" w:rsidP="007F765C">
            <w:pPr>
              <w:autoSpaceDE w:val="0"/>
              <w:autoSpaceDN w:val="0"/>
              <w:adjustRightInd w:val="0"/>
              <w:spacing w:before="120" w:after="120" w:line="240" w:lineRule="auto"/>
              <w:jc w:val="center"/>
              <w:rPr>
                <w:color w:val="000000" w:themeColor="text1"/>
                <w:szCs w:val="24"/>
                <w:lang w:val="en-AU"/>
              </w:rPr>
            </w:pPr>
            <w:r w:rsidRPr="00B271B1">
              <w:rPr>
                <w:b/>
                <w:bCs/>
                <w:color w:val="000000" w:themeColor="text1"/>
                <w:sz w:val="20"/>
                <w:szCs w:val="20"/>
                <w:lang w:val="en-AU" w:eastAsia="en-AU"/>
              </w:rPr>
              <w:t>Clinical Study</w:t>
            </w:r>
          </w:p>
        </w:tc>
        <w:tc>
          <w:tcPr>
            <w:tcW w:w="2611" w:type="dxa"/>
            <w:vAlign w:val="center"/>
          </w:tcPr>
          <w:p w:rsidR="00A55256" w:rsidRPr="00B271B1" w:rsidRDefault="00A55256" w:rsidP="007F765C">
            <w:pPr>
              <w:autoSpaceDE w:val="0"/>
              <w:autoSpaceDN w:val="0"/>
              <w:adjustRightInd w:val="0"/>
              <w:spacing w:before="120" w:after="0" w:line="240" w:lineRule="auto"/>
              <w:jc w:val="center"/>
              <w:rPr>
                <w:b/>
                <w:bCs/>
                <w:color w:val="000000" w:themeColor="text1"/>
                <w:sz w:val="20"/>
                <w:szCs w:val="20"/>
                <w:lang w:val="en-AU" w:eastAsia="en-AU"/>
              </w:rPr>
            </w:pPr>
            <w:r w:rsidRPr="00B271B1">
              <w:rPr>
                <w:b/>
                <w:bCs/>
                <w:color w:val="000000" w:themeColor="text1"/>
                <w:sz w:val="20"/>
                <w:szCs w:val="20"/>
                <w:lang w:val="en-AU" w:eastAsia="en-AU"/>
              </w:rPr>
              <w:t>Mean ± SD Drainage</w:t>
            </w:r>
            <w:r w:rsidR="007F765C">
              <w:rPr>
                <w:b/>
                <w:bCs/>
                <w:color w:val="000000" w:themeColor="text1"/>
                <w:sz w:val="20"/>
                <w:szCs w:val="20"/>
                <w:lang w:val="en-AU" w:eastAsia="en-AU"/>
              </w:rPr>
              <w:t xml:space="preserve"> </w:t>
            </w:r>
            <w:r w:rsidRPr="00B271B1">
              <w:rPr>
                <w:b/>
                <w:bCs/>
                <w:color w:val="000000" w:themeColor="text1"/>
                <w:sz w:val="20"/>
                <w:szCs w:val="20"/>
                <w:lang w:val="en-AU" w:eastAsia="en-AU"/>
              </w:rPr>
              <w:t>(mL)</w:t>
            </w:r>
          </w:p>
          <w:p w:rsidR="00A55256" w:rsidRPr="00B271B1" w:rsidRDefault="00A55256" w:rsidP="007F765C">
            <w:pPr>
              <w:autoSpaceDE w:val="0"/>
              <w:autoSpaceDN w:val="0"/>
              <w:adjustRightInd w:val="0"/>
              <w:spacing w:after="120" w:line="240" w:lineRule="auto"/>
              <w:jc w:val="center"/>
              <w:rPr>
                <w:color w:val="000000" w:themeColor="text1"/>
                <w:szCs w:val="24"/>
                <w:lang w:val="en-AU"/>
              </w:rPr>
            </w:pPr>
            <w:r w:rsidRPr="00B271B1">
              <w:rPr>
                <w:b/>
                <w:bCs/>
                <w:color w:val="000000" w:themeColor="text1"/>
                <w:sz w:val="20"/>
                <w:szCs w:val="20"/>
                <w:lang w:val="en-AU" w:eastAsia="en-AU"/>
              </w:rPr>
              <w:t>ARTISS Side of the Face</w:t>
            </w:r>
          </w:p>
        </w:tc>
        <w:tc>
          <w:tcPr>
            <w:tcW w:w="2551" w:type="dxa"/>
            <w:vAlign w:val="center"/>
          </w:tcPr>
          <w:p w:rsidR="00A55256" w:rsidRPr="00B271B1" w:rsidRDefault="00A55256" w:rsidP="007F765C">
            <w:pPr>
              <w:autoSpaceDE w:val="0"/>
              <w:autoSpaceDN w:val="0"/>
              <w:adjustRightInd w:val="0"/>
              <w:spacing w:before="120" w:after="0" w:line="240" w:lineRule="auto"/>
              <w:jc w:val="center"/>
              <w:rPr>
                <w:b/>
                <w:bCs/>
                <w:color w:val="000000" w:themeColor="text1"/>
                <w:sz w:val="20"/>
                <w:szCs w:val="20"/>
                <w:lang w:val="en-AU" w:eastAsia="en-AU"/>
              </w:rPr>
            </w:pPr>
            <w:r w:rsidRPr="00B271B1">
              <w:rPr>
                <w:b/>
                <w:bCs/>
                <w:color w:val="000000" w:themeColor="text1"/>
                <w:sz w:val="20"/>
                <w:szCs w:val="20"/>
                <w:lang w:val="en-AU" w:eastAsia="en-AU"/>
              </w:rPr>
              <w:t>Mean ± SD Drainage (mL)</w:t>
            </w:r>
          </w:p>
          <w:p w:rsidR="00A55256" w:rsidRPr="00B271B1" w:rsidRDefault="00A55256" w:rsidP="007F765C">
            <w:pPr>
              <w:spacing w:after="120" w:line="240" w:lineRule="auto"/>
              <w:jc w:val="center"/>
              <w:rPr>
                <w:color w:val="000000" w:themeColor="text1"/>
                <w:szCs w:val="24"/>
                <w:lang w:val="en-AU"/>
              </w:rPr>
            </w:pPr>
            <w:proofErr w:type="spellStart"/>
            <w:r w:rsidRPr="00B271B1">
              <w:rPr>
                <w:b/>
                <w:bCs/>
                <w:color w:val="000000" w:themeColor="text1"/>
                <w:sz w:val="20"/>
                <w:szCs w:val="20"/>
                <w:lang w:val="en-AU" w:eastAsia="en-AU"/>
              </w:rPr>
              <w:t>SoC</w:t>
            </w:r>
            <w:proofErr w:type="spellEnd"/>
            <w:r w:rsidRPr="00B271B1">
              <w:rPr>
                <w:b/>
                <w:bCs/>
                <w:color w:val="000000" w:themeColor="text1"/>
                <w:sz w:val="20"/>
                <w:szCs w:val="20"/>
                <w:lang w:val="en-AU" w:eastAsia="en-AU"/>
              </w:rPr>
              <w:t xml:space="preserve"> Side of the Face</w:t>
            </w:r>
          </w:p>
        </w:tc>
        <w:tc>
          <w:tcPr>
            <w:tcW w:w="2126"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b/>
                <w:bCs/>
                <w:color w:val="000000" w:themeColor="text1"/>
                <w:sz w:val="20"/>
                <w:szCs w:val="20"/>
                <w:lang w:val="en-AU" w:eastAsia="en-AU"/>
              </w:rPr>
              <w:t>p-Value</w:t>
            </w:r>
          </w:p>
        </w:tc>
      </w:tr>
      <w:tr w:rsidR="00A55256" w:rsidRPr="00B271B1" w:rsidTr="007F765C">
        <w:tc>
          <w:tcPr>
            <w:tcW w:w="2459" w:type="dxa"/>
            <w:vAlign w:val="center"/>
          </w:tcPr>
          <w:p w:rsidR="00A55256" w:rsidRPr="00B271B1" w:rsidRDefault="00A55256" w:rsidP="007F765C">
            <w:pPr>
              <w:autoSpaceDE w:val="0"/>
              <w:autoSpaceDN w:val="0"/>
              <w:adjustRightInd w:val="0"/>
              <w:spacing w:before="120" w:after="0" w:line="240" w:lineRule="auto"/>
              <w:jc w:val="center"/>
              <w:rPr>
                <w:color w:val="000000" w:themeColor="text1"/>
                <w:sz w:val="20"/>
                <w:szCs w:val="20"/>
                <w:lang w:val="en-AU" w:eastAsia="en-AU"/>
              </w:rPr>
            </w:pPr>
            <w:r w:rsidRPr="00B271B1">
              <w:rPr>
                <w:color w:val="000000" w:themeColor="text1"/>
                <w:sz w:val="20"/>
                <w:szCs w:val="20"/>
                <w:lang w:val="en-AU" w:eastAsia="en-AU"/>
              </w:rPr>
              <w:lastRenderedPageBreak/>
              <w:t>Phase 2</w:t>
            </w:r>
          </w:p>
          <w:p w:rsidR="00A55256" w:rsidRPr="00B271B1" w:rsidRDefault="00A55256" w:rsidP="007F765C">
            <w:pPr>
              <w:spacing w:after="120" w:line="240" w:lineRule="auto"/>
              <w:jc w:val="center"/>
              <w:rPr>
                <w:color w:val="000000" w:themeColor="text1"/>
                <w:szCs w:val="24"/>
                <w:lang w:val="en-AU"/>
              </w:rPr>
            </w:pPr>
            <w:r w:rsidRPr="00B271B1">
              <w:rPr>
                <w:color w:val="000000" w:themeColor="text1"/>
                <w:sz w:val="20"/>
                <w:szCs w:val="20"/>
                <w:lang w:val="en-AU" w:eastAsia="en-AU"/>
              </w:rPr>
              <w:t>45 subjects</w:t>
            </w:r>
          </w:p>
        </w:tc>
        <w:tc>
          <w:tcPr>
            <w:tcW w:w="2611"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11.5 ± 13.7</w:t>
            </w:r>
          </w:p>
        </w:tc>
        <w:tc>
          <w:tcPr>
            <w:tcW w:w="2551"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26.8 ± 24.0</w:t>
            </w:r>
          </w:p>
        </w:tc>
        <w:tc>
          <w:tcPr>
            <w:tcW w:w="2126"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&lt; 0.0001</w:t>
            </w:r>
          </w:p>
        </w:tc>
      </w:tr>
      <w:tr w:rsidR="00A55256" w:rsidRPr="00B271B1" w:rsidTr="007F765C">
        <w:tc>
          <w:tcPr>
            <w:tcW w:w="2459" w:type="dxa"/>
            <w:vAlign w:val="center"/>
          </w:tcPr>
          <w:p w:rsidR="00A55256" w:rsidRPr="00B271B1" w:rsidRDefault="00A55256" w:rsidP="007F765C">
            <w:pPr>
              <w:autoSpaceDE w:val="0"/>
              <w:autoSpaceDN w:val="0"/>
              <w:adjustRightInd w:val="0"/>
              <w:spacing w:before="120" w:after="0" w:line="240" w:lineRule="auto"/>
              <w:jc w:val="center"/>
              <w:rPr>
                <w:color w:val="000000" w:themeColor="text1"/>
                <w:sz w:val="20"/>
                <w:szCs w:val="20"/>
                <w:lang w:val="en-AU" w:eastAsia="en-AU"/>
              </w:rPr>
            </w:pPr>
            <w:r w:rsidRPr="00B271B1">
              <w:rPr>
                <w:color w:val="000000" w:themeColor="text1"/>
                <w:sz w:val="20"/>
                <w:szCs w:val="20"/>
                <w:lang w:val="en-AU" w:eastAsia="en-AU"/>
              </w:rPr>
              <w:t>Phase 3</w:t>
            </w:r>
          </w:p>
          <w:p w:rsidR="00A55256" w:rsidRPr="00B271B1" w:rsidRDefault="00A55256" w:rsidP="007F765C">
            <w:pPr>
              <w:spacing w:after="120" w:line="240" w:lineRule="auto"/>
              <w:jc w:val="center"/>
              <w:rPr>
                <w:color w:val="000000" w:themeColor="text1"/>
                <w:szCs w:val="24"/>
                <w:lang w:val="en-AU"/>
              </w:rPr>
            </w:pPr>
            <w:r w:rsidRPr="00B271B1">
              <w:rPr>
                <w:color w:val="000000" w:themeColor="text1"/>
                <w:sz w:val="20"/>
                <w:szCs w:val="20"/>
                <w:lang w:val="en-AU" w:eastAsia="en-AU"/>
              </w:rPr>
              <w:t>75 subjects</w:t>
            </w:r>
          </w:p>
        </w:tc>
        <w:tc>
          <w:tcPr>
            <w:tcW w:w="2611"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7.7 ± 7.4</w:t>
            </w:r>
          </w:p>
        </w:tc>
        <w:tc>
          <w:tcPr>
            <w:tcW w:w="2551"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20.0 ± 11.3</w:t>
            </w:r>
          </w:p>
        </w:tc>
        <w:tc>
          <w:tcPr>
            <w:tcW w:w="2126" w:type="dxa"/>
            <w:vAlign w:val="center"/>
          </w:tcPr>
          <w:p w:rsidR="00A55256" w:rsidRPr="00B271B1" w:rsidRDefault="00A55256" w:rsidP="007F765C">
            <w:pPr>
              <w:spacing w:before="120" w:after="120" w:line="240" w:lineRule="auto"/>
              <w:jc w:val="center"/>
              <w:rPr>
                <w:color w:val="000000" w:themeColor="text1"/>
                <w:szCs w:val="24"/>
                <w:lang w:val="en-AU"/>
              </w:rPr>
            </w:pPr>
            <w:r w:rsidRPr="00B271B1">
              <w:rPr>
                <w:color w:val="000000" w:themeColor="text1"/>
                <w:sz w:val="20"/>
                <w:szCs w:val="20"/>
                <w:lang w:val="en-AU" w:eastAsia="en-AU"/>
              </w:rPr>
              <w:t>&lt; 0.0001</w:t>
            </w:r>
          </w:p>
        </w:tc>
      </w:tr>
    </w:tbl>
    <w:p w:rsidR="00B91A7A" w:rsidRDefault="00B91A7A" w:rsidP="00B91A7A"/>
    <w:p w:rsidR="00384A7C" w:rsidRPr="00B271B1" w:rsidRDefault="00A55256" w:rsidP="00B91A7A">
      <w:pPr>
        <w:rPr>
          <w:lang w:val="en-AU" w:eastAsia="en-AU"/>
        </w:rPr>
      </w:pPr>
      <w:r w:rsidRPr="00B91A7A">
        <w:t xml:space="preserve">An integrated </w:t>
      </w:r>
      <w:r w:rsidRPr="00B271B1">
        <w:rPr>
          <w:lang w:val="en-AU" w:eastAsia="en-AU"/>
        </w:rPr>
        <w:t>analysis of the occurrence of hematoma/</w:t>
      </w:r>
      <w:proofErr w:type="spellStart"/>
      <w:r w:rsidRPr="00B271B1">
        <w:rPr>
          <w:lang w:val="en-AU" w:eastAsia="en-AU"/>
        </w:rPr>
        <w:t>seroma</w:t>
      </w:r>
      <w:proofErr w:type="spellEnd"/>
      <w:r w:rsidRPr="00B271B1">
        <w:rPr>
          <w:lang w:val="en-AU" w:eastAsia="en-AU"/>
        </w:rPr>
        <w:t xml:space="preserve"> in all 120 subjects across two studies was</w:t>
      </w:r>
      <w:r w:rsidRPr="00B271B1">
        <w:rPr>
          <w:rFonts w:ascii="Arial" w:hAnsi="Arial" w:cs="Arial"/>
          <w:sz w:val="12"/>
          <w:szCs w:val="12"/>
          <w:lang w:val="en-AU" w:eastAsia="en-AU"/>
        </w:rPr>
        <w:t xml:space="preserve"> </w:t>
      </w:r>
      <w:r w:rsidRPr="00B271B1">
        <w:rPr>
          <w:lang w:val="en-AU" w:eastAsia="en-AU"/>
        </w:rPr>
        <w:t>performed. A comparison was made of the proportion of subjects experiencing a hematoma/</w:t>
      </w:r>
      <w:proofErr w:type="spellStart"/>
      <w:r w:rsidRPr="00B271B1">
        <w:rPr>
          <w:lang w:val="en-AU" w:eastAsia="en-AU"/>
        </w:rPr>
        <w:t>seroma</w:t>
      </w:r>
      <w:proofErr w:type="spellEnd"/>
      <w:r w:rsidRPr="00B271B1">
        <w:rPr>
          <w:lang w:val="en-AU" w:eastAsia="en-AU"/>
        </w:rPr>
        <w:t xml:space="preserve"> exclusively</w:t>
      </w:r>
      <w:r w:rsidRPr="00B271B1">
        <w:rPr>
          <w:rFonts w:ascii="Arial" w:hAnsi="Arial" w:cs="Arial"/>
          <w:sz w:val="12"/>
          <w:szCs w:val="12"/>
          <w:lang w:val="en-AU" w:eastAsia="en-AU"/>
        </w:rPr>
        <w:t xml:space="preserve"> </w:t>
      </w:r>
      <w:r w:rsidRPr="00B271B1">
        <w:rPr>
          <w:lang w:val="en-AU" w:eastAsia="en-AU"/>
        </w:rPr>
        <w:t xml:space="preserve">on the ARTISS-treated side or on the </w:t>
      </w:r>
      <w:proofErr w:type="spellStart"/>
      <w:r w:rsidRPr="00B271B1">
        <w:rPr>
          <w:lang w:val="en-AU" w:eastAsia="en-AU"/>
        </w:rPr>
        <w:t>SoC</w:t>
      </w:r>
      <w:proofErr w:type="spellEnd"/>
      <w:r w:rsidRPr="00B271B1">
        <w:rPr>
          <w:lang w:val="en-AU" w:eastAsia="en-AU"/>
        </w:rPr>
        <w:t xml:space="preserve"> side of the face. The difference was statistically significant with 95%</w:t>
      </w:r>
      <w:r w:rsidRPr="00B271B1">
        <w:rPr>
          <w:rFonts w:ascii="Arial" w:hAnsi="Arial" w:cs="Arial"/>
          <w:sz w:val="12"/>
          <w:szCs w:val="12"/>
          <w:lang w:val="en-AU" w:eastAsia="en-AU"/>
        </w:rPr>
        <w:t xml:space="preserve"> </w:t>
      </w:r>
      <w:r w:rsidRPr="00B271B1">
        <w:rPr>
          <w:lang w:val="en-AU" w:eastAsia="en-AU"/>
        </w:rPr>
        <w:t>CI = 0.035 – 0.172, p &lt;0.05.</w:t>
      </w:r>
    </w:p>
    <w:p w:rsidR="00A55256" w:rsidRPr="00B271B1" w:rsidRDefault="00A55256" w:rsidP="00B91A7A">
      <w:pPr>
        <w:pStyle w:val="Tabletitle"/>
      </w:pPr>
      <w:r w:rsidRPr="00B271B1">
        <w:t xml:space="preserve">Table </w:t>
      </w:r>
      <w:r w:rsidR="007F765C">
        <w:t>4</w:t>
      </w:r>
    </w:p>
    <w:tbl>
      <w:tblPr>
        <w:tblStyle w:val="TableGrid"/>
        <w:tblW w:w="0" w:type="auto"/>
        <w:jc w:val="center"/>
        <w:tblLook w:val="04A0"/>
      </w:tblPr>
      <w:tblGrid>
        <w:gridCol w:w="2261"/>
        <w:gridCol w:w="2262"/>
        <w:gridCol w:w="2262"/>
        <w:gridCol w:w="2262"/>
      </w:tblGrid>
      <w:tr w:rsidR="002B1F95" w:rsidRPr="00B271B1" w:rsidTr="00AA0A2F">
        <w:trPr>
          <w:cantSplit/>
          <w:tblHeader/>
          <w:jc w:val="center"/>
        </w:trPr>
        <w:tc>
          <w:tcPr>
            <w:tcW w:w="9047" w:type="dxa"/>
            <w:gridSpan w:val="4"/>
          </w:tcPr>
          <w:p w:rsidR="002B1F95" w:rsidRPr="00B271B1" w:rsidRDefault="002B1F95" w:rsidP="007F765C">
            <w:pPr>
              <w:autoSpaceDE w:val="0"/>
              <w:autoSpaceDN w:val="0"/>
              <w:adjustRightInd w:val="0"/>
              <w:spacing w:before="120" w:after="120" w:line="240" w:lineRule="auto"/>
              <w:jc w:val="center"/>
              <w:rPr>
                <w:b/>
                <w:color w:val="000000" w:themeColor="text1"/>
                <w:szCs w:val="24"/>
                <w:u w:val="single"/>
                <w:lang w:val="en-AU"/>
              </w:rPr>
            </w:pPr>
            <w:r w:rsidRPr="00B271B1">
              <w:rPr>
                <w:b/>
                <w:bCs/>
                <w:color w:val="000000" w:themeColor="text1"/>
                <w:sz w:val="20"/>
                <w:szCs w:val="20"/>
                <w:lang w:val="en-AU" w:eastAsia="en-AU"/>
              </w:rPr>
              <w:t xml:space="preserve">Occurrence of Hematoma / </w:t>
            </w:r>
            <w:proofErr w:type="spellStart"/>
            <w:r w:rsidRPr="00B271B1">
              <w:rPr>
                <w:b/>
                <w:bCs/>
                <w:color w:val="000000" w:themeColor="text1"/>
                <w:sz w:val="20"/>
                <w:szCs w:val="20"/>
                <w:lang w:val="en-AU" w:eastAsia="en-AU"/>
              </w:rPr>
              <w:t>Seroma</w:t>
            </w:r>
            <w:proofErr w:type="spellEnd"/>
          </w:p>
        </w:tc>
      </w:tr>
      <w:tr w:rsidR="00384A7C" w:rsidRPr="00B271B1" w:rsidTr="00AA0A2F">
        <w:trPr>
          <w:cantSplit/>
          <w:tblHeader/>
          <w:jc w:val="center"/>
        </w:trPr>
        <w:tc>
          <w:tcPr>
            <w:tcW w:w="2261" w:type="dxa"/>
          </w:tcPr>
          <w:p w:rsidR="00384A7C" w:rsidRPr="00B271B1" w:rsidRDefault="00384A7C" w:rsidP="007F765C">
            <w:pPr>
              <w:autoSpaceDE w:val="0"/>
              <w:autoSpaceDN w:val="0"/>
              <w:adjustRightInd w:val="0"/>
              <w:spacing w:before="120" w:after="0" w:line="240" w:lineRule="auto"/>
              <w:jc w:val="center"/>
              <w:rPr>
                <w:b/>
                <w:bCs/>
                <w:color w:val="000000" w:themeColor="text1"/>
                <w:sz w:val="20"/>
                <w:szCs w:val="20"/>
                <w:lang w:val="en-AU" w:eastAsia="en-AU"/>
              </w:rPr>
            </w:pPr>
            <w:r w:rsidRPr="00B271B1">
              <w:rPr>
                <w:b/>
                <w:bCs/>
                <w:color w:val="000000" w:themeColor="text1"/>
                <w:sz w:val="20"/>
                <w:szCs w:val="20"/>
                <w:lang w:val="en-AU" w:eastAsia="en-AU"/>
              </w:rPr>
              <w:t>ARTISS</w:t>
            </w:r>
          </w:p>
          <w:p w:rsidR="00384A7C" w:rsidRPr="007F765C" w:rsidRDefault="00384A7C" w:rsidP="007F765C">
            <w:pPr>
              <w:autoSpaceDE w:val="0"/>
              <w:autoSpaceDN w:val="0"/>
              <w:adjustRightInd w:val="0"/>
              <w:spacing w:after="120" w:line="240" w:lineRule="auto"/>
              <w:jc w:val="center"/>
              <w:rPr>
                <w:b/>
                <w:bCs/>
                <w:color w:val="000000" w:themeColor="text1"/>
                <w:sz w:val="20"/>
                <w:szCs w:val="20"/>
                <w:lang w:val="en-AU" w:eastAsia="en-AU"/>
              </w:rPr>
            </w:pPr>
            <w:r w:rsidRPr="00B271B1">
              <w:rPr>
                <w:b/>
                <w:bCs/>
                <w:color w:val="000000" w:themeColor="text1"/>
                <w:sz w:val="20"/>
                <w:szCs w:val="20"/>
                <w:lang w:val="en-AU" w:eastAsia="en-AU"/>
              </w:rPr>
              <w:t>n (%)</w:t>
            </w:r>
          </w:p>
        </w:tc>
        <w:tc>
          <w:tcPr>
            <w:tcW w:w="2262" w:type="dxa"/>
          </w:tcPr>
          <w:p w:rsidR="00384A7C" w:rsidRPr="00B271B1" w:rsidRDefault="00384A7C" w:rsidP="007F765C">
            <w:pPr>
              <w:autoSpaceDE w:val="0"/>
              <w:autoSpaceDN w:val="0"/>
              <w:adjustRightInd w:val="0"/>
              <w:spacing w:before="120" w:after="0" w:line="240" w:lineRule="auto"/>
              <w:jc w:val="center"/>
              <w:rPr>
                <w:b/>
                <w:bCs/>
                <w:color w:val="000000" w:themeColor="text1"/>
                <w:sz w:val="20"/>
                <w:szCs w:val="20"/>
                <w:lang w:val="en-AU" w:eastAsia="en-AU"/>
              </w:rPr>
            </w:pPr>
            <w:proofErr w:type="spellStart"/>
            <w:r w:rsidRPr="00B271B1">
              <w:rPr>
                <w:b/>
                <w:bCs/>
                <w:color w:val="000000" w:themeColor="text1"/>
                <w:sz w:val="20"/>
                <w:szCs w:val="20"/>
                <w:lang w:val="en-AU" w:eastAsia="en-AU"/>
              </w:rPr>
              <w:t>SoC</w:t>
            </w:r>
            <w:proofErr w:type="spellEnd"/>
          </w:p>
          <w:p w:rsidR="00384A7C" w:rsidRPr="007F765C" w:rsidRDefault="00384A7C" w:rsidP="007F765C">
            <w:pPr>
              <w:autoSpaceDE w:val="0"/>
              <w:autoSpaceDN w:val="0"/>
              <w:adjustRightInd w:val="0"/>
              <w:spacing w:after="120" w:line="240" w:lineRule="auto"/>
              <w:jc w:val="center"/>
              <w:rPr>
                <w:b/>
                <w:bCs/>
                <w:color w:val="000000" w:themeColor="text1"/>
                <w:sz w:val="20"/>
                <w:szCs w:val="20"/>
                <w:lang w:val="en-AU" w:eastAsia="en-AU"/>
              </w:rPr>
            </w:pPr>
            <w:r w:rsidRPr="00B271B1">
              <w:rPr>
                <w:b/>
                <w:bCs/>
                <w:color w:val="000000" w:themeColor="text1"/>
                <w:sz w:val="20"/>
                <w:szCs w:val="20"/>
                <w:lang w:val="en-AU" w:eastAsia="en-AU"/>
              </w:rPr>
              <w:t>n (%)</w:t>
            </w:r>
          </w:p>
        </w:tc>
        <w:tc>
          <w:tcPr>
            <w:tcW w:w="2262" w:type="dxa"/>
          </w:tcPr>
          <w:p w:rsidR="00384A7C" w:rsidRPr="00B271B1" w:rsidRDefault="00384A7C" w:rsidP="007F765C">
            <w:pPr>
              <w:autoSpaceDE w:val="0"/>
              <w:autoSpaceDN w:val="0"/>
              <w:adjustRightInd w:val="0"/>
              <w:spacing w:before="120" w:after="0" w:line="240" w:lineRule="auto"/>
              <w:jc w:val="center"/>
              <w:rPr>
                <w:b/>
                <w:bCs/>
                <w:color w:val="000000" w:themeColor="text1"/>
                <w:sz w:val="20"/>
                <w:szCs w:val="20"/>
                <w:lang w:val="en-AU" w:eastAsia="en-AU"/>
              </w:rPr>
            </w:pPr>
            <w:r w:rsidRPr="00B271B1">
              <w:rPr>
                <w:b/>
                <w:bCs/>
                <w:color w:val="000000" w:themeColor="text1"/>
                <w:sz w:val="20"/>
                <w:szCs w:val="20"/>
                <w:lang w:val="en-AU" w:eastAsia="en-AU"/>
              </w:rPr>
              <w:t>Both Sides of Face</w:t>
            </w:r>
          </w:p>
          <w:p w:rsidR="00384A7C" w:rsidRPr="007F765C" w:rsidRDefault="00384A7C" w:rsidP="007F765C">
            <w:pPr>
              <w:autoSpaceDE w:val="0"/>
              <w:autoSpaceDN w:val="0"/>
              <w:adjustRightInd w:val="0"/>
              <w:spacing w:after="120" w:line="240" w:lineRule="auto"/>
              <w:jc w:val="center"/>
              <w:rPr>
                <w:b/>
                <w:bCs/>
                <w:color w:val="000000" w:themeColor="text1"/>
                <w:sz w:val="20"/>
                <w:szCs w:val="20"/>
                <w:lang w:val="en-AU" w:eastAsia="en-AU"/>
              </w:rPr>
            </w:pPr>
            <w:r w:rsidRPr="00B271B1">
              <w:rPr>
                <w:b/>
                <w:bCs/>
                <w:color w:val="000000" w:themeColor="text1"/>
                <w:sz w:val="20"/>
                <w:szCs w:val="20"/>
                <w:lang w:val="en-AU" w:eastAsia="en-AU"/>
              </w:rPr>
              <w:t>n (%)</w:t>
            </w:r>
          </w:p>
        </w:tc>
        <w:tc>
          <w:tcPr>
            <w:tcW w:w="2262" w:type="dxa"/>
          </w:tcPr>
          <w:p w:rsidR="00384A7C" w:rsidRPr="00B271B1" w:rsidRDefault="00384A7C" w:rsidP="007F765C">
            <w:pPr>
              <w:autoSpaceDE w:val="0"/>
              <w:autoSpaceDN w:val="0"/>
              <w:adjustRightInd w:val="0"/>
              <w:spacing w:before="120" w:after="0" w:line="240" w:lineRule="auto"/>
              <w:jc w:val="center"/>
              <w:rPr>
                <w:b/>
                <w:bCs/>
                <w:color w:val="000000" w:themeColor="text1"/>
                <w:sz w:val="20"/>
                <w:szCs w:val="20"/>
                <w:lang w:val="en-AU" w:eastAsia="en-AU"/>
              </w:rPr>
            </w:pPr>
            <w:r w:rsidRPr="00B271B1">
              <w:rPr>
                <w:b/>
                <w:bCs/>
                <w:color w:val="000000" w:themeColor="text1"/>
                <w:sz w:val="20"/>
                <w:szCs w:val="20"/>
                <w:lang w:val="en-AU" w:eastAsia="en-AU"/>
              </w:rPr>
              <w:t>Total</w:t>
            </w:r>
          </w:p>
          <w:p w:rsidR="00384A7C" w:rsidRPr="00B271B1" w:rsidRDefault="00384A7C" w:rsidP="007F765C">
            <w:pPr>
              <w:autoSpaceDE w:val="0"/>
              <w:autoSpaceDN w:val="0"/>
              <w:adjustRightInd w:val="0"/>
              <w:spacing w:after="120" w:line="240" w:lineRule="auto"/>
              <w:jc w:val="center"/>
              <w:rPr>
                <w:b/>
                <w:color w:val="000000" w:themeColor="text1"/>
                <w:szCs w:val="24"/>
                <w:u w:val="single"/>
                <w:lang w:val="en-AU"/>
              </w:rPr>
            </w:pPr>
            <w:r w:rsidRPr="00B271B1">
              <w:rPr>
                <w:b/>
                <w:bCs/>
                <w:color w:val="000000" w:themeColor="text1"/>
                <w:sz w:val="20"/>
                <w:szCs w:val="20"/>
                <w:lang w:val="en-AU" w:eastAsia="en-AU"/>
              </w:rPr>
              <w:t>n (%)</w:t>
            </w:r>
          </w:p>
        </w:tc>
      </w:tr>
      <w:tr w:rsidR="00384A7C" w:rsidRPr="00B271B1" w:rsidTr="00661F3E">
        <w:trPr>
          <w:jc w:val="center"/>
        </w:trPr>
        <w:tc>
          <w:tcPr>
            <w:tcW w:w="2261" w:type="dxa"/>
          </w:tcPr>
          <w:p w:rsidR="00384A7C" w:rsidRPr="00B271B1" w:rsidRDefault="00384A7C" w:rsidP="007F765C">
            <w:pPr>
              <w:autoSpaceDE w:val="0"/>
              <w:autoSpaceDN w:val="0"/>
              <w:adjustRightInd w:val="0"/>
              <w:spacing w:before="120" w:after="120" w:line="240" w:lineRule="auto"/>
              <w:jc w:val="center"/>
              <w:rPr>
                <w:b/>
                <w:color w:val="000000" w:themeColor="text1"/>
                <w:szCs w:val="24"/>
                <w:u w:val="single"/>
                <w:lang w:val="en-AU"/>
              </w:rPr>
            </w:pPr>
            <w:r w:rsidRPr="00B271B1">
              <w:rPr>
                <w:color w:val="000000" w:themeColor="text1"/>
                <w:sz w:val="20"/>
                <w:szCs w:val="20"/>
                <w:lang w:val="en-AU" w:eastAsia="en-AU"/>
              </w:rPr>
              <w:t xml:space="preserve">2 (1.7%) </w:t>
            </w:r>
          </w:p>
        </w:tc>
        <w:tc>
          <w:tcPr>
            <w:tcW w:w="2262" w:type="dxa"/>
          </w:tcPr>
          <w:p w:rsidR="00384A7C" w:rsidRPr="00B271B1" w:rsidRDefault="00384A7C" w:rsidP="007F765C">
            <w:pPr>
              <w:autoSpaceDE w:val="0"/>
              <w:autoSpaceDN w:val="0"/>
              <w:adjustRightInd w:val="0"/>
              <w:spacing w:before="120" w:after="120" w:line="240" w:lineRule="auto"/>
              <w:jc w:val="center"/>
              <w:rPr>
                <w:b/>
                <w:color w:val="000000" w:themeColor="text1"/>
                <w:szCs w:val="24"/>
                <w:u w:val="single"/>
                <w:lang w:val="en-AU"/>
              </w:rPr>
            </w:pPr>
            <w:r w:rsidRPr="00B271B1">
              <w:rPr>
                <w:color w:val="000000" w:themeColor="text1"/>
                <w:sz w:val="20"/>
                <w:szCs w:val="20"/>
                <w:lang w:val="en-AU" w:eastAsia="en-AU"/>
              </w:rPr>
              <w:t>14 (11.7%)</w:t>
            </w:r>
          </w:p>
        </w:tc>
        <w:tc>
          <w:tcPr>
            <w:tcW w:w="2262" w:type="dxa"/>
          </w:tcPr>
          <w:p w:rsidR="00384A7C" w:rsidRPr="00B271B1" w:rsidRDefault="00384A7C" w:rsidP="007F765C">
            <w:pPr>
              <w:autoSpaceDE w:val="0"/>
              <w:autoSpaceDN w:val="0"/>
              <w:adjustRightInd w:val="0"/>
              <w:spacing w:before="120" w:after="120" w:line="240" w:lineRule="auto"/>
              <w:jc w:val="center"/>
              <w:rPr>
                <w:b/>
                <w:color w:val="000000" w:themeColor="text1"/>
                <w:szCs w:val="24"/>
                <w:u w:val="single"/>
                <w:lang w:val="en-AU"/>
              </w:rPr>
            </w:pPr>
            <w:r w:rsidRPr="00B271B1">
              <w:rPr>
                <w:color w:val="000000" w:themeColor="text1"/>
                <w:sz w:val="20"/>
                <w:szCs w:val="20"/>
                <w:lang w:val="en-AU" w:eastAsia="en-AU"/>
              </w:rPr>
              <w:t>3 (2.5%)</w:t>
            </w:r>
          </w:p>
        </w:tc>
        <w:tc>
          <w:tcPr>
            <w:tcW w:w="2262" w:type="dxa"/>
          </w:tcPr>
          <w:p w:rsidR="00384A7C" w:rsidRPr="00B271B1" w:rsidRDefault="00384A7C" w:rsidP="007F765C">
            <w:pPr>
              <w:autoSpaceDE w:val="0"/>
              <w:autoSpaceDN w:val="0"/>
              <w:adjustRightInd w:val="0"/>
              <w:spacing w:before="120" w:after="120" w:line="240" w:lineRule="auto"/>
              <w:jc w:val="center"/>
              <w:rPr>
                <w:b/>
                <w:color w:val="000000" w:themeColor="text1"/>
                <w:szCs w:val="24"/>
                <w:u w:val="single"/>
                <w:lang w:val="en-AU"/>
              </w:rPr>
            </w:pPr>
            <w:r w:rsidRPr="00B271B1">
              <w:rPr>
                <w:color w:val="000000" w:themeColor="text1"/>
                <w:sz w:val="20"/>
                <w:szCs w:val="20"/>
                <w:lang w:val="en-AU" w:eastAsia="en-AU"/>
              </w:rPr>
              <w:t>19 (15.8%)</w:t>
            </w:r>
          </w:p>
        </w:tc>
      </w:tr>
    </w:tbl>
    <w:p w:rsidR="00CD35EC" w:rsidRPr="00B271B1" w:rsidRDefault="00425803" w:rsidP="00B91A7A">
      <w:pPr>
        <w:pStyle w:val="Heading1"/>
      </w:pPr>
      <w:r w:rsidRPr="00B271B1">
        <w:t>INDICATIONS</w:t>
      </w:r>
    </w:p>
    <w:p w:rsidR="0035656C" w:rsidRPr="00B271B1" w:rsidRDefault="00EA2ED2" w:rsidP="00B91A7A">
      <w:r>
        <w:t>ARTISS</w:t>
      </w:r>
      <w:r w:rsidR="0035656C" w:rsidRPr="00B271B1">
        <w:t xml:space="preserve"> is indicated to adhere autologous skin grafts in burn patients. </w:t>
      </w:r>
    </w:p>
    <w:p w:rsidR="002E3AB1" w:rsidRDefault="00C455FF" w:rsidP="00B91A7A">
      <w:r w:rsidRPr="00B271B1">
        <w:rPr>
          <w:lang w:val="en-AU" w:eastAsia="en-AU"/>
        </w:rPr>
        <w:t xml:space="preserve">ARTISS is indicated to adhere </w:t>
      </w:r>
      <w:r w:rsidR="00261ED2">
        <w:rPr>
          <w:lang w:val="en-AU" w:eastAsia="en-AU"/>
        </w:rPr>
        <w:t>tissue flaps during facial rhytidectomy surgery (face-lift)</w:t>
      </w:r>
      <w:r w:rsidRPr="00B271B1">
        <w:rPr>
          <w:lang w:val="en-AU" w:eastAsia="en-AU"/>
        </w:rPr>
        <w:t>.</w:t>
      </w:r>
      <w:r w:rsidR="002E3AB1" w:rsidRPr="002E3AB1">
        <w:t xml:space="preserve"> </w:t>
      </w:r>
    </w:p>
    <w:p w:rsidR="00C455FF" w:rsidRPr="00B271B1" w:rsidRDefault="002E3AB1" w:rsidP="00B91A7A">
      <w:pPr>
        <w:rPr>
          <w:lang w:val="en-AU"/>
        </w:rPr>
      </w:pPr>
      <w:r w:rsidRPr="00B271B1">
        <w:t xml:space="preserve">ARTISS is not indicated for </w:t>
      </w:r>
      <w:proofErr w:type="spellStart"/>
      <w:r w:rsidRPr="00B271B1">
        <w:t>haemostasis</w:t>
      </w:r>
      <w:proofErr w:type="spellEnd"/>
      <w:r w:rsidRPr="00B271B1">
        <w:t>.</w:t>
      </w:r>
    </w:p>
    <w:p w:rsidR="00CD35EC" w:rsidRPr="00B271B1" w:rsidRDefault="00425803" w:rsidP="00B91A7A">
      <w:pPr>
        <w:pStyle w:val="Heading1"/>
      </w:pPr>
      <w:r w:rsidRPr="00B271B1">
        <w:t>CONTRAINDICATIONS</w:t>
      </w:r>
    </w:p>
    <w:p w:rsidR="00390307" w:rsidRPr="00390307" w:rsidRDefault="00390307" w:rsidP="00B91A7A">
      <w:pPr>
        <w:rPr>
          <w:lang w:val="en-AU"/>
        </w:rPr>
      </w:pPr>
      <w:r w:rsidRPr="00390307">
        <w:rPr>
          <w:lang w:val="en-AU"/>
        </w:rPr>
        <w:t>Known hypersensitivity to aprotinin or known hypersensitivity to any other component of ARTISS.</w:t>
      </w:r>
    </w:p>
    <w:p w:rsidR="002E3AB1" w:rsidRDefault="00390307" w:rsidP="00B91A7A">
      <w:r w:rsidRPr="00390307">
        <w:rPr>
          <w:lang w:val="en-AU"/>
        </w:rPr>
        <w:t>Injection of ARTISS into tissues is contraindicated. Such use has been associated with inadvertent intravascular injection, with thromboembolic complications. ARTISS should be applied with caution to minimise any risk of intravascular application. ARTISS should only be applied topically.</w:t>
      </w:r>
      <w:r w:rsidR="002E3AB1" w:rsidRPr="002E3AB1">
        <w:t xml:space="preserve"> </w:t>
      </w:r>
    </w:p>
    <w:p w:rsidR="00390307" w:rsidRPr="00390307" w:rsidRDefault="002E3AB1" w:rsidP="00B91A7A">
      <w:pPr>
        <w:rPr>
          <w:lang w:val="en-AU"/>
        </w:rPr>
      </w:pPr>
      <w:r w:rsidRPr="002E3AB1">
        <w:rPr>
          <w:lang w:val="en-AU"/>
        </w:rPr>
        <w:t>Additionally, soft tissue injection of ARTISS carries the risk of an anaphylactic reaction and/or local tissue damage.</w:t>
      </w:r>
      <w:r w:rsidR="00390307" w:rsidRPr="00390307">
        <w:rPr>
          <w:lang w:val="en-AU"/>
        </w:rPr>
        <w:t xml:space="preserve"> </w:t>
      </w:r>
    </w:p>
    <w:p w:rsidR="00CD35EC" w:rsidRPr="00B271B1" w:rsidRDefault="00425803" w:rsidP="00B91A7A">
      <w:pPr>
        <w:pStyle w:val="Heading1"/>
      </w:pPr>
      <w:r w:rsidRPr="00B271B1">
        <w:lastRenderedPageBreak/>
        <w:t>PRECAUTIONS</w:t>
      </w:r>
    </w:p>
    <w:p w:rsidR="00154A19" w:rsidRPr="00205D37" w:rsidRDefault="00154A19" w:rsidP="00B91A7A">
      <w:pPr>
        <w:pStyle w:val="Heading2"/>
      </w:pPr>
      <w:r w:rsidRPr="00205D37">
        <w:t>Viral and Prion Risk</w:t>
      </w:r>
    </w:p>
    <w:p w:rsidR="00154A19" w:rsidRPr="00683CB3" w:rsidRDefault="00154A19" w:rsidP="00B91A7A">
      <w:pPr>
        <w:rPr>
          <w:lang w:val="en-AU"/>
        </w:rPr>
      </w:pPr>
      <w:r w:rsidRPr="00683CB3">
        <w:rPr>
          <w:lang w:val="en-AU"/>
        </w:rPr>
        <w:t>Sealer Protein Solution and Thrombin Solution are made from human plasma. Products made from human plasma may contain infectious agents which can cause disease, such as viruses and theoretically</w:t>
      </w:r>
      <w:r w:rsidR="00683CB3">
        <w:rPr>
          <w:lang w:val="en-AU"/>
        </w:rPr>
        <w:t>, the agent that causes</w:t>
      </w:r>
      <w:r w:rsidRPr="00683CB3">
        <w:rPr>
          <w:lang w:val="en-AU"/>
        </w:rPr>
        <w:t xml:space="preserve"> </w:t>
      </w:r>
      <w:r w:rsidR="00683CB3">
        <w:rPr>
          <w:lang w:val="en-AU"/>
        </w:rPr>
        <w:t xml:space="preserve">Creutzfeldt-Jakob </w:t>
      </w:r>
      <w:r w:rsidRPr="00683CB3">
        <w:rPr>
          <w:lang w:val="en-AU"/>
        </w:rPr>
        <w:t xml:space="preserve">Disease (CJD) </w:t>
      </w:r>
      <w:r w:rsidR="00683CB3">
        <w:rPr>
          <w:lang w:val="en-AU"/>
        </w:rPr>
        <w:t>in humans</w:t>
      </w:r>
      <w:r w:rsidRPr="00683CB3">
        <w:rPr>
          <w:lang w:val="en-AU"/>
        </w:rPr>
        <w:t>. Standard measures to prevent infections resulting from the use of medicinal products prepared from human blood or plasma include selection of donors, screening of individual donations and plasma pools for specific markers of infection and the inclusion of effective manufacturing steps for the inactivation/removal of viruses. Despite this, when medicinal products prepared from human blood or plasma are administered, the possibility of transmitting infective agents cannot be totally excluded. This also applies to unknown or emerging viruses or other pathogens.</w:t>
      </w:r>
    </w:p>
    <w:p w:rsidR="002E3AB1" w:rsidRDefault="00154A19" w:rsidP="00B91A7A">
      <w:r w:rsidRPr="00683CB3">
        <w:rPr>
          <w:lang w:val="en-AU"/>
        </w:rPr>
        <w:t xml:space="preserve">The measures taken (including double virus inactivation by vapour heat treatment and solvent detergent treatment) are considered effective for enveloped viruses such as HIV, HBV, and HCV, and for the non-enveloped virus HAV. The measures taken may be of limited value against small non-enveloped viruses such as parvovirus B19. Parvovirus B19 infection may be serious for pregnant women (foetal infection) and for individuals with immunodeficiency or increased red blood cell turnover (e.g., </w:t>
      </w:r>
      <w:proofErr w:type="spellStart"/>
      <w:r w:rsidRPr="00683CB3">
        <w:rPr>
          <w:lang w:val="en-AU"/>
        </w:rPr>
        <w:t>hemolytic</w:t>
      </w:r>
      <w:proofErr w:type="spellEnd"/>
      <w:r w:rsidRPr="00683CB3">
        <w:rPr>
          <w:lang w:val="en-AU"/>
        </w:rPr>
        <w:t xml:space="preserve"> anaemia).</w:t>
      </w:r>
      <w:r w:rsidR="002E3AB1" w:rsidRPr="002E3AB1">
        <w:t xml:space="preserve"> </w:t>
      </w:r>
    </w:p>
    <w:p w:rsidR="00154A19" w:rsidRPr="00683CB3" w:rsidRDefault="002E3AB1" w:rsidP="00683CB3">
      <w:pPr>
        <w:rPr>
          <w:color w:val="000000" w:themeColor="text1"/>
          <w:szCs w:val="24"/>
          <w:lang w:val="en-AU"/>
        </w:rPr>
      </w:pPr>
      <w:r w:rsidRPr="002E3AB1">
        <w:rPr>
          <w:color w:val="000000" w:themeColor="text1"/>
          <w:szCs w:val="24"/>
          <w:lang w:val="en-AU"/>
        </w:rPr>
        <w:t>It is strongly recommended that every time a patient receives a dose of ARTISS, the name and batch number of the product are recorded in order to maintain a record of the batches used.</w:t>
      </w:r>
    </w:p>
    <w:p w:rsidR="00154A19" w:rsidRPr="00683CB3" w:rsidRDefault="00154A19" w:rsidP="00683CB3">
      <w:pPr>
        <w:rPr>
          <w:color w:val="000000" w:themeColor="text1"/>
          <w:szCs w:val="24"/>
          <w:lang w:val="en-AU"/>
        </w:rPr>
      </w:pPr>
      <w:r w:rsidRPr="00683CB3">
        <w:rPr>
          <w:color w:val="000000" w:themeColor="text1"/>
          <w:szCs w:val="24"/>
          <w:lang w:val="en-AU"/>
        </w:rPr>
        <w:t>All infections thought by a clinician possibly to have been transmitted by ARTISS should be reported by the clinician or other healthcare provider to Baxter.</w:t>
      </w:r>
    </w:p>
    <w:p w:rsidR="00154A19" w:rsidRPr="00683CB3" w:rsidRDefault="00154A19" w:rsidP="00683CB3">
      <w:pPr>
        <w:rPr>
          <w:color w:val="000000" w:themeColor="text1"/>
          <w:szCs w:val="24"/>
          <w:lang w:val="en-AU"/>
        </w:rPr>
      </w:pPr>
      <w:r w:rsidRPr="00683CB3">
        <w:rPr>
          <w:color w:val="000000" w:themeColor="text1"/>
          <w:szCs w:val="24"/>
          <w:lang w:val="en-AU"/>
        </w:rPr>
        <w:t>Patients should be instructed to consult their clinician if symptoms of B19 virus infection appear (fever, drowsiness, chills and runny nose, followed about two weeks later by a rash and joint pain).</w:t>
      </w:r>
    </w:p>
    <w:p w:rsidR="00154A19" w:rsidRPr="00205D37" w:rsidRDefault="00154A19" w:rsidP="00B91A7A">
      <w:pPr>
        <w:pStyle w:val="Heading2"/>
        <w:rPr>
          <w:lang w:val="en-AU"/>
        </w:rPr>
      </w:pPr>
      <w:r w:rsidRPr="00205D37">
        <w:rPr>
          <w:lang w:val="en-AU"/>
        </w:rPr>
        <w:t>General</w:t>
      </w:r>
    </w:p>
    <w:p w:rsidR="00154A19" w:rsidRPr="00683CB3" w:rsidRDefault="00154A19" w:rsidP="00B91A7A">
      <w:pPr>
        <w:rPr>
          <w:lang w:val="en-AU"/>
        </w:rPr>
      </w:pPr>
      <w:r w:rsidRPr="00683CB3">
        <w:rPr>
          <w:lang w:val="en-AU"/>
        </w:rPr>
        <w:t xml:space="preserve">Administration of ARTISS may result in allergic reactions in some patients. For patients with a known allergic diathesis, a history of hypersensitivity to medical products or a history of having previously received aprotinin-containing products (including previous use of ARTISS) a careful risk-benefit assessment should be carried out prior to administration. The risk of immunisation against proteins such as aprotinin is increased if repeated exposure occurs within six months. If it is decided to proceed with treatment in such patients, prior administration of antihistamines should be considered. </w:t>
      </w:r>
    </w:p>
    <w:p w:rsidR="00154A19" w:rsidRPr="00683CB3" w:rsidRDefault="00154A19" w:rsidP="00B91A7A">
      <w:pPr>
        <w:rPr>
          <w:lang w:val="en-AU"/>
        </w:rPr>
      </w:pPr>
      <w:r w:rsidRPr="00683CB3">
        <w:rPr>
          <w:lang w:val="en-AU"/>
        </w:rPr>
        <w:t xml:space="preserve">Manifestations of hypersensitivity reactions to ARTISS observed include: bradycardia, tachycardia, hypotension, flushing, </w:t>
      </w:r>
      <w:proofErr w:type="spellStart"/>
      <w:r w:rsidRPr="00683CB3">
        <w:rPr>
          <w:lang w:val="en-AU"/>
        </w:rPr>
        <w:t>bronchospasm</w:t>
      </w:r>
      <w:proofErr w:type="spellEnd"/>
      <w:r w:rsidRPr="00683CB3">
        <w:rPr>
          <w:lang w:val="en-AU"/>
        </w:rPr>
        <w:t xml:space="preserve">, wheezing, </w:t>
      </w:r>
      <w:proofErr w:type="spellStart"/>
      <w:r w:rsidRPr="00683CB3">
        <w:rPr>
          <w:lang w:val="en-AU"/>
        </w:rPr>
        <w:t>dyspnea</w:t>
      </w:r>
      <w:proofErr w:type="spellEnd"/>
      <w:r w:rsidRPr="00683CB3">
        <w:rPr>
          <w:lang w:val="en-AU"/>
        </w:rPr>
        <w:t xml:space="preserve">, nausea, </w:t>
      </w:r>
      <w:proofErr w:type="spellStart"/>
      <w:r w:rsidRPr="00683CB3">
        <w:rPr>
          <w:lang w:val="en-AU"/>
        </w:rPr>
        <w:t>urticaria</w:t>
      </w:r>
      <w:proofErr w:type="spellEnd"/>
      <w:r w:rsidRPr="00683CB3">
        <w:rPr>
          <w:lang w:val="en-AU"/>
        </w:rPr>
        <w:t xml:space="preserve">, </w:t>
      </w:r>
      <w:proofErr w:type="spellStart"/>
      <w:r w:rsidRPr="00683CB3">
        <w:rPr>
          <w:lang w:val="en-AU"/>
        </w:rPr>
        <w:t>angioedema</w:t>
      </w:r>
      <w:proofErr w:type="spellEnd"/>
      <w:r w:rsidRPr="00683CB3">
        <w:rPr>
          <w:lang w:val="en-AU"/>
        </w:rPr>
        <w:t xml:space="preserve">, </w:t>
      </w:r>
      <w:proofErr w:type="spellStart"/>
      <w:r w:rsidRPr="00683CB3">
        <w:rPr>
          <w:lang w:val="en-AU"/>
        </w:rPr>
        <w:t>pruritus</w:t>
      </w:r>
      <w:proofErr w:type="spellEnd"/>
      <w:r w:rsidRPr="00683CB3">
        <w:rPr>
          <w:lang w:val="en-AU"/>
        </w:rPr>
        <w:t xml:space="preserve">, </w:t>
      </w:r>
      <w:proofErr w:type="spellStart"/>
      <w:r w:rsidRPr="00683CB3">
        <w:rPr>
          <w:lang w:val="en-AU"/>
        </w:rPr>
        <w:t>erythema</w:t>
      </w:r>
      <w:proofErr w:type="spellEnd"/>
      <w:r w:rsidRPr="00683CB3">
        <w:rPr>
          <w:lang w:val="en-AU"/>
        </w:rPr>
        <w:t xml:space="preserve">, paresthesia. Fatal anaphylactic reactions, including anaphylactic shock, have also been reported with ARTISS. Refer ADVERSE EFFECTS.  Intravascular application might increase the </w:t>
      </w:r>
      <w:r w:rsidRPr="00683CB3">
        <w:rPr>
          <w:lang w:val="en-AU"/>
        </w:rPr>
        <w:lastRenderedPageBreak/>
        <w:t>likelihood and severity of acute hypersensitivity reactions in susceptible patients.</w:t>
      </w:r>
      <w:r w:rsidR="00F90E0E">
        <w:rPr>
          <w:lang w:val="en-AU"/>
        </w:rPr>
        <w:t xml:space="preserve"> </w:t>
      </w:r>
      <w:r w:rsidR="00F90E0E" w:rsidRPr="00F90E0E">
        <w:rPr>
          <w:lang w:val="en-AU"/>
        </w:rPr>
        <w:t>Because of the risk of intravascular injection, the product must not be injected into highly vascularised tissue, such as nasal mucosa.</w:t>
      </w:r>
    </w:p>
    <w:p w:rsidR="00154A19" w:rsidRPr="00683CB3" w:rsidRDefault="00154A19" w:rsidP="00B91A7A">
      <w:pPr>
        <w:rPr>
          <w:lang w:val="en-AU"/>
        </w:rPr>
      </w:pPr>
      <w:r w:rsidRPr="00683CB3">
        <w:rPr>
          <w:lang w:val="en-AU"/>
        </w:rPr>
        <w:t>ARTISS contains synthetic aprotinin. As synthetic aprotinin is structurally identical to bovine aprotinin, the use of ARTISS in patients with allergies to bovine proteins should be carefully evaluated.</w:t>
      </w:r>
    </w:p>
    <w:p w:rsidR="00154A19" w:rsidRPr="00683CB3" w:rsidRDefault="00154A19" w:rsidP="00683CB3">
      <w:pPr>
        <w:rPr>
          <w:color w:val="000000" w:themeColor="text1"/>
          <w:szCs w:val="24"/>
          <w:lang w:val="en-AU"/>
        </w:rPr>
      </w:pPr>
      <w:r w:rsidRPr="00683CB3">
        <w:rPr>
          <w:color w:val="000000" w:themeColor="text1"/>
          <w:szCs w:val="24"/>
          <w:lang w:val="en-AU"/>
        </w:rPr>
        <w:t>Air or gas embolism, tissue rupture, or gas entrapment with compression, which may be life-threatening, have occurred with the use of spray devices employing a pressure regulator to administer ARTISS.  These events appear to be related to the use of the spray device at higher than recommended pressures and in close proximity to the tissue surface.</w:t>
      </w:r>
    </w:p>
    <w:p w:rsidR="002E3AB1" w:rsidRDefault="00154A19" w:rsidP="002E3AB1">
      <w:pPr>
        <w:rPr>
          <w:color w:val="000000" w:themeColor="text1"/>
          <w:szCs w:val="24"/>
          <w:lang w:val="en-AU"/>
        </w:rPr>
      </w:pPr>
      <w:r w:rsidRPr="00683CB3">
        <w:rPr>
          <w:color w:val="000000" w:themeColor="text1"/>
          <w:szCs w:val="24"/>
          <w:lang w:val="en-AU"/>
        </w:rPr>
        <w:t>When applying ARTISS using a spray device, be sure to use the pressure within the pressure range recommend by the spray device manufacturer.  In the absence of a specific recommendation avoid using pressure above 1.4-1.7 bars (20 – 25 psi).  Do not spray closer than the distance recommended by the spray device manufacturer.  In the absence of a specific recommendation avoid spraying closer than 10-15 cm from the surface of the tissue. When spraying ARTISS, changes in blood pressure, pulse, oxygen saturation and end tidal CO2 should be monitored because of the possibility of occurrence of air or gas embolism.</w:t>
      </w:r>
      <w:r w:rsidR="002E3AB1" w:rsidRPr="002E3AB1">
        <w:rPr>
          <w:color w:val="000000" w:themeColor="text1"/>
          <w:szCs w:val="24"/>
          <w:lang w:val="en-AU"/>
        </w:rPr>
        <w:t xml:space="preserve"> </w:t>
      </w:r>
    </w:p>
    <w:p w:rsidR="002E3AB1" w:rsidRPr="00683CB3" w:rsidRDefault="002E3AB1" w:rsidP="002E3AB1">
      <w:pPr>
        <w:rPr>
          <w:color w:val="000000" w:themeColor="text1"/>
          <w:szCs w:val="24"/>
          <w:lang w:val="en-AU"/>
        </w:rPr>
      </w:pPr>
      <w:r w:rsidRPr="00683CB3">
        <w:rPr>
          <w:color w:val="000000" w:themeColor="text1"/>
          <w:szCs w:val="24"/>
          <w:lang w:val="en-AU"/>
        </w:rPr>
        <w:t>As the Sealer Protein and Thrombin Solutions can be denatured following contact with solutions containing alcohol, iodine or heavy metals (e.g. in disinfectants), any such substances should be removed before application. Refer INCOMPATIBILITIES.</w:t>
      </w:r>
    </w:p>
    <w:p w:rsidR="002E3AB1" w:rsidRPr="00683CB3" w:rsidRDefault="002E3AB1" w:rsidP="002E3AB1">
      <w:pPr>
        <w:rPr>
          <w:color w:val="000000" w:themeColor="text1"/>
          <w:szCs w:val="24"/>
          <w:lang w:val="en-AU"/>
        </w:rPr>
      </w:pPr>
      <w:r w:rsidRPr="00683CB3">
        <w:rPr>
          <w:color w:val="000000" w:themeColor="text1"/>
          <w:szCs w:val="24"/>
          <w:lang w:val="en-AU"/>
        </w:rPr>
        <w:t>If possible, cover all tissue adjacent to the site of sealing before applying ARTISS.</w:t>
      </w:r>
    </w:p>
    <w:p w:rsidR="005F4A0F" w:rsidRDefault="002E3AB1" w:rsidP="00B91A7A">
      <w:pPr>
        <w:rPr>
          <w:lang w:val="en-AU"/>
        </w:rPr>
      </w:pPr>
      <w:r w:rsidRPr="00683CB3">
        <w:rPr>
          <w:lang w:val="en-AU"/>
        </w:rPr>
        <w:t>Apply ARTISS in a thin layer. Excessive clot thickness may negatively interfere with the product’s efficacy and the wound healing process.</w:t>
      </w:r>
    </w:p>
    <w:p w:rsidR="000C32FB" w:rsidRPr="00B271B1" w:rsidRDefault="000C32FB" w:rsidP="00B91A7A">
      <w:pPr>
        <w:pStyle w:val="Heading2"/>
      </w:pPr>
      <w:r w:rsidRPr="00B271B1">
        <w:t xml:space="preserve">Effects on </w:t>
      </w:r>
      <w:r w:rsidR="00661F3E">
        <w:t>f</w:t>
      </w:r>
      <w:r w:rsidR="00661F3E" w:rsidRPr="00B271B1">
        <w:t>ertility</w:t>
      </w:r>
    </w:p>
    <w:p w:rsidR="006747C0" w:rsidRPr="00B271B1" w:rsidRDefault="000C32FB" w:rsidP="00F52102">
      <w:pPr>
        <w:pStyle w:val="Formatvorlage2"/>
        <w:tabs>
          <w:tab w:val="clear" w:pos="720"/>
        </w:tabs>
        <w:spacing w:after="200" w:line="276" w:lineRule="auto"/>
        <w:jc w:val="both"/>
        <w:rPr>
          <w:rFonts w:ascii="Times New Roman" w:hAnsi="Times New Roman"/>
          <w:color w:val="000000" w:themeColor="text1"/>
        </w:rPr>
      </w:pPr>
      <w:r w:rsidRPr="00B271B1">
        <w:rPr>
          <w:rFonts w:ascii="Times New Roman" w:hAnsi="Times New Roman"/>
          <w:color w:val="000000" w:themeColor="text1"/>
        </w:rPr>
        <w:t xml:space="preserve">Studies of the effect of </w:t>
      </w:r>
      <w:r w:rsidR="00261ED2">
        <w:rPr>
          <w:rFonts w:ascii="Times New Roman" w:hAnsi="Times New Roman"/>
          <w:color w:val="000000" w:themeColor="text1"/>
        </w:rPr>
        <w:t>ARTISS</w:t>
      </w:r>
      <w:r w:rsidR="00261ED2" w:rsidRPr="00B271B1">
        <w:rPr>
          <w:rFonts w:ascii="Times New Roman" w:hAnsi="Times New Roman"/>
          <w:color w:val="000000" w:themeColor="text1"/>
        </w:rPr>
        <w:t xml:space="preserve"> </w:t>
      </w:r>
      <w:r w:rsidRPr="00B271B1">
        <w:rPr>
          <w:rFonts w:ascii="Times New Roman" w:hAnsi="Times New Roman"/>
          <w:color w:val="000000" w:themeColor="text1"/>
        </w:rPr>
        <w:t>on fertility have not been performed.</w:t>
      </w:r>
    </w:p>
    <w:p w:rsidR="00B83CF3" w:rsidRPr="00B271B1" w:rsidRDefault="00425803" w:rsidP="00B91A7A">
      <w:pPr>
        <w:pStyle w:val="Heading2"/>
        <w:rPr>
          <w:lang w:val="en-AU"/>
        </w:rPr>
      </w:pPr>
      <w:r w:rsidRPr="00B271B1">
        <w:rPr>
          <w:lang w:val="en-AU"/>
        </w:rPr>
        <w:t>Use in pregnancy</w:t>
      </w:r>
    </w:p>
    <w:p w:rsidR="00475B7C" w:rsidRPr="00B271B1" w:rsidRDefault="00425803" w:rsidP="00F52102">
      <w:pPr>
        <w:outlineLvl w:val="0"/>
        <w:rPr>
          <w:color w:val="000000" w:themeColor="text1"/>
          <w:szCs w:val="24"/>
          <w:lang w:val="en-AU"/>
        </w:rPr>
      </w:pPr>
      <w:r w:rsidRPr="00B271B1">
        <w:rPr>
          <w:color w:val="000000" w:themeColor="text1"/>
          <w:szCs w:val="24"/>
          <w:lang w:val="en-AU"/>
        </w:rPr>
        <w:t>Category B2</w:t>
      </w:r>
    </w:p>
    <w:p w:rsidR="00B83CF3" w:rsidRPr="00B271B1" w:rsidRDefault="00425803" w:rsidP="00F52102">
      <w:pPr>
        <w:rPr>
          <w:color w:val="000000" w:themeColor="text1"/>
          <w:szCs w:val="24"/>
          <w:lang w:val="en-AU"/>
        </w:rPr>
      </w:pPr>
      <w:r w:rsidRPr="00B271B1">
        <w:rPr>
          <w:color w:val="000000" w:themeColor="text1"/>
          <w:szCs w:val="24"/>
          <w:lang w:val="en-AU"/>
        </w:rPr>
        <w:t xml:space="preserve">The safety of </w:t>
      </w:r>
      <w:r w:rsidR="00A921D2" w:rsidRPr="00B271B1">
        <w:rPr>
          <w:color w:val="000000" w:themeColor="text1"/>
          <w:szCs w:val="24"/>
          <w:lang w:val="en-AU"/>
        </w:rPr>
        <w:t>ARTISS</w:t>
      </w:r>
      <w:r w:rsidRPr="00B271B1">
        <w:rPr>
          <w:color w:val="000000" w:themeColor="text1"/>
          <w:szCs w:val="24"/>
          <w:lang w:val="en-AU"/>
        </w:rPr>
        <w:t xml:space="preserve"> for use in human pregnancy has not been established in controlled clinical studies. Animal studies have also not been performed. Physicians should carefully consider the potential risks and benefits for each patient before prescribing ARTISS.</w:t>
      </w:r>
    </w:p>
    <w:p w:rsidR="00B83CF3" w:rsidRPr="00B271B1" w:rsidRDefault="00425803" w:rsidP="00F52102">
      <w:pPr>
        <w:rPr>
          <w:color w:val="000000" w:themeColor="text1"/>
          <w:szCs w:val="24"/>
          <w:lang w:val="en-AU"/>
        </w:rPr>
      </w:pPr>
      <w:r w:rsidRPr="00B271B1">
        <w:rPr>
          <w:color w:val="000000" w:themeColor="text1"/>
          <w:szCs w:val="24"/>
          <w:lang w:val="en-AU"/>
        </w:rPr>
        <w:t>Therefore, the product should be administered to pregnant women only if clearly needed.</w:t>
      </w:r>
    </w:p>
    <w:p w:rsidR="00B83CF3" w:rsidRPr="00B271B1" w:rsidRDefault="00425803" w:rsidP="00B91A7A">
      <w:pPr>
        <w:pStyle w:val="Heading2"/>
        <w:rPr>
          <w:lang w:val="en-AU"/>
        </w:rPr>
      </w:pPr>
      <w:r w:rsidRPr="00B271B1">
        <w:rPr>
          <w:lang w:val="en-AU"/>
        </w:rPr>
        <w:lastRenderedPageBreak/>
        <w:t>Use in lactation</w:t>
      </w:r>
    </w:p>
    <w:p w:rsidR="00B83CF3" w:rsidRPr="00B271B1" w:rsidRDefault="00425803" w:rsidP="00F52102">
      <w:pPr>
        <w:rPr>
          <w:color w:val="000000" w:themeColor="text1"/>
          <w:szCs w:val="24"/>
          <w:lang w:val="en-AU"/>
        </w:rPr>
      </w:pPr>
      <w:r w:rsidRPr="00B271B1">
        <w:rPr>
          <w:color w:val="000000" w:themeColor="text1"/>
          <w:szCs w:val="24"/>
          <w:lang w:val="en-AU"/>
        </w:rPr>
        <w:t xml:space="preserve">The safety of </w:t>
      </w:r>
      <w:r w:rsidR="00A921D2" w:rsidRPr="00B271B1">
        <w:rPr>
          <w:color w:val="000000" w:themeColor="text1"/>
          <w:szCs w:val="24"/>
          <w:lang w:val="en-AU"/>
        </w:rPr>
        <w:t>ARTISS</w:t>
      </w:r>
      <w:r w:rsidRPr="00B271B1">
        <w:rPr>
          <w:color w:val="000000" w:themeColor="text1"/>
          <w:szCs w:val="24"/>
          <w:lang w:val="en-AU"/>
        </w:rPr>
        <w:t xml:space="preserve"> for use in breastfeeding has not been established in controlled clinical studies. Animal studies have also not been performed. Physicians should carefully consider the potential risks and benefits for each patient before prescribing ARTISS.</w:t>
      </w:r>
    </w:p>
    <w:p w:rsidR="00B83CF3" w:rsidRPr="00B271B1" w:rsidRDefault="00425803" w:rsidP="00F52102">
      <w:pPr>
        <w:rPr>
          <w:color w:val="000000" w:themeColor="text1"/>
          <w:szCs w:val="24"/>
          <w:lang w:val="en-AU"/>
        </w:rPr>
      </w:pPr>
      <w:r w:rsidRPr="00B271B1">
        <w:rPr>
          <w:color w:val="000000" w:themeColor="text1"/>
          <w:szCs w:val="24"/>
          <w:lang w:val="en-AU"/>
        </w:rPr>
        <w:t>Therefore, the product should be administered to lactating women only if clearly needed.</w:t>
      </w:r>
    </w:p>
    <w:p w:rsidR="00E774FD" w:rsidRPr="00B271B1" w:rsidRDefault="00425803" w:rsidP="00B91A7A">
      <w:pPr>
        <w:pStyle w:val="Heading2"/>
        <w:rPr>
          <w:lang w:val="en-AU"/>
        </w:rPr>
      </w:pPr>
      <w:r w:rsidRPr="00B271B1">
        <w:rPr>
          <w:lang w:val="en-AU"/>
        </w:rPr>
        <w:t>Paediatric use</w:t>
      </w:r>
    </w:p>
    <w:p w:rsidR="00E774FD" w:rsidRPr="00B271B1" w:rsidRDefault="002E3AB1" w:rsidP="00F52102">
      <w:pPr>
        <w:rPr>
          <w:color w:val="000000" w:themeColor="text1"/>
          <w:szCs w:val="24"/>
          <w:lang w:val="en-AU"/>
        </w:rPr>
      </w:pPr>
      <w:r w:rsidRPr="002E3AB1">
        <w:rPr>
          <w:color w:val="000000" w:themeColor="text1"/>
          <w:szCs w:val="24"/>
          <w:lang w:val="en-AU"/>
        </w:rPr>
        <w:t>In the burns setting, efficacy</w:t>
      </w:r>
      <w:r w:rsidR="00425803" w:rsidRPr="00B271B1">
        <w:rPr>
          <w:color w:val="000000" w:themeColor="text1"/>
          <w:szCs w:val="24"/>
          <w:lang w:val="en-AU"/>
        </w:rPr>
        <w:t xml:space="preserve"> and safety in the paediatric population was not different from the adult population.</w:t>
      </w:r>
    </w:p>
    <w:p w:rsidR="00E774FD" w:rsidRPr="00B271B1" w:rsidRDefault="00425803" w:rsidP="009D3026">
      <w:pPr>
        <w:pStyle w:val="Heading2"/>
        <w:rPr>
          <w:rFonts w:ascii="Times New Roman" w:hAnsi="Times New Roman" w:cs="Times New Roman"/>
          <w:color w:val="000000" w:themeColor="text1"/>
          <w:sz w:val="24"/>
          <w:szCs w:val="24"/>
          <w:lang w:val="en-AU"/>
        </w:rPr>
      </w:pPr>
      <w:r w:rsidRPr="00B91A7A">
        <w:t xml:space="preserve">Use in </w:t>
      </w:r>
      <w:r w:rsidRPr="00B271B1">
        <w:rPr>
          <w:rFonts w:ascii="Times New Roman" w:hAnsi="Times New Roman" w:cs="Times New Roman"/>
          <w:color w:val="000000" w:themeColor="text1"/>
          <w:sz w:val="24"/>
          <w:szCs w:val="24"/>
          <w:lang w:val="en-AU"/>
        </w:rPr>
        <w:t>the elderly</w:t>
      </w:r>
    </w:p>
    <w:p w:rsidR="00E774FD" w:rsidRPr="00B271B1" w:rsidRDefault="00384A7C" w:rsidP="00F52102">
      <w:pPr>
        <w:autoSpaceDE w:val="0"/>
        <w:autoSpaceDN w:val="0"/>
        <w:adjustRightInd w:val="0"/>
        <w:rPr>
          <w:color w:val="000000" w:themeColor="text1"/>
          <w:szCs w:val="24"/>
          <w:lang w:val="en-AU"/>
        </w:rPr>
      </w:pPr>
      <w:r w:rsidRPr="00B271B1">
        <w:rPr>
          <w:color w:val="000000" w:themeColor="text1"/>
          <w:szCs w:val="24"/>
          <w:lang w:val="en-AU" w:eastAsia="en-AU"/>
        </w:rPr>
        <w:t>Thirteen subjects aged 65 and older</w:t>
      </w:r>
      <w:r w:rsidRPr="00B271B1">
        <w:rPr>
          <w:rFonts w:ascii="Arial" w:hAnsi="Arial" w:cs="Arial"/>
          <w:color w:val="000000" w:themeColor="text1"/>
          <w:sz w:val="12"/>
          <w:szCs w:val="12"/>
          <w:lang w:val="en-AU" w:eastAsia="en-AU"/>
        </w:rPr>
        <w:t xml:space="preserve"> </w:t>
      </w:r>
      <w:r w:rsidRPr="00B271B1">
        <w:rPr>
          <w:color w:val="000000" w:themeColor="text1"/>
          <w:szCs w:val="24"/>
          <w:lang w:val="en-AU" w:eastAsia="en-AU"/>
        </w:rPr>
        <w:t xml:space="preserve">(40 – 71 years of age) have been treated with ARTISS in facial </w:t>
      </w:r>
      <w:proofErr w:type="spellStart"/>
      <w:r w:rsidRPr="00B271B1">
        <w:rPr>
          <w:color w:val="000000" w:themeColor="text1"/>
          <w:szCs w:val="24"/>
          <w:lang w:val="en-AU" w:eastAsia="en-AU"/>
        </w:rPr>
        <w:t>rhytidectomy</w:t>
      </w:r>
      <w:proofErr w:type="spellEnd"/>
      <w:r w:rsidRPr="00B271B1">
        <w:rPr>
          <w:color w:val="000000" w:themeColor="text1"/>
          <w:szCs w:val="24"/>
          <w:lang w:val="en-AU" w:eastAsia="en-AU"/>
        </w:rPr>
        <w:t xml:space="preserve"> clinical studies. Separate</w:t>
      </w:r>
      <w:r w:rsidRPr="00B271B1">
        <w:rPr>
          <w:rFonts w:ascii="Arial" w:hAnsi="Arial" w:cs="Arial"/>
          <w:color w:val="000000" w:themeColor="text1"/>
          <w:sz w:val="12"/>
          <w:szCs w:val="12"/>
          <w:lang w:val="en-AU" w:eastAsia="en-AU"/>
        </w:rPr>
        <w:t xml:space="preserve"> </w:t>
      </w:r>
      <w:r w:rsidRPr="00B271B1">
        <w:rPr>
          <w:color w:val="000000" w:themeColor="text1"/>
          <w:szCs w:val="24"/>
          <w:lang w:val="en-AU" w:eastAsia="en-AU"/>
        </w:rPr>
        <w:t>evaluations of these subjects were not performed.</w:t>
      </w:r>
    </w:p>
    <w:p w:rsidR="00F90E0E" w:rsidRPr="00B271B1" w:rsidRDefault="00F90E0E" w:rsidP="00B91A7A">
      <w:pPr>
        <w:pStyle w:val="Heading2"/>
        <w:rPr>
          <w:lang w:val="en-AU"/>
        </w:rPr>
      </w:pPr>
      <w:r w:rsidRPr="00B271B1">
        <w:rPr>
          <w:lang w:val="en-AU"/>
        </w:rPr>
        <w:t>Genotoxicity</w:t>
      </w:r>
    </w:p>
    <w:p w:rsidR="00F90E0E" w:rsidRPr="00B271B1" w:rsidRDefault="00F90E0E" w:rsidP="00F90E0E">
      <w:pPr>
        <w:rPr>
          <w:color w:val="000000" w:themeColor="text1"/>
          <w:szCs w:val="24"/>
          <w:lang w:val="en-AU"/>
        </w:rPr>
      </w:pPr>
      <w:r w:rsidRPr="00B271B1">
        <w:rPr>
          <w:color w:val="000000" w:themeColor="text1"/>
          <w:szCs w:val="24"/>
          <w:lang w:val="en-AU"/>
        </w:rPr>
        <w:t>Studies of genotoxic potential of ARTISS have not been performed.</w:t>
      </w:r>
    </w:p>
    <w:p w:rsidR="00E774FD" w:rsidRPr="00B271B1" w:rsidRDefault="00425803" w:rsidP="00B91A7A">
      <w:pPr>
        <w:pStyle w:val="Heading2"/>
        <w:rPr>
          <w:lang w:val="en-AU"/>
        </w:rPr>
      </w:pPr>
      <w:r w:rsidRPr="00B271B1">
        <w:rPr>
          <w:lang w:val="en-AU"/>
        </w:rPr>
        <w:t>Carcinogenicity</w:t>
      </w:r>
    </w:p>
    <w:p w:rsidR="00B83CF3" w:rsidRPr="007E24AE" w:rsidRDefault="00425803" w:rsidP="007E24AE">
      <w:pPr>
        <w:rPr>
          <w:b/>
          <w:szCs w:val="28"/>
        </w:rPr>
      </w:pPr>
      <w:r w:rsidRPr="007E24AE">
        <w:rPr>
          <w:b/>
        </w:rPr>
        <w:t xml:space="preserve">Animal studies to evaluate the carcinogenic potential of ARTISS have not been </w:t>
      </w:r>
      <w:proofErr w:type="spellStart"/>
      <w:r w:rsidRPr="007E24AE">
        <w:rPr>
          <w:b/>
        </w:rPr>
        <w:t>performed.</w:t>
      </w:r>
      <w:r w:rsidR="00661F3E" w:rsidRPr="007E24AE">
        <w:rPr>
          <w:b/>
          <w:szCs w:val="28"/>
        </w:rPr>
        <w:t>INTERACTIONS</w:t>
      </w:r>
      <w:proofErr w:type="spellEnd"/>
      <w:r w:rsidR="00661F3E" w:rsidRPr="007E24AE">
        <w:rPr>
          <w:b/>
          <w:szCs w:val="28"/>
        </w:rPr>
        <w:t xml:space="preserve"> WITH OTHER MEDICINES</w:t>
      </w:r>
    </w:p>
    <w:p w:rsidR="00C9058B" w:rsidRPr="00B271B1" w:rsidRDefault="00425803" w:rsidP="00CD3D5D">
      <w:pPr>
        <w:autoSpaceDE w:val="0"/>
        <w:autoSpaceDN w:val="0"/>
        <w:adjustRightInd w:val="0"/>
        <w:rPr>
          <w:color w:val="000000" w:themeColor="text1"/>
          <w:szCs w:val="24"/>
          <w:lang w:val="en-AU"/>
        </w:rPr>
      </w:pPr>
      <w:r w:rsidRPr="00B271B1">
        <w:rPr>
          <w:color w:val="000000" w:themeColor="text1"/>
          <w:szCs w:val="24"/>
          <w:lang w:val="en-AU"/>
        </w:rPr>
        <w:t xml:space="preserve">No formal interaction studies have been performed. </w:t>
      </w:r>
      <w:proofErr w:type="spellStart"/>
      <w:r w:rsidR="003C53AD" w:rsidRPr="00B271B1">
        <w:rPr>
          <w:color w:val="000000" w:themeColor="text1"/>
          <w:szCs w:val="24"/>
          <w:lang w:val="en-AU" w:eastAsia="en-AU"/>
        </w:rPr>
        <w:t>Oxycellulose</w:t>
      </w:r>
      <w:proofErr w:type="spellEnd"/>
      <w:r w:rsidR="003C53AD" w:rsidRPr="00B271B1">
        <w:rPr>
          <w:color w:val="000000" w:themeColor="text1"/>
          <w:szCs w:val="24"/>
          <w:lang w:val="en-AU" w:eastAsia="en-AU"/>
        </w:rPr>
        <w:t xml:space="preserve"> containing preparations may reduce the efficacy of ARTISS and should not be used as carrier materials.</w:t>
      </w:r>
    </w:p>
    <w:p w:rsidR="00B83CF3" w:rsidRPr="00B271B1" w:rsidRDefault="00425803" w:rsidP="007E24AE">
      <w:pPr>
        <w:rPr>
          <w:lang w:val="en-AU"/>
        </w:rPr>
      </w:pPr>
      <w:r w:rsidRPr="00B271B1">
        <w:rPr>
          <w:lang w:val="en-AU"/>
        </w:rPr>
        <w:t>Similar to comparable products or thrombin solutions, the product may be denatured after exposure to solutions containing alcohol, iodine or heavy metals (e.g. antiseptic solutions). Such substances should be removed to the greatest possible extent before applying the product.</w:t>
      </w:r>
    </w:p>
    <w:p w:rsidR="00CD35EC" w:rsidRPr="00B271B1" w:rsidRDefault="00425803" w:rsidP="007E24AE">
      <w:pPr>
        <w:pStyle w:val="Heading1"/>
      </w:pPr>
      <w:r w:rsidRPr="00B271B1">
        <w:t>ADVERSE EFFECTS</w:t>
      </w:r>
    </w:p>
    <w:p w:rsidR="00C37772" w:rsidRPr="00B271B1" w:rsidRDefault="00425803" w:rsidP="007E24AE">
      <w:pPr>
        <w:pStyle w:val="Heading2"/>
        <w:rPr>
          <w:lang w:val="en-AU"/>
        </w:rPr>
      </w:pPr>
      <w:r w:rsidRPr="00B271B1">
        <w:rPr>
          <w:lang w:val="en-AU"/>
        </w:rPr>
        <w:t>Adverse Reactions from Clinical Trials</w:t>
      </w:r>
    </w:p>
    <w:p w:rsidR="00014DCF" w:rsidRPr="00B271B1" w:rsidRDefault="00425803" w:rsidP="00CD3D5D">
      <w:pPr>
        <w:rPr>
          <w:color w:val="000000" w:themeColor="text1"/>
          <w:szCs w:val="24"/>
          <w:lang w:val="en-AU"/>
        </w:rPr>
      </w:pPr>
      <w:r w:rsidRPr="00B271B1">
        <w:rPr>
          <w:color w:val="000000" w:themeColor="text1"/>
          <w:szCs w:val="24"/>
          <w:lang w:val="en-AU"/>
        </w:rPr>
        <w:t>In a phase 3, multi-centered, prospective, evaluator-blinded, randomized study, where ARTISS was used to affix split thickness sheet skin grafts to excised burn wounds, a total of 8 non-serious adverse reactions were reported.</w:t>
      </w:r>
      <w:r w:rsidR="0035656C" w:rsidRPr="00B271B1">
        <w:rPr>
          <w:color w:val="000000" w:themeColor="text1"/>
          <w:szCs w:val="24"/>
          <w:lang w:val="en-AU"/>
        </w:rPr>
        <w:t xml:space="preserve"> There were no serious reactions.</w:t>
      </w:r>
    </w:p>
    <w:p w:rsidR="00014DCF" w:rsidRPr="00B271B1" w:rsidRDefault="0035656C" w:rsidP="00CD3D5D">
      <w:pPr>
        <w:rPr>
          <w:color w:val="000000" w:themeColor="text1"/>
          <w:szCs w:val="24"/>
          <w:lang w:val="en-AU"/>
        </w:rPr>
      </w:pPr>
      <w:r w:rsidRPr="00B271B1">
        <w:rPr>
          <w:color w:val="000000" w:themeColor="text1"/>
          <w:szCs w:val="24"/>
          <w:lang w:val="en-AU"/>
        </w:rPr>
        <w:t>The e</w:t>
      </w:r>
      <w:r w:rsidR="00425803" w:rsidRPr="00B271B1">
        <w:rPr>
          <w:color w:val="000000" w:themeColor="text1"/>
          <w:szCs w:val="24"/>
          <w:lang w:val="en-AU"/>
        </w:rPr>
        <w:t>ight non-serious adverse reactions occurred in six patients. Five of these reactions were skin graft failures, 4 were graft detachment/non-adherence, and 1 was graft necrosis. The remaining non</w:t>
      </w:r>
      <w:r w:rsidR="0018246C" w:rsidRPr="00B271B1">
        <w:rPr>
          <w:color w:val="000000" w:themeColor="text1"/>
          <w:szCs w:val="24"/>
          <w:lang w:val="en-AU"/>
        </w:rPr>
        <w:t xml:space="preserve"> </w:t>
      </w:r>
      <w:r w:rsidR="00425803" w:rsidRPr="00B271B1">
        <w:rPr>
          <w:color w:val="000000" w:themeColor="text1"/>
          <w:szCs w:val="24"/>
          <w:lang w:val="en-AU"/>
        </w:rPr>
        <w:t xml:space="preserve">serious adverse reactions were pruritus (2) and dermal cyst (1).  </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8"/>
        <w:gridCol w:w="2880"/>
        <w:gridCol w:w="1440"/>
        <w:gridCol w:w="1440"/>
      </w:tblGrid>
      <w:tr w:rsidR="00014DCF" w:rsidRPr="00B271B1" w:rsidTr="003E45AE">
        <w:trPr>
          <w:cantSplit/>
          <w:tblHeader/>
        </w:trPr>
        <w:tc>
          <w:tcPr>
            <w:tcW w:w="8988" w:type="dxa"/>
            <w:gridSpan w:val="4"/>
            <w:tcBorders>
              <w:top w:val="single" w:sz="4" w:space="0" w:color="auto"/>
              <w:left w:val="single" w:sz="4" w:space="0" w:color="auto"/>
              <w:bottom w:val="single" w:sz="4" w:space="0" w:color="auto"/>
              <w:right w:val="single" w:sz="4" w:space="0" w:color="auto"/>
            </w:tcBorders>
          </w:tcPr>
          <w:p w:rsidR="00014DCF" w:rsidRPr="00B271B1" w:rsidRDefault="00425803" w:rsidP="007E24AE">
            <w:pPr>
              <w:pStyle w:val="Tabletitle"/>
            </w:pPr>
            <w:r w:rsidRPr="00B271B1">
              <w:lastRenderedPageBreak/>
              <w:t xml:space="preserve">Table </w:t>
            </w:r>
            <w:r w:rsidR="007F765C">
              <w:t>5</w:t>
            </w:r>
            <w:r w:rsidRPr="00B271B1">
              <w:t>: Clinical Trial Adverse Reactions</w:t>
            </w:r>
          </w:p>
        </w:tc>
      </w:tr>
      <w:tr w:rsidR="00014DCF" w:rsidRPr="00B271B1" w:rsidTr="003E45AE">
        <w:trPr>
          <w:cantSplit/>
          <w:tblHeader/>
        </w:trPr>
        <w:tc>
          <w:tcPr>
            <w:tcW w:w="3228" w:type="dxa"/>
          </w:tcPr>
          <w:p w:rsidR="00014DCF" w:rsidRPr="00B271B1" w:rsidRDefault="00425803" w:rsidP="00CD3D5D">
            <w:pPr>
              <w:tabs>
                <w:tab w:val="left" w:pos="854"/>
              </w:tabs>
              <w:spacing w:before="120" w:after="120"/>
              <w:jc w:val="center"/>
              <w:rPr>
                <w:b/>
                <w:bCs/>
                <w:color w:val="000000" w:themeColor="text1"/>
              </w:rPr>
            </w:pPr>
            <w:r w:rsidRPr="00B271B1">
              <w:rPr>
                <w:b/>
                <w:bCs/>
                <w:color w:val="000000" w:themeColor="text1"/>
              </w:rPr>
              <w:t>System Organ Class (SOC)</w:t>
            </w:r>
          </w:p>
        </w:tc>
        <w:tc>
          <w:tcPr>
            <w:tcW w:w="2880" w:type="dxa"/>
          </w:tcPr>
          <w:p w:rsidR="00014DCF" w:rsidRPr="00B271B1" w:rsidRDefault="00425803" w:rsidP="00CD3D5D">
            <w:pPr>
              <w:tabs>
                <w:tab w:val="left" w:pos="854"/>
              </w:tabs>
              <w:spacing w:before="120" w:after="120"/>
              <w:jc w:val="center"/>
              <w:rPr>
                <w:b/>
                <w:bCs/>
                <w:color w:val="000000" w:themeColor="text1"/>
              </w:rPr>
            </w:pPr>
            <w:r w:rsidRPr="00B271B1">
              <w:rPr>
                <w:b/>
                <w:bCs/>
                <w:color w:val="000000" w:themeColor="text1"/>
              </w:rPr>
              <w:t>Preferred MedDRA Term</w:t>
            </w:r>
          </w:p>
        </w:tc>
        <w:tc>
          <w:tcPr>
            <w:tcW w:w="1440" w:type="dxa"/>
          </w:tcPr>
          <w:p w:rsidR="00014DCF" w:rsidRPr="00B271B1" w:rsidRDefault="00425803" w:rsidP="00CD3D5D">
            <w:pPr>
              <w:tabs>
                <w:tab w:val="left" w:pos="854"/>
              </w:tabs>
              <w:spacing w:before="120" w:after="120"/>
              <w:jc w:val="center"/>
              <w:rPr>
                <w:b/>
                <w:bCs/>
                <w:color w:val="000000" w:themeColor="text1"/>
              </w:rPr>
            </w:pPr>
            <w:r w:rsidRPr="00B271B1">
              <w:rPr>
                <w:b/>
                <w:bCs/>
                <w:color w:val="000000" w:themeColor="text1"/>
              </w:rPr>
              <w:t xml:space="preserve">Frequency </w:t>
            </w:r>
          </w:p>
        </w:tc>
        <w:tc>
          <w:tcPr>
            <w:tcW w:w="1440" w:type="dxa"/>
          </w:tcPr>
          <w:p w:rsidR="00014DCF" w:rsidRPr="00B271B1" w:rsidRDefault="00425803" w:rsidP="00CD3D5D">
            <w:pPr>
              <w:tabs>
                <w:tab w:val="left" w:pos="854"/>
              </w:tabs>
              <w:spacing w:before="120" w:after="120"/>
              <w:jc w:val="center"/>
              <w:rPr>
                <w:b/>
                <w:bCs/>
                <w:color w:val="000000" w:themeColor="text1"/>
              </w:rPr>
            </w:pPr>
            <w:r w:rsidRPr="00B271B1">
              <w:rPr>
                <w:b/>
                <w:bCs/>
                <w:color w:val="000000" w:themeColor="text1"/>
              </w:rPr>
              <w:t xml:space="preserve">Frequency Ratio </w:t>
            </w:r>
          </w:p>
        </w:tc>
      </w:tr>
      <w:tr w:rsidR="00014DCF" w:rsidRPr="00B271B1" w:rsidTr="003E45AE">
        <w:trPr>
          <w:cantSplit/>
        </w:trPr>
        <w:tc>
          <w:tcPr>
            <w:tcW w:w="3228" w:type="dxa"/>
          </w:tcPr>
          <w:p w:rsidR="00014DCF" w:rsidRPr="00B271B1" w:rsidRDefault="00425803" w:rsidP="00CD3D5D">
            <w:pPr>
              <w:tabs>
                <w:tab w:val="left" w:pos="854"/>
              </w:tabs>
              <w:spacing w:before="120" w:after="120"/>
              <w:rPr>
                <w:b/>
                <w:bCs/>
                <w:color w:val="000000" w:themeColor="text1"/>
              </w:rPr>
            </w:pPr>
            <w:r w:rsidRPr="00B271B1">
              <w:rPr>
                <w:rFonts w:eastAsia="Batang"/>
                <w:b/>
                <w:bCs/>
                <w:color w:val="000000" w:themeColor="text1"/>
              </w:rPr>
              <w:t>SKIN AND SUBCUTANEOUS TISSUE DISORDERS</w:t>
            </w:r>
          </w:p>
        </w:tc>
        <w:tc>
          <w:tcPr>
            <w:tcW w:w="2880" w:type="dxa"/>
          </w:tcPr>
          <w:p w:rsidR="00014DCF" w:rsidRPr="00B271B1" w:rsidRDefault="00425803" w:rsidP="00CD3D5D">
            <w:pPr>
              <w:tabs>
                <w:tab w:val="left" w:pos="854"/>
              </w:tabs>
              <w:spacing w:before="120" w:after="120"/>
              <w:rPr>
                <w:rFonts w:eastAsia="Batang"/>
                <w:b/>
                <w:bCs/>
                <w:color w:val="000000" w:themeColor="text1"/>
                <w:lang w:val="en-GB"/>
              </w:rPr>
            </w:pPr>
            <w:r w:rsidRPr="00B271B1">
              <w:rPr>
                <w:rFonts w:eastAsia="Batang"/>
                <w:b/>
                <w:bCs/>
                <w:color w:val="000000" w:themeColor="text1"/>
                <w:lang w:val="en-GB"/>
              </w:rPr>
              <w:t>Dermal cyst</w:t>
            </w:r>
          </w:p>
          <w:p w:rsidR="00014DCF" w:rsidRPr="00B271B1" w:rsidRDefault="00425803" w:rsidP="00CD3D5D">
            <w:pPr>
              <w:tabs>
                <w:tab w:val="left" w:pos="854"/>
              </w:tabs>
              <w:spacing w:before="120" w:after="120"/>
              <w:rPr>
                <w:b/>
                <w:bCs/>
                <w:color w:val="000000" w:themeColor="text1"/>
              </w:rPr>
            </w:pPr>
            <w:r w:rsidRPr="00B271B1">
              <w:rPr>
                <w:rFonts w:eastAsia="Batang"/>
                <w:b/>
                <w:bCs/>
                <w:color w:val="000000" w:themeColor="text1"/>
                <w:lang w:val="en-GB"/>
              </w:rPr>
              <w:t>Pruritus</w:t>
            </w:r>
          </w:p>
        </w:tc>
        <w:tc>
          <w:tcPr>
            <w:tcW w:w="1440" w:type="dxa"/>
          </w:tcPr>
          <w:p w:rsidR="00014DCF" w:rsidRPr="00B271B1" w:rsidRDefault="00425803" w:rsidP="00CD3D5D">
            <w:pPr>
              <w:tabs>
                <w:tab w:val="left" w:pos="854"/>
              </w:tabs>
              <w:spacing w:before="120" w:after="120"/>
              <w:jc w:val="center"/>
              <w:rPr>
                <w:color w:val="000000" w:themeColor="text1"/>
              </w:rPr>
            </w:pPr>
            <w:r w:rsidRPr="00B271B1">
              <w:rPr>
                <w:color w:val="000000" w:themeColor="text1"/>
              </w:rPr>
              <w:t>Uncommon</w:t>
            </w:r>
          </w:p>
          <w:p w:rsidR="00014DCF" w:rsidRPr="00B271B1" w:rsidRDefault="00425803" w:rsidP="00CD3D5D">
            <w:pPr>
              <w:tabs>
                <w:tab w:val="left" w:pos="854"/>
              </w:tabs>
              <w:spacing w:before="120" w:after="120"/>
              <w:jc w:val="center"/>
              <w:rPr>
                <w:color w:val="000000" w:themeColor="text1"/>
              </w:rPr>
            </w:pPr>
            <w:r w:rsidRPr="00B271B1">
              <w:rPr>
                <w:color w:val="000000" w:themeColor="text1"/>
              </w:rPr>
              <w:t>Common</w:t>
            </w:r>
          </w:p>
        </w:tc>
        <w:tc>
          <w:tcPr>
            <w:tcW w:w="1440" w:type="dxa"/>
          </w:tcPr>
          <w:p w:rsidR="00014DCF" w:rsidRPr="00B271B1" w:rsidRDefault="00425803" w:rsidP="00CD3D5D">
            <w:pPr>
              <w:tabs>
                <w:tab w:val="left" w:pos="854"/>
              </w:tabs>
              <w:spacing w:before="120" w:after="120"/>
              <w:jc w:val="center"/>
              <w:rPr>
                <w:color w:val="000000" w:themeColor="text1"/>
              </w:rPr>
            </w:pPr>
            <w:r w:rsidRPr="00B271B1">
              <w:rPr>
                <w:color w:val="000000" w:themeColor="text1"/>
              </w:rPr>
              <w:t>1/138</w:t>
            </w:r>
          </w:p>
          <w:p w:rsidR="00014DCF" w:rsidRPr="00B271B1" w:rsidRDefault="00425803" w:rsidP="00CD3D5D">
            <w:pPr>
              <w:tabs>
                <w:tab w:val="left" w:pos="854"/>
              </w:tabs>
              <w:spacing w:before="120" w:after="120"/>
              <w:jc w:val="center"/>
              <w:rPr>
                <w:color w:val="000000" w:themeColor="text1"/>
              </w:rPr>
            </w:pPr>
            <w:r w:rsidRPr="00B271B1">
              <w:rPr>
                <w:color w:val="000000" w:themeColor="text1"/>
              </w:rPr>
              <w:t>2/138</w:t>
            </w:r>
          </w:p>
        </w:tc>
      </w:tr>
      <w:tr w:rsidR="00014DCF" w:rsidRPr="00B271B1" w:rsidTr="003E45AE">
        <w:trPr>
          <w:cantSplit/>
        </w:trPr>
        <w:tc>
          <w:tcPr>
            <w:tcW w:w="3228" w:type="dxa"/>
          </w:tcPr>
          <w:p w:rsidR="00014DCF" w:rsidRPr="00B271B1" w:rsidRDefault="00425803" w:rsidP="00CD3D5D">
            <w:pPr>
              <w:tabs>
                <w:tab w:val="left" w:pos="854"/>
              </w:tabs>
              <w:spacing w:before="120" w:after="120"/>
              <w:rPr>
                <w:rFonts w:eastAsia="Batang"/>
                <w:b/>
                <w:bCs/>
                <w:color w:val="000000" w:themeColor="text1"/>
              </w:rPr>
            </w:pPr>
            <w:r w:rsidRPr="00B271B1">
              <w:rPr>
                <w:rFonts w:eastAsia="Batang"/>
                <w:b/>
                <w:bCs/>
                <w:color w:val="000000" w:themeColor="text1"/>
              </w:rPr>
              <w:t>INJURY POISONING AND PROCEDURAL COMPLICATIONS</w:t>
            </w:r>
          </w:p>
        </w:tc>
        <w:tc>
          <w:tcPr>
            <w:tcW w:w="2880" w:type="dxa"/>
          </w:tcPr>
          <w:p w:rsidR="00014DCF" w:rsidRPr="00B271B1" w:rsidRDefault="00425803" w:rsidP="00CD3D5D">
            <w:pPr>
              <w:tabs>
                <w:tab w:val="left" w:pos="854"/>
              </w:tabs>
              <w:spacing w:before="120" w:after="120"/>
              <w:rPr>
                <w:rFonts w:eastAsia="Batang"/>
                <w:b/>
                <w:bCs/>
                <w:color w:val="000000" w:themeColor="text1"/>
                <w:lang w:val="en-GB"/>
              </w:rPr>
            </w:pPr>
            <w:r w:rsidRPr="00B271B1">
              <w:rPr>
                <w:rFonts w:eastAsia="Batang"/>
                <w:b/>
                <w:bCs/>
                <w:color w:val="000000" w:themeColor="text1"/>
              </w:rPr>
              <w:t>Skin graft failure</w:t>
            </w:r>
          </w:p>
        </w:tc>
        <w:tc>
          <w:tcPr>
            <w:tcW w:w="1440" w:type="dxa"/>
          </w:tcPr>
          <w:p w:rsidR="00014DCF" w:rsidRPr="00B271B1" w:rsidRDefault="00425803" w:rsidP="00CD3D5D">
            <w:pPr>
              <w:tabs>
                <w:tab w:val="left" w:pos="854"/>
              </w:tabs>
              <w:spacing w:before="120" w:after="120"/>
              <w:jc w:val="center"/>
              <w:rPr>
                <w:color w:val="000000" w:themeColor="text1"/>
              </w:rPr>
            </w:pPr>
            <w:r w:rsidRPr="00B271B1">
              <w:rPr>
                <w:rFonts w:eastAsia="Batang"/>
                <w:color w:val="000000" w:themeColor="text1"/>
              </w:rPr>
              <w:t>Common</w:t>
            </w:r>
          </w:p>
        </w:tc>
        <w:tc>
          <w:tcPr>
            <w:tcW w:w="1440" w:type="dxa"/>
          </w:tcPr>
          <w:p w:rsidR="00014DCF" w:rsidRPr="00B271B1" w:rsidRDefault="00425803" w:rsidP="00CD3D5D">
            <w:pPr>
              <w:tabs>
                <w:tab w:val="left" w:pos="854"/>
              </w:tabs>
              <w:spacing w:before="120" w:after="120"/>
              <w:jc w:val="center"/>
              <w:rPr>
                <w:color w:val="000000" w:themeColor="text1"/>
              </w:rPr>
            </w:pPr>
            <w:r w:rsidRPr="00B271B1">
              <w:rPr>
                <w:color w:val="000000" w:themeColor="text1"/>
              </w:rPr>
              <w:t>5/138</w:t>
            </w:r>
          </w:p>
        </w:tc>
      </w:tr>
    </w:tbl>
    <w:p w:rsidR="00014DCF" w:rsidRPr="00B271B1" w:rsidRDefault="00425803" w:rsidP="00014DCF">
      <w:pPr>
        <w:pStyle w:val="DocText"/>
        <w:spacing w:after="0"/>
        <w:rPr>
          <w:color w:val="000000" w:themeColor="text1"/>
          <w:sz w:val="20"/>
        </w:rPr>
      </w:pPr>
      <w:r w:rsidRPr="00B271B1">
        <w:rPr>
          <w:color w:val="000000" w:themeColor="text1"/>
          <w:sz w:val="20"/>
        </w:rPr>
        <w:t>Legend: ADR frequency is based upon the following scale:</w:t>
      </w:r>
      <w:r w:rsidRPr="00B271B1">
        <w:rPr>
          <w:noProof/>
          <w:color w:val="000000" w:themeColor="text1"/>
          <w:sz w:val="20"/>
        </w:rPr>
        <w:t xml:space="preserve"> very common (</w:t>
      </w:r>
      <w:r w:rsidRPr="00B271B1">
        <w:rPr>
          <w:noProof/>
          <w:color w:val="000000" w:themeColor="text1"/>
          <w:sz w:val="20"/>
        </w:rPr>
        <w:sym w:font="Symbol" w:char="F0B3"/>
      </w:r>
      <w:r w:rsidRPr="00B271B1">
        <w:rPr>
          <w:noProof/>
          <w:color w:val="000000" w:themeColor="text1"/>
          <w:sz w:val="20"/>
        </w:rPr>
        <w:t>1/10), common (</w:t>
      </w:r>
      <w:r w:rsidRPr="00B271B1">
        <w:rPr>
          <w:noProof/>
          <w:color w:val="000000" w:themeColor="text1"/>
          <w:sz w:val="20"/>
        </w:rPr>
        <w:sym w:font="Symbol" w:char="F0B3"/>
      </w:r>
      <w:r w:rsidRPr="00B271B1">
        <w:rPr>
          <w:noProof/>
          <w:color w:val="000000" w:themeColor="text1"/>
          <w:sz w:val="20"/>
        </w:rPr>
        <w:t>1/100 to &lt;1/10), uncommon (</w:t>
      </w:r>
      <w:r w:rsidRPr="00B271B1">
        <w:rPr>
          <w:noProof/>
          <w:color w:val="000000" w:themeColor="text1"/>
          <w:sz w:val="20"/>
        </w:rPr>
        <w:sym w:font="Symbol" w:char="F0B3"/>
      </w:r>
      <w:r w:rsidRPr="00B271B1">
        <w:rPr>
          <w:noProof/>
          <w:color w:val="000000" w:themeColor="text1"/>
          <w:sz w:val="20"/>
        </w:rPr>
        <w:t>1/1,000 to &lt;1/100), rare (</w:t>
      </w:r>
      <w:r w:rsidRPr="00B271B1">
        <w:rPr>
          <w:noProof/>
          <w:color w:val="000000" w:themeColor="text1"/>
          <w:sz w:val="20"/>
        </w:rPr>
        <w:sym w:font="Symbol" w:char="F0B3"/>
      </w:r>
      <w:r w:rsidRPr="00B271B1">
        <w:rPr>
          <w:noProof/>
          <w:color w:val="000000" w:themeColor="text1"/>
          <w:sz w:val="20"/>
        </w:rPr>
        <w:t>1/10,000 to &lt;1/1,000), very rare (&lt;1/10,000)</w:t>
      </w:r>
      <w:r w:rsidRPr="00B271B1">
        <w:rPr>
          <w:color w:val="000000" w:themeColor="text1"/>
          <w:sz w:val="20"/>
        </w:rPr>
        <w:t>.</w:t>
      </w:r>
    </w:p>
    <w:p w:rsidR="00014DCF" w:rsidRPr="00B271B1" w:rsidRDefault="00014DCF" w:rsidP="00014DCF">
      <w:pPr>
        <w:pStyle w:val="DocText"/>
        <w:spacing w:after="0"/>
        <w:rPr>
          <w:color w:val="000000" w:themeColor="text1"/>
        </w:rPr>
      </w:pPr>
    </w:p>
    <w:p w:rsidR="005E50D5" w:rsidRPr="00B271B1" w:rsidRDefault="005E50D5" w:rsidP="007E24AE">
      <w:r w:rsidRPr="00B271B1">
        <w:rPr>
          <w:lang w:val="en-AU" w:eastAsia="en-AU"/>
        </w:rPr>
        <w:t>There were no reports of serious, associated adverse reactions reported above 1% in the facial rhytidectomy clinical studies.</w:t>
      </w:r>
    </w:p>
    <w:p w:rsidR="00C37772" w:rsidRPr="00B271B1" w:rsidRDefault="00425803" w:rsidP="007E24AE">
      <w:pPr>
        <w:pStyle w:val="Heading2"/>
        <w:rPr>
          <w:lang w:val="en-AU"/>
        </w:rPr>
      </w:pPr>
      <w:r w:rsidRPr="00B271B1">
        <w:rPr>
          <w:lang w:val="en-AU"/>
        </w:rPr>
        <w:t xml:space="preserve">Post marketing Adverse Reactions </w:t>
      </w:r>
    </w:p>
    <w:p w:rsidR="00CD4228" w:rsidRDefault="00425803" w:rsidP="007E24AE">
      <w:pPr>
        <w:rPr>
          <w:lang w:val="en-AU"/>
        </w:rPr>
      </w:pPr>
      <w:r w:rsidRPr="00B271B1">
        <w:t>T</w:t>
      </w:r>
      <w:r w:rsidRPr="00C70C08">
        <w:rPr>
          <w:lang w:val="en-AU"/>
        </w:rPr>
        <w:t>here are limited post-marketing data available for ARTISS.</w:t>
      </w:r>
      <w:r w:rsidR="005E50D5" w:rsidRPr="00C70C08">
        <w:rPr>
          <w:lang w:val="en-AU"/>
        </w:rPr>
        <w:t xml:space="preserve"> </w:t>
      </w:r>
      <w:r w:rsidR="005E50D5" w:rsidRPr="00B271B1">
        <w:rPr>
          <w:lang w:val="en-AU"/>
        </w:rPr>
        <w:t>Because these reactions are reported voluntarily from a population of uncertain size, it is not always possible to reliably estimate the frequency or establish a causal relationship to drug exposure.</w:t>
      </w:r>
    </w:p>
    <w:p w:rsidR="00351530" w:rsidRPr="00B271B1" w:rsidRDefault="00425803" w:rsidP="007E24AE">
      <w:pPr>
        <w:rPr>
          <w:lang w:val="en-AU"/>
        </w:rPr>
      </w:pPr>
      <w:r w:rsidRPr="00B271B1">
        <w:rPr>
          <w:lang w:val="en-AU"/>
        </w:rPr>
        <w:t>Adverse reactions reported from clinical studies as well as from post</w:t>
      </w:r>
      <w:r w:rsidR="0018246C" w:rsidRPr="00B271B1">
        <w:rPr>
          <w:lang w:val="en-AU"/>
        </w:rPr>
        <w:t>-</w:t>
      </w:r>
      <w:r w:rsidRPr="00B271B1">
        <w:rPr>
          <w:lang w:val="en-AU"/>
        </w:rPr>
        <w:t xml:space="preserve">marketing surveillance of </w:t>
      </w:r>
      <w:r w:rsidR="008745FF" w:rsidRPr="00B271B1">
        <w:rPr>
          <w:lang w:val="en-AU"/>
        </w:rPr>
        <w:t xml:space="preserve">Baxter´s </w:t>
      </w:r>
      <w:r w:rsidRPr="00B271B1">
        <w:rPr>
          <w:lang w:val="en-AU"/>
        </w:rPr>
        <w:t xml:space="preserve">other </w:t>
      </w:r>
      <w:r w:rsidR="008745FF" w:rsidRPr="00B271B1">
        <w:rPr>
          <w:lang w:val="en-AU"/>
        </w:rPr>
        <w:t>f</w:t>
      </w:r>
      <w:r w:rsidRPr="00B271B1">
        <w:rPr>
          <w:lang w:val="en-AU"/>
        </w:rPr>
        <w:t xml:space="preserve">ibrin </w:t>
      </w:r>
      <w:r w:rsidR="008745FF" w:rsidRPr="00B271B1">
        <w:rPr>
          <w:lang w:val="en-AU"/>
        </w:rPr>
        <w:t>s</w:t>
      </w:r>
      <w:r w:rsidRPr="00B271B1">
        <w:rPr>
          <w:lang w:val="en-AU"/>
        </w:rPr>
        <w:t>ealants are summarized in the following. Unknown frequencies are based on spontaneous reports from post</w:t>
      </w:r>
      <w:r w:rsidR="0018246C" w:rsidRPr="00B271B1">
        <w:rPr>
          <w:lang w:val="en-AU"/>
        </w:rPr>
        <w:t>-</w:t>
      </w:r>
      <w:r w:rsidRPr="00B271B1">
        <w:rPr>
          <w:lang w:val="en-AU"/>
        </w:rPr>
        <w:t xml:space="preserve">marketing surveillance of Baxter’s fibrin sealants. </w:t>
      </w:r>
    </w:p>
    <w:p w:rsidR="00306C31" w:rsidRPr="00B271B1" w:rsidRDefault="00425803" w:rsidP="007E24AE">
      <w:pPr>
        <w:pStyle w:val="Heading3pi"/>
      </w:pPr>
      <w:r w:rsidRPr="00B271B1">
        <w:t>Immune system disorders:</w:t>
      </w:r>
    </w:p>
    <w:p w:rsidR="00306C31" w:rsidRPr="00B271B1" w:rsidRDefault="002E3AB1" w:rsidP="007E24AE">
      <w:pPr>
        <w:rPr>
          <w:lang w:val="en-AU"/>
        </w:rPr>
      </w:pPr>
      <w:r w:rsidRPr="002E3AB1">
        <w:rPr>
          <w:lang w:val="en-AU"/>
        </w:rPr>
        <w:t>Frequency unknown: Hypersensitivity reactions (including anaphylactic reactions, anaphylactic shock, and the following manifestations: angioedema, paresthesia, bradycardia, tachycardia, flushing, bronchospasm, dyspn</w:t>
      </w:r>
      <w:r>
        <w:rPr>
          <w:lang w:val="en-AU"/>
        </w:rPr>
        <w:t>o</w:t>
      </w:r>
      <w:r w:rsidRPr="002E3AB1">
        <w:rPr>
          <w:lang w:val="en-AU"/>
        </w:rPr>
        <w:t xml:space="preserve">ea, wheezing, urticaria, pruritus, and erythema). Anaphylactic reactions and anaphylactic shock have included fatal </w:t>
      </w:r>
      <w:proofErr w:type="spellStart"/>
      <w:r w:rsidRPr="002E3AB1">
        <w:rPr>
          <w:lang w:val="en-AU"/>
        </w:rPr>
        <w:t>outcomes.</w:t>
      </w:r>
      <w:r w:rsidR="00425803" w:rsidRPr="00B271B1">
        <w:rPr>
          <w:lang w:val="en-AU"/>
        </w:rPr>
        <w:t>Frequency</w:t>
      </w:r>
      <w:proofErr w:type="spellEnd"/>
      <w:r w:rsidR="00425803" w:rsidRPr="00B271B1">
        <w:rPr>
          <w:lang w:val="en-AU"/>
        </w:rPr>
        <w:t xml:space="preserve"> unknown, anaphylactic responses, hypersensitivity</w:t>
      </w:r>
    </w:p>
    <w:p w:rsidR="00306C31" w:rsidRPr="00B271B1" w:rsidRDefault="00425803" w:rsidP="007E24AE">
      <w:pPr>
        <w:pStyle w:val="Heading3pi"/>
      </w:pPr>
      <w:r w:rsidRPr="00B271B1">
        <w:t>Cardiac disorders:</w:t>
      </w:r>
    </w:p>
    <w:p w:rsidR="00306C31" w:rsidRPr="00B271B1" w:rsidRDefault="00425803" w:rsidP="002E3AB1">
      <w:pPr>
        <w:rPr>
          <w:color w:val="000000" w:themeColor="text1"/>
          <w:szCs w:val="24"/>
          <w:lang w:val="en-AU"/>
        </w:rPr>
      </w:pPr>
      <w:r w:rsidRPr="00B271B1">
        <w:rPr>
          <w:color w:val="000000" w:themeColor="text1"/>
          <w:szCs w:val="24"/>
          <w:lang w:val="en-AU"/>
        </w:rPr>
        <w:t>Frequency unknown: bradycardia, tachycardia</w:t>
      </w:r>
    </w:p>
    <w:p w:rsidR="00306C31" w:rsidRPr="00B271B1" w:rsidRDefault="00425803" w:rsidP="007E24AE">
      <w:pPr>
        <w:pStyle w:val="Heading3pi"/>
      </w:pPr>
      <w:r w:rsidRPr="00B271B1">
        <w:t>Vascular disorders:</w:t>
      </w:r>
    </w:p>
    <w:p w:rsidR="00306C31" w:rsidRPr="00B271B1" w:rsidRDefault="00425803" w:rsidP="00CD3D5D">
      <w:pPr>
        <w:rPr>
          <w:color w:val="000000" w:themeColor="text1"/>
          <w:szCs w:val="24"/>
          <w:lang w:val="en-AU"/>
        </w:rPr>
      </w:pPr>
      <w:r w:rsidRPr="00B271B1">
        <w:rPr>
          <w:color w:val="000000" w:themeColor="text1"/>
          <w:szCs w:val="24"/>
          <w:lang w:val="en-AU"/>
        </w:rPr>
        <w:t>Frequency unknown: hypotension, haematoma</w:t>
      </w:r>
    </w:p>
    <w:p w:rsidR="00CD5AD4" w:rsidRPr="00B271B1" w:rsidRDefault="00425803" w:rsidP="007E24AE">
      <w:pPr>
        <w:pStyle w:val="Heading3pi"/>
      </w:pPr>
      <w:r w:rsidRPr="00B271B1">
        <w:t xml:space="preserve">Respiratory, thoracic and </w:t>
      </w:r>
      <w:proofErr w:type="spellStart"/>
      <w:r w:rsidRPr="00B271B1">
        <w:t>mediastinal</w:t>
      </w:r>
      <w:proofErr w:type="spellEnd"/>
      <w:r w:rsidRPr="00B271B1">
        <w:t xml:space="preserve"> disorders:</w:t>
      </w:r>
    </w:p>
    <w:p w:rsidR="00CD5AD4" w:rsidRPr="00B271B1" w:rsidRDefault="00425803" w:rsidP="00CD3D5D">
      <w:pPr>
        <w:rPr>
          <w:color w:val="000000" w:themeColor="text1"/>
          <w:szCs w:val="24"/>
          <w:lang w:val="en-AU"/>
        </w:rPr>
      </w:pPr>
      <w:r w:rsidRPr="00B271B1">
        <w:rPr>
          <w:color w:val="000000" w:themeColor="text1"/>
          <w:szCs w:val="24"/>
          <w:lang w:val="en-AU"/>
        </w:rPr>
        <w:lastRenderedPageBreak/>
        <w:t>Frequency unknown: dyspnoea</w:t>
      </w:r>
    </w:p>
    <w:p w:rsidR="00CD5AD4" w:rsidRPr="00B271B1" w:rsidRDefault="00425803" w:rsidP="007E24AE">
      <w:pPr>
        <w:pStyle w:val="Heading3pi"/>
      </w:pPr>
      <w:r w:rsidRPr="00B271B1">
        <w:t>Gastrointestinal disorders:</w:t>
      </w:r>
    </w:p>
    <w:p w:rsidR="00CD5AD4" w:rsidRPr="00B271B1" w:rsidRDefault="00425803" w:rsidP="00CD3D5D">
      <w:pPr>
        <w:rPr>
          <w:color w:val="000000" w:themeColor="text1"/>
          <w:szCs w:val="24"/>
          <w:lang w:val="en-AU"/>
        </w:rPr>
      </w:pPr>
      <w:r w:rsidRPr="00B271B1">
        <w:rPr>
          <w:color w:val="000000" w:themeColor="text1"/>
          <w:szCs w:val="24"/>
          <w:lang w:val="en-AU"/>
        </w:rPr>
        <w:t>Frequency unknown: nausea</w:t>
      </w:r>
    </w:p>
    <w:p w:rsidR="00CD5AD4" w:rsidRPr="00B271B1" w:rsidRDefault="00425803" w:rsidP="007E24AE">
      <w:pPr>
        <w:pStyle w:val="Heading3pi"/>
      </w:pPr>
      <w:r w:rsidRPr="00B271B1">
        <w:t>Skin and subcutaneous tissue disorders:</w:t>
      </w:r>
    </w:p>
    <w:p w:rsidR="0054319A" w:rsidRPr="00B271B1" w:rsidRDefault="00425803" w:rsidP="00CD3D5D">
      <w:pPr>
        <w:spacing w:after="0"/>
        <w:rPr>
          <w:color w:val="000000" w:themeColor="text1"/>
          <w:szCs w:val="24"/>
          <w:lang w:val="en-AU"/>
        </w:rPr>
      </w:pPr>
      <w:r w:rsidRPr="00B271B1">
        <w:rPr>
          <w:color w:val="000000" w:themeColor="text1"/>
          <w:szCs w:val="24"/>
          <w:lang w:val="en-AU"/>
        </w:rPr>
        <w:t>Common: prurit</w:t>
      </w:r>
      <w:r w:rsidR="0035656C" w:rsidRPr="00B271B1">
        <w:rPr>
          <w:color w:val="000000" w:themeColor="text1"/>
          <w:szCs w:val="24"/>
          <w:lang w:val="en-AU"/>
        </w:rPr>
        <w:t>u</w:t>
      </w:r>
      <w:r w:rsidRPr="00B271B1">
        <w:rPr>
          <w:color w:val="000000" w:themeColor="text1"/>
          <w:szCs w:val="24"/>
          <w:lang w:val="en-AU"/>
        </w:rPr>
        <w:t xml:space="preserve">s </w:t>
      </w:r>
    </w:p>
    <w:p w:rsidR="0054319A" w:rsidRPr="00B271B1" w:rsidRDefault="00425803" w:rsidP="00CD3D5D">
      <w:pPr>
        <w:spacing w:after="0"/>
        <w:rPr>
          <w:color w:val="000000" w:themeColor="text1"/>
          <w:szCs w:val="24"/>
          <w:lang w:val="en-AU"/>
        </w:rPr>
      </w:pPr>
      <w:r w:rsidRPr="00B271B1">
        <w:rPr>
          <w:color w:val="000000" w:themeColor="text1"/>
          <w:szCs w:val="24"/>
          <w:lang w:val="en-AU"/>
        </w:rPr>
        <w:t>Uncommon: dermal cyst</w:t>
      </w:r>
    </w:p>
    <w:p w:rsidR="0054319A" w:rsidRPr="00B271B1" w:rsidRDefault="00425803" w:rsidP="007C124B">
      <w:pPr>
        <w:rPr>
          <w:color w:val="000000" w:themeColor="text1"/>
          <w:szCs w:val="24"/>
          <w:lang w:val="en-AU"/>
        </w:rPr>
      </w:pPr>
      <w:r w:rsidRPr="00B271B1">
        <w:rPr>
          <w:color w:val="000000" w:themeColor="text1"/>
          <w:szCs w:val="24"/>
          <w:lang w:val="en-AU"/>
        </w:rPr>
        <w:t>Frequency unknown: urticaria</w:t>
      </w:r>
    </w:p>
    <w:p w:rsidR="0054319A" w:rsidRPr="00B271B1" w:rsidRDefault="00425803" w:rsidP="007E24AE">
      <w:pPr>
        <w:pStyle w:val="Heading3pi"/>
      </w:pPr>
      <w:r w:rsidRPr="00B271B1">
        <w:t>General disorders and administration site conditions:</w:t>
      </w:r>
    </w:p>
    <w:p w:rsidR="0054319A" w:rsidRPr="00B271B1" w:rsidRDefault="00425803" w:rsidP="00CD3D5D">
      <w:pPr>
        <w:rPr>
          <w:color w:val="000000" w:themeColor="text1"/>
          <w:szCs w:val="24"/>
          <w:lang w:val="en-AU"/>
        </w:rPr>
      </w:pPr>
      <w:r w:rsidRPr="00B271B1">
        <w:rPr>
          <w:color w:val="000000" w:themeColor="text1"/>
          <w:szCs w:val="24"/>
          <w:lang w:val="en-AU"/>
        </w:rPr>
        <w:t>Frequency unknown: flushing, impaired healing, oedema, pyrexia</w:t>
      </w:r>
    </w:p>
    <w:p w:rsidR="0054319A" w:rsidRPr="00B271B1" w:rsidRDefault="00425803" w:rsidP="007E24AE">
      <w:pPr>
        <w:pStyle w:val="Heading3pi"/>
      </w:pPr>
      <w:r w:rsidRPr="00B271B1">
        <w:t>Injury, poisoning and procedural complication:</w:t>
      </w:r>
    </w:p>
    <w:p w:rsidR="0054319A" w:rsidRPr="00B271B1" w:rsidRDefault="00425803" w:rsidP="00CD3D5D">
      <w:pPr>
        <w:spacing w:after="0"/>
        <w:rPr>
          <w:color w:val="000000" w:themeColor="text1"/>
          <w:szCs w:val="24"/>
          <w:lang w:val="en-AU"/>
        </w:rPr>
      </w:pPr>
      <w:r w:rsidRPr="00B271B1">
        <w:rPr>
          <w:color w:val="000000" w:themeColor="text1"/>
          <w:szCs w:val="24"/>
          <w:lang w:val="en-AU"/>
        </w:rPr>
        <w:t>Common: skin graft failure</w:t>
      </w:r>
    </w:p>
    <w:p w:rsidR="008E25DF" w:rsidRPr="00B271B1" w:rsidRDefault="00425803" w:rsidP="007E24AE">
      <w:pPr>
        <w:pStyle w:val="Heading2"/>
        <w:rPr>
          <w:rFonts w:cs="Times New Roman"/>
          <w:lang w:val="en-AU"/>
        </w:rPr>
      </w:pPr>
      <w:r w:rsidRPr="00B271B1">
        <w:rPr>
          <w:lang w:val="en-AU"/>
        </w:rPr>
        <w:t xml:space="preserve">Frequency unknown: </w:t>
      </w:r>
      <w:proofErr w:type="spellStart"/>
      <w:r w:rsidRPr="00B271B1">
        <w:rPr>
          <w:lang w:val="en-AU"/>
        </w:rPr>
        <w:t>seroma</w:t>
      </w:r>
      <w:r w:rsidR="008E25DF">
        <w:rPr>
          <w:rFonts w:cs="Times New Roman"/>
          <w:lang w:val="en-AU"/>
        </w:rPr>
        <w:t>Class</w:t>
      </w:r>
      <w:proofErr w:type="spellEnd"/>
      <w:r w:rsidR="008E25DF">
        <w:rPr>
          <w:rFonts w:cs="Times New Roman"/>
          <w:lang w:val="en-AU"/>
        </w:rPr>
        <w:t xml:space="preserve"> Effects</w:t>
      </w:r>
      <w:r w:rsidR="008E25DF" w:rsidRPr="00B271B1">
        <w:rPr>
          <w:rFonts w:cs="Times New Roman"/>
          <w:lang w:val="en-AU"/>
        </w:rPr>
        <w:t xml:space="preserve"> </w:t>
      </w:r>
    </w:p>
    <w:p w:rsidR="008E25DF" w:rsidRDefault="008E25DF" w:rsidP="007E24AE">
      <w:pPr>
        <w:rPr>
          <w:lang w:val="en-AU"/>
        </w:rPr>
      </w:pPr>
      <w:r w:rsidRPr="00B271B1">
        <w:rPr>
          <w:lang w:val="en-AU"/>
        </w:rPr>
        <w:t>Manifestations of hypersensitivity or allergic reactions associated with the class of fibrin sealant/</w:t>
      </w:r>
      <w:proofErr w:type="spellStart"/>
      <w:r w:rsidRPr="00B271B1">
        <w:rPr>
          <w:lang w:val="en-AU"/>
        </w:rPr>
        <w:t>hemostatic</w:t>
      </w:r>
      <w:proofErr w:type="spellEnd"/>
      <w:r>
        <w:rPr>
          <w:lang w:val="en-AU"/>
        </w:rPr>
        <w:t xml:space="preserve"> </w:t>
      </w:r>
      <w:r w:rsidRPr="00B271B1">
        <w:rPr>
          <w:lang w:val="en-AU"/>
        </w:rPr>
        <w:t>products include: application site irritation, chest discomfort, chills, headache, lethargy, restlessness and vomiting. There have been no reports of these reactions related to the specific use of ARTISS.</w:t>
      </w:r>
    </w:p>
    <w:p w:rsidR="005B297B" w:rsidRPr="00B271B1" w:rsidRDefault="005B297B" w:rsidP="007E24AE">
      <w:pPr>
        <w:pStyle w:val="Heading3pi"/>
      </w:pPr>
      <w:r w:rsidRPr="00B271B1">
        <w:t>Air embolism associated with misapplication of fibrin sealant using a spray device:</w:t>
      </w:r>
    </w:p>
    <w:p w:rsidR="005B297B" w:rsidRPr="00B271B1" w:rsidRDefault="005B297B" w:rsidP="007E24AE">
      <w:pPr>
        <w:rPr>
          <w:lang w:val="en-AU"/>
        </w:rPr>
      </w:pPr>
      <w:r w:rsidRPr="00B271B1">
        <w:rPr>
          <w:lang w:val="en-AU"/>
        </w:rPr>
        <w:t xml:space="preserve">There </w:t>
      </w:r>
      <w:r w:rsidR="002E3AB1">
        <w:rPr>
          <w:lang w:val="en-AU"/>
        </w:rPr>
        <w:t>are reports</w:t>
      </w:r>
      <w:r w:rsidRPr="00B271B1">
        <w:rPr>
          <w:lang w:val="en-AU"/>
        </w:rPr>
        <w:t xml:space="preserve"> of fatal air embolism associated with the use of fibrin sealant</w:t>
      </w:r>
      <w:r w:rsidR="002E3AB1">
        <w:rPr>
          <w:lang w:val="en-AU"/>
        </w:rPr>
        <w:t>s</w:t>
      </w:r>
      <w:r w:rsidRPr="00B271B1">
        <w:rPr>
          <w:lang w:val="en-AU"/>
        </w:rPr>
        <w:t xml:space="preserve"> when applied using a spray device at higher than the recommended pressure and closer than the recommended distance in an attempt to stop active bleeding.</w:t>
      </w:r>
    </w:p>
    <w:p w:rsidR="00CD35EC" w:rsidRPr="00B271B1" w:rsidRDefault="00425803" w:rsidP="007E24AE">
      <w:pPr>
        <w:pStyle w:val="Heading1"/>
      </w:pPr>
      <w:r w:rsidRPr="00B271B1">
        <w:t>DOSAGE AND ADMINISTRATION</w:t>
      </w:r>
    </w:p>
    <w:p w:rsidR="00994A04" w:rsidRPr="00B271B1" w:rsidRDefault="00994A04" w:rsidP="007E24AE">
      <w:pPr>
        <w:rPr>
          <w:lang w:val="en-AU"/>
        </w:rPr>
      </w:pPr>
      <w:r w:rsidRPr="00B271B1">
        <w:rPr>
          <w:lang w:val="en-AU"/>
        </w:rPr>
        <w:t>ARTISS should be administered topically. Do not inject. ARTISS m</w:t>
      </w:r>
      <w:r w:rsidR="000C32FB" w:rsidRPr="00B271B1">
        <w:rPr>
          <w:lang w:val="en-AU"/>
        </w:rPr>
        <w:t>ay be denatured by antiseptics (</w:t>
      </w:r>
      <w:r w:rsidRPr="00B271B1">
        <w:rPr>
          <w:lang w:val="en-AU"/>
        </w:rPr>
        <w:t>see Interactions with other medicines</w:t>
      </w:r>
      <w:r w:rsidR="008745FF" w:rsidRPr="00B271B1">
        <w:rPr>
          <w:lang w:val="en-AU"/>
        </w:rPr>
        <w:t>)</w:t>
      </w:r>
      <w:r w:rsidR="000C32FB" w:rsidRPr="00B271B1">
        <w:rPr>
          <w:lang w:val="en-AU"/>
        </w:rPr>
        <w:t>.</w:t>
      </w:r>
    </w:p>
    <w:p w:rsidR="0035656C" w:rsidRPr="00B271B1" w:rsidRDefault="0035656C" w:rsidP="00CD3D5D">
      <w:pPr>
        <w:rPr>
          <w:color w:val="000000" w:themeColor="text1"/>
          <w:szCs w:val="24"/>
          <w:lang w:val="en-AU"/>
        </w:rPr>
      </w:pPr>
      <w:r w:rsidRPr="00B271B1">
        <w:rPr>
          <w:color w:val="000000" w:themeColor="text1"/>
          <w:szCs w:val="24"/>
          <w:lang w:val="en-AU"/>
        </w:rPr>
        <w:t>Similar to comparable products o</w:t>
      </w:r>
      <w:r w:rsidRPr="007E24AE">
        <w:t xml:space="preserve">r thrombin solutions, the product may be denatured after exposure to solutions containing alcohol, </w:t>
      </w:r>
      <w:proofErr w:type="spellStart"/>
      <w:r w:rsidRPr="007E24AE">
        <w:t>i</w:t>
      </w:r>
      <w:r w:rsidRPr="00B271B1">
        <w:rPr>
          <w:color w:val="000000" w:themeColor="text1"/>
          <w:szCs w:val="24"/>
          <w:lang w:val="en-AU"/>
        </w:rPr>
        <w:t>odine</w:t>
      </w:r>
      <w:proofErr w:type="spellEnd"/>
      <w:r w:rsidRPr="00B271B1">
        <w:rPr>
          <w:color w:val="000000" w:themeColor="text1"/>
          <w:szCs w:val="24"/>
          <w:lang w:val="en-AU"/>
        </w:rPr>
        <w:t xml:space="preserve"> or heavy metals (e.g. antiseptic solutions). Such substances should be removed to the greatest possible extent before applying the product.</w:t>
      </w:r>
    </w:p>
    <w:p w:rsidR="003A6A44" w:rsidRPr="00B271B1" w:rsidRDefault="003A6A44" w:rsidP="00CD3D5D">
      <w:pPr>
        <w:autoSpaceDE w:val="0"/>
        <w:autoSpaceDN w:val="0"/>
        <w:adjustRightInd w:val="0"/>
        <w:rPr>
          <w:color w:val="000000" w:themeColor="text1"/>
          <w:szCs w:val="24"/>
          <w:lang w:val="en-AU"/>
        </w:rPr>
      </w:pPr>
      <w:r w:rsidRPr="00B271B1">
        <w:rPr>
          <w:color w:val="000000" w:themeColor="text1"/>
          <w:szCs w:val="24"/>
          <w:lang w:val="en-AU"/>
        </w:rPr>
        <w:t xml:space="preserve">The skin graft should be attached to the wound bed immediately after ARTISS has been applied. The surgeon has </w:t>
      </w:r>
      <w:r w:rsidR="00E631C9" w:rsidRPr="00B271B1">
        <w:rPr>
          <w:color w:val="000000" w:themeColor="text1"/>
          <w:szCs w:val="24"/>
          <w:lang w:val="en-AU"/>
        </w:rPr>
        <w:t xml:space="preserve">up to </w:t>
      </w:r>
      <w:r w:rsidRPr="00B271B1">
        <w:rPr>
          <w:color w:val="000000" w:themeColor="text1"/>
          <w:szCs w:val="24"/>
          <w:lang w:val="en-AU"/>
        </w:rPr>
        <w:t>60 seconds to manipulate and position the graft prior to polymerization.</w:t>
      </w:r>
    </w:p>
    <w:p w:rsidR="003A6A44" w:rsidRDefault="003A6A44" w:rsidP="00CD3D5D">
      <w:pPr>
        <w:rPr>
          <w:color w:val="000000" w:themeColor="text1"/>
          <w:szCs w:val="24"/>
          <w:lang w:val="en-AU"/>
        </w:rPr>
      </w:pPr>
      <w:r w:rsidRPr="00B271B1">
        <w:rPr>
          <w:color w:val="000000" w:themeColor="text1"/>
          <w:szCs w:val="24"/>
          <w:lang w:val="en-AU"/>
        </w:rPr>
        <w:t xml:space="preserve">After the </w:t>
      </w:r>
      <w:r w:rsidR="00E631C9" w:rsidRPr="00B271B1">
        <w:rPr>
          <w:color w:val="000000" w:themeColor="text1"/>
          <w:szCs w:val="24"/>
          <w:lang w:val="en-AU"/>
        </w:rPr>
        <w:t xml:space="preserve">flap </w:t>
      </w:r>
      <w:r w:rsidRPr="00B271B1">
        <w:rPr>
          <w:color w:val="000000" w:themeColor="text1"/>
          <w:szCs w:val="24"/>
          <w:lang w:val="en-AU"/>
        </w:rPr>
        <w:t xml:space="preserve">or </w:t>
      </w:r>
      <w:r w:rsidR="00E631C9" w:rsidRPr="00B271B1">
        <w:rPr>
          <w:color w:val="000000" w:themeColor="text1"/>
          <w:szCs w:val="24"/>
          <w:lang w:val="en-AU"/>
        </w:rPr>
        <w:t xml:space="preserve">graft </w:t>
      </w:r>
      <w:r w:rsidRPr="00B271B1">
        <w:rPr>
          <w:color w:val="000000" w:themeColor="text1"/>
          <w:szCs w:val="24"/>
          <w:lang w:val="en-AU"/>
        </w:rPr>
        <w:t>has been positioned, hold in the desired position by gentle compression for at least 3 minutes to ensure ARTISS sets properly and the graft or flap adheres firmly to the underlying tissue.</w:t>
      </w:r>
    </w:p>
    <w:p w:rsidR="00F90E0E" w:rsidRPr="00683CB3" w:rsidRDefault="00F90E0E" w:rsidP="00F90E0E">
      <w:pPr>
        <w:rPr>
          <w:color w:val="000000" w:themeColor="text1"/>
          <w:szCs w:val="24"/>
          <w:lang w:val="en-AU"/>
        </w:rPr>
      </w:pPr>
      <w:r w:rsidRPr="00683CB3">
        <w:rPr>
          <w:color w:val="000000" w:themeColor="text1"/>
          <w:szCs w:val="24"/>
          <w:lang w:val="en-AU"/>
        </w:rPr>
        <w:t>It is strongly recommended that every time a patient receives a dose of ARTISS, the name and batch number of the product are recorded in order to maintain a record of the batches used.</w:t>
      </w:r>
    </w:p>
    <w:p w:rsidR="00F3115F" w:rsidRPr="00661F3E" w:rsidRDefault="00425803" w:rsidP="007E24AE">
      <w:pPr>
        <w:pStyle w:val="Heading2"/>
        <w:rPr>
          <w:rFonts w:eastAsia="Calibri"/>
          <w:lang w:val="en-AU"/>
        </w:rPr>
      </w:pPr>
      <w:r w:rsidRPr="00661F3E">
        <w:rPr>
          <w:rFonts w:eastAsia="Calibri"/>
          <w:lang w:val="en-AU"/>
        </w:rPr>
        <w:lastRenderedPageBreak/>
        <w:t>Cannula</w:t>
      </w:r>
    </w:p>
    <w:p w:rsidR="00FF25DB" w:rsidRPr="00B271B1" w:rsidRDefault="00425803" w:rsidP="007E24AE">
      <w:pPr>
        <w:rPr>
          <w:lang w:val="en-AU"/>
        </w:rPr>
      </w:pPr>
      <w:r w:rsidRPr="00B271B1">
        <w:rPr>
          <w:lang w:val="en-AU"/>
        </w:rPr>
        <w:t xml:space="preserve">The </w:t>
      </w:r>
      <w:proofErr w:type="spellStart"/>
      <w:r w:rsidRPr="00B271B1">
        <w:rPr>
          <w:lang w:val="en-AU"/>
        </w:rPr>
        <w:t>cannulas</w:t>
      </w:r>
      <w:proofErr w:type="spellEnd"/>
      <w:r w:rsidRPr="00B271B1">
        <w:rPr>
          <w:lang w:val="en-AU"/>
        </w:rPr>
        <w:t xml:space="preserve"> included with the DUPLOJECT Preparation and Application System or DUO Set may be used for small wounds or for edges of a skin graft that did not adhere to the wound bed. </w:t>
      </w:r>
    </w:p>
    <w:p w:rsidR="00F3115F" w:rsidRPr="00B271B1" w:rsidRDefault="00425803" w:rsidP="00CD3D5D">
      <w:pPr>
        <w:autoSpaceDE w:val="0"/>
        <w:autoSpaceDN w:val="0"/>
        <w:adjustRightInd w:val="0"/>
        <w:rPr>
          <w:color w:val="000000" w:themeColor="text1"/>
          <w:szCs w:val="24"/>
          <w:lang w:val="en-AU"/>
        </w:rPr>
      </w:pPr>
      <w:r w:rsidRPr="00B271B1">
        <w:rPr>
          <w:color w:val="000000" w:themeColor="text1"/>
          <w:szCs w:val="24"/>
          <w:lang w:val="en-AU"/>
        </w:rPr>
        <w:t>Immediately before application, expel and discard the first several drops from the application cannula to ensure adequate mixing of the sealer protein and thrombin solutions.</w:t>
      </w:r>
    </w:p>
    <w:p w:rsidR="00F3115F" w:rsidRPr="00B271B1" w:rsidRDefault="00994A04" w:rsidP="00CD3D5D">
      <w:pPr>
        <w:autoSpaceDE w:val="0"/>
        <w:autoSpaceDN w:val="0"/>
        <w:adjustRightInd w:val="0"/>
        <w:rPr>
          <w:color w:val="000000" w:themeColor="text1"/>
          <w:szCs w:val="24"/>
          <w:lang w:val="en-AU"/>
        </w:rPr>
      </w:pPr>
      <w:r w:rsidRPr="00B271B1">
        <w:rPr>
          <w:color w:val="000000" w:themeColor="text1"/>
          <w:szCs w:val="24"/>
          <w:lang w:val="en-AU"/>
        </w:rPr>
        <w:t>The wound surface should be as dry as possible before application of ARTISS. Apply ARTISS thinly (2 mL/100 cm</w:t>
      </w:r>
      <w:r w:rsidRPr="00B271B1">
        <w:rPr>
          <w:color w:val="000000" w:themeColor="text1"/>
          <w:szCs w:val="24"/>
          <w:vertAlign w:val="superscript"/>
          <w:lang w:val="en-AU"/>
        </w:rPr>
        <w:t>2</w:t>
      </w:r>
      <w:r w:rsidRPr="00B271B1">
        <w:rPr>
          <w:color w:val="000000" w:themeColor="text1"/>
          <w:szCs w:val="24"/>
          <w:lang w:val="en-AU"/>
        </w:rPr>
        <w:t>) to avoid formation of excessive granulation tissue and interference with wound healing.</w:t>
      </w:r>
    </w:p>
    <w:p w:rsidR="008745FF" w:rsidRPr="00661F3E" w:rsidRDefault="008745FF" w:rsidP="007E24AE">
      <w:pPr>
        <w:pStyle w:val="Heading2"/>
        <w:rPr>
          <w:lang w:val="en-AU"/>
        </w:rPr>
      </w:pPr>
      <w:r w:rsidRPr="00661F3E">
        <w:rPr>
          <w:lang w:val="en-AU"/>
        </w:rPr>
        <w:t>Spray Set</w:t>
      </w:r>
    </w:p>
    <w:p w:rsidR="008745FF" w:rsidRPr="00B271B1" w:rsidRDefault="008745FF" w:rsidP="00CD3D5D">
      <w:pPr>
        <w:rPr>
          <w:color w:val="000000" w:themeColor="text1"/>
          <w:szCs w:val="24"/>
          <w:lang w:val="en-AU"/>
        </w:rPr>
      </w:pPr>
      <w:r w:rsidRPr="00B271B1">
        <w:rPr>
          <w:color w:val="000000" w:themeColor="text1"/>
          <w:szCs w:val="24"/>
          <w:lang w:val="en-AU"/>
        </w:rPr>
        <w:t>For large surface areas, spray application is recommended. The required dose of ARTISS depends on the size of the surface to be covered. The approximate surface areas covered by each package size of ARTISS by spray application are: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3"/>
        <w:gridCol w:w="5575"/>
      </w:tblGrid>
      <w:tr w:rsidR="008745FF" w:rsidRPr="00B271B1" w:rsidTr="00AA0A2F">
        <w:trPr>
          <w:cantSplit/>
          <w:tblHeader/>
        </w:trPr>
        <w:tc>
          <w:tcPr>
            <w:tcW w:w="2155" w:type="pct"/>
          </w:tcPr>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Approximate area requiring tissue adherence</w:t>
            </w:r>
          </w:p>
        </w:tc>
        <w:tc>
          <w:tcPr>
            <w:tcW w:w="2845" w:type="pct"/>
          </w:tcPr>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Required package size of</w:t>
            </w:r>
          </w:p>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ARTISS</w:t>
            </w:r>
          </w:p>
        </w:tc>
      </w:tr>
      <w:tr w:rsidR="008745FF" w:rsidRPr="00B271B1" w:rsidTr="008745FF">
        <w:trPr>
          <w:cantSplit/>
        </w:trPr>
        <w:tc>
          <w:tcPr>
            <w:tcW w:w="2155" w:type="pct"/>
          </w:tcPr>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100 cm²</w:t>
            </w:r>
          </w:p>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200 cm²</w:t>
            </w:r>
          </w:p>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500 cm²</w:t>
            </w:r>
          </w:p>
        </w:tc>
        <w:tc>
          <w:tcPr>
            <w:tcW w:w="2845" w:type="pct"/>
          </w:tcPr>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2 mL</w:t>
            </w:r>
          </w:p>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4 mL</w:t>
            </w:r>
          </w:p>
          <w:p w:rsidR="008745FF" w:rsidRPr="00B271B1" w:rsidRDefault="008745FF" w:rsidP="008745FF">
            <w:pPr>
              <w:pStyle w:val="TableTextCenter"/>
              <w:keepNext/>
              <w:spacing w:before="0" w:after="0"/>
              <w:rPr>
                <w:color w:val="000000" w:themeColor="text1"/>
                <w:sz w:val="22"/>
                <w:szCs w:val="22"/>
              </w:rPr>
            </w:pPr>
            <w:r w:rsidRPr="00B271B1">
              <w:rPr>
                <w:color w:val="000000" w:themeColor="text1"/>
                <w:sz w:val="22"/>
                <w:szCs w:val="22"/>
              </w:rPr>
              <w:t>10 mL</w:t>
            </w:r>
          </w:p>
        </w:tc>
      </w:tr>
    </w:tbl>
    <w:p w:rsidR="008745FF" w:rsidRPr="00B271B1" w:rsidRDefault="008745FF" w:rsidP="00CD3D5D">
      <w:pPr>
        <w:spacing w:after="0"/>
        <w:rPr>
          <w:color w:val="000000" w:themeColor="text1"/>
          <w:szCs w:val="24"/>
          <w:lang w:val="en-AU"/>
        </w:rPr>
      </w:pPr>
    </w:p>
    <w:p w:rsidR="008745FF" w:rsidRPr="00B271B1" w:rsidRDefault="008745FF" w:rsidP="00CD3D5D">
      <w:pPr>
        <w:rPr>
          <w:color w:val="000000" w:themeColor="text1"/>
          <w:szCs w:val="24"/>
          <w:lang w:val="en-AU"/>
        </w:rPr>
      </w:pPr>
      <w:r w:rsidRPr="00B271B1">
        <w:rPr>
          <w:color w:val="000000" w:themeColor="text1"/>
          <w:szCs w:val="24"/>
          <w:lang w:val="en-AU"/>
        </w:rPr>
        <w:t>This recommended dose applies to all age groups.</w:t>
      </w:r>
    </w:p>
    <w:p w:rsidR="00135697" w:rsidRPr="00B271B1" w:rsidRDefault="00425803" w:rsidP="007E24AE">
      <w:pPr>
        <w:pStyle w:val="Heading2"/>
        <w:rPr>
          <w:lang w:val="en-AU"/>
        </w:rPr>
      </w:pPr>
      <w:r w:rsidRPr="00B271B1">
        <w:rPr>
          <w:lang w:val="en-AU"/>
        </w:rPr>
        <w:t>Method of Preparation of ARTISS Preloaded Syringe (Frozen)</w:t>
      </w:r>
    </w:p>
    <w:p w:rsidR="0078764A" w:rsidRPr="00B271B1" w:rsidRDefault="00425803" w:rsidP="007E24AE">
      <w:pPr>
        <w:pStyle w:val="bullet"/>
      </w:pPr>
      <w:r w:rsidRPr="00B271B1">
        <w:t xml:space="preserve">Unopened pouches, thawed at room temperature, may be stored for up to </w:t>
      </w:r>
      <w:r w:rsidR="004A0FC1" w:rsidRPr="00B271B1">
        <w:t xml:space="preserve">14 </w:t>
      </w:r>
      <w:r w:rsidRPr="00B271B1">
        <w:t xml:space="preserve">days at controlled room temperature (not exceeding + 25°C). If not used within </w:t>
      </w:r>
      <w:r w:rsidR="004A0FC1" w:rsidRPr="00B271B1">
        <w:t xml:space="preserve">14 </w:t>
      </w:r>
      <w:r w:rsidRPr="00B271B1">
        <w:t>days after thawing, ARTISS must be discarded.</w:t>
      </w:r>
    </w:p>
    <w:p w:rsidR="00843092" w:rsidRPr="00B271B1" w:rsidRDefault="00425803" w:rsidP="007E24AE">
      <w:pPr>
        <w:pStyle w:val="bullet"/>
      </w:pPr>
      <w:r w:rsidRPr="00B271B1">
        <w:t>To facilitate optimal blending of the two solutions, the two sealant components must be warmed to 33-37°C immediately before use. (The temperature of 37°C must, however, not be exceeded.)</w:t>
      </w:r>
    </w:p>
    <w:p w:rsidR="00843092" w:rsidRPr="00B271B1" w:rsidRDefault="00425803" w:rsidP="007E24AE">
      <w:pPr>
        <w:pStyle w:val="bullet"/>
      </w:pPr>
      <w:r w:rsidRPr="00B271B1">
        <w:t>After quick thawing (i.e. thawing at a temperature of 33-37°C) ARTISS may be stored at 33-37°C for a maximum of 4 hours.</w:t>
      </w:r>
    </w:p>
    <w:p w:rsidR="003E45AE" w:rsidRPr="00B271B1" w:rsidRDefault="00425803" w:rsidP="007E24AE">
      <w:pPr>
        <w:pStyle w:val="bullet"/>
      </w:pPr>
      <w:r w:rsidRPr="00B271B1">
        <w:t>To prevent ARTISS from adhering, wet gloves and instruments with sodium chloride solution before contact.</w:t>
      </w:r>
    </w:p>
    <w:p w:rsidR="003E45AE" w:rsidRDefault="00425803" w:rsidP="007E24AE">
      <w:pPr>
        <w:pStyle w:val="bullet"/>
      </w:pPr>
      <w:r w:rsidRPr="00B271B1">
        <w:t>Do not use ARTISS unless it is completely thawed and warmed (liquid consistency). The protective syringe cap should not be removed until storage, thawing and warming is complete and application tip is ready to be attached.</w:t>
      </w:r>
    </w:p>
    <w:p w:rsidR="006F7936" w:rsidRPr="00B271B1" w:rsidRDefault="006F7936" w:rsidP="007E24AE">
      <w:pPr>
        <w:pStyle w:val="Heading2"/>
        <w:rPr>
          <w:i/>
          <w:iCs/>
        </w:rPr>
      </w:pPr>
      <w:r w:rsidRPr="00B271B1">
        <w:rPr>
          <w:lang w:val="en-AU"/>
        </w:rPr>
        <w:lastRenderedPageBreak/>
        <w:t xml:space="preserve">For quick thawing of the </w:t>
      </w:r>
      <w:r w:rsidRPr="00B271B1">
        <w:t>preloaded syringe use one of the three following options:</w:t>
      </w:r>
    </w:p>
    <w:p w:rsidR="006F7936" w:rsidRPr="007E24AE" w:rsidRDefault="006F7936" w:rsidP="007E24AE">
      <w:pPr>
        <w:pStyle w:val="Heading3pi"/>
        <w:rPr>
          <w:i w:val="0"/>
          <w:iCs/>
        </w:rPr>
      </w:pPr>
      <w:r w:rsidRPr="007E24AE">
        <w:rPr>
          <w:i w:val="0"/>
        </w:rPr>
        <w:t>Option 1 – Thawing on the sterile field</w:t>
      </w:r>
    </w:p>
    <w:p w:rsidR="006F7936" w:rsidRDefault="006F7936" w:rsidP="006F7936">
      <w:pPr>
        <w:autoSpaceDE w:val="0"/>
        <w:autoSpaceDN w:val="0"/>
        <w:adjustRightInd w:val="0"/>
        <w:rPr>
          <w:color w:val="000000" w:themeColor="text1"/>
          <w:szCs w:val="24"/>
        </w:rPr>
      </w:pPr>
      <w:r w:rsidRPr="00B271B1">
        <w:rPr>
          <w:color w:val="000000" w:themeColor="text1"/>
          <w:szCs w:val="24"/>
        </w:rPr>
        <w:t>33°C to 37°C sterile water bath - transfer devices set and the inner pouch to the sterile field, remove devices set with preloaded syringes from inner pouch and place directly into sterile water bath. Ensure the contents of the syringe are completely immersed under the water.</w:t>
      </w:r>
      <w:r>
        <w:rPr>
          <w:color w:val="000000" w:themeColor="text1"/>
          <w:szCs w:val="24"/>
        </w:rPr>
        <w:t xml:space="preserve"> </w:t>
      </w:r>
    </w:p>
    <w:p w:rsidR="003E45AE" w:rsidRPr="00B271B1" w:rsidRDefault="00425803" w:rsidP="006F7936">
      <w:pPr>
        <w:autoSpaceDE w:val="0"/>
        <w:autoSpaceDN w:val="0"/>
        <w:adjustRightInd w:val="0"/>
        <w:rPr>
          <w:b/>
          <w:i/>
          <w:iCs/>
          <w:color w:val="000000" w:themeColor="text1"/>
          <w:szCs w:val="24"/>
        </w:rPr>
      </w:pPr>
      <w:r w:rsidRPr="00B271B1">
        <w:rPr>
          <w:color w:val="000000" w:themeColor="text1"/>
          <w:szCs w:val="24"/>
        </w:rPr>
        <w:t xml:space="preserve">Approximate thawing and warming times when using this method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602"/>
      </w:tblGrid>
      <w:tr w:rsidR="003E45AE" w:rsidRPr="00B271B1" w:rsidTr="00AA0A2F">
        <w:trPr>
          <w:cantSplit/>
          <w:tblHeader/>
        </w:trPr>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Pack Size</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Thawing/Warming Times</w:t>
            </w:r>
          </w:p>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33°C to 37°C Sterile Water Bath</w:t>
            </w:r>
            <w:r w:rsidRPr="00B271B1">
              <w:rPr>
                <w:color w:val="000000" w:themeColor="text1"/>
                <w:sz w:val="24"/>
                <w:lang w:val="en-AU"/>
              </w:rPr>
              <w:br/>
              <w:t>(Pouches Removed)</w:t>
            </w:r>
          </w:p>
        </w:tc>
      </w:tr>
      <w:tr w:rsidR="003E45AE" w:rsidRPr="00B271B1" w:rsidTr="003E45AE">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2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5 minutes</w:t>
            </w:r>
          </w:p>
        </w:tc>
      </w:tr>
      <w:tr w:rsidR="003E45AE" w:rsidRPr="00B271B1" w:rsidTr="003E45AE">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4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5 minutes</w:t>
            </w:r>
          </w:p>
        </w:tc>
      </w:tr>
      <w:tr w:rsidR="003E45AE" w:rsidRPr="00B271B1" w:rsidTr="003E45AE">
        <w:trPr>
          <w:trHeight w:val="63"/>
        </w:trPr>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10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12 minutes</w:t>
            </w:r>
          </w:p>
        </w:tc>
      </w:tr>
    </w:tbl>
    <w:p w:rsidR="007E24AE" w:rsidRDefault="007E24AE" w:rsidP="007E24AE">
      <w:pPr>
        <w:pStyle w:val="Heading3pi"/>
        <w:rPr>
          <w:i w:val="0"/>
        </w:rPr>
      </w:pPr>
    </w:p>
    <w:p w:rsidR="003E45AE" w:rsidRPr="007E24AE" w:rsidRDefault="00425803" w:rsidP="007E24AE">
      <w:pPr>
        <w:pStyle w:val="Heading3pi"/>
        <w:rPr>
          <w:i w:val="0"/>
        </w:rPr>
      </w:pPr>
      <w:r w:rsidRPr="007E24AE">
        <w:rPr>
          <w:i w:val="0"/>
        </w:rPr>
        <w:t>Option 2 – Thawing off the sterile field</w:t>
      </w:r>
    </w:p>
    <w:p w:rsidR="003E45AE" w:rsidRPr="00B271B1" w:rsidRDefault="00425803" w:rsidP="007E24AE">
      <w:r w:rsidRPr="00B271B1">
        <w:t>33°C to 37°C non-sterile water bath in two pouches - maintain the devices set in both pouches and place into a water bath off the sterile field for appropriate time. Ensure the pouches remain submerged throughout thawing. Remove from the water bath after thawing, dry external pouch and transfer inner pouch and preloaded syringe onto the sterile field.</w:t>
      </w:r>
    </w:p>
    <w:p w:rsidR="003E45AE" w:rsidRPr="00B271B1" w:rsidRDefault="00425803" w:rsidP="00CD3D5D">
      <w:pPr>
        <w:rPr>
          <w:color w:val="000000" w:themeColor="text1"/>
          <w:szCs w:val="24"/>
        </w:rPr>
      </w:pPr>
      <w:r w:rsidRPr="00B271B1">
        <w:rPr>
          <w:color w:val="000000" w:themeColor="text1"/>
          <w:szCs w:val="24"/>
        </w:rPr>
        <w:t>Approximate thawing and warming times when using this method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2"/>
        <w:gridCol w:w="5603"/>
      </w:tblGrid>
      <w:tr w:rsidR="003E45AE" w:rsidRPr="00B271B1" w:rsidTr="007E24AE">
        <w:trPr>
          <w:cantSplit/>
          <w:tblHeader/>
        </w:trPr>
        <w:tc>
          <w:tcPr>
            <w:tcW w:w="226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Pack Size</w:t>
            </w:r>
          </w:p>
        </w:tc>
        <w:tc>
          <w:tcPr>
            <w:tcW w:w="298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Thawing/Warming Times</w:t>
            </w:r>
          </w:p>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33°C to 37°C Non-Sterile Water Bath</w:t>
            </w:r>
          </w:p>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(In Pouches)</w:t>
            </w:r>
          </w:p>
        </w:tc>
      </w:tr>
      <w:tr w:rsidR="003E45AE" w:rsidRPr="00B271B1" w:rsidTr="003E45AE">
        <w:tc>
          <w:tcPr>
            <w:tcW w:w="226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2 mL</w:t>
            </w:r>
          </w:p>
        </w:tc>
        <w:tc>
          <w:tcPr>
            <w:tcW w:w="298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30 minutes</w:t>
            </w:r>
          </w:p>
        </w:tc>
      </w:tr>
      <w:tr w:rsidR="003E45AE" w:rsidRPr="00B271B1" w:rsidTr="003E45AE">
        <w:tc>
          <w:tcPr>
            <w:tcW w:w="226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4 mL</w:t>
            </w:r>
          </w:p>
        </w:tc>
        <w:tc>
          <w:tcPr>
            <w:tcW w:w="298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40 minutes</w:t>
            </w:r>
          </w:p>
        </w:tc>
      </w:tr>
      <w:tr w:rsidR="003E45AE" w:rsidRPr="00B271B1" w:rsidTr="003E45AE">
        <w:tc>
          <w:tcPr>
            <w:tcW w:w="226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10 mL</w:t>
            </w:r>
          </w:p>
        </w:tc>
        <w:tc>
          <w:tcPr>
            <w:tcW w:w="2988" w:type="dxa"/>
            <w:vAlign w:val="center"/>
          </w:tcPr>
          <w:p w:rsidR="003E45AE" w:rsidRPr="00B271B1" w:rsidRDefault="00425803" w:rsidP="003E45AE">
            <w:pPr>
              <w:pStyle w:val="DocText"/>
              <w:keepLines/>
              <w:spacing w:after="0" w:line="240" w:lineRule="auto"/>
              <w:jc w:val="center"/>
              <w:rPr>
                <w:rFonts w:eastAsia="Times New Roman"/>
                <w:color w:val="000000" w:themeColor="text1"/>
                <w:lang w:val="en-AU"/>
              </w:rPr>
            </w:pPr>
            <w:r w:rsidRPr="00B271B1">
              <w:rPr>
                <w:rFonts w:eastAsia="Times New Roman"/>
                <w:color w:val="000000" w:themeColor="text1"/>
                <w:lang w:val="en-AU"/>
              </w:rPr>
              <w:t>80 minutes</w:t>
            </w:r>
          </w:p>
        </w:tc>
      </w:tr>
    </w:tbl>
    <w:p w:rsidR="007E24AE" w:rsidRDefault="007E24AE" w:rsidP="007E24AE">
      <w:pPr>
        <w:pStyle w:val="Heading3pi"/>
        <w:rPr>
          <w:i w:val="0"/>
        </w:rPr>
      </w:pPr>
    </w:p>
    <w:p w:rsidR="003E45AE" w:rsidRPr="007E24AE" w:rsidRDefault="00425803" w:rsidP="007E24AE">
      <w:pPr>
        <w:pStyle w:val="Heading3pi"/>
        <w:rPr>
          <w:i w:val="0"/>
        </w:rPr>
      </w:pPr>
      <w:r w:rsidRPr="007E24AE">
        <w:rPr>
          <w:i w:val="0"/>
        </w:rPr>
        <w:t xml:space="preserve">Option 3 – Thawing off the sterile field </w:t>
      </w:r>
    </w:p>
    <w:p w:rsidR="003E45AE" w:rsidRPr="00B271B1" w:rsidRDefault="00CD3D5D" w:rsidP="00CD3D5D">
      <w:pPr>
        <w:rPr>
          <w:color w:val="000000" w:themeColor="text1"/>
          <w:szCs w:val="24"/>
        </w:rPr>
      </w:pPr>
      <w:r>
        <w:rPr>
          <w:color w:val="000000" w:themeColor="text1"/>
          <w:szCs w:val="24"/>
        </w:rPr>
        <w:t>I</w:t>
      </w:r>
      <w:r w:rsidR="00425803" w:rsidRPr="00B271B1">
        <w:rPr>
          <w:color w:val="000000" w:themeColor="text1"/>
          <w:szCs w:val="24"/>
        </w:rPr>
        <w:t>ncubator (33°C to 37°C) in pouches – maintain the devices set in both pouches and place into an incubator for appropriate time. Remove from incubator after thawing and transfer inner pouch and preloaded syringe onto the sterile field.</w:t>
      </w:r>
    </w:p>
    <w:p w:rsidR="003E45AE" w:rsidRPr="00B271B1" w:rsidRDefault="00425803" w:rsidP="00CD3D5D">
      <w:pPr>
        <w:rPr>
          <w:color w:val="000000" w:themeColor="text1"/>
          <w:szCs w:val="24"/>
        </w:rPr>
      </w:pPr>
      <w:r w:rsidRPr="00B271B1">
        <w:rPr>
          <w:color w:val="000000" w:themeColor="text1"/>
          <w:szCs w:val="24"/>
        </w:rPr>
        <w:t xml:space="preserve">Approximate thawing and warming times when using this method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602"/>
      </w:tblGrid>
      <w:tr w:rsidR="003E45AE" w:rsidRPr="00B271B1" w:rsidTr="007E24AE">
        <w:trPr>
          <w:cantSplit/>
          <w:tblHeader/>
        </w:trPr>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Pack Size</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Thawing/Warming Times</w:t>
            </w:r>
          </w:p>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 xml:space="preserve">33°C to 37°C Incubator </w:t>
            </w:r>
          </w:p>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(In Pouches)</w:t>
            </w:r>
          </w:p>
        </w:tc>
      </w:tr>
      <w:tr w:rsidR="003E45AE" w:rsidRPr="00B271B1" w:rsidTr="003E45AE">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2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40 minutes</w:t>
            </w:r>
          </w:p>
        </w:tc>
      </w:tr>
      <w:tr w:rsidR="003E45AE" w:rsidRPr="00B271B1" w:rsidTr="003E45AE">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4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85 minutes</w:t>
            </w:r>
          </w:p>
        </w:tc>
      </w:tr>
      <w:tr w:rsidR="003E45AE" w:rsidRPr="00B271B1" w:rsidTr="003E45AE">
        <w:tc>
          <w:tcPr>
            <w:tcW w:w="2158"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10 mL</w:t>
            </w:r>
          </w:p>
        </w:tc>
        <w:tc>
          <w:tcPr>
            <w:tcW w:w="2842" w:type="pct"/>
            <w:vAlign w:val="center"/>
          </w:tcPr>
          <w:p w:rsidR="003E45AE" w:rsidRPr="00B271B1" w:rsidRDefault="00425803" w:rsidP="003E45AE">
            <w:pPr>
              <w:pStyle w:val="TableTextCenter"/>
              <w:spacing w:before="0" w:after="0"/>
              <w:rPr>
                <w:color w:val="000000" w:themeColor="text1"/>
                <w:sz w:val="24"/>
                <w:lang w:val="en-AU"/>
              </w:rPr>
            </w:pPr>
            <w:r w:rsidRPr="00B271B1">
              <w:rPr>
                <w:color w:val="000000" w:themeColor="text1"/>
                <w:sz w:val="24"/>
                <w:lang w:val="en-AU"/>
              </w:rPr>
              <w:t>105 minutes</w:t>
            </w:r>
          </w:p>
        </w:tc>
      </w:tr>
    </w:tbl>
    <w:p w:rsidR="00062BB9" w:rsidRPr="00B271B1" w:rsidRDefault="00425803" w:rsidP="007E24AE">
      <w:pPr>
        <w:pStyle w:val="Heading2"/>
        <w:rPr>
          <w:lang w:val="en-AU"/>
        </w:rPr>
      </w:pPr>
      <w:r w:rsidRPr="00B271B1">
        <w:rPr>
          <w:lang w:val="en-AU"/>
        </w:rPr>
        <w:lastRenderedPageBreak/>
        <w:t>Operating Instructions</w:t>
      </w:r>
    </w:p>
    <w:p w:rsidR="00E806C4" w:rsidRPr="007E24AE" w:rsidRDefault="00E806C4" w:rsidP="007E24AE">
      <w:pPr>
        <w:pStyle w:val="Heading3pi"/>
        <w:rPr>
          <w:i w:val="0"/>
        </w:rPr>
      </w:pPr>
      <w:r w:rsidRPr="007E24AE">
        <w:rPr>
          <w:i w:val="0"/>
        </w:rPr>
        <w:t>Cannula</w:t>
      </w:r>
    </w:p>
    <w:p w:rsidR="00062BB9" w:rsidRPr="00B271B1" w:rsidRDefault="00425803" w:rsidP="007E24AE">
      <w:r w:rsidRPr="00B271B1">
        <w:rPr>
          <w:lang w:val="en-AU"/>
        </w:rPr>
        <w:t>For application, the double-chamber syringe with the Sealer Protein Solution and the Thrombin Solution has to be connected to a joining piece and an application cannula as provided in the accompanying set of devices. The common plunger of the double-chamber syringe ensures that equal volumes are fed through the joining piece before being mixed in the application cannula and ejected.</w:t>
      </w:r>
    </w:p>
    <w:p w:rsidR="00062BB9" w:rsidRPr="00B271B1" w:rsidRDefault="00A214F5" w:rsidP="00062BB9">
      <w:pPr>
        <w:rPr>
          <w:color w:val="000000" w:themeColor="text1"/>
          <w:szCs w:val="24"/>
          <w:lang w:val="en-AU"/>
        </w:rPr>
      </w:pPr>
      <w:r w:rsidRPr="00B271B1">
        <w:rPr>
          <w:noProof/>
          <w:color w:val="000000" w:themeColor="text1"/>
          <w:szCs w:val="24"/>
          <w:lang w:val="en-AU" w:eastAsia="en-AU"/>
        </w:rPr>
        <w:drawing>
          <wp:inline distT="0" distB="0" distL="0" distR="0">
            <wp:extent cx="3882983" cy="2336800"/>
            <wp:effectExtent l="19050" t="0" r="3217" b="0"/>
            <wp:docPr id="3" name="Bild 1" descr="device set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83343" cy="2337017"/>
                    </a:xfrm>
                    <a:prstGeom prst="rect">
                      <a:avLst/>
                    </a:prstGeom>
                    <a:noFill/>
                    <a:ln w="9525">
                      <a:noFill/>
                      <a:miter lim="800000"/>
                      <a:headEnd/>
                      <a:tailEnd/>
                    </a:ln>
                  </pic:spPr>
                </pic:pic>
              </a:graphicData>
            </a:graphic>
          </wp:inline>
        </w:drawing>
      </w:r>
    </w:p>
    <w:p w:rsidR="00F3115F" w:rsidRPr="00B271B1" w:rsidRDefault="00425803" w:rsidP="007E24AE">
      <w:r w:rsidRPr="00B271B1">
        <w:t>Device Set Instructions: firmly connect the double chamber syringe nozzles to the Y–piece and secure it by fastening the tether strap to the syringe. Fit an application cannula onto the Y-piece. To avoid clogging, do not expel the air remaining inside the Y-piece or application cannula until application.</w:t>
      </w:r>
    </w:p>
    <w:p w:rsidR="00E806C4" w:rsidRPr="007E24AE" w:rsidRDefault="00E806C4" w:rsidP="007E24AE">
      <w:pPr>
        <w:pStyle w:val="Heading3pi"/>
        <w:rPr>
          <w:i w:val="0"/>
        </w:rPr>
      </w:pPr>
      <w:r w:rsidRPr="007E24AE">
        <w:rPr>
          <w:i w:val="0"/>
        </w:rPr>
        <w:t>Spray Set</w:t>
      </w:r>
    </w:p>
    <w:p w:rsidR="00E806C4" w:rsidRPr="00B271B1" w:rsidRDefault="00E806C4" w:rsidP="007E24AE">
      <w:r w:rsidRPr="00B271B1">
        <w:t xml:space="preserve">See package insert of the spray set for instructions on administration of </w:t>
      </w:r>
      <w:proofErr w:type="spellStart"/>
      <w:r w:rsidRPr="00B271B1">
        <w:t>Artiss</w:t>
      </w:r>
      <w:proofErr w:type="spellEnd"/>
      <w:r w:rsidRPr="00B271B1">
        <w:t xml:space="preserve"> using the spray set.</w:t>
      </w:r>
    </w:p>
    <w:p w:rsidR="00E806C4" w:rsidRPr="00B271B1" w:rsidRDefault="00E806C4" w:rsidP="00F52102">
      <w:pPr>
        <w:outlineLvl w:val="0"/>
        <w:rPr>
          <w:color w:val="000000" w:themeColor="text1"/>
          <w:szCs w:val="24"/>
        </w:rPr>
      </w:pPr>
      <w:r w:rsidRPr="00B271B1">
        <w:rPr>
          <w:color w:val="000000" w:themeColor="text1"/>
          <w:szCs w:val="24"/>
        </w:rPr>
        <w:t>Air embolism has occurred with the use of a spray device to administer fibrin sealant (see ADVERSE EFFECTS). This ap</w:t>
      </w:r>
      <w:r w:rsidR="00173987" w:rsidRPr="00B271B1">
        <w:rPr>
          <w:color w:val="000000" w:themeColor="text1"/>
          <w:szCs w:val="24"/>
        </w:rPr>
        <w:t>pears to be related to the use o</w:t>
      </w:r>
      <w:r w:rsidRPr="00B271B1">
        <w:rPr>
          <w:color w:val="000000" w:themeColor="text1"/>
          <w:szCs w:val="24"/>
        </w:rPr>
        <w:t>f the spray device at higher than recommended pressures and in close proximity to the tissue surface.</w:t>
      </w:r>
    </w:p>
    <w:p w:rsidR="00E806C4" w:rsidRDefault="00E806C4" w:rsidP="00F52102">
      <w:pPr>
        <w:outlineLvl w:val="0"/>
        <w:rPr>
          <w:color w:val="000000" w:themeColor="text1"/>
          <w:szCs w:val="24"/>
        </w:rPr>
      </w:pPr>
      <w:r w:rsidRPr="00B271B1">
        <w:rPr>
          <w:color w:val="000000" w:themeColor="text1"/>
          <w:szCs w:val="24"/>
        </w:rPr>
        <w:t xml:space="preserve">When applying ARTISS using a spray device, keep within the pressure recommended by the spray device manufacturer. In the absence of a specific recommendation, avoid using pressure above 140-170 </w:t>
      </w:r>
      <w:proofErr w:type="spellStart"/>
      <w:r w:rsidRPr="00B271B1">
        <w:rPr>
          <w:color w:val="000000" w:themeColor="text1"/>
          <w:szCs w:val="24"/>
        </w:rPr>
        <w:t>kPa</w:t>
      </w:r>
      <w:proofErr w:type="spellEnd"/>
      <w:r w:rsidRPr="00B271B1">
        <w:rPr>
          <w:color w:val="000000" w:themeColor="text1"/>
          <w:szCs w:val="24"/>
        </w:rPr>
        <w:t xml:space="preserve"> (20-25 psi). Do not spray closer than the distance recommended by the spray device manufacturer. In the absence of a specific recommendation, avoid spraying closer than 10-15 cm from the surface of the tissue. When spraying </w:t>
      </w:r>
      <w:r w:rsidR="00173987" w:rsidRPr="00B271B1">
        <w:rPr>
          <w:color w:val="000000" w:themeColor="text1"/>
          <w:szCs w:val="24"/>
        </w:rPr>
        <w:t>ARTISS, changes in bloo</w:t>
      </w:r>
      <w:r w:rsidRPr="00B271B1">
        <w:rPr>
          <w:color w:val="000000" w:themeColor="text1"/>
          <w:szCs w:val="24"/>
        </w:rPr>
        <w:t>d pressure, pulse oxygen saturation and end tidal CO</w:t>
      </w:r>
      <w:r w:rsidRPr="00B271B1">
        <w:rPr>
          <w:color w:val="000000" w:themeColor="text1"/>
          <w:szCs w:val="24"/>
          <w:vertAlign w:val="subscript"/>
        </w:rPr>
        <w:t>2</w:t>
      </w:r>
      <w:r w:rsidRPr="00B271B1">
        <w:rPr>
          <w:color w:val="000000" w:themeColor="text1"/>
          <w:szCs w:val="24"/>
        </w:rPr>
        <w:t xml:space="preserve"> should be monitored because of the possibility of air or gas embolism.</w:t>
      </w:r>
    </w:p>
    <w:p w:rsidR="008E05D5" w:rsidRPr="00B271B1" w:rsidRDefault="008E05D5" w:rsidP="007E24AE">
      <w:pPr>
        <w:pStyle w:val="Heading2"/>
      </w:pPr>
      <w:r w:rsidRPr="00B271B1">
        <w:lastRenderedPageBreak/>
        <w:t>Incompatibilities</w:t>
      </w:r>
    </w:p>
    <w:p w:rsidR="008E05D5" w:rsidRPr="00B271B1" w:rsidRDefault="008E05D5" w:rsidP="008E05D5">
      <w:pPr>
        <w:pStyle w:val="Formatvorlage2"/>
        <w:numPr>
          <w:ilvl w:val="12"/>
          <w:numId w:val="0"/>
        </w:numPr>
        <w:spacing w:after="200" w:line="276" w:lineRule="auto"/>
        <w:rPr>
          <w:rFonts w:ascii="Times New Roman" w:hAnsi="Times New Roman"/>
          <w:color w:val="000000" w:themeColor="text1"/>
        </w:rPr>
      </w:pPr>
      <w:r w:rsidRPr="00B271B1">
        <w:rPr>
          <w:rFonts w:ascii="Times New Roman" w:hAnsi="Times New Roman"/>
          <w:color w:val="000000" w:themeColor="text1"/>
        </w:rPr>
        <w:t>Sealer Protein and Thrombin Solutions can be denatured following contact with solutions containing alcohol, iodine or heavy metals.</w:t>
      </w:r>
    </w:p>
    <w:p w:rsidR="00CD35EC" w:rsidRPr="00B271B1" w:rsidRDefault="00425803" w:rsidP="007E24AE">
      <w:pPr>
        <w:pStyle w:val="Heading1"/>
      </w:pPr>
      <w:r w:rsidRPr="00B271B1">
        <w:t>OVERDOSAGE</w:t>
      </w:r>
    </w:p>
    <w:p w:rsidR="0054319A" w:rsidRPr="00B271B1" w:rsidRDefault="00425803" w:rsidP="007E24AE">
      <w:pPr>
        <w:rPr>
          <w:lang w:val="en-AU"/>
        </w:rPr>
      </w:pPr>
      <w:r w:rsidRPr="00B271B1">
        <w:rPr>
          <w:lang w:val="en-AU"/>
        </w:rPr>
        <w:t xml:space="preserve">To avoid the formation of excess granulation tissue and to ensure gradual absorption of the solidified fibrin sealant, only a thin layer of the mixed Sealer Protein Thrombin Solution or the individual components should be applied. In the event of </w:t>
      </w:r>
      <w:proofErr w:type="spellStart"/>
      <w:r w:rsidRPr="00B271B1">
        <w:rPr>
          <w:lang w:val="en-AU"/>
        </w:rPr>
        <w:t>overdosage</w:t>
      </w:r>
      <w:proofErr w:type="spellEnd"/>
      <w:r w:rsidRPr="00B271B1">
        <w:rPr>
          <w:lang w:val="en-AU"/>
        </w:rPr>
        <w:t>, please contact the Poison Information Centre at Phone Number: 131126</w:t>
      </w:r>
      <w:r w:rsidR="0018246C" w:rsidRPr="00B271B1">
        <w:rPr>
          <w:lang w:val="en-AU"/>
        </w:rPr>
        <w:t>.</w:t>
      </w:r>
    </w:p>
    <w:p w:rsidR="009651FB" w:rsidRPr="00B271B1" w:rsidRDefault="00425803" w:rsidP="007E24AE">
      <w:pPr>
        <w:pStyle w:val="Heading1"/>
      </w:pPr>
      <w:r w:rsidRPr="00B271B1">
        <w:t>PRESENTATION AND STORAGE CONDITIONS</w:t>
      </w:r>
    </w:p>
    <w:p w:rsidR="009651FB" w:rsidRPr="00B271B1" w:rsidRDefault="00425803" w:rsidP="007E24AE">
      <w:pPr>
        <w:pStyle w:val="Heading2"/>
      </w:pPr>
      <w:r w:rsidRPr="00B271B1">
        <w:t xml:space="preserve">Nature and Contents of Container </w:t>
      </w:r>
    </w:p>
    <w:p w:rsidR="009651FB" w:rsidRPr="007E24AE" w:rsidRDefault="00425803" w:rsidP="007E24AE">
      <w:pPr>
        <w:pStyle w:val="Heading3pi"/>
        <w:rPr>
          <w:i w:val="0"/>
        </w:rPr>
      </w:pPr>
      <w:r w:rsidRPr="007E24AE">
        <w:rPr>
          <w:i w:val="0"/>
        </w:rPr>
        <w:t>Nature of containers:</w:t>
      </w:r>
    </w:p>
    <w:p w:rsidR="009651FB" w:rsidRPr="00B271B1" w:rsidRDefault="00425803" w:rsidP="007E24AE">
      <w:r w:rsidRPr="00B271B1">
        <w:t>Both Sealer Protein Solution and Thrombin Solution are contained in two separate chambers of a single use double chamber syringe made of polypropylene.</w:t>
      </w:r>
    </w:p>
    <w:p w:rsidR="009651FB" w:rsidRPr="007E24AE" w:rsidRDefault="00425803" w:rsidP="007E24AE">
      <w:pPr>
        <w:pStyle w:val="Heading3pi"/>
        <w:rPr>
          <w:i w:val="0"/>
        </w:rPr>
      </w:pPr>
      <w:r w:rsidRPr="007E24AE">
        <w:rPr>
          <w:i w:val="0"/>
        </w:rPr>
        <w:t>Contents:</w:t>
      </w:r>
    </w:p>
    <w:p w:rsidR="009651FB" w:rsidRPr="00B271B1" w:rsidRDefault="00425803" w:rsidP="007E24AE">
      <w:r w:rsidRPr="00B271B1">
        <w:t>Each pack ARTISS contains</w:t>
      </w:r>
    </w:p>
    <w:p w:rsidR="009651FB" w:rsidRPr="00B271B1" w:rsidRDefault="00425803" w:rsidP="007E24AE">
      <w:pPr>
        <w:pStyle w:val="bullet"/>
      </w:pPr>
      <w:r w:rsidRPr="00B271B1">
        <w:t>One single use double chamber syringe, each chamber containing:</w:t>
      </w:r>
    </w:p>
    <w:p w:rsidR="009651FB" w:rsidRPr="00B271B1" w:rsidRDefault="00425803" w:rsidP="007E24AE">
      <w:pPr>
        <w:pStyle w:val="Bullet2"/>
      </w:pPr>
      <w:r w:rsidRPr="00B271B1">
        <w:t xml:space="preserve">Chamber number [1]:Sealer Protein Solution </w:t>
      </w:r>
      <w:r w:rsidRPr="00B271B1">
        <w:rPr>
          <w:sz w:val="16"/>
        </w:rPr>
        <w:t xml:space="preserve"> </w:t>
      </w:r>
      <w:r w:rsidRPr="00B271B1">
        <w:t xml:space="preserve">(with </w:t>
      </w:r>
      <w:proofErr w:type="spellStart"/>
      <w:r w:rsidRPr="00B271B1">
        <w:t>aprotinin</w:t>
      </w:r>
      <w:proofErr w:type="spellEnd"/>
      <w:r w:rsidRPr="00B271B1">
        <w:t>) deep frozen</w:t>
      </w:r>
    </w:p>
    <w:p w:rsidR="009651FB" w:rsidRPr="00B271B1" w:rsidRDefault="00425803" w:rsidP="007E24AE">
      <w:pPr>
        <w:pStyle w:val="Bullet2"/>
      </w:pPr>
      <w:r w:rsidRPr="00B271B1">
        <w:t>Chamber number [2]: Thrombin Solution (with calcium chloride) deep frozen</w:t>
      </w:r>
    </w:p>
    <w:p w:rsidR="009651FB" w:rsidRPr="00B271B1" w:rsidRDefault="00425803" w:rsidP="007E24AE">
      <w:pPr>
        <w:pStyle w:val="bullet"/>
      </w:pPr>
      <w:r w:rsidRPr="00B271B1">
        <w:t>One set of devices (see below)</w:t>
      </w:r>
    </w:p>
    <w:p w:rsidR="009651FB" w:rsidRPr="00B271B1" w:rsidRDefault="00425803" w:rsidP="00F52102">
      <w:pPr>
        <w:pStyle w:val="Formatvorlage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00" w:line="276" w:lineRule="auto"/>
        <w:jc w:val="both"/>
        <w:rPr>
          <w:rFonts w:ascii="Times New Roman" w:hAnsi="Times New Roman"/>
          <w:color w:val="000000" w:themeColor="text1"/>
          <w:lang w:val="en-GB"/>
        </w:rPr>
      </w:pPr>
      <w:r w:rsidRPr="00B271B1">
        <w:rPr>
          <w:rFonts w:ascii="Times New Roman" w:hAnsi="Times New Roman"/>
          <w:color w:val="000000" w:themeColor="text1"/>
          <w:lang w:val="en-GB"/>
        </w:rPr>
        <w:t xml:space="preserve">ARTISS is available in the following pack sizes: </w:t>
      </w:r>
    </w:p>
    <w:p w:rsidR="009651FB" w:rsidRPr="00B271B1" w:rsidRDefault="00425803" w:rsidP="007E24AE">
      <w:pPr>
        <w:pStyle w:val="bullet"/>
      </w:pPr>
      <w:r w:rsidRPr="00B271B1">
        <w:t xml:space="preserve">ARTISS, 2.0 mL (containing 1.0 mL of Sealer Protein Solution and 1.0 mL of Thrombin Solution) </w:t>
      </w:r>
    </w:p>
    <w:p w:rsidR="009651FB" w:rsidRPr="00B271B1" w:rsidRDefault="00425803" w:rsidP="007E24AE">
      <w:pPr>
        <w:pStyle w:val="bullet"/>
      </w:pPr>
      <w:r w:rsidRPr="00B271B1">
        <w:t xml:space="preserve">ARTISS, 4.0 mL (containing 2.0 mL of Sealer Protein Solution and 2.0 mL of Thrombin Solution) </w:t>
      </w:r>
    </w:p>
    <w:p w:rsidR="009651FB" w:rsidRPr="00B271B1" w:rsidRDefault="00425803" w:rsidP="007E24AE">
      <w:pPr>
        <w:pStyle w:val="bullet"/>
      </w:pPr>
      <w:r w:rsidRPr="00B271B1">
        <w:t xml:space="preserve">ARTISS, 10.0 mL (containing 5.0 mL of Sealer Protein Solution and 5.0 mL of Thrombin Solution) </w:t>
      </w:r>
    </w:p>
    <w:p w:rsidR="0078764A" w:rsidRPr="00B271B1" w:rsidRDefault="00425803" w:rsidP="007E24AE">
      <w:pPr>
        <w:pStyle w:val="Heading2"/>
      </w:pPr>
      <w:r w:rsidRPr="00B271B1">
        <w:t>Shelf Life</w:t>
      </w:r>
    </w:p>
    <w:p w:rsidR="0078764A" w:rsidRPr="00B271B1" w:rsidRDefault="00425803" w:rsidP="007E24AE">
      <w:r w:rsidRPr="00B271B1">
        <w:t xml:space="preserve">Deep frozen ARTISS has a shelf life of two years at temperatures &lt; -20°C. The expiry date is stated on the final container and the package. </w:t>
      </w:r>
    </w:p>
    <w:p w:rsidR="00F3115F" w:rsidRPr="00B271B1" w:rsidRDefault="00425803" w:rsidP="007E24AE">
      <w:r w:rsidRPr="00B271B1">
        <w:lastRenderedPageBreak/>
        <w:t xml:space="preserve">Unopened pouches, thawed at room temperature, </w:t>
      </w:r>
      <w:r w:rsidRPr="00B271B1">
        <w:rPr>
          <w:u w:val="single"/>
        </w:rPr>
        <w:t>may be stored</w:t>
      </w:r>
      <w:r w:rsidRPr="00B271B1">
        <w:t xml:space="preserve"> for up to </w:t>
      </w:r>
      <w:r w:rsidR="004A0FC1" w:rsidRPr="00B271B1">
        <w:t xml:space="preserve">14 </w:t>
      </w:r>
      <w:r w:rsidRPr="00B271B1">
        <w:t xml:space="preserve">days at controlled room temperature (not exceeding + 25°C). If not used within </w:t>
      </w:r>
      <w:r w:rsidR="004A0FC1" w:rsidRPr="00B271B1">
        <w:t xml:space="preserve">14 </w:t>
      </w:r>
      <w:r w:rsidRPr="00B271B1">
        <w:t xml:space="preserve">days after thawing, ARTISS must be discarded. After thawing, the solutions must not be </w:t>
      </w:r>
      <w:r w:rsidR="003A6A44" w:rsidRPr="00B271B1">
        <w:t xml:space="preserve">refrigerated or </w:t>
      </w:r>
      <w:r w:rsidRPr="00B271B1">
        <w:t xml:space="preserve">refrozen! </w:t>
      </w:r>
    </w:p>
    <w:p w:rsidR="00357F9E" w:rsidRPr="00B271B1" w:rsidRDefault="00425803" w:rsidP="007E24AE">
      <w:pPr>
        <w:rPr>
          <w:lang w:val="en-AU"/>
        </w:rPr>
      </w:pPr>
      <w:r w:rsidRPr="00B271B1">
        <w:rPr>
          <w:lang w:val="en-AU"/>
        </w:rPr>
        <w:t>After quick thawing (i.e. thawing at a temperature of 33-37°C) ARTISS may be stored at 33-37°C for a maximum of 4 hours.</w:t>
      </w:r>
    </w:p>
    <w:p w:rsidR="0078764A" w:rsidRPr="00B271B1" w:rsidRDefault="00425803" w:rsidP="007E24AE">
      <w:pPr>
        <w:rPr>
          <w:lang w:val="en-AU"/>
        </w:rPr>
      </w:pPr>
      <w:r w:rsidRPr="00B271B1">
        <w:t>The ARTISS solutions contain no antimicrobial agent. ARTISS is intended for single use in one patient only and unused solution in the syringe should be discarded.</w:t>
      </w:r>
    </w:p>
    <w:p w:rsidR="0078764A" w:rsidRPr="00B271B1" w:rsidRDefault="00425803" w:rsidP="007E24AE">
      <w:pPr>
        <w:pStyle w:val="Heading2"/>
      </w:pPr>
      <w:r w:rsidRPr="00B271B1">
        <w:t>Special Precautions for Storage</w:t>
      </w:r>
    </w:p>
    <w:p w:rsidR="0078764A" w:rsidRPr="00B271B1" w:rsidRDefault="00425803" w:rsidP="007E24AE">
      <w:r w:rsidRPr="00B271B1">
        <w:t>Store in a freezer (</w:t>
      </w:r>
      <w:r w:rsidRPr="00B271B1">
        <w:rPr>
          <w:b/>
          <w:bCs/>
        </w:rPr>
        <w:t>at -18°C or colder</w:t>
      </w:r>
      <w:r w:rsidRPr="00B271B1">
        <w:t xml:space="preserve">). The cold storage chain must not be interrupted until use. </w:t>
      </w:r>
    </w:p>
    <w:p w:rsidR="0078764A" w:rsidRPr="00B271B1" w:rsidRDefault="00425803" w:rsidP="007E24AE">
      <w:r w:rsidRPr="00B271B1">
        <w:t xml:space="preserve">Keep container in the outer carton to protect from light. </w:t>
      </w:r>
    </w:p>
    <w:p w:rsidR="003A6A44" w:rsidRPr="00B271B1" w:rsidRDefault="003A6A44" w:rsidP="007E24AE">
      <w:r w:rsidRPr="00B271B1">
        <w:t>Once thawed, do not refreeze or refrigerate.</w:t>
      </w:r>
    </w:p>
    <w:p w:rsidR="0078764A" w:rsidRPr="007E24AE" w:rsidRDefault="00425803" w:rsidP="007E24AE">
      <w:pPr>
        <w:rPr>
          <w:b/>
          <w:i/>
          <w:lang w:val="en-GB"/>
        </w:rPr>
      </w:pPr>
      <w:r w:rsidRPr="007E24AE">
        <w:rPr>
          <w:b/>
          <w:i/>
          <w:lang w:val="en-GB"/>
        </w:rPr>
        <w:t>Keep out of reach and sight of children.</w:t>
      </w:r>
    </w:p>
    <w:p w:rsidR="0078764A" w:rsidRPr="007E24AE" w:rsidRDefault="00425803" w:rsidP="007E24AE">
      <w:pPr>
        <w:rPr>
          <w:b/>
          <w:i/>
          <w:szCs w:val="24"/>
        </w:rPr>
      </w:pPr>
      <w:r w:rsidRPr="007E24AE">
        <w:rPr>
          <w:b/>
          <w:i/>
          <w:szCs w:val="24"/>
        </w:rPr>
        <w:t>For single use only. Do not re-</w:t>
      </w:r>
      <w:proofErr w:type="spellStart"/>
      <w:r w:rsidRPr="007E24AE">
        <w:rPr>
          <w:b/>
          <w:i/>
          <w:szCs w:val="24"/>
        </w:rPr>
        <w:t>sterilise</w:t>
      </w:r>
      <w:proofErr w:type="spellEnd"/>
      <w:r w:rsidRPr="007E24AE">
        <w:rPr>
          <w:b/>
          <w:i/>
          <w:szCs w:val="24"/>
        </w:rPr>
        <w:t>!</w:t>
      </w:r>
    </w:p>
    <w:p w:rsidR="0078764A" w:rsidRPr="00B271B1" w:rsidRDefault="00425803" w:rsidP="007E24AE">
      <w:pPr>
        <w:pStyle w:val="Heading2"/>
      </w:pPr>
      <w:r w:rsidRPr="00B271B1">
        <w:t xml:space="preserve">Set of Devices </w:t>
      </w:r>
    </w:p>
    <w:p w:rsidR="0078764A" w:rsidRPr="00B271B1" w:rsidRDefault="00425803" w:rsidP="007E24AE">
      <w:r w:rsidRPr="00B271B1">
        <w:t xml:space="preserve">Each pack ARTISS contains a double-sterile set of devices (DUO SET) consisting of one syringe double-plunger, two Y-pieces and four application </w:t>
      </w:r>
      <w:proofErr w:type="spellStart"/>
      <w:r w:rsidRPr="00B271B1">
        <w:t>cannulas</w:t>
      </w:r>
      <w:proofErr w:type="spellEnd"/>
      <w:r w:rsidRPr="00B271B1">
        <w:t>. These devices are used for the simultaneous application of the fibrin sealant components. For details on application and complications associated therewith see DOSAGE AND ADMINISTRATION –section Operating Instructions.</w:t>
      </w:r>
    </w:p>
    <w:p w:rsidR="0078764A" w:rsidRPr="00B271B1" w:rsidRDefault="00425803" w:rsidP="00F52102">
      <w:pPr>
        <w:rPr>
          <w:color w:val="000000" w:themeColor="text1"/>
          <w:szCs w:val="24"/>
        </w:rPr>
      </w:pPr>
      <w:r w:rsidRPr="00B271B1">
        <w:rPr>
          <w:color w:val="000000" w:themeColor="text1"/>
          <w:szCs w:val="24"/>
        </w:rPr>
        <w:t xml:space="preserve">The set of devices is sterile and non-pyrogenic in unopened and undamaged package. </w:t>
      </w:r>
      <w:proofErr w:type="spellStart"/>
      <w:r w:rsidRPr="00B271B1">
        <w:rPr>
          <w:color w:val="000000" w:themeColor="text1"/>
          <w:szCs w:val="24"/>
        </w:rPr>
        <w:t>Sterilised</w:t>
      </w:r>
      <w:proofErr w:type="spellEnd"/>
      <w:r w:rsidRPr="00B271B1">
        <w:rPr>
          <w:color w:val="000000" w:themeColor="text1"/>
          <w:szCs w:val="24"/>
        </w:rPr>
        <w:t xml:space="preserve"> by exposure to ethylene oxide.</w:t>
      </w:r>
    </w:p>
    <w:p w:rsidR="0078764A" w:rsidRPr="00B271B1" w:rsidRDefault="00425803" w:rsidP="007E24AE">
      <w:pPr>
        <w:pStyle w:val="Heading1"/>
      </w:pPr>
      <w:r w:rsidRPr="00B271B1">
        <w:t>NAME AND ADDRESS OF THE SPONSOR</w:t>
      </w:r>
    </w:p>
    <w:p w:rsidR="0078764A" w:rsidRPr="00B271B1" w:rsidRDefault="00425803" w:rsidP="00CD3D5D">
      <w:pPr>
        <w:spacing w:after="0"/>
        <w:outlineLvl w:val="0"/>
        <w:rPr>
          <w:color w:val="000000" w:themeColor="text1"/>
          <w:szCs w:val="24"/>
          <w:lang w:val="en-AU"/>
        </w:rPr>
      </w:pPr>
      <w:r w:rsidRPr="00B271B1">
        <w:rPr>
          <w:color w:val="000000" w:themeColor="text1"/>
          <w:szCs w:val="24"/>
          <w:lang w:val="en-AU"/>
        </w:rPr>
        <w:t xml:space="preserve">Baxter Healthcare Pty Ltd </w:t>
      </w:r>
    </w:p>
    <w:p w:rsidR="0078764A" w:rsidRPr="00B271B1" w:rsidRDefault="00425803" w:rsidP="00CD3D5D">
      <w:pPr>
        <w:spacing w:after="0"/>
        <w:rPr>
          <w:color w:val="000000" w:themeColor="text1"/>
          <w:szCs w:val="24"/>
          <w:lang w:val="en-AU"/>
        </w:rPr>
      </w:pPr>
      <w:r w:rsidRPr="00B271B1">
        <w:rPr>
          <w:color w:val="000000" w:themeColor="text1"/>
          <w:szCs w:val="24"/>
          <w:lang w:val="en-AU"/>
        </w:rPr>
        <w:t>1 Baxter Drive</w:t>
      </w:r>
    </w:p>
    <w:p w:rsidR="0078764A" w:rsidRPr="00B271B1" w:rsidRDefault="00425803" w:rsidP="00CD3D5D">
      <w:pPr>
        <w:spacing w:after="0"/>
        <w:rPr>
          <w:color w:val="000000" w:themeColor="text1"/>
          <w:szCs w:val="24"/>
          <w:lang w:val="en-AU"/>
        </w:rPr>
      </w:pPr>
      <w:r w:rsidRPr="00B271B1">
        <w:rPr>
          <w:color w:val="000000" w:themeColor="text1"/>
          <w:szCs w:val="24"/>
          <w:lang w:val="en-AU"/>
        </w:rPr>
        <w:t>Old Toongabbie</w:t>
      </w:r>
    </w:p>
    <w:p w:rsidR="0078764A" w:rsidRDefault="00425803" w:rsidP="00CD3D5D">
      <w:pPr>
        <w:spacing w:after="0"/>
        <w:rPr>
          <w:color w:val="000000" w:themeColor="text1"/>
          <w:szCs w:val="24"/>
          <w:lang w:val="en-AU"/>
        </w:rPr>
      </w:pPr>
      <w:r w:rsidRPr="00B271B1">
        <w:rPr>
          <w:color w:val="000000" w:themeColor="text1"/>
          <w:szCs w:val="24"/>
          <w:lang w:val="en-AU"/>
        </w:rPr>
        <w:t>NSW 2146</w:t>
      </w:r>
    </w:p>
    <w:p w:rsidR="00C4294E" w:rsidRPr="00B271B1" w:rsidDel="007831C4" w:rsidRDefault="00C4294E" w:rsidP="007E24AE">
      <w:pPr>
        <w:pStyle w:val="Heading1"/>
      </w:pPr>
      <w:r w:rsidRPr="00B271B1" w:rsidDel="007831C4">
        <w:t>POISON SCHEDULE OF THE MEDICINE</w:t>
      </w:r>
    </w:p>
    <w:p w:rsidR="00DE108A" w:rsidRDefault="00C4294E" w:rsidP="00DE108A">
      <w:pPr>
        <w:outlineLvl w:val="0"/>
      </w:pPr>
      <w:r w:rsidRPr="00B271B1" w:rsidDel="007831C4">
        <w:rPr>
          <w:color w:val="000000" w:themeColor="text1"/>
          <w:szCs w:val="24"/>
          <w:lang w:val="en-AU"/>
        </w:rPr>
        <w:t>Unscheduled</w:t>
      </w:r>
    </w:p>
    <w:p w:rsidR="00CD35EC" w:rsidRPr="00B271B1" w:rsidRDefault="00DE108A" w:rsidP="007E24AE">
      <w:pPr>
        <w:pStyle w:val="Heading1"/>
        <w:rPr>
          <w:rFonts w:cs="Times New Roman"/>
          <w:color w:val="000000" w:themeColor="text1"/>
        </w:rPr>
      </w:pPr>
      <w:r>
        <w:t>D</w:t>
      </w:r>
      <w:r w:rsidR="007831C4">
        <w:t>ATE OF FIRST INCLUSION IN THE AUSTRALIAN REGISTER OF THERAPEUTIC GOODS (THE ARTG)</w:t>
      </w:r>
    </w:p>
    <w:p w:rsidR="00384A7C" w:rsidRPr="00B271B1" w:rsidRDefault="006747C0" w:rsidP="004843EB">
      <w:pPr>
        <w:rPr>
          <w:color w:val="000000" w:themeColor="text1"/>
          <w:szCs w:val="24"/>
          <w:lang w:val="en-AU"/>
        </w:rPr>
      </w:pPr>
      <w:r>
        <w:rPr>
          <w:color w:val="000000" w:themeColor="text1"/>
          <w:szCs w:val="24"/>
          <w:lang w:val="en-AU"/>
        </w:rPr>
        <w:t xml:space="preserve"> DD MMM YYYY</w:t>
      </w:r>
    </w:p>
    <w:sectPr w:rsidR="00384A7C" w:rsidRPr="00B271B1" w:rsidSect="00954483">
      <w:headerReference w:type="default" r:id="rId9"/>
      <w:footerReference w:type="default" r:id="rId10"/>
      <w:pgSz w:w="11907" w:h="16840" w:code="9"/>
      <w:pgMar w:top="720" w:right="1134" w:bottom="720"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A7A" w:rsidRDefault="00B91A7A" w:rsidP="00E2262A">
      <w:pPr>
        <w:spacing w:after="0" w:line="240" w:lineRule="auto"/>
      </w:pPr>
      <w:r>
        <w:separator/>
      </w:r>
    </w:p>
  </w:endnote>
  <w:endnote w:type="continuationSeparator" w:id="0">
    <w:p w:rsidR="00B91A7A" w:rsidRDefault="00B91A7A" w:rsidP="00E22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7A" w:rsidRPr="00E67393" w:rsidRDefault="00B91A7A" w:rsidP="00A32C12">
    <w:pPr>
      <w:pStyle w:val="Footer"/>
      <w:tabs>
        <w:tab w:val="clear" w:pos="9360"/>
        <w:tab w:val="center" w:pos="9639"/>
      </w:tabs>
      <w:spacing w:after="0" w:line="240" w:lineRule="auto"/>
      <w:rPr>
        <w:sz w:val="20"/>
        <w:szCs w:val="20"/>
        <w:u w:val="single"/>
      </w:rPr>
    </w:pPr>
    <w:r w:rsidRPr="00E67393">
      <w:rPr>
        <w:sz w:val="20"/>
        <w:szCs w:val="20"/>
        <w:u w:val="single"/>
      </w:rPr>
      <w:tab/>
    </w:r>
    <w:r w:rsidRPr="00E67393">
      <w:rPr>
        <w:sz w:val="20"/>
        <w:szCs w:val="20"/>
        <w:u w:val="single"/>
      </w:rPr>
      <w:tab/>
    </w:r>
  </w:p>
  <w:p w:rsidR="00B91A7A" w:rsidRDefault="00B91A7A" w:rsidP="00A32C12">
    <w:pPr>
      <w:pStyle w:val="Header"/>
      <w:tabs>
        <w:tab w:val="clear" w:pos="9360"/>
        <w:tab w:val="right" w:pos="9356"/>
      </w:tabs>
      <w:spacing w:after="0" w:line="240" w:lineRule="auto"/>
      <w:rPr>
        <w:sz w:val="20"/>
        <w:szCs w:val="20"/>
      </w:rPr>
    </w:pPr>
    <w:r>
      <w:rPr>
        <w:sz w:val="20"/>
        <w:szCs w:val="20"/>
      </w:rPr>
      <w:t>ARTISS P</w:t>
    </w:r>
    <w:r w:rsidRPr="00E67393">
      <w:rPr>
        <w:sz w:val="20"/>
        <w:szCs w:val="20"/>
      </w:rPr>
      <w:t xml:space="preserve">I </w:t>
    </w:r>
    <w:r>
      <w:rPr>
        <w:sz w:val="20"/>
        <w:szCs w:val="20"/>
      </w:rPr>
      <w:t>111221 Draft</w:t>
    </w:r>
    <w:r w:rsidRPr="00E67393">
      <w:rPr>
        <w:sz w:val="20"/>
        <w:szCs w:val="20"/>
      </w:rPr>
      <w:tab/>
    </w:r>
    <w:r w:rsidRPr="00E67393">
      <w:rPr>
        <w:sz w:val="20"/>
        <w:szCs w:val="20"/>
      </w:rPr>
      <w:tab/>
      <w:t xml:space="preserve">Page </w:t>
    </w:r>
    <w:r w:rsidR="007E18EF" w:rsidRPr="00E67393">
      <w:rPr>
        <w:sz w:val="20"/>
        <w:szCs w:val="20"/>
      </w:rPr>
      <w:fldChar w:fldCharType="begin"/>
    </w:r>
    <w:r w:rsidRPr="00E67393">
      <w:rPr>
        <w:sz w:val="20"/>
        <w:szCs w:val="20"/>
      </w:rPr>
      <w:instrText xml:space="preserve"> PAGE </w:instrText>
    </w:r>
    <w:r w:rsidR="007E18EF" w:rsidRPr="00E67393">
      <w:rPr>
        <w:sz w:val="20"/>
        <w:szCs w:val="20"/>
      </w:rPr>
      <w:fldChar w:fldCharType="separate"/>
    </w:r>
    <w:r w:rsidR="00DE7F19">
      <w:rPr>
        <w:noProof/>
        <w:sz w:val="20"/>
        <w:szCs w:val="20"/>
      </w:rPr>
      <w:t>1</w:t>
    </w:r>
    <w:r w:rsidR="007E18EF" w:rsidRPr="00E67393">
      <w:rPr>
        <w:sz w:val="20"/>
        <w:szCs w:val="20"/>
      </w:rPr>
      <w:fldChar w:fldCharType="end"/>
    </w:r>
    <w:r>
      <w:rPr>
        <w:sz w:val="20"/>
        <w:szCs w:val="20"/>
      </w:rPr>
      <w:t xml:space="preserve"> of </w:t>
    </w:r>
    <w:r w:rsidR="007E18EF" w:rsidRPr="00E67393">
      <w:rPr>
        <w:sz w:val="20"/>
        <w:szCs w:val="20"/>
      </w:rPr>
      <w:fldChar w:fldCharType="begin"/>
    </w:r>
    <w:r w:rsidRPr="00E67393">
      <w:rPr>
        <w:sz w:val="20"/>
        <w:szCs w:val="20"/>
      </w:rPr>
      <w:instrText xml:space="preserve"> NUMPAGES </w:instrText>
    </w:r>
    <w:r w:rsidR="007E18EF" w:rsidRPr="00E67393">
      <w:rPr>
        <w:sz w:val="20"/>
        <w:szCs w:val="20"/>
      </w:rPr>
      <w:fldChar w:fldCharType="separate"/>
    </w:r>
    <w:r w:rsidR="00DE7F19">
      <w:rPr>
        <w:noProof/>
        <w:sz w:val="20"/>
        <w:szCs w:val="20"/>
      </w:rPr>
      <w:t>16</w:t>
    </w:r>
    <w:r w:rsidR="007E18EF" w:rsidRPr="00E67393">
      <w:rPr>
        <w:sz w:val="20"/>
        <w:szCs w:val="20"/>
      </w:rPr>
      <w:fldChar w:fldCharType="end"/>
    </w:r>
  </w:p>
  <w:p w:rsidR="00B91A7A" w:rsidRDefault="00B91A7A" w:rsidP="00A32C12">
    <w:pPr>
      <w:pStyle w:val="Header"/>
      <w:tabs>
        <w:tab w:val="clear" w:pos="9360"/>
        <w:tab w:val="right" w:pos="9356"/>
      </w:tabs>
      <w:spacing w:after="0" w:line="240" w:lineRule="auto"/>
      <w:rPr>
        <w:sz w:val="20"/>
        <w:szCs w:val="20"/>
      </w:rPr>
    </w:pPr>
  </w:p>
  <w:p w:rsidR="00B91A7A" w:rsidRDefault="00B91A7A" w:rsidP="00A32C12">
    <w:pPr>
      <w:pStyle w:val="Header"/>
      <w:tabs>
        <w:tab w:val="clear" w:pos="9360"/>
        <w:tab w:val="right" w:pos="9356"/>
      </w:tabs>
      <w:spacing w:after="0" w:line="240" w:lineRule="auto"/>
      <w:rPr>
        <w:sz w:val="20"/>
        <w:szCs w:val="20"/>
      </w:rPr>
    </w:pPr>
  </w:p>
  <w:p w:rsidR="00B91A7A" w:rsidRPr="00E67393" w:rsidRDefault="00B91A7A" w:rsidP="00A32C12">
    <w:pPr>
      <w:pStyle w:val="Header"/>
      <w:tabs>
        <w:tab w:val="clear" w:pos="9360"/>
        <w:tab w:val="right" w:pos="9356"/>
      </w:tabs>
      <w:spacing w:after="0" w:line="240" w:lineRule="auto"/>
      <w:rPr>
        <w:sz w:val="20"/>
        <w:szCs w:val="20"/>
      </w:rPr>
    </w:pPr>
  </w:p>
  <w:p w:rsidR="00B91A7A" w:rsidRDefault="00B91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A7A" w:rsidRDefault="00B91A7A" w:rsidP="00E2262A">
      <w:pPr>
        <w:spacing w:after="0" w:line="240" w:lineRule="auto"/>
      </w:pPr>
      <w:r>
        <w:separator/>
      </w:r>
    </w:p>
  </w:footnote>
  <w:footnote w:type="continuationSeparator" w:id="0">
    <w:p w:rsidR="00B91A7A" w:rsidRDefault="00B91A7A" w:rsidP="00E2262A">
      <w:pPr>
        <w:spacing w:after="0" w:line="240" w:lineRule="auto"/>
      </w:pPr>
      <w:r>
        <w:continuationSeparator/>
      </w:r>
    </w:p>
  </w:footnote>
  <w:footnote w:id="1">
    <w:p w:rsidR="00B91A7A" w:rsidRPr="009D3DFD" w:rsidRDefault="00B91A7A" w:rsidP="00E21F90">
      <w:pPr>
        <w:pStyle w:val="FootnoteText"/>
        <w:tabs>
          <w:tab w:val="left" w:pos="284"/>
        </w:tabs>
        <w:rPr>
          <w:sz w:val="18"/>
        </w:rPr>
      </w:pPr>
      <w:r w:rsidRPr="00425803">
        <w:rPr>
          <w:rStyle w:val="FootnoteReference"/>
          <w:sz w:val="18"/>
        </w:rPr>
        <w:footnoteRef/>
      </w:r>
      <w:r w:rsidRPr="00425803">
        <w:rPr>
          <w:sz w:val="18"/>
        </w:rPr>
        <w:t xml:space="preserve"> </w:t>
      </w:r>
      <w:r w:rsidRPr="00425803">
        <w:rPr>
          <w:sz w:val="18"/>
        </w:rPr>
        <w:tab/>
        <w:t xml:space="preserve">KIU = </w:t>
      </w:r>
      <w:proofErr w:type="spellStart"/>
      <w:r w:rsidRPr="00425803">
        <w:rPr>
          <w:sz w:val="18"/>
        </w:rPr>
        <w:t>Kallidinogenase</w:t>
      </w:r>
      <w:proofErr w:type="spellEnd"/>
      <w:r w:rsidRPr="00425803">
        <w:rPr>
          <w:sz w:val="18"/>
        </w:rPr>
        <w:t xml:space="preserve"> </w:t>
      </w:r>
      <w:proofErr w:type="spellStart"/>
      <w:r w:rsidRPr="00425803">
        <w:rPr>
          <w:sz w:val="18"/>
        </w:rPr>
        <w:t>Inactivator</w:t>
      </w:r>
      <w:proofErr w:type="spellEnd"/>
      <w:r w:rsidRPr="00425803">
        <w:rPr>
          <w:sz w:val="18"/>
        </w:rPr>
        <w:t xml:space="preserve"> Unit</w:t>
      </w:r>
    </w:p>
  </w:footnote>
  <w:footnote w:id="2">
    <w:p w:rsidR="00B91A7A" w:rsidRPr="009D3DFD" w:rsidRDefault="00B91A7A" w:rsidP="00E21F90">
      <w:pPr>
        <w:pStyle w:val="FootnoteText"/>
        <w:tabs>
          <w:tab w:val="left" w:pos="284"/>
        </w:tabs>
        <w:rPr>
          <w:sz w:val="18"/>
        </w:rPr>
      </w:pPr>
      <w:r w:rsidRPr="00425803">
        <w:rPr>
          <w:sz w:val="18"/>
          <w:vertAlign w:val="superscript"/>
          <w:lang w:val="es-ES"/>
        </w:rPr>
        <w:footnoteRef/>
      </w:r>
      <w:r w:rsidRPr="00425803">
        <w:rPr>
          <w:sz w:val="18"/>
        </w:rPr>
        <w:t xml:space="preserve"> </w:t>
      </w:r>
      <w:r w:rsidRPr="00425803">
        <w:rPr>
          <w:sz w:val="18"/>
        </w:rPr>
        <w:tab/>
        <w:t>Thrombin activity is calculated using the current WHO International Standard for thrombin.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0" w:type="auto"/>
      <w:shd w:val="clear" w:color="auto" w:fill="E4F2E0"/>
      <w:tblLook w:val="04A0"/>
    </w:tblPr>
    <w:tblGrid>
      <w:gridCol w:w="8720"/>
    </w:tblGrid>
    <w:tr w:rsidR="00832866" w:rsidRPr="00832866" w:rsidTr="00221F94">
      <w:tc>
        <w:tcPr>
          <w:tcW w:w="8720" w:type="dxa"/>
          <w:shd w:val="clear" w:color="auto" w:fill="E4F2E0"/>
        </w:tcPr>
        <w:p w:rsidR="00832866" w:rsidRPr="00832866" w:rsidRDefault="00832866" w:rsidP="00832866">
          <w:pPr>
            <w:tabs>
              <w:tab w:val="center" w:pos="4513"/>
              <w:tab w:val="right" w:pos="9026"/>
            </w:tabs>
            <w:spacing w:after="0" w:line="240" w:lineRule="auto"/>
            <w:rPr>
              <w:rFonts w:ascii="Cambria" w:hAnsi="Cambria"/>
              <w:b/>
              <w:sz w:val="20"/>
              <w:szCs w:val="20"/>
              <w:lang w:val="en-AU"/>
            </w:rPr>
          </w:pPr>
          <w:r w:rsidRPr="00832866">
            <w:rPr>
              <w:rFonts w:ascii="Cambria" w:hAnsi="Cambria"/>
              <w:b/>
              <w:sz w:val="20"/>
              <w:szCs w:val="20"/>
              <w:lang w:val="en-AU"/>
            </w:rPr>
            <w:t xml:space="preserve">Attachment 1: Product information for </w:t>
          </w:r>
          <w:proofErr w:type="spellStart"/>
          <w:r w:rsidRPr="00832866">
            <w:rPr>
              <w:rFonts w:ascii="Cambria" w:hAnsi="Cambria"/>
              <w:b/>
              <w:sz w:val="20"/>
              <w:szCs w:val="20"/>
              <w:lang w:val="en-AU"/>
            </w:rPr>
            <w:t>AusPAR</w:t>
          </w:r>
          <w:proofErr w:type="spellEnd"/>
          <w:r w:rsidRPr="00832866">
            <w:rPr>
              <w:rFonts w:ascii="Cambria" w:hAnsi="Cambria"/>
              <w:b/>
              <w:sz w:val="20"/>
              <w:szCs w:val="20"/>
              <w:lang w:val="en-AU"/>
            </w:rPr>
            <w:t xml:space="preserve"> Fibrin adhesive/sealant </w:t>
          </w:r>
          <w:proofErr w:type="spellStart"/>
          <w:r w:rsidRPr="00832866">
            <w:rPr>
              <w:rFonts w:ascii="Cambria" w:hAnsi="Cambria"/>
              <w:b/>
              <w:sz w:val="20"/>
              <w:szCs w:val="20"/>
              <w:lang w:val="en-AU"/>
            </w:rPr>
            <w:t>Artiss</w:t>
          </w:r>
          <w:proofErr w:type="spellEnd"/>
          <w:r w:rsidRPr="00832866">
            <w:rPr>
              <w:rFonts w:ascii="Cambria" w:hAnsi="Cambria"/>
              <w:b/>
              <w:sz w:val="20"/>
              <w:szCs w:val="20"/>
              <w:lang w:val="en-AU"/>
            </w:rPr>
            <w:t xml:space="preserve"> Baxter Healthcare Pty Ltd PM-2010-03599-3-4 Final 9 February 2012. This Product Information was approved at the time this </w:t>
          </w:r>
          <w:proofErr w:type="spellStart"/>
          <w:r w:rsidRPr="00832866">
            <w:rPr>
              <w:rFonts w:ascii="Cambria" w:hAnsi="Cambria"/>
              <w:b/>
              <w:sz w:val="20"/>
              <w:szCs w:val="20"/>
              <w:lang w:val="en-AU"/>
            </w:rPr>
            <w:t>AusPAR</w:t>
          </w:r>
          <w:proofErr w:type="spellEnd"/>
          <w:r w:rsidRPr="00832866">
            <w:rPr>
              <w:rFonts w:ascii="Cambria" w:hAnsi="Cambria"/>
              <w:b/>
              <w:sz w:val="20"/>
              <w:szCs w:val="20"/>
              <w:lang w:val="en-AU"/>
            </w:rPr>
            <w:t xml:space="preserve"> was published.</w:t>
          </w:r>
        </w:p>
      </w:tc>
    </w:tr>
  </w:tbl>
  <w:p w:rsidR="00B91A7A" w:rsidRPr="00E67393" w:rsidRDefault="00B91A7A" w:rsidP="00832866">
    <w:pPr>
      <w:pStyle w:val="Header"/>
      <w:tabs>
        <w:tab w:val="clear" w:pos="9360"/>
        <w:tab w:val="right" w:pos="9639"/>
      </w:tabs>
      <w:spacing w:before="120" w:after="0" w:line="240" w:lineRule="auto"/>
      <w:rPr>
        <w:sz w:val="20"/>
        <w:szCs w:val="20"/>
      </w:rPr>
    </w:pPr>
    <w:r>
      <w:rPr>
        <w:sz w:val="20"/>
        <w:szCs w:val="20"/>
      </w:rPr>
      <w:t>ARTISS (frozen,</w:t>
    </w:r>
    <w:r w:rsidRPr="00E67393">
      <w:rPr>
        <w:sz w:val="20"/>
        <w:szCs w:val="20"/>
      </w:rPr>
      <w:t xml:space="preserve"> fibrin sealant syringe)</w:t>
    </w:r>
    <w:r w:rsidRPr="00E67393">
      <w:rPr>
        <w:sz w:val="20"/>
        <w:szCs w:val="20"/>
      </w:rPr>
      <w:tab/>
    </w:r>
    <w:r w:rsidRPr="00E67393">
      <w:rPr>
        <w:sz w:val="20"/>
        <w:szCs w:val="20"/>
      </w:rPr>
      <w:tab/>
    </w:r>
    <w:r>
      <w:rPr>
        <w:sz w:val="20"/>
        <w:szCs w:val="20"/>
      </w:rPr>
      <w:t>Product</w:t>
    </w:r>
    <w:r w:rsidRPr="00E67393">
      <w:rPr>
        <w:sz w:val="20"/>
        <w:szCs w:val="20"/>
      </w:rPr>
      <w:t xml:space="preserve"> Information</w:t>
    </w:r>
  </w:p>
  <w:p w:rsidR="00B91A7A" w:rsidRPr="00A32C12" w:rsidRDefault="00B91A7A" w:rsidP="00954483">
    <w:pPr>
      <w:pStyle w:val="Header"/>
      <w:tabs>
        <w:tab w:val="clear" w:pos="9360"/>
        <w:tab w:val="right" w:pos="9639"/>
      </w:tabs>
      <w:rPr>
        <w:sz w:val="16"/>
        <w:szCs w:val="16"/>
        <w:u w:val="single"/>
      </w:rPr>
    </w:pPr>
    <w:r w:rsidRPr="00A32C12">
      <w:rPr>
        <w:sz w:val="16"/>
        <w:szCs w:val="16"/>
        <w:u w:val="single"/>
      </w:rPr>
      <w:tab/>
    </w:r>
    <w:r w:rsidRPr="00A32C12">
      <w:rPr>
        <w:sz w:val="16"/>
        <w:szCs w:val="16"/>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4635D2"/>
    <w:lvl w:ilvl="0">
      <w:numFmt w:val="decimal"/>
      <w:lvlText w:val="*"/>
      <w:lvlJc w:val="left"/>
    </w:lvl>
  </w:abstractNum>
  <w:abstractNum w:abstractNumId="1">
    <w:nsid w:val="06326C8B"/>
    <w:multiLevelType w:val="hybridMultilevel"/>
    <w:tmpl w:val="D7AA4650"/>
    <w:lvl w:ilvl="0" w:tplc="4B0C7808">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9196BD9"/>
    <w:multiLevelType w:val="hybridMultilevel"/>
    <w:tmpl w:val="5EDA4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91831"/>
    <w:multiLevelType w:val="hybridMultilevel"/>
    <w:tmpl w:val="95882446"/>
    <w:lvl w:ilvl="0" w:tplc="4A726886">
      <w:start w:val="1"/>
      <w:numFmt w:val="bullet"/>
      <w:pStyle w:val="Bullet2"/>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8E738AD"/>
    <w:multiLevelType w:val="hybridMultilevel"/>
    <w:tmpl w:val="08BC8260"/>
    <w:lvl w:ilvl="0" w:tplc="4B0C7808">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D57200F6">
      <w:numFmt w:val="bullet"/>
      <w:lvlText w:val="-"/>
      <w:lvlJc w:val="left"/>
      <w:pPr>
        <w:ind w:left="1800" w:hanging="360"/>
      </w:pPr>
      <w:rPr>
        <w:rFonts w:ascii="Times New Roman" w:eastAsia="Calibri"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2277432"/>
    <w:multiLevelType w:val="hybridMultilevel"/>
    <w:tmpl w:val="F0360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A1C266D"/>
    <w:multiLevelType w:val="hybridMultilevel"/>
    <w:tmpl w:val="AF7E0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094C10"/>
    <w:multiLevelType w:val="hybridMultilevel"/>
    <w:tmpl w:val="8EBA0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5D61F6C"/>
    <w:multiLevelType w:val="hybridMultilevel"/>
    <w:tmpl w:val="5290F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3317E82"/>
    <w:multiLevelType w:val="hybridMultilevel"/>
    <w:tmpl w:val="3AAAF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EF1B14"/>
    <w:multiLevelType w:val="hybridMultilevel"/>
    <w:tmpl w:val="1CC616DC"/>
    <w:lvl w:ilvl="0" w:tplc="4B0C7808">
      <w:start w:val="1"/>
      <w:numFmt w:val="bullet"/>
      <w:lvlText w:val="-"/>
      <w:lvlJc w:val="left"/>
      <w:pPr>
        <w:ind w:left="360" w:hanging="360"/>
      </w:pPr>
      <w:rPr>
        <w:rFonts w:ascii="Times New Roman" w:hAnsi="Times New Roman" w:cs="Times New Roman" w:hint="default"/>
      </w:rPr>
    </w:lvl>
    <w:lvl w:ilvl="1" w:tplc="4B0C7808">
      <w:start w:val="1"/>
      <w:numFmt w:val="bullet"/>
      <w:lvlText w:val="-"/>
      <w:lvlJc w:val="left"/>
      <w:pPr>
        <w:ind w:left="1080" w:hanging="360"/>
      </w:pPr>
      <w:rPr>
        <w:rFonts w:ascii="Times New Roman" w:hAnsi="Times New Roman" w:cs="Times New Roman" w:hint="default"/>
      </w:rPr>
    </w:lvl>
    <w:lvl w:ilvl="2" w:tplc="D57200F6">
      <w:numFmt w:val="bullet"/>
      <w:lvlText w:val="-"/>
      <w:lvlJc w:val="left"/>
      <w:pPr>
        <w:ind w:left="1800" w:hanging="360"/>
      </w:pPr>
      <w:rPr>
        <w:rFonts w:ascii="Times New Roman" w:eastAsia="Calibri"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F3D0EF1"/>
    <w:multiLevelType w:val="hybridMultilevel"/>
    <w:tmpl w:val="F1A87A42"/>
    <w:lvl w:ilvl="0" w:tplc="D8083E0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6"/>
  </w:num>
  <w:num w:numId="5">
    <w:abstractNumId w:val="5"/>
  </w:num>
  <w:num w:numId="6">
    <w:abstractNumId w:val="8"/>
  </w:num>
  <w:num w:numId="7">
    <w:abstractNumId w:val="7"/>
  </w:num>
  <w:num w:numId="8">
    <w:abstractNumId w:val="11"/>
  </w:num>
  <w:num w:numId="9">
    <w:abstractNumId w:val="1"/>
  </w:num>
  <w:num w:numId="10">
    <w:abstractNumId w:val="4"/>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102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E36C7"/>
    <w:rsid w:val="00003416"/>
    <w:rsid w:val="00007BA1"/>
    <w:rsid w:val="0001482F"/>
    <w:rsid w:val="00014DCF"/>
    <w:rsid w:val="000169D7"/>
    <w:rsid w:val="000211E8"/>
    <w:rsid w:val="000220EF"/>
    <w:rsid w:val="000244BB"/>
    <w:rsid w:val="0002665A"/>
    <w:rsid w:val="00027ED2"/>
    <w:rsid w:val="00043BBF"/>
    <w:rsid w:val="0005152D"/>
    <w:rsid w:val="00053DF5"/>
    <w:rsid w:val="00062BB9"/>
    <w:rsid w:val="00065134"/>
    <w:rsid w:val="000702A2"/>
    <w:rsid w:val="000757AB"/>
    <w:rsid w:val="00086D6D"/>
    <w:rsid w:val="00090675"/>
    <w:rsid w:val="00091D1E"/>
    <w:rsid w:val="000A1DFD"/>
    <w:rsid w:val="000A2196"/>
    <w:rsid w:val="000B6D7B"/>
    <w:rsid w:val="000C32FB"/>
    <w:rsid w:val="000C71BE"/>
    <w:rsid w:val="000D2E6E"/>
    <w:rsid w:val="000F5960"/>
    <w:rsid w:val="0010033E"/>
    <w:rsid w:val="00117FE0"/>
    <w:rsid w:val="001318D5"/>
    <w:rsid w:val="00135697"/>
    <w:rsid w:val="001428D7"/>
    <w:rsid w:val="00144EC9"/>
    <w:rsid w:val="0015395F"/>
    <w:rsid w:val="00154A19"/>
    <w:rsid w:val="00156500"/>
    <w:rsid w:val="00157239"/>
    <w:rsid w:val="00160421"/>
    <w:rsid w:val="0017042C"/>
    <w:rsid w:val="00173987"/>
    <w:rsid w:val="0017499A"/>
    <w:rsid w:val="00180D90"/>
    <w:rsid w:val="0018246C"/>
    <w:rsid w:val="00187E56"/>
    <w:rsid w:val="00190AD7"/>
    <w:rsid w:val="00192591"/>
    <w:rsid w:val="001B163F"/>
    <w:rsid w:val="001C2819"/>
    <w:rsid w:val="001C4705"/>
    <w:rsid w:val="002041DF"/>
    <w:rsid w:val="002064EE"/>
    <w:rsid w:val="00206662"/>
    <w:rsid w:val="0021549F"/>
    <w:rsid w:val="0022129E"/>
    <w:rsid w:val="002265B5"/>
    <w:rsid w:val="00245CE4"/>
    <w:rsid w:val="002474D6"/>
    <w:rsid w:val="002524ED"/>
    <w:rsid w:val="00261ED2"/>
    <w:rsid w:val="00264938"/>
    <w:rsid w:val="002649CF"/>
    <w:rsid w:val="0027165B"/>
    <w:rsid w:val="00274AE0"/>
    <w:rsid w:val="00274E5A"/>
    <w:rsid w:val="002A7D79"/>
    <w:rsid w:val="002B1F95"/>
    <w:rsid w:val="002C1C7F"/>
    <w:rsid w:val="002C6508"/>
    <w:rsid w:val="002D390A"/>
    <w:rsid w:val="002E1B33"/>
    <w:rsid w:val="002E296B"/>
    <w:rsid w:val="002E3AB1"/>
    <w:rsid w:val="002E59B8"/>
    <w:rsid w:val="003017B7"/>
    <w:rsid w:val="0030296B"/>
    <w:rsid w:val="003034BA"/>
    <w:rsid w:val="00306C31"/>
    <w:rsid w:val="00313EB7"/>
    <w:rsid w:val="00351530"/>
    <w:rsid w:val="0035656C"/>
    <w:rsid w:val="00357F9E"/>
    <w:rsid w:val="003676E2"/>
    <w:rsid w:val="0037152A"/>
    <w:rsid w:val="00384A7C"/>
    <w:rsid w:val="00386CB3"/>
    <w:rsid w:val="00390307"/>
    <w:rsid w:val="003A087D"/>
    <w:rsid w:val="003A6A44"/>
    <w:rsid w:val="003C53AD"/>
    <w:rsid w:val="003D5D4F"/>
    <w:rsid w:val="003D681C"/>
    <w:rsid w:val="003E45AE"/>
    <w:rsid w:val="003E797E"/>
    <w:rsid w:val="003F0C3A"/>
    <w:rsid w:val="00407D30"/>
    <w:rsid w:val="00414B23"/>
    <w:rsid w:val="00415C12"/>
    <w:rsid w:val="00425803"/>
    <w:rsid w:val="00437652"/>
    <w:rsid w:val="004410E1"/>
    <w:rsid w:val="00442244"/>
    <w:rsid w:val="004456C7"/>
    <w:rsid w:val="00447F3C"/>
    <w:rsid w:val="004531DB"/>
    <w:rsid w:val="0046276E"/>
    <w:rsid w:val="004651AA"/>
    <w:rsid w:val="00466F73"/>
    <w:rsid w:val="00472A51"/>
    <w:rsid w:val="00474C60"/>
    <w:rsid w:val="00475B7C"/>
    <w:rsid w:val="004843EB"/>
    <w:rsid w:val="004A0FC1"/>
    <w:rsid w:val="004B29ED"/>
    <w:rsid w:val="004C68DD"/>
    <w:rsid w:val="004D2E76"/>
    <w:rsid w:val="004F00EF"/>
    <w:rsid w:val="0051292A"/>
    <w:rsid w:val="00512D99"/>
    <w:rsid w:val="00520ECD"/>
    <w:rsid w:val="005315D3"/>
    <w:rsid w:val="00534C99"/>
    <w:rsid w:val="005416D8"/>
    <w:rsid w:val="00542A11"/>
    <w:rsid w:val="0054319A"/>
    <w:rsid w:val="00551764"/>
    <w:rsid w:val="00564359"/>
    <w:rsid w:val="00574D65"/>
    <w:rsid w:val="00582367"/>
    <w:rsid w:val="00591318"/>
    <w:rsid w:val="005A4F3C"/>
    <w:rsid w:val="005B297B"/>
    <w:rsid w:val="005D5597"/>
    <w:rsid w:val="005D5E71"/>
    <w:rsid w:val="005D6442"/>
    <w:rsid w:val="005E50D5"/>
    <w:rsid w:val="005E6698"/>
    <w:rsid w:val="005F1B3B"/>
    <w:rsid w:val="005F2327"/>
    <w:rsid w:val="005F4A0F"/>
    <w:rsid w:val="005F74E1"/>
    <w:rsid w:val="006226FE"/>
    <w:rsid w:val="00634D14"/>
    <w:rsid w:val="0064156C"/>
    <w:rsid w:val="00651C73"/>
    <w:rsid w:val="00653C99"/>
    <w:rsid w:val="00661F3E"/>
    <w:rsid w:val="00662A39"/>
    <w:rsid w:val="006747C0"/>
    <w:rsid w:val="00680D5E"/>
    <w:rsid w:val="00683CB3"/>
    <w:rsid w:val="00685562"/>
    <w:rsid w:val="00687ECB"/>
    <w:rsid w:val="006932EF"/>
    <w:rsid w:val="00696B56"/>
    <w:rsid w:val="006A3E5C"/>
    <w:rsid w:val="006B0A3E"/>
    <w:rsid w:val="006B43A2"/>
    <w:rsid w:val="006B6DD4"/>
    <w:rsid w:val="006D2726"/>
    <w:rsid w:val="006D3992"/>
    <w:rsid w:val="006E146C"/>
    <w:rsid w:val="006E52A6"/>
    <w:rsid w:val="006F1AD5"/>
    <w:rsid w:val="006F7936"/>
    <w:rsid w:val="007008E1"/>
    <w:rsid w:val="00727303"/>
    <w:rsid w:val="007831C4"/>
    <w:rsid w:val="00785D1E"/>
    <w:rsid w:val="00787516"/>
    <w:rsid w:val="0078764A"/>
    <w:rsid w:val="00791BB7"/>
    <w:rsid w:val="00792C98"/>
    <w:rsid w:val="007C124B"/>
    <w:rsid w:val="007D0FBF"/>
    <w:rsid w:val="007D4D2F"/>
    <w:rsid w:val="007E18EF"/>
    <w:rsid w:val="007E24AE"/>
    <w:rsid w:val="007E55E4"/>
    <w:rsid w:val="007E6692"/>
    <w:rsid w:val="007E6E05"/>
    <w:rsid w:val="007F1989"/>
    <w:rsid w:val="007F3058"/>
    <w:rsid w:val="007F5977"/>
    <w:rsid w:val="007F765C"/>
    <w:rsid w:val="007F7F2B"/>
    <w:rsid w:val="00832866"/>
    <w:rsid w:val="00841CF3"/>
    <w:rsid w:val="00843092"/>
    <w:rsid w:val="008446D3"/>
    <w:rsid w:val="00855662"/>
    <w:rsid w:val="008557D2"/>
    <w:rsid w:val="00862720"/>
    <w:rsid w:val="00864192"/>
    <w:rsid w:val="00866762"/>
    <w:rsid w:val="0086713E"/>
    <w:rsid w:val="008745FF"/>
    <w:rsid w:val="00875A4E"/>
    <w:rsid w:val="0089174B"/>
    <w:rsid w:val="00897BC3"/>
    <w:rsid w:val="008B1261"/>
    <w:rsid w:val="008B6501"/>
    <w:rsid w:val="008C7B64"/>
    <w:rsid w:val="008D23E0"/>
    <w:rsid w:val="008D6F3A"/>
    <w:rsid w:val="008E05D5"/>
    <w:rsid w:val="008E25DF"/>
    <w:rsid w:val="008F08B1"/>
    <w:rsid w:val="008F4DCC"/>
    <w:rsid w:val="00902A6E"/>
    <w:rsid w:val="00905042"/>
    <w:rsid w:val="00941E32"/>
    <w:rsid w:val="00954483"/>
    <w:rsid w:val="00960E40"/>
    <w:rsid w:val="00964210"/>
    <w:rsid w:val="009651FB"/>
    <w:rsid w:val="00976F8C"/>
    <w:rsid w:val="00981234"/>
    <w:rsid w:val="00994A04"/>
    <w:rsid w:val="009B3F4B"/>
    <w:rsid w:val="009C5442"/>
    <w:rsid w:val="009D2373"/>
    <w:rsid w:val="009D3026"/>
    <w:rsid w:val="009D3DFD"/>
    <w:rsid w:val="009E678B"/>
    <w:rsid w:val="009E7C4C"/>
    <w:rsid w:val="009F0571"/>
    <w:rsid w:val="009F1DE0"/>
    <w:rsid w:val="00A040EA"/>
    <w:rsid w:val="00A0428A"/>
    <w:rsid w:val="00A214F5"/>
    <w:rsid w:val="00A31078"/>
    <w:rsid w:val="00A31889"/>
    <w:rsid w:val="00A32C12"/>
    <w:rsid w:val="00A37017"/>
    <w:rsid w:val="00A444AC"/>
    <w:rsid w:val="00A5338D"/>
    <w:rsid w:val="00A55256"/>
    <w:rsid w:val="00A65548"/>
    <w:rsid w:val="00A875F8"/>
    <w:rsid w:val="00A921D2"/>
    <w:rsid w:val="00AA0A2F"/>
    <w:rsid w:val="00AA781B"/>
    <w:rsid w:val="00AD0F94"/>
    <w:rsid w:val="00AD1CF2"/>
    <w:rsid w:val="00AE36C7"/>
    <w:rsid w:val="00AF2CC3"/>
    <w:rsid w:val="00B035B6"/>
    <w:rsid w:val="00B1568F"/>
    <w:rsid w:val="00B22201"/>
    <w:rsid w:val="00B22666"/>
    <w:rsid w:val="00B271B1"/>
    <w:rsid w:val="00B34AC5"/>
    <w:rsid w:val="00B55C75"/>
    <w:rsid w:val="00B6020F"/>
    <w:rsid w:val="00B74C70"/>
    <w:rsid w:val="00B8080D"/>
    <w:rsid w:val="00B82A64"/>
    <w:rsid w:val="00B83CF3"/>
    <w:rsid w:val="00B91A7A"/>
    <w:rsid w:val="00BB67D9"/>
    <w:rsid w:val="00BC239F"/>
    <w:rsid w:val="00BD30B9"/>
    <w:rsid w:val="00BE0BA4"/>
    <w:rsid w:val="00BE5699"/>
    <w:rsid w:val="00BE59F0"/>
    <w:rsid w:val="00BF6CE4"/>
    <w:rsid w:val="00C20FCD"/>
    <w:rsid w:val="00C37772"/>
    <w:rsid w:val="00C4294E"/>
    <w:rsid w:val="00C44C51"/>
    <w:rsid w:val="00C455FF"/>
    <w:rsid w:val="00C5095B"/>
    <w:rsid w:val="00C54A54"/>
    <w:rsid w:val="00C66383"/>
    <w:rsid w:val="00C70C08"/>
    <w:rsid w:val="00C8353C"/>
    <w:rsid w:val="00C9058B"/>
    <w:rsid w:val="00CA1A20"/>
    <w:rsid w:val="00CA649A"/>
    <w:rsid w:val="00CD35EC"/>
    <w:rsid w:val="00CD3D5D"/>
    <w:rsid w:val="00CD4228"/>
    <w:rsid w:val="00CD5AD4"/>
    <w:rsid w:val="00CD76AF"/>
    <w:rsid w:val="00CF3399"/>
    <w:rsid w:val="00D12257"/>
    <w:rsid w:val="00D16EBB"/>
    <w:rsid w:val="00D347BA"/>
    <w:rsid w:val="00D3758B"/>
    <w:rsid w:val="00D4029F"/>
    <w:rsid w:val="00D43096"/>
    <w:rsid w:val="00D45812"/>
    <w:rsid w:val="00D65002"/>
    <w:rsid w:val="00D716DE"/>
    <w:rsid w:val="00D747AD"/>
    <w:rsid w:val="00D74B37"/>
    <w:rsid w:val="00D84456"/>
    <w:rsid w:val="00DA38D1"/>
    <w:rsid w:val="00DA7BE7"/>
    <w:rsid w:val="00DC3D1A"/>
    <w:rsid w:val="00DC3DBE"/>
    <w:rsid w:val="00DC5680"/>
    <w:rsid w:val="00DC583D"/>
    <w:rsid w:val="00DC58CD"/>
    <w:rsid w:val="00DC7DDC"/>
    <w:rsid w:val="00DD4C53"/>
    <w:rsid w:val="00DD6B1C"/>
    <w:rsid w:val="00DE108A"/>
    <w:rsid w:val="00DE7F19"/>
    <w:rsid w:val="00DF094F"/>
    <w:rsid w:val="00E10748"/>
    <w:rsid w:val="00E15D56"/>
    <w:rsid w:val="00E17F06"/>
    <w:rsid w:val="00E21F90"/>
    <w:rsid w:val="00E2262A"/>
    <w:rsid w:val="00E279C9"/>
    <w:rsid w:val="00E5780C"/>
    <w:rsid w:val="00E57F9F"/>
    <w:rsid w:val="00E631C9"/>
    <w:rsid w:val="00E6578A"/>
    <w:rsid w:val="00E71938"/>
    <w:rsid w:val="00E7412C"/>
    <w:rsid w:val="00E774FD"/>
    <w:rsid w:val="00E806C4"/>
    <w:rsid w:val="00EA2ED2"/>
    <w:rsid w:val="00EA396B"/>
    <w:rsid w:val="00ED5D32"/>
    <w:rsid w:val="00EE500D"/>
    <w:rsid w:val="00EE5C75"/>
    <w:rsid w:val="00EF4ED4"/>
    <w:rsid w:val="00EF4F8D"/>
    <w:rsid w:val="00F04AA8"/>
    <w:rsid w:val="00F1064F"/>
    <w:rsid w:val="00F13B5F"/>
    <w:rsid w:val="00F3115F"/>
    <w:rsid w:val="00F46355"/>
    <w:rsid w:val="00F52102"/>
    <w:rsid w:val="00F5622F"/>
    <w:rsid w:val="00F6553C"/>
    <w:rsid w:val="00F804D1"/>
    <w:rsid w:val="00F86D13"/>
    <w:rsid w:val="00F90E0E"/>
    <w:rsid w:val="00FB2D60"/>
    <w:rsid w:val="00FD3B9D"/>
    <w:rsid w:val="00FE5056"/>
    <w:rsid w:val="00FE5F37"/>
    <w:rsid w:val="00FF25DB"/>
    <w:rsid w:val="00FF3B7D"/>
    <w:rsid w:val="00FF740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6" type="connector" idref="#_x0000_s1047"/>
        <o:r id="V:Rule7" type="connector" idref="#_x0000_s1046"/>
        <o:r id="V:Rule8" type="connector" idref="#_x0000_s1040"/>
        <o:r id="V:Rule9" type="connector" idref="#_x0000_s1048"/>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2F"/>
    <w:pPr>
      <w:spacing w:after="200" w:line="276" w:lineRule="auto"/>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B91A7A"/>
    <w:pPr>
      <w:keepNext/>
      <w:keepLines/>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rsid w:val="00AA0A2F"/>
    <w:pPr>
      <w:keepNext/>
      <w:keepLines/>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E45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2A"/>
    <w:pPr>
      <w:tabs>
        <w:tab w:val="center" w:pos="4680"/>
        <w:tab w:val="right" w:pos="9360"/>
      </w:tabs>
    </w:pPr>
  </w:style>
  <w:style w:type="character" w:customStyle="1" w:styleId="HeaderChar">
    <w:name w:val="Header Char"/>
    <w:basedOn w:val="DefaultParagraphFont"/>
    <w:link w:val="Header"/>
    <w:uiPriority w:val="99"/>
    <w:rsid w:val="00E2262A"/>
    <w:rPr>
      <w:sz w:val="22"/>
      <w:szCs w:val="22"/>
    </w:rPr>
  </w:style>
  <w:style w:type="paragraph" w:styleId="Footer">
    <w:name w:val="footer"/>
    <w:basedOn w:val="Normal"/>
    <w:link w:val="FooterChar"/>
    <w:uiPriority w:val="99"/>
    <w:unhideWhenUsed/>
    <w:rsid w:val="00E2262A"/>
    <w:pPr>
      <w:tabs>
        <w:tab w:val="center" w:pos="4680"/>
        <w:tab w:val="right" w:pos="9360"/>
      </w:tabs>
    </w:pPr>
  </w:style>
  <w:style w:type="character" w:customStyle="1" w:styleId="FooterChar">
    <w:name w:val="Footer Char"/>
    <w:basedOn w:val="DefaultParagraphFont"/>
    <w:link w:val="Footer"/>
    <w:uiPriority w:val="99"/>
    <w:rsid w:val="00E2262A"/>
    <w:rPr>
      <w:sz w:val="22"/>
      <w:szCs w:val="22"/>
    </w:rPr>
  </w:style>
  <w:style w:type="paragraph" w:styleId="FootnoteText">
    <w:name w:val="footnote text"/>
    <w:basedOn w:val="Normal"/>
    <w:link w:val="FootnoteTextChar"/>
    <w:semiHidden/>
    <w:unhideWhenUsed/>
    <w:rsid w:val="00DC3DBE"/>
    <w:rPr>
      <w:sz w:val="20"/>
      <w:szCs w:val="20"/>
    </w:rPr>
  </w:style>
  <w:style w:type="character" w:customStyle="1" w:styleId="FootnoteTextChar">
    <w:name w:val="Footnote Text Char"/>
    <w:basedOn w:val="DefaultParagraphFont"/>
    <w:link w:val="FootnoteText"/>
    <w:uiPriority w:val="99"/>
    <w:semiHidden/>
    <w:rsid w:val="00DC3DBE"/>
  </w:style>
  <w:style w:type="character" w:styleId="FootnoteReference">
    <w:name w:val="footnote reference"/>
    <w:basedOn w:val="DefaultParagraphFont"/>
    <w:semiHidden/>
    <w:unhideWhenUsed/>
    <w:rsid w:val="00DC3DBE"/>
    <w:rPr>
      <w:vertAlign w:val="superscript"/>
    </w:rPr>
  </w:style>
  <w:style w:type="table" w:styleId="TableGrid">
    <w:name w:val="Table Grid"/>
    <w:basedOn w:val="TableNormal"/>
    <w:uiPriority w:val="59"/>
    <w:rsid w:val="00AF2C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716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16DE"/>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D7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DE"/>
    <w:rPr>
      <w:rFonts w:ascii="Tahoma" w:hAnsi="Tahoma" w:cs="Tahoma"/>
      <w:sz w:val="16"/>
      <w:szCs w:val="16"/>
      <w:lang w:val="en-US" w:eastAsia="en-US"/>
    </w:rPr>
  </w:style>
  <w:style w:type="character" w:styleId="CommentReference">
    <w:name w:val="annotation reference"/>
    <w:basedOn w:val="DefaultParagraphFont"/>
    <w:semiHidden/>
    <w:unhideWhenUsed/>
    <w:rsid w:val="00D716DE"/>
    <w:rPr>
      <w:sz w:val="16"/>
      <w:szCs w:val="16"/>
    </w:rPr>
  </w:style>
  <w:style w:type="paragraph" w:styleId="CommentText">
    <w:name w:val="annotation text"/>
    <w:basedOn w:val="Normal"/>
    <w:link w:val="CommentTextChar"/>
    <w:semiHidden/>
    <w:unhideWhenUsed/>
    <w:rsid w:val="00D716DE"/>
    <w:pPr>
      <w:spacing w:line="240" w:lineRule="auto"/>
    </w:pPr>
    <w:rPr>
      <w:sz w:val="20"/>
      <w:szCs w:val="20"/>
    </w:rPr>
  </w:style>
  <w:style w:type="character" w:customStyle="1" w:styleId="CommentTextChar">
    <w:name w:val="Comment Text Char"/>
    <w:basedOn w:val="DefaultParagraphFont"/>
    <w:link w:val="CommentText"/>
    <w:semiHidden/>
    <w:rsid w:val="00D716DE"/>
    <w:rPr>
      <w:lang w:val="en-US" w:eastAsia="en-US"/>
    </w:rPr>
  </w:style>
  <w:style w:type="paragraph" w:styleId="CommentSubject">
    <w:name w:val="annotation subject"/>
    <w:basedOn w:val="CommentText"/>
    <w:next w:val="CommentText"/>
    <w:link w:val="CommentSubjectChar"/>
    <w:uiPriority w:val="99"/>
    <w:semiHidden/>
    <w:unhideWhenUsed/>
    <w:rsid w:val="00D716DE"/>
    <w:rPr>
      <w:b/>
      <w:bCs/>
    </w:rPr>
  </w:style>
  <w:style w:type="character" w:customStyle="1" w:styleId="CommentSubjectChar">
    <w:name w:val="Comment Subject Char"/>
    <w:basedOn w:val="CommentTextChar"/>
    <w:link w:val="CommentSubject"/>
    <w:uiPriority w:val="99"/>
    <w:semiHidden/>
    <w:rsid w:val="00D716DE"/>
    <w:rPr>
      <w:b/>
      <w:bCs/>
    </w:rPr>
  </w:style>
  <w:style w:type="character" w:customStyle="1" w:styleId="Heading1Char">
    <w:name w:val="Heading 1 Char"/>
    <w:basedOn w:val="DefaultParagraphFont"/>
    <w:link w:val="Heading1"/>
    <w:rsid w:val="00B91A7A"/>
    <w:rPr>
      <w:rFonts w:asciiTheme="majorHAnsi" w:eastAsiaTheme="majorEastAsia" w:hAnsiTheme="majorHAnsi" w:cstheme="majorBidi"/>
      <w:b/>
      <w:bCs/>
      <w:sz w:val="28"/>
      <w:szCs w:val="28"/>
      <w:lang w:val="en-US" w:eastAsia="en-US"/>
    </w:rPr>
  </w:style>
  <w:style w:type="character" w:styleId="Hyperlink">
    <w:name w:val="Hyperlink"/>
    <w:basedOn w:val="DefaultParagraphFont"/>
    <w:uiPriority w:val="99"/>
    <w:unhideWhenUsed/>
    <w:rsid w:val="00245CE4"/>
    <w:rPr>
      <w:color w:val="0000FF" w:themeColor="hyperlink"/>
      <w:u w:val="single"/>
    </w:rPr>
  </w:style>
  <w:style w:type="paragraph" w:customStyle="1" w:styleId="Formatvorlage1">
    <w:name w:val="Formatvorlage1"/>
    <w:basedOn w:val="Normal"/>
    <w:rsid w:val="00245CE4"/>
    <w:pPr>
      <w:overflowPunct w:val="0"/>
      <w:autoSpaceDE w:val="0"/>
      <w:autoSpaceDN w:val="0"/>
      <w:adjustRightInd w:val="0"/>
      <w:spacing w:after="0" w:line="240" w:lineRule="auto"/>
      <w:textAlignment w:val="baseline"/>
    </w:pPr>
    <w:rPr>
      <w:rFonts w:ascii="Tms Rmn" w:eastAsia="Times New Roman" w:hAnsi="Tms Rmn"/>
      <w:szCs w:val="20"/>
    </w:rPr>
  </w:style>
  <w:style w:type="paragraph" w:customStyle="1" w:styleId="Text">
    <w:name w:val="Text"/>
    <w:basedOn w:val="Normal"/>
    <w:rsid w:val="005315D3"/>
    <w:pPr>
      <w:overflowPunct w:val="0"/>
      <w:autoSpaceDE w:val="0"/>
      <w:autoSpaceDN w:val="0"/>
      <w:adjustRightInd w:val="0"/>
      <w:spacing w:after="60" w:line="160" w:lineRule="atLeast"/>
      <w:jc w:val="both"/>
      <w:textAlignment w:val="baseline"/>
    </w:pPr>
    <w:rPr>
      <w:rFonts w:ascii="Helvetica" w:eastAsia="Times New Roman" w:hAnsi="Helvetica"/>
      <w:color w:val="000000"/>
      <w:sz w:val="16"/>
      <w:szCs w:val="20"/>
    </w:rPr>
  </w:style>
  <w:style w:type="paragraph" w:customStyle="1" w:styleId="DocText">
    <w:name w:val="Doc Text"/>
    <w:basedOn w:val="Normal"/>
    <w:rsid w:val="00014DCF"/>
    <w:pPr>
      <w:spacing w:after="240" w:line="288" w:lineRule="auto"/>
    </w:pPr>
    <w:rPr>
      <w:rFonts w:eastAsia="Batang"/>
      <w:szCs w:val="24"/>
    </w:rPr>
  </w:style>
  <w:style w:type="paragraph" w:customStyle="1" w:styleId="MandatoryInformation">
    <w:name w:val="Mandatory Information"/>
    <w:basedOn w:val="Normal"/>
    <w:rsid w:val="00014DCF"/>
    <w:pPr>
      <w:spacing w:after="240" w:line="288" w:lineRule="auto"/>
    </w:pPr>
    <w:rPr>
      <w:rFonts w:eastAsia="Batang"/>
      <w:b/>
      <w:szCs w:val="24"/>
    </w:rPr>
  </w:style>
  <w:style w:type="character" w:customStyle="1" w:styleId="Heading3Char">
    <w:name w:val="Heading 3 Char"/>
    <w:basedOn w:val="DefaultParagraphFont"/>
    <w:link w:val="Heading3"/>
    <w:uiPriority w:val="9"/>
    <w:rsid w:val="003E45AE"/>
    <w:rPr>
      <w:rFonts w:asciiTheme="majorHAnsi" w:eastAsiaTheme="majorEastAsia" w:hAnsiTheme="majorHAnsi" w:cstheme="majorBidi"/>
      <w:b/>
      <w:bCs/>
      <w:color w:val="4F81BD" w:themeColor="accent1"/>
      <w:sz w:val="22"/>
      <w:szCs w:val="22"/>
      <w:lang w:val="en-US" w:eastAsia="en-US"/>
    </w:rPr>
  </w:style>
  <w:style w:type="paragraph" w:customStyle="1" w:styleId="TableTextCenter">
    <w:name w:val="Table Text Center"/>
    <w:basedOn w:val="Normal"/>
    <w:rsid w:val="003E45AE"/>
    <w:pPr>
      <w:spacing w:before="60" w:after="60" w:line="240" w:lineRule="auto"/>
      <w:jc w:val="center"/>
    </w:pPr>
    <w:rPr>
      <w:rFonts w:eastAsia="Times New Roman"/>
      <w:sz w:val="20"/>
      <w:szCs w:val="24"/>
    </w:rPr>
  </w:style>
  <w:style w:type="character" w:customStyle="1" w:styleId="Heading2Char">
    <w:name w:val="Heading 2 Char"/>
    <w:basedOn w:val="DefaultParagraphFont"/>
    <w:link w:val="Heading2"/>
    <w:uiPriority w:val="9"/>
    <w:rsid w:val="00AA0A2F"/>
    <w:rPr>
      <w:rFonts w:asciiTheme="majorHAnsi" w:eastAsiaTheme="majorEastAsia" w:hAnsiTheme="majorHAnsi" w:cstheme="majorBidi"/>
      <w:b/>
      <w:bCs/>
      <w:sz w:val="26"/>
      <w:szCs w:val="26"/>
      <w:lang w:val="en-US" w:eastAsia="en-US"/>
    </w:rPr>
  </w:style>
  <w:style w:type="paragraph" w:customStyle="1" w:styleId="Formatvorlage2">
    <w:name w:val="Formatvorlage2"/>
    <w:basedOn w:val="Normal"/>
    <w:rsid w:val="00965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olor w:val="000000"/>
      <w:szCs w:val="20"/>
    </w:rPr>
  </w:style>
  <w:style w:type="paragraph" w:styleId="ListParagraph">
    <w:name w:val="List Paragraph"/>
    <w:basedOn w:val="Normal"/>
    <w:link w:val="ListParagraphChar"/>
    <w:uiPriority w:val="34"/>
    <w:qFormat/>
    <w:rsid w:val="00843092"/>
    <w:pPr>
      <w:ind w:left="720"/>
      <w:contextualSpacing/>
    </w:pPr>
  </w:style>
  <w:style w:type="paragraph" w:styleId="Revision">
    <w:name w:val="Revision"/>
    <w:hidden/>
    <w:uiPriority w:val="99"/>
    <w:semiHidden/>
    <w:rsid w:val="00C54A54"/>
    <w:rPr>
      <w:sz w:val="22"/>
      <w:szCs w:val="22"/>
      <w:lang w:val="en-US" w:eastAsia="en-US"/>
    </w:rPr>
  </w:style>
  <w:style w:type="paragraph" w:styleId="EndnoteText">
    <w:name w:val="endnote text"/>
    <w:basedOn w:val="Normal"/>
    <w:link w:val="EndnoteTextChar"/>
    <w:uiPriority w:val="99"/>
    <w:semiHidden/>
    <w:unhideWhenUsed/>
    <w:rsid w:val="00C663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6383"/>
    <w:rPr>
      <w:lang w:val="en-US" w:eastAsia="en-US"/>
    </w:rPr>
  </w:style>
  <w:style w:type="character" w:styleId="EndnoteReference">
    <w:name w:val="endnote reference"/>
    <w:basedOn w:val="DefaultParagraphFont"/>
    <w:uiPriority w:val="99"/>
    <w:semiHidden/>
    <w:unhideWhenUsed/>
    <w:rsid w:val="00C66383"/>
    <w:rPr>
      <w:vertAlign w:val="superscript"/>
    </w:rPr>
  </w:style>
  <w:style w:type="paragraph" w:styleId="NoSpacing">
    <w:name w:val="No Spacing"/>
    <w:uiPriority w:val="1"/>
    <w:qFormat/>
    <w:rsid w:val="007F7F2B"/>
    <w:rPr>
      <w:sz w:val="22"/>
      <w:szCs w:val="22"/>
      <w:lang w:val="en-US" w:eastAsia="en-US"/>
    </w:rPr>
  </w:style>
  <w:style w:type="paragraph" w:customStyle="1" w:styleId="Title1">
    <w:name w:val="Title 1"/>
    <w:basedOn w:val="Normal"/>
    <w:qFormat/>
    <w:rsid w:val="00AA0A2F"/>
    <w:pPr>
      <w:spacing w:before="240"/>
      <w:outlineLvl w:val="0"/>
    </w:pPr>
    <w:rPr>
      <w:b/>
      <w:color w:val="000000" w:themeColor="text1"/>
      <w:sz w:val="40"/>
      <w:szCs w:val="40"/>
      <w:lang w:val="en-AU"/>
    </w:rPr>
  </w:style>
  <w:style w:type="paragraph" w:customStyle="1" w:styleId="Tabletitle">
    <w:name w:val="Table title"/>
    <w:basedOn w:val="Normal"/>
    <w:qFormat/>
    <w:rsid w:val="00B91A7A"/>
    <w:pPr>
      <w:spacing w:before="240" w:after="240" w:line="288" w:lineRule="auto"/>
      <w:jc w:val="center"/>
    </w:pPr>
    <w:rPr>
      <w:b/>
      <w:color w:val="000000" w:themeColor="text1"/>
      <w:szCs w:val="24"/>
      <w:lang w:val="en-AU"/>
    </w:rPr>
  </w:style>
  <w:style w:type="paragraph" w:customStyle="1" w:styleId="bullet">
    <w:name w:val="bullet"/>
    <w:basedOn w:val="ListParagraph"/>
    <w:link w:val="bulletChar"/>
    <w:qFormat/>
    <w:rsid w:val="007E24AE"/>
    <w:pPr>
      <w:numPr>
        <w:numId w:val="8"/>
      </w:numPr>
      <w:autoSpaceDE w:val="0"/>
      <w:autoSpaceDN w:val="0"/>
      <w:adjustRightInd w:val="0"/>
    </w:pPr>
    <w:rPr>
      <w:color w:val="000000" w:themeColor="text1"/>
      <w:szCs w:val="24"/>
      <w:lang w:val="en-AU" w:eastAsia="en-AU"/>
    </w:rPr>
  </w:style>
  <w:style w:type="paragraph" w:customStyle="1" w:styleId="Heading3pi">
    <w:name w:val="Heading 3 pi"/>
    <w:basedOn w:val="Normal"/>
    <w:qFormat/>
    <w:rsid w:val="007E24AE"/>
    <w:pPr>
      <w:spacing w:after="0"/>
    </w:pPr>
    <w:rPr>
      <w:i/>
      <w:color w:val="000000" w:themeColor="text1"/>
      <w:szCs w:val="24"/>
      <w:u w:val="single"/>
      <w:lang w:val="en-AU"/>
    </w:rPr>
  </w:style>
  <w:style w:type="paragraph" w:customStyle="1" w:styleId="Bullet2">
    <w:name w:val="Bullet 2"/>
    <w:basedOn w:val="bullet"/>
    <w:link w:val="Bullet2Char"/>
    <w:qFormat/>
    <w:rsid w:val="007E24AE"/>
    <w:pPr>
      <w:numPr>
        <w:numId w:val="12"/>
      </w:numPr>
    </w:pPr>
  </w:style>
  <w:style w:type="character" w:customStyle="1" w:styleId="ListParagraphChar">
    <w:name w:val="List Paragraph Char"/>
    <w:basedOn w:val="DefaultParagraphFont"/>
    <w:link w:val="ListParagraph"/>
    <w:uiPriority w:val="34"/>
    <w:rsid w:val="007E24AE"/>
    <w:rPr>
      <w:rFonts w:ascii="Times New Roman" w:hAnsi="Times New Roman"/>
      <w:sz w:val="24"/>
      <w:szCs w:val="22"/>
      <w:lang w:val="en-US" w:eastAsia="en-US"/>
    </w:rPr>
  </w:style>
  <w:style w:type="character" w:customStyle="1" w:styleId="bulletChar">
    <w:name w:val="bullet Char"/>
    <w:basedOn w:val="ListParagraphChar"/>
    <w:link w:val="bullet"/>
    <w:rsid w:val="007E24AE"/>
    <w:rPr>
      <w:color w:val="000000" w:themeColor="text1"/>
      <w:szCs w:val="24"/>
    </w:rPr>
  </w:style>
  <w:style w:type="character" w:customStyle="1" w:styleId="Bullet2Char">
    <w:name w:val="Bullet 2 Char"/>
    <w:basedOn w:val="bulletChar"/>
    <w:link w:val="Bullet2"/>
    <w:rsid w:val="007E24AE"/>
  </w:style>
  <w:style w:type="table" w:customStyle="1" w:styleId="TableGrid1">
    <w:name w:val="Table Grid1"/>
    <w:basedOn w:val="TableNormal"/>
    <w:next w:val="TableGrid"/>
    <w:uiPriority w:val="59"/>
    <w:rsid w:val="00832866"/>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AB241-6442-4C25-837F-825562F6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4388</Words>
  <Characters>25014</Characters>
  <Application>Microsoft Office Word</Application>
  <DocSecurity>0</DocSecurity>
  <Lines>208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Baxter Healthcare Pty Ltd</Company>
  <LinksUpToDate>false</LinksUpToDate>
  <CharactersWithSpaces>29344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Fibrin adhesive/sealant</dc:title>
  <dc:subject>prescription medicine regulation</dc:subject>
  <dc:creator>Baxter Healthcare Pty Ltd</dc:creator>
  <cp:keywords>product, information, prescription, medicine, regulation, fibrin, adhesive, sealant, artiss, baxter, healthcare</cp:keywords>
  <cp:lastModifiedBy>dixonj</cp:lastModifiedBy>
  <cp:revision>5</cp:revision>
  <cp:lastPrinted>2011-11-07T04:58:00Z</cp:lastPrinted>
  <dcterms:created xsi:type="dcterms:W3CDTF">2014-01-21T23:31:00Z</dcterms:created>
  <dcterms:modified xsi:type="dcterms:W3CDTF">2014-01-21T23:37:00Z</dcterms:modified>
</cp:coreProperties>
</file>