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8B60C08" w14:textId="77777777" w:rsidR="00CE0B1B" w:rsidRDefault="00CE0B1B" w:rsidP="00D44718">
      <w:pPr>
        <w:ind w:right="-25"/>
        <w:jc w:val="both"/>
        <w:rPr>
          <w:rFonts w:ascii="Arial" w:hAnsi="Arial" w:cs="Arial"/>
          <w:b/>
          <w:caps/>
          <w:sz w:val="28"/>
          <w:szCs w:val="28"/>
        </w:rPr>
      </w:pPr>
      <w:r>
        <w:rPr>
          <w:rFonts w:ascii="Arial" w:hAnsi="Arial" w:cs="Arial"/>
          <w:b/>
          <w:caps/>
          <w:sz w:val="28"/>
          <w:szCs w:val="28"/>
        </w:rPr>
        <w:t>AUSTRA</w:t>
      </w:r>
      <w:bookmarkStart w:id="0" w:name="_GoBack"/>
      <w:bookmarkEnd w:id="0"/>
      <w:r>
        <w:rPr>
          <w:rFonts w:ascii="Arial" w:hAnsi="Arial" w:cs="Arial"/>
          <w:b/>
          <w:caps/>
          <w:sz w:val="28"/>
          <w:szCs w:val="28"/>
        </w:rPr>
        <w:t xml:space="preserve">LIAN </w:t>
      </w:r>
      <w:r w:rsidRPr="00B42BB3">
        <w:rPr>
          <w:rFonts w:ascii="Arial" w:hAnsi="Arial" w:cs="Arial"/>
          <w:b/>
          <w:caps/>
          <w:sz w:val="28"/>
          <w:szCs w:val="28"/>
        </w:rPr>
        <w:t>PRODUCT INFORMATION</w:t>
      </w:r>
      <w:r>
        <w:rPr>
          <w:rFonts w:ascii="Arial" w:hAnsi="Arial" w:cs="Arial"/>
          <w:b/>
          <w:caps/>
          <w:sz w:val="28"/>
          <w:szCs w:val="28"/>
        </w:rPr>
        <w:t xml:space="preserve"> - </w:t>
      </w:r>
      <w:r w:rsidRPr="00B42BB3">
        <w:rPr>
          <w:rFonts w:ascii="Arial" w:hAnsi="Arial" w:cs="Arial"/>
          <w:b/>
          <w:caps/>
          <w:sz w:val="28"/>
          <w:szCs w:val="28"/>
        </w:rPr>
        <w:t>FERINJECT</w:t>
      </w:r>
      <w:r w:rsidRPr="00E74F6F">
        <w:rPr>
          <w:rFonts w:ascii="Arial" w:hAnsi="Arial" w:cs="Arial"/>
          <w:b/>
          <w:caps/>
          <w:sz w:val="28"/>
          <w:szCs w:val="28"/>
          <w:vertAlign w:val="superscript"/>
        </w:rPr>
        <w:t>®</w:t>
      </w:r>
      <w:r>
        <w:rPr>
          <w:rFonts w:ascii="Arial" w:hAnsi="Arial" w:cs="Arial"/>
          <w:b/>
          <w:caps/>
          <w:sz w:val="28"/>
          <w:szCs w:val="28"/>
          <w:vertAlign w:val="superscript"/>
        </w:rPr>
        <w:t xml:space="preserve"> </w:t>
      </w:r>
      <w:r>
        <w:rPr>
          <w:rFonts w:ascii="Arial" w:hAnsi="Arial" w:cs="Arial"/>
          <w:b/>
          <w:caps/>
          <w:sz w:val="28"/>
          <w:szCs w:val="28"/>
        </w:rPr>
        <w:t>(FERRIC CARBOXYMALTOSE) SOLUTION FOR INJECTION</w:t>
      </w:r>
    </w:p>
    <w:p w14:paraId="491127F1" w14:textId="77777777" w:rsidR="006E1633" w:rsidRPr="00285FCE" w:rsidRDefault="006E1633" w:rsidP="00D44718">
      <w:pPr>
        <w:ind w:right="-25"/>
        <w:jc w:val="both"/>
        <w:rPr>
          <w:rFonts w:ascii="Arial" w:hAnsi="Arial" w:cs="Arial"/>
          <w:b/>
          <w:caps/>
          <w:sz w:val="28"/>
          <w:szCs w:val="28"/>
        </w:rPr>
      </w:pPr>
    </w:p>
    <w:p w14:paraId="6AF84800" w14:textId="77777777" w:rsidR="00FD1F94" w:rsidRDefault="00FD1F94" w:rsidP="00B97A3A">
      <w:pPr>
        <w:pStyle w:val="Heading1"/>
        <w:pageBreakBefore w:val="0"/>
      </w:pPr>
      <w:r>
        <w:t>NAME OF THE MEDICINE</w:t>
      </w:r>
    </w:p>
    <w:p w14:paraId="51EF1193" w14:textId="77777777" w:rsidR="00FD1F94" w:rsidRDefault="00CE0B1B" w:rsidP="00B97A3A">
      <w:pPr>
        <w:rPr>
          <w:rFonts w:ascii="Arial" w:eastAsia="Arial" w:hAnsi="Arial"/>
          <w:sz w:val="22"/>
        </w:rPr>
      </w:pPr>
      <w:r w:rsidRPr="00CE0B1B">
        <w:t>Ferric carboxymaltose</w:t>
      </w:r>
    </w:p>
    <w:p w14:paraId="5B820BB1" w14:textId="77777777" w:rsidR="00FD1F94" w:rsidRDefault="00FD1F94" w:rsidP="00B97A3A">
      <w:pPr>
        <w:pStyle w:val="Heading1"/>
        <w:pageBreakBefore w:val="0"/>
      </w:pPr>
      <w:r>
        <w:t>QUALITATIVE AND QUANTITATIVE COMPOSITION</w:t>
      </w:r>
    </w:p>
    <w:p w14:paraId="27077698" w14:textId="77777777" w:rsidR="00976744" w:rsidRDefault="00976744" w:rsidP="00CE0B1B">
      <w:pPr>
        <w:spacing w:before="0"/>
      </w:pPr>
    </w:p>
    <w:p w14:paraId="645D7145" w14:textId="77777777" w:rsidR="00CE0B1B" w:rsidRDefault="00CE0B1B" w:rsidP="00CE0B1B">
      <w:pPr>
        <w:spacing w:before="0"/>
      </w:pPr>
      <w:r>
        <w:t>Each 2 mL vial contains 100 mg of iron as ferric carboxymaltose.</w:t>
      </w:r>
    </w:p>
    <w:p w14:paraId="6FCF4BEA" w14:textId="77777777" w:rsidR="00CE0B1B" w:rsidRDefault="00CE0B1B" w:rsidP="00CE0B1B">
      <w:pPr>
        <w:spacing w:before="0"/>
      </w:pPr>
    </w:p>
    <w:p w14:paraId="7EA046C4" w14:textId="77777777" w:rsidR="00CE0B1B" w:rsidRDefault="00CE0B1B" w:rsidP="00CE0B1B">
      <w:pPr>
        <w:spacing w:before="0"/>
      </w:pPr>
      <w:r>
        <w:t>Each 10 mL vial contains 500 mg of iron as ferric carboxymaltose.</w:t>
      </w:r>
    </w:p>
    <w:p w14:paraId="73332A2D" w14:textId="77777777" w:rsidR="00196E5B" w:rsidRDefault="00196E5B" w:rsidP="00196E5B">
      <w:pPr>
        <w:spacing w:before="0"/>
      </w:pPr>
    </w:p>
    <w:p w14:paraId="0CE5E607" w14:textId="77777777" w:rsidR="00196E5B" w:rsidRDefault="00196E5B" w:rsidP="00196E5B">
      <w:pPr>
        <w:spacing w:before="0"/>
      </w:pPr>
      <w:r>
        <w:t>Each 20 mL vial contains 1000 mg of iron as ferric carboxymaltose.</w:t>
      </w:r>
    </w:p>
    <w:p w14:paraId="0134CCDF" w14:textId="77777777" w:rsidR="00CE0B1B" w:rsidRDefault="00CE0B1B" w:rsidP="00CE0B1B">
      <w:pPr>
        <w:spacing w:before="0"/>
      </w:pPr>
    </w:p>
    <w:p w14:paraId="61A43E62" w14:textId="02141D71" w:rsidR="00FD1F94" w:rsidRPr="005122FF" w:rsidRDefault="00CE0B1B" w:rsidP="00CE0B1B">
      <w:pPr>
        <w:spacing w:before="0"/>
      </w:pPr>
      <w:r>
        <w:t xml:space="preserve">For the full list of excipients, see Section 6.1 </w:t>
      </w:r>
      <w:r w:rsidR="00D44718">
        <w:t>LIST OF EXCIPIENTS</w:t>
      </w:r>
      <w:r>
        <w:t>.</w:t>
      </w:r>
    </w:p>
    <w:p w14:paraId="74FA185B" w14:textId="77777777" w:rsidR="00FD1F94" w:rsidRDefault="00FD1F94" w:rsidP="00B97A3A">
      <w:pPr>
        <w:pStyle w:val="Heading1"/>
        <w:pageBreakBefore w:val="0"/>
      </w:pPr>
      <w:r>
        <w:t>PHARMACEUTICAL FORM</w:t>
      </w:r>
    </w:p>
    <w:p w14:paraId="39854FCC" w14:textId="77777777" w:rsidR="00C43842" w:rsidRDefault="00976744" w:rsidP="00735ECC">
      <w:pPr>
        <w:jc w:val="both"/>
      </w:pPr>
      <w:r w:rsidRPr="00976744">
        <w:rPr>
          <w:lang w:val="en-GB"/>
        </w:rPr>
        <w:t>Solution for intravenous use. FERINJECT is a dark brown, non-transparent, colloidal solution</w:t>
      </w:r>
      <w:r>
        <w:rPr>
          <w:lang w:val="en-GB"/>
        </w:rPr>
        <w:t>.</w:t>
      </w:r>
    </w:p>
    <w:p w14:paraId="4A531EF3" w14:textId="77777777" w:rsidR="00FD1F94" w:rsidRDefault="00FD1F94" w:rsidP="00B97A3A">
      <w:pPr>
        <w:pStyle w:val="Heading1"/>
        <w:pageBreakBefore w:val="0"/>
      </w:pPr>
      <w:bookmarkStart w:id="1" w:name="page2"/>
      <w:bookmarkEnd w:id="1"/>
      <w:r>
        <w:t>CLINICAL PARTICULARS</w:t>
      </w:r>
    </w:p>
    <w:p w14:paraId="71D721F2" w14:textId="77777777" w:rsidR="00FD1F94" w:rsidRDefault="00FD1F94" w:rsidP="00B97A3A">
      <w:pPr>
        <w:pStyle w:val="Heading2"/>
      </w:pPr>
      <w:r>
        <w:t>THERAPEUTIC INDICATIONS</w:t>
      </w:r>
    </w:p>
    <w:p w14:paraId="653E40AA" w14:textId="1B421BF9" w:rsidR="00FD1F94" w:rsidRDefault="00976744" w:rsidP="00735ECC">
      <w:pPr>
        <w:jc w:val="both"/>
      </w:pPr>
      <w:r>
        <w:t>FERINJECT is indicated for treatment of iron deficiency when oral iron preparations are ineffective or cannot be used.</w:t>
      </w:r>
    </w:p>
    <w:p w14:paraId="5237DD0D" w14:textId="62E09227" w:rsidR="006A60B4" w:rsidRPr="00B97A3A" w:rsidRDefault="006A60B4" w:rsidP="00735ECC">
      <w:pPr>
        <w:jc w:val="both"/>
      </w:pPr>
      <w:r w:rsidRPr="006A60B4">
        <w:t>The diagnosis must be based on laboratory tests.</w:t>
      </w:r>
    </w:p>
    <w:p w14:paraId="2043AE6C" w14:textId="77777777" w:rsidR="00FD1F94" w:rsidRDefault="00FD1F94" w:rsidP="00B97A3A">
      <w:pPr>
        <w:pStyle w:val="Heading2"/>
      </w:pPr>
      <w:r>
        <w:t>DOSE AND METHOD OF ADMINISTRATION</w:t>
      </w:r>
    </w:p>
    <w:p w14:paraId="5F8737F4" w14:textId="77777777" w:rsidR="00976744" w:rsidRPr="009C75D1" w:rsidRDefault="00976744" w:rsidP="00735ECC">
      <w:pPr>
        <w:pStyle w:val="Heading3"/>
        <w:numPr>
          <w:ilvl w:val="0"/>
          <w:numId w:val="0"/>
        </w:numPr>
        <w:jc w:val="both"/>
      </w:pPr>
      <w:r w:rsidRPr="009C75D1">
        <w:t>Determination of the cumulative iron dose</w:t>
      </w:r>
    </w:p>
    <w:p w14:paraId="617A79DC" w14:textId="23B6BE2B" w:rsidR="00976744" w:rsidRDefault="00976744" w:rsidP="00735ECC">
      <w:pPr>
        <w:spacing w:before="0"/>
        <w:jc w:val="both"/>
      </w:pPr>
      <w:r>
        <w:t xml:space="preserve">The cumulative dose for repletion of iron using FERINJECT is determined based on the patient’s body weight and Hb level and must not be exceeded. There are two methods for determining the cumulative dose, the </w:t>
      </w:r>
      <w:proofErr w:type="spellStart"/>
      <w:r>
        <w:t>Ganzoni</w:t>
      </w:r>
      <w:proofErr w:type="spellEnd"/>
      <w:r>
        <w:t xml:space="preserve"> Method and the Simplified Method. Caution is recommended with the Simplified Method since it is based on experience in a single trial in adults with median Hb 104 g/L (range 61-146 g/L) and body weight ≥35 kg – </w:t>
      </w:r>
      <w:r w:rsidR="00D44718">
        <w:t>s</w:t>
      </w:r>
      <w:r>
        <w:t xml:space="preserve">ee </w:t>
      </w:r>
      <w:r w:rsidR="00735ECC">
        <w:t>section 5.1</w:t>
      </w:r>
      <w:r w:rsidR="00D44718">
        <w:t xml:space="preserve"> </w:t>
      </w:r>
      <w:r w:rsidR="00D44718" w:rsidRPr="00D44718">
        <w:t>PHARMACODYNAMIC PROPERTIES</w:t>
      </w:r>
      <w:r w:rsidR="00D44718">
        <w:t>,</w:t>
      </w:r>
      <w:r w:rsidR="00735ECC">
        <w:t xml:space="preserve"> Clinical trials.</w:t>
      </w:r>
    </w:p>
    <w:p w14:paraId="32A1CE2E" w14:textId="6C62F1B9" w:rsidR="00976744" w:rsidRDefault="00976744" w:rsidP="00735ECC">
      <w:pPr>
        <w:jc w:val="both"/>
      </w:pPr>
      <w:r>
        <w:t xml:space="preserve">Patients should be closely monitored when large single doses of FERINJECT (&gt;200 mg iron) are administered since the safety data are limited. </w:t>
      </w:r>
    </w:p>
    <w:p w14:paraId="046F8BB6" w14:textId="77777777" w:rsidR="00976744" w:rsidRDefault="00976744" w:rsidP="00735ECC">
      <w:pPr>
        <w:jc w:val="both"/>
      </w:pPr>
      <w:r>
        <w:t>Post repletion, regular assessments should be done to ensure that iron levels are corrected and maintained.</w:t>
      </w:r>
    </w:p>
    <w:p w14:paraId="32363101" w14:textId="77777777" w:rsidR="006E1633" w:rsidRDefault="006E1633" w:rsidP="00735ECC">
      <w:pPr>
        <w:jc w:val="both"/>
      </w:pPr>
    </w:p>
    <w:p w14:paraId="464F8628" w14:textId="77777777" w:rsidR="00976744" w:rsidRPr="00976744" w:rsidRDefault="00976744" w:rsidP="00735ECC">
      <w:pPr>
        <w:jc w:val="both"/>
        <w:rPr>
          <w:i/>
          <w:u w:val="single"/>
        </w:rPr>
      </w:pPr>
      <w:proofErr w:type="spellStart"/>
      <w:r w:rsidRPr="00976744">
        <w:rPr>
          <w:i/>
          <w:u w:val="single"/>
        </w:rPr>
        <w:t>Ganzoni</w:t>
      </w:r>
      <w:proofErr w:type="spellEnd"/>
      <w:r w:rsidRPr="00976744">
        <w:rPr>
          <w:i/>
          <w:u w:val="single"/>
        </w:rPr>
        <w:t xml:space="preserve"> Method</w:t>
      </w:r>
    </w:p>
    <w:p w14:paraId="73DA797B" w14:textId="77777777" w:rsidR="00976744" w:rsidRPr="009D47A0" w:rsidRDefault="00976744" w:rsidP="009C75D1">
      <w:pPr>
        <w:rPr>
          <w:sz w:val="22"/>
          <w:szCs w:val="22"/>
        </w:rPr>
      </w:pPr>
      <w:r w:rsidRPr="009D47A0">
        <w:rPr>
          <w:sz w:val="22"/>
          <w:szCs w:val="22"/>
        </w:rPr>
        <w:t xml:space="preserve">Cumulative Iron Dose = Body Weight </w:t>
      </w:r>
      <w:r w:rsidRPr="009D47A0">
        <w:rPr>
          <w:i/>
          <w:sz w:val="22"/>
          <w:szCs w:val="22"/>
        </w:rPr>
        <w:t>kg</w:t>
      </w:r>
      <w:r w:rsidRPr="009D47A0">
        <w:rPr>
          <w:sz w:val="22"/>
          <w:szCs w:val="22"/>
        </w:rPr>
        <w:t xml:space="preserve"> x (Target Hb – Actual Hb </w:t>
      </w:r>
      <w:r w:rsidRPr="009D47A0">
        <w:rPr>
          <w:i/>
          <w:sz w:val="22"/>
          <w:szCs w:val="22"/>
        </w:rPr>
        <w:t>g/L</w:t>
      </w:r>
      <w:r w:rsidRPr="009D47A0">
        <w:rPr>
          <w:sz w:val="22"/>
          <w:szCs w:val="22"/>
        </w:rPr>
        <w:t xml:space="preserve">) x 0.24 + Iron Stores </w:t>
      </w:r>
      <w:r w:rsidRPr="009D47A0">
        <w:rPr>
          <w:i/>
          <w:sz w:val="22"/>
          <w:szCs w:val="22"/>
        </w:rPr>
        <w:t>mg</w:t>
      </w:r>
    </w:p>
    <w:p w14:paraId="1F73526E" w14:textId="77777777" w:rsidR="00976744" w:rsidRDefault="00976744" w:rsidP="009C75D1">
      <w:pPr>
        <w:ind w:left="-720" w:firstLine="720"/>
      </w:pPr>
      <w:r>
        <w:t>where</w:t>
      </w:r>
    </w:p>
    <w:p w14:paraId="262E0B6C" w14:textId="77777777" w:rsidR="00976744" w:rsidRPr="009D47A0" w:rsidRDefault="00976744" w:rsidP="00735ECC">
      <w:pPr>
        <w:ind w:left="-720" w:firstLine="720"/>
        <w:jc w:val="both"/>
        <w:rPr>
          <w:sz w:val="22"/>
          <w:szCs w:val="22"/>
        </w:rPr>
      </w:pPr>
      <w:r w:rsidRPr="009D47A0">
        <w:rPr>
          <w:sz w:val="22"/>
          <w:szCs w:val="22"/>
        </w:rPr>
        <w:t>Target Hb = 130 g/L for body weight &lt;35 kg and 150 g/L for body weight ≥35 kg</w:t>
      </w:r>
    </w:p>
    <w:p w14:paraId="4F78F052" w14:textId="77777777" w:rsidR="00976744" w:rsidRPr="009D47A0" w:rsidRDefault="00976744" w:rsidP="00735ECC">
      <w:pPr>
        <w:jc w:val="both"/>
        <w:rPr>
          <w:sz w:val="22"/>
          <w:szCs w:val="22"/>
        </w:rPr>
      </w:pPr>
      <w:r w:rsidRPr="009D47A0">
        <w:rPr>
          <w:sz w:val="22"/>
          <w:szCs w:val="22"/>
        </w:rPr>
        <w:t>Iron Stores = 15 mg/kg body weight for body weight &lt;35 kg and 500 mg for body weight ≥35 kg.</w:t>
      </w:r>
    </w:p>
    <w:p w14:paraId="6DA85B91" w14:textId="0CFB27CD" w:rsidR="00976744" w:rsidRPr="009D47A0" w:rsidRDefault="00976744" w:rsidP="00735ECC">
      <w:pPr>
        <w:jc w:val="both"/>
        <w:rPr>
          <w:sz w:val="22"/>
          <w:szCs w:val="22"/>
        </w:rPr>
      </w:pPr>
      <w:r w:rsidRPr="009D47A0">
        <w:rPr>
          <w:sz w:val="22"/>
          <w:szCs w:val="22"/>
        </w:rPr>
        <w:t>Round down to nearest 100 mg if body weight ≤66 kg and round up to nearest 100 mg if body weight &gt;66 kg.</w:t>
      </w:r>
    </w:p>
    <w:p w14:paraId="6ECDCB73" w14:textId="1A328B43" w:rsidR="00976744" w:rsidRDefault="00976744" w:rsidP="00735ECC">
      <w:pPr>
        <w:jc w:val="both"/>
      </w:pPr>
      <w:r w:rsidRPr="00976744">
        <w:rPr>
          <w:i/>
          <w:u w:val="single"/>
        </w:rPr>
        <w:t>Simplified Method</w:t>
      </w:r>
      <w:r>
        <w:t xml:space="preserve"> (for patients of body weight ≥35 kg)</w:t>
      </w:r>
    </w:p>
    <w:p w14:paraId="6802EBB1" w14:textId="77777777" w:rsidR="00976744" w:rsidRDefault="00976744" w:rsidP="00735ECC">
      <w:pPr>
        <w:jc w:val="both"/>
      </w:pPr>
      <w:r>
        <w:t>The cumulative iron dose is determined according to the following table:</w:t>
      </w:r>
    </w:p>
    <w:tbl>
      <w:tblPr>
        <w:tblStyle w:val="TableGrid"/>
        <w:tblW w:w="0" w:type="auto"/>
        <w:tblInd w:w="-5" w:type="dxa"/>
        <w:tblLook w:val="04A0" w:firstRow="1" w:lastRow="0" w:firstColumn="1" w:lastColumn="0" w:noHBand="0" w:noVBand="1"/>
      </w:tblPr>
      <w:tblGrid>
        <w:gridCol w:w="3055"/>
        <w:gridCol w:w="3050"/>
        <w:gridCol w:w="3050"/>
      </w:tblGrid>
      <w:tr w:rsidR="00976744" w14:paraId="7F2F09B3" w14:textId="77777777" w:rsidTr="009C75D1">
        <w:tc>
          <w:tcPr>
            <w:tcW w:w="3055" w:type="dxa"/>
          </w:tcPr>
          <w:p w14:paraId="7BA2691F" w14:textId="77777777" w:rsidR="00976744" w:rsidRPr="00976744" w:rsidRDefault="00976744" w:rsidP="00735ECC">
            <w:pPr>
              <w:pStyle w:val="BodyText21"/>
              <w:ind w:left="0" w:right="-25"/>
              <w:rPr>
                <w:rFonts w:ascii="Times New Roman" w:hAnsi="Times New Roman"/>
                <w:b/>
              </w:rPr>
            </w:pPr>
            <w:r w:rsidRPr="00976744">
              <w:rPr>
                <w:rFonts w:ascii="Times New Roman" w:hAnsi="Times New Roman"/>
                <w:b/>
              </w:rPr>
              <w:t>Hb g/L</w:t>
            </w:r>
          </w:p>
        </w:tc>
        <w:tc>
          <w:tcPr>
            <w:tcW w:w="3050" w:type="dxa"/>
          </w:tcPr>
          <w:p w14:paraId="20A7BB08" w14:textId="20154E20" w:rsidR="00976744" w:rsidRPr="00976744" w:rsidRDefault="00976744" w:rsidP="00735ECC">
            <w:pPr>
              <w:pStyle w:val="BodyText21"/>
              <w:ind w:left="0" w:right="-25"/>
              <w:rPr>
                <w:rFonts w:ascii="Times New Roman" w:hAnsi="Times New Roman"/>
                <w:b/>
              </w:rPr>
            </w:pPr>
            <w:r w:rsidRPr="00976744">
              <w:rPr>
                <w:rFonts w:ascii="Times New Roman" w:hAnsi="Times New Roman"/>
                <w:b/>
              </w:rPr>
              <w:t>Body weight 35 to &lt;70 kg</w:t>
            </w:r>
          </w:p>
        </w:tc>
        <w:tc>
          <w:tcPr>
            <w:tcW w:w="3050" w:type="dxa"/>
          </w:tcPr>
          <w:p w14:paraId="5DBEE39E" w14:textId="77777777" w:rsidR="00976744" w:rsidRPr="00976744" w:rsidRDefault="00976744" w:rsidP="00735ECC">
            <w:pPr>
              <w:pStyle w:val="BodyText21"/>
              <w:ind w:left="0" w:right="-25"/>
              <w:rPr>
                <w:rFonts w:ascii="Times New Roman" w:hAnsi="Times New Roman"/>
                <w:b/>
              </w:rPr>
            </w:pPr>
            <w:r w:rsidRPr="00976744">
              <w:rPr>
                <w:rFonts w:ascii="Times New Roman" w:hAnsi="Times New Roman"/>
                <w:b/>
              </w:rPr>
              <w:t>Body weight ≥70 kg</w:t>
            </w:r>
          </w:p>
        </w:tc>
      </w:tr>
      <w:tr w:rsidR="00976744" w14:paraId="60838AD8" w14:textId="77777777" w:rsidTr="009C75D1">
        <w:tc>
          <w:tcPr>
            <w:tcW w:w="3055" w:type="dxa"/>
          </w:tcPr>
          <w:p w14:paraId="4A94080B" w14:textId="77777777" w:rsidR="00976744" w:rsidRPr="00976744" w:rsidRDefault="00976744" w:rsidP="00735ECC">
            <w:pPr>
              <w:pStyle w:val="BodyText21"/>
              <w:ind w:left="0" w:right="-25"/>
              <w:rPr>
                <w:rFonts w:ascii="Times New Roman" w:hAnsi="Times New Roman"/>
                <w:b/>
              </w:rPr>
            </w:pPr>
            <w:r w:rsidRPr="00976744">
              <w:rPr>
                <w:rFonts w:ascii="Times New Roman" w:hAnsi="Times New Roman"/>
                <w:b/>
              </w:rPr>
              <w:t>&lt;100</w:t>
            </w:r>
          </w:p>
        </w:tc>
        <w:tc>
          <w:tcPr>
            <w:tcW w:w="3050" w:type="dxa"/>
          </w:tcPr>
          <w:p w14:paraId="2C057D1E" w14:textId="77777777" w:rsidR="00976744" w:rsidRPr="00976744" w:rsidRDefault="00976744" w:rsidP="00735ECC">
            <w:pPr>
              <w:pStyle w:val="BodyText21"/>
              <w:ind w:left="0" w:right="-25"/>
              <w:rPr>
                <w:rFonts w:ascii="Times New Roman" w:hAnsi="Times New Roman"/>
              </w:rPr>
            </w:pPr>
            <w:r w:rsidRPr="00976744">
              <w:rPr>
                <w:rFonts w:ascii="Times New Roman" w:hAnsi="Times New Roman"/>
              </w:rPr>
              <w:t>1500 mg</w:t>
            </w:r>
          </w:p>
        </w:tc>
        <w:tc>
          <w:tcPr>
            <w:tcW w:w="3050" w:type="dxa"/>
          </w:tcPr>
          <w:p w14:paraId="699DA9AF" w14:textId="77777777" w:rsidR="00976744" w:rsidRPr="00976744" w:rsidRDefault="00976744" w:rsidP="00735ECC">
            <w:pPr>
              <w:pStyle w:val="BodyText21"/>
              <w:ind w:left="0" w:right="-25"/>
              <w:rPr>
                <w:rFonts w:ascii="Times New Roman" w:hAnsi="Times New Roman"/>
              </w:rPr>
            </w:pPr>
            <w:r w:rsidRPr="00976744">
              <w:rPr>
                <w:rFonts w:ascii="Times New Roman" w:hAnsi="Times New Roman"/>
              </w:rPr>
              <w:t>2000 mg</w:t>
            </w:r>
          </w:p>
        </w:tc>
      </w:tr>
      <w:tr w:rsidR="00976744" w14:paraId="61EB3802" w14:textId="77777777" w:rsidTr="009C75D1">
        <w:tc>
          <w:tcPr>
            <w:tcW w:w="3055" w:type="dxa"/>
          </w:tcPr>
          <w:p w14:paraId="31726C5E" w14:textId="77777777" w:rsidR="00976744" w:rsidRPr="00976744" w:rsidRDefault="00976744" w:rsidP="00735ECC">
            <w:pPr>
              <w:pStyle w:val="BodyText21"/>
              <w:ind w:left="0" w:right="-25"/>
              <w:rPr>
                <w:rFonts w:ascii="Times New Roman" w:hAnsi="Times New Roman"/>
              </w:rPr>
            </w:pPr>
            <w:r w:rsidRPr="00976744">
              <w:rPr>
                <w:rFonts w:ascii="Times New Roman" w:hAnsi="Times New Roman"/>
                <w:b/>
              </w:rPr>
              <w:t>≥100</w:t>
            </w:r>
          </w:p>
        </w:tc>
        <w:tc>
          <w:tcPr>
            <w:tcW w:w="3050" w:type="dxa"/>
          </w:tcPr>
          <w:p w14:paraId="0DB41B35" w14:textId="77777777" w:rsidR="00976744" w:rsidRPr="00976744" w:rsidRDefault="00976744" w:rsidP="00735ECC">
            <w:pPr>
              <w:pStyle w:val="BodyText21"/>
              <w:ind w:left="0" w:right="-25"/>
              <w:rPr>
                <w:rFonts w:ascii="Times New Roman" w:hAnsi="Times New Roman"/>
              </w:rPr>
            </w:pPr>
            <w:r w:rsidRPr="00976744">
              <w:rPr>
                <w:rFonts w:ascii="Times New Roman" w:hAnsi="Times New Roman"/>
              </w:rPr>
              <w:t>1000 mg</w:t>
            </w:r>
          </w:p>
        </w:tc>
        <w:tc>
          <w:tcPr>
            <w:tcW w:w="3050" w:type="dxa"/>
          </w:tcPr>
          <w:p w14:paraId="5184778D" w14:textId="77777777" w:rsidR="00976744" w:rsidRPr="00976744" w:rsidRDefault="00976744" w:rsidP="00735ECC">
            <w:pPr>
              <w:pStyle w:val="BodyText21"/>
              <w:ind w:left="0" w:right="-25"/>
              <w:rPr>
                <w:rFonts w:ascii="Times New Roman" w:hAnsi="Times New Roman"/>
              </w:rPr>
            </w:pPr>
            <w:r w:rsidRPr="00976744">
              <w:rPr>
                <w:rFonts w:ascii="Times New Roman" w:hAnsi="Times New Roman"/>
              </w:rPr>
              <w:t>1500 mg</w:t>
            </w:r>
          </w:p>
        </w:tc>
      </w:tr>
    </w:tbl>
    <w:p w14:paraId="2315BCEC" w14:textId="77777777" w:rsidR="00196E5B" w:rsidRPr="00976744" w:rsidRDefault="00196E5B" w:rsidP="00196E5B">
      <w:pPr>
        <w:spacing w:before="0"/>
        <w:jc w:val="both"/>
      </w:pPr>
      <w:r w:rsidRPr="00976744">
        <w:t>For patients with an Hb value ≥140 g/L, an initial dose of 500 mg iron should be given and iron parameters should be checked prior to repeat dosing.</w:t>
      </w:r>
    </w:p>
    <w:p w14:paraId="37829098" w14:textId="77777777" w:rsidR="00976744" w:rsidRPr="009C75D1" w:rsidRDefault="00976744" w:rsidP="00735ECC">
      <w:pPr>
        <w:pStyle w:val="Heading3"/>
        <w:numPr>
          <w:ilvl w:val="0"/>
          <w:numId w:val="0"/>
        </w:numPr>
        <w:jc w:val="both"/>
      </w:pPr>
      <w:r w:rsidRPr="009C75D1">
        <w:t>Intravenous injection</w:t>
      </w:r>
    </w:p>
    <w:p w14:paraId="26F1EF30" w14:textId="77777777" w:rsidR="00976744" w:rsidRDefault="00976744" w:rsidP="00735ECC">
      <w:pPr>
        <w:spacing w:before="0"/>
        <w:jc w:val="both"/>
      </w:pPr>
      <w:r>
        <w:t>FERINJECT may be administered by intravenous injection using undiluted solution up to a maximum single dose of 1,000 mg iron (up to a maximum of 20 mg iron/kg body weight). For doses greater than 200 and up to 500 mg iron, FERINJECT should be administered at a rate of 100 mg iron/min. For doses greater than 500 and up to 1,000 mg iron, FERINJECT should be administered over 15 minutes. Do not administer more than 1,000 mg of iron per week.</w:t>
      </w:r>
    </w:p>
    <w:p w14:paraId="2A71C15B" w14:textId="77777777" w:rsidR="00976744" w:rsidRPr="009C75D1" w:rsidRDefault="00976744" w:rsidP="00735ECC">
      <w:pPr>
        <w:pStyle w:val="Heading3"/>
        <w:numPr>
          <w:ilvl w:val="0"/>
          <w:numId w:val="0"/>
        </w:numPr>
        <w:jc w:val="both"/>
      </w:pPr>
      <w:r w:rsidRPr="009C75D1">
        <w:t>Intravenous infusion</w:t>
      </w:r>
    </w:p>
    <w:p w14:paraId="69138D62" w14:textId="77777777" w:rsidR="00976744" w:rsidRDefault="00976744" w:rsidP="00735ECC">
      <w:pPr>
        <w:spacing w:before="0"/>
        <w:jc w:val="both"/>
      </w:pPr>
      <w:r>
        <w:t>FERINJECT may be administered by intravenous infusion up to a maximum single dose of 1,000 mg iron (up to a maximum of 20 mg iron/kg body weight). Do not administer more than 1,000 mg iron per week.</w:t>
      </w:r>
    </w:p>
    <w:p w14:paraId="2E23D3D3" w14:textId="77777777" w:rsidR="00976744" w:rsidRPr="009C75D1" w:rsidRDefault="00976744" w:rsidP="00735ECC">
      <w:pPr>
        <w:pStyle w:val="Heading3"/>
        <w:numPr>
          <w:ilvl w:val="0"/>
          <w:numId w:val="0"/>
        </w:numPr>
        <w:jc w:val="both"/>
      </w:pPr>
      <w:proofErr w:type="spellStart"/>
      <w:r w:rsidRPr="009C75D1">
        <w:t>Haemodialysis</w:t>
      </w:r>
      <w:proofErr w:type="spellEnd"/>
      <w:r w:rsidRPr="009C75D1">
        <w:t xml:space="preserve">-dependent chronic kidney disease </w:t>
      </w:r>
    </w:p>
    <w:p w14:paraId="2F821CB8" w14:textId="77777777" w:rsidR="00976744" w:rsidRDefault="00976744" w:rsidP="00735ECC">
      <w:pPr>
        <w:spacing w:before="0"/>
        <w:jc w:val="both"/>
      </w:pPr>
      <w:r>
        <w:t xml:space="preserve">In </w:t>
      </w:r>
      <w:proofErr w:type="spellStart"/>
      <w:r>
        <w:t>haemodialysis</w:t>
      </w:r>
      <w:proofErr w:type="spellEnd"/>
      <w:r>
        <w:t>-dependent chronic kidney disease patients, a single daily injection of FERINJECT should not exceed 200 mg iron.</w:t>
      </w:r>
    </w:p>
    <w:p w14:paraId="576BD603" w14:textId="77777777" w:rsidR="00196E5B" w:rsidRPr="008437DD" w:rsidRDefault="00196E5B" w:rsidP="00196E5B">
      <w:pPr>
        <w:pStyle w:val="Heading3"/>
        <w:numPr>
          <w:ilvl w:val="0"/>
          <w:numId w:val="0"/>
        </w:numPr>
        <w:jc w:val="both"/>
      </w:pPr>
      <w:r w:rsidRPr="008437DD">
        <w:t>Pregnancy</w:t>
      </w:r>
    </w:p>
    <w:p w14:paraId="5EFE19EA" w14:textId="77777777" w:rsidR="00196E5B" w:rsidRDefault="00196E5B" w:rsidP="00196E5B">
      <w:pPr>
        <w:spacing w:before="0"/>
        <w:jc w:val="both"/>
      </w:pPr>
      <w:r>
        <w:t>It is recommended that the maximum cumulative dose in pregnant patients is restricted to 1000mg or 1500 mg depending on baseline haemoglobin concentration and body weight.</w:t>
      </w:r>
    </w:p>
    <w:p w14:paraId="4F24B18F" w14:textId="55350444" w:rsidR="00976744" w:rsidRDefault="00196E5B" w:rsidP="00196E5B">
      <w:pPr>
        <w:jc w:val="both"/>
      </w:pPr>
      <w:r>
        <w:t>Recommended maximum cumulative dose in pregnancy is as follows:</w:t>
      </w:r>
    </w:p>
    <w:tbl>
      <w:tblPr>
        <w:tblStyle w:val="TableGrid"/>
        <w:tblW w:w="0" w:type="auto"/>
        <w:jc w:val="center"/>
        <w:tblLook w:val="04A0" w:firstRow="1" w:lastRow="0" w:firstColumn="1" w:lastColumn="0" w:noHBand="0" w:noVBand="1"/>
      </w:tblPr>
      <w:tblGrid>
        <w:gridCol w:w="3120"/>
        <w:gridCol w:w="3131"/>
        <w:gridCol w:w="3131"/>
      </w:tblGrid>
      <w:tr w:rsidR="009C75D1" w:rsidRPr="009C75D1" w14:paraId="7B10A695" w14:textId="77777777" w:rsidTr="00D876F1">
        <w:trPr>
          <w:jc w:val="center"/>
        </w:trPr>
        <w:tc>
          <w:tcPr>
            <w:tcW w:w="3149" w:type="dxa"/>
          </w:tcPr>
          <w:p w14:paraId="4DBC95E9" w14:textId="77777777" w:rsidR="009C75D1" w:rsidRPr="009C75D1" w:rsidRDefault="009C75D1" w:rsidP="00735ECC">
            <w:pPr>
              <w:pStyle w:val="BodyText21"/>
              <w:ind w:left="0" w:right="-25"/>
              <w:rPr>
                <w:rFonts w:ascii="Times New Roman" w:hAnsi="Times New Roman"/>
                <w:b/>
              </w:rPr>
            </w:pPr>
            <w:r w:rsidRPr="009C75D1">
              <w:rPr>
                <w:rFonts w:ascii="Times New Roman" w:hAnsi="Times New Roman"/>
                <w:b/>
              </w:rPr>
              <w:t>Hb g/L</w:t>
            </w:r>
          </w:p>
        </w:tc>
        <w:tc>
          <w:tcPr>
            <w:tcW w:w="3157" w:type="dxa"/>
          </w:tcPr>
          <w:p w14:paraId="56CFF91D" w14:textId="2AE026B7" w:rsidR="009C75D1" w:rsidRPr="009C75D1" w:rsidRDefault="009C75D1" w:rsidP="00735ECC">
            <w:pPr>
              <w:pStyle w:val="BodyText21"/>
              <w:ind w:left="0" w:right="-25"/>
              <w:rPr>
                <w:rFonts w:ascii="Times New Roman" w:hAnsi="Times New Roman"/>
                <w:b/>
              </w:rPr>
            </w:pPr>
            <w:r w:rsidRPr="009C75D1">
              <w:rPr>
                <w:rFonts w:ascii="Times New Roman" w:hAnsi="Times New Roman"/>
                <w:b/>
              </w:rPr>
              <w:t>Body weight &lt;66 kg</w:t>
            </w:r>
          </w:p>
        </w:tc>
        <w:tc>
          <w:tcPr>
            <w:tcW w:w="3157" w:type="dxa"/>
          </w:tcPr>
          <w:p w14:paraId="0394B5D7" w14:textId="743A1285" w:rsidR="009C75D1" w:rsidRPr="009C75D1" w:rsidRDefault="009C75D1" w:rsidP="00735ECC">
            <w:pPr>
              <w:pStyle w:val="BodyText21"/>
              <w:ind w:left="0" w:right="-25"/>
              <w:rPr>
                <w:rFonts w:ascii="Times New Roman" w:hAnsi="Times New Roman"/>
                <w:b/>
              </w:rPr>
            </w:pPr>
            <w:r w:rsidRPr="009C75D1">
              <w:rPr>
                <w:rFonts w:ascii="Times New Roman" w:hAnsi="Times New Roman"/>
                <w:b/>
              </w:rPr>
              <w:t>Body weight ≥66 kg</w:t>
            </w:r>
          </w:p>
        </w:tc>
      </w:tr>
      <w:tr w:rsidR="009C75D1" w:rsidRPr="009C75D1" w14:paraId="6DCAADC0" w14:textId="77777777" w:rsidTr="00D876F1">
        <w:trPr>
          <w:jc w:val="center"/>
        </w:trPr>
        <w:tc>
          <w:tcPr>
            <w:tcW w:w="3149" w:type="dxa"/>
          </w:tcPr>
          <w:p w14:paraId="48D3AC26" w14:textId="77777777" w:rsidR="009C75D1" w:rsidRPr="009C75D1" w:rsidRDefault="009C75D1" w:rsidP="00735ECC">
            <w:pPr>
              <w:pStyle w:val="BodyText21"/>
              <w:ind w:left="0" w:right="-25"/>
              <w:rPr>
                <w:rFonts w:ascii="Times New Roman" w:hAnsi="Times New Roman"/>
                <w:b/>
              </w:rPr>
            </w:pPr>
            <w:r w:rsidRPr="009C75D1">
              <w:rPr>
                <w:rFonts w:ascii="Times New Roman" w:hAnsi="Times New Roman"/>
                <w:b/>
              </w:rPr>
              <w:t>&lt;90</w:t>
            </w:r>
          </w:p>
        </w:tc>
        <w:tc>
          <w:tcPr>
            <w:tcW w:w="3157" w:type="dxa"/>
          </w:tcPr>
          <w:p w14:paraId="7B7FF7C1" w14:textId="77777777" w:rsidR="009C75D1" w:rsidRPr="009C75D1" w:rsidRDefault="009C75D1" w:rsidP="00735ECC">
            <w:pPr>
              <w:pStyle w:val="BodyText21"/>
              <w:ind w:left="0" w:right="-25"/>
              <w:rPr>
                <w:rFonts w:ascii="Times New Roman" w:hAnsi="Times New Roman"/>
              </w:rPr>
            </w:pPr>
            <w:r w:rsidRPr="009C75D1">
              <w:rPr>
                <w:rFonts w:ascii="Times New Roman" w:hAnsi="Times New Roman"/>
              </w:rPr>
              <w:t>3 x 500 mg</w:t>
            </w:r>
          </w:p>
        </w:tc>
        <w:tc>
          <w:tcPr>
            <w:tcW w:w="3157" w:type="dxa"/>
          </w:tcPr>
          <w:p w14:paraId="7750B207" w14:textId="77777777" w:rsidR="009C75D1" w:rsidRPr="009C75D1" w:rsidRDefault="009C75D1" w:rsidP="00735ECC">
            <w:pPr>
              <w:pStyle w:val="BodyText21"/>
              <w:ind w:left="0" w:right="-25"/>
              <w:rPr>
                <w:rFonts w:ascii="Times New Roman" w:hAnsi="Times New Roman"/>
              </w:rPr>
            </w:pPr>
            <w:r w:rsidRPr="009C75D1">
              <w:rPr>
                <w:rFonts w:ascii="Times New Roman" w:hAnsi="Times New Roman"/>
              </w:rPr>
              <w:t>1 x 1000 mg, 1 x 500 mg</w:t>
            </w:r>
          </w:p>
        </w:tc>
      </w:tr>
      <w:tr w:rsidR="009C75D1" w:rsidRPr="009C75D1" w14:paraId="47E81F72" w14:textId="77777777" w:rsidTr="00D876F1">
        <w:trPr>
          <w:jc w:val="center"/>
        </w:trPr>
        <w:tc>
          <w:tcPr>
            <w:tcW w:w="3149" w:type="dxa"/>
          </w:tcPr>
          <w:p w14:paraId="13789EA8" w14:textId="77777777" w:rsidR="009C75D1" w:rsidRPr="009C75D1" w:rsidRDefault="009C75D1" w:rsidP="00735ECC">
            <w:pPr>
              <w:pStyle w:val="BodyText21"/>
              <w:ind w:left="0" w:right="-25"/>
              <w:rPr>
                <w:rFonts w:ascii="Times New Roman" w:hAnsi="Times New Roman"/>
              </w:rPr>
            </w:pPr>
            <w:r w:rsidRPr="009C75D1">
              <w:rPr>
                <w:rFonts w:ascii="Times New Roman" w:hAnsi="Times New Roman"/>
                <w:b/>
              </w:rPr>
              <w:t>≥90</w:t>
            </w:r>
          </w:p>
        </w:tc>
        <w:tc>
          <w:tcPr>
            <w:tcW w:w="3157" w:type="dxa"/>
          </w:tcPr>
          <w:p w14:paraId="156B48E8" w14:textId="77777777" w:rsidR="009C75D1" w:rsidRPr="009C75D1" w:rsidRDefault="009C75D1" w:rsidP="00735ECC">
            <w:pPr>
              <w:pStyle w:val="BodyText21"/>
              <w:ind w:left="0" w:right="-25"/>
              <w:rPr>
                <w:rFonts w:ascii="Times New Roman" w:hAnsi="Times New Roman"/>
              </w:rPr>
            </w:pPr>
            <w:r w:rsidRPr="009C75D1">
              <w:rPr>
                <w:rFonts w:ascii="Times New Roman" w:hAnsi="Times New Roman"/>
              </w:rPr>
              <w:t>2 x 500 mg</w:t>
            </w:r>
          </w:p>
        </w:tc>
        <w:tc>
          <w:tcPr>
            <w:tcW w:w="3157" w:type="dxa"/>
          </w:tcPr>
          <w:p w14:paraId="4FD8B6C2" w14:textId="77777777" w:rsidR="009C75D1" w:rsidRPr="009C75D1" w:rsidRDefault="009C75D1" w:rsidP="00735ECC">
            <w:pPr>
              <w:pStyle w:val="BodyText21"/>
              <w:ind w:left="0" w:right="-25"/>
              <w:rPr>
                <w:rFonts w:ascii="Times New Roman" w:hAnsi="Times New Roman"/>
              </w:rPr>
            </w:pPr>
            <w:r w:rsidRPr="009C75D1">
              <w:rPr>
                <w:rFonts w:ascii="Times New Roman" w:hAnsi="Times New Roman"/>
              </w:rPr>
              <w:t>1 x 1000 mg</w:t>
            </w:r>
          </w:p>
        </w:tc>
      </w:tr>
    </w:tbl>
    <w:p w14:paraId="2F0B32A1" w14:textId="77777777" w:rsidR="00976744" w:rsidRPr="008437DD" w:rsidRDefault="00976744" w:rsidP="00735ECC">
      <w:pPr>
        <w:pStyle w:val="Heading3"/>
        <w:numPr>
          <w:ilvl w:val="0"/>
          <w:numId w:val="0"/>
        </w:numPr>
        <w:jc w:val="both"/>
      </w:pPr>
      <w:r w:rsidRPr="008437DD">
        <w:t>Method of administration</w:t>
      </w:r>
    </w:p>
    <w:p w14:paraId="5BA218A3" w14:textId="77777777" w:rsidR="00976744" w:rsidRDefault="00976744" w:rsidP="00735ECC">
      <w:pPr>
        <w:spacing w:before="0"/>
        <w:jc w:val="both"/>
      </w:pPr>
      <w:r>
        <w:t xml:space="preserve">FERINJECT must be administered only by the intravenous route: by bolus injection, or during a </w:t>
      </w:r>
      <w:proofErr w:type="spellStart"/>
      <w:r>
        <w:t>haemodialysis</w:t>
      </w:r>
      <w:proofErr w:type="spellEnd"/>
      <w:r>
        <w:t xml:space="preserve"> session undiluted directly into the venous limb of the </w:t>
      </w:r>
      <w:proofErr w:type="spellStart"/>
      <w:r>
        <w:t>dialyser</w:t>
      </w:r>
      <w:proofErr w:type="spellEnd"/>
      <w:r>
        <w:t xml:space="preserve">, or by infusion. </w:t>
      </w:r>
      <w:r>
        <w:lastRenderedPageBreak/>
        <w:t>In case of infusion FERINJECT must be diluted only in sterile 0.9% m/V sodium chloride solution as follows:</w:t>
      </w:r>
    </w:p>
    <w:p w14:paraId="7498105C" w14:textId="77777777" w:rsidR="00976744" w:rsidRPr="008437DD" w:rsidRDefault="00976744" w:rsidP="009B1033">
      <w:pPr>
        <w:pStyle w:val="Heading3"/>
        <w:numPr>
          <w:ilvl w:val="0"/>
          <w:numId w:val="0"/>
        </w:numPr>
      </w:pPr>
      <w:r w:rsidRPr="008437DD">
        <w:t>Dilution plan of FERINJECT for intravenous infusion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296"/>
        <w:gridCol w:w="2694"/>
        <w:gridCol w:w="1984"/>
      </w:tblGrid>
      <w:tr w:rsidR="008437DD" w:rsidRPr="008437DD" w14:paraId="60455D41" w14:textId="77777777" w:rsidTr="00735ECC">
        <w:trPr>
          <w:cantSplit/>
        </w:trPr>
        <w:tc>
          <w:tcPr>
            <w:tcW w:w="2127" w:type="dxa"/>
            <w:tcBorders>
              <w:bottom w:val="single" w:sz="4" w:space="0" w:color="auto"/>
            </w:tcBorders>
          </w:tcPr>
          <w:p w14:paraId="08B88FE3" w14:textId="77777777" w:rsidR="008437DD" w:rsidRPr="008437DD" w:rsidRDefault="008437DD" w:rsidP="00D876F1">
            <w:pPr>
              <w:pStyle w:val="BodyText21"/>
              <w:ind w:left="0" w:right="-25"/>
              <w:jc w:val="both"/>
              <w:rPr>
                <w:rFonts w:ascii="Times New Roman" w:hAnsi="Times New Roman"/>
                <w:lang w:val="en-US"/>
              </w:rPr>
            </w:pPr>
          </w:p>
          <w:p w14:paraId="2B74B1B0" w14:textId="77777777" w:rsidR="008437DD" w:rsidRPr="008437DD" w:rsidRDefault="008437DD" w:rsidP="00D876F1">
            <w:pPr>
              <w:pStyle w:val="BodyText21"/>
              <w:ind w:left="0" w:right="-25"/>
              <w:jc w:val="both"/>
              <w:rPr>
                <w:rFonts w:ascii="Times New Roman" w:hAnsi="Times New Roman"/>
                <w:lang w:val="en-US"/>
              </w:rPr>
            </w:pPr>
            <w:r w:rsidRPr="008437DD">
              <w:rPr>
                <w:rFonts w:ascii="Times New Roman" w:hAnsi="Times New Roman"/>
                <w:lang w:val="en-US"/>
              </w:rPr>
              <w:t>FERINJECT</w:t>
            </w:r>
          </w:p>
        </w:tc>
        <w:tc>
          <w:tcPr>
            <w:tcW w:w="2296" w:type="dxa"/>
            <w:tcBorders>
              <w:bottom w:val="single" w:sz="4" w:space="0" w:color="auto"/>
            </w:tcBorders>
          </w:tcPr>
          <w:p w14:paraId="36D16596" w14:textId="77777777" w:rsidR="008437DD" w:rsidRPr="008437DD" w:rsidRDefault="008437DD" w:rsidP="00D876F1">
            <w:pPr>
              <w:pStyle w:val="BodyText21"/>
              <w:ind w:left="0" w:right="-25"/>
              <w:jc w:val="both"/>
              <w:rPr>
                <w:rFonts w:ascii="Times New Roman" w:hAnsi="Times New Roman"/>
                <w:lang w:val="en-US"/>
              </w:rPr>
            </w:pPr>
          </w:p>
          <w:p w14:paraId="1A32EB42" w14:textId="77777777" w:rsidR="008437DD" w:rsidRPr="008437DD" w:rsidRDefault="008437DD" w:rsidP="00D876F1">
            <w:pPr>
              <w:pStyle w:val="BodyText21"/>
              <w:ind w:left="0" w:right="-25"/>
              <w:jc w:val="both"/>
              <w:rPr>
                <w:rFonts w:ascii="Times New Roman" w:hAnsi="Times New Roman"/>
                <w:lang w:val="en-US"/>
              </w:rPr>
            </w:pPr>
            <w:r w:rsidRPr="008437DD">
              <w:rPr>
                <w:rFonts w:ascii="Times New Roman" w:hAnsi="Times New Roman"/>
                <w:lang w:val="en-US"/>
              </w:rPr>
              <w:t>Iron</w:t>
            </w:r>
          </w:p>
        </w:tc>
        <w:tc>
          <w:tcPr>
            <w:tcW w:w="2694" w:type="dxa"/>
            <w:tcBorders>
              <w:bottom w:val="single" w:sz="4" w:space="0" w:color="auto"/>
            </w:tcBorders>
          </w:tcPr>
          <w:p w14:paraId="2E780C8F" w14:textId="77777777" w:rsidR="008437DD" w:rsidRPr="008437DD" w:rsidRDefault="008437DD" w:rsidP="008437DD">
            <w:pPr>
              <w:pStyle w:val="BodyText21"/>
              <w:ind w:left="0" w:right="-25"/>
              <w:jc w:val="center"/>
              <w:rPr>
                <w:rFonts w:ascii="Times New Roman" w:hAnsi="Times New Roman"/>
              </w:rPr>
            </w:pPr>
            <w:r w:rsidRPr="008437DD">
              <w:rPr>
                <w:rFonts w:ascii="Times New Roman" w:hAnsi="Times New Roman"/>
              </w:rPr>
              <w:t>Maximum amount of sterile 0.9% m/V sodium chloride solution</w:t>
            </w:r>
          </w:p>
        </w:tc>
        <w:tc>
          <w:tcPr>
            <w:tcW w:w="1984" w:type="dxa"/>
            <w:tcBorders>
              <w:bottom w:val="single" w:sz="4" w:space="0" w:color="auto"/>
            </w:tcBorders>
          </w:tcPr>
          <w:p w14:paraId="4E868BA9" w14:textId="77777777" w:rsidR="008437DD" w:rsidRPr="008437DD" w:rsidRDefault="008437DD" w:rsidP="008437DD">
            <w:pPr>
              <w:pStyle w:val="BodyText21"/>
              <w:ind w:left="0" w:right="-25"/>
              <w:jc w:val="center"/>
              <w:rPr>
                <w:rFonts w:ascii="Times New Roman" w:hAnsi="Times New Roman"/>
                <w:lang w:val="en-US"/>
              </w:rPr>
            </w:pPr>
            <w:r w:rsidRPr="008437DD">
              <w:rPr>
                <w:rFonts w:ascii="Times New Roman" w:hAnsi="Times New Roman"/>
                <w:lang w:val="en-US"/>
              </w:rPr>
              <w:t>Minimum</w:t>
            </w:r>
          </w:p>
          <w:p w14:paraId="1AA8B7B3" w14:textId="77777777" w:rsidR="008437DD" w:rsidRPr="008437DD" w:rsidRDefault="008437DD" w:rsidP="008437DD">
            <w:pPr>
              <w:pStyle w:val="BodyText21"/>
              <w:ind w:left="0" w:right="-25"/>
              <w:jc w:val="center"/>
              <w:rPr>
                <w:rFonts w:ascii="Times New Roman" w:hAnsi="Times New Roman"/>
                <w:lang w:val="en-US"/>
              </w:rPr>
            </w:pPr>
            <w:r w:rsidRPr="008437DD">
              <w:rPr>
                <w:rFonts w:ascii="Times New Roman" w:hAnsi="Times New Roman"/>
                <w:lang w:val="en-US"/>
              </w:rPr>
              <w:t>administration</w:t>
            </w:r>
          </w:p>
          <w:p w14:paraId="559C17AE" w14:textId="77777777" w:rsidR="008437DD" w:rsidRPr="008437DD" w:rsidRDefault="008437DD" w:rsidP="008437DD">
            <w:pPr>
              <w:pStyle w:val="BodyText21"/>
              <w:ind w:left="0" w:right="-25"/>
              <w:jc w:val="center"/>
              <w:rPr>
                <w:rFonts w:ascii="Times New Roman" w:hAnsi="Times New Roman"/>
                <w:lang w:val="en-US"/>
              </w:rPr>
            </w:pPr>
            <w:r w:rsidRPr="008437DD">
              <w:rPr>
                <w:rFonts w:ascii="Times New Roman" w:hAnsi="Times New Roman"/>
                <w:lang w:val="en-US"/>
              </w:rPr>
              <w:t>time</w:t>
            </w:r>
          </w:p>
        </w:tc>
      </w:tr>
      <w:tr w:rsidR="008437DD" w:rsidRPr="008437DD" w14:paraId="2D4E0B82" w14:textId="77777777" w:rsidTr="00735ECC">
        <w:trPr>
          <w:cantSplit/>
        </w:trPr>
        <w:tc>
          <w:tcPr>
            <w:tcW w:w="2127" w:type="dxa"/>
            <w:tcBorders>
              <w:top w:val="single" w:sz="4" w:space="0" w:color="auto"/>
              <w:left w:val="single" w:sz="4" w:space="0" w:color="auto"/>
              <w:bottom w:val="single" w:sz="4" w:space="0" w:color="auto"/>
              <w:right w:val="single" w:sz="4" w:space="0" w:color="auto"/>
            </w:tcBorders>
          </w:tcPr>
          <w:p w14:paraId="601767CB" w14:textId="77777777" w:rsidR="008437DD" w:rsidRPr="008437DD" w:rsidRDefault="008437DD" w:rsidP="00D876F1">
            <w:pPr>
              <w:pStyle w:val="BodyText21"/>
              <w:ind w:left="0" w:right="-25"/>
              <w:rPr>
                <w:rFonts w:ascii="Times New Roman" w:hAnsi="Times New Roman"/>
                <w:lang w:val="en-US"/>
              </w:rPr>
            </w:pPr>
            <w:r w:rsidRPr="008437DD">
              <w:rPr>
                <w:rFonts w:ascii="Times New Roman" w:hAnsi="Times New Roman"/>
                <w:lang w:val="en-US"/>
              </w:rPr>
              <w:t xml:space="preserve">  2  to   4 mL</w:t>
            </w:r>
          </w:p>
        </w:tc>
        <w:tc>
          <w:tcPr>
            <w:tcW w:w="2296" w:type="dxa"/>
            <w:tcBorders>
              <w:top w:val="single" w:sz="4" w:space="0" w:color="auto"/>
              <w:left w:val="single" w:sz="4" w:space="0" w:color="auto"/>
              <w:bottom w:val="single" w:sz="4" w:space="0" w:color="auto"/>
              <w:right w:val="single" w:sz="4" w:space="0" w:color="auto"/>
            </w:tcBorders>
          </w:tcPr>
          <w:p w14:paraId="7CF5C723" w14:textId="77777777" w:rsidR="008437DD" w:rsidRPr="008437DD" w:rsidRDefault="008437DD" w:rsidP="00D876F1">
            <w:pPr>
              <w:pStyle w:val="BodyText21"/>
              <w:ind w:left="0" w:right="-25"/>
              <w:rPr>
                <w:rFonts w:ascii="Times New Roman" w:hAnsi="Times New Roman"/>
                <w:lang w:val="en-US"/>
              </w:rPr>
            </w:pPr>
            <w:r w:rsidRPr="008437DD">
              <w:rPr>
                <w:rFonts w:ascii="Times New Roman" w:hAnsi="Times New Roman"/>
                <w:lang w:val="en-US"/>
              </w:rPr>
              <w:t xml:space="preserve">  100 to    200 mg</w:t>
            </w:r>
          </w:p>
        </w:tc>
        <w:tc>
          <w:tcPr>
            <w:tcW w:w="2694" w:type="dxa"/>
            <w:tcBorders>
              <w:top w:val="single" w:sz="4" w:space="0" w:color="auto"/>
              <w:left w:val="single" w:sz="4" w:space="0" w:color="auto"/>
              <w:bottom w:val="single" w:sz="4" w:space="0" w:color="auto"/>
              <w:right w:val="single" w:sz="4" w:space="0" w:color="auto"/>
            </w:tcBorders>
          </w:tcPr>
          <w:p w14:paraId="7BE5753C" w14:textId="77777777" w:rsidR="008437DD" w:rsidRPr="008437DD" w:rsidRDefault="008437DD" w:rsidP="008437DD">
            <w:pPr>
              <w:pStyle w:val="BodyText21"/>
              <w:ind w:left="0" w:right="-25"/>
              <w:jc w:val="center"/>
              <w:rPr>
                <w:rFonts w:ascii="Times New Roman" w:hAnsi="Times New Roman"/>
                <w:lang w:val="en-US"/>
              </w:rPr>
            </w:pPr>
            <w:r w:rsidRPr="008437DD">
              <w:rPr>
                <w:rFonts w:ascii="Times New Roman" w:hAnsi="Times New Roman"/>
                <w:lang w:val="en-US"/>
              </w:rPr>
              <w:t>50 mL</w:t>
            </w:r>
          </w:p>
        </w:tc>
        <w:tc>
          <w:tcPr>
            <w:tcW w:w="1984" w:type="dxa"/>
            <w:tcBorders>
              <w:top w:val="single" w:sz="4" w:space="0" w:color="auto"/>
              <w:left w:val="single" w:sz="4" w:space="0" w:color="auto"/>
              <w:bottom w:val="single" w:sz="4" w:space="0" w:color="auto"/>
              <w:right w:val="single" w:sz="4" w:space="0" w:color="auto"/>
            </w:tcBorders>
          </w:tcPr>
          <w:p w14:paraId="2CCF71D0" w14:textId="77777777" w:rsidR="008437DD" w:rsidRPr="008437DD" w:rsidRDefault="008437DD" w:rsidP="008437DD">
            <w:pPr>
              <w:pStyle w:val="BodyText21"/>
              <w:ind w:left="0" w:right="-25"/>
              <w:jc w:val="center"/>
              <w:rPr>
                <w:rFonts w:ascii="Times New Roman" w:hAnsi="Times New Roman"/>
                <w:lang w:val="en-US"/>
              </w:rPr>
            </w:pPr>
            <w:r w:rsidRPr="008437DD">
              <w:rPr>
                <w:rFonts w:ascii="Times New Roman" w:hAnsi="Times New Roman"/>
                <w:lang w:val="en-US"/>
              </w:rPr>
              <w:t>3 minutes</w:t>
            </w:r>
          </w:p>
        </w:tc>
      </w:tr>
      <w:tr w:rsidR="008437DD" w:rsidRPr="008437DD" w14:paraId="486896F8" w14:textId="77777777" w:rsidTr="00735ECC">
        <w:trPr>
          <w:cantSplit/>
        </w:trPr>
        <w:tc>
          <w:tcPr>
            <w:tcW w:w="2127" w:type="dxa"/>
            <w:tcBorders>
              <w:top w:val="single" w:sz="4" w:space="0" w:color="auto"/>
              <w:left w:val="single" w:sz="4" w:space="0" w:color="auto"/>
              <w:bottom w:val="single" w:sz="4" w:space="0" w:color="auto"/>
              <w:right w:val="single" w:sz="4" w:space="0" w:color="auto"/>
            </w:tcBorders>
          </w:tcPr>
          <w:p w14:paraId="261C56FD" w14:textId="77777777" w:rsidR="008437DD" w:rsidRPr="008437DD" w:rsidRDefault="008437DD" w:rsidP="00D876F1">
            <w:pPr>
              <w:pStyle w:val="BodyText21"/>
              <w:ind w:left="0" w:right="-25"/>
              <w:rPr>
                <w:rFonts w:ascii="Times New Roman" w:hAnsi="Times New Roman"/>
                <w:lang w:val="en-US"/>
              </w:rPr>
            </w:pPr>
            <w:r w:rsidRPr="008437DD">
              <w:rPr>
                <w:rFonts w:ascii="Times New Roman" w:hAnsi="Times New Roman"/>
                <w:lang w:val="en-US"/>
              </w:rPr>
              <w:t>&gt;4  to 10 mL</w:t>
            </w:r>
          </w:p>
        </w:tc>
        <w:tc>
          <w:tcPr>
            <w:tcW w:w="2296" w:type="dxa"/>
            <w:tcBorders>
              <w:top w:val="single" w:sz="4" w:space="0" w:color="auto"/>
              <w:left w:val="single" w:sz="4" w:space="0" w:color="auto"/>
              <w:bottom w:val="single" w:sz="4" w:space="0" w:color="auto"/>
              <w:right w:val="single" w:sz="4" w:space="0" w:color="auto"/>
            </w:tcBorders>
          </w:tcPr>
          <w:p w14:paraId="2841FCCE" w14:textId="77777777" w:rsidR="008437DD" w:rsidRPr="008437DD" w:rsidRDefault="008437DD" w:rsidP="00D876F1">
            <w:pPr>
              <w:pStyle w:val="BodyText21"/>
              <w:ind w:left="0" w:right="-25"/>
              <w:rPr>
                <w:rFonts w:ascii="Times New Roman" w:hAnsi="Times New Roman"/>
                <w:lang w:val="en-US"/>
              </w:rPr>
            </w:pPr>
            <w:r w:rsidRPr="008437DD">
              <w:rPr>
                <w:rFonts w:ascii="Times New Roman" w:hAnsi="Times New Roman"/>
                <w:lang w:val="en-US"/>
              </w:rPr>
              <w:t>&gt;200 to    500 mg</w:t>
            </w:r>
          </w:p>
        </w:tc>
        <w:tc>
          <w:tcPr>
            <w:tcW w:w="2694" w:type="dxa"/>
            <w:tcBorders>
              <w:top w:val="single" w:sz="4" w:space="0" w:color="auto"/>
              <w:left w:val="single" w:sz="4" w:space="0" w:color="auto"/>
              <w:bottom w:val="single" w:sz="4" w:space="0" w:color="auto"/>
              <w:right w:val="single" w:sz="4" w:space="0" w:color="auto"/>
            </w:tcBorders>
          </w:tcPr>
          <w:p w14:paraId="068C3CF6" w14:textId="77777777" w:rsidR="008437DD" w:rsidRPr="008437DD" w:rsidRDefault="008437DD" w:rsidP="008437DD">
            <w:pPr>
              <w:pStyle w:val="BodyText21"/>
              <w:ind w:left="0" w:right="-25"/>
              <w:jc w:val="center"/>
              <w:rPr>
                <w:rFonts w:ascii="Times New Roman" w:hAnsi="Times New Roman"/>
                <w:lang w:val="en-US"/>
              </w:rPr>
            </w:pPr>
            <w:r w:rsidRPr="008437DD">
              <w:rPr>
                <w:rFonts w:ascii="Times New Roman" w:hAnsi="Times New Roman"/>
                <w:lang w:val="en-US"/>
              </w:rPr>
              <w:t>100 mL</w:t>
            </w:r>
          </w:p>
        </w:tc>
        <w:tc>
          <w:tcPr>
            <w:tcW w:w="1984" w:type="dxa"/>
            <w:tcBorders>
              <w:top w:val="single" w:sz="4" w:space="0" w:color="auto"/>
              <w:left w:val="single" w:sz="4" w:space="0" w:color="auto"/>
              <w:bottom w:val="single" w:sz="4" w:space="0" w:color="auto"/>
              <w:right w:val="single" w:sz="4" w:space="0" w:color="auto"/>
            </w:tcBorders>
          </w:tcPr>
          <w:p w14:paraId="4D0B5FD7" w14:textId="77777777" w:rsidR="008437DD" w:rsidRPr="008437DD" w:rsidRDefault="008437DD" w:rsidP="008437DD">
            <w:pPr>
              <w:pStyle w:val="BodyText21"/>
              <w:ind w:left="0" w:right="-25"/>
              <w:jc w:val="center"/>
              <w:rPr>
                <w:rFonts w:ascii="Times New Roman" w:hAnsi="Times New Roman"/>
                <w:lang w:val="en-US"/>
              </w:rPr>
            </w:pPr>
            <w:r w:rsidRPr="008437DD">
              <w:rPr>
                <w:rFonts w:ascii="Times New Roman" w:hAnsi="Times New Roman"/>
                <w:lang w:val="en-US"/>
              </w:rPr>
              <w:t>6 minutes</w:t>
            </w:r>
          </w:p>
        </w:tc>
      </w:tr>
      <w:tr w:rsidR="008437DD" w:rsidRPr="008437DD" w14:paraId="04D49F86" w14:textId="77777777" w:rsidTr="00735ECC">
        <w:trPr>
          <w:cantSplit/>
        </w:trPr>
        <w:tc>
          <w:tcPr>
            <w:tcW w:w="2127" w:type="dxa"/>
            <w:tcBorders>
              <w:top w:val="single" w:sz="4" w:space="0" w:color="auto"/>
              <w:left w:val="single" w:sz="4" w:space="0" w:color="auto"/>
              <w:bottom w:val="single" w:sz="4" w:space="0" w:color="auto"/>
              <w:right w:val="single" w:sz="4" w:space="0" w:color="auto"/>
            </w:tcBorders>
          </w:tcPr>
          <w:p w14:paraId="6F747617" w14:textId="77777777" w:rsidR="008437DD" w:rsidRPr="008437DD" w:rsidRDefault="008437DD" w:rsidP="00D876F1">
            <w:pPr>
              <w:pStyle w:val="BodyText21"/>
              <w:ind w:left="0" w:right="-25"/>
              <w:rPr>
                <w:rFonts w:ascii="Times New Roman" w:hAnsi="Times New Roman"/>
                <w:lang w:val="en-US"/>
              </w:rPr>
            </w:pPr>
            <w:r w:rsidRPr="008437DD">
              <w:rPr>
                <w:rFonts w:ascii="Times New Roman" w:hAnsi="Times New Roman"/>
                <w:lang w:val="en-US"/>
              </w:rPr>
              <w:t>&gt;10 to 20 mL</w:t>
            </w:r>
          </w:p>
        </w:tc>
        <w:tc>
          <w:tcPr>
            <w:tcW w:w="2296" w:type="dxa"/>
            <w:tcBorders>
              <w:top w:val="single" w:sz="4" w:space="0" w:color="auto"/>
              <w:left w:val="single" w:sz="4" w:space="0" w:color="auto"/>
              <w:bottom w:val="single" w:sz="4" w:space="0" w:color="auto"/>
              <w:right w:val="single" w:sz="4" w:space="0" w:color="auto"/>
            </w:tcBorders>
          </w:tcPr>
          <w:p w14:paraId="61E353EE" w14:textId="77777777" w:rsidR="008437DD" w:rsidRPr="008437DD" w:rsidRDefault="008437DD" w:rsidP="00D876F1">
            <w:pPr>
              <w:pStyle w:val="BodyText21"/>
              <w:ind w:left="0" w:right="-25"/>
              <w:rPr>
                <w:rFonts w:ascii="Times New Roman" w:hAnsi="Times New Roman"/>
                <w:lang w:val="en-US"/>
              </w:rPr>
            </w:pPr>
            <w:r w:rsidRPr="008437DD">
              <w:rPr>
                <w:rFonts w:ascii="Times New Roman" w:hAnsi="Times New Roman"/>
                <w:lang w:val="en-US"/>
              </w:rPr>
              <w:t>&gt;500 to 1,000 mg</w:t>
            </w:r>
          </w:p>
        </w:tc>
        <w:tc>
          <w:tcPr>
            <w:tcW w:w="2694" w:type="dxa"/>
            <w:tcBorders>
              <w:top w:val="single" w:sz="4" w:space="0" w:color="auto"/>
              <w:left w:val="single" w:sz="4" w:space="0" w:color="auto"/>
              <w:bottom w:val="single" w:sz="4" w:space="0" w:color="auto"/>
              <w:right w:val="single" w:sz="4" w:space="0" w:color="auto"/>
            </w:tcBorders>
          </w:tcPr>
          <w:p w14:paraId="6917A9CD" w14:textId="77777777" w:rsidR="008437DD" w:rsidRPr="008437DD" w:rsidRDefault="008437DD" w:rsidP="008437DD">
            <w:pPr>
              <w:pStyle w:val="BodyText21"/>
              <w:ind w:left="0" w:right="-25"/>
              <w:jc w:val="center"/>
              <w:rPr>
                <w:rFonts w:ascii="Times New Roman" w:hAnsi="Times New Roman"/>
                <w:lang w:val="en-US"/>
              </w:rPr>
            </w:pPr>
            <w:r w:rsidRPr="008437DD">
              <w:rPr>
                <w:rFonts w:ascii="Times New Roman" w:hAnsi="Times New Roman"/>
                <w:lang w:val="en-US"/>
              </w:rPr>
              <w:t>250 mL</w:t>
            </w:r>
          </w:p>
        </w:tc>
        <w:tc>
          <w:tcPr>
            <w:tcW w:w="1984" w:type="dxa"/>
            <w:tcBorders>
              <w:top w:val="single" w:sz="4" w:space="0" w:color="auto"/>
              <w:left w:val="single" w:sz="4" w:space="0" w:color="auto"/>
              <w:bottom w:val="single" w:sz="4" w:space="0" w:color="auto"/>
              <w:right w:val="single" w:sz="4" w:space="0" w:color="auto"/>
            </w:tcBorders>
          </w:tcPr>
          <w:p w14:paraId="4BD9FD3B" w14:textId="77777777" w:rsidR="008437DD" w:rsidRPr="008437DD" w:rsidRDefault="008437DD" w:rsidP="008437DD">
            <w:pPr>
              <w:pStyle w:val="BodyText21"/>
              <w:ind w:left="0" w:right="-25"/>
              <w:jc w:val="center"/>
              <w:rPr>
                <w:rFonts w:ascii="Times New Roman" w:hAnsi="Times New Roman"/>
                <w:lang w:val="en-US"/>
              </w:rPr>
            </w:pPr>
            <w:r w:rsidRPr="008437DD">
              <w:rPr>
                <w:rFonts w:ascii="Times New Roman" w:hAnsi="Times New Roman"/>
                <w:lang w:val="en-US"/>
              </w:rPr>
              <w:t>15 minutes</w:t>
            </w:r>
          </w:p>
        </w:tc>
      </w:tr>
    </w:tbl>
    <w:p w14:paraId="6BF8780C" w14:textId="77777777" w:rsidR="00976744" w:rsidRPr="008437DD" w:rsidRDefault="00976744" w:rsidP="00735ECC">
      <w:pPr>
        <w:spacing w:before="0"/>
        <w:jc w:val="both"/>
        <w:rPr>
          <w:sz w:val="22"/>
          <w:szCs w:val="22"/>
        </w:rPr>
      </w:pPr>
      <w:r w:rsidRPr="008437DD">
        <w:rPr>
          <w:sz w:val="22"/>
          <w:szCs w:val="22"/>
        </w:rPr>
        <w:t>Note: For stability reasons, dilutions to concentrations less than 2 mg iron/mL (not including the volume of the ferric carboxymaltose solution) are not permissible.</w:t>
      </w:r>
    </w:p>
    <w:p w14:paraId="3622502F" w14:textId="77777777" w:rsidR="00976744" w:rsidRDefault="00976744" w:rsidP="00735ECC">
      <w:pPr>
        <w:jc w:val="both"/>
      </w:pPr>
      <w:r>
        <w:t>FERINJECT must not be administered by the subcutaneous or intramuscular route.</w:t>
      </w:r>
    </w:p>
    <w:p w14:paraId="5D6ADD3C" w14:textId="77777777" w:rsidR="00976744" w:rsidRDefault="00976744" w:rsidP="00735ECC">
      <w:pPr>
        <w:jc w:val="both"/>
      </w:pPr>
      <w:r>
        <w:t>Inspect vials visually for sediment and damage before use. Use only those containing sediment-free, homogeneous solution.</w:t>
      </w:r>
    </w:p>
    <w:p w14:paraId="67B62F8B" w14:textId="77777777" w:rsidR="00976744" w:rsidRDefault="00976744" w:rsidP="00735ECC">
      <w:pPr>
        <w:jc w:val="both"/>
      </w:pPr>
      <w:r>
        <w:t>Each vial of FERINJECT is intended for single use only. Any unused product or waste material should be disposed of in accordance with local requirements.</w:t>
      </w:r>
    </w:p>
    <w:p w14:paraId="534AE526" w14:textId="77777777" w:rsidR="00976744" w:rsidRDefault="00976744" w:rsidP="00735ECC">
      <w:pPr>
        <w:jc w:val="both"/>
      </w:pPr>
      <w:r>
        <w:t xml:space="preserve">FERINJECT must only be mixed with sterile 0.9% m/V sodium chloride solution. No other intravenous dilution solutions and therapeutic agents should be used, as there is the potential for precipitation and/or interaction. For dilution instructions, see above. </w:t>
      </w:r>
    </w:p>
    <w:p w14:paraId="7B45D418" w14:textId="77777777" w:rsidR="00976744" w:rsidRPr="00976744" w:rsidRDefault="00976744" w:rsidP="00735ECC">
      <w:pPr>
        <w:jc w:val="both"/>
      </w:pPr>
      <w:r>
        <w:t>This medicinal product must not be mixed with other medicinal products than those mentioned above. The compatibility with containers other than polyethylene and glass is not known.</w:t>
      </w:r>
    </w:p>
    <w:p w14:paraId="40E68F22" w14:textId="77777777" w:rsidR="00FD1F94" w:rsidRDefault="00FD1F94" w:rsidP="00B97A3A">
      <w:pPr>
        <w:pStyle w:val="Heading2"/>
      </w:pPr>
      <w:r>
        <w:t>CONTRAINDICATIONS</w:t>
      </w:r>
    </w:p>
    <w:p w14:paraId="680DF346" w14:textId="77777777" w:rsidR="008437DD" w:rsidRDefault="008437DD" w:rsidP="008437DD">
      <w:pPr>
        <w:spacing w:before="0"/>
      </w:pPr>
    </w:p>
    <w:p w14:paraId="7A3AC228" w14:textId="77777777" w:rsidR="008437DD" w:rsidRDefault="008437DD" w:rsidP="00D44718">
      <w:pPr>
        <w:spacing w:before="0"/>
        <w:jc w:val="both"/>
      </w:pPr>
      <w:r>
        <w:t>The use of FERINJECT is contraindicated in cases of:</w:t>
      </w:r>
    </w:p>
    <w:p w14:paraId="3B3770CB" w14:textId="11DF56BF" w:rsidR="008437DD" w:rsidRDefault="00735ECC" w:rsidP="009D47A0">
      <w:pPr>
        <w:pStyle w:val="ListParagraph"/>
        <w:numPr>
          <w:ilvl w:val="0"/>
          <w:numId w:val="35"/>
        </w:numPr>
        <w:spacing w:before="0"/>
      </w:pPr>
      <w:r>
        <w:t>h</w:t>
      </w:r>
      <w:r w:rsidR="008437DD">
        <w:t>ypersensitivity to ferric carboxymaltose complex, to FERINJECT or to any of its excipients</w:t>
      </w:r>
    </w:p>
    <w:p w14:paraId="58EEE3C0" w14:textId="77777777" w:rsidR="008437DD" w:rsidRDefault="008437DD" w:rsidP="00D44718">
      <w:pPr>
        <w:pStyle w:val="ListParagraph"/>
        <w:numPr>
          <w:ilvl w:val="0"/>
          <w:numId w:val="35"/>
        </w:numPr>
        <w:spacing w:before="0"/>
        <w:jc w:val="both"/>
      </w:pPr>
      <w:r>
        <w:t>anaemia not attributed to iron deficiency, e.g. other microcytic anaemia</w:t>
      </w:r>
    </w:p>
    <w:p w14:paraId="6402AEC8" w14:textId="1CC32398" w:rsidR="006E1633" w:rsidRDefault="008437DD" w:rsidP="00D44718">
      <w:pPr>
        <w:pStyle w:val="ListParagraph"/>
        <w:numPr>
          <w:ilvl w:val="0"/>
          <w:numId w:val="35"/>
        </w:numPr>
        <w:spacing w:before="0"/>
        <w:jc w:val="both"/>
      </w:pPr>
      <w:r>
        <w:t xml:space="preserve">evidence of iron overload or disturbances in </w:t>
      </w:r>
      <w:proofErr w:type="spellStart"/>
      <w:r>
        <w:t>utilisation</w:t>
      </w:r>
      <w:proofErr w:type="spellEnd"/>
      <w:r>
        <w:t xml:space="preserve"> of iron</w:t>
      </w:r>
    </w:p>
    <w:p w14:paraId="3836ABAC" w14:textId="77777777" w:rsidR="00FD1F94" w:rsidRDefault="00FD1F94" w:rsidP="00B97A3A">
      <w:pPr>
        <w:pStyle w:val="Heading2"/>
      </w:pPr>
      <w:r>
        <w:t>SPECIAL WARNINGS AND PRECAUTIONS FOR USE</w:t>
      </w:r>
    </w:p>
    <w:p w14:paraId="2464A746" w14:textId="77777777" w:rsidR="00FD1F94" w:rsidRDefault="00FD1F94" w:rsidP="00B97A3A">
      <w:pPr>
        <w:pStyle w:val="Heading3"/>
        <w:numPr>
          <w:ilvl w:val="0"/>
          <w:numId w:val="0"/>
        </w:numPr>
      </w:pPr>
      <w:r>
        <w:t>I</w:t>
      </w:r>
      <w:r w:rsidR="008437DD">
        <w:t>ron Overload/Haemosiderosis</w:t>
      </w:r>
    </w:p>
    <w:p w14:paraId="4471EE56" w14:textId="77777777" w:rsidR="008437DD" w:rsidRPr="008437DD" w:rsidRDefault="008437DD" w:rsidP="00735ECC">
      <w:pPr>
        <w:jc w:val="both"/>
      </w:pPr>
      <w:r w:rsidRPr="008437DD">
        <w:t>Body iron excretion is limited and excess tissue iron can be hazardous causing haemosiderosis. Patients receiving FERINJECT require regular monitoring of red cell indices and serum ferritin to detect iron overload. If there is evidence of iron overload, iron therapy should be withheld.</w:t>
      </w:r>
    </w:p>
    <w:p w14:paraId="61D14523" w14:textId="77777777" w:rsidR="008437DD" w:rsidRPr="008437DD" w:rsidRDefault="008437DD" w:rsidP="00735ECC">
      <w:pPr>
        <w:pStyle w:val="Heading3"/>
        <w:numPr>
          <w:ilvl w:val="0"/>
          <w:numId w:val="0"/>
        </w:numPr>
        <w:jc w:val="both"/>
        <w:rPr>
          <w:lang w:val="en-GB"/>
        </w:rPr>
      </w:pPr>
      <w:r w:rsidRPr="008437DD">
        <w:rPr>
          <w:lang w:val="en-GB"/>
        </w:rPr>
        <w:t>Patients with Infections</w:t>
      </w:r>
    </w:p>
    <w:p w14:paraId="34563F22" w14:textId="77777777" w:rsidR="008437DD" w:rsidRPr="008437DD" w:rsidRDefault="008437DD" w:rsidP="00735ECC">
      <w:pPr>
        <w:jc w:val="both"/>
        <w:rPr>
          <w:lang w:val="en-GB"/>
        </w:rPr>
      </w:pPr>
      <w:r w:rsidRPr="008437DD">
        <w:rPr>
          <w:lang w:val="en-GB"/>
        </w:rPr>
        <w:t>Parenteral iron must be used with caution in case of acute or chronic infection, asthma, eczema or atopic allergies. It is recommended that the administration of FERINJECT is stopped in patients with ongoing bacteraemia. In patients with chronic infection a risk/benefit evaluation has to be performed, taking into account the suppression of erythropoiesis.</w:t>
      </w:r>
    </w:p>
    <w:p w14:paraId="6BC0D902" w14:textId="77777777" w:rsidR="008437DD" w:rsidRPr="008437DD" w:rsidRDefault="008437DD" w:rsidP="00735ECC">
      <w:pPr>
        <w:pStyle w:val="Heading3"/>
        <w:numPr>
          <w:ilvl w:val="0"/>
          <w:numId w:val="0"/>
        </w:numPr>
        <w:jc w:val="both"/>
        <w:rPr>
          <w:lang w:val="en-GB"/>
        </w:rPr>
      </w:pPr>
      <w:r w:rsidRPr="008437DD">
        <w:rPr>
          <w:lang w:val="en-GB"/>
        </w:rPr>
        <w:lastRenderedPageBreak/>
        <w:t>Hypersensitivity Reactions</w:t>
      </w:r>
    </w:p>
    <w:p w14:paraId="605223E0" w14:textId="77777777" w:rsidR="008437DD" w:rsidRPr="008437DD" w:rsidRDefault="008437DD" w:rsidP="00735ECC">
      <w:pPr>
        <w:jc w:val="both"/>
        <w:rPr>
          <w:lang w:val="en-GB"/>
        </w:rPr>
      </w:pPr>
      <w:r w:rsidRPr="008437DD">
        <w:rPr>
          <w:lang w:val="en-GB"/>
        </w:rPr>
        <w:t xml:space="preserve">Parenterally administered iron preparations can cause hypersensitivity reactions including anaphylactoid reactions, which may be fatal. Therefore, facilities for cardio-pulmonary resuscitation must be available. </w:t>
      </w:r>
      <w:r w:rsidRPr="008437DD">
        <w:rPr>
          <w:lang w:val="en-AU"/>
        </w:rPr>
        <w:t>If allergic reactions or signs of intolerance occur during administration, the treatment must be stopped immediately. Hypersensitivity reactions have also been reported after previously uneventful doses of any parenteral iron complexes, including ferric carboxymaltose. Each patient should be observed for adverse effects for at least 30 minutes following each FERINJECT injection.</w:t>
      </w:r>
    </w:p>
    <w:p w14:paraId="4A3735D8" w14:textId="77777777" w:rsidR="008437DD" w:rsidRPr="008437DD" w:rsidRDefault="008437DD" w:rsidP="00735ECC">
      <w:pPr>
        <w:pStyle w:val="Heading3"/>
        <w:numPr>
          <w:ilvl w:val="0"/>
          <w:numId w:val="0"/>
        </w:numPr>
        <w:jc w:val="both"/>
        <w:rPr>
          <w:lang w:val="en-GB"/>
        </w:rPr>
      </w:pPr>
      <w:proofErr w:type="spellStart"/>
      <w:r w:rsidRPr="008437DD">
        <w:rPr>
          <w:lang w:val="en-GB"/>
        </w:rPr>
        <w:t>Paravenous</w:t>
      </w:r>
      <w:proofErr w:type="spellEnd"/>
      <w:r w:rsidRPr="008437DD">
        <w:rPr>
          <w:lang w:val="en-GB"/>
        </w:rPr>
        <w:t xml:space="preserve"> Leakage</w:t>
      </w:r>
    </w:p>
    <w:p w14:paraId="431987C5" w14:textId="77777777" w:rsidR="008437DD" w:rsidRPr="008437DD" w:rsidRDefault="008437DD" w:rsidP="00735ECC">
      <w:pPr>
        <w:jc w:val="both"/>
        <w:rPr>
          <w:lang w:val="en-GB"/>
        </w:rPr>
      </w:pPr>
      <w:r w:rsidRPr="008437DD">
        <w:rPr>
          <w:lang w:val="en-GB"/>
        </w:rPr>
        <w:t xml:space="preserve">Caution should be exercised to avoid </w:t>
      </w:r>
      <w:proofErr w:type="spellStart"/>
      <w:r w:rsidRPr="008437DD">
        <w:rPr>
          <w:lang w:val="en-GB"/>
        </w:rPr>
        <w:t>paravenous</w:t>
      </w:r>
      <w:proofErr w:type="spellEnd"/>
      <w:r w:rsidRPr="008437DD">
        <w:rPr>
          <w:lang w:val="en-GB"/>
        </w:rPr>
        <w:t xml:space="preserve"> leakage when administering FERINJECT. </w:t>
      </w:r>
      <w:proofErr w:type="spellStart"/>
      <w:r w:rsidRPr="008437DD">
        <w:rPr>
          <w:lang w:val="en-GB"/>
        </w:rPr>
        <w:t>Paravenous</w:t>
      </w:r>
      <w:proofErr w:type="spellEnd"/>
      <w:r w:rsidRPr="008437DD">
        <w:rPr>
          <w:lang w:val="en-GB"/>
        </w:rPr>
        <w:t xml:space="preserve"> leakage of </w:t>
      </w:r>
      <w:r w:rsidRPr="008437DD">
        <w:t>FERINJECT</w:t>
      </w:r>
      <w:r w:rsidRPr="008437DD">
        <w:rPr>
          <w:lang w:val="en-GB"/>
        </w:rPr>
        <w:t xml:space="preserve"> at the injection site may lead to potentially long lasting brown discolouration and irritation of the skin. In case of </w:t>
      </w:r>
      <w:proofErr w:type="spellStart"/>
      <w:r w:rsidRPr="008437DD">
        <w:rPr>
          <w:lang w:val="en-GB"/>
        </w:rPr>
        <w:t>paravenous</w:t>
      </w:r>
      <w:proofErr w:type="spellEnd"/>
      <w:r w:rsidRPr="008437DD">
        <w:rPr>
          <w:lang w:val="en-GB"/>
        </w:rPr>
        <w:t xml:space="preserve"> leakage, the administration of FERINJECT must be stopped immediately.</w:t>
      </w:r>
    </w:p>
    <w:p w14:paraId="457A6469" w14:textId="77777777" w:rsidR="008437DD" w:rsidRPr="008437DD" w:rsidRDefault="008437DD" w:rsidP="00735ECC">
      <w:pPr>
        <w:pStyle w:val="Heading3"/>
        <w:numPr>
          <w:ilvl w:val="0"/>
          <w:numId w:val="0"/>
        </w:numPr>
        <w:jc w:val="both"/>
        <w:rPr>
          <w:lang w:val="en-GB"/>
        </w:rPr>
      </w:pPr>
      <w:r w:rsidRPr="008437DD">
        <w:rPr>
          <w:lang w:val="en-GB"/>
        </w:rPr>
        <w:t>Sodium Content</w:t>
      </w:r>
    </w:p>
    <w:p w14:paraId="036AF3CE" w14:textId="77777777" w:rsidR="00FD1F94" w:rsidRPr="00B97A3A" w:rsidRDefault="008437DD" w:rsidP="00735ECC">
      <w:pPr>
        <w:jc w:val="both"/>
      </w:pPr>
      <w:r w:rsidRPr="008437DD">
        <w:rPr>
          <w:lang w:val="en-GB"/>
        </w:rPr>
        <w:t>One mL of undiluted FERINJECT contains up to 5.5 mg (0.24 mmol) of sodium. This should be considered when prescribing FERINJECT to patients on sodium-controlled diets.</w:t>
      </w:r>
    </w:p>
    <w:p w14:paraId="3917C947" w14:textId="77777777" w:rsidR="008437DD" w:rsidRPr="008437DD" w:rsidRDefault="008437DD" w:rsidP="00735ECC">
      <w:pPr>
        <w:pStyle w:val="Heading3"/>
        <w:numPr>
          <w:ilvl w:val="0"/>
          <w:numId w:val="0"/>
        </w:numPr>
        <w:jc w:val="both"/>
      </w:pPr>
      <w:r w:rsidRPr="008437DD">
        <w:t>Use in hepatic impairment</w:t>
      </w:r>
    </w:p>
    <w:p w14:paraId="60917F69" w14:textId="77777777" w:rsidR="008437DD" w:rsidRPr="008437DD" w:rsidRDefault="008437DD" w:rsidP="00735ECC">
      <w:pPr>
        <w:jc w:val="both"/>
      </w:pPr>
      <w:r w:rsidRPr="008437DD">
        <w:t xml:space="preserve">In patients with liver dysfunction, parenteral iron should only be administered after careful risk/benefit assessment. Parenteral iron administration should be avoided in patients with hepatic dysfunction where iron overload is a precipitating factor, in particular Porphyria </w:t>
      </w:r>
      <w:proofErr w:type="spellStart"/>
      <w:r w:rsidRPr="008437DD">
        <w:t>Cutanea</w:t>
      </w:r>
      <w:proofErr w:type="spellEnd"/>
      <w:r w:rsidRPr="008437DD">
        <w:t xml:space="preserve"> </w:t>
      </w:r>
      <w:proofErr w:type="spellStart"/>
      <w:r w:rsidRPr="008437DD">
        <w:t>Tarda</w:t>
      </w:r>
      <w:proofErr w:type="spellEnd"/>
      <w:r w:rsidRPr="008437DD">
        <w:t xml:space="preserve"> (PCT). </w:t>
      </w:r>
    </w:p>
    <w:p w14:paraId="48D1B816" w14:textId="77777777" w:rsidR="008437DD" w:rsidRPr="008437DD" w:rsidRDefault="008437DD" w:rsidP="00735ECC">
      <w:pPr>
        <w:pStyle w:val="Heading3"/>
        <w:numPr>
          <w:ilvl w:val="0"/>
          <w:numId w:val="0"/>
        </w:numPr>
        <w:jc w:val="both"/>
      </w:pPr>
      <w:r w:rsidRPr="008437DD">
        <w:t>Use in the elderly</w:t>
      </w:r>
    </w:p>
    <w:p w14:paraId="308FEEC6" w14:textId="77777777" w:rsidR="008437DD" w:rsidRPr="008437DD" w:rsidRDefault="008437DD" w:rsidP="00735ECC">
      <w:pPr>
        <w:jc w:val="both"/>
      </w:pPr>
      <w:r w:rsidRPr="008437DD">
        <w:t>No data available.</w:t>
      </w:r>
    </w:p>
    <w:p w14:paraId="1CC7E00C" w14:textId="77777777" w:rsidR="008437DD" w:rsidRPr="008437DD" w:rsidRDefault="008437DD" w:rsidP="00735ECC">
      <w:pPr>
        <w:pStyle w:val="Heading3"/>
        <w:numPr>
          <w:ilvl w:val="0"/>
          <w:numId w:val="0"/>
        </w:numPr>
        <w:jc w:val="both"/>
      </w:pPr>
      <w:r w:rsidRPr="008437DD">
        <w:t>Paediatric use</w:t>
      </w:r>
    </w:p>
    <w:p w14:paraId="3AEAF617" w14:textId="77777777" w:rsidR="008437DD" w:rsidRPr="008437DD" w:rsidRDefault="008437DD" w:rsidP="00735ECC">
      <w:pPr>
        <w:jc w:val="both"/>
      </w:pPr>
      <w:r w:rsidRPr="008437DD">
        <w:t>The use of FERINJECT has not been studied in children and therefore is not recommended in children under 14 years.</w:t>
      </w:r>
    </w:p>
    <w:p w14:paraId="62EFA001" w14:textId="77777777" w:rsidR="008437DD" w:rsidRPr="008437DD" w:rsidRDefault="008437DD" w:rsidP="00735ECC">
      <w:pPr>
        <w:pStyle w:val="Heading3"/>
        <w:numPr>
          <w:ilvl w:val="0"/>
          <w:numId w:val="0"/>
        </w:numPr>
        <w:jc w:val="both"/>
      </w:pPr>
      <w:r w:rsidRPr="008437DD">
        <w:t>Effects on laboratory tests</w:t>
      </w:r>
    </w:p>
    <w:p w14:paraId="1DDA236D" w14:textId="77777777" w:rsidR="008437DD" w:rsidRPr="008437DD" w:rsidRDefault="008437DD" w:rsidP="00735ECC">
      <w:pPr>
        <w:jc w:val="both"/>
        <w:rPr>
          <w:iCs/>
          <w:caps/>
          <w:szCs w:val="28"/>
        </w:rPr>
      </w:pPr>
      <w:r w:rsidRPr="008437DD">
        <w:t>No data available.</w:t>
      </w:r>
    </w:p>
    <w:p w14:paraId="548DD700" w14:textId="77777777" w:rsidR="00FD1F94" w:rsidRDefault="00FD1F94" w:rsidP="00735ECC">
      <w:pPr>
        <w:pStyle w:val="Heading2"/>
        <w:jc w:val="both"/>
      </w:pPr>
      <w:r>
        <w:t>INTERACTIONS WITH OTHER MEDICINES AND OTHER FORMS OF INTERACTIONS</w:t>
      </w:r>
    </w:p>
    <w:p w14:paraId="607E0300" w14:textId="77777777" w:rsidR="009B1033" w:rsidRPr="00057F28" w:rsidRDefault="009B1033" w:rsidP="00735ECC">
      <w:pPr>
        <w:jc w:val="both"/>
        <w:rPr>
          <w:b/>
        </w:rPr>
      </w:pPr>
      <w:r w:rsidRPr="00057F28">
        <w:t>As with all parenteral iron preparations the absorption of oral iron is reduced when administered concomitantly. Therefore, if required, oral iron therapy should not be started for at least 5 days after the last injection of FERINJECT.</w:t>
      </w:r>
    </w:p>
    <w:p w14:paraId="5D45F555" w14:textId="77777777" w:rsidR="00FD1F94" w:rsidRDefault="00FD1F94" w:rsidP="00735ECC">
      <w:pPr>
        <w:pStyle w:val="Heading2"/>
        <w:jc w:val="both"/>
      </w:pPr>
      <w:r>
        <w:lastRenderedPageBreak/>
        <w:t>FERTILITY, PREGNANCY AND LACTATION</w:t>
      </w:r>
    </w:p>
    <w:p w14:paraId="5FE1B204" w14:textId="77777777" w:rsidR="00FD1F94" w:rsidRDefault="00FD1F94" w:rsidP="00735ECC">
      <w:pPr>
        <w:pStyle w:val="Heading3"/>
        <w:numPr>
          <w:ilvl w:val="0"/>
          <w:numId w:val="0"/>
        </w:numPr>
        <w:jc w:val="both"/>
      </w:pPr>
      <w:r>
        <w:t>Effects on fertility</w:t>
      </w:r>
    </w:p>
    <w:p w14:paraId="7077321F" w14:textId="77777777" w:rsidR="009B1033" w:rsidRPr="00057F28" w:rsidRDefault="009B1033" w:rsidP="00735ECC">
      <w:pPr>
        <w:jc w:val="both"/>
      </w:pPr>
      <w:r w:rsidRPr="00057F28">
        <w:t>Reduced weights of reproductive organs (prostate, seminal vesicle, epididymides, testis or uterus) were seen in rats and dogs at maternally toxic doses following repeated IV dosing with ferric carboxymaltose. There were no effects of ferric carboxymaltose on the fertility or reproductive performance of rats given thrice weekly IV doses of up to 30 mg/kg roughly equal to the maximum weekly clinical dose, based on body surface area (BSA).</w:t>
      </w:r>
    </w:p>
    <w:p w14:paraId="27CAB3F8" w14:textId="77777777" w:rsidR="00FD1F94" w:rsidRDefault="00FD1F94" w:rsidP="00735ECC">
      <w:pPr>
        <w:pStyle w:val="Heading3"/>
        <w:numPr>
          <w:ilvl w:val="0"/>
          <w:numId w:val="0"/>
        </w:numPr>
        <w:jc w:val="both"/>
      </w:pPr>
      <w:r>
        <w:t>Use in pregnancy</w:t>
      </w:r>
      <w:r w:rsidR="009B1033">
        <w:t xml:space="preserve"> </w:t>
      </w:r>
      <w:r w:rsidR="009B1033" w:rsidRPr="009B1033">
        <w:t>(Category B3)</w:t>
      </w:r>
    </w:p>
    <w:p w14:paraId="2666E95E" w14:textId="77777777" w:rsidR="009B1033" w:rsidRPr="009B1033" w:rsidRDefault="009B1033" w:rsidP="00735ECC">
      <w:pPr>
        <w:jc w:val="both"/>
      </w:pPr>
      <w:r w:rsidRPr="009B1033">
        <w:t xml:space="preserve">Studies in rats have shown that iron released from ferric carboxymaltose can cross the placental barrier. </w:t>
      </w:r>
    </w:p>
    <w:p w14:paraId="55137E6F" w14:textId="77777777" w:rsidR="009B1033" w:rsidRPr="009B1033" w:rsidRDefault="009B1033" w:rsidP="00735ECC">
      <w:pPr>
        <w:jc w:val="both"/>
      </w:pPr>
      <w:r w:rsidRPr="009B1033">
        <w:t>In pregnant and iron-replete rabbits and rats, embryotoxicity (decreased placental or litter weights and increased resorptions) and increases in fetal skeletal abnormalities (thickened/kinked ribs in rats and cranial, forepaw and/or limb abnormalities in rabbits) were observed at maternally toxic IV iron doses from 9 or 30 mg/kg/day, respectively given during organogenesis (1-2 times the maximum weekly clinical dose, based on body surface area (BSA)). No effects were observed at IV iron doses up to 4.5 or 9 mg/kg/day, respectively (0.5 times the maximum weekly clinical dose, based on BSA).</w:t>
      </w:r>
    </w:p>
    <w:p w14:paraId="67E64682" w14:textId="5FD0E750" w:rsidR="009B1033" w:rsidRPr="009B1033" w:rsidRDefault="00196E5B" w:rsidP="00735ECC">
      <w:pPr>
        <w:jc w:val="both"/>
      </w:pPr>
      <w:r w:rsidRPr="009B1033">
        <w:t xml:space="preserve">There is no efficacy and safety data on the use of FERINJECT in human pregnancy less than 16 weeks’ gestation. </w:t>
      </w:r>
      <w:r w:rsidR="00CF55C1" w:rsidRPr="00CF55C1">
        <w:t xml:space="preserve"> </w:t>
      </w:r>
      <w:r w:rsidR="00CF55C1" w:rsidRPr="009B1033">
        <w:t>Iron deficiency occurring in the first trimester of pregnancy can in many cases be treated with oral iron</w:t>
      </w:r>
      <w:r w:rsidR="00CF55C1">
        <w:t>.</w:t>
      </w:r>
    </w:p>
    <w:p w14:paraId="082BCF6F" w14:textId="3E2EFE4A" w:rsidR="009B1033" w:rsidRPr="009B1033" w:rsidRDefault="00CF55C1" w:rsidP="00735ECC">
      <w:pPr>
        <w:jc w:val="both"/>
      </w:pPr>
      <w:r w:rsidRPr="009B1033">
        <w:t xml:space="preserve">There are limited data from the use of FERINJECT in </w:t>
      </w:r>
      <w:r>
        <w:t xml:space="preserve">women in </w:t>
      </w:r>
      <w:r w:rsidRPr="009B1033">
        <w:t xml:space="preserve">pregnancy beyond 16 weeks’ gestation. </w:t>
      </w:r>
      <w:r w:rsidR="009B1033" w:rsidRPr="009B1033">
        <w:t>A careful risk/benefit evaluation is required before use during pregnancy and FERINJECT should not be used during pregnancy unless clearly necessary.</w:t>
      </w:r>
    </w:p>
    <w:p w14:paraId="13C17F83" w14:textId="6D980384" w:rsidR="009B1033" w:rsidRDefault="009B1033" w:rsidP="00735ECC">
      <w:pPr>
        <w:jc w:val="both"/>
        <w:rPr>
          <w:b/>
        </w:rPr>
      </w:pPr>
      <w:r w:rsidRPr="009B1033">
        <w:t xml:space="preserve">If the benefit of FERINJECT treatment is judged to outweigh the potential risk to the fetus, it is recommended that treatment </w:t>
      </w:r>
      <w:r w:rsidR="00CF55C1" w:rsidRPr="009B1033">
        <w:t xml:space="preserve">in pregnancy </w:t>
      </w:r>
      <w:r w:rsidRPr="009B1033">
        <w:t xml:space="preserve">should be confined to </w:t>
      </w:r>
      <w:r w:rsidR="00CF55C1" w:rsidRPr="009B1033">
        <w:t>women beyond the 16</w:t>
      </w:r>
      <w:r w:rsidR="00CF55C1" w:rsidRPr="00CF55C1">
        <w:rPr>
          <w:vertAlign w:val="superscript"/>
        </w:rPr>
        <w:t>th</w:t>
      </w:r>
      <w:r w:rsidR="00CF55C1">
        <w:t xml:space="preserve"> </w:t>
      </w:r>
      <w:r w:rsidR="00CF55C1" w:rsidRPr="009B1033">
        <w:t>week of gestation</w:t>
      </w:r>
      <w:r w:rsidR="00735ECC">
        <w:t>.</w:t>
      </w:r>
    </w:p>
    <w:p w14:paraId="0145822F" w14:textId="77777777" w:rsidR="00FD1F94" w:rsidRDefault="00FD1F94" w:rsidP="00735ECC">
      <w:pPr>
        <w:pStyle w:val="Heading3"/>
        <w:numPr>
          <w:ilvl w:val="0"/>
          <w:numId w:val="0"/>
        </w:numPr>
        <w:jc w:val="both"/>
      </w:pPr>
      <w:r w:rsidRPr="00B97A3A">
        <w:t>Use in lactation</w:t>
      </w:r>
    </w:p>
    <w:p w14:paraId="62A00463" w14:textId="77777777" w:rsidR="009B1033" w:rsidRPr="00057F28" w:rsidRDefault="009B1033" w:rsidP="00735ECC">
      <w:pPr>
        <w:jc w:val="both"/>
      </w:pPr>
      <w:r w:rsidRPr="00057F28">
        <w:t>Clinical studies showed that transfer of iron from FERINJECT to human milk was negligible (</w:t>
      </w:r>
      <w:r w:rsidRPr="00057F28">
        <w:sym w:font="Symbol" w:char="F0A3"/>
      </w:r>
      <w:r w:rsidRPr="00057F28">
        <w:t xml:space="preserve">1%). </w:t>
      </w:r>
    </w:p>
    <w:p w14:paraId="2FD53677" w14:textId="77777777" w:rsidR="009B1033" w:rsidRDefault="009B1033" w:rsidP="00735ECC">
      <w:pPr>
        <w:jc w:val="both"/>
      </w:pPr>
      <w:r w:rsidRPr="00057F28">
        <w:t>Evidence of delayed postnatal growth and development has been observed in rats exposed to ferric carboxymaltose. Milk transfer of administered iron from ferric carboxymaltose was demonstrated in lactating rats. Caution should be exercised when FERINJECT is used in lactating woman.</w:t>
      </w:r>
    </w:p>
    <w:p w14:paraId="219732C6" w14:textId="77777777" w:rsidR="00FD1F94" w:rsidRDefault="00FD1F94" w:rsidP="00735ECC">
      <w:pPr>
        <w:pStyle w:val="Heading2"/>
        <w:jc w:val="both"/>
      </w:pPr>
      <w:bookmarkStart w:id="2" w:name="page4"/>
      <w:bookmarkEnd w:id="2"/>
      <w:r>
        <w:t>EFFECTS ON ABILITY TO DRIVE AND USE MACHINES</w:t>
      </w:r>
    </w:p>
    <w:p w14:paraId="40838A9B" w14:textId="77777777" w:rsidR="005122FF" w:rsidRPr="005122FF" w:rsidRDefault="009B1033" w:rsidP="00735ECC">
      <w:pPr>
        <w:jc w:val="both"/>
      </w:pPr>
      <w:r w:rsidRPr="009B1033">
        <w:t>The effects of this medicine on a person's ability to drive and use machines were not assessed as part of its registration.</w:t>
      </w:r>
    </w:p>
    <w:p w14:paraId="11692A63" w14:textId="77777777" w:rsidR="00FD1F94" w:rsidRDefault="00FD1F94" w:rsidP="00735ECC">
      <w:pPr>
        <w:pStyle w:val="Heading2"/>
        <w:jc w:val="both"/>
      </w:pPr>
      <w:r>
        <w:lastRenderedPageBreak/>
        <w:t>ADVERSE EFFECTS (UNDESIRABLE EFFECTS)</w:t>
      </w:r>
    </w:p>
    <w:p w14:paraId="0A8BD5C9" w14:textId="77777777" w:rsidR="009B1033" w:rsidRPr="00057F28" w:rsidRDefault="009B1033" w:rsidP="00735ECC">
      <w:pPr>
        <w:pStyle w:val="Heading3"/>
        <w:numPr>
          <w:ilvl w:val="0"/>
          <w:numId w:val="0"/>
        </w:numPr>
        <w:jc w:val="both"/>
      </w:pPr>
      <w:r w:rsidRPr="00057F28">
        <w:t>Clinical studies experience</w:t>
      </w:r>
    </w:p>
    <w:p w14:paraId="31952DE0" w14:textId="77777777" w:rsidR="009B1033" w:rsidRDefault="009B1033" w:rsidP="00735ECC">
      <w:pPr>
        <w:jc w:val="both"/>
      </w:pPr>
      <w:r w:rsidRPr="00057F28">
        <w:t>Adverse drug reactions reported in patients treated with ferric carboxymaltose (n=7,391) from completed clinical trials are summarized in the table below.</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8"/>
        <w:gridCol w:w="1101"/>
        <w:gridCol w:w="2160"/>
        <w:gridCol w:w="2409"/>
        <w:gridCol w:w="1560"/>
      </w:tblGrid>
      <w:tr w:rsidR="009B1033" w:rsidRPr="00057F28" w14:paraId="26956C5D" w14:textId="77777777" w:rsidTr="009B1033">
        <w:trPr>
          <w:tblHeader/>
        </w:trPr>
        <w:tc>
          <w:tcPr>
            <w:tcW w:w="2268" w:type="dxa"/>
            <w:tcMar>
              <w:top w:w="0" w:type="dxa"/>
              <w:left w:w="108" w:type="dxa"/>
              <w:bottom w:w="0" w:type="dxa"/>
              <w:right w:w="108" w:type="dxa"/>
            </w:tcMar>
            <w:vAlign w:val="center"/>
            <w:hideMark/>
          </w:tcPr>
          <w:p w14:paraId="430DCA82" w14:textId="77777777" w:rsidR="009B1033" w:rsidRPr="00057F28" w:rsidRDefault="009B1033" w:rsidP="00D876F1">
            <w:pPr>
              <w:pStyle w:val="TableHeadCentre"/>
              <w:keepNext/>
              <w:keepLines/>
              <w:rPr>
                <w:rFonts w:ascii="Arial" w:hAnsi="Arial" w:cs="Arial"/>
              </w:rPr>
            </w:pPr>
            <w:r w:rsidRPr="00057F28">
              <w:rPr>
                <w:rFonts w:ascii="Arial" w:hAnsi="Arial" w:cs="Arial"/>
              </w:rPr>
              <w:t>System Organ Class</w:t>
            </w:r>
          </w:p>
        </w:tc>
        <w:tc>
          <w:tcPr>
            <w:tcW w:w="1101" w:type="dxa"/>
            <w:tcMar>
              <w:top w:w="0" w:type="dxa"/>
              <w:left w:w="108" w:type="dxa"/>
              <w:bottom w:w="0" w:type="dxa"/>
              <w:right w:w="108" w:type="dxa"/>
            </w:tcMar>
            <w:vAlign w:val="center"/>
            <w:hideMark/>
          </w:tcPr>
          <w:p w14:paraId="031EB8CB" w14:textId="77777777" w:rsidR="009B1033" w:rsidRPr="00057F28" w:rsidRDefault="009B1033" w:rsidP="00D876F1">
            <w:pPr>
              <w:pStyle w:val="TableHeadCentre"/>
              <w:keepNext/>
              <w:keepLines/>
              <w:rPr>
                <w:rFonts w:ascii="Arial" w:hAnsi="Arial" w:cs="Arial"/>
              </w:rPr>
            </w:pPr>
            <w:r w:rsidRPr="00057F28">
              <w:rPr>
                <w:rFonts w:ascii="Arial" w:hAnsi="Arial" w:cs="Arial"/>
              </w:rPr>
              <w:t>Very Common (≥1/10)</w:t>
            </w:r>
          </w:p>
        </w:tc>
        <w:tc>
          <w:tcPr>
            <w:tcW w:w="2160" w:type="dxa"/>
            <w:tcMar>
              <w:top w:w="0" w:type="dxa"/>
              <w:left w:w="108" w:type="dxa"/>
              <w:bottom w:w="0" w:type="dxa"/>
              <w:right w:w="108" w:type="dxa"/>
            </w:tcMar>
            <w:vAlign w:val="center"/>
            <w:hideMark/>
          </w:tcPr>
          <w:p w14:paraId="4CA3F5DF" w14:textId="77777777" w:rsidR="009B1033" w:rsidRPr="00057F28" w:rsidRDefault="009B1033" w:rsidP="00D876F1">
            <w:pPr>
              <w:pStyle w:val="TableHeadCentre"/>
              <w:keepNext/>
              <w:keepLines/>
              <w:rPr>
                <w:rFonts w:ascii="Arial" w:hAnsi="Arial" w:cs="Arial"/>
              </w:rPr>
            </w:pPr>
            <w:r w:rsidRPr="00057F28">
              <w:rPr>
                <w:rFonts w:ascii="Arial" w:hAnsi="Arial" w:cs="Arial"/>
              </w:rPr>
              <w:t xml:space="preserve">Common </w:t>
            </w:r>
            <w:r w:rsidRPr="00057F28">
              <w:rPr>
                <w:rFonts w:ascii="Arial" w:hAnsi="Arial" w:cs="Arial"/>
              </w:rPr>
              <w:br/>
              <w:t>(≥1/100, &lt;1/10)</w:t>
            </w:r>
          </w:p>
        </w:tc>
        <w:tc>
          <w:tcPr>
            <w:tcW w:w="2409" w:type="dxa"/>
            <w:tcMar>
              <w:top w:w="0" w:type="dxa"/>
              <w:left w:w="108" w:type="dxa"/>
              <w:bottom w:w="0" w:type="dxa"/>
              <w:right w:w="108" w:type="dxa"/>
            </w:tcMar>
            <w:vAlign w:val="center"/>
            <w:hideMark/>
          </w:tcPr>
          <w:p w14:paraId="491C59B5" w14:textId="77777777" w:rsidR="009B1033" w:rsidRPr="00057F28" w:rsidRDefault="009B1033" w:rsidP="00D876F1">
            <w:pPr>
              <w:pStyle w:val="TableHeadCentre"/>
              <w:keepNext/>
              <w:keepLines/>
              <w:rPr>
                <w:rFonts w:ascii="Arial" w:hAnsi="Arial" w:cs="Arial"/>
              </w:rPr>
            </w:pPr>
            <w:r w:rsidRPr="00057F28">
              <w:rPr>
                <w:rFonts w:ascii="Arial" w:hAnsi="Arial" w:cs="Arial"/>
              </w:rPr>
              <w:t>Uncommon (≥1/1,000, &lt;1/100)</w:t>
            </w:r>
          </w:p>
        </w:tc>
        <w:tc>
          <w:tcPr>
            <w:tcW w:w="1560" w:type="dxa"/>
            <w:tcMar>
              <w:top w:w="0" w:type="dxa"/>
              <w:left w:w="108" w:type="dxa"/>
              <w:bottom w:w="0" w:type="dxa"/>
              <w:right w:w="108" w:type="dxa"/>
            </w:tcMar>
            <w:vAlign w:val="center"/>
            <w:hideMark/>
          </w:tcPr>
          <w:p w14:paraId="5FAA6299" w14:textId="77777777" w:rsidR="009B1033" w:rsidRPr="00057F28" w:rsidRDefault="009B1033" w:rsidP="00D876F1">
            <w:pPr>
              <w:pStyle w:val="TableHeadCentre"/>
              <w:keepNext/>
              <w:keepLines/>
              <w:rPr>
                <w:rFonts w:ascii="Arial" w:hAnsi="Arial" w:cs="Arial"/>
              </w:rPr>
            </w:pPr>
            <w:r w:rsidRPr="00057F28">
              <w:rPr>
                <w:rFonts w:ascii="Arial" w:hAnsi="Arial" w:cs="Arial"/>
              </w:rPr>
              <w:t xml:space="preserve">Rare </w:t>
            </w:r>
            <w:r w:rsidRPr="00057F28">
              <w:rPr>
                <w:rFonts w:ascii="Arial" w:hAnsi="Arial" w:cs="Arial"/>
              </w:rPr>
              <w:br/>
              <w:t>(≥1/10,000, &lt;1/1,000)</w:t>
            </w:r>
          </w:p>
        </w:tc>
      </w:tr>
      <w:tr w:rsidR="009B1033" w:rsidRPr="00057F28" w14:paraId="2E82E258" w14:textId="77777777" w:rsidTr="009B1033">
        <w:tc>
          <w:tcPr>
            <w:tcW w:w="2268" w:type="dxa"/>
            <w:tcMar>
              <w:top w:w="0" w:type="dxa"/>
              <w:left w:w="108" w:type="dxa"/>
              <w:bottom w:w="0" w:type="dxa"/>
              <w:right w:w="108" w:type="dxa"/>
            </w:tcMar>
            <w:hideMark/>
          </w:tcPr>
          <w:p w14:paraId="4D6AEB06" w14:textId="77777777" w:rsidR="009B1033" w:rsidRPr="00057F28" w:rsidRDefault="009B1033" w:rsidP="00D876F1">
            <w:pPr>
              <w:pStyle w:val="TableHeadLeft"/>
              <w:keepNext/>
              <w:keepLines/>
              <w:rPr>
                <w:rFonts w:ascii="Arial" w:hAnsi="Arial" w:cs="Arial"/>
              </w:rPr>
            </w:pPr>
            <w:r w:rsidRPr="00057F28">
              <w:rPr>
                <w:rFonts w:ascii="Arial" w:hAnsi="Arial" w:cs="Arial"/>
              </w:rPr>
              <w:t>Immune System Disorders</w:t>
            </w:r>
          </w:p>
        </w:tc>
        <w:tc>
          <w:tcPr>
            <w:tcW w:w="1101" w:type="dxa"/>
            <w:tcMar>
              <w:top w:w="0" w:type="dxa"/>
              <w:left w:w="108" w:type="dxa"/>
              <w:bottom w:w="0" w:type="dxa"/>
              <w:right w:w="108" w:type="dxa"/>
            </w:tcMar>
          </w:tcPr>
          <w:p w14:paraId="19C72AB6" w14:textId="77777777" w:rsidR="009B1033" w:rsidRPr="00057F28" w:rsidRDefault="009B1033" w:rsidP="00D876F1">
            <w:pPr>
              <w:pStyle w:val="TableDataLeft"/>
              <w:keepNext/>
              <w:keepLines/>
              <w:jc w:val="center"/>
              <w:rPr>
                <w:rFonts w:ascii="Arial" w:hAnsi="Arial" w:cs="Arial"/>
              </w:rPr>
            </w:pPr>
            <w:r w:rsidRPr="00057F28">
              <w:rPr>
                <w:rFonts w:ascii="Arial" w:hAnsi="Arial" w:cs="Arial"/>
              </w:rPr>
              <w:t>–</w:t>
            </w:r>
          </w:p>
        </w:tc>
        <w:tc>
          <w:tcPr>
            <w:tcW w:w="2160" w:type="dxa"/>
            <w:tcMar>
              <w:top w:w="0" w:type="dxa"/>
              <w:left w:w="108" w:type="dxa"/>
              <w:bottom w:w="0" w:type="dxa"/>
              <w:right w:w="108" w:type="dxa"/>
            </w:tcMar>
          </w:tcPr>
          <w:p w14:paraId="08BE4051" w14:textId="77777777" w:rsidR="009B1033" w:rsidRPr="00057F28" w:rsidRDefault="009B1033" w:rsidP="00D876F1">
            <w:pPr>
              <w:pStyle w:val="TableDataLeft"/>
              <w:keepNext/>
              <w:keepLines/>
              <w:jc w:val="center"/>
              <w:rPr>
                <w:rFonts w:ascii="Arial" w:hAnsi="Arial" w:cs="Arial"/>
              </w:rPr>
            </w:pPr>
            <w:r w:rsidRPr="00057F28">
              <w:rPr>
                <w:rFonts w:ascii="Arial" w:hAnsi="Arial" w:cs="Arial"/>
              </w:rPr>
              <w:t>–</w:t>
            </w:r>
          </w:p>
        </w:tc>
        <w:tc>
          <w:tcPr>
            <w:tcW w:w="2409" w:type="dxa"/>
            <w:tcMar>
              <w:top w:w="0" w:type="dxa"/>
              <w:left w:w="108" w:type="dxa"/>
              <w:bottom w:w="0" w:type="dxa"/>
              <w:right w:w="108" w:type="dxa"/>
            </w:tcMar>
            <w:hideMark/>
          </w:tcPr>
          <w:p w14:paraId="05B61FBF" w14:textId="77777777" w:rsidR="009B1033" w:rsidRPr="00057F28" w:rsidRDefault="009B1033" w:rsidP="00D876F1">
            <w:pPr>
              <w:pStyle w:val="TableDataLeft"/>
              <w:keepNext/>
              <w:keepLines/>
              <w:rPr>
                <w:rFonts w:ascii="Arial" w:eastAsia="Times New Roman" w:hAnsi="Arial" w:cs="Arial"/>
                <w:iCs/>
                <w:lang w:eastAsia="de-DE"/>
              </w:rPr>
            </w:pPr>
            <w:r w:rsidRPr="00057F28">
              <w:rPr>
                <w:rFonts w:ascii="Arial" w:eastAsia="Times New Roman" w:hAnsi="Arial" w:cs="Arial"/>
                <w:iCs/>
                <w:lang w:eastAsia="de-DE"/>
              </w:rPr>
              <w:t xml:space="preserve">Hypersensitivity </w:t>
            </w:r>
          </w:p>
        </w:tc>
        <w:tc>
          <w:tcPr>
            <w:tcW w:w="1560" w:type="dxa"/>
            <w:tcMar>
              <w:top w:w="0" w:type="dxa"/>
              <w:left w:w="108" w:type="dxa"/>
              <w:bottom w:w="0" w:type="dxa"/>
              <w:right w:w="108" w:type="dxa"/>
            </w:tcMar>
          </w:tcPr>
          <w:p w14:paraId="36EC9E55" w14:textId="77777777" w:rsidR="009B1033" w:rsidRPr="00057F28" w:rsidRDefault="009B1033" w:rsidP="00D876F1">
            <w:pPr>
              <w:pStyle w:val="TableDataLeft"/>
              <w:keepNext/>
              <w:keepLines/>
              <w:rPr>
                <w:rFonts w:ascii="Arial" w:hAnsi="Arial" w:cs="Arial"/>
                <w:iCs/>
                <w:lang w:eastAsia="de-DE"/>
              </w:rPr>
            </w:pPr>
            <w:r w:rsidRPr="00057F28">
              <w:rPr>
                <w:rFonts w:ascii="Arial" w:hAnsi="Arial" w:cs="Arial"/>
              </w:rPr>
              <w:t>Anaphylactoid reactions</w:t>
            </w:r>
          </w:p>
        </w:tc>
      </w:tr>
      <w:tr w:rsidR="009B1033" w:rsidRPr="00057F28" w14:paraId="564F500C" w14:textId="77777777" w:rsidTr="009B1033">
        <w:tc>
          <w:tcPr>
            <w:tcW w:w="2268" w:type="dxa"/>
            <w:tcMar>
              <w:top w:w="0" w:type="dxa"/>
              <w:left w:w="108" w:type="dxa"/>
              <w:bottom w:w="0" w:type="dxa"/>
              <w:right w:w="108" w:type="dxa"/>
            </w:tcMar>
            <w:hideMark/>
          </w:tcPr>
          <w:p w14:paraId="6E321E09" w14:textId="77777777" w:rsidR="009B1033" w:rsidRPr="00057F28" w:rsidRDefault="009B1033" w:rsidP="00D876F1">
            <w:pPr>
              <w:pStyle w:val="TableHeadLeft"/>
              <w:keepNext/>
              <w:keepLines/>
              <w:rPr>
                <w:rFonts w:ascii="Arial" w:hAnsi="Arial" w:cs="Arial"/>
              </w:rPr>
            </w:pPr>
            <w:r w:rsidRPr="00057F28">
              <w:rPr>
                <w:rFonts w:ascii="Arial" w:hAnsi="Arial" w:cs="Arial"/>
              </w:rPr>
              <w:t>Nervous System Disorders</w:t>
            </w:r>
          </w:p>
        </w:tc>
        <w:tc>
          <w:tcPr>
            <w:tcW w:w="1101" w:type="dxa"/>
            <w:tcMar>
              <w:top w:w="0" w:type="dxa"/>
              <w:left w:w="108" w:type="dxa"/>
              <w:bottom w:w="0" w:type="dxa"/>
              <w:right w:w="108" w:type="dxa"/>
            </w:tcMar>
          </w:tcPr>
          <w:p w14:paraId="13B737D5" w14:textId="77777777" w:rsidR="009B1033" w:rsidRPr="00057F28" w:rsidRDefault="009B1033" w:rsidP="00D876F1">
            <w:pPr>
              <w:pStyle w:val="TableDataLeft"/>
              <w:keepNext/>
              <w:keepLines/>
              <w:jc w:val="center"/>
              <w:rPr>
                <w:rFonts w:ascii="Arial" w:hAnsi="Arial" w:cs="Arial"/>
              </w:rPr>
            </w:pPr>
            <w:r w:rsidRPr="00057F28">
              <w:rPr>
                <w:rFonts w:ascii="Arial" w:hAnsi="Arial" w:cs="Arial"/>
              </w:rPr>
              <w:t>–</w:t>
            </w:r>
          </w:p>
        </w:tc>
        <w:tc>
          <w:tcPr>
            <w:tcW w:w="2160" w:type="dxa"/>
            <w:tcMar>
              <w:top w:w="0" w:type="dxa"/>
              <w:left w:w="108" w:type="dxa"/>
              <w:bottom w:w="0" w:type="dxa"/>
              <w:right w:w="108" w:type="dxa"/>
            </w:tcMar>
            <w:hideMark/>
          </w:tcPr>
          <w:p w14:paraId="76E5A3E4" w14:textId="77777777" w:rsidR="009B1033" w:rsidRPr="00057F28" w:rsidRDefault="009B1033" w:rsidP="00D876F1">
            <w:pPr>
              <w:pStyle w:val="TableDataLeft"/>
              <w:keepNext/>
              <w:keepLines/>
              <w:rPr>
                <w:rFonts w:ascii="Arial" w:eastAsia="Times New Roman" w:hAnsi="Arial" w:cs="Arial"/>
                <w:iCs/>
                <w:lang w:eastAsia="de-DE"/>
              </w:rPr>
            </w:pPr>
            <w:r w:rsidRPr="00057F28">
              <w:rPr>
                <w:rFonts w:ascii="Arial" w:eastAsia="Times New Roman" w:hAnsi="Arial" w:cs="Arial"/>
                <w:iCs/>
                <w:lang w:eastAsia="de-DE"/>
              </w:rPr>
              <w:t>Headache, dizziness</w:t>
            </w:r>
          </w:p>
        </w:tc>
        <w:tc>
          <w:tcPr>
            <w:tcW w:w="2409" w:type="dxa"/>
            <w:tcMar>
              <w:top w:w="0" w:type="dxa"/>
              <w:left w:w="108" w:type="dxa"/>
              <w:bottom w:w="0" w:type="dxa"/>
              <w:right w:w="108" w:type="dxa"/>
            </w:tcMar>
            <w:hideMark/>
          </w:tcPr>
          <w:p w14:paraId="62CD66E6" w14:textId="77777777" w:rsidR="009B1033" w:rsidRPr="00057F28" w:rsidRDefault="009B1033" w:rsidP="00D876F1">
            <w:pPr>
              <w:pStyle w:val="TableDataLeft"/>
              <w:keepNext/>
              <w:keepLines/>
              <w:rPr>
                <w:rFonts w:ascii="Arial" w:eastAsia="Times New Roman" w:hAnsi="Arial" w:cs="Arial"/>
                <w:iCs/>
                <w:lang w:eastAsia="de-DE"/>
              </w:rPr>
            </w:pPr>
            <w:r w:rsidRPr="00057F28">
              <w:rPr>
                <w:rFonts w:ascii="Arial" w:eastAsia="Times New Roman" w:hAnsi="Arial" w:cs="Arial"/>
                <w:iCs/>
                <w:lang w:eastAsia="de-DE"/>
              </w:rPr>
              <w:t xml:space="preserve">Paraesthesia, </w:t>
            </w:r>
            <w:r w:rsidRPr="00057F28">
              <w:rPr>
                <w:rFonts w:ascii="Arial" w:hAnsi="Arial" w:cs="Arial"/>
                <w:lang w:eastAsia="zh-CN"/>
              </w:rPr>
              <w:t>dysgeusia</w:t>
            </w:r>
          </w:p>
        </w:tc>
        <w:tc>
          <w:tcPr>
            <w:tcW w:w="1560" w:type="dxa"/>
            <w:tcMar>
              <w:top w:w="0" w:type="dxa"/>
              <w:left w:w="108" w:type="dxa"/>
              <w:bottom w:w="0" w:type="dxa"/>
              <w:right w:w="108" w:type="dxa"/>
            </w:tcMar>
          </w:tcPr>
          <w:p w14:paraId="7CF1762B" w14:textId="77777777" w:rsidR="009B1033" w:rsidRPr="00057F28" w:rsidRDefault="009B1033" w:rsidP="00D876F1">
            <w:pPr>
              <w:pStyle w:val="TableDataLeft"/>
              <w:keepNext/>
              <w:keepLines/>
              <w:jc w:val="center"/>
              <w:rPr>
                <w:rFonts w:ascii="Arial" w:hAnsi="Arial" w:cs="Arial"/>
              </w:rPr>
            </w:pPr>
            <w:r w:rsidRPr="00057F28">
              <w:rPr>
                <w:rFonts w:ascii="Arial" w:hAnsi="Arial" w:cs="Arial"/>
              </w:rPr>
              <w:t>–</w:t>
            </w:r>
          </w:p>
        </w:tc>
      </w:tr>
      <w:tr w:rsidR="009B1033" w:rsidRPr="00057F28" w14:paraId="29170A21" w14:textId="77777777" w:rsidTr="009B1033">
        <w:tc>
          <w:tcPr>
            <w:tcW w:w="2268" w:type="dxa"/>
            <w:tcMar>
              <w:top w:w="0" w:type="dxa"/>
              <w:left w:w="108" w:type="dxa"/>
              <w:bottom w:w="0" w:type="dxa"/>
              <w:right w:w="108" w:type="dxa"/>
            </w:tcMar>
            <w:hideMark/>
          </w:tcPr>
          <w:p w14:paraId="3BBEC316" w14:textId="77777777" w:rsidR="009B1033" w:rsidRPr="00057F28" w:rsidRDefault="009B1033" w:rsidP="00D876F1">
            <w:pPr>
              <w:pStyle w:val="TableHeadLeft"/>
              <w:keepNext/>
              <w:keepLines/>
              <w:rPr>
                <w:rFonts w:ascii="Arial" w:hAnsi="Arial" w:cs="Arial"/>
              </w:rPr>
            </w:pPr>
            <w:r w:rsidRPr="00057F28">
              <w:rPr>
                <w:rFonts w:ascii="Arial" w:hAnsi="Arial" w:cs="Arial"/>
              </w:rPr>
              <w:t>Cardiac Disorders</w:t>
            </w:r>
          </w:p>
        </w:tc>
        <w:tc>
          <w:tcPr>
            <w:tcW w:w="1101" w:type="dxa"/>
            <w:tcMar>
              <w:top w:w="0" w:type="dxa"/>
              <w:left w:w="108" w:type="dxa"/>
              <w:bottom w:w="0" w:type="dxa"/>
              <w:right w:w="108" w:type="dxa"/>
            </w:tcMar>
          </w:tcPr>
          <w:p w14:paraId="204EFDF5" w14:textId="77777777" w:rsidR="009B1033" w:rsidRPr="00057F28" w:rsidRDefault="009B1033" w:rsidP="00D876F1">
            <w:pPr>
              <w:pStyle w:val="TableDataLeft"/>
              <w:keepNext/>
              <w:keepLines/>
              <w:jc w:val="center"/>
              <w:rPr>
                <w:rFonts w:ascii="Arial" w:hAnsi="Arial" w:cs="Arial"/>
              </w:rPr>
            </w:pPr>
            <w:r w:rsidRPr="00057F28">
              <w:rPr>
                <w:rFonts w:ascii="Arial" w:hAnsi="Arial" w:cs="Arial"/>
              </w:rPr>
              <w:t>–</w:t>
            </w:r>
          </w:p>
        </w:tc>
        <w:tc>
          <w:tcPr>
            <w:tcW w:w="2160" w:type="dxa"/>
            <w:tcMar>
              <w:top w:w="0" w:type="dxa"/>
              <w:left w:w="108" w:type="dxa"/>
              <w:bottom w:w="0" w:type="dxa"/>
              <w:right w:w="108" w:type="dxa"/>
            </w:tcMar>
            <w:hideMark/>
          </w:tcPr>
          <w:p w14:paraId="1171671D" w14:textId="77777777" w:rsidR="009B1033" w:rsidRPr="00057F28" w:rsidRDefault="009B1033" w:rsidP="00D876F1">
            <w:pPr>
              <w:pStyle w:val="TableDataLeft"/>
              <w:keepNext/>
              <w:keepLines/>
              <w:jc w:val="center"/>
              <w:rPr>
                <w:rFonts w:ascii="Arial" w:hAnsi="Arial" w:cs="Arial"/>
              </w:rPr>
            </w:pPr>
            <w:r w:rsidRPr="00057F28">
              <w:rPr>
                <w:rFonts w:ascii="Arial" w:hAnsi="Arial" w:cs="Arial"/>
              </w:rPr>
              <w:t>–</w:t>
            </w:r>
          </w:p>
        </w:tc>
        <w:tc>
          <w:tcPr>
            <w:tcW w:w="2409" w:type="dxa"/>
            <w:tcMar>
              <w:top w:w="0" w:type="dxa"/>
              <w:left w:w="108" w:type="dxa"/>
              <w:bottom w:w="0" w:type="dxa"/>
              <w:right w:w="108" w:type="dxa"/>
            </w:tcMar>
            <w:hideMark/>
          </w:tcPr>
          <w:p w14:paraId="468D8579" w14:textId="77777777" w:rsidR="009B1033" w:rsidRPr="00057F28" w:rsidRDefault="009B1033" w:rsidP="00D876F1">
            <w:pPr>
              <w:pStyle w:val="TableDataLeft"/>
              <w:keepNext/>
              <w:keepLines/>
              <w:rPr>
                <w:rFonts w:ascii="Arial" w:eastAsia="Times New Roman" w:hAnsi="Arial" w:cs="Arial"/>
                <w:iCs/>
                <w:lang w:eastAsia="de-DE"/>
              </w:rPr>
            </w:pPr>
            <w:r w:rsidRPr="00057F28">
              <w:rPr>
                <w:rFonts w:ascii="Arial" w:hAnsi="Arial" w:cs="Arial"/>
                <w:lang w:eastAsia="zh-CN"/>
              </w:rPr>
              <w:t>Tachycardia</w:t>
            </w:r>
          </w:p>
        </w:tc>
        <w:tc>
          <w:tcPr>
            <w:tcW w:w="1560" w:type="dxa"/>
            <w:tcMar>
              <w:top w:w="0" w:type="dxa"/>
              <w:left w:w="108" w:type="dxa"/>
              <w:bottom w:w="0" w:type="dxa"/>
              <w:right w:w="108" w:type="dxa"/>
            </w:tcMar>
          </w:tcPr>
          <w:p w14:paraId="3E4646CD" w14:textId="77777777" w:rsidR="009B1033" w:rsidRPr="00057F28" w:rsidRDefault="009B1033" w:rsidP="00D876F1">
            <w:pPr>
              <w:pStyle w:val="TableDataLeft"/>
              <w:keepNext/>
              <w:keepLines/>
              <w:jc w:val="center"/>
              <w:rPr>
                <w:rFonts w:ascii="Arial" w:hAnsi="Arial" w:cs="Arial"/>
              </w:rPr>
            </w:pPr>
            <w:r w:rsidRPr="00057F28">
              <w:rPr>
                <w:rFonts w:ascii="Arial" w:hAnsi="Arial" w:cs="Arial"/>
              </w:rPr>
              <w:t>–</w:t>
            </w:r>
          </w:p>
        </w:tc>
      </w:tr>
      <w:tr w:rsidR="009B1033" w:rsidRPr="00057F28" w14:paraId="4481644B" w14:textId="77777777" w:rsidTr="009B1033">
        <w:tc>
          <w:tcPr>
            <w:tcW w:w="2268" w:type="dxa"/>
            <w:tcMar>
              <w:top w:w="0" w:type="dxa"/>
              <w:left w:w="108" w:type="dxa"/>
              <w:bottom w:w="0" w:type="dxa"/>
              <w:right w:w="108" w:type="dxa"/>
            </w:tcMar>
            <w:hideMark/>
          </w:tcPr>
          <w:p w14:paraId="73EC5DCA" w14:textId="77777777" w:rsidR="009B1033" w:rsidRPr="00057F28" w:rsidRDefault="009B1033" w:rsidP="00D876F1">
            <w:pPr>
              <w:pStyle w:val="TableHeadLeft"/>
              <w:keepNext/>
              <w:keepLines/>
              <w:rPr>
                <w:rFonts w:ascii="Arial" w:hAnsi="Arial" w:cs="Arial"/>
              </w:rPr>
            </w:pPr>
            <w:r w:rsidRPr="00057F28">
              <w:rPr>
                <w:rFonts w:ascii="Arial" w:hAnsi="Arial" w:cs="Arial"/>
              </w:rPr>
              <w:t>Vascular Disorders</w:t>
            </w:r>
          </w:p>
        </w:tc>
        <w:tc>
          <w:tcPr>
            <w:tcW w:w="1101" w:type="dxa"/>
            <w:tcMar>
              <w:top w:w="0" w:type="dxa"/>
              <w:left w:w="108" w:type="dxa"/>
              <w:bottom w:w="0" w:type="dxa"/>
              <w:right w:w="108" w:type="dxa"/>
            </w:tcMar>
          </w:tcPr>
          <w:p w14:paraId="4DD70B5D" w14:textId="77777777" w:rsidR="009B1033" w:rsidRPr="00057F28" w:rsidRDefault="009B1033" w:rsidP="00D876F1">
            <w:pPr>
              <w:pStyle w:val="TableDataLeft"/>
              <w:keepNext/>
              <w:keepLines/>
              <w:jc w:val="center"/>
              <w:rPr>
                <w:rFonts w:ascii="Arial" w:hAnsi="Arial" w:cs="Arial"/>
              </w:rPr>
            </w:pPr>
            <w:r w:rsidRPr="00057F28">
              <w:rPr>
                <w:rFonts w:ascii="Arial" w:hAnsi="Arial" w:cs="Arial"/>
              </w:rPr>
              <w:t>–</w:t>
            </w:r>
          </w:p>
        </w:tc>
        <w:tc>
          <w:tcPr>
            <w:tcW w:w="2160" w:type="dxa"/>
            <w:tcMar>
              <w:top w:w="0" w:type="dxa"/>
              <w:left w:w="108" w:type="dxa"/>
              <w:bottom w:w="0" w:type="dxa"/>
              <w:right w:w="108" w:type="dxa"/>
            </w:tcMar>
            <w:hideMark/>
          </w:tcPr>
          <w:p w14:paraId="4DDBC7B9" w14:textId="77777777" w:rsidR="009B1033" w:rsidRPr="00057F28" w:rsidRDefault="009B1033" w:rsidP="00D876F1">
            <w:pPr>
              <w:pStyle w:val="TableDataLeft"/>
              <w:keepNext/>
              <w:keepLines/>
              <w:rPr>
                <w:rFonts w:ascii="Arial" w:eastAsia="Times New Roman" w:hAnsi="Arial" w:cs="Arial"/>
                <w:iCs/>
                <w:lang w:eastAsia="de-DE"/>
              </w:rPr>
            </w:pPr>
            <w:r w:rsidRPr="00057F28">
              <w:rPr>
                <w:rFonts w:ascii="Arial" w:hAnsi="Arial" w:cs="Arial"/>
                <w:lang w:eastAsia="zh-CN"/>
              </w:rPr>
              <w:t xml:space="preserve">Hypertension, </w:t>
            </w:r>
            <w:r w:rsidRPr="00057F28">
              <w:rPr>
                <w:rFonts w:ascii="Arial" w:eastAsia="Times New Roman" w:hAnsi="Arial" w:cs="Arial"/>
                <w:iCs/>
                <w:lang w:eastAsia="de-DE"/>
              </w:rPr>
              <w:t>flushing</w:t>
            </w:r>
          </w:p>
        </w:tc>
        <w:tc>
          <w:tcPr>
            <w:tcW w:w="2409" w:type="dxa"/>
            <w:tcMar>
              <w:top w:w="0" w:type="dxa"/>
              <w:left w:w="108" w:type="dxa"/>
              <w:bottom w:w="0" w:type="dxa"/>
              <w:right w:w="108" w:type="dxa"/>
            </w:tcMar>
            <w:hideMark/>
          </w:tcPr>
          <w:p w14:paraId="0389F55A" w14:textId="77777777" w:rsidR="009B1033" w:rsidRPr="00057F28" w:rsidRDefault="009B1033" w:rsidP="00D876F1">
            <w:pPr>
              <w:pStyle w:val="TableDataLeft"/>
              <w:keepNext/>
              <w:keepLines/>
              <w:rPr>
                <w:rFonts w:ascii="Arial" w:eastAsia="Times New Roman" w:hAnsi="Arial" w:cs="Arial"/>
                <w:iCs/>
                <w:lang w:eastAsia="de-DE"/>
              </w:rPr>
            </w:pPr>
            <w:r w:rsidRPr="00057F28">
              <w:rPr>
                <w:rFonts w:ascii="Arial" w:eastAsia="Times New Roman" w:hAnsi="Arial" w:cs="Arial"/>
                <w:iCs/>
                <w:lang w:eastAsia="de-DE"/>
              </w:rPr>
              <w:t xml:space="preserve">Hypotension </w:t>
            </w:r>
          </w:p>
        </w:tc>
        <w:tc>
          <w:tcPr>
            <w:tcW w:w="1560" w:type="dxa"/>
            <w:tcMar>
              <w:top w:w="0" w:type="dxa"/>
              <w:left w:w="108" w:type="dxa"/>
              <w:bottom w:w="0" w:type="dxa"/>
              <w:right w:w="108" w:type="dxa"/>
            </w:tcMar>
          </w:tcPr>
          <w:p w14:paraId="5E963BCF" w14:textId="77777777" w:rsidR="009B1033" w:rsidRPr="00057F28" w:rsidRDefault="009B1033" w:rsidP="00D876F1">
            <w:pPr>
              <w:pStyle w:val="TableDataLeft"/>
              <w:keepNext/>
              <w:keepLines/>
              <w:jc w:val="center"/>
              <w:rPr>
                <w:rFonts w:ascii="Arial" w:hAnsi="Arial" w:cs="Arial"/>
              </w:rPr>
            </w:pPr>
            <w:r w:rsidRPr="00057F28">
              <w:rPr>
                <w:rFonts w:ascii="Arial" w:hAnsi="Arial" w:cs="Arial"/>
              </w:rPr>
              <w:t>–</w:t>
            </w:r>
          </w:p>
        </w:tc>
      </w:tr>
      <w:tr w:rsidR="009B1033" w:rsidRPr="00057F28" w14:paraId="28671EFD" w14:textId="77777777" w:rsidTr="009B1033">
        <w:tc>
          <w:tcPr>
            <w:tcW w:w="2268" w:type="dxa"/>
            <w:tcMar>
              <w:top w:w="0" w:type="dxa"/>
              <w:left w:w="108" w:type="dxa"/>
              <w:bottom w:w="0" w:type="dxa"/>
              <w:right w:w="108" w:type="dxa"/>
            </w:tcMar>
            <w:hideMark/>
          </w:tcPr>
          <w:p w14:paraId="32F160E5" w14:textId="77777777" w:rsidR="009B1033" w:rsidRPr="00057F28" w:rsidRDefault="009B1033" w:rsidP="00D876F1">
            <w:pPr>
              <w:pStyle w:val="TableHeadLeft"/>
              <w:keepNext/>
              <w:keepLines/>
              <w:rPr>
                <w:rFonts w:ascii="Arial" w:hAnsi="Arial" w:cs="Arial"/>
              </w:rPr>
            </w:pPr>
            <w:r w:rsidRPr="00057F28">
              <w:rPr>
                <w:rFonts w:ascii="Arial" w:hAnsi="Arial" w:cs="Arial"/>
              </w:rPr>
              <w:t>Respiratory, Thoracic and Mediastinal Disorders</w:t>
            </w:r>
          </w:p>
        </w:tc>
        <w:tc>
          <w:tcPr>
            <w:tcW w:w="1101" w:type="dxa"/>
            <w:tcMar>
              <w:top w:w="0" w:type="dxa"/>
              <w:left w:w="108" w:type="dxa"/>
              <w:bottom w:w="0" w:type="dxa"/>
              <w:right w:w="108" w:type="dxa"/>
            </w:tcMar>
          </w:tcPr>
          <w:p w14:paraId="711F0E40" w14:textId="77777777" w:rsidR="009B1033" w:rsidRPr="00057F28" w:rsidRDefault="009B1033" w:rsidP="00D876F1">
            <w:pPr>
              <w:pStyle w:val="TableDataLeft"/>
              <w:keepNext/>
              <w:keepLines/>
              <w:jc w:val="center"/>
              <w:rPr>
                <w:rFonts w:ascii="Arial" w:hAnsi="Arial" w:cs="Arial"/>
              </w:rPr>
            </w:pPr>
            <w:r w:rsidRPr="00057F28">
              <w:rPr>
                <w:rFonts w:ascii="Arial" w:hAnsi="Arial" w:cs="Arial"/>
              </w:rPr>
              <w:t>–</w:t>
            </w:r>
          </w:p>
        </w:tc>
        <w:tc>
          <w:tcPr>
            <w:tcW w:w="2160" w:type="dxa"/>
            <w:tcMar>
              <w:top w:w="0" w:type="dxa"/>
              <w:left w:w="108" w:type="dxa"/>
              <w:bottom w:w="0" w:type="dxa"/>
              <w:right w:w="108" w:type="dxa"/>
            </w:tcMar>
            <w:hideMark/>
          </w:tcPr>
          <w:p w14:paraId="4F729E04" w14:textId="77777777" w:rsidR="009B1033" w:rsidRPr="00057F28" w:rsidRDefault="009B1033" w:rsidP="00D876F1">
            <w:pPr>
              <w:pStyle w:val="TableDataLeft"/>
              <w:keepNext/>
              <w:keepLines/>
              <w:jc w:val="center"/>
              <w:rPr>
                <w:rFonts w:ascii="Arial" w:hAnsi="Arial" w:cs="Arial"/>
              </w:rPr>
            </w:pPr>
            <w:r w:rsidRPr="00057F28">
              <w:rPr>
                <w:rFonts w:ascii="Arial" w:hAnsi="Arial" w:cs="Arial"/>
              </w:rPr>
              <w:t>–</w:t>
            </w:r>
          </w:p>
        </w:tc>
        <w:tc>
          <w:tcPr>
            <w:tcW w:w="2409" w:type="dxa"/>
            <w:tcMar>
              <w:top w:w="0" w:type="dxa"/>
              <w:left w:w="108" w:type="dxa"/>
              <w:bottom w:w="0" w:type="dxa"/>
              <w:right w:w="108" w:type="dxa"/>
            </w:tcMar>
            <w:hideMark/>
          </w:tcPr>
          <w:p w14:paraId="7B24E786" w14:textId="77777777" w:rsidR="009B1033" w:rsidRPr="00057F28" w:rsidRDefault="009B1033" w:rsidP="00D876F1">
            <w:pPr>
              <w:pStyle w:val="TableDataLeft"/>
              <w:keepNext/>
              <w:keepLines/>
              <w:rPr>
                <w:rFonts w:ascii="Arial" w:eastAsia="Times New Roman" w:hAnsi="Arial" w:cs="Arial"/>
                <w:iCs/>
                <w:lang w:eastAsia="de-DE"/>
              </w:rPr>
            </w:pPr>
            <w:r w:rsidRPr="00057F28">
              <w:rPr>
                <w:rFonts w:ascii="Arial" w:hAnsi="Arial" w:cs="Arial"/>
                <w:lang w:eastAsia="zh-CN"/>
              </w:rPr>
              <w:t>Dyspnoea</w:t>
            </w:r>
          </w:p>
        </w:tc>
        <w:tc>
          <w:tcPr>
            <w:tcW w:w="1560" w:type="dxa"/>
            <w:tcMar>
              <w:top w:w="0" w:type="dxa"/>
              <w:left w:w="108" w:type="dxa"/>
              <w:bottom w:w="0" w:type="dxa"/>
              <w:right w:w="108" w:type="dxa"/>
            </w:tcMar>
          </w:tcPr>
          <w:p w14:paraId="51D30B58" w14:textId="77777777" w:rsidR="009B1033" w:rsidRPr="00057F28" w:rsidRDefault="009B1033" w:rsidP="00D876F1">
            <w:pPr>
              <w:pStyle w:val="TableDataLeft"/>
              <w:keepNext/>
              <w:keepLines/>
              <w:jc w:val="center"/>
              <w:rPr>
                <w:rFonts w:ascii="Arial" w:hAnsi="Arial" w:cs="Arial"/>
              </w:rPr>
            </w:pPr>
            <w:r w:rsidRPr="00057F28">
              <w:rPr>
                <w:rFonts w:ascii="Arial" w:hAnsi="Arial" w:cs="Arial"/>
              </w:rPr>
              <w:t>–</w:t>
            </w:r>
          </w:p>
        </w:tc>
      </w:tr>
      <w:tr w:rsidR="009B1033" w:rsidRPr="00057F28" w14:paraId="2C94422E" w14:textId="77777777" w:rsidTr="009B1033">
        <w:tc>
          <w:tcPr>
            <w:tcW w:w="2268" w:type="dxa"/>
            <w:tcMar>
              <w:top w:w="0" w:type="dxa"/>
              <w:left w:w="108" w:type="dxa"/>
              <w:bottom w:w="0" w:type="dxa"/>
              <w:right w:w="108" w:type="dxa"/>
            </w:tcMar>
            <w:hideMark/>
          </w:tcPr>
          <w:p w14:paraId="171C9898" w14:textId="77777777" w:rsidR="009B1033" w:rsidRPr="00057F28" w:rsidRDefault="009B1033" w:rsidP="00D876F1">
            <w:pPr>
              <w:pStyle w:val="TableHeadLeft"/>
              <w:keepNext/>
              <w:keepLines/>
              <w:rPr>
                <w:rFonts w:ascii="Arial" w:hAnsi="Arial" w:cs="Arial"/>
              </w:rPr>
            </w:pPr>
            <w:r w:rsidRPr="00057F28">
              <w:rPr>
                <w:rFonts w:ascii="Arial" w:hAnsi="Arial" w:cs="Arial"/>
              </w:rPr>
              <w:t>Gastrointestinal Disorders</w:t>
            </w:r>
          </w:p>
        </w:tc>
        <w:tc>
          <w:tcPr>
            <w:tcW w:w="1101" w:type="dxa"/>
            <w:tcMar>
              <w:top w:w="0" w:type="dxa"/>
              <w:left w:w="108" w:type="dxa"/>
              <w:bottom w:w="0" w:type="dxa"/>
              <w:right w:w="108" w:type="dxa"/>
            </w:tcMar>
          </w:tcPr>
          <w:p w14:paraId="3F16BA0A" w14:textId="77777777" w:rsidR="009B1033" w:rsidRPr="00057F28" w:rsidRDefault="009B1033" w:rsidP="00D876F1">
            <w:pPr>
              <w:pStyle w:val="TableDataLeft"/>
              <w:keepNext/>
              <w:keepLines/>
              <w:jc w:val="center"/>
              <w:rPr>
                <w:rFonts w:ascii="Arial" w:hAnsi="Arial" w:cs="Arial"/>
              </w:rPr>
            </w:pPr>
            <w:r w:rsidRPr="00057F28">
              <w:rPr>
                <w:rFonts w:ascii="Arial" w:hAnsi="Arial" w:cs="Arial"/>
              </w:rPr>
              <w:t>–</w:t>
            </w:r>
          </w:p>
        </w:tc>
        <w:tc>
          <w:tcPr>
            <w:tcW w:w="2160" w:type="dxa"/>
            <w:tcMar>
              <w:top w:w="0" w:type="dxa"/>
              <w:left w:w="108" w:type="dxa"/>
              <w:bottom w:w="0" w:type="dxa"/>
              <w:right w:w="108" w:type="dxa"/>
            </w:tcMar>
            <w:hideMark/>
          </w:tcPr>
          <w:p w14:paraId="65EBDBA9" w14:textId="77777777" w:rsidR="009B1033" w:rsidRPr="00057F28" w:rsidRDefault="009B1033" w:rsidP="00D876F1">
            <w:pPr>
              <w:pStyle w:val="TableDataLeft"/>
              <w:keepNext/>
              <w:keepLines/>
              <w:rPr>
                <w:rFonts w:ascii="Arial" w:eastAsia="Times New Roman" w:hAnsi="Arial" w:cs="Arial"/>
                <w:iCs/>
                <w:lang w:eastAsia="de-DE"/>
              </w:rPr>
            </w:pPr>
            <w:r w:rsidRPr="00057F28">
              <w:rPr>
                <w:rFonts w:ascii="Arial" w:eastAsia="Times New Roman" w:hAnsi="Arial" w:cs="Arial"/>
                <w:iCs/>
                <w:lang w:eastAsia="de-DE"/>
              </w:rPr>
              <w:t>Nausea</w:t>
            </w:r>
            <w:r w:rsidRPr="00057F28">
              <w:rPr>
                <w:rFonts w:ascii="Arial" w:hAnsi="Arial" w:cs="Arial"/>
                <w:lang w:eastAsia="zh-CN"/>
              </w:rPr>
              <w:t xml:space="preserve"> </w:t>
            </w:r>
          </w:p>
        </w:tc>
        <w:tc>
          <w:tcPr>
            <w:tcW w:w="2409" w:type="dxa"/>
            <w:tcMar>
              <w:top w:w="0" w:type="dxa"/>
              <w:left w:w="108" w:type="dxa"/>
              <w:bottom w:w="0" w:type="dxa"/>
              <w:right w:w="108" w:type="dxa"/>
            </w:tcMar>
            <w:hideMark/>
          </w:tcPr>
          <w:p w14:paraId="2456CDEB" w14:textId="77777777" w:rsidR="009B1033" w:rsidRPr="00057F28" w:rsidRDefault="009B1033" w:rsidP="00D876F1">
            <w:pPr>
              <w:pStyle w:val="TableDataLeft"/>
              <w:keepNext/>
              <w:keepLines/>
              <w:rPr>
                <w:rFonts w:ascii="Arial" w:eastAsia="Times New Roman" w:hAnsi="Arial" w:cs="Arial"/>
                <w:iCs/>
                <w:lang w:eastAsia="de-DE"/>
              </w:rPr>
            </w:pPr>
            <w:r w:rsidRPr="00057F28">
              <w:rPr>
                <w:rFonts w:ascii="Arial" w:eastAsia="Times New Roman" w:hAnsi="Arial" w:cs="Arial"/>
                <w:iCs/>
                <w:lang w:eastAsia="de-DE"/>
              </w:rPr>
              <w:t>Vomiting, dyspepsia, flatulence,</w:t>
            </w:r>
            <w:r w:rsidRPr="00057F28">
              <w:rPr>
                <w:rFonts w:ascii="Arial" w:hAnsi="Arial" w:cs="Arial"/>
                <w:lang w:eastAsia="zh-CN"/>
              </w:rPr>
              <w:t xml:space="preserve"> abdominal pain, constipation, diarrhoea</w:t>
            </w:r>
            <w:r w:rsidRPr="00057F28">
              <w:rPr>
                <w:rFonts w:ascii="Arial" w:eastAsia="Times New Roman" w:hAnsi="Arial" w:cs="Arial"/>
                <w:iCs/>
                <w:lang w:eastAsia="de-DE"/>
              </w:rPr>
              <w:t xml:space="preserve"> </w:t>
            </w:r>
          </w:p>
        </w:tc>
        <w:tc>
          <w:tcPr>
            <w:tcW w:w="1560" w:type="dxa"/>
            <w:tcMar>
              <w:top w:w="0" w:type="dxa"/>
              <w:left w:w="108" w:type="dxa"/>
              <w:bottom w:w="0" w:type="dxa"/>
              <w:right w:w="108" w:type="dxa"/>
            </w:tcMar>
          </w:tcPr>
          <w:p w14:paraId="31267CF3" w14:textId="77777777" w:rsidR="009B1033" w:rsidRPr="00057F28" w:rsidRDefault="009B1033" w:rsidP="00D876F1">
            <w:pPr>
              <w:pStyle w:val="TableDataLeft"/>
              <w:keepNext/>
              <w:keepLines/>
              <w:jc w:val="center"/>
              <w:rPr>
                <w:rFonts w:ascii="Arial" w:hAnsi="Arial" w:cs="Arial"/>
              </w:rPr>
            </w:pPr>
            <w:r w:rsidRPr="00057F28">
              <w:rPr>
                <w:rFonts w:ascii="Arial" w:hAnsi="Arial" w:cs="Arial"/>
              </w:rPr>
              <w:t>–</w:t>
            </w:r>
          </w:p>
        </w:tc>
      </w:tr>
      <w:tr w:rsidR="009B1033" w:rsidRPr="00057F28" w14:paraId="21E99E73" w14:textId="77777777" w:rsidTr="009B1033">
        <w:tc>
          <w:tcPr>
            <w:tcW w:w="2268" w:type="dxa"/>
            <w:tcMar>
              <w:top w:w="0" w:type="dxa"/>
              <w:left w:w="108" w:type="dxa"/>
              <w:bottom w:w="0" w:type="dxa"/>
              <w:right w:w="108" w:type="dxa"/>
            </w:tcMar>
            <w:hideMark/>
          </w:tcPr>
          <w:p w14:paraId="4EBBB8A0" w14:textId="77777777" w:rsidR="009B1033" w:rsidRPr="00057F28" w:rsidRDefault="009B1033" w:rsidP="00D876F1">
            <w:pPr>
              <w:pStyle w:val="TableHeadLeft"/>
              <w:keepNext/>
              <w:keepLines/>
              <w:rPr>
                <w:rFonts w:ascii="Arial" w:hAnsi="Arial" w:cs="Arial"/>
              </w:rPr>
            </w:pPr>
            <w:r w:rsidRPr="00057F28">
              <w:rPr>
                <w:rFonts w:ascii="Arial" w:hAnsi="Arial" w:cs="Arial"/>
              </w:rPr>
              <w:t>Skin and Subcutaneous Tissue Disorders</w:t>
            </w:r>
          </w:p>
        </w:tc>
        <w:tc>
          <w:tcPr>
            <w:tcW w:w="1101" w:type="dxa"/>
            <w:tcMar>
              <w:top w:w="0" w:type="dxa"/>
              <w:left w:w="108" w:type="dxa"/>
              <w:bottom w:w="0" w:type="dxa"/>
              <w:right w:w="108" w:type="dxa"/>
            </w:tcMar>
          </w:tcPr>
          <w:p w14:paraId="12A6AAC5" w14:textId="77777777" w:rsidR="009B1033" w:rsidRPr="00057F28" w:rsidRDefault="009B1033" w:rsidP="00D876F1">
            <w:pPr>
              <w:pStyle w:val="TableDataLeft"/>
              <w:keepNext/>
              <w:keepLines/>
              <w:jc w:val="center"/>
              <w:rPr>
                <w:rFonts w:ascii="Arial" w:hAnsi="Arial" w:cs="Arial"/>
              </w:rPr>
            </w:pPr>
            <w:r w:rsidRPr="00057F28">
              <w:rPr>
                <w:rFonts w:ascii="Arial" w:hAnsi="Arial" w:cs="Arial"/>
              </w:rPr>
              <w:t>–</w:t>
            </w:r>
          </w:p>
        </w:tc>
        <w:tc>
          <w:tcPr>
            <w:tcW w:w="2160" w:type="dxa"/>
            <w:tcMar>
              <w:top w:w="0" w:type="dxa"/>
              <w:left w:w="108" w:type="dxa"/>
              <w:bottom w:w="0" w:type="dxa"/>
              <w:right w:w="108" w:type="dxa"/>
            </w:tcMar>
            <w:hideMark/>
          </w:tcPr>
          <w:p w14:paraId="1EF1F679" w14:textId="77777777" w:rsidR="009B1033" w:rsidRPr="00057F28" w:rsidRDefault="009B1033" w:rsidP="00D876F1">
            <w:pPr>
              <w:pStyle w:val="TableDataLeft"/>
              <w:keepNext/>
              <w:keepLines/>
              <w:jc w:val="center"/>
              <w:rPr>
                <w:rFonts w:ascii="Arial" w:hAnsi="Arial" w:cs="Arial"/>
              </w:rPr>
            </w:pPr>
            <w:r w:rsidRPr="00057F28">
              <w:rPr>
                <w:rFonts w:ascii="Arial" w:hAnsi="Arial" w:cs="Arial"/>
              </w:rPr>
              <w:t>–</w:t>
            </w:r>
          </w:p>
        </w:tc>
        <w:tc>
          <w:tcPr>
            <w:tcW w:w="2409" w:type="dxa"/>
            <w:tcMar>
              <w:top w:w="0" w:type="dxa"/>
              <w:left w:w="108" w:type="dxa"/>
              <w:bottom w:w="0" w:type="dxa"/>
              <w:right w:w="108" w:type="dxa"/>
            </w:tcMar>
            <w:hideMark/>
          </w:tcPr>
          <w:p w14:paraId="43894E8F" w14:textId="77777777" w:rsidR="009B1033" w:rsidRPr="00057F28" w:rsidRDefault="009B1033" w:rsidP="00D876F1">
            <w:pPr>
              <w:pStyle w:val="TableDataLeft"/>
              <w:keepNext/>
              <w:keepLines/>
              <w:rPr>
                <w:rFonts w:ascii="Arial" w:eastAsia="Times New Roman" w:hAnsi="Arial" w:cs="Arial"/>
                <w:iCs/>
                <w:lang w:eastAsia="de-DE"/>
              </w:rPr>
            </w:pPr>
            <w:r w:rsidRPr="00057F28">
              <w:rPr>
                <w:rFonts w:ascii="Arial" w:eastAsia="Times New Roman" w:hAnsi="Arial" w:cs="Arial"/>
                <w:iCs/>
                <w:lang w:eastAsia="de-DE"/>
              </w:rPr>
              <w:t xml:space="preserve">Pruritus, urticaria, </w:t>
            </w:r>
            <w:r w:rsidRPr="00057F28">
              <w:rPr>
                <w:rFonts w:ascii="Arial" w:hAnsi="Arial" w:cs="Arial"/>
                <w:lang w:eastAsia="zh-CN"/>
              </w:rPr>
              <w:t>erythema,</w:t>
            </w:r>
            <w:r w:rsidRPr="00057F28">
              <w:rPr>
                <w:rFonts w:ascii="Arial" w:hAnsi="Arial" w:cs="Arial"/>
              </w:rPr>
              <w:t xml:space="preserve"> r</w:t>
            </w:r>
            <w:r w:rsidRPr="00057F28">
              <w:rPr>
                <w:rFonts w:ascii="Arial" w:hAnsi="Arial" w:cs="Arial"/>
                <w:lang w:eastAsia="zh-CN"/>
              </w:rPr>
              <w:t>ash</w:t>
            </w:r>
            <w:r w:rsidRPr="00057F28">
              <w:rPr>
                <w:rFonts w:ascii="Arial" w:hAnsi="Arial" w:cs="Arial"/>
                <w:vertAlign w:val="superscript"/>
                <w:lang w:eastAsia="zh-CN"/>
              </w:rPr>
              <w:t>(1)</w:t>
            </w:r>
          </w:p>
        </w:tc>
        <w:tc>
          <w:tcPr>
            <w:tcW w:w="1560" w:type="dxa"/>
            <w:tcMar>
              <w:top w:w="0" w:type="dxa"/>
              <w:left w:w="108" w:type="dxa"/>
              <w:bottom w:w="0" w:type="dxa"/>
              <w:right w:w="108" w:type="dxa"/>
            </w:tcMar>
          </w:tcPr>
          <w:p w14:paraId="05978C2F" w14:textId="77777777" w:rsidR="009B1033" w:rsidRPr="00057F28" w:rsidRDefault="009B1033" w:rsidP="00D876F1">
            <w:pPr>
              <w:pStyle w:val="TableDataLeft"/>
              <w:keepNext/>
              <w:keepLines/>
              <w:jc w:val="center"/>
              <w:rPr>
                <w:rFonts w:ascii="Arial" w:hAnsi="Arial" w:cs="Arial"/>
              </w:rPr>
            </w:pPr>
            <w:r w:rsidRPr="00057F28">
              <w:rPr>
                <w:rFonts w:ascii="Arial" w:hAnsi="Arial" w:cs="Arial"/>
              </w:rPr>
              <w:t>–</w:t>
            </w:r>
          </w:p>
        </w:tc>
      </w:tr>
      <w:tr w:rsidR="009B1033" w:rsidRPr="00057F28" w14:paraId="70ADB832" w14:textId="77777777" w:rsidTr="009B1033">
        <w:tc>
          <w:tcPr>
            <w:tcW w:w="2268" w:type="dxa"/>
            <w:tcMar>
              <w:top w:w="0" w:type="dxa"/>
              <w:left w:w="108" w:type="dxa"/>
              <w:bottom w:w="0" w:type="dxa"/>
              <w:right w:w="108" w:type="dxa"/>
            </w:tcMar>
            <w:hideMark/>
          </w:tcPr>
          <w:p w14:paraId="1A705E2C" w14:textId="77777777" w:rsidR="009B1033" w:rsidRPr="00057F28" w:rsidRDefault="009B1033" w:rsidP="00D876F1">
            <w:pPr>
              <w:pStyle w:val="TableHeadLeft"/>
              <w:keepNext/>
              <w:keepLines/>
              <w:rPr>
                <w:rFonts w:ascii="Arial" w:hAnsi="Arial" w:cs="Arial"/>
              </w:rPr>
            </w:pPr>
            <w:r w:rsidRPr="00057F28">
              <w:rPr>
                <w:rFonts w:ascii="Arial" w:hAnsi="Arial" w:cs="Arial"/>
              </w:rPr>
              <w:t>Musculoskeletal and Connective Tissue Disorders</w:t>
            </w:r>
          </w:p>
        </w:tc>
        <w:tc>
          <w:tcPr>
            <w:tcW w:w="1101" w:type="dxa"/>
            <w:tcMar>
              <w:top w:w="0" w:type="dxa"/>
              <w:left w:w="108" w:type="dxa"/>
              <w:bottom w:w="0" w:type="dxa"/>
              <w:right w:w="108" w:type="dxa"/>
            </w:tcMar>
          </w:tcPr>
          <w:p w14:paraId="63D980E5" w14:textId="77777777" w:rsidR="009B1033" w:rsidRPr="00057F28" w:rsidRDefault="009B1033" w:rsidP="00D876F1">
            <w:pPr>
              <w:pStyle w:val="TableDataLeft"/>
              <w:keepNext/>
              <w:keepLines/>
              <w:jc w:val="center"/>
              <w:rPr>
                <w:rFonts w:ascii="Arial" w:hAnsi="Arial" w:cs="Arial"/>
              </w:rPr>
            </w:pPr>
            <w:r w:rsidRPr="00057F28">
              <w:rPr>
                <w:rFonts w:ascii="Arial" w:hAnsi="Arial" w:cs="Arial"/>
              </w:rPr>
              <w:t>–</w:t>
            </w:r>
          </w:p>
        </w:tc>
        <w:tc>
          <w:tcPr>
            <w:tcW w:w="2160" w:type="dxa"/>
            <w:tcMar>
              <w:top w:w="0" w:type="dxa"/>
              <w:left w:w="108" w:type="dxa"/>
              <w:bottom w:w="0" w:type="dxa"/>
              <w:right w:w="108" w:type="dxa"/>
            </w:tcMar>
            <w:hideMark/>
          </w:tcPr>
          <w:p w14:paraId="2A32B2E6" w14:textId="77777777" w:rsidR="009B1033" w:rsidRPr="00057F28" w:rsidRDefault="009B1033" w:rsidP="00D876F1">
            <w:pPr>
              <w:pStyle w:val="TableDataLeft"/>
              <w:keepNext/>
              <w:keepLines/>
              <w:jc w:val="center"/>
              <w:rPr>
                <w:rFonts w:ascii="Arial" w:hAnsi="Arial" w:cs="Arial"/>
              </w:rPr>
            </w:pPr>
            <w:r w:rsidRPr="00057F28">
              <w:rPr>
                <w:rFonts w:ascii="Arial" w:hAnsi="Arial" w:cs="Arial"/>
              </w:rPr>
              <w:t>–</w:t>
            </w:r>
          </w:p>
        </w:tc>
        <w:tc>
          <w:tcPr>
            <w:tcW w:w="2409" w:type="dxa"/>
            <w:tcMar>
              <w:top w:w="0" w:type="dxa"/>
              <w:left w:w="108" w:type="dxa"/>
              <w:bottom w:w="0" w:type="dxa"/>
              <w:right w:w="108" w:type="dxa"/>
            </w:tcMar>
            <w:hideMark/>
          </w:tcPr>
          <w:p w14:paraId="7605F5FF" w14:textId="77777777" w:rsidR="009B1033" w:rsidRPr="00057F28" w:rsidRDefault="009B1033" w:rsidP="00D876F1">
            <w:pPr>
              <w:pStyle w:val="TableDataLeft"/>
              <w:keepNext/>
              <w:keepLines/>
              <w:rPr>
                <w:rFonts w:ascii="Arial" w:eastAsia="Times New Roman" w:hAnsi="Arial" w:cs="Arial"/>
                <w:iCs/>
                <w:lang w:eastAsia="de-DE"/>
              </w:rPr>
            </w:pPr>
            <w:r w:rsidRPr="00057F28">
              <w:rPr>
                <w:rFonts w:ascii="Arial" w:eastAsia="Times New Roman" w:hAnsi="Arial" w:cs="Arial"/>
                <w:iCs/>
                <w:lang w:eastAsia="de-DE"/>
              </w:rPr>
              <w:t>Myalgia, back pain, arthralgia, pain in extremity, muscle spasms</w:t>
            </w:r>
          </w:p>
        </w:tc>
        <w:tc>
          <w:tcPr>
            <w:tcW w:w="1560" w:type="dxa"/>
            <w:tcMar>
              <w:top w:w="0" w:type="dxa"/>
              <w:left w:w="108" w:type="dxa"/>
              <w:bottom w:w="0" w:type="dxa"/>
              <w:right w:w="108" w:type="dxa"/>
            </w:tcMar>
          </w:tcPr>
          <w:p w14:paraId="5DBB2CAC" w14:textId="77777777" w:rsidR="009B1033" w:rsidRPr="00057F28" w:rsidRDefault="009B1033" w:rsidP="00D876F1">
            <w:pPr>
              <w:pStyle w:val="TableDataLeft"/>
              <w:keepNext/>
              <w:keepLines/>
              <w:jc w:val="center"/>
              <w:rPr>
                <w:rFonts w:ascii="Arial" w:hAnsi="Arial" w:cs="Arial"/>
              </w:rPr>
            </w:pPr>
            <w:r w:rsidRPr="00057F28">
              <w:rPr>
                <w:rFonts w:ascii="Arial" w:hAnsi="Arial" w:cs="Arial"/>
              </w:rPr>
              <w:t>–</w:t>
            </w:r>
          </w:p>
        </w:tc>
      </w:tr>
      <w:tr w:rsidR="009B1033" w:rsidRPr="00057F28" w14:paraId="5ADF787A" w14:textId="77777777" w:rsidTr="009B1033">
        <w:tc>
          <w:tcPr>
            <w:tcW w:w="2268" w:type="dxa"/>
            <w:tcMar>
              <w:top w:w="0" w:type="dxa"/>
              <w:left w:w="108" w:type="dxa"/>
              <w:bottom w:w="0" w:type="dxa"/>
              <w:right w:w="108" w:type="dxa"/>
            </w:tcMar>
            <w:hideMark/>
          </w:tcPr>
          <w:p w14:paraId="53803DB7" w14:textId="77777777" w:rsidR="009B1033" w:rsidRPr="00057F28" w:rsidRDefault="009B1033" w:rsidP="00D876F1">
            <w:pPr>
              <w:pStyle w:val="TableHeadLeft"/>
              <w:rPr>
                <w:rFonts w:ascii="Arial" w:hAnsi="Arial" w:cs="Arial"/>
              </w:rPr>
            </w:pPr>
            <w:r w:rsidRPr="00057F28">
              <w:rPr>
                <w:rFonts w:ascii="Arial" w:hAnsi="Arial" w:cs="Arial"/>
              </w:rPr>
              <w:t>General Disorders and Administration Site Conditions</w:t>
            </w:r>
          </w:p>
        </w:tc>
        <w:tc>
          <w:tcPr>
            <w:tcW w:w="1101" w:type="dxa"/>
            <w:tcMar>
              <w:top w:w="0" w:type="dxa"/>
              <w:left w:w="108" w:type="dxa"/>
              <w:bottom w:w="0" w:type="dxa"/>
              <w:right w:w="108" w:type="dxa"/>
            </w:tcMar>
          </w:tcPr>
          <w:p w14:paraId="79CC7084" w14:textId="77777777" w:rsidR="009B1033" w:rsidRPr="00057F28" w:rsidRDefault="009B1033" w:rsidP="00D876F1">
            <w:pPr>
              <w:pStyle w:val="TableDataLeft"/>
              <w:keepNext/>
              <w:keepLines/>
              <w:jc w:val="center"/>
              <w:rPr>
                <w:rFonts w:ascii="Arial" w:hAnsi="Arial" w:cs="Arial"/>
              </w:rPr>
            </w:pPr>
            <w:r w:rsidRPr="00057F28">
              <w:rPr>
                <w:rFonts w:ascii="Arial" w:hAnsi="Arial" w:cs="Arial"/>
              </w:rPr>
              <w:t>–</w:t>
            </w:r>
          </w:p>
        </w:tc>
        <w:tc>
          <w:tcPr>
            <w:tcW w:w="2160" w:type="dxa"/>
            <w:tcMar>
              <w:top w:w="0" w:type="dxa"/>
              <w:left w:w="108" w:type="dxa"/>
              <w:bottom w:w="0" w:type="dxa"/>
              <w:right w:w="108" w:type="dxa"/>
            </w:tcMar>
            <w:hideMark/>
          </w:tcPr>
          <w:p w14:paraId="33056C65" w14:textId="77777777" w:rsidR="009B1033" w:rsidRPr="00057F28" w:rsidRDefault="009B1033" w:rsidP="00D876F1">
            <w:pPr>
              <w:pStyle w:val="TableDataLeft"/>
              <w:rPr>
                <w:rFonts w:ascii="Arial" w:eastAsia="Times New Roman" w:hAnsi="Arial" w:cs="Arial"/>
                <w:iCs/>
                <w:lang w:eastAsia="de-DE"/>
              </w:rPr>
            </w:pPr>
            <w:r w:rsidRPr="00057F28">
              <w:rPr>
                <w:rFonts w:ascii="Arial" w:eastAsia="Times New Roman" w:hAnsi="Arial" w:cs="Arial"/>
                <w:iCs/>
                <w:lang w:eastAsia="de-DE"/>
              </w:rPr>
              <w:t>Injection/Infusion site reactions</w:t>
            </w:r>
            <w:r w:rsidRPr="00057F28">
              <w:rPr>
                <w:rFonts w:ascii="Arial" w:eastAsia="Times New Roman" w:hAnsi="Arial" w:cs="Arial"/>
                <w:iCs/>
                <w:vertAlign w:val="superscript"/>
                <w:lang w:eastAsia="de-DE"/>
              </w:rPr>
              <w:t>(2)</w:t>
            </w:r>
          </w:p>
        </w:tc>
        <w:tc>
          <w:tcPr>
            <w:tcW w:w="2409" w:type="dxa"/>
            <w:tcMar>
              <w:top w:w="0" w:type="dxa"/>
              <w:left w:w="108" w:type="dxa"/>
              <w:bottom w:w="0" w:type="dxa"/>
              <w:right w:w="108" w:type="dxa"/>
            </w:tcMar>
            <w:hideMark/>
          </w:tcPr>
          <w:p w14:paraId="721C1CA8" w14:textId="77777777" w:rsidR="009B1033" w:rsidRPr="00057F28" w:rsidRDefault="009B1033" w:rsidP="00D876F1">
            <w:pPr>
              <w:pStyle w:val="TableDataLeft"/>
              <w:rPr>
                <w:rFonts w:ascii="Arial" w:eastAsia="Times New Roman" w:hAnsi="Arial" w:cs="Arial"/>
                <w:iCs/>
                <w:lang w:val="fr-FR" w:eastAsia="de-DE"/>
              </w:rPr>
            </w:pPr>
            <w:proofErr w:type="spellStart"/>
            <w:r w:rsidRPr="00057F28">
              <w:rPr>
                <w:rFonts w:ascii="Arial" w:eastAsia="Times New Roman" w:hAnsi="Arial" w:cs="Arial"/>
                <w:iCs/>
                <w:lang w:val="fr-FR" w:eastAsia="de-DE"/>
              </w:rPr>
              <w:t>Pyrexia</w:t>
            </w:r>
            <w:proofErr w:type="spellEnd"/>
            <w:r w:rsidRPr="00057F28">
              <w:rPr>
                <w:rFonts w:ascii="Arial" w:eastAsia="Times New Roman" w:hAnsi="Arial" w:cs="Arial"/>
                <w:iCs/>
                <w:lang w:val="fr-FR" w:eastAsia="de-DE"/>
              </w:rPr>
              <w:t xml:space="preserve">, fatigue, </w:t>
            </w:r>
            <w:proofErr w:type="spellStart"/>
            <w:r w:rsidRPr="00057F28">
              <w:rPr>
                <w:rFonts w:ascii="Arial" w:eastAsia="Times New Roman" w:hAnsi="Arial" w:cs="Arial"/>
                <w:iCs/>
                <w:lang w:val="fr-FR" w:eastAsia="de-DE"/>
              </w:rPr>
              <w:t>chest</w:t>
            </w:r>
            <w:proofErr w:type="spellEnd"/>
            <w:r w:rsidRPr="00057F28">
              <w:rPr>
                <w:rFonts w:ascii="Arial" w:eastAsia="Times New Roman" w:hAnsi="Arial" w:cs="Arial"/>
                <w:iCs/>
                <w:lang w:val="fr-FR" w:eastAsia="de-DE"/>
              </w:rPr>
              <w:t xml:space="preserve"> pain, </w:t>
            </w:r>
            <w:proofErr w:type="spellStart"/>
            <w:r w:rsidRPr="00057F28">
              <w:rPr>
                <w:rFonts w:ascii="Arial" w:eastAsia="Times New Roman" w:hAnsi="Arial" w:cs="Arial"/>
                <w:iCs/>
                <w:lang w:val="fr-FR" w:eastAsia="de-DE"/>
              </w:rPr>
              <w:t>oedema</w:t>
            </w:r>
            <w:proofErr w:type="spellEnd"/>
            <w:r w:rsidRPr="00057F28">
              <w:rPr>
                <w:rFonts w:ascii="Arial" w:eastAsia="Times New Roman" w:hAnsi="Arial" w:cs="Arial"/>
                <w:iCs/>
                <w:lang w:val="fr-FR" w:eastAsia="de-DE"/>
              </w:rPr>
              <w:t xml:space="preserve"> </w:t>
            </w:r>
            <w:proofErr w:type="spellStart"/>
            <w:r w:rsidRPr="00057F28">
              <w:rPr>
                <w:rFonts w:ascii="Arial" w:eastAsia="Times New Roman" w:hAnsi="Arial" w:cs="Arial"/>
                <w:iCs/>
                <w:lang w:val="fr-FR" w:eastAsia="de-DE"/>
              </w:rPr>
              <w:t>peripheral</w:t>
            </w:r>
            <w:proofErr w:type="spellEnd"/>
            <w:r w:rsidRPr="00057F28">
              <w:rPr>
                <w:rFonts w:ascii="Arial" w:eastAsia="Times New Roman" w:hAnsi="Arial" w:cs="Arial"/>
                <w:iCs/>
                <w:lang w:val="fr-FR" w:eastAsia="de-DE"/>
              </w:rPr>
              <w:t xml:space="preserve">, </w:t>
            </w:r>
            <w:r w:rsidRPr="00057F28">
              <w:rPr>
                <w:rFonts w:ascii="Arial" w:hAnsi="Arial" w:cs="Arial"/>
                <w:lang w:val="fr-FR" w:eastAsia="zh-CN"/>
              </w:rPr>
              <w:t xml:space="preserve">pain, </w:t>
            </w:r>
            <w:proofErr w:type="spellStart"/>
            <w:r w:rsidRPr="00057F28">
              <w:rPr>
                <w:rFonts w:ascii="Arial" w:hAnsi="Arial" w:cs="Arial"/>
                <w:lang w:val="fr-FR" w:eastAsia="zh-CN"/>
              </w:rPr>
              <w:t>chills</w:t>
            </w:r>
            <w:proofErr w:type="spellEnd"/>
          </w:p>
        </w:tc>
        <w:tc>
          <w:tcPr>
            <w:tcW w:w="1560" w:type="dxa"/>
            <w:tcMar>
              <w:top w:w="0" w:type="dxa"/>
              <w:left w:w="108" w:type="dxa"/>
              <w:bottom w:w="0" w:type="dxa"/>
              <w:right w:w="108" w:type="dxa"/>
            </w:tcMar>
          </w:tcPr>
          <w:p w14:paraId="3B843B30" w14:textId="77777777" w:rsidR="009B1033" w:rsidRPr="00057F28" w:rsidRDefault="009B1033" w:rsidP="00D876F1">
            <w:pPr>
              <w:pStyle w:val="TableDataLeft"/>
              <w:rPr>
                <w:rFonts w:ascii="Arial" w:hAnsi="Arial" w:cs="Arial"/>
                <w:lang w:val="fr-CH"/>
              </w:rPr>
            </w:pPr>
            <w:r w:rsidRPr="00057F28">
              <w:rPr>
                <w:rFonts w:ascii="Arial" w:hAnsi="Arial" w:cs="Arial"/>
                <w:lang w:val="fr-CH"/>
              </w:rPr>
              <w:t>Malaise</w:t>
            </w:r>
            <w:r w:rsidRPr="00057F28">
              <w:rPr>
                <w:rFonts w:ascii="Arial" w:eastAsia="Times New Roman" w:hAnsi="Arial" w:cs="Arial"/>
                <w:iCs/>
                <w:lang w:val="fr-FR" w:eastAsia="de-DE"/>
              </w:rPr>
              <w:t xml:space="preserve"> </w:t>
            </w:r>
          </w:p>
        </w:tc>
      </w:tr>
      <w:tr w:rsidR="009B1033" w:rsidRPr="00057F28" w14:paraId="2FF0B0FA" w14:textId="77777777" w:rsidTr="009B1033">
        <w:tc>
          <w:tcPr>
            <w:tcW w:w="2268" w:type="dxa"/>
            <w:tcMar>
              <w:top w:w="0" w:type="dxa"/>
              <w:left w:w="108" w:type="dxa"/>
              <w:bottom w:w="0" w:type="dxa"/>
              <w:right w:w="108" w:type="dxa"/>
            </w:tcMar>
            <w:hideMark/>
          </w:tcPr>
          <w:p w14:paraId="4A1DCA91" w14:textId="77777777" w:rsidR="009B1033" w:rsidRPr="00057F28" w:rsidRDefault="009B1033" w:rsidP="00D876F1">
            <w:pPr>
              <w:pStyle w:val="TableHeadLeft"/>
              <w:rPr>
                <w:rFonts w:ascii="Arial" w:hAnsi="Arial" w:cs="Arial"/>
              </w:rPr>
            </w:pPr>
            <w:r w:rsidRPr="00057F28">
              <w:rPr>
                <w:rFonts w:ascii="Arial" w:hAnsi="Arial" w:cs="Arial"/>
              </w:rPr>
              <w:t>Investigations</w:t>
            </w:r>
          </w:p>
        </w:tc>
        <w:tc>
          <w:tcPr>
            <w:tcW w:w="1101" w:type="dxa"/>
            <w:tcMar>
              <w:top w:w="0" w:type="dxa"/>
              <w:left w:w="108" w:type="dxa"/>
              <w:bottom w:w="0" w:type="dxa"/>
              <w:right w:w="108" w:type="dxa"/>
            </w:tcMar>
          </w:tcPr>
          <w:p w14:paraId="73F10C3E" w14:textId="77777777" w:rsidR="009B1033" w:rsidRPr="00057F28" w:rsidRDefault="009B1033" w:rsidP="00D876F1">
            <w:pPr>
              <w:pStyle w:val="TableDataLeft"/>
              <w:keepNext/>
              <w:keepLines/>
              <w:jc w:val="center"/>
              <w:rPr>
                <w:rFonts w:ascii="Arial" w:hAnsi="Arial" w:cs="Arial"/>
              </w:rPr>
            </w:pPr>
            <w:r w:rsidRPr="00057F28">
              <w:rPr>
                <w:rFonts w:ascii="Arial" w:hAnsi="Arial" w:cs="Arial"/>
              </w:rPr>
              <w:t>–</w:t>
            </w:r>
          </w:p>
        </w:tc>
        <w:tc>
          <w:tcPr>
            <w:tcW w:w="2160" w:type="dxa"/>
            <w:tcMar>
              <w:top w:w="0" w:type="dxa"/>
              <w:left w:w="108" w:type="dxa"/>
              <w:bottom w:w="0" w:type="dxa"/>
              <w:right w:w="108" w:type="dxa"/>
            </w:tcMar>
            <w:hideMark/>
          </w:tcPr>
          <w:p w14:paraId="016F9220" w14:textId="7BCBDDE1" w:rsidR="009B1033" w:rsidRPr="00057F28" w:rsidRDefault="009B1033" w:rsidP="00D876F1">
            <w:pPr>
              <w:pStyle w:val="TableDataLeft"/>
              <w:jc w:val="center"/>
              <w:rPr>
                <w:rFonts w:ascii="Arial" w:eastAsia="Times New Roman" w:hAnsi="Arial" w:cs="Arial"/>
                <w:iCs/>
                <w:lang w:eastAsia="de-DE"/>
              </w:rPr>
            </w:pPr>
            <w:r w:rsidRPr="00057F28">
              <w:rPr>
                <w:rFonts w:ascii="Arial" w:eastAsia="Times New Roman" w:hAnsi="Arial" w:cs="Arial"/>
                <w:iCs/>
                <w:lang w:eastAsia="de-DE"/>
              </w:rPr>
              <w:t>-</w:t>
            </w:r>
          </w:p>
        </w:tc>
        <w:tc>
          <w:tcPr>
            <w:tcW w:w="2409" w:type="dxa"/>
            <w:tcMar>
              <w:top w:w="0" w:type="dxa"/>
              <w:left w:w="108" w:type="dxa"/>
              <w:bottom w:w="0" w:type="dxa"/>
              <w:right w:w="108" w:type="dxa"/>
            </w:tcMar>
            <w:hideMark/>
          </w:tcPr>
          <w:p w14:paraId="304582CF" w14:textId="570BF58D" w:rsidR="009B1033" w:rsidRPr="00057F28" w:rsidRDefault="009B1033" w:rsidP="00D876F1">
            <w:pPr>
              <w:pStyle w:val="TableDataLeft"/>
              <w:rPr>
                <w:rFonts w:ascii="Arial" w:eastAsia="Times New Roman" w:hAnsi="Arial" w:cs="Arial"/>
                <w:iCs/>
                <w:lang w:eastAsia="de-DE"/>
              </w:rPr>
            </w:pPr>
            <w:r w:rsidRPr="00057F28">
              <w:rPr>
                <w:rFonts w:ascii="Arial" w:eastAsia="Times New Roman" w:hAnsi="Arial" w:cs="Arial"/>
                <w:iCs/>
                <w:lang w:eastAsia="de-DE"/>
              </w:rPr>
              <w:t xml:space="preserve">Alanine aminotransferase increased, aspartate </w:t>
            </w:r>
            <w:proofErr w:type="spellStart"/>
            <w:r w:rsidRPr="00057F28">
              <w:rPr>
                <w:rFonts w:ascii="Arial" w:eastAsia="Times New Roman" w:hAnsi="Arial" w:cs="Arial"/>
                <w:iCs/>
                <w:lang w:eastAsia="de-DE"/>
              </w:rPr>
              <w:t>aminostransferase</w:t>
            </w:r>
            <w:proofErr w:type="spellEnd"/>
            <w:r w:rsidRPr="00057F28">
              <w:rPr>
                <w:rFonts w:ascii="Arial" w:eastAsia="Times New Roman" w:hAnsi="Arial" w:cs="Arial"/>
                <w:iCs/>
                <w:lang w:eastAsia="de-DE"/>
              </w:rPr>
              <w:t xml:space="preserve"> increased, gamma-</w:t>
            </w:r>
            <w:proofErr w:type="spellStart"/>
            <w:r w:rsidRPr="00057F28">
              <w:rPr>
                <w:rFonts w:ascii="Arial" w:eastAsia="Times New Roman" w:hAnsi="Arial" w:cs="Arial"/>
                <w:iCs/>
                <w:lang w:eastAsia="de-DE"/>
              </w:rPr>
              <w:t>glutamyltransferase</w:t>
            </w:r>
            <w:proofErr w:type="spellEnd"/>
            <w:r w:rsidRPr="00057F28">
              <w:rPr>
                <w:rFonts w:ascii="Arial" w:eastAsia="Times New Roman" w:hAnsi="Arial" w:cs="Arial"/>
                <w:iCs/>
                <w:lang w:eastAsia="de-DE"/>
              </w:rPr>
              <w:t xml:space="preserve"> increased, blood lactate dehydrogenase increased, </w:t>
            </w:r>
            <w:r w:rsidRPr="00057F28">
              <w:rPr>
                <w:rFonts w:ascii="Arial" w:hAnsi="Arial" w:cs="Arial"/>
                <w:lang w:eastAsia="zh-CN"/>
              </w:rPr>
              <w:t>blood alkaline phosphatase increased</w:t>
            </w:r>
          </w:p>
        </w:tc>
        <w:tc>
          <w:tcPr>
            <w:tcW w:w="1560" w:type="dxa"/>
            <w:tcMar>
              <w:top w:w="0" w:type="dxa"/>
              <w:left w:w="108" w:type="dxa"/>
              <w:bottom w:w="0" w:type="dxa"/>
              <w:right w:w="108" w:type="dxa"/>
            </w:tcMar>
          </w:tcPr>
          <w:p w14:paraId="75B806FB" w14:textId="77777777" w:rsidR="009B1033" w:rsidRPr="00057F28" w:rsidRDefault="009B1033" w:rsidP="00D876F1">
            <w:pPr>
              <w:pStyle w:val="TableDataLeft"/>
              <w:keepNext/>
              <w:keepLines/>
              <w:jc w:val="center"/>
              <w:rPr>
                <w:rFonts w:ascii="Arial" w:hAnsi="Arial" w:cs="Arial"/>
              </w:rPr>
            </w:pPr>
            <w:r w:rsidRPr="00057F28">
              <w:rPr>
                <w:rFonts w:ascii="Arial" w:hAnsi="Arial" w:cs="Arial"/>
              </w:rPr>
              <w:t>–</w:t>
            </w:r>
          </w:p>
        </w:tc>
      </w:tr>
      <w:tr w:rsidR="009B1033" w:rsidRPr="00057F28" w14:paraId="008D22D5" w14:textId="77777777" w:rsidTr="009B1033">
        <w:tc>
          <w:tcPr>
            <w:tcW w:w="2268" w:type="dxa"/>
            <w:tcMar>
              <w:top w:w="0" w:type="dxa"/>
              <w:left w:w="108" w:type="dxa"/>
              <w:bottom w:w="0" w:type="dxa"/>
              <w:right w:w="108" w:type="dxa"/>
            </w:tcMar>
            <w:hideMark/>
          </w:tcPr>
          <w:p w14:paraId="3FC22456" w14:textId="77777777" w:rsidR="009B1033" w:rsidRPr="00057F28" w:rsidRDefault="009B1033" w:rsidP="00D876F1">
            <w:pPr>
              <w:pStyle w:val="TableHeadLeft"/>
              <w:rPr>
                <w:rFonts w:ascii="Arial" w:hAnsi="Arial" w:cs="Arial"/>
              </w:rPr>
            </w:pPr>
            <w:r w:rsidRPr="00057F28">
              <w:rPr>
                <w:rFonts w:ascii="Arial" w:hAnsi="Arial" w:cs="Arial"/>
              </w:rPr>
              <w:t>Metabolism and Nutritional Disorders</w:t>
            </w:r>
          </w:p>
        </w:tc>
        <w:tc>
          <w:tcPr>
            <w:tcW w:w="1101" w:type="dxa"/>
            <w:tcMar>
              <w:top w:w="0" w:type="dxa"/>
              <w:left w:w="108" w:type="dxa"/>
              <w:bottom w:w="0" w:type="dxa"/>
              <w:right w:w="108" w:type="dxa"/>
            </w:tcMar>
          </w:tcPr>
          <w:p w14:paraId="15F8D5F4" w14:textId="77777777" w:rsidR="009B1033" w:rsidRPr="00057F28" w:rsidRDefault="009B1033" w:rsidP="00D876F1">
            <w:pPr>
              <w:pStyle w:val="TableDataLeft"/>
              <w:keepNext/>
              <w:keepLines/>
              <w:jc w:val="center"/>
              <w:rPr>
                <w:rFonts w:ascii="Arial" w:hAnsi="Arial" w:cs="Arial"/>
              </w:rPr>
            </w:pPr>
            <w:r w:rsidRPr="00057F28">
              <w:rPr>
                <w:rFonts w:ascii="Arial" w:hAnsi="Arial" w:cs="Arial"/>
              </w:rPr>
              <w:t>–</w:t>
            </w:r>
          </w:p>
        </w:tc>
        <w:tc>
          <w:tcPr>
            <w:tcW w:w="2160" w:type="dxa"/>
            <w:tcMar>
              <w:top w:w="0" w:type="dxa"/>
              <w:left w:w="108" w:type="dxa"/>
              <w:bottom w:w="0" w:type="dxa"/>
              <w:right w:w="108" w:type="dxa"/>
            </w:tcMar>
            <w:hideMark/>
          </w:tcPr>
          <w:p w14:paraId="0634BBE6" w14:textId="77777777" w:rsidR="009B1033" w:rsidRPr="00057F28" w:rsidRDefault="009B1033" w:rsidP="00D876F1">
            <w:pPr>
              <w:pStyle w:val="TableDataLeft"/>
              <w:rPr>
                <w:rFonts w:ascii="Arial" w:eastAsia="Times New Roman" w:hAnsi="Arial" w:cs="Arial"/>
                <w:iCs/>
                <w:strike/>
                <w:lang w:eastAsia="de-DE"/>
              </w:rPr>
            </w:pPr>
            <w:proofErr w:type="spellStart"/>
            <w:r w:rsidRPr="00057F28">
              <w:rPr>
                <w:rFonts w:ascii="Arial" w:hAnsi="Arial" w:cs="Arial"/>
                <w:lang w:eastAsia="zh-CN"/>
              </w:rPr>
              <w:t>Hypophosphataemia</w:t>
            </w:r>
            <w:proofErr w:type="spellEnd"/>
          </w:p>
        </w:tc>
        <w:tc>
          <w:tcPr>
            <w:tcW w:w="2409" w:type="dxa"/>
            <w:tcMar>
              <w:top w:w="0" w:type="dxa"/>
              <w:left w:w="108" w:type="dxa"/>
              <w:bottom w:w="0" w:type="dxa"/>
              <w:right w:w="108" w:type="dxa"/>
            </w:tcMar>
            <w:hideMark/>
          </w:tcPr>
          <w:p w14:paraId="30191A42" w14:textId="77777777" w:rsidR="009B1033" w:rsidRPr="00057F28" w:rsidRDefault="009B1033" w:rsidP="00D876F1">
            <w:pPr>
              <w:pStyle w:val="TableDataLeft"/>
              <w:keepNext/>
              <w:keepLines/>
              <w:jc w:val="center"/>
              <w:rPr>
                <w:rFonts w:ascii="Arial" w:hAnsi="Arial" w:cs="Arial"/>
              </w:rPr>
            </w:pPr>
            <w:r w:rsidRPr="00057F28">
              <w:rPr>
                <w:rFonts w:ascii="Arial" w:hAnsi="Arial" w:cs="Arial"/>
              </w:rPr>
              <w:t>–</w:t>
            </w:r>
          </w:p>
        </w:tc>
        <w:tc>
          <w:tcPr>
            <w:tcW w:w="1560" w:type="dxa"/>
            <w:tcMar>
              <w:top w:w="0" w:type="dxa"/>
              <w:left w:w="108" w:type="dxa"/>
              <w:bottom w:w="0" w:type="dxa"/>
              <w:right w:w="108" w:type="dxa"/>
            </w:tcMar>
          </w:tcPr>
          <w:p w14:paraId="4E111631" w14:textId="77777777" w:rsidR="009B1033" w:rsidRPr="00057F28" w:rsidRDefault="009B1033" w:rsidP="00D876F1">
            <w:pPr>
              <w:pStyle w:val="TableDataLeft"/>
              <w:keepNext/>
              <w:keepLines/>
              <w:jc w:val="center"/>
              <w:rPr>
                <w:rFonts w:ascii="Arial" w:hAnsi="Arial" w:cs="Arial"/>
              </w:rPr>
            </w:pPr>
            <w:r w:rsidRPr="00057F28">
              <w:rPr>
                <w:rFonts w:ascii="Arial" w:hAnsi="Arial" w:cs="Arial"/>
              </w:rPr>
              <w:t>–</w:t>
            </w:r>
          </w:p>
        </w:tc>
      </w:tr>
    </w:tbl>
    <w:p w14:paraId="417DEE5D" w14:textId="77777777" w:rsidR="009B1033" w:rsidRPr="00057F28" w:rsidDel="001327EB" w:rsidRDefault="009B1033" w:rsidP="009B1033">
      <w:pPr>
        <w:pStyle w:val="TableFoot1"/>
        <w:rPr>
          <w:rFonts w:ascii="Arial" w:hAnsi="Arial" w:cs="Arial"/>
        </w:rPr>
      </w:pPr>
      <w:r w:rsidRPr="00057F28">
        <w:rPr>
          <w:rFonts w:ascii="Arial" w:hAnsi="Arial" w:cs="Arial"/>
        </w:rPr>
        <w:t xml:space="preserve">1 </w:t>
      </w:r>
      <w:r w:rsidRPr="00057F28">
        <w:rPr>
          <w:rFonts w:ascii="Arial" w:hAnsi="Arial" w:cs="Arial"/>
        </w:rPr>
        <w:tab/>
        <w:t xml:space="preserve">Includes the following preferred terms: rash (individual ADR frequency determined as uncommon) and rash erythematous, -generalised, -macular, -maculo-papular, </w:t>
      </w:r>
      <w:r w:rsidRPr="00057F28">
        <w:rPr>
          <w:rFonts w:ascii="Arial" w:hAnsi="Arial" w:cs="Arial"/>
        </w:rPr>
        <w:noBreakHyphen/>
        <w:t>pruritic (all individual ADRs are frequency determined as rare).</w:t>
      </w:r>
    </w:p>
    <w:p w14:paraId="172E4D57" w14:textId="77777777" w:rsidR="009B1033" w:rsidRPr="00057F28" w:rsidRDefault="009B1033" w:rsidP="009B1033">
      <w:pPr>
        <w:pStyle w:val="TableFoot2"/>
        <w:rPr>
          <w:rFonts w:ascii="Arial" w:hAnsi="Arial" w:cs="Arial"/>
          <w:lang w:eastAsia="zh-CN"/>
        </w:rPr>
      </w:pPr>
      <w:r w:rsidRPr="00057F28">
        <w:rPr>
          <w:rFonts w:ascii="Arial" w:hAnsi="Arial" w:cs="Arial"/>
          <w:lang w:eastAsia="zh-CN"/>
        </w:rPr>
        <w:t xml:space="preserve">2 </w:t>
      </w:r>
      <w:r w:rsidRPr="00057F28">
        <w:rPr>
          <w:rFonts w:ascii="Arial" w:hAnsi="Arial" w:cs="Arial"/>
          <w:lang w:eastAsia="zh-CN"/>
        </w:rPr>
        <w:tab/>
        <w:t xml:space="preserve">Includes the following preferred terms: injection/infusion site  -pain, -haematoma, -discolouration, -extravasation, -irritation, reaction, (all </w:t>
      </w:r>
      <w:r w:rsidRPr="00057F28">
        <w:rPr>
          <w:rFonts w:ascii="Arial" w:hAnsi="Arial" w:cs="Arial"/>
        </w:rPr>
        <w:t xml:space="preserve">individual ADRs are frequency determined as </w:t>
      </w:r>
      <w:r w:rsidRPr="00057F28">
        <w:rPr>
          <w:rFonts w:ascii="Arial" w:hAnsi="Arial" w:cs="Arial"/>
          <w:lang w:eastAsia="zh-CN"/>
        </w:rPr>
        <w:t>uncommon) and -paraesthesia (</w:t>
      </w:r>
      <w:r w:rsidRPr="00057F28">
        <w:rPr>
          <w:rFonts w:ascii="Arial" w:hAnsi="Arial" w:cs="Arial"/>
        </w:rPr>
        <w:t>individual ADR frequency determined</w:t>
      </w:r>
      <w:r w:rsidRPr="00057F28">
        <w:rPr>
          <w:rFonts w:ascii="Arial" w:hAnsi="Arial" w:cs="Arial"/>
          <w:lang w:eastAsia="zh-CN"/>
        </w:rPr>
        <w:t xml:space="preserve"> as rare).</w:t>
      </w:r>
    </w:p>
    <w:p w14:paraId="6659C298" w14:textId="77777777" w:rsidR="009B1033" w:rsidRPr="00057F28" w:rsidRDefault="009B1033" w:rsidP="009B1033">
      <w:pPr>
        <w:pStyle w:val="TableFoot2"/>
        <w:rPr>
          <w:rFonts w:ascii="Arial" w:hAnsi="Arial" w:cs="Arial"/>
        </w:rPr>
      </w:pPr>
      <w:r w:rsidRPr="00057F28">
        <w:rPr>
          <w:rFonts w:ascii="Arial" w:hAnsi="Arial" w:cs="Arial"/>
        </w:rPr>
        <w:t>Note: ADR = Adverse drug reaction.</w:t>
      </w:r>
    </w:p>
    <w:p w14:paraId="1C8B1FB5" w14:textId="79F63795" w:rsidR="009B1033" w:rsidRPr="009B1033" w:rsidRDefault="009B1033" w:rsidP="00735ECC">
      <w:pPr>
        <w:jc w:val="both"/>
        <w:rPr>
          <w:lang w:val="en-GB"/>
        </w:rPr>
      </w:pPr>
      <w:r w:rsidRPr="009B1033">
        <w:rPr>
          <w:lang w:val="en-GB"/>
        </w:rPr>
        <w:t>The most commonly reported ADR is nausea, occurring in 2.9% of the patients.</w:t>
      </w:r>
    </w:p>
    <w:p w14:paraId="204C181B" w14:textId="77777777" w:rsidR="009B1033" w:rsidRPr="009B1033" w:rsidRDefault="009B1033" w:rsidP="00735ECC">
      <w:pPr>
        <w:pStyle w:val="Heading3"/>
        <w:numPr>
          <w:ilvl w:val="0"/>
          <w:numId w:val="0"/>
        </w:numPr>
        <w:jc w:val="both"/>
        <w:rPr>
          <w:lang w:val="en-GB"/>
        </w:rPr>
      </w:pPr>
      <w:bookmarkStart w:id="3" w:name="_Toc293325166"/>
      <w:bookmarkStart w:id="4" w:name="_Toc309718366"/>
      <w:r w:rsidRPr="009B1033">
        <w:rPr>
          <w:lang w:val="en-GB"/>
        </w:rPr>
        <w:lastRenderedPageBreak/>
        <w:t>Undesirable Effects from Post</w:t>
      </w:r>
      <w:r w:rsidRPr="009B1033">
        <w:rPr>
          <w:lang w:val="en-GB"/>
        </w:rPr>
        <w:noBreakHyphen/>
        <w:t>marketing Spontaneous Reporting</w:t>
      </w:r>
      <w:bookmarkEnd w:id="3"/>
      <w:bookmarkEnd w:id="4"/>
    </w:p>
    <w:p w14:paraId="224583E0" w14:textId="72E56290" w:rsidR="009B1033" w:rsidRDefault="009B1033" w:rsidP="00735ECC">
      <w:pPr>
        <w:jc w:val="both"/>
        <w:rPr>
          <w:lang w:val="en-GB"/>
        </w:rPr>
      </w:pPr>
      <w:r w:rsidRPr="009B1033">
        <w:rPr>
          <w:lang w:val="en-GB"/>
        </w:rPr>
        <w:t>As part of the continuing post-marketing surveillance of ferric carboxymaltose, the following adverse reactions have been observed:</w:t>
      </w:r>
      <w:bookmarkStart w:id="5" w:name="_Ref309027897"/>
      <w:bookmarkStart w:id="6" w:name="_Ref309042956"/>
      <w:bookmarkStart w:id="7" w:name="_Toc311470695"/>
    </w:p>
    <w:p w14:paraId="65031E07" w14:textId="77777777" w:rsidR="009D47A0" w:rsidRDefault="009D47A0" w:rsidP="00735ECC">
      <w:pPr>
        <w:jc w:val="both"/>
        <w:rPr>
          <w:lang w:val="en-GB"/>
        </w:rPr>
      </w:pPr>
    </w:p>
    <w:bookmarkEnd w:id="5"/>
    <w:p w14:paraId="5FE0E777" w14:textId="77777777" w:rsidR="009B1033" w:rsidRPr="004879B0" w:rsidRDefault="009B1033" w:rsidP="00735ECC">
      <w:pPr>
        <w:spacing w:before="120"/>
        <w:jc w:val="both"/>
        <w:rPr>
          <w:rFonts w:ascii="Arial" w:hAnsi="Arial" w:cs="Arial"/>
          <w:b/>
          <w:sz w:val="20"/>
          <w:szCs w:val="20"/>
          <w:lang w:val="en-GB"/>
        </w:rPr>
      </w:pPr>
      <w:r w:rsidRPr="004879B0">
        <w:rPr>
          <w:rFonts w:ascii="Arial" w:hAnsi="Arial" w:cs="Arial"/>
          <w:b/>
          <w:sz w:val="20"/>
          <w:szCs w:val="20"/>
          <w:lang w:val="en-GB"/>
        </w:rPr>
        <w:t>Post-marketing Spontaneous Reports</w:t>
      </w:r>
      <w:bookmarkEnd w:id="6"/>
      <w:bookmarkEnd w:id="7"/>
      <w:r w:rsidRPr="004879B0">
        <w:rPr>
          <w:rFonts w:ascii="Arial" w:hAnsi="Arial" w:cs="Arial"/>
          <w:b/>
          <w:sz w:val="20"/>
          <w:szCs w:val="20"/>
          <w:lang w:val="en-GB"/>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1"/>
        <w:gridCol w:w="4962"/>
      </w:tblGrid>
      <w:tr w:rsidR="009B1033" w:rsidRPr="004879B0" w14:paraId="4D366649" w14:textId="77777777" w:rsidTr="009B1033">
        <w:trPr>
          <w:tblHeader/>
        </w:trPr>
        <w:tc>
          <w:tcPr>
            <w:tcW w:w="4531" w:type="dxa"/>
            <w:tcMar>
              <w:top w:w="0" w:type="dxa"/>
              <w:left w:w="108" w:type="dxa"/>
              <w:bottom w:w="0" w:type="dxa"/>
              <w:right w:w="108" w:type="dxa"/>
            </w:tcMar>
            <w:vAlign w:val="center"/>
            <w:hideMark/>
          </w:tcPr>
          <w:p w14:paraId="521C97D2" w14:textId="77777777" w:rsidR="009B1033" w:rsidRPr="004879B0" w:rsidRDefault="009B1033" w:rsidP="004879B0">
            <w:pPr>
              <w:spacing w:before="120"/>
              <w:rPr>
                <w:rFonts w:ascii="Arial" w:hAnsi="Arial" w:cs="Arial"/>
                <w:b/>
                <w:sz w:val="20"/>
                <w:szCs w:val="20"/>
                <w:lang w:val="en-GB"/>
              </w:rPr>
            </w:pPr>
            <w:r w:rsidRPr="004879B0">
              <w:rPr>
                <w:rFonts w:ascii="Arial" w:hAnsi="Arial" w:cs="Arial"/>
                <w:b/>
                <w:sz w:val="20"/>
                <w:szCs w:val="20"/>
                <w:lang w:val="en-GB"/>
              </w:rPr>
              <w:t>System Organ Class</w:t>
            </w:r>
          </w:p>
        </w:tc>
        <w:tc>
          <w:tcPr>
            <w:tcW w:w="4962" w:type="dxa"/>
            <w:tcMar>
              <w:top w:w="0" w:type="dxa"/>
              <w:left w:w="108" w:type="dxa"/>
              <w:bottom w:w="0" w:type="dxa"/>
              <w:right w:w="108" w:type="dxa"/>
            </w:tcMar>
            <w:vAlign w:val="center"/>
            <w:hideMark/>
          </w:tcPr>
          <w:p w14:paraId="2DF93A18" w14:textId="77777777" w:rsidR="009B1033" w:rsidRPr="004879B0" w:rsidRDefault="009B1033" w:rsidP="004879B0">
            <w:pPr>
              <w:spacing w:before="120"/>
              <w:rPr>
                <w:rFonts w:ascii="Arial" w:hAnsi="Arial" w:cs="Arial"/>
                <w:b/>
                <w:sz w:val="20"/>
                <w:szCs w:val="20"/>
                <w:lang w:val="en-GB"/>
              </w:rPr>
            </w:pPr>
            <w:r w:rsidRPr="004879B0">
              <w:rPr>
                <w:rFonts w:ascii="Arial" w:hAnsi="Arial" w:cs="Arial"/>
                <w:b/>
                <w:sz w:val="20"/>
                <w:szCs w:val="20"/>
                <w:lang w:val="en-GB"/>
              </w:rPr>
              <w:t>Preferred Terms</w:t>
            </w:r>
            <w:r w:rsidRPr="004879B0">
              <w:rPr>
                <w:rFonts w:ascii="Arial" w:hAnsi="Arial" w:cs="Arial"/>
                <w:b/>
                <w:sz w:val="20"/>
                <w:szCs w:val="20"/>
                <w:vertAlign w:val="superscript"/>
                <w:lang w:val="en-GB"/>
              </w:rPr>
              <w:t>(1)</w:t>
            </w:r>
          </w:p>
        </w:tc>
      </w:tr>
      <w:tr w:rsidR="009B1033" w:rsidRPr="004879B0" w14:paraId="313BF87A" w14:textId="77777777" w:rsidTr="009B1033">
        <w:tc>
          <w:tcPr>
            <w:tcW w:w="4531" w:type="dxa"/>
            <w:tcMar>
              <w:top w:w="0" w:type="dxa"/>
              <w:left w:w="108" w:type="dxa"/>
              <w:bottom w:w="0" w:type="dxa"/>
              <w:right w:w="108" w:type="dxa"/>
            </w:tcMar>
            <w:vAlign w:val="center"/>
            <w:hideMark/>
          </w:tcPr>
          <w:p w14:paraId="3AFEE7DF" w14:textId="77777777" w:rsidR="009B1033" w:rsidRPr="004879B0" w:rsidRDefault="009B1033" w:rsidP="004879B0">
            <w:pPr>
              <w:spacing w:before="120"/>
              <w:rPr>
                <w:rFonts w:ascii="Arial" w:hAnsi="Arial" w:cs="Arial"/>
                <w:iCs/>
                <w:sz w:val="20"/>
                <w:szCs w:val="20"/>
                <w:lang w:val="en-GB"/>
              </w:rPr>
            </w:pPr>
            <w:r w:rsidRPr="004879B0">
              <w:rPr>
                <w:rFonts w:ascii="Arial" w:hAnsi="Arial" w:cs="Arial"/>
                <w:iCs/>
                <w:sz w:val="20"/>
                <w:szCs w:val="20"/>
                <w:lang w:val="en-GB"/>
              </w:rPr>
              <w:t>Nervous System Disorders</w:t>
            </w:r>
          </w:p>
        </w:tc>
        <w:tc>
          <w:tcPr>
            <w:tcW w:w="4962" w:type="dxa"/>
            <w:tcMar>
              <w:top w:w="0" w:type="dxa"/>
              <w:left w:w="108" w:type="dxa"/>
              <w:bottom w:w="0" w:type="dxa"/>
              <w:right w:w="108" w:type="dxa"/>
            </w:tcMar>
            <w:vAlign w:val="center"/>
          </w:tcPr>
          <w:p w14:paraId="60121852" w14:textId="77777777" w:rsidR="009B1033" w:rsidRPr="004879B0" w:rsidRDefault="009B1033" w:rsidP="004879B0">
            <w:pPr>
              <w:spacing w:before="120"/>
              <w:rPr>
                <w:rFonts w:ascii="Arial" w:hAnsi="Arial" w:cs="Arial"/>
                <w:iCs/>
                <w:sz w:val="20"/>
                <w:szCs w:val="20"/>
                <w:lang w:val="en-GB"/>
              </w:rPr>
            </w:pPr>
            <w:r w:rsidRPr="004879B0">
              <w:rPr>
                <w:rFonts w:ascii="Arial" w:hAnsi="Arial" w:cs="Arial"/>
                <w:iCs/>
                <w:sz w:val="20"/>
                <w:szCs w:val="20"/>
                <w:lang w:val="en-GB"/>
              </w:rPr>
              <w:t>Loss of consciousness and vertigo</w:t>
            </w:r>
          </w:p>
        </w:tc>
      </w:tr>
      <w:tr w:rsidR="009B1033" w:rsidRPr="004879B0" w14:paraId="1765EBD0" w14:textId="77777777" w:rsidTr="009B1033">
        <w:tc>
          <w:tcPr>
            <w:tcW w:w="4531" w:type="dxa"/>
            <w:tcMar>
              <w:top w:w="0" w:type="dxa"/>
              <w:left w:w="108" w:type="dxa"/>
              <w:bottom w:w="0" w:type="dxa"/>
              <w:right w:w="108" w:type="dxa"/>
            </w:tcMar>
            <w:vAlign w:val="center"/>
            <w:hideMark/>
          </w:tcPr>
          <w:p w14:paraId="64B82F5E" w14:textId="77777777" w:rsidR="009B1033" w:rsidRPr="004879B0" w:rsidRDefault="009B1033" w:rsidP="004879B0">
            <w:pPr>
              <w:spacing w:before="120"/>
              <w:rPr>
                <w:rFonts w:ascii="Arial" w:hAnsi="Arial" w:cs="Arial"/>
                <w:iCs/>
                <w:sz w:val="20"/>
                <w:szCs w:val="20"/>
                <w:lang w:val="en-GB"/>
              </w:rPr>
            </w:pPr>
            <w:r w:rsidRPr="004879B0">
              <w:rPr>
                <w:rFonts w:ascii="Arial" w:hAnsi="Arial" w:cs="Arial"/>
                <w:iCs/>
                <w:sz w:val="20"/>
                <w:szCs w:val="20"/>
                <w:lang w:val="en-GB"/>
              </w:rPr>
              <w:t>Psychiatric Disorders</w:t>
            </w:r>
          </w:p>
        </w:tc>
        <w:tc>
          <w:tcPr>
            <w:tcW w:w="4962" w:type="dxa"/>
            <w:tcMar>
              <w:top w:w="0" w:type="dxa"/>
              <w:left w:w="108" w:type="dxa"/>
              <w:bottom w:w="0" w:type="dxa"/>
              <w:right w:w="108" w:type="dxa"/>
            </w:tcMar>
            <w:vAlign w:val="center"/>
          </w:tcPr>
          <w:p w14:paraId="08FE1B31" w14:textId="77777777" w:rsidR="009B1033" w:rsidRPr="004879B0" w:rsidRDefault="009B1033" w:rsidP="004879B0">
            <w:pPr>
              <w:spacing w:before="120"/>
              <w:rPr>
                <w:rFonts w:ascii="Arial" w:hAnsi="Arial" w:cs="Arial"/>
                <w:iCs/>
                <w:sz w:val="20"/>
                <w:szCs w:val="20"/>
                <w:lang w:val="en-GB"/>
              </w:rPr>
            </w:pPr>
            <w:r w:rsidRPr="004879B0">
              <w:rPr>
                <w:rFonts w:ascii="Arial" w:hAnsi="Arial" w:cs="Arial"/>
                <w:iCs/>
                <w:sz w:val="20"/>
                <w:szCs w:val="20"/>
                <w:lang w:val="en-GB"/>
              </w:rPr>
              <w:t>Anxiety</w:t>
            </w:r>
          </w:p>
        </w:tc>
      </w:tr>
      <w:tr w:rsidR="009B1033" w:rsidRPr="004879B0" w14:paraId="1DF84670" w14:textId="77777777" w:rsidTr="009B1033">
        <w:tc>
          <w:tcPr>
            <w:tcW w:w="4531" w:type="dxa"/>
            <w:tcMar>
              <w:top w:w="0" w:type="dxa"/>
              <w:left w:w="108" w:type="dxa"/>
              <w:bottom w:w="0" w:type="dxa"/>
              <w:right w:w="108" w:type="dxa"/>
            </w:tcMar>
            <w:vAlign w:val="center"/>
            <w:hideMark/>
          </w:tcPr>
          <w:p w14:paraId="3C144934" w14:textId="77777777" w:rsidR="009B1033" w:rsidRPr="004879B0" w:rsidRDefault="009B1033" w:rsidP="004879B0">
            <w:pPr>
              <w:spacing w:before="120"/>
              <w:rPr>
                <w:rFonts w:ascii="Arial" w:hAnsi="Arial" w:cs="Arial"/>
                <w:iCs/>
                <w:sz w:val="20"/>
                <w:szCs w:val="20"/>
                <w:lang w:val="en-GB"/>
              </w:rPr>
            </w:pPr>
            <w:r w:rsidRPr="004879B0">
              <w:rPr>
                <w:rFonts w:ascii="Arial" w:hAnsi="Arial" w:cs="Arial"/>
                <w:iCs/>
                <w:sz w:val="20"/>
                <w:szCs w:val="20"/>
                <w:lang w:val="en-GB"/>
              </w:rPr>
              <w:t>Cardiovascular Disorders</w:t>
            </w:r>
          </w:p>
        </w:tc>
        <w:tc>
          <w:tcPr>
            <w:tcW w:w="4962" w:type="dxa"/>
            <w:tcMar>
              <w:top w:w="0" w:type="dxa"/>
              <w:left w:w="108" w:type="dxa"/>
              <w:bottom w:w="0" w:type="dxa"/>
              <w:right w:w="108" w:type="dxa"/>
            </w:tcMar>
            <w:vAlign w:val="center"/>
          </w:tcPr>
          <w:p w14:paraId="71492408" w14:textId="77777777" w:rsidR="009B1033" w:rsidRPr="004879B0" w:rsidRDefault="009B1033" w:rsidP="004879B0">
            <w:pPr>
              <w:spacing w:before="120"/>
              <w:rPr>
                <w:rFonts w:ascii="Arial" w:hAnsi="Arial" w:cs="Arial"/>
                <w:iCs/>
                <w:sz w:val="20"/>
                <w:szCs w:val="20"/>
                <w:lang w:val="en-GB"/>
              </w:rPr>
            </w:pPr>
            <w:r w:rsidRPr="004879B0">
              <w:rPr>
                <w:rFonts w:ascii="Arial" w:hAnsi="Arial" w:cs="Arial"/>
                <w:iCs/>
                <w:sz w:val="20"/>
                <w:szCs w:val="20"/>
                <w:lang w:val="en-GB"/>
              </w:rPr>
              <w:t xml:space="preserve">Syncope, </w:t>
            </w:r>
            <w:r w:rsidRPr="004879B0">
              <w:rPr>
                <w:rFonts w:ascii="Arial" w:hAnsi="Arial" w:cs="Arial"/>
                <w:sz w:val="20"/>
                <w:szCs w:val="20"/>
              </w:rPr>
              <w:t>Pre-syncope</w:t>
            </w:r>
          </w:p>
        </w:tc>
      </w:tr>
      <w:tr w:rsidR="009B1033" w:rsidRPr="004879B0" w14:paraId="0E86811B" w14:textId="77777777" w:rsidTr="009B1033">
        <w:tc>
          <w:tcPr>
            <w:tcW w:w="4531" w:type="dxa"/>
            <w:tcMar>
              <w:top w:w="0" w:type="dxa"/>
              <w:left w:w="108" w:type="dxa"/>
              <w:bottom w:w="0" w:type="dxa"/>
              <w:right w:w="108" w:type="dxa"/>
            </w:tcMar>
            <w:vAlign w:val="center"/>
            <w:hideMark/>
          </w:tcPr>
          <w:p w14:paraId="58B2F028" w14:textId="77777777" w:rsidR="009B1033" w:rsidRPr="004879B0" w:rsidRDefault="009B1033" w:rsidP="004879B0">
            <w:pPr>
              <w:spacing w:before="120"/>
              <w:rPr>
                <w:rFonts w:ascii="Arial" w:hAnsi="Arial" w:cs="Arial"/>
                <w:iCs/>
                <w:sz w:val="20"/>
                <w:szCs w:val="20"/>
                <w:lang w:val="en-GB"/>
              </w:rPr>
            </w:pPr>
            <w:r w:rsidRPr="004879B0">
              <w:rPr>
                <w:rFonts w:ascii="Arial" w:hAnsi="Arial" w:cs="Arial"/>
                <w:iCs/>
                <w:sz w:val="20"/>
                <w:szCs w:val="20"/>
                <w:lang w:val="en-GB"/>
              </w:rPr>
              <w:t>Skin and Subcutaneous Tissue Disorders</w:t>
            </w:r>
          </w:p>
        </w:tc>
        <w:tc>
          <w:tcPr>
            <w:tcW w:w="4962" w:type="dxa"/>
            <w:tcMar>
              <w:top w:w="0" w:type="dxa"/>
              <w:left w:w="108" w:type="dxa"/>
              <w:bottom w:w="0" w:type="dxa"/>
              <w:right w:w="108" w:type="dxa"/>
            </w:tcMar>
            <w:vAlign w:val="center"/>
          </w:tcPr>
          <w:p w14:paraId="63B41495" w14:textId="77777777" w:rsidR="009B1033" w:rsidRPr="004879B0" w:rsidRDefault="009B1033" w:rsidP="004879B0">
            <w:pPr>
              <w:spacing w:before="120"/>
              <w:rPr>
                <w:rFonts w:ascii="Arial" w:hAnsi="Arial" w:cs="Arial"/>
                <w:iCs/>
                <w:sz w:val="20"/>
                <w:szCs w:val="20"/>
                <w:lang w:val="en-GB"/>
              </w:rPr>
            </w:pPr>
            <w:r w:rsidRPr="004879B0">
              <w:rPr>
                <w:rFonts w:ascii="Arial" w:hAnsi="Arial" w:cs="Arial"/>
                <w:iCs/>
                <w:sz w:val="20"/>
                <w:szCs w:val="20"/>
                <w:lang w:val="en-GB"/>
              </w:rPr>
              <w:t>Angioedema, dermatitis, pallor, and face oedema</w:t>
            </w:r>
          </w:p>
        </w:tc>
      </w:tr>
      <w:tr w:rsidR="009B1033" w:rsidRPr="004879B0" w14:paraId="51767E67" w14:textId="77777777" w:rsidTr="009B1033">
        <w:tc>
          <w:tcPr>
            <w:tcW w:w="4531" w:type="dxa"/>
            <w:tcMar>
              <w:top w:w="0" w:type="dxa"/>
              <w:left w:w="108" w:type="dxa"/>
              <w:bottom w:w="0" w:type="dxa"/>
              <w:right w:w="108" w:type="dxa"/>
            </w:tcMar>
            <w:vAlign w:val="center"/>
            <w:hideMark/>
          </w:tcPr>
          <w:p w14:paraId="5913AEA4" w14:textId="77777777" w:rsidR="009B1033" w:rsidRPr="004879B0" w:rsidRDefault="009B1033" w:rsidP="004879B0">
            <w:pPr>
              <w:spacing w:before="120"/>
              <w:rPr>
                <w:rFonts w:ascii="Arial" w:hAnsi="Arial" w:cs="Arial"/>
                <w:iCs/>
                <w:sz w:val="20"/>
                <w:szCs w:val="20"/>
                <w:lang w:val="en-GB"/>
              </w:rPr>
            </w:pPr>
            <w:r w:rsidRPr="004879B0">
              <w:rPr>
                <w:rFonts w:ascii="Arial" w:hAnsi="Arial" w:cs="Arial"/>
                <w:iCs/>
                <w:sz w:val="20"/>
                <w:szCs w:val="20"/>
                <w:lang w:val="en-GB"/>
              </w:rPr>
              <w:t>Respiratory, Thoracic and Mediastinal Disorders</w:t>
            </w:r>
          </w:p>
        </w:tc>
        <w:tc>
          <w:tcPr>
            <w:tcW w:w="4962" w:type="dxa"/>
            <w:tcMar>
              <w:top w:w="0" w:type="dxa"/>
              <w:left w:w="108" w:type="dxa"/>
              <w:bottom w:w="0" w:type="dxa"/>
              <w:right w:w="108" w:type="dxa"/>
            </w:tcMar>
            <w:vAlign w:val="center"/>
          </w:tcPr>
          <w:p w14:paraId="631FAE81" w14:textId="77777777" w:rsidR="009B1033" w:rsidRPr="004879B0" w:rsidRDefault="009B1033" w:rsidP="004879B0">
            <w:pPr>
              <w:spacing w:before="120"/>
              <w:rPr>
                <w:rFonts w:ascii="Arial" w:hAnsi="Arial" w:cs="Arial"/>
                <w:iCs/>
                <w:sz w:val="20"/>
                <w:szCs w:val="20"/>
                <w:lang w:val="en-GB"/>
              </w:rPr>
            </w:pPr>
            <w:r w:rsidRPr="004879B0">
              <w:rPr>
                <w:rFonts w:ascii="Arial" w:hAnsi="Arial" w:cs="Arial"/>
                <w:iCs/>
                <w:sz w:val="20"/>
                <w:szCs w:val="20"/>
                <w:lang w:val="en-GB"/>
              </w:rPr>
              <w:t>Bronchospasm</w:t>
            </w:r>
          </w:p>
        </w:tc>
      </w:tr>
      <w:tr w:rsidR="009B1033" w:rsidRPr="004879B0" w14:paraId="76818137" w14:textId="77777777" w:rsidTr="009B1033">
        <w:tc>
          <w:tcPr>
            <w:tcW w:w="4531" w:type="dxa"/>
            <w:tcMar>
              <w:top w:w="0" w:type="dxa"/>
              <w:left w:w="108" w:type="dxa"/>
              <w:bottom w:w="0" w:type="dxa"/>
              <w:right w:w="108" w:type="dxa"/>
            </w:tcMar>
            <w:vAlign w:val="center"/>
          </w:tcPr>
          <w:p w14:paraId="49DC12B4" w14:textId="77777777" w:rsidR="009B1033" w:rsidRPr="004879B0" w:rsidRDefault="009B1033" w:rsidP="004879B0">
            <w:pPr>
              <w:spacing w:before="120"/>
              <w:rPr>
                <w:rFonts w:ascii="Arial" w:hAnsi="Arial" w:cs="Arial"/>
                <w:iCs/>
                <w:sz w:val="20"/>
                <w:szCs w:val="20"/>
                <w:lang w:val="en-GB"/>
              </w:rPr>
            </w:pPr>
            <w:r w:rsidRPr="004879B0">
              <w:rPr>
                <w:rFonts w:ascii="Arial" w:hAnsi="Arial" w:cs="Arial"/>
                <w:sz w:val="20"/>
                <w:szCs w:val="20"/>
                <w:lang w:val="en-GB"/>
              </w:rPr>
              <w:t>General Disorders and Administration Site Conditions</w:t>
            </w:r>
          </w:p>
        </w:tc>
        <w:tc>
          <w:tcPr>
            <w:tcW w:w="4962" w:type="dxa"/>
            <w:tcMar>
              <w:top w:w="0" w:type="dxa"/>
              <w:left w:w="108" w:type="dxa"/>
              <w:bottom w:w="0" w:type="dxa"/>
              <w:right w:w="108" w:type="dxa"/>
            </w:tcMar>
            <w:vAlign w:val="center"/>
          </w:tcPr>
          <w:p w14:paraId="1AC662B4" w14:textId="77777777" w:rsidR="009B1033" w:rsidRPr="004879B0" w:rsidRDefault="009B1033" w:rsidP="004879B0">
            <w:pPr>
              <w:spacing w:before="120"/>
              <w:rPr>
                <w:rFonts w:ascii="Arial" w:hAnsi="Arial" w:cs="Arial"/>
                <w:sz w:val="20"/>
                <w:szCs w:val="20"/>
                <w:lang w:val="en-GB"/>
              </w:rPr>
            </w:pPr>
            <w:r w:rsidRPr="004879B0">
              <w:rPr>
                <w:rFonts w:ascii="Arial" w:hAnsi="Arial" w:cs="Arial"/>
                <w:sz w:val="20"/>
                <w:szCs w:val="20"/>
                <w:lang w:val="en-GB"/>
              </w:rPr>
              <w:t xml:space="preserve">Influenza like illness </w:t>
            </w:r>
          </w:p>
          <w:p w14:paraId="47C548AA" w14:textId="77777777" w:rsidR="009B1033" w:rsidRPr="004879B0" w:rsidRDefault="009B1033" w:rsidP="004879B0">
            <w:pPr>
              <w:spacing w:before="120"/>
              <w:rPr>
                <w:rFonts w:ascii="Arial" w:hAnsi="Arial" w:cs="Arial"/>
                <w:iCs/>
                <w:sz w:val="20"/>
                <w:szCs w:val="20"/>
                <w:lang w:val="en-GB"/>
              </w:rPr>
            </w:pPr>
          </w:p>
        </w:tc>
      </w:tr>
    </w:tbl>
    <w:p w14:paraId="6147048D" w14:textId="77777777" w:rsidR="009B1033" w:rsidRPr="004879B0" w:rsidRDefault="009B1033" w:rsidP="004879B0">
      <w:pPr>
        <w:spacing w:before="120"/>
        <w:rPr>
          <w:rFonts w:ascii="Arial" w:hAnsi="Arial" w:cs="Arial"/>
          <w:sz w:val="20"/>
          <w:szCs w:val="20"/>
          <w:lang w:val="en-GB"/>
        </w:rPr>
      </w:pPr>
      <w:r w:rsidRPr="004879B0">
        <w:rPr>
          <w:rFonts w:ascii="Arial" w:hAnsi="Arial" w:cs="Arial"/>
          <w:sz w:val="20"/>
          <w:szCs w:val="20"/>
          <w:vertAlign w:val="superscript"/>
          <w:lang w:val="en-GB"/>
        </w:rPr>
        <w:t xml:space="preserve">1 </w:t>
      </w:r>
      <w:r w:rsidRPr="004879B0">
        <w:rPr>
          <w:rFonts w:ascii="Arial" w:hAnsi="Arial" w:cs="Arial"/>
          <w:sz w:val="20"/>
          <w:szCs w:val="20"/>
          <w:lang w:val="en-GB"/>
        </w:rPr>
        <w:t>Frequency not known.</w:t>
      </w:r>
    </w:p>
    <w:p w14:paraId="7C8692E0" w14:textId="77777777" w:rsidR="009B1033" w:rsidRPr="009D47A0" w:rsidRDefault="009B1033" w:rsidP="009B1033">
      <w:pPr>
        <w:rPr>
          <w:rFonts w:ascii="Arial" w:hAnsi="Arial" w:cs="Arial"/>
          <w:b/>
          <w:sz w:val="20"/>
          <w:szCs w:val="20"/>
          <w:lang w:val="en-GB"/>
        </w:rPr>
      </w:pPr>
      <w:r w:rsidRPr="009D47A0">
        <w:rPr>
          <w:rFonts w:ascii="Arial" w:hAnsi="Arial" w:cs="Arial"/>
          <w:b/>
          <w:sz w:val="20"/>
          <w:szCs w:val="20"/>
          <w:lang w:val="en-GB"/>
        </w:rPr>
        <w:t>Post-marketing Spontaneous Reports in Pregnancy Cases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1"/>
        <w:gridCol w:w="4962"/>
      </w:tblGrid>
      <w:tr w:rsidR="009B1033" w:rsidRPr="004879B0" w14:paraId="3E3FA7D6" w14:textId="77777777" w:rsidTr="004879B0">
        <w:trPr>
          <w:tblHeader/>
        </w:trPr>
        <w:tc>
          <w:tcPr>
            <w:tcW w:w="4531" w:type="dxa"/>
            <w:tcMar>
              <w:top w:w="0" w:type="dxa"/>
              <w:left w:w="108" w:type="dxa"/>
              <w:bottom w:w="0" w:type="dxa"/>
              <w:right w:w="108" w:type="dxa"/>
            </w:tcMar>
            <w:vAlign w:val="center"/>
            <w:hideMark/>
          </w:tcPr>
          <w:p w14:paraId="51BD8CAA" w14:textId="77777777" w:rsidR="009B1033" w:rsidRPr="004879B0" w:rsidRDefault="009B1033" w:rsidP="004879B0">
            <w:pPr>
              <w:spacing w:before="120"/>
              <w:rPr>
                <w:rFonts w:ascii="Arial" w:hAnsi="Arial" w:cs="Arial"/>
                <w:b/>
                <w:sz w:val="20"/>
                <w:szCs w:val="20"/>
                <w:lang w:val="en-GB"/>
              </w:rPr>
            </w:pPr>
            <w:r w:rsidRPr="004879B0">
              <w:rPr>
                <w:rFonts w:ascii="Arial" w:hAnsi="Arial" w:cs="Arial"/>
                <w:b/>
                <w:sz w:val="20"/>
                <w:szCs w:val="20"/>
                <w:lang w:val="en-GB"/>
              </w:rPr>
              <w:t>System Organ Class</w:t>
            </w:r>
          </w:p>
        </w:tc>
        <w:tc>
          <w:tcPr>
            <w:tcW w:w="4962" w:type="dxa"/>
            <w:tcMar>
              <w:top w:w="0" w:type="dxa"/>
              <w:left w:w="108" w:type="dxa"/>
              <w:bottom w:w="0" w:type="dxa"/>
              <w:right w:w="108" w:type="dxa"/>
            </w:tcMar>
            <w:vAlign w:val="center"/>
            <w:hideMark/>
          </w:tcPr>
          <w:p w14:paraId="6FCA482C" w14:textId="77777777" w:rsidR="009B1033" w:rsidRPr="004879B0" w:rsidRDefault="009B1033" w:rsidP="004879B0">
            <w:pPr>
              <w:spacing w:before="120"/>
              <w:rPr>
                <w:rFonts w:ascii="Arial" w:hAnsi="Arial" w:cs="Arial"/>
                <w:b/>
                <w:sz w:val="20"/>
                <w:szCs w:val="20"/>
                <w:lang w:val="en-GB"/>
              </w:rPr>
            </w:pPr>
            <w:r w:rsidRPr="004879B0">
              <w:rPr>
                <w:rFonts w:ascii="Arial" w:hAnsi="Arial" w:cs="Arial"/>
                <w:b/>
                <w:sz w:val="20"/>
                <w:szCs w:val="20"/>
                <w:lang w:val="en-GB"/>
              </w:rPr>
              <w:t>Preferred Terms</w:t>
            </w:r>
            <w:r w:rsidRPr="004879B0">
              <w:rPr>
                <w:rFonts w:ascii="Arial" w:hAnsi="Arial" w:cs="Arial"/>
                <w:b/>
                <w:sz w:val="20"/>
                <w:szCs w:val="20"/>
                <w:vertAlign w:val="superscript"/>
                <w:lang w:val="en-GB"/>
              </w:rPr>
              <w:t>(1)</w:t>
            </w:r>
          </w:p>
        </w:tc>
      </w:tr>
      <w:tr w:rsidR="009B1033" w:rsidRPr="004879B0" w14:paraId="2FCC7E6C" w14:textId="77777777" w:rsidTr="004879B0">
        <w:tc>
          <w:tcPr>
            <w:tcW w:w="4531" w:type="dxa"/>
            <w:tcMar>
              <w:top w:w="0" w:type="dxa"/>
              <w:left w:w="108" w:type="dxa"/>
              <w:bottom w:w="0" w:type="dxa"/>
              <w:right w:w="108" w:type="dxa"/>
            </w:tcMar>
            <w:vAlign w:val="center"/>
          </w:tcPr>
          <w:p w14:paraId="2B168D4B" w14:textId="77777777" w:rsidR="009B1033" w:rsidRPr="004879B0" w:rsidRDefault="009B1033" w:rsidP="004879B0">
            <w:pPr>
              <w:spacing w:before="120"/>
              <w:rPr>
                <w:rFonts w:ascii="Arial" w:hAnsi="Arial" w:cs="Arial"/>
                <w:iCs/>
                <w:sz w:val="20"/>
                <w:szCs w:val="20"/>
                <w:lang w:val="en-GB"/>
              </w:rPr>
            </w:pPr>
            <w:r w:rsidRPr="004879B0">
              <w:rPr>
                <w:rFonts w:ascii="Arial" w:hAnsi="Arial" w:cs="Arial"/>
                <w:iCs/>
                <w:sz w:val="20"/>
                <w:szCs w:val="20"/>
                <w:lang w:val="en-GB"/>
              </w:rPr>
              <w:t>Immune System Disorders</w:t>
            </w:r>
          </w:p>
        </w:tc>
        <w:tc>
          <w:tcPr>
            <w:tcW w:w="4962" w:type="dxa"/>
            <w:tcMar>
              <w:top w:w="0" w:type="dxa"/>
              <w:left w:w="108" w:type="dxa"/>
              <w:bottom w:w="0" w:type="dxa"/>
              <w:right w:w="108" w:type="dxa"/>
            </w:tcMar>
            <w:vAlign w:val="center"/>
          </w:tcPr>
          <w:p w14:paraId="1B3733D7" w14:textId="77777777" w:rsidR="009B1033" w:rsidRPr="004879B0" w:rsidRDefault="009B1033" w:rsidP="004879B0">
            <w:pPr>
              <w:spacing w:before="120"/>
              <w:rPr>
                <w:rFonts w:ascii="Arial" w:hAnsi="Arial" w:cs="Arial"/>
                <w:iCs/>
                <w:sz w:val="20"/>
                <w:szCs w:val="20"/>
                <w:lang w:val="en-GB"/>
              </w:rPr>
            </w:pPr>
            <w:r w:rsidRPr="004879B0">
              <w:rPr>
                <w:rFonts w:ascii="Arial" w:hAnsi="Arial" w:cs="Arial"/>
                <w:iCs/>
                <w:sz w:val="20"/>
                <w:szCs w:val="20"/>
                <w:lang w:val="en-GB"/>
              </w:rPr>
              <w:t>Hypersensitivity, anaphylactoid reactions</w:t>
            </w:r>
          </w:p>
        </w:tc>
      </w:tr>
      <w:tr w:rsidR="009B1033" w:rsidRPr="004879B0" w14:paraId="7498608B" w14:textId="77777777" w:rsidTr="004879B0">
        <w:tc>
          <w:tcPr>
            <w:tcW w:w="4531" w:type="dxa"/>
            <w:tcMar>
              <w:top w:w="0" w:type="dxa"/>
              <w:left w:w="108" w:type="dxa"/>
              <w:bottom w:w="0" w:type="dxa"/>
              <w:right w:w="108" w:type="dxa"/>
            </w:tcMar>
            <w:vAlign w:val="center"/>
            <w:hideMark/>
          </w:tcPr>
          <w:p w14:paraId="531ABB5E" w14:textId="77777777" w:rsidR="009B1033" w:rsidRPr="004879B0" w:rsidRDefault="009B1033" w:rsidP="004879B0">
            <w:pPr>
              <w:spacing w:before="120"/>
              <w:rPr>
                <w:rFonts w:ascii="Arial" w:hAnsi="Arial" w:cs="Arial"/>
                <w:iCs/>
                <w:sz w:val="20"/>
                <w:szCs w:val="20"/>
                <w:lang w:val="en-GB"/>
              </w:rPr>
            </w:pPr>
            <w:r w:rsidRPr="004879B0">
              <w:rPr>
                <w:rFonts w:ascii="Arial" w:hAnsi="Arial" w:cs="Arial"/>
                <w:iCs/>
                <w:sz w:val="20"/>
                <w:szCs w:val="20"/>
                <w:lang w:val="en-GB"/>
              </w:rPr>
              <w:t>Nervous System Disorders</w:t>
            </w:r>
          </w:p>
        </w:tc>
        <w:tc>
          <w:tcPr>
            <w:tcW w:w="4962" w:type="dxa"/>
            <w:tcMar>
              <w:top w:w="0" w:type="dxa"/>
              <w:left w:w="108" w:type="dxa"/>
              <w:bottom w:w="0" w:type="dxa"/>
              <w:right w:w="108" w:type="dxa"/>
            </w:tcMar>
            <w:vAlign w:val="center"/>
          </w:tcPr>
          <w:p w14:paraId="4392DF96" w14:textId="77777777" w:rsidR="009B1033" w:rsidRPr="004879B0" w:rsidRDefault="009B1033" w:rsidP="004879B0">
            <w:pPr>
              <w:spacing w:before="120"/>
              <w:rPr>
                <w:rFonts w:ascii="Arial" w:hAnsi="Arial" w:cs="Arial"/>
                <w:iCs/>
                <w:sz w:val="20"/>
                <w:szCs w:val="20"/>
                <w:lang w:val="en-GB"/>
              </w:rPr>
            </w:pPr>
            <w:r w:rsidRPr="004879B0">
              <w:rPr>
                <w:rFonts w:ascii="Arial" w:hAnsi="Arial" w:cs="Arial"/>
                <w:iCs/>
                <w:sz w:val="20"/>
                <w:szCs w:val="20"/>
                <w:lang w:val="en-GB"/>
              </w:rPr>
              <w:t>Headache, dizziness</w:t>
            </w:r>
          </w:p>
        </w:tc>
      </w:tr>
      <w:tr w:rsidR="009B1033" w:rsidRPr="004879B0" w14:paraId="2E1DC113" w14:textId="77777777" w:rsidTr="004879B0">
        <w:tc>
          <w:tcPr>
            <w:tcW w:w="4531" w:type="dxa"/>
            <w:tcMar>
              <w:top w:w="0" w:type="dxa"/>
              <w:left w:w="108" w:type="dxa"/>
              <w:bottom w:w="0" w:type="dxa"/>
              <w:right w:w="108" w:type="dxa"/>
            </w:tcMar>
            <w:vAlign w:val="center"/>
          </w:tcPr>
          <w:p w14:paraId="14BCB9A6" w14:textId="77777777" w:rsidR="009B1033" w:rsidRPr="004879B0" w:rsidRDefault="009B1033" w:rsidP="004879B0">
            <w:pPr>
              <w:spacing w:before="120"/>
              <w:rPr>
                <w:rFonts w:ascii="Arial" w:hAnsi="Arial" w:cs="Arial"/>
                <w:iCs/>
                <w:sz w:val="20"/>
                <w:szCs w:val="20"/>
                <w:lang w:val="en-GB"/>
              </w:rPr>
            </w:pPr>
            <w:r w:rsidRPr="004879B0">
              <w:rPr>
                <w:rFonts w:ascii="Arial" w:hAnsi="Arial" w:cs="Arial"/>
                <w:iCs/>
                <w:sz w:val="20"/>
                <w:szCs w:val="20"/>
                <w:lang w:val="en-GB"/>
              </w:rPr>
              <w:t>Vascular Disorders</w:t>
            </w:r>
          </w:p>
        </w:tc>
        <w:tc>
          <w:tcPr>
            <w:tcW w:w="4962" w:type="dxa"/>
            <w:tcMar>
              <w:top w:w="0" w:type="dxa"/>
              <w:left w:w="108" w:type="dxa"/>
              <w:bottom w:w="0" w:type="dxa"/>
              <w:right w:w="108" w:type="dxa"/>
            </w:tcMar>
            <w:vAlign w:val="center"/>
          </w:tcPr>
          <w:p w14:paraId="272AC03E" w14:textId="77777777" w:rsidR="009B1033" w:rsidRPr="004879B0" w:rsidRDefault="009B1033" w:rsidP="004879B0">
            <w:pPr>
              <w:spacing w:before="120"/>
              <w:rPr>
                <w:rFonts w:ascii="Arial" w:hAnsi="Arial" w:cs="Arial"/>
                <w:iCs/>
                <w:sz w:val="20"/>
                <w:szCs w:val="20"/>
                <w:lang w:val="en-GB"/>
              </w:rPr>
            </w:pPr>
            <w:proofErr w:type="spellStart"/>
            <w:r w:rsidRPr="004879B0">
              <w:rPr>
                <w:rFonts w:ascii="Arial" w:hAnsi="Arial" w:cs="Arial"/>
                <w:iCs/>
                <w:sz w:val="20"/>
                <w:szCs w:val="20"/>
                <w:lang w:val="en-GB"/>
              </w:rPr>
              <w:t>Hypotenstion</w:t>
            </w:r>
            <w:proofErr w:type="spellEnd"/>
            <w:r w:rsidRPr="004879B0">
              <w:rPr>
                <w:rFonts w:ascii="Arial" w:hAnsi="Arial" w:cs="Arial"/>
                <w:iCs/>
                <w:sz w:val="20"/>
                <w:szCs w:val="20"/>
                <w:lang w:val="en-GB"/>
              </w:rPr>
              <w:t>, Blood pressure systolic decreased</w:t>
            </w:r>
          </w:p>
        </w:tc>
      </w:tr>
      <w:tr w:rsidR="009B1033" w:rsidRPr="004879B0" w14:paraId="1A6AC9EB" w14:textId="77777777" w:rsidTr="004879B0">
        <w:tc>
          <w:tcPr>
            <w:tcW w:w="4531" w:type="dxa"/>
            <w:tcMar>
              <w:top w:w="0" w:type="dxa"/>
              <w:left w:w="108" w:type="dxa"/>
              <w:bottom w:w="0" w:type="dxa"/>
              <w:right w:w="108" w:type="dxa"/>
            </w:tcMar>
            <w:vAlign w:val="center"/>
            <w:hideMark/>
          </w:tcPr>
          <w:p w14:paraId="4684B25F" w14:textId="77777777" w:rsidR="009B1033" w:rsidRPr="004879B0" w:rsidRDefault="009B1033" w:rsidP="004879B0">
            <w:pPr>
              <w:spacing w:before="120"/>
              <w:rPr>
                <w:rFonts w:ascii="Arial" w:hAnsi="Arial" w:cs="Arial"/>
                <w:iCs/>
                <w:sz w:val="20"/>
                <w:szCs w:val="20"/>
                <w:lang w:val="en-GB"/>
              </w:rPr>
            </w:pPr>
            <w:r w:rsidRPr="004879B0">
              <w:rPr>
                <w:rFonts w:ascii="Arial" w:hAnsi="Arial" w:cs="Arial"/>
                <w:iCs/>
                <w:sz w:val="20"/>
                <w:szCs w:val="20"/>
                <w:lang w:val="en-GB"/>
              </w:rPr>
              <w:t>Skin and Subcutaneous Tissue Disorders</w:t>
            </w:r>
          </w:p>
        </w:tc>
        <w:tc>
          <w:tcPr>
            <w:tcW w:w="4962" w:type="dxa"/>
            <w:tcMar>
              <w:top w:w="0" w:type="dxa"/>
              <w:left w:w="108" w:type="dxa"/>
              <w:bottom w:w="0" w:type="dxa"/>
              <w:right w:w="108" w:type="dxa"/>
            </w:tcMar>
            <w:vAlign w:val="center"/>
          </w:tcPr>
          <w:p w14:paraId="6BBBB064" w14:textId="77777777" w:rsidR="009B1033" w:rsidRPr="004879B0" w:rsidRDefault="009B1033" w:rsidP="004879B0">
            <w:pPr>
              <w:spacing w:before="120"/>
              <w:rPr>
                <w:rFonts w:ascii="Arial" w:hAnsi="Arial" w:cs="Arial"/>
                <w:iCs/>
                <w:sz w:val="20"/>
                <w:szCs w:val="20"/>
                <w:lang w:val="en-GB"/>
              </w:rPr>
            </w:pPr>
            <w:r w:rsidRPr="004879B0">
              <w:rPr>
                <w:rFonts w:ascii="Arial" w:hAnsi="Arial" w:cs="Arial"/>
                <w:iCs/>
                <w:sz w:val="20"/>
                <w:szCs w:val="20"/>
                <w:lang w:val="en-GB"/>
              </w:rPr>
              <w:t>Rash, urticaria</w:t>
            </w:r>
          </w:p>
        </w:tc>
      </w:tr>
      <w:tr w:rsidR="009B1033" w:rsidRPr="004879B0" w14:paraId="31B3C678" w14:textId="77777777" w:rsidTr="004879B0">
        <w:tc>
          <w:tcPr>
            <w:tcW w:w="4531" w:type="dxa"/>
            <w:tcMar>
              <w:top w:w="0" w:type="dxa"/>
              <w:left w:w="108" w:type="dxa"/>
              <w:bottom w:w="0" w:type="dxa"/>
              <w:right w:w="108" w:type="dxa"/>
            </w:tcMar>
            <w:vAlign w:val="center"/>
            <w:hideMark/>
          </w:tcPr>
          <w:p w14:paraId="0DD0EAE8" w14:textId="77777777" w:rsidR="009B1033" w:rsidRPr="004879B0" w:rsidRDefault="009B1033" w:rsidP="004879B0">
            <w:pPr>
              <w:spacing w:before="120"/>
              <w:rPr>
                <w:rFonts w:ascii="Arial" w:hAnsi="Arial" w:cs="Arial"/>
                <w:iCs/>
                <w:sz w:val="20"/>
                <w:szCs w:val="20"/>
                <w:lang w:val="en-GB"/>
              </w:rPr>
            </w:pPr>
            <w:r w:rsidRPr="004879B0">
              <w:rPr>
                <w:rFonts w:ascii="Arial" w:hAnsi="Arial" w:cs="Arial"/>
                <w:iCs/>
                <w:sz w:val="20"/>
                <w:szCs w:val="20"/>
                <w:lang w:val="en-GB"/>
              </w:rPr>
              <w:t>Respiratory, Thoracic and Mediastinal Disorders</w:t>
            </w:r>
          </w:p>
        </w:tc>
        <w:tc>
          <w:tcPr>
            <w:tcW w:w="4962" w:type="dxa"/>
            <w:tcMar>
              <w:top w:w="0" w:type="dxa"/>
              <w:left w:w="108" w:type="dxa"/>
              <w:bottom w:w="0" w:type="dxa"/>
              <w:right w:w="108" w:type="dxa"/>
            </w:tcMar>
            <w:vAlign w:val="center"/>
          </w:tcPr>
          <w:p w14:paraId="22D0720B" w14:textId="77777777" w:rsidR="009B1033" w:rsidRPr="004879B0" w:rsidRDefault="009B1033" w:rsidP="004879B0">
            <w:pPr>
              <w:spacing w:before="120"/>
              <w:rPr>
                <w:rFonts w:ascii="Arial" w:hAnsi="Arial" w:cs="Arial"/>
                <w:iCs/>
                <w:sz w:val="20"/>
                <w:szCs w:val="20"/>
                <w:lang w:val="en-GB"/>
              </w:rPr>
            </w:pPr>
            <w:r w:rsidRPr="004879B0">
              <w:rPr>
                <w:rFonts w:ascii="Arial" w:hAnsi="Arial" w:cs="Arial"/>
                <w:iCs/>
                <w:sz w:val="20"/>
                <w:szCs w:val="20"/>
                <w:lang w:val="en-GB"/>
              </w:rPr>
              <w:t>Dyspnoea</w:t>
            </w:r>
          </w:p>
        </w:tc>
      </w:tr>
      <w:tr w:rsidR="009B1033" w:rsidRPr="004879B0" w14:paraId="0C0E1D14" w14:textId="77777777" w:rsidTr="004879B0">
        <w:tc>
          <w:tcPr>
            <w:tcW w:w="4531" w:type="dxa"/>
            <w:tcMar>
              <w:top w:w="0" w:type="dxa"/>
              <w:left w:w="108" w:type="dxa"/>
              <w:bottom w:w="0" w:type="dxa"/>
              <w:right w:w="108" w:type="dxa"/>
            </w:tcMar>
            <w:vAlign w:val="center"/>
          </w:tcPr>
          <w:p w14:paraId="58D1C574" w14:textId="77777777" w:rsidR="009B1033" w:rsidRPr="004879B0" w:rsidRDefault="009B1033" w:rsidP="004879B0">
            <w:pPr>
              <w:spacing w:before="120"/>
              <w:rPr>
                <w:rFonts w:ascii="Arial" w:hAnsi="Arial" w:cs="Arial"/>
                <w:iCs/>
                <w:sz w:val="20"/>
                <w:szCs w:val="20"/>
                <w:lang w:val="en-GB"/>
              </w:rPr>
            </w:pPr>
            <w:r w:rsidRPr="004879B0">
              <w:rPr>
                <w:rFonts w:ascii="Arial" w:hAnsi="Arial" w:cs="Arial"/>
                <w:sz w:val="20"/>
                <w:szCs w:val="20"/>
                <w:lang w:val="en-GB"/>
              </w:rPr>
              <w:t>General Disorders and Administration Site Conditions</w:t>
            </w:r>
          </w:p>
        </w:tc>
        <w:tc>
          <w:tcPr>
            <w:tcW w:w="4962" w:type="dxa"/>
            <w:tcMar>
              <w:top w:w="0" w:type="dxa"/>
              <w:left w:w="108" w:type="dxa"/>
              <w:bottom w:w="0" w:type="dxa"/>
              <w:right w:w="108" w:type="dxa"/>
            </w:tcMar>
            <w:vAlign w:val="center"/>
          </w:tcPr>
          <w:p w14:paraId="0290E782" w14:textId="77777777" w:rsidR="009B1033" w:rsidRPr="004879B0" w:rsidRDefault="009B1033" w:rsidP="004879B0">
            <w:pPr>
              <w:spacing w:before="120"/>
              <w:rPr>
                <w:rFonts w:ascii="Arial" w:hAnsi="Arial" w:cs="Arial"/>
                <w:iCs/>
                <w:sz w:val="20"/>
                <w:szCs w:val="20"/>
                <w:lang w:val="fr-FR"/>
              </w:rPr>
            </w:pPr>
            <w:r w:rsidRPr="004879B0">
              <w:rPr>
                <w:rFonts w:ascii="Arial" w:hAnsi="Arial" w:cs="Arial"/>
                <w:iCs/>
                <w:sz w:val="20"/>
                <w:szCs w:val="20"/>
                <w:lang w:val="fr-FR"/>
              </w:rPr>
              <w:t xml:space="preserve">Extravasation, infusion site </w:t>
            </w:r>
            <w:proofErr w:type="spellStart"/>
            <w:r w:rsidRPr="004879B0">
              <w:rPr>
                <w:rFonts w:ascii="Arial" w:hAnsi="Arial" w:cs="Arial"/>
                <w:iCs/>
                <w:sz w:val="20"/>
                <w:szCs w:val="20"/>
                <w:lang w:val="fr-FR"/>
              </w:rPr>
              <w:t>discolouration</w:t>
            </w:r>
            <w:proofErr w:type="spellEnd"/>
            <w:r w:rsidRPr="004879B0">
              <w:rPr>
                <w:rFonts w:ascii="Arial" w:hAnsi="Arial" w:cs="Arial"/>
                <w:iCs/>
                <w:sz w:val="20"/>
                <w:szCs w:val="20"/>
                <w:lang w:val="fr-FR"/>
              </w:rPr>
              <w:t xml:space="preserve">, injection site </w:t>
            </w:r>
            <w:proofErr w:type="spellStart"/>
            <w:r w:rsidRPr="004879B0">
              <w:rPr>
                <w:rFonts w:ascii="Arial" w:hAnsi="Arial" w:cs="Arial"/>
                <w:iCs/>
                <w:sz w:val="20"/>
                <w:szCs w:val="20"/>
                <w:lang w:val="fr-FR"/>
              </w:rPr>
              <w:t>discolouration</w:t>
            </w:r>
            <w:proofErr w:type="spellEnd"/>
          </w:p>
        </w:tc>
      </w:tr>
    </w:tbl>
    <w:p w14:paraId="147E3A40" w14:textId="77777777" w:rsidR="004879B0" w:rsidRPr="004879B0" w:rsidRDefault="004879B0" w:rsidP="004879B0">
      <w:pPr>
        <w:spacing w:before="120"/>
        <w:rPr>
          <w:rFonts w:ascii="Arial" w:hAnsi="Arial" w:cs="Arial"/>
          <w:sz w:val="20"/>
          <w:szCs w:val="20"/>
          <w:lang w:val="en-GB"/>
        </w:rPr>
      </w:pPr>
      <w:r w:rsidRPr="004879B0">
        <w:rPr>
          <w:rFonts w:ascii="Arial" w:hAnsi="Arial" w:cs="Arial"/>
          <w:sz w:val="20"/>
          <w:szCs w:val="20"/>
          <w:vertAlign w:val="superscript"/>
          <w:lang w:val="en-GB"/>
        </w:rPr>
        <w:t xml:space="preserve">1 </w:t>
      </w:r>
      <w:r w:rsidRPr="004879B0">
        <w:rPr>
          <w:rFonts w:ascii="Arial" w:hAnsi="Arial" w:cs="Arial"/>
          <w:sz w:val="20"/>
          <w:szCs w:val="20"/>
          <w:lang w:val="en-GB"/>
        </w:rPr>
        <w:t>Frequency not known.</w:t>
      </w:r>
    </w:p>
    <w:p w14:paraId="498D5346" w14:textId="77777777" w:rsidR="009B1033" w:rsidRDefault="009B1033" w:rsidP="00D44718">
      <w:pPr>
        <w:jc w:val="both"/>
        <w:rPr>
          <w:lang w:val="en-AU"/>
        </w:rPr>
      </w:pPr>
      <w:r w:rsidRPr="009B1033">
        <w:rPr>
          <w:lang w:val="en-AU"/>
        </w:rPr>
        <w:t xml:space="preserve">There have been individual case reports of temporally-related, but not causally-related, events of: antenatal </w:t>
      </w:r>
      <w:proofErr w:type="spellStart"/>
      <w:r w:rsidRPr="009B1033">
        <w:rPr>
          <w:lang w:val="en-AU"/>
        </w:rPr>
        <w:t>fetal</w:t>
      </w:r>
      <w:proofErr w:type="spellEnd"/>
      <w:r w:rsidRPr="009B1033">
        <w:rPr>
          <w:lang w:val="en-AU"/>
        </w:rPr>
        <w:t xml:space="preserve"> ductus </w:t>
      </w:r>
      <w:proofErr w:type="spellStart"/>
      <w:r w:rsidRPr="009B1033">
        <w:rPr>
          <w:lang w:val="en-AU"/>
        </w:rPr>
        <w:t>venosus</w:t>
      </w:r>
      <w:proofErr w:type="spellEnd"/>
      <w:r w:rsidRPr="009B1033">
        <w:rPr>
          <w:lang w:val="en-AU"/>
        </w:rPr>
        <w:t xml:space="preserve"> thrombosis, uterine hypertonia or contractions and fetal demise when Ferinject has been used in pregnancy. </w:t>
      </w:r>
    </w:p>
    <w:p w14:paraId="0F5C0119" w14:textId="77777777" w:rsidR="00CF55C1" w:rsidRPr="009B1033" w:rsidRDefault="00CF55C1" w:rsidP="00CF55C1">
      <w:pPr>
        <w:pStyle w:val="Heading3"/>
        <w:numPr>
          <w:ilvl w:val="0"/>
          <w:numId w:val="0"/>
        </w:numPr>
        <w:jc w:val="both"/>
      </w:pPr>
      <w:r w:rsidRPr="009B1033">
        <w:t>Reporting suspected adverse effects</w:t>
      </w:r>
    </w:p>
    <w:p w14:paraId="57A2DA92" w14:textId="77777777" w:rsidR="00CF55C1" w:rsidRPr="00414A94" w:rsidRDefault="00CF55C1" w:rsidP="00CF55C1">
      <w:pPr>
        <w:jc w:val="both"/>
      </w:pPr>
      <w:r w:rsidRPr="00414A94">
        <w:t>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7" w:history="1">
        <w:r w:rsidRPr="00414A94">
          <w:t>www.tga.gov.au/reporting-problems</w:t>
        </w:r>
      </w:hyperlink>
      <w:r w:rsidRPr="00414A94">
        <w:t>.</w:t>
      </w:r>
    </w:p>
    <w:p w14:paraId="798094D4" w14:textId="77777777" w:rsidR="00FD1F94" w:rsidRDefault="00FD1F94" w:rsidP="00D44718">
      <w:pPr>
        <w:pStyle w:val="Heading2"/>
        <w:jc w:val="both"/>
      </w:pPr>
      <w:r>
        <w:t>OVERDOSE</w:t>
      </w:r>
    </w:p>
    <w:p w14:paraId="54DA7C2E" w14:textId="77777777" w:rsidR="004879B0" w:rsidRDefault="004879B0" w:rsidP="00D44718">
      <w:pPr>
        <w:jc w:val="both"/>
      </w:pPr>
      <w:r w:rsidRPr="004879B0">
        <w:t xml:space="preserve">Administration of FERINJECT in quantities exceeding the amount needed to correct iron deficit at the time of administration may lead to accumulation of iron in storage sites eventually leading to haemosiderosis. Monitoring of iron parameters such as serum ferritin and transferrin saturation may assist in </w:t>
      </w:r>
      <w:proofErr w:type="spellStart"/>
      <w:r w:rsidRPr="004879B0">
        <w:t>recognising</w:t>
      </w:r>
      <w:proofErr w:type="spellEnd"/>
      <w:r w:rsidRPr="004879B0">
        <w:t xml:space="preserve"> iron accumulation. If iron accumulation has occurred, the use of an iron chelator may be considered.</w:t>
      </w:r>
    </w:p>
    <w:p w14:paraId="7D4AC653" w14:textId="77777777" w:rsidR="00CF55C1" w:rsidRDefault="00CF55C1" w:rsidP="00CF55C1">
      <w:pPr>
        <w:jc w:val="both"/>
      </w:pPr>
      <w:r w:rsidRPr="004879B0">
        <w:lastRenderedPageBreak/>
        <w:t>For information on the management of overdose, contact the Poison Information Centre on 131126 (Australia).</w:t>
      </w:r>
    </w:p>
    <w:p w14:paraId="51A788BD" w14:textId="77777777" w:rsidR="00FD1F94" w:rsidRDefault="00FD1F94" w:rsidP="006A60B4">
      <w:pPr>
        <w:pStyle w:val="Heading1"/>
        <w:pageBreakBefore w:val="0"/>
        <w:ind w:left="677" w:hanging="677"/>
      </w:pPr>
      <w:r>
        <w:t>PHARMACOLOGICAL PROPERTIES</w:t>
      </w:r>
    </w:p>
    <w:p w14:paraId="2335904E" w14:textId="77777777" w:rsidR="00FD1F94" w:rsidRDefault="00FD1F94" w:rsidP="0055703C">
      <w:pPr>
        <w:pStyle w:val="Heading2"/>
      </w:pPr>
      <w:r>
        <w:t>PHARMACODYNAMIC PROPERTIES</w:t>
      </w:r>
    </w:p>
    <w:p w14:paraId="58EDCB6A" w14:textId="77777777" w:rsidR="00FD1F94" w:rsidRDefault="00FD1F94" w:rsidP="00D44718">
      <w:pPr>
        <w:pStyle w:val="Heading3"/>
        <w:numPr>
          <w:ilvl w:val="0"/>
          <w:numId w:val="0"/>
        </w:numPr>
        <w:jc w:val="both"/>
      </w:pPr>
      <w:r>
        <w:t>Mechanism of action</w:t>
      </w:r>
    </w:p>
    <w:p w14:paraId="35A17B7F" w14:textId="77777777" w:rsidR="004879B0" w:rsidRDefault="004879B0" w:rsidP="00D44718">
      <w:pPr>
        <w:jc w:val="both"/>
        <w:rPr>
          <w:b/>
        </w:rPr>
      </w:pPr>
      <w:r w:rsidRPr="004879B0">
        <w:t xml:space="preserve">Ferric carboxymaltose (FCM) solution for injection/infusion contains iron in a stable ferric state as a complex with a carbohydrate polymer designed to provide iron for the iron transport and storage proteins in the body (transferrin and ferritin). FCM was effective in increasing </w:t>
      </w:r>
      <w:proofErr w:type="spellStart"/>
      <w:r w:rsidRPr="004879B0">
        <w:t>haemoglobin</w:t>
      </w:r>
      <w:proofErr w:type="spellEnd"/>
      <w:r w:rsidRPr="004879B0">
        <w:t xml:space="preserve"> (</w:t>
      </w:r>
      <w:proofErr w:type="spellStart"/>
      <w:r w:rsidRPr="004879B0">
        <w:t>Hb</w:t>
      </w:r>
      <w:proofErr w:type="spellEnd"/>
      <w:r w:rsidRPr="004879B0">
        <w:t xml:space="preserve">) and serum ferritin concentrations in patients with mild to moderate iron-deficiency anaemia. The intravenous (IV) iron dose was 500 mg weekly for up to 4 weeks (n=20) or 1,000 mg weekly for up to 2 weeks (n=26). With the 500 mg iron dose, 37% of patients achieved normal Hb levels within 8 weeks and 75% achieved a ≥20 g/L increase in Hb on at least one occasion. With 1,000 mg iron, 48% of patients achieved normal Hb levels within 6 weeks and 73% achieved a ≥20 g/L increase in Hb on at least one occasion. The target serum ferritin concentration 100-500 µg/L was reached with both doses and remained within the target range at 2 weeks follow-up (at 6 and 4 weeks respectively for the two dose groups)-data were only available for about half the 500 mg iron dose group. </w:t>
      </w:r>
    </w:p>
    <w:p w14:paraId="0F0B96C0" w14:textId="77777777" w:rsidR="00FD1F94" w:rsidRDefault="00FD1F94" w:rsidP="00D44718">
      <w:pPr>
        <w:pStyle w:val="Heading3"/>
        <w:numPr>
          <w:ilvl w:val="0"/>
          <w:numId w:val="0"/>
        </w:numPr>
        <w:jc w:val="both"/>
      </w:pPr>
      <w:r>
        <w:t>Clinical trials</w:t>
      </w:r>
    </w:p>
    <w:p w14:paraId="4AA2EE89" w14:textId="77777777" w:rsidR="004879B0" w:rsidRPr="004879B0" w:rsidRDefault="004879B0" w:rsidP="00D44718">
      <w:pPr>
        <w:jc w:val="both"/>
      </w:pPr>
      <w:r w:rsidRPr="004879B0">
        <w:t>Clinical studies showed that the haematological response and the filling of the iron stores was faster after intravenous administration of FCM than with orally administered comparators.</w:t>
      </w:r>
    </w:p>
    <w:p w14:paraId="67A5CCBE" w14:textId="55D7C3D8" w:rsidR="004879B0" w:rsidRDefault="004879B0" w:rsidP="00D44718">
      <w:pPr>
        <w:jc w:val="both"/>
      </w:pPr>
      <w:r w:rsidRPr="004879B0">
        <w:t xml:space="preserve">The phase III studies undertaken with FCM included patients with iron deficiency (ID) of different </w:t>
      </w:r>
      <w:proofErr w:type="spellStart"/>
      <w:r w:rsidRPr="004879B0">
        <w:t>aetiologies</w:t>
      </w:r>
      <w:proofErr w:type="spellEnd"/>
      <w:r w:rsidRPr="004879B0">
        <w:t xml:space="preserve">, i.e. associated with non-dialysis and dialysis dependent chronic kidney disease (CKD), inflammatory bowel disease, heavy menstrual bleeding, post-partum iron deficiency anaemia (IDA), </w:t>
      </w:r>
      <w:r w:rsidR="004B1918" w:rsidRPr="004879B0">
        <w:t xml:space="preserve">pregnancy (second and third trimester) </w:t>
      </w:r>
      <w:r w:rsidRPr="004879B0">
        <w:t>or  patients with chronic heart failure and iron deficiency.</w:t>
      </w:r>
    </w:p>
    <w:p w14:paraId="5EAC8018" w14:textId="77777777" w:rsidR="004879B0" w:rsidRPr="004879B0" w:rsidRDefault="004879B0" w:rsidP="00D44718">
      <w:pPr>
        <w:jc w:val="both"/>
        <w:rPr>
          <w:b/>
        </w:rPr>
      </w:pPr>
      <w:r w:rsidRPr="004879B0">
        <w:rPr>
          <w:b/>
        </w:rPr>
        <w:t xml:space="preserve">IDA associated with </w:t>
      </w:r>
      <w:proofErr w:type="spellStart"/>
      <w:r w:rsidRPr="004879B0">
        <w:rPr>
          <w:b/>
        </w:rPr>
        <w:t>haemodialysis</w:t>
      </w:r>
      <w:proofErr w:type="spellEnd"/>
      <w:r w:rsidRPr="004879B0">
        <w:rPr>
          <w:b/>
        </w:rPr>
        <w:t xml:space="preserve">-dependent chronic kidney disease </w:t>
      </w:r>
    </w:p>
    <w:p w14:paraId="1ABB0837" w14:textId="77777777" w:rsidR="004879B0" w:rsidRPr="004879B0" w:rsidRDefault="004879B0" w:rsidP="00D44718">
      <w:pPr>
        <w:spacing w:before="120"/>
        <w:jc w:val="both"/>
      </w:pPr>
      <w:r w:rsidRPr="004879B0">
        <w:t>The efficacy and safety of FCM compared to Venofer</w:t>
      </w:r>
      <w:r w:rsidRPr="00B52DE6">
        <w:rPr>
          <w:vertAlign w:val="superscript"/>
        </w:rPr>
        <w:t>®</w:t>
      </w:r>
      <w:r w:rsidRPr="004879B0">
        <w:t xml:space="preserve"> (iron sucrose, intravenous) for the treatment of IDA secondary to chronic renal failure was assessed in a multi-</w:t>
      </w:r>
      <w:proofErr w:type="spellStart"/>
      <w:r w:rsidRPr="004879B0">
        <w:t>centre</w:t>
      </w:r>
      <w:proofErr w:type="spellEnd"/>
      <w:r w:rsidRPr="004879B0">
        <w:t xml:space="preserve">, open-label, </w:t>
      </w:r>
      <w:proofErr w:type="spellStart"/>
      <w:r w:rsidRPr="004879B0">
        <w:t>randomised</w:t>
      </w:r>
      <w:proofErr w:type="spellEnd"/>
      <w:r w:rsidRPr="004879B0">
        <w:t xml:space="preserve">, parallel-group, Phase III study in 237 patients on </w:t>
      </w:r>
      <w:proofErr w:type="spellStart"/>
      <w:r w:rsidRPr="004879B0">
        <w:t>haemodialysis</w:t>
      </w:r>
      <w:proofErr w:type="spellEnd"/>
      <w:r w:rsidRPr="004879B0">
        <w:t xml:space="preserve"> or </w:t>
      </w:r>
      <w:proofErr w:type="spellStart"/>
      <w:r w:rsidRPr="004879B0">
        <w:t>haemodiafiltration</w:t>
      </w:r>
      <w:proofErr w:type="spellEnd"/>
      <w:r w:rsidRPr="004879B0">
        <w:t>. IDA was defined as Hb ≤115 g/L in addition to transferrin saturation (TSAT) &lt;20% and/or serum ferritin &lt;200 µg/L. Patients received 200 mg iron 2 or 3 times weekly (depending on the timing of dialysis sessions) until their individual calculated cumulative dose had been reached. The mean duration of treatment was 15.8 days (range 1 to 27) and 16.2 days (range 1 to 43 days) for the FCM and Venofer</w:t>
      </w:r>
      <w:r w:rsidRPr="00B52DE6">
        <w:rPr>
          <w:vertAlign w:val="superscript"/>
        </w:rPr>
        <w:t>®</w:t>
      </w:r>
      <w:r w:rsidRPr="004879B0">
        <w:t xml:space="preserve"> groups, respectively. </w:t>
      </w:r>
    </w:p>
    <w:p w14:paraId="1436E440" w14:textId="75BF5360" w:rsidR="004879B0" w:rsidRDefault="004879B0" w:rsidP="00D44718">
      <w:pPr>
        <w:jc w:val="both"/>
      </w:pPr>
      <w:r w:rsidRPr="004879B0">
        <w:t>Patients treated with erythropoietin (EPO) should have had received this treatment for at least 8 weeks prior to inclusion in the study and increases in the dose of EPO were not permitted. The primary efficacy endpoint was defined as the percentage of patients reaching an increase in Hb of ≥10 g/L at 4 weeks. The percentage of responders was 44.1% (52/118) in the FCM group and 35.3% (41/116) in the Venofer</w:t>
      </w:r>
      <w:r w:rsidRPr="00B52DE6">
        <w:rPr>
          <w:vertAlign w:val="superscript"/>
        </w:rPr>
        <w:t>®</w:t>
      </w:r>
      <w:r w:rsidRPr="004879B0">
        <w:t xml:space="preserve"> group; the difference between groups was not statistically significant (chi</w:t>
      </w:r>
      <w:r w:rsidRPr="00B52DE6">
        <w:rPr>
          <w:vertAlign w:val="superscript"/>
        </w:rPr>
        <w:t>2</w:t>
      </w:r>
      <w:r w:rsidRPr="004879B0">
        <w:t xml:space="preserve"> = 0.2254). At follow-up 4 weeks after the final dose of medication, secondary efficacy parameters (Hb ≥110-120 g/L, serum ferritin 200-800 µg/L, TSAT 20</w:t>
      </w:r>
      <w:r w:rsidR="006A60B4">
        <w:t>-</w:t>
      </w:r>
      <w:r w:rsidRPr="004879B0">
        <w:t xml:space="preserve">50%) demonstrated successful increase in iron stores for both treatment groups. </w:t>
      </w:r>
    </w:p>
    <w:p w14:paraId="18DF1C8E" w14:textId="77777777" w:rsidR="004879B0" w:rsidRPr="004879B0" w:rsidRDefault="004879B0" w:rsidP="00D44718">
      <w:pPr>
        <w:jc w:val="both"/>
        <w:rPr>
          <w:b/>
        </w:rPr>
      </w:pPr>
      <w:r w:rsidRPr="004879B0">
        <w:rPr>
          <w:b/>
        </w:rPr>
        <w:lastRenderedPageBreak/>
        <w:t xml:space="preserve">IDA associated with non-dialysis-dependent chronic kidney disease </w:t>
      </w:r>
    </w:p>
    <w:p w14:paraId="42573AFE" w14:textId="47EE862E" w:rsidR="004879B0" w:rsidRPr="004879B0" w:rsidRDefault="004879B0" w:rsidP="00D44718">
      <w:pPr>
        <w:spacing w:before="120"/>
        <w:jc w:val="both"/>
      </w:pPr>
      <w:r w:rsidRPr="004879B0">
        <w:t>A multi-</w:t>
      </w:r>
      <w:proofErr w:type="spellStart"/>
      <w:r w:rsidRPr="004879B0">
        <w:t>centre</w:t>
      </w:r>
      <w:proofErr w:type="spellEnd"/>
      <w:r w:rsidRPr="004879B0">
        <w:t xml:space="preserve">, </w:t>
      </w:r>
      <w:proofErr w:type="spellStart"/>
      <w:r w:rsidRPr="004879B0">
        <w:t>randomised</w:t>
      </w:r>
      <w:proofErr w:type="spellEnd"/>
      <w:r w:rsidRPr="004879B0">
        <w:t>, open-label, controlled, 8-week, Phase III study in 255 patients was conducted to compare the safety and efficacy of intravenous infusions of the FCM solution with oral administration of ferrous sulphate, independent of Hb response to EPO, in treating IDA in non-dialysis-dependent chronic kidney disease (ND-CKD). IDA was defined as Hb ≤110 g/L, TSAT ≤25%, and serum ferritin ≤300 µg/L. Patients treated with EPO should have had received this treatment for at least 8 weeks prior to inclusion in the study and increases in the dose of EPO were not permitted. Patients randomised to FCM treatment received 1 to 3 doses of FCM solution intravenously at 2</w:t>
      </w:r>
      <w:r w:rsidR="006A60B4">
        <w:t>-</w:t>
      </w:r>
      <w:r w:rsidRPr="004879B0">
        <w:t xml:space="preserve">4 week intervals: 15 mg iron/kg for weight ≤66 kg to a maximum of 1,000 mg iron for the initial dose and a maximum of 500 mg iron for subsequent doses. Patients randomised to oral iron treatment received ferrous sulphate tablets (65 mg iron) 3 times daily for 8 weeks. </w:t>
      </w:r>
    </w:p>
    <w:p w14:paraId="277F0016" w14:textId="77777777" w:rsidR="004879B0" w:rsidRPr="004879B0" w:rsidRDefault="004879B0" w:rsidP="00D44718">
      <w:pPr>
        <w:jc w:val="both"/>
      </w:pPr>
      <w:r w:rsidRPr="004879B0">
        <w:t>In a modified intent-to-treat analysis which excluded 8 FCM patients and 2 ferrous sulfate patients, the primary efficacy endpoint, defined as the percentage of patients with an increase in Hb ≥10 g/L at any time between baseline and end of study, or time of intervention, was reached by 60.4% (87/144) of FCM-treated patients compared to 34.7% (35/101) of oral iron-treated patients (p&lt;0.001; 95% confidence interval (CI) 13.0, 38.5). The modified intent-to-treat population comprised patients with at least one dose of study medication, stable erythropoietin dose, at least one post-baseline Hb assessment and GFR ≤45 mL/min/1.73 m</w:t>
      </w:r>
      <w:r w:rsidRPr="00B52DE6">
        <w:rPr>
          <w:vertAlign w:val="superscript"/>
        </w:rPr>
        <w:t>2</w:t>
      </w:r>
      <w:r w:rsidRPr="004879B0">
        <w:t>. FCM was also demonstrated to be superior to oral iron across all secondary ranked efficacy endpoints: Hb change ≥10 g/L and a serum ferritin change ≥160 µg/L at any time during the study (60.4% versus 0.0%, respectively; p&lt;0.001; 95% CI 48.2, 72.6) or a Hb change ≥10 g/L before Day 42 (54.2% versus 28.7%, respectively; p&lt;0.001; 95% CI 12.8, 38.1).</w:t>
      </w:r>
    </w:p>
    <w:p w14:paraId="4E330F5A" w14:textId="249E79BD" w:rsidR="004879B0" w:rsidRPr="004879B0" w:rsidRDefault="004879B0" w:rsidP="00D44718">
      <w:pPr>
        <w:jc w:val="both"/>
      </w:pPr>
      <w:r w:rsidRPr="004879B0">
        <w:t>In a 44-week extension to this study, the efficacy of FCM in the long-term maintenance treatment of anaemia in ND</w:t>
      </w:r>
      <w:r w:rsidR="006A60B4">
        <w:t>-</w:t>
      </w:r>
      <w:r w:rsidRPr="004879B0">
        <w:t xml:space="preserve">CKD was evaluated in 140 patients. Clinical success (Hb ≥110 g/L, serum ferritin 100-800 µg/L, TSAT 30-50%) was achieved in 51.4% (72/140) of patients, with 10% (14/140) exhibiting sustained clinical success at 50% or more of the assessments. </w:t>
      </w:r>
    </w:p>
    <w:p w14:paraId="17E0D4DA" w14:textId="77777777" w:rsidR="004879B0" w:rsidRPr="004879B0" w:rsidRDefault="004879B0" w:rsidP="00D44718">
      <w:pPr>
        <w:jc w:val="both"/>
      </w:pPr>
      <w:r w:rsidRPr="004879B0">
        <w:t>In the ND-CKD subgroup of another study, the safety and efficacy of IV injection of FCM solution, 15 mg iron/kg body weight up to 1,000 mg iron administered over 15 min. was assessed. The comparator was standard medical care (SMC) as determined by the investigator.</w:t>
      </w:r>
    </w:p>
    <w:p w14:paraId="27526AEA" w14:textId="77777777" w:rsidR="004879B0" w:rsidRPr="004879B0" w:rsidRDefault="004879B0" w:rsidP="00D44718">
      <w:pPr>
        <w:jc w:val="both"/>
      </w:pPr>
      <w:r w:rsidRPr="004879B0">
        <w:t xml:space="preserve">The primary endpoint was the incidence of treatment-emergent serious adverse events from Day 0 to 30 days after the last dose of study drug. The safety population contained 204 FCM subjects and 212 SMC subjects. The majority had mild </w:t>
      </w:r>
      <w:proofErr w:type="spellStart"/>
      <w:r w:rsidRPr="004879B0">
        <w:t>anaemia</w:t>
      </w:r>
      <w:proofErr w:type="spellEnd"/>
      <w:r w:rsidRPr="004879B0">
        <w:t xml:space="preserve"> (mean </w:t>
      </w:r>
      <w:proofErr w:type="spellStart"/>
      <w:r w:rsidRPr="004879B0">
        <w:t>Hb</w:t>
      </w:r>
      <w:proofErr w:type="spellEnd"/>
      <w:r w:rsidRPr="004879B0">
        <w:t xml:space="preserve"> 104 g/L in FCM group and 102 g/L in control group). There were no serious adverse events assessed as related to FCM. Based on these limited data and the lack of specific serious drug-related adverse reactions, the safety of single FCM doses of 1,000 mg iron appeared equal to SMC.</w:t>
      </w:r>
    </w:p>
    <w:p w14:paraId="1FDC63EF" w14:textId="77777777" w:rsidR="004879B0" w:rsidRPr="004879B0" w:rsidRDefault="004879B0" w:rsidP="00D44718">
      <w:pPr>
        <w:jc w:val="both"/>
      </w:pPr>
      <w:r w:rsidRPr="004879B0">
        <w:t>Efficacy was assessed in a modified intent-to-treat population of 202 FCM subjects and 203 SMC subjects. Achievement of Hb ≥120 g/L was comparable in the two groups at 30 days - FCM 9.9% and SMC 6.9% (Fisher’s Exact Test p = 0.29).</w:t>
      </w:r>
    </w:p>
    <w:p w14:paraId="64F281E4" w14:textId="77777777" w:rsidR="004879B0" w:rsidRPr="004879B0" w:rsidRDefault="004879B0" w:rsidP="00D44718">
      <w:pPr>
        <w:jc w:val="both"/>
        <w:rPr>
          <w:b/>
        </w:rPr>
      </w:pPr>
      <w:r w:rsidRPr="004879B0">
        <w:rPr>
          <w:b/>
        </w:rPr>
        <w:t xml:space="preserve">IDA secondary to inflammatory bowel disease </w:t>
      </w:r>
    </w:p>
    <w:p w14:paraId="466DFF44" w14:textId="77777777" w:rsidR="004879B0" w:rsidRPr="004879B0" w:rsidRDefault="004879B0" w:rsidP="00D44718">
      <w:pPr>
        <w:spacing w:before="120"/>
        <w:jc w:val="both"/>
      </w:pPr>
      <w:r w:rsidRPr="004879B0">
        <w:t>The efficacy of infusions of FCM solutions compared to oral administration of ferrous sulphate in the treatment of IDA secondary to chronic inflammatory bowel disease was examined in a multi-</w:t>
      </w:r>
      <w:proofErr w:type="spellStart"/>
      <w:r w:rsidRPr="004879B0">
        <w:t>centre</w:t>
      </w:r>
      <w:proofErr w:type="spellEnd"/>
      <w:r w:rsidRPr="004879B0">
        <w:t xml:space="preserve">, open-label, </w:t>
      </w:r>
      <w:proofErr w:type="spellStart"/>
      <w:r w:rsidRPr="004879B0">
        <w:t>randomised</w:t>
      </w:r>
      <w:proofErr w:type="spellEnd"/>
      <w:r w:rsidRPr="004879B0">
        <w:t xml:space="preserve">, 12-week, Phase III study in 200 patients. 4 patients did not receive study drug and were excluded from the analysis. IDA was defined as Hb ≤110 g/L in combination with TSAT &lt;20% and/or serum ferritin &lt;100 µg/L. Patients were randomised in a 2:1 (FCM: ferrous sulphate) ratio to receive 1 of 2 treatments: FCM intravenous on Day 1 with subsequent doses at 1-week intervals until the patient’s calculated cumulative dose had </w:t>
      </w:r>
      <w:r w:rsidRPr="004879B0">
        <w:lastRenderedPageBreak/>
        <w:t xml:space="preserve">been reached (a maximum dose of 1,000 mg iron per infusion) or oral ferrous sulphate capsules (100 mg iron) twice daily for 12 weeks. Based on the primary response parameter of change in mean Hb from baseline to Week 12 (36.0 g/L FCM group, 32.9 g/L oral iron group), the results of this study demonstrated that FCM was non-inferior to ferrous sulphate. The non-inferiority criterion was lower limit of 95% CI of difference FCM minus ferrous sulphate ≥–5.0 g/L. The non-inferiority criterion was met in both the intent-to-treat and per protocol populations. Furthermore, the mean Week-12 values of serum ferritin (80.2 µg/L FCM group, 38.6 µg/L oral iron group) and TSAT (23.1% FCM group, 29.2% oral iron group) demonstrated a successful repletion of the iron stores in patients treated with FCM. </w:t>
      </w:r>
    </w:p>
    <w:p w14:paraId="04E69BB7" w14:textId="1F2D6F49" w:rsidR="004879B0" w:rsidRDefault="004879B0" w:rsidP="00D44718">
      <w:pPr>
        <w:jc w:val="both"/>
      </w:pPr>
      <w:r w:rsidRPr="004879B0">
        <w:t xml:space="preserve">In another study, FCM dosing based on a simplified dosing scheme with four Hb-weight subgroups (see </w:t>
      </w:r>
      <w:r w:rsidR="00D44718">
        <w:t xml:space="preserve">section 4.2 </w:t>
      </w:r>
      <w:r w:rsidRPr="004879B0">
        <w:t xml:space="preserve">DOSE AND </w:t>
      </w:r>
      <w:r w:rsidR="006F44C8">
        <w:t xml:space="preserve">METHOD OF </w:t>
      </w:r>
      <w:r w:rsidRPr="004879B0">
        <w:t>ADMINISTRATION) was compared with Venofer</w:t>
      </w:r>
      <w:r w:rsidRPr="00B52DE6">
        <w:rPr>
          <w:vertAlign w:val="superscript"/>
        </w:rPr>
        <w:t>®</w:t>
      </w:r>
      <w:r w:rsidRPr="004879B0">
        <w:t xml:space="preserve"> dosing based on the </w:t>
      </w:r>
      <w:proofErr w:type="spellStart"/>
      <w:r w:rsidRPr="004879B0">
        <w:t>Ganzoni</w:t>
      </w:r>
      <w:proofErr w:type="spellEnd"/>
      <w:r w:rsidRPr="004879B0">
        <w:t xml:space="preserve"> formula. The FCM dose was given in up to three IV infusions on Days 1, 8 and 15 in single doses of up to 1000 mg iron. The Venofer</w:t>
      </w:r>
      <w:r w:rsidRPr="00B52DE6">
        <w:rPr>
          <w:vertAlign w:val="superscript"/>
        </w:rPr>
        <w:t>®</w:t>
      </w:r>
      <w:r w:rsidRPr="004879B0">
        <w:t xml:space="preserve"> dose was given in up to 11 IV infusions in doses not exceeding 200 mg iron not more than three times per week. The primary endpoint was the percentage of patients achieving a Hb increase ≥20 g/L at Week 12. The demographic and haematological characteristics of the two groups were similar. About 60% of subjects were female, median age was 39 years (range 18-81), median weight 67 kg (range 39-137), median baseline Hb 104 g/L (range 61-146) and median baseline serum ferritin 7 µg/L (range 2-299). Subjects in the two treatment groups achieved at least comparable Hb response overall and in the Hb-weight subgroups (see Table 1).</w:t>
      </w:r>
    </w:p>
    <w:p w14:paraId="1DF05DF3" w14:textId="77777777" w:rsidR="00A63889" w:rsidRPr="00A63889" w:rsidRDefault="00A63889" w:rsidP="00D44718">
      <w:pPr>
        <w:jc w:val="both"/>
        <w:rPr>
          <w:b/>
        </w:rPr>
      </w:pPr>
      <w:r w:rsidRPr="00A63889">
        <w:rPr>
          <w:b/>
        </w:rPr>
        <w:t xml:space="preserve">Table 1. Efficacy of FCM (new dosing method) versus </w:t>
      </w:r>
      <w:proofErr w:type="spellStart"/>
      <w:r w:rsidRPr="00A63889">
        <w:rPr>
          <w:b/>
        </w:rPr>
        <w:t>Venofer</w:t>
      </w:r>
      <w:proofErr w:type="spellEnd"/>
      <w:r w:rsidRPr="00A63889">
        <w:rPr>
          <w:b/>
          <w:iCs/>
          <w:vertAlign w:val="superscript"/>
          <w:lang w:eastAsia="de-DE"/>
        </w:rPr>
        <w:t>®</w:t>
      </w:r>
      <w:r w:rsidRPr="00A63889">
        <w:rPr>
          <w:b/>
        </w:rPr>
        <w:t xml:space="preserve"> (</w:t>
      </w:r>
      <w:proofErr w:type="spellStart"/>
      <w:r w:rsidRPr="00A63889">
        <w:rPr>
          <w:b/>
        </w:rPr>
        <w:t>Ganzoni</w:t>
      </w:r>
      <w:proofErr w:type="spellEnd"/>
      <w:r w:rsidRPr="00A63889">
        <w:rPr>
          <w:b/>
        </w:rPr>
        <w:t xml:space="preserve"> dose calculation) in iron deficiency anaemia associated with inflammatory bowel diseases - trial FER-IBD-07-COR – patients with 12-week assessment</w:t>
      </w:r>
    </w:p>
    <w:tbl>
      <w:tblPr>
        <w:tblStyle w:val="TableGrid"/>
        <w:tblW w:w="9156" w:type="dxa"/>
        <w:tblLook w:val="04A0" w:firstRow="1" w:lastRow="0" w:firstColumn="1" w:lastColumn="0" w:noHBand="0" w:noVBand="1"/>
      </w:tblPr>
      <w:tblGrid>
        <w:gridCol w:w="3147"/>
        <w:gridCol w:w="1622"/>
        <w:gridCol w:w="1765"/>
        <w:gridCol w:w="2622"/>
      </w:tblGrid>
      <w:tr w:rsidR="00A63889" w:rsidRPr="00A63889" w14:paraId="43AC8066" w14:textId="77777777" w:rsidTr="00A63889">
        <w:tc>
          <w:tcPr>
            <w:tcW w:w="3147" w:type="dxa"/>
          </w:tcPr>
          <w:p w14:paraId="2950FC09" w14:textId="77777777" w:rsidR="00A63889" w:rsidRPr="00A63889" w:rsidRDefault="00A63889" w:rsidP="00D876F1">
            <w:pPr>
              <w:pStyle w:val="BodyText"/>
              <w:ind w:right="-25"/>
              <w:rPr>
                <w:i w:val="0"/>
                <w:sz w:val="20"/>
                <w:szCs w:val="20"/>
              </w:rPr>
            </w:pPr>
          </w:p>
        </w:tc>
        <w:tc>
          <w:tcPr>
            <w:tcW w:w="1622" w:type="dxa"/>
          </w:tcPr>
          <w:p w14:paraId="22E1A70F" w14:textId="77777777" w:rsidR="00A63889" w:rsidRPr="00A63889" w:rsidRDefault="00A63889" w:rsidP="00D876F1">
            <w:pPr>
              <w:pStyle w:val="BodyText"/>
              <w:ind w:right="-25"/>
              <w:jc w:val="center"/>
              <w:rPr>
                <w:b/>
                <w:i w:val="0"/>
                <w:sz w:val="20"/>
                <w:szCs w:val="20"/>
              </w:rPr>
            </w:pPr>
            <w:r w:rsidRPr="00A63889">
              <w:rPr>
                <w:b/>
                <w:i w:val="0"/>
                <w:sz w:val="20"/>
                <w:szCs w:val="20"/>
              </w:rPr>
              <w:t>FCM</w:t>
            </w:r>
          </w:p>
          <w:p w14:paraId="45D2B05B" w14:textId="77777777" w:rsidR="00A63889" w:rsidRPr="00A63889" w:rsidRDefault="00A63889" w:rsidP="00D876F1">
            <w:pPr>
              <w:pStyle w:val="BodyText"/>
              <w:ind w:right="-25"/>
              <w:jc w:val="center"/>
              <w:rPr>
                <w:b/>
                <w:i w:val="0"/>
                <w:sz w:val="20"/>
                <w:szCs w:val="20"/>
              </w:rPr>
            </w:pPr>
            <w:r w:rsidRPr="00A63889">
              <w:rPr>
                <w:b/>
                <w:i w:val="0"/>
                <w:sz w:val="20"/>
                <w:szCs w:val="20"/>
              </w:rPr>
              <w:t>n=228</w:t>
            </w:r>
          </w:p>
        </w:tc>
        <w:tc>
          <w:tcPr>
            <w:tcW w:w="1765" w:type="dxa"/>
          </w:tcPr>
          <w:p w14:paraId="3EC47EF5" w14:textId="77777777" w:rsidR="00A63889" w:rsidRPr="00A63889" w:rsidRDefault="00A63889" w:rsidP="00D876F1">
            <w:pPr>
              <w:pStyle w:val="BodyText"/>
              <w:ind w:right="-25"/>
              <w:jc w:val="center"/>
              <w:rPr>
                <w:b/>
                <w:i w:val="0"/>
                <w:sz w:val="20"/>
                <w:szCs w:val="20"/>
              </w:rPr>
            </w:pPr>
            <w:r w:rsidRPr="00A63889">
              <w:rPr>
                <w:b/>
                <w:i w:val="0"/>
                <w:sz w:val="20"/>
                <w:szCs w:val="20"/>
              </w:rPr>
              <w:t>Venofer</w:t>
            </w:r>
            <w:r w:rsidRPr="00A63889">
              <w:rPr>
                <w:i w:val="0"/>
                <w:iCs w:val="0"/>
                <w:color w:val="000000"/>
                <w:sz w:val="20"/>
                <w:szCs w:val="20"/>
                <w:vertAlign w:val="superscript"/>
                <w:lang w:eastAsia="de-DE"/>
              </w:rPr>
              <w:t>®</w:t>
            </w:r>
          </w:p>
          <w:p w14:paraId="13474610" w14:textId="77777777" w:rsidR="00A63889" w:rsidRPr="00A63889" w:rsidRDefault="00A63889" w:rsidP="00D876F1">
            <w:pPr>
              <w:pStyle w:val="BodyText"/>
              <w:ind w:right="-25"/>
              <w:jc w:val="center"/>
              <w:rPr>
                <w:b/>
                <w:i w:val="0"/>
                <w:sz w:val="20"/>
                <w:szCs w:val="20"/>
              </w:rPr>
            </w:pPr>
            <w:r w:rsidRPr="00A63889">
              <w:rPr>
                <w:b/>
                <w:i w:val="0"/>
                <w:sz w:val="20"/>
                <w:szCs w:val="20"/>
              </w:rPr>
              <w:t>n=220</w:t>
            </w:r>
          </w:p>
        </w:tc>
        <w:tc>
          <w:tcPr>
            <w:tcW w:w="2622" w:type="dxa"/>
          </w:tcPr>
          <w:p w14:paraId="30578B1C" w14:textId="77777777" w:rsidR="00A63889" w:rsidRPr="00A63889" w:rsidRDefault="00A63889" w:rsidP="00D876F1">
            <w:pPr>
              <w:pStyle w:val="BodyText"/>
              <w:ind w:right="-25"/>
              <w:jc w:val="center"/>
              <w:rPr>
                <w:b/>
                <w:i w:val="0"/>
                <w:sz w:val="20"/>
                <w:szCs w:val="20"/>
              </w:rPr>
            </w:pPr>
            <w:r w:rsidRPr="00A63889">
              <w:rPr>
                <w:b/>
                <w:i w:val="0"/>
                <w:sz w:val="20"/>
                <w:szCs w:val="20"/>
              </w:rPr>
              <w:t>Difference</w:t>
            </w:r>
          </w:p>
          <w:p w14:paraId="29808CF6" w14:textId="77777777" w:rsidR="00A63889" w:rsidRPr="00A63889" w:rsidRDefault="00A63889" w:rsidP="00D876F1">
            <w:pPr>
              <w:pStyle w:val="BodyText"/>
              <w:ind w:right="-25"/>
              <w:jc w:val="center"/>
              <w:rPr>
                <w:b/>
                <w:i w:val="0"/>
                <w:sz w:val="20"/>
                <w:szCs w:val="20"/>
              </w:rPr>
            </w:pPr>
            <w:r w:rsidRPr="00A63889">
              <w:rPr>
                <w:b/>
                <w:i w:val="0"/>
                <w:sz w:val="20"/>
                <w:szCs w:val="20"/>
              </w:rPr>
              <w:t>[95% CI]</w:t>
            </w:r>
          </w:p>
        </w:tc>
      </w:tr>
      <w:tr w:rsidR="00A63889" w:rsidRPr="00A63889" w14:paraId="087911A8" w14:textId="77777777" w:rsidTr="00A63889">
        <w:tc>
          <w:tcPr>
            <w:tcW w:w="3147" w:type="dxa"/>
          </w:tcPr>
          <w:p w14:paraId="4BC6AA63" w14:textId="77777777" w:rsidR="00A63889" w:rsidRPr="00A63889" w:rsidRDefault="00A63889" w:rsidP="00D876F1">
            <w:pPr>
              <w:pStyle w:val="BodyText"/>
              <w:ind w:right="-25"/>
              <w:rPr>
                <w:i w:val="0"/>
                <w:sz w:val="20"/>
                <w:szCs w:val="20"/>
              </w:rPr>
            </w:pPr>
            <w:r w:rsidRPr="00A63889">
              <w:rPr>
                <w:i w:val="0"/>
                <w:sz w:val="20"/>
                <w:szCs w:val="20"/>
              </w:rPr>
              <w:t>Hb Response (increase ≥ 20 g/L) at Week 12</w:t>
            </w:r>
          </w:p>
        </w:tc>
        <w:tc>
          <w:tcPr>
            <w:tcW w:w="1622" w:type="dxa"/>
          </w:tcPr>
          <w:p w14:paraId="1F836FEF" w14:textId="77777777" w:rsidR="00A63889" w:rsidRPr="00A63889" w:rsidRDefault="00A63889" w:rsidP="00D876F1">
            <w:pPr>
              <w:pStyle w:val="BodyText"/>
              <w:ind w:right="-25"/>
              <w:jc w:val="center"/>
              <w:rPr>
                <w:i w:val="0"/>
                <w:sz w:val="20"/>
                <w:szCs w:val="20"/>
              </w:rPr>
            </w:pPr>
            <w:r w:rsidRPr="00A63889">
              <w:rPr>
                <w:i w:val="0"/>
                <w:sz w:val="20"/>
                <w:szCs w:val="20"/>
              </w:rPr>
              <w:t>65.8%</w:t>
            </w:r>
          </w:p>
        </w:tc>
        <w:tc>
          <w:tcPr>
            <w:tcW w:w="1765" w:type="dxa"/>
          </w:tcPr>
          <w:p w14:paraId="1069E0BF" w14:textId="77777777" w:rsidR="00A63889" w:rsidRPr="00A63889" w:rsidRDefault="00A63889" w:rsidP="00D876F1">
            <w:pPr>
              <w:pStyle w:val="BodyText"/>
              <w:ind w:right="-25"/>
              <w:jc w:val="center"/>
              <w:rPr>
                <w:i w:val="0"/>
                <w:sz w:val="20"/>
                <w:szCs w:val="20"/>
              </w:rPr>
            </w:pPr>
            <w:r w:rsidRPr="00A63889">
              <w:rPr>
                <w:i w:val="0"/>
                <w:sz w:val="20"/>
                <w:szCs w:val="20"/>
              </w:rPr>
              <w:t>53.6%</w:t>
            </w:r>
          </w:p>
        </w:tc>
        <w:tc>
          <w:tcPr>
            <w:tcW w:w="2622" w:type="dxa"/>
          </w:tcPr>
          <w:p w14:paraId="48DFA659" w14:textId="77777777" w:rsidR="00A63889" w:rsidRPr="00A63889" w:rsidRDefault="00A63889" w:rsidP="00D876F1">
            <w:pPr>
              <w:pStyle w:val="BodyText"/>
              <w:ind w:right="-25"/>
              <w:jc w:val="center"/>
              <w:rPr>
                <w:i w:val="0"/>
                <w:sz w:val="20"/>
                <w:szCs w:val="20"/>
              </w:rPr>
            </w:pPr>
            <w:r w:rsidRPr="00A63889">
              <w:rPr>
                <w:i w:val="0"/>
                <w:sz w:val="20"/>
                <w:szCs w:val="20"/>
              </w:rPr>
              <w:t>12.2%</w:t>
            </w:r>
          </w:p>
          <w:p w14:paraId="46FD8F8E" w14:textId="77777777" w:rsidR="00A63889" w:rsidRPr="00A63889" w:rsidRDefault="00A63889" w:rsidP="00D876F1">
            <w:pPr>
              <w:pStyle w:val="BodyText"/>
              <w:ind w:right="-25"/>
              <w:jc w:val="center"/>
              <w:rPr>
                <w:i w:val="0"/>
                <w:sz w:val="20"/>
                <w:szCs w:val="20"/>
              </w:rPr>
            </w:pPr>
            <w:r w:rsidRPr="00A63889">
              <w:rPr>
                <w:i w:val="0"/>
                <w:sz w:val="20"/>
                <w:szCs w:val="20"/>
              </w:rPr>
              <w:t>[3.1%, 21.0%]</w:t>
            </w:r>
          </w:p>
        </w:tc>
      </w:tr>
      <w:tr w:rsidR="00A63889" w:rsidRPr="00A63889" w14:paraId="5F447568" w14:textId="77777777" w:rsidTr="00A63889">
        <w:tc>
          <w:tcPr>
            <w:tcW w:w="3147" w:type="dxa"/>
          </w:tcPr>
          <w:p w14:paraId="27A7100E" w14:textId="77777777" w:rsidR="00A63889" w:rsidRPr="00A63889" w:rsidRDefault="00A63889" w:rsidP="00D876F1">
            <w:pPr>
              <w:pStyle w:val="BodyText"/>
              <w:ind w:right="-25"/>
              <w:rPr>
                <w:i w:val="0"/>
                <w:sz w:val="20"/>
                <w:szCs w:val="20"/>
              </w:rPr>
            </w:pPr>
          </w:p>
          <w:p w14:paraId="4F1FC180" w14:textId="77777777" w:rsidR="00A63889" w:rsidRPr="00A63889" w:rsidRDefault="00A63889" w:rsidP="00D876F1">
            <w:pPr>
              <w:pStyle w:val="BodyText"/>
              <w:ind w:right="-25"/>
              <w:rPr>
                <w:i w:val="0"/>
                <w:sz w:val="20"/>
                <w:szCs w:val="20"/>
              </w:rPr>
            </w:pPr>
            <w:proofErr w:type="spellStart"/>
            <w:r w:rsidRPr="00A63889">
              <w:rPr>
                <w:i w:val="0"/>
                <w:sz w:val="20"/>
                <w:szCs w:val="20"/>
              </w:rPr>
              <w:t>Hb</w:t>
            </w:r>
            <w:proofErr w:type="spellEnd"/>
            <w:r w:rsidRPr="00A63889">
              <w:rPr>
                <w:i w:val="0"/>
                <w:sz w:val="20"/>
                <w:szCs w:val="20"/>
              </w:rPr>
              <w:t xml:space="preserve">&lt;100 g/L – </w:t>
            </w:r>
            <w:proofErr w:type="spellStart"/>
            <w:r w:rsidRPr="00A63889">
              <w:rPr>
                <w:i w:val="0"/>
                <w:sz w:val="20"/>
                <w:szCs w:val="20"/>
              </w:rPr>
              <w:t>Wt</w:t>
            </w:r>
            <w:proofErr w:type="spellEnd"/>
            <w:r w:rsidRPr="00A63889">
              <w:rPr>
                <w:i w:val="0"/>
                <w:sz w:val="20"/>
                <w:szCs w:val="20"/>
              </w:rPr>
              <w:t xml:space="preserve"> 35-&lt;70 kg</w:t>
            </w:r>
          </w:p>
          <w:p w14:paraId="104F323B" w14:textId="77777777" w:rsidR="00A63889" w:rsidRPr="00A63889" w:rsidRDefault="00A63889" w:rsidP="00D876F1">
            <w:pPr>
              <w:pStyle w:val="BodyText"/>
              <w:ind w:right="-25"/>
              <w:rPr>
                <w:i w:val="0"/>
                <w:sz w:val="20"/>
                <w:szCs w:val="20"/>
              </w:rPr>
            </w:pPr>
          </w:p>
          <w:p w14:paraId="4946B608" w14:textId="77777777" w:rsidR="00A63889" w:rsidRPr="00A63889" w:rsidRDefault="00A63889" w:rsidP="00D876F1">
            <w:pPr>
              <w:pStyle w:val="BodyText"/>
              <w:ind w:right="-25"/>
              <w:rPr>
                <w:i w:val="0"/>
                <w:sz w:val="20"/>
                <w:szCs w:val="20"/>
              </w:rPr>
            </w:pPr>
            <w:proofErr w:type="spellStart"/>
            <w:r w:rsidRPr="00A63889">
              <w:rPr>
                <w:i w:val="0"/>
                <w:sz w:val="20"/>
                <w:szCs w:val="20"/>
              </w:rPr>
              <w:t>Hb</w:t>
            </w:r>
            <w:proofErr w:type="spellEnd"/>
            <w:r w:rsidRPr="00A63889">
              <w:rPr>
                <w:i w:val="0"/>
                <w:sz w:val="20"/>
                <w:szCs w:val="20"/>
              </w:rPr>
              <w:t xml:space="preserve">&lt;100 g/L – </w:t>
            </w:r>
            <w:proofErr w:type="spellStart"/>
            <w:r w:rsidRPr="00A63889">
              <w:rPr>
                <w:i w:val="0"/>
                <w:sz w:val="20"/>
                <w:szCs w:val="20"/>
              </w:rPr>
              <w:t>Wt</w:t>
            </w:r>
            <w:proofErr w:type="spellEnd"/>
            <w:r w:rsidRPr="00A63889">
              <w:rPr>
                <w:i w:val="0"/>
                <w:sz w:val="20"/>
                <w:szCs w:val="20"/>
              </w:rPr>
              <w:t xml:space="preserve"> ≥70 kg</w:t>
            </w:r>
          </w:p>
          <w:p w14:paraId="38C23E61" w14:textId="77777777" w:rsidR="00A63889" w:rsidRPr="00A63889" w:rsidRDefault="00A63889" w:rsidP="00D876F1">
            <w:pPr>
              <w:pStyle w:val="BodyText"/>
              <w:ind w:right="-25"/>
              <w:rPr>
                <w:i w:val="0"/>
                <w:sz w:val="20"/>
                <w:szCs w:val="20"/>
              </w:rPr>
            </w:pPr>
          </w:p>
          <w:p w14:paraId="0EDFD12E" w14:textId="77777777" w:rsidR="00A63889" w:rsidRPr="00A63889" w:rsidRDefault="00A63889" w:rsidP="00D876F1">
            <w:pPr>
              <w:pStyle w:val="BodyText"/>
              <w:ind w:right="-25"/>
              <w:rPr>
                <w:i w:val="0"/>
                <w:sz w:val="20"/>
                <w:szCs w:val="20"/>
              </w:rPr>
            </w:pPr>
            <w:r w:rsidRPr="00A63889">
              <w:rPr>
                <w:i w:val="0"/>
                <w:sz w:val="20"/>
                <w:szCs w:val="20"/>
              </w:rPr>
              <w:t xml:space="preserve">Hb≥100 g/L – </w:t>
            </w:r>
            <w:proofErr w:type="spellStart"/>
            <w:r w:rsidRPr="00A63889">
              <w:rPr>
                <w:i w:val="0"/>
                <w:sz w:val="20"/>
                <w:szCs w:val="20"/>
              </w:rPr>
              <w:t>Wt</w:t>
            </w:r>
            <w:proofErr w:type="spellEnd"/>
            <w:r w:rsidRPr="00A63889">
              <w:rPr>
                <w:i w:val="0"/>
                <w:sz w:val="20"/>
                <w:szCs w:val="20"/>
              </w:rPr>
              <w:t xml:space="preserve"> 35-&lt;70 kg</w:t>
            </w:r>
          </w:p>
          <w:p w14:paraId="3B687F31" w14:textId="77777777" w:rsidR="00A63889" w:rsidRPr="00A63889" w:rsidRDefault="00A63889" w:rsidP="00D876F1">
            <w:pPr>
              <w:pStyle w:val="BodyText"/>
              <w:ind w:right="-25"/>
              <w:rPr>
                <w:i w:val="0"/>
                <w:sz w:val="20"/>
                <w:szCs w:val="20"/>
              </w:rPr>
            </w:pPr>
          </w:p>
          <w:p w14:paraId="32E45E75" w14:textId="77777777" w:rsidR="00A63889" w:rsidRPr="00A63889" w:rsidRDefault="00A63889" w:rsidP="00D876F1">
            <w:pPr>
              <w:pStyle w:val="BodyText"/>
              <w:ind w:right="-25"/>
              <w:rPr>
                <w:i w:val="0"/>
                <w:sz w:val="20"/>
                <w:szCs w:val="20"/>
              </w:rPr>
            </w:pPr>
            <w:r w:rsidRPr="00A63889">
              <w:rPr>
                <w:i w:val="0"/>
                <w:sz w:val="20"/>
                <w:szCs w:val="20"/>
              </w:rPr>
              <w:t xml:space="preserve">Hb≥100 g/L – </w:t>
            </w:r>
            <w:proofErr w:type="spellStart"/>
            <w:r w:rsidRPr="00A63889">
              <w:rPr>
                <w:i w:val="0"/>
                <w:sz w:val="20"/>
                <w:szCs w:val="20"/>
              </w:rPr>
              <w:t>Wt</w:t>
            </w:r>
            <w:proofErr w:type="spellEnd"/>
            <w:r w:rsidRPr="00A63889">
              <w:rPr>
                <w:i w:val="0"/>
                <w:sz w:val="20"/>
                <w:szCs w:val="20"/>
              </w:rPr>
              <w:t xml:space="preserve"> ≥70 kg</w:t>
            </w:r>
          </w:p>
          <w:p w14:paraId="7E08784E" w14:textId="77777777" w:rsidR="00A63889" w:rsidRPr="00A63889" w:rsidRDefault="00A63889" w:rsidP="00D876F1">
            <w:pPr>
              <w:pStyle w:val="BodyText"/>
              <w:ind w:right="-25"/>
              <w:rPr>
                <w:i w:val="0"/>
                <w:sz w:val="20"/>
                <w:szCs w:val="20"/>
              </w:rPr>
            </w:pPr>
          </w:p>
        </w:tc>
        <w:tc>
          <w:tcPr>
            <w:tcW w:w="1622" w:type="dxa"/>
          </w:tcPr>
          <w:p w14:paraId="25FC4551" w14:textId="77777777" w:rsidR="00A63889" w:rsidRPr="00A63889" w:rsidRDefault="00A63889" w:rsidP="00D876F1">
            <w:pPr>
              <w:pStyle w:val="BodyText"/>
              <w:ind w:right="-25"/>
              <w:jc w:val="center"/>
              <w:rPr>
                <w:i w:val="0"/>
                <w:sz w:val="20"/>
                <w:szCs w:val="20"/>
                <w:lang w:val="pt-PT"/>
              </w:rPr>
            </w:pPr>
            <w:r w:rsidRPr="00A63889">
              <w:rPr>
                <w:i w:val="0"/>
                <w:sz w:val="20"/>
                <w:szCs w:val="20"/>
                <w:lang w:val="pt-PT"/>
              </w:rPr>
              <w:t>missing n=7</w:t>
            </w:r>
          </w:p>
          <w:p w14:paraId="59FC0D5D" w14:textId="77777777" w:rsidR="00A63889" w:rsidRPr="00A63889" w:rsidRDefault="00A63889" w:rsidP="00D876F1">
            <w:pPr>
              <w:pStyle w:val="BodyText"/>
              <w:ind w:right="-25"/>
              <w:jc w:val="center"/>
              <w:rPr>
                <w:b/>
                <w:i w:val="0"/>
                <w:sz w:val="20"/>
                <w:szCs w:val="20"/>
                <w:lang w:val="pt-PT"/>
              </w:rPr>
            </w:pPr>
            <w:r w:rsidRPr="00A63889">
              <w:rPr>
                <w:b/>
                <w:i w:val="0"/>
                <w:sz w:val="20"/>
                <w:szCs w:val="20"/>
                <w:lang w:val="pt-PT"/>
              </w:rPr>
              <w:t>n=59</w:t>
            </w:r>
          </w:p>
          <w:p w14:paraId="359999EE" w14:textId="77777777" w:rsidR="00A63889" w:rsidRPr="00A63889" w:rsidRDefault="00A63889" w:rsidP="00D876F1">
            <w:pPr>
              <w:pStyle w:val="BodyText"/>
              <w:ind w:right="-25"/>
              <w:jc w:val="center"/>
              <w:rPr>
                <w:i w:val="0"/>
                <w:sz w:val="20"/>
                <w:szCs w:val="20"/>
                <w:lang w:val="pt-PT"/>
              </w:rPr>
            </w:pPr>
            <w:r w:rsidRPr="00A63889">
              <w:rPr>
                <w:i w:val="0"/>
                <w:sz w:val="20"/>
                <w:szCs w:val="20"/>
                <w:lang w:val="pt-PT"/>
              </w:rPr>
              <w:t>86.4%</w:t>
            </w:r>
          </w:p>
          <w:p w14:paraId="60B2FD93" w14:textId="77777777" w:rsidR="00A63889" w:rsidRPr="00A63889" w:rsidRDefault="00A63889" w:rsidP="00D876F1">
            <w:pPr>
              <w:pStyle w:val="BodyText"/>
              <w:ind w:right="-25"/>
              <w:jc w:val="center"/>
              <w:rPr>
                <w:b/>
                <w:i w:val="0"/>
                <w:sz w:val="20"/>
                <w:szCs w:val="20"/>
                <w:lang w:val="pt-PT"/>
              </w:rPr>
            </w:pPr>
            <w:r w:rsidRPr="00A63889">
              <w:rPr>
                <w:b/>
                <w:i w:val="0"/>
                <w:sz w:val="20"/>
                <w:szCs w:val="20"/>
                <w:lang w:val="pt-PT"/>
              </w:rPr>
              <w:t>n=31</w:t>
            </w:r>
          </w:p>
          <w:p w14:paraId="4DB6E07F" w14:textId="77777777" w:rsidR="00A63889" w:rsidRPr="00A63889" w:rsidRDefault="00A63889" w:rsidP="00D876F1">
            <w:pPr>
              <w:pStyle w:val="BodyText"/>
              <w:ind w:right="-25"/>
              <w:jc w:val="center"/>
              <w:rPr>
                <w:i w:val="0"/>
                <w:sz w:val="20"/>
                <w:szCs w:val="20"/>
                <w:lang w:val="pt-PT"/>
              </w:rPr>
            </w:pPr>
            <w:r w:rsidRPr="00A63889">
              <w:rPr>
                <w:i w:val="0"/>
                <w:sz w:val="20"/>
                <w:szCs w:val="20"/>
                <w:lang w:val="pt-PT"/>
              </w:rPr>
              <w:t>90.3%</w:t>
            </w:r>
          </w:p>
          <w:p w14:paraId="7BCF37C8" w14:textId="77777777" w:rsidR="00A63889" w:rsidRPr="00A63889" w:rsidRDefault="00A63889" w:rsidP="00D876F1">
            <w:pPr>
              <w:pStyle w:val="BodyText"/>
              <w:ind w:right="-25"/>
              <w:jc w:val="center"/>
              <w:rPr>
                <w:b/>
                <w:i w:val="0"/>
                <w:sz w:val="20"/>
                <w:szCs w:val="20"/>
                <w:lang w:val="pt-PT"/>
              </w:rPr>
            </w:pPr>
            <w:r w:rsidRPr="00A63889">
              <w:rPr>
                <w:b/>
                <w:i w:val="0"/>
                <w:sz w:val="20"/>
                <w:szCs w:val="20"/>
                <w:lang w:val="pt-PT"/>
              </w:rPr>
              <w:t>n=70</w:t>
            </w:r>
          </w:p>
          <w:p w14:paraId="579BF714" w14:textId="77777777" w:rsidR="00A63889" w:rsidRPr="00A63889" w:rsidRDefault="00A63889" w:rsidP="00D876F1">
            <w:pPr>
              <w:pStyle w:val="BodyText"/>
              <w:ind w:right="-25"/>
              <w:jc w:val="center"/>
              <w:rPr>
                <w:i w:val="0"/>
                <w:sz w:val="20"/>
                <w:szCs w:val="20"/>
              </w:rPr>
            </w:pPr>
            <w:r w:rsidRPr="00A63889">
              <w:rPr>
                <w:i w:val="0"/>
                <w:sz w:val="20"/>
                <w:szCs w:val="20"/>
              </w:rPr>
              <w:t>75.7%</w:t>
            </w:r>
          </w:p>
          <w:p w14:paraId="1562AB2F" w14:textId="77777777" w:rsidR="00A63889" w:rsidRPr="00A63889" w:rsidRDefault="00A63889" w:rsidP="00D876F1">
            <w:pPr>
              <w:pStyle w:val="BodyText"/>
              <w:ind w:right="-25"/>
              <w:jc w:val="center"/>
              <w:rPr>
                <w:b/>
                <w:i w:val="0"/>
                <w:sz w:val="20"/>
                <w:szCs w:val="20"/>
              </w:rPr>
            </w:pPr>
            <w:r w:rsidRPr="00A63889">
              <w:rPr>
                <w:b/>
                <w:i w:val="0"/>
                <w:sz w:val="20"/>
                <w:szCs w:val="20"/>
              </w:rPr>
              <w:t>n=61</w:t>
            </w:r>
          </w:p>
          <w:p w14:paraId="054DF9A7" w14:textId="77777777" w:rsidR="00A63889" w:rsidRPr="00A63889" w:rsidRDefault="00A63889" w:rsidP="00D876F1">
            <w:pPr>
              <w:pStyle w:val="BodyText"/>
              <w:ind w:right="-25"/>
              <w:jc w:val="center"/>
              <w:rPr>
                <w:i w:val="0"/>
                <w:sz w:val="20"/>
                <w:szCs w:val="20"/>
              </w:rPr>
            </w:pPr>
            <w:r w:rsidRPr="00A63889">
              <w:rPr>
                <w:i w:val="0"/>
                <w:sz w:val="20"/>
                <w:szCs w:val="20"/>
              </w:rPr>
              <w:t>88.5%</w:t>
            </w:r>
          </w:p>
        </w:tc>
        <w:tc>
          <w:tcPr>
            <w:tcW w:w="1765" w:type="dxa"/>
          </w:tcPr>
          <w:p w14:paraId="1B6F2B66" w14:textId="77777777" w:rsidR="00A63889" w:rsidRPr="00A63889" w:rsidRDefault="00A63889" w:rsidP="00D876F1">
            <w:pPr>
              <w:pStyle w:val="BodyText"/>
              <w:ind w:right="-25"/>
              <w:jc w:val="center"/>
              <w:rPr>
                <w:i w:val="0"/>
                <w:sz w:val="20"/>
                <w:szCs w:val="20"/>
                <w:lang w:val="pt-PT"/>
              </w:rPr>
            </w:pPr>
            <w:r w:rsidRPr="00A63889">
              <w:rPr>
                <w:i w:val="0"/>
                <w:sz w:val="20"/>
                <w:szCs w:val="20"/>
                <w:lang w:val="pt-PT"/>
              </w:rPr>
              <w:t>missing n=8</w:t>
            </w:r>
          </w:p>
          <w:p w14:paraId="12E0B695" w14:textId="77777777" w:rsidR="00A63889" w:rsidRPr="00A63889" w:rsidRDefault="00A63889" w:rsidP="00D876F1">
            <w:pPr>
              <w:pStyle w:val="BodyText"/>
              <w:ind w:right="-25"/>
              <w:jc w:val="center"/>
              <w:rPr>
                <w:b/>
                <w:i w:val="0"/>
                <w:sz w:val="20"/>
                <w:szCs w:val="20"/>
                <w:lang w:val="pt-PT"/>
              </w:rPr>
            </w:pPr>
            <w:r w:rsidRPr="00A63889">
              <w:rPr>
                <w:b/>
                <w:i w:val="0"/>
                <w:sz w:val="20"/>
                <w:szCs w:val="20"/>
                <w:lang w:val="pt-PT"/>
              </w:rPr>
              <w:t>n=44</w:t>
            </w:r>
          </w:p>
          <w:p w14:paraId="51C93364" w14:textId="77777777" w:rsidR="00A63889" w:rsidRPr="00A63889" w:rsidRDefault="00A63889" w:rsidP="00D876F1">
            <w:pPr>
              <w:pStyle w:val="BodyText"/>
              <w:ind w:right="-25"/>
              <w:jc w:val="center"/>
              <w:rPr>
                <w:i w:val="0"/>
                <w:sz w:val="20"/>
                <w:szCs w:val="20"/>
                <w:lang w:val="pt-PT"/>
              </w:rPr>
            </w:pPr>
            <w:r w:rsidRPr="00A63889">
              <w:rPr>
                <w:i w:val="0"/>
                <w:sz w:val="20"/>
                <w:szCs w:val="20"/>
                <w:lang w:val="pt-PT"/>
              </w:rPr>
              <w:t>75.0%</w:t>
            </w:r>
          </w:p>
          <w:p w14:paraId="2EC56530" w14:textId="77777777" w:rsidR="00A63889" w:rsidRPr="00A63889" w:rsidRDefault="00A63889" w:rsidP="00D876F1">
            <w:pPr>
              <w:pStyle w:val="BodyText"/>
              <w:ind w:right="-25"/>
              <w:jc w:val="center"/>
              <w:rPr>
                <w:b/>
                <w:i w:val="0"/>
                <w:sz w:val="20"/>
                <w:szCs w:val="20"/>
                <w:lang w:val="pt-PT"/>
              </w:rPr>
            </w:pPr>
            <w:r w:rsidRPr="00A63889">
              <w:rPr>
                <w:b/>
                <w:i w:val="0"/>
                <w:sz w:val="20"/>
                <w:szCs w:val="20"/>
                <w:lang w:val="pt-PT"/>
              </w:rPr>
              <w:t>n=24</w:t>
            </w:r>
          </w:p>
          <w:p w14:paraId="65C79E74" w14:textId="77777777" w:rsidR="00A63889" w:rsidRPr="00A63889" w:rsidRDefault="00A63889" w:rsidP="00D876F1">
            <w:pPr>
              <w:pStyle w:val="BodyText"/>
              <w:ind w:right="-25"/>
              <w:jc w:val="center"/>
              <w:rPr>
                <w:i w:val="0"/>
                <w:sz w:val="20"/>
                <w:szCs w:val="20"/>
                <w:lang w:val="pt-PT"/>
              </w:rPr>
            </w:pPr>
            <w:r w:rsidRPr="00A63889">
              <w:rPr>
                <w:i w:val="0"/>
                <w:sz w:val="20"/>
                <w:szCs w:val="20"/>
                <w:lang w:val="pt-PT"/>
              </w:rPr>
              <w:t>100.0%</w:t>
            </w:r>
          </w:p>
          <w:p w14:paraId="3616B4F0" w14:textId="77777777" w:rsidR="00A63889" w:rsidRPr="00A63889" w:rsidRDefault="00A63889" w:rsidP="00D876F1">
            <w:pPr>
              <w:pStyle w:val="BodyText"/>
              <w:ind w:right="-25"/>
              <w:jc w:val="center"/>
              <w:rPr>
                <w:b/>
                <w:i w:val="0"/>
                <w:sz w:val="20"/>
                <w:szCs w:val="20"/>
                <w:lang w:val="pt-PT"/>
              </w:rPr>
            </w:pPr>
            <w:r w:rsidRPr="00A63889">
              <w:rPr>
                <w:b/>
                <w:i w:val="0"/>
                <w:sz w:val="20"/>
                <w:szCs w:val="20"/>
                <w:lang w:val="pt-PT"/>
              </w:rPr>
              <w:t>n=78</w:t>
            </w:r>
          </w:p>
          <w:p w14:paraId="20282B23" w14:textId="77777777" w:rsidR="00A63889" w:rsidRPr="00A63889" w:rsidRDefault="00A63889" w:rsidP="00D876F1">
            <w:pPr>
              <w:pStyle w:val="BodyText"/>
              <w:ind w:right="-25"/>
              <w:jc w:val="center"/>
              <w:rPr>
                <w:i w:val="0"/>
                <w:sz w:val="20"/>
                <w:szCs w:val="20"/>
              </w:rPr>
            </w:pPr>
            <w:r w:rsidRPr="00A63889">
              <w:rPr>
                <w:i w:val="0"/>
                <w:sz w:val="20"/>
                <w:szCs w:val="20"/>
              </w:rPr>
              <w:t>71.8%</w:t>
            </w:r>
          </w:p>
          <w:p w14:paraId="400BB049" w14:textId="77777777" w:rsidR="00A63889" w:rsidRPr="00A63889" w:rsidRDefault="00A63889" w:rsidP="00D876F1">
            <w:pPr>
              <w:pStyle w:val="BodyText"/>
              <w:ind w:right="-25"/>
              <w:jc w:val="center"/>
              <w:rPr>
                <w:b/>
                <w:i w:val="0"/>
                <w:sz w:val="20"/>
                <w:szCs w:val="20"/>
              </w:rPr>
            </w:pPr>
            <w:r w:rsidRPr="00A63889">
              <w:rPr>
                <w:b/>
                <w:i w:val="0"/>
                <w:sz w:val="20"/>
                <w:szCs w:val="20"/>
              </w:rPr>
              <w:t>n=66</w:t>
            </w:r>
          </w:p>
          <w:p w14:paraId="1B76C0CE" w14:textId="77777777" w:rsidR="00A63889" w:rsidRPr="00A63889" w:rsidRDefault="00A63889" w:rsidP="00D876F1">
            <w:pPr>
              <w:pStyle w:val="BodyText"/>
              <w:ind w:right="-25"/>
              <w:jc w:val="center"/>
              <w:rPr>
                <w:i w:val="0"/>
                <w:sz w:val="20"/>
                <w:szCs w:val="20"/>
              </w:rPr>
            </w:pPr>
            <w:r w:rsidRPr="00A63889">
              <w:rPr>
                <w:i w:val="0"/>
                <w:sz w:val="20"/>
                <w:szCs w:val="20"/>
              </w:rPr>
              <w:t>75.8%</w:t>
            </w:r>
          </w:p>
        </w:tc>
        <w:tc>
          <w:tcPr>
            <w:tcW w:w="2622" w:type="dxa"/>
          </w:tcPr>
          <w:p w14:paraId="35CF61F9" w14:textId="77777777" w:rsidR="00A63889" w:rsidRPr="00A63889" w:rsidRDefault="00A63889" w:rsidP="00D876F1">
            <w:pPr>
              <w:pStyle w:val="BodyText"/>
              <w:ind w:right="-25"/>
              <w:jc w:val="center"/>
              <w:rPr>
                <w:i w:val="0"/>
                <w:sz w:val="20"/>
                <w:szCs w:val="20"/>
              </w:rPr>
            </w:pPr>
          </w:p>
          <w:p w14:paraId="6FEE5DB4" w14:textId="77777777" w:rsidR="00A63889" w:rsidRPr="00A63889" w:rsidRDefault="00A63889" w:rsidP="00D876F1">
            <w:pPr>
              <w:pStyle w:val="BodyText"/>
              <w:ind w:right="-25"/>
              <w:jc w:val="center"/>
              <w:rPr>
                <w:i w:val="0"/>
                <w:sz w:val="20"/>
                <w:szCs w:val="20"/>
              </w:rPr>
            </w:pPr>
          </w:p>
          <w:p w14:paraId="268DB0D6" w14:textId="77777777" w:rsidR="00A63889" w:rsidRPr="00A63889" w:rsidRDefault="00A63889" w:rsidP="00D876F1">
            <w:pPr>
              <w:pStyle w:val="BodyText"/>
              <w:ind w:right="-25"/>
              <w:jc w:val="center"/>
              <w:rPr>
                <w:i w:val="0"/>
                <w:sz w:val="20"/>
                <w:szCs w:val="20"/>
              </w:rPr>
            </w:pPr>
            <w:r w:rsidRPr="00A63889">
              <w:rPr>
                <w:i w:val="0"/>
                <w:sz w:val="20"/>
                <w:szCs w:val="20"/>
              </w:rPr>
              <w:t>11.4% [-4.1%, 26.9%]</w:t>
            </w:r>
          </w:p>
          <w:p w14:paraId="24C5D1B1" w14:textId="77777777" w:rsidR="00A63889" w:rsidRPr="00A63889" w:rsidRDefault="00A63889" w:rsidP="00D876F1">
            <w:pPr>
              <w:pStyle w:val="BodyText"/>
              <w:ind w:right="-25"/>
              <w:jc w:val="center"/>
              <w:rPr>
                <w:i w:val="0"/>
                <w:sz w:val="20"/>
                <w:szCs w:val="20"/>
              </w:rPr>
            </w:pPr>
          </w:p>
          <w:p w14:paraId="540A45DF" w14:textId="77777777" w:rsidR="00A63889" w:rsidRPr="00A63889" w:rsidRDefault="00A63889" w:rsidP="00D876F1">
            <w:pPr>
              <w:pStyle w:val="BodyText"/>
              <w:ind w:right="-25"/>
              <w:jc w:val="center"/>
              <w:rPr>
                <w:i w:val="0"/>
                <w:sz w:val="20"/>
                <w:szCs w:val="20"/>
              </w:rPr>
            </w:pPr>
            <w:r w:rsidRPr="00A63889">
              <w:rPr>
                <w:i w:val="0"/>
                <w:sz w:val="20"/>
                <w:szCs w:val="20"/>
              </w:rPr>
              <w:t>-9.7% [-20.1%, 0.7%]</w:t>
            </w:r>
          </w:p>
          <w:p w14:paraId="29275C4C" w14:textId="77777777" w:rsidR="00A63889" w:rsidRPr="00A63889" w:rsidRDefault="00A63889" w:rsidP="00D876F1">
            <w:pPr>
              <w:pStyle w:val="BodyText"/>
              <w:ind w:right="-25"/>
              <w:jc w:val="center"/>
              <w:rPr>
                <w:i w:val="0"/>
                <w:sz w:val="20"/>
                <w:szCs w:val="20"/>
              </w:rPr>
            </w:pPr>
          </w:p>
          <w:p w14:paraId="660C92BE" w14:textId="77777777" w:rsidR="00A63889" w:rsidRPr="00A63889" w:rsidRDefault="00A63889" w:rsidP="00D876F1">
            <w:pPr>
              <w:pStyle w:val="BodyText"/>
              <w:ind w:right="-25"/>
              <w:jc w:val="center"/>
              <w:rPr>
                <w:i w:val="0"/>
                <w:sz w:val="20"/>
                <w:szCs w:val="20"/>
              </w:rPr>
            </w:pPr>
            <w:r w:rsidRPr="00A63889">
              <w:rPr>
                <w:i w:val="0"/>
                <w:sz w:val="20"/>
                <w:szCs w:val="20"/>
              </w:rPr>
              <w:t>3.9% [-10.2%, 18.1%]</w:t>
            </w:r>
          </w:p>
          <w:p w14:paraId="0B6679A3" w14:textId="77777777" w:rsidR="00A63889" w:rsidRPr="00A63889" w:rsidRDefault="00A63889" w:rsidP="00D876F1">
            <w:pPr>
              <w:pStyle w:val="BodyText"/>
              <w:ind w:right="-25"/>
              <w:jc w:val="center"/>
              <w:rPr>
                <w:i w:val="0"/>
                <w:sz w:val="20"/>
                <w:szCs w:val="20"/>
              </w:rPr>
            </w:pPr>
          </w:p>
          <w:p w14:paraId="75552A4B" w14:textId="77777777" w:rsidR="00A63889" w:rsidRPr="00A63889" w:rsidRDefault="00A63889" w:rsidP="00D876F1">
            <w:pPr>
              <w:pStyle w:val="BodyText"/>
              <w:ind w:right="-25"/>
              <w:jc w:val="center"/>
              <w:rPr>
                <w:i w:val="0"/>
                <w:sz w:val="20"/>
                <w:szCs w:val="20"/>
              </w:rPr>
            </w:pPr>
            <w:r w:rsidRPr="00A63889">
              <w:rPr>
                <w:i w:val="0"/>
                <w:sz w:val="20"/>
                <w:szCs w:val="20"/>
              </w:rPr>
              <w:t>12.8% [-0.3%, 25.8%]</w:t>
            </w:r>
          </w:p>
        </w:tc>
      </w:tr>
    </w:tbl>
    <w:p w14:paraId="605901DA" w14:textId="77777777" w:rsidR="00A63889" w:rsidRPr="00A63889" w:rsidRDefault="00A63889" w:rsidP="00A63889">
      <w:pPr>
        <w:rPr>
          <w:b/>
        </w:rPr>
      </w:pPr>
      <w:r w:rsidRPr="00A63889">
        <w:rPr>
          <w:b/>
        </w:rPr>
        <w:t>IDA secondary to heavy menstrual bleeding</w:t>
      </w:r>
    </w:p>
    <w:p w14:paraId="51A8F7B0" w14:textId="6EB11821" w:rsidR="00A63889" w:rsidRDefault="00A63889" w:rsidP="00D44718">
      <w:pPr>
        <w:spacing w:before="120"/>
        <w:jc w:val="both"/>
      </w:pPr>
      <w:r>
        <w:t>The safety and efficacy of intravenous infusions of FCM solution, compared to oral administration of ferrous sulphate, in improvement of Hb levels in females with IDA secondary to heavy menstrual bleeding was assessed in a multi-</w:t>
      </w:r>
      <w:proofErr w:type="spellStart"/>
      <w:r>
        <w:t>centre</w:t>
      </w:r>
      <w:proofErr w:type="spellEnd"/>
      <w:r>
        <w:t xml:space="preserve">, </w:t>
      </w:r>
      <w:proofErr w:type="spellStart"/>
      <w:r>
        <w:t>randomised</w:t>
      </w:r>
      <w:proofErr w:type="spellEnd"/>
      <w:r>
        <w:t xml:space="preserve">, open-label, 6-week, Phase III study. At enrolment, patients had a baseline Hb ≤114 g/L, TSAT ≤25%, and serum ferritin ≤100 µg/L. Patients were randomised to receive either oral ferrous sulphate tablets (65 mg iron) 3 times daily for 6 weeks or weekly infusions of FCM solution (a maximum dose of 1,000 mg iron per infusion) until the patient’s calculated cumulative dose had been reached, to a maximum of 2,500 mg iron. In a modified intent-to-treat analysis which excluded 18 FCM patients and 6 ferrous sulphate patients, FCM was shown to be superior to oral iron in achieving an increase from baseline in Hb ≥20 g/L at any time during the study: 82.0% (187/228) in the FCM group versus 61.8% (139/225) in the oral iron group (p&lt;0.001; 95% CI 12.2, 28.3). The modified intent-to-treat population comprised patients with at least one dose of study medication, baseline Hb ≤110 g/L, TSAT ≤25%, serum ferritin ≤100 µg/L, at least one post-baseline Hb assessment and confirmed diagnosis of heavy menstrual bleeding. </w:t>
      </w:r>
    </w:p>
    <w:p w14:paraId="71833557" w14:textId="77777777" w:rsidR="00A63889" w:rsidRPr="00A63889" w:rsidRDefault="00A63889" w:rsidP="00A63889">
      <w:pPr>
        <w:rPr>
          <w:b/>
        </w:rPr>
      </w:pPr>
      <w:proofErr w:type="spellStart"/>
      <w:r w:rsidRPr="00A63889">
        <w:rPr>
          <w:b/>
        </w:rPr>
        <w:lastRenderedPageBreak/>
        <w:t>Post partum</w:t>
      </w:r>
      <w:proofErr w:type="spellEnd"/>
      <w:r w:rsidRPr="00A63889">
        <w:rPr>
          <w:b/>
        </w:rPr>
        <w:t xml:space="preserve"> IDA</w:t>
      </w:r>
    </w:p>
    <w:p w14:paraId="51A23860" w14:textId="77777777" w:rsidR="00A63889" w:rsidRDefault="00A63889" w:rsidP="00D44718">
      <w:pPr>
        <w:spacing w:before="120"/>
        <w:jc w:val="both"/>
      </w:pPr>
      <w:r>
        <w:t xml:space="preserve">The safety and efficacy of FCM compared to oral ferrous sulphate as treatment for </w:t>
      </w:r>
      <w:proofErr w:type="spellStart"/>
      <w:r>
        <w:t>post partum</w:t>
      </w:r>
      <w:proofErr w:type="spellEnd"/>
      <w:r>
        <w:t xml:space="preserve"> IDA (</w:t>
      </w:r>
      <w:proofErr w:type="spellStart"/>
      <w:r>
        <w:t>Hb</w:t>
      </w:r>
      <w:proofErr w:type="spellEnd"/>
      <w:r>
        <w:t xml:space="preserve"> ≤100 g/L or ≤105 g/L) was assessed in 3 </w:t>
      </w:r>
      <w:proofErr w:type="spellStart"/>
      <w:r>
        <w:t>randomised</w:t>
      </w:r>
      <w:proofErr w:type="spellEnd"/>
      <w:r>
        <w:t>, open-label, multi-</w:t>
      </w:r>
      <w:proofErr w:type="spellStart"/>
      <w:r>
        <w:t>centre</w:t>
      </w:r>
      <w:proofErr w:type="spellEnd"/>
      <w:r>
        <w:t xml:space="preserve"> trials. In 2 of the studies, patients were randomised 1:1 to receive either oral ferrous sulphate tablets (65 mg iron) 3 times daily for 6 weeks or weekly intravenous FCM at dosages based on the calculated iron deficit. A maximum of 1,000 mg of iron (15 mg iron/kg body weight for pre-pregnancy weight ≤66 kg), as intravenous FCM solution, was given at weekly intervals until the individual’s calculated cumulative iron dose had been reached or a maximum total iron dose of 2,500 mg had been administered. In the third study, patients were randomised 2:1 to receive either oral ferrous sulphate capsules (100 mg iron) twice daily for 12 weeks or weekly intravenous FCM at dosages based on the calculated iron deficit (to a maximum of 3 infusions and not exceeding a weekly dose of 1,000 mg iron). </w:t>
      </w:r>
    </w:p>
    <w:p w14:paraId="575998C2" w14:textId="77777777" w:rsidR="00A63889" w:rsidRDefault="00A63889" w:rsidP="00D44718">
      <w:pPr>
        <w:jc w:val="both"/>
      </w:pPr>
      <w:r>
        <w:t xml:space="preserve">In all 3 studies, FCM was shown to be efficacious for the treatment of IDA in </w:t>
      </w:r>
      <w:proofErr w:type="spellStart"/>
      <w:r>
        <w:t>post partum</w:t>
      </w:r>
      <w:proofErr w:type="spellEnd"/>
      <w:r>
        <w:t xml:space="preserve"> subjects. In the first study, the superiority of FCM was demonstrated according to the primary efficacy endpoint (defined as Hb &gt;120 g/L), with a greater proportion of patients in the FCM group (91.4%, 127/139) versus the oral iron group (66.7%, 98/147) achieving success at any time during the study (p&lt;0.0001; 95% CI 15.20, 34.20). This was based on a modified intent-to-treat population which excluded 4 FCM patients and one ferrous sulfate patient. </w:t>
      </w:r>
    </w:p>
    <w:p w14:paraId="23463B2C" w14:textId="77777777" w:rsidR="00A63889" w:rsidRDefault="00A63889" w:rsidP="00D44718">
      <w:pPr>
        <w:jc w:val="both"/>
      </w:pPr>
      <w:r>
        <w:t>In the second study, FCM was demonstrated to be non-inferior to oral iron among subjects who achieved an increase in Hb ≥20 g/L: 96.4% (162/168) of the FCM group versus 94.1% (159/169) of the oral iron group (95% CI -2.19, 6.88). The analysis was in a modified intent-to-treat population (6 FCM patients and 9 ferrous sulphate patients excluded) and the non-inferiority margin was 15% based on a 1-sided 97.5% CI of the treatment difference. Statistically significantly greater increases from baseline to highest Hb, TSAT, and serum ferritin values were also observed in the FCM groups compared with the oral iron groups.</w:t>
      </w:r>
    </w:p>
    <w:p w14:paraId="5858C1A7" w14:textId="2684E32C" w:rsidR="00A63889" w:rsidRDefault="00A63889" w:rsidP="00D44718">
      <w:pPr>
        <w:jc w:val="both"/>
      </w:pPr>
      <w:r>
        <w:t xml:space="preserve">In the third study, FCM was shown to be non-inferior to ferrous sulphate for the mean change in Hb from baseline to Week 12 (33.4 g/L in the FCM group (n=227) versus 31.8 g/L in the oral iron group (n=117). The non-inferiority criterion was lower limit of 95% CI of difference FCM minus ferrous sulfate ≥–5.0 g/L. The non-inferiority criterion was met in both the intent-to-treat and per protocol populations.  </w:t>
      </w:r>
    </w:p>
    <w:p w14:paraId="600A061F" w14:textId="77777777" w:rsidR="00A63889" w:rsidRDefault="00A63889" w:rsidP="00D44718">
      <w:pPr>
        <w:jc w:val="both"/>
      </w:pPr>
      <w:r>
        <w:t>In another study in patients with iron deficiency anaemia due to heavy menstrual bleeding (HMB) or post-partum, the safety and efficacy of IV injection of FCM solution, 15 mg iron/kg body weight up to 1,000 mg iron administered IV over 15 min, was assessed. The comparator was standard medical care (SMC) as determined by the investigator.</w:t>
      </w:r>
    </w:p>
    <w:p w14:paraId="7B99C706" w14:textId="77777777" w:rsidR="00A63889" w:rsidRDefault="00A63889" w:rsidP="00D44718">
      <w:pPr>
        <w:jc w:val="both"/>
      </w:pPr>
      <w:r>
        <w:t xml:space="preserve">The primary endpoint was the incidence of treatment-emergent serious adverse events from Day 0 to 30 days after the last dose of study drug. The safety population contained 996 FCM subjects and 1,022 SMC subjects. Approximately 60% of the subjects had post-partum </w:t>
      </w:r>
      <w:proofErr w:type="spellStart"/>
      <w:r>
        <w:t>anaemia</w:t>
      </w:r>
      <w:proofErr w:type="spellEnd"/>
      <w:r>
        <w:t xml:space="preserve"> (median </w:t>
      </w:r>
      <w:proofErr w:type="spellStart"/>
      <w:r>
        <w:t>Hb</w:t>
      </w:r>
      <w:proofErr w:type="spellEnd"/>
      <w:r>
        <w:t xml:space="preserve"> 103 g/L) and the other 40% anaemia associated with HMB (median Hb 96 g/L). There were no serious adverse events assessed as related to FCM. Based on overall incidences and the lack of specific drug-related serious adverse reactions, the safety profiles of FCM and SMC oral iron appeared similar. There was insufficient exposure to SMC IV iron for it to be included in the assessment.</w:t>
      </w:r>
    </w:p>
    <w:p w14:paraId="5575235F" w14:textId="1F39155F" w:rsidR="00A63889" w:rsidRDefault="00A63889" w:rsidP="00D44718">
      <w:pPr>
        <w:jc w:val="both"/>
      </w:pPr>
      <w:r>
        <w:t>Efficacy was assessed in a modified intent-to-treat population which was approximately 30% less than the randomised population, although still balanced. Achievement of Hb &gt;120 g/L was significantly better with FCM than SMC in the two subgroups at 30 days (see Table 2).</w:t>
      </w:r>
    </w:p>
    <w:p w14:paraId="09DAC676" w14:textId="77777777" w:rsidR="00A63889" w:rsidRDefault="00A63889" w:rsidP="00A63889"/>
    <w:p w14:paraId="28FC5344" w14:textId="6BF595DB" w:rsidR="00A63889" w:rsidRDefault="00A63889" w:rsidP="00D44718">
      <w:pPr>
        <w:jc w:val="both"/>
        <w:rPr>
          <w:b/>
        </w:rPr>
      </w:pPr>
      <w:r w:rsidRPr="00A63889">
        <w:rPr>
          <w:b/>
        </w:rPr>
        <w:lastRenderedPageBreak/>
        <w:t>Table 2. Efficacy of FCM in single doses up to 1,000 mg iron versus SMC in iron deficiency anaemia associated with heavy menstrual bleeding and post-partum – trial 1VIT07017 – 30 days follow-up - modified intent-to-treat</w:t>
      </w:r>
    </w:p>
    <w:p w14:paraId="73132C98" w14:textId="77777777" w:rsidR="00A63889" w:rsidRPr="00057F28" w:rsidRDefault="00A63889" w:rsidP="00A63889">
      <w:pPr>
        <w:pStyle w:val="BodyText"/>
        <w:ind w:right="-25"/>
        <w:jc w:val="both"/>
      </w:pPr>
    </w:p>
    <w:tbl>
      <w:tblPr>
        <w:tblStyle w:val="TableGrid"/>
        <w:tblW w:w="0" w:type="auto"/>
        <w:tblLook w:val="04A0" w:firstRow="1" w:lastRow="0" w:firstColumn="1" w:lastColumn="0" w:noHBand="0" w:noVBand="1"/>
      </w:tblPr>
      <w:tblGrid>
        <w:gridCol w:w="3252"/>
        <w:gridCol w:w="1652"/>
        <w:gridCol w:w="1785"/>
        <w:gridCol w:w="2693"/>
      </w:tblGrid>
      <w:tr w:rsidR="00A63889" w:rsidRPr="00A63889" w14:paraId="4549F630" w14:textId="77777777" w:rsidTr="00D876F1">
        <w:tc>
          <w:tcPr>
            <w:tcW w:w="3369" w:type="dxa"/>
          </w:tcPr>
          <w:p w14:paraId="41A2BBB4" w14:textId="77777777" w:rsidR="00A63889" w:rsidRPr="00A63889" w:rsidRDefault="00A63889" w:rsidP="00D876F1">
            <w:pPr>
              <w:pStyle w:val="BodyText"/>
              <w:ind w:right="-25"/>
              <w:rPr>
                <w:i w:val="0"/>
                <w:sz w:val="20"/>
                <w:szCs w:val="20"/>
              </w:rPr>
            </w:pPr>
          </w:p>
        </w:tc>
        <w:tc>
          <w:tcPr>
            <w:tcW w:w="1701" w:type="dxa"/>
          </w:tcPr>
          <w:p w14:paraId="1B07C53B" w14:textId="77777777" w:rsidR="00A63889" w:rsidRPr="00A63889" w:rsidRDefault="00A63889" w:rsidP="00D876F1">
            <w:pPr>
              <w:pStyle w:val="BodyText"/>
              <w:ind w:right="-25"/>
              <w:jc w:val="center"/>
              <w:rPr>
                <w:b/>
                <w:i w:val="0"/>
                <w:sz w:val="20"/>
                <w:szCs w:val="20"/>
              </w:rPr>
            </w:pPr>
            <w:r w:rsidRPr="00A63889">
              <w:rPr>
                <w:b/>
                <w:i w:val="0"/>
                <w:sz w:val="20"/>
                <w:szCs w:val="20"/>
              </w:rPr>
              <w:t>FCM</w:t>
            </w:r>
          </w:p>
          <w:p w14:paraId="14261DEF" w14:textId="77777777" w:rsidR="00A63889" w:rsidRPr="00A63889" w:rsidRDefault="00A63889" w:rsidP="00D876F1">
            <w:pPr>
              <w:pStyle w:val="BodyText"/>
              <w:ind w:right="-25"/>
              <w:jc w:val="center"/>
              <w:rPr>
                <w:b/>
                <w:i w:val="0"/>
                <w:sz w:val="20"/>
                <w:szCs w:val="20"/>
              </w:rPr>
            </w:pPr>
          </w:p>
        </w:tc>
        <w:tc>
          <w:tcPr>
            <w:tcW w:w="1842" w:type="dxa"/>
          </w:tcPr>
          <w:p w14:paraId="155727D4" w14:textId="77777777" w:rsidR="00A63889" w:rsidRPr="00A63889" w:rsidRDefault="00A63889" w:rsidP="00D876F1">
            <w:pPr>
              <w:pStyle w:val="BodyText"/>
              <w:ind w:right="-25"/>
              <w:jc w:val="center"/>
              <w:rPr>
                <w:b/>
                <w:i w:val="0"/>
                <w:sz w:val="20"/>
                <w:szCs w:val="20"/>
              </w:rPr>
            </w:pPr>
            <w:r w:rsidRPr="00A63889">
              <w:rPr>
                <w:b/>
                <w:i w:val="0"/>
                <w:sz w:val="20"/>
                <w:szCs w:val="20"/>
              </w:rPr>
              <w:t>SMC</w:t>
            </w:r>
          </w:p>
          <w:p w14:paraId="4B9FA6DD" w14:textId="77777777" w:rsidR="00A63889" w:rsidRPr="00A63889" w:rsidRDefault="00A63889" w:rsidP="00D876F1">
            <w:pPr>
              <w:pStyle w:val="BodyText"/>
              <w:ind w:right="-25"/>
              <w:jc w:val="center"/>
              <w:rPr>
                <w:b/>
                <w:i w:val="0"/>
                <w:sz w:val="20"/>
                <w:szCs w:val="20"/>
              </w:rPr>
            </w:pPr>
          </w:p>
        </w:tc>
        <w:tc>
          <w:tcPr>
            <w:tcW w:w="2777" w:type="dxa"/>
          </w:tcPr>
          <w:p w14:paraId="46D144A0" w14:textId="77777777" w:rsidR="00A63889" w:rsidRPr="00A63889" w:rsidRDefault="00A63889" w:rsidP="00D876F1">
            <w:pPr>
              <w:pStyle w:val="BodyText"/>
              <w:ind w:right="-25"/>
              <w:jc w:val="center"/>
              <w:rPr>
                <w:b/>
                <w:i w:val="0"/>
                <w:sz w:val="20"/>
                <w:szCs w:val="20"/>
              </w:rPr>
            </w:pPr>
            <w:r w:rsidRPr="00A63889">
              <w:rPr>
                <w:b/>
                <w:i w:val="0"/>
                <w:sz w:val="20"/>
                <w:szCs w:val="20"/>
              </w:rPr>
              <w:t>Difference</w:t>
            </w:r>
          </w:p>
          <w:p w14:paraId="65428DE2" w14:textId="77777777" w:rsidR="00A63889" w:rsidRPr="00A63889" w:rsidRDefault="00A63889" w:rsidP="00D876F1">
            <w:pPr>
              <w:pStyle w:val="BodyText"/>
              <w:ind w:right="-25"/>
              <w:jc w:val="center"/>
              <w:rPr>
                <w:b/>
                <w:i w:val="0"/>
                <w:sz w:val="20"/>
                <w:szCs w:val="20"/>
              </w:rPr>
            </w:pPr>
            <w:r w:rsidRPr="00A63889">
              <w:rPr>
                <w:b/>
                <w:i w:val="0"/>
                <w:sz w:val="20"/>
                <w:szCs w:val="20"/>
              </w:rPr>
              <w:t>p-value</w:t>
            </w:r>
            <w:r w:rsidRPr="00A63889">
              <w:rPr>
                <w:b/>
                <w:i w:val="0"/>
                <w:sz w:val="20"/>
                <w:szCs w:val="20"/>
                <w:vertAlign w:val="superscript"/>
              </w:rPr>
              <w:t>2</w:t>
            </w:r>
          </w:p>
        </w:tc>
      </w:tr>
      <w:tr w:rsidR="00A63889" w:rsidRPr="00A63889" w14:paraId="108B0B50" w14:textId="77777777" w:rsidTr="00D876F1">
        <w:tc>
          <w:tcPr>
            <w:tcW w:w="3369" w:type="dxa"/>
          </w:tcPr>
          <w:p w14:paraId="4176562C" w14:textId="77777777" w:rsidR="00A63889" w:rsidRPr="00A63889" w:rsidRDefault="00A63889" w:rsidP="00D876F1">
            <w:pPr>
              <w:pStyle w:val="BodyText"/>
              <w:ind w:right="-25"/>
              <w:rPr>
                <w:b/>
                <w:i w:val="0"/>
                <w:sz w:val="20"/>
                <w:szCs w:val="20"/>
              </w:rPr>
            </w:pPr>
            <w:r w:rsidRPr="00A63889">
              <w:rPr>
                <w:b/>
                <w:i w:val="0"/>
                <w:sz w:val="20"/>
                <w:szCs w:val="20"/>
              </w:rPr>
              <w:t>Heavy Menstrual Bleeding</w:t>
            </w:r>
          </w:p>
        </w:tc>
        <w:tc>
          <w:tcPr>
            <w:tcW w:w="1701" w:type="dxa"/>
          </w:tcPr>
          <w:p w14:paraId="73D49B71" w14:textId="77777777" w:rsidR="00A63889" w:rsidRPr="00A63889" w:rsidRDefault="00A63889" w:rsidP="00D876F1">
            <w:pPr>
              <w:pStyle w:val="BodyText"/>
              <w:ind w:right="-25"/>
              <w:jc w:val="center"/>
              <w:rPr>
                <w:b/>
                <w:i w:val="0"/>
                <w:sz w:val="20"/>
                <w:szCs w:val="20"/>
              </w:rPr>
            </w:pPr>
            <w:r w:rsidRPr="00A63889">
              <w:rPr>
                <w:b/>
                <w:i w:val="0"/>
                <w:sz w:val="20"/>
                <w:szCs w:val="20"/>
              </w:rPr>
              <w:t>n=331</w:t>
            </w:r>
          </w:p>
        </w:tc>
        <w:tc>
          <w:tcPr>
            <w:tcW w:w="1842" w:type="dxa"/>
          </w:tcPr>
          <w:p w14:paraId="3E5C2680" w14:textId="77777777" w:rsidR="00A63889" w:rsidRPr="00A63889" w:rsidRDefault="00A63889" w:rsidP="00D876F1">
            <w:pPr>
              <w:pStyle w:val="BodyText"/>
              <w:ind w:right="-25"/>
              <w:jc w:val="center"/>
              <w:rPr>
                <w:i w:val="0"/>
                <w:sz w:val="20"/>
                <w:szCs w:val="20"/>
              </w:rPr>
            </w:pPr>
            <w:r w:rsidRPr="00A63889">
              <w:rPr>
                <w:b/>
                <w:i w:val="0"/>
                <w:sz w:val="20"/>
                <w:szCs w:val="20"/>
              </w:rPr>
              <w:t>n=329</w:t>
            </w:r>
          </w:p>
        </w:tc>
        <w:tc>
          <w:tcPr>
            <w:tcW w:w="2777" w:type="dxa"/>
          </w:tcPr>
          <w:p w14:paraId="703DDE6E" w14:textId="77777777" w:rsidR="00A63889" w:rsidRPr="00A63889" w:rsidRDefault="00A63889" w:rsidP="00D876F1">
            <w:pPr>
              <w:pStyle w:val="BodyText"/>
              <w:ind w:right="-25"/>
              <w:jc w:val="center"/>
              <w:rPr>
                <w:i w:val="0"/>
                <w:sz w:val="20"/>
                <w:szCs w:val="20"/>
              </w:rPr>
            </w:pPr>
          </w:p>
        </w:tc>
      </w:tr>
      <w:tr w:rsidR="00A63889" w:rsidRPr="00A63889" w14:paraId="4A5769EB" w14:textId="77777777" w:rsidTr="00D876F1">
        <w:tc>
          <w:tcPr>
            <w:tcW w:w="3369" w:type="dxa"/>
          </w:tcPr>
          <w:p w14:paraId="413DBE86" w14:textId="4782E32D" w:rsidR="00A63889" w:rsidRPr="00A63889" w:rsidRDefault="00A63889" w:rsidP="00D876F1">
            <w:pPr>
              <w:pStyle w:val="BodyText"/>
              <w:ind w:right="-25"/>
              <w:rPr>
                <w:i w:val="0"/>
                <w:sz w:val="20"/>
                <w:szCs w:val="20"/>
              </w:rPr>
            </w:pPr>
            <w:r w:rsidRPr="00A63889">
              <w:rPr>
                <w:i w:val="0"/>
                <w:sz w:val="20"/>
                <w:szCs w:val="20"/>
              </w:rPr>
              <w:t>Hb &gt;120 g/L</w:t>
            </w:r>
            <w:r w:rsidRPr="00A63889">
              <w:rPr>
                <w:i w:val="0"/>
                <w:sz w:val="20"/>
                <w:szCs w:val="20"/>
                <w:vertAlign w:val="superscript"/>
              </w:rPr>
              <w:t>1</w:t>
            </w:r>
          </w:p>
          <w:p w14:paraId="78C2F8F0" w14:textId="77777777" w:rsidR="00A63889" w:rsidRPr="00A63889" w:rsidRDefault="00A63889" w:rsidP="00D876F1">
            <w:pPr>
              <w:pStyle w:val="BodyText"/>
              <w:ind w:right="-25"/>
              <w:rPr>
                <w:i w:val="0"/>
                <w:sz w:val="20"/>
                <w:szCs w:val="20"/>
              </w:rPr>
            </w:pPr>
          </w:p>
        </w:tc>
        <w:tc>
          <w:tcPr>
            <w:tcW w:w="1701" w:type="dxa"/>
          </w:tcPr>
          <w:p w14:paraId="6AD4FC5B" w14:textId="77777777" w:rsidR="00A63889" w:rsidRPr="00A63889" w:rsidRDefault="00A63889" w:rsidP="00D876F1">
            <w:pPr>
              <w:pStyle w:val="BodyText"/>
              <w:ind w:right="-25"/>
              <w:jc w:val="center"/>
              <w:rPr>
                <w:i w:val="0"/>
                <w:sz w:val="20"/>
                <w:szCs w:val="20"/>
              </w:rPr>
            </w:pPr>
            <w:r w:rsidRPr="00A63889">
              <w:rPr>
                <w:i w:val="0"/>
                <w:sz w:val="20"/>
                <w:szCs w:val="20"/>
                <w:lang w:val="pt-PT"/>
              </w:rPr>
              <w:t>34.4%</w:t>
            </w:r>
          </w:p>
        </w:tc>
        <w:tc>
          <w:tcPr>
            <w:tcW w:w="1842" w:type="dxa"/>
          </w:tcPr>
          <w:p w14:paraId="07E221ED" w14:textId="77777777" w:rsidR="00A63889" w:rsidRPr="00A63889" w:rsidRDefault="00A63889" w:rsidP="00D876F1">
            <w:pPr>
              <w:pStyle w:val="BodyText"/>
              <w:ind w:right="-25"/>
              <w:jc w:val="center"/>
              <w:rPr>
                <w:b/>
                <w:i w:val="0"/>
                <w:sz w:val="20"/>
                <w:szCs w:val="20"/>
                <w:lang w:val="pt-PT"/>
              </w:rPr>
            </w:pPr>
            <w:r w:rsidRPr="00A63889">
              <w:rPr>
                <w:i w:val="0"/>
                <w:sz w:val="20"/>
                <w:szCs w:val="20"/>
                <w:lang w:val="pt-PT"/>
              </w:rPr>
              <w:t>15.8%</w:t>
            </w:r>
          </w:p>
          <w:p w14:paraId="093C461C" w14:textId="77777777" w:rsidR="00A63889" w:rsidRPr="00A63889" w:rsidRDefault="00A63889" w:rsidP="00D876F1">
            <w:pPr>
              <w:pStyle w:val="BodyText"/>
              <w:ind w:right="-25"/>
              <w:jc w:val="center"/>
              <w:rPr>
                <w:i w:val="0"/>
                <w:sz w:val="20"/>
                <w:szCs w:val="20"/>
              </w:rPr>
            </w:pPr>
          </w:p>
        </w:tc>
        <w:tc>
          <w:tcPr>
            <w:tcW w:w="2777" w:type="dxa"/>
          </w:tcPr>
          <w:p w14:paraId="685A5ECF" w14:textId="77777777" w:rsidR="00A63889" w:rsidRPr="00A63889" w:rsidRDefault="00A63889" w:rsidP="00D876F1">
            <w:pPr>
              <w:pStyle w:val="BodyText"/>
              <w:ind w:right="-25"/>
              <w:jc w:val="center"/>
              <w:rPr>
                <w:i w:val="0"/>
                <w:sz w:val="20"/>
                <w:szCs w:val="20"/>
              </w:rPr>
            </w:pPr>
            <w:r w:rsidRPr="00A63889">
              <w:rPr>
                <w:i w:val="0"/>
                <w:sz w:val="20"/>
                <w:szCs w:val="20"/>
              </w:rPr>
              <w:t>18.6%</w:t>
            </w:r>
          </w:p>
          <w:p w14:paraId="6DF425B4" w14:textId="77777777" w:rsidR="00A63889" w:rsidRPr="00A63889" w:rsidRDefault="00A63889" w:rsidP="00D876F1">
            <w:pPr>
              <w:pStyle w:val="BodyText"/>
              <w:ind w:right="-25"/>
              <w:jc w:val="center"/>
              <w:rPr>
                <w:i w:val="0"/>
                <w:sz w:val="20"/>
                <w:szCs w:val="20"/>
              </w:rPr>
            </w:pPr>
            <w:r w:rsidRPr="00A63889">
              <w:rPr>
                <w:i w:val="0"/>
                <w:sz w:val="20"/>
                <w:szCs w:val="20"/>
              </w:rPr>
              <w:t>p&lt;0.001</w:t>
            </w:r>
          </w:p>
        </w:tc>
      </w:tr>
      <w:tr w:rsidR="00A63889" w:rsidRPr="00A63889" w14:paraId="6F8A984D" w14:textId="77777777" w:rsidTr="00D876F1">
        <w:tc>
          <w:tcPr>
            <w:tcW w:w="3369" w:type="dxa"/>
          </w:tcPr>
          <w:p w14:paraId="16873C35" w14:textId="77777777" w:rsidR="00A63889" w:rsidRPr="00A63889" w:rsidRDefault="00A63889" w:rsidP="00D876F1">
            <w:pPr>
              <w:pStyle w:val="BodyText"/>
              <w:ind w:right="-25"/>
              <w:rPr>
                <w:b/>
                <w:i w:val="0"/>
                <w:sz w:val="20"/>
                <w:szCs w:val="20"/>
              </w:rPr>
            </w:pPr>
            <w:r w:rsidRPr="00A63889">
              <w:rPr>
                <w:b/>
                <w:i w:val="0"/>
                <w:sz w:val="20"/>
                <w:szCs w:val="20"/>
              </w:rPr>
              <w:t>Post-Partum</w:t>
            </w:r>
          </w:p>
        </w:tc>
        <w:tc>
          <w:tcPr>
            <w:tcW w:w="1701" w:type="dxa"/>
          </w:tcPr>
          <w:p w14:paraId="5D1D7CF1" w14:textId="77777777" w:rsidR="00A63889" w:rsidRPr="00A63889" w:rsidRDefault="00A63889" w:rsidP="00D876F1">
            <w:pPr>
              <w:pStyle w:val="BodyText"/>
              <w:ind w:right="-25"/>
              <w:jc w:val="center"/>
              <w:rPr>
                <w:i w:val="0"/>
                <w:sz w:val="20"/>
                <w:szCs w:val="20"/>
                <w:lang w:val="pt-PT"/>
              </w:rPr>
            </w:pPr>
            <w:r w:rsidRPr="00A63889">
              <w:rPr>
                <w:b/>
                <w:i w:val="0"/>
                <w:sz w:val="20"/>
                <w:szCs w:val="20"/>
              </w:rPr>
              <w:t>n=342</w:t>
            </w:r>
          </w:p>
        </w:tc>
        <w:tc>
          <w:tcPr>
            <w:tcW w:w="1842" w:type="dxa"/>
          </w:tcPr>
          <w:p w14:paraId="4F4F1286" w14:textId="77777777" w:rsidR="00A63889" w:rsidRPr="00A63889" w:rsidRDefault="00A63889" w:rsidP="00D876F1">
            <w:pPr>
              <w:pStyle w:val="BodyText"/>
              <w:ind w:right="-25"/>
              <w:jc w:val="center"/>
              <w:rPr>
                <w:i w:val="0"/>
                <w:sz w:val="20"/>
                <w:szCs w:val="20"/>
                <w:lang w:val="pt-PT"/>
              </w:rPr>
            </w:pPr>
            <w:r w:rsidRPr="00A63889">
              <w:rPr>
                <w:b/>
                <w:i w:val="0"/>
                <w:sz w:val="20"/>
                <w:szCs w:val="20"/>
              </w:rPr>
              <w:t>n=357</w:t>
            </w:r>
          </w:p>
        </w:tc>
        <w:tc>
          <w:tcPr>
            <w:tcW w:w="2777" w:type="dxa"/>
          </w:tcPr>
          <w:p w14:paraId="27868AE1" w14:textId="77777777" w:rsidR="00A63889" w:rsidRPr="00A63889" w:rsidRDefault="00A63889" w:rsidP="00D876F1">
            <w:pPr>
              <w:pStyle w:val="BodyText"/>
              <w:ind w:right="-25"/>
              <w:jc w:val="center"/>
              <w:rPr>
                <w:i w:val="0"/>
                <w:sz w:val="20"/>
                <w:szCs w:val="20"/>
              </w:rPr>
            </w:pPr>
          </w:p>
        </w:tc>
      </w:tr>
      <w:tr w:rsidR="00A63889" w:rsidRPr="00A63889" w14:paraId="223E3A5A" w14:textId="77777777" w:rsidTr="00D876F1">
        <w:tc>
          <w:tcPr>
            <w:tcW w:w="3369" w:type="dxa"/>
          </w:tcPr>
          <w:p w14:paraId="3301B583" w14:textId="03520F7E" w:rsidR="00A63889" w:rsidRPr="00A63889" w:rsidRDefault="00A63889" w:rsidP="00D876F1">
            <w:pPr>
              <w:pStyle w:val="BodyText"/>
              <w:ind w:right="-25"/>
              <w:rPr>
                <w:i w:val="0"/>
                <w:sz w:val="20"/>
                <w:szCs w:val="20"/>
              </w:rPr>
            </w:pPr>
            <w:r w:rsidRPr="00A63889">
              <w:rPr>
                <w:i w:val="0"/>
                <w:sz w:val="20"/>
                <w:szCs w:val="20"/>
              </w:rPr>
              <w:t>Hb &gt;120 g/L</w:t>
            </w:r>
            <w:r w:rsidRPr="00A63889">
              <w:rPr>
                <w:i w:val="0"/>
                <w:sz w:val="20"/>
                <w:szCs w:val="20"/>
                <w:vertAlign w:val="superscript"/>
              </w:rPr>
              <w:t>1</w:t>
            </w:r>
          </w:p>
          <w:p w14:paraId="639D4006" w14:textId="77777777" w:rsidR="00A63889" w:rsidRPr="00A63889" w:rsidRDefault="00A63889" w:rsidP="00D876F1">
            <w:pPr>
              <w:pStyle w:val="BodyText"/>
              <w:ind w:right="-25"/>
              <w:rPr>
                <w:b/>
                <w:i w:val="0"/>
                <w:sz w:val="20"/>
                <w:szCs w:val="20"/>
              </w:rPr>
            </w:pPr>
          </w:p>
        </w:tc>
        <w:tc>
          <w:tcPr>
            <w:tcW w:w="1701" w:type="dxa"/>
          </w:tcPr>
          <w:p w14:paraId="22AE136D" w14:textId="77777777" w:rsidR="00A63889" w:rsidRPr="00A63889" w:rsidRDefault="00A63889" w:rsidP="00D876F1">
            <w:pPr>
              <w:pStyle w:val="BodyText"/>
              <w:ind w:right="-25"/>
              <w:jc w:val="center"/>
              <w:rPr>
                <w:i w:val="0"/>
                <w:sz w:val="20"/>
                <w:szCs w:val="20"/>
              </w:rPr>
            </w:pPr>
            <w:r w:rsidRPr="00A63889">
              <w:rPr>
                <w:i w:val="0"/>
                <w:sz w:val="20"/>
                <w:szCs w:val="20"/>
              </w:rPr>
              <w:t>68.1%</w:t>
            </w:r>
          </w:p>
        </w:tc>
        <w:tc>
          <w:tcPr>
            <w:tcW w:w="1842" w:type="dxa"/>
          </w:tcPr>
          <w:p w14:paraId="0B2C0FFF" w14:textId="77777777" w:rsidR="00A63889" w:rsidRPr="00A63889" w:rsidRDefault="00A63889" w:rsidP="00D876F1">
            <w:pPr>
              <w:pStyle w:val="BodyText"/>
              <w:ind w:right="-25"/>
              <w:jc w:val="center"/>
              <w:rPr>
                <w:i w:val="0"/>
                <w:sz w:val="20"/>
                <w:szCs w:val="20"/>
              </w:rPr>
            </w:pPr>
            <w:r w:rsidRPr="00A63889">
              <w:rPr>
                <w:i w:val="0"/>
                <w:sz w:val="20"/>
                <w:szCs w:val="20"/>
              </w:rPr>
              <w:t>50.7%</w:t>
            </w:r>
          </w:p>
        </w:tc>
        <w:tc>
          <w:tcPr>
            <w:tcW w:w="2777" w:type="dxa"/>
          </w:tcPr>
          <w:p w14:paraId="346E637B" w14:textId="77777777" w:rsidR="00A63889" w:rsidRPr="00A63889" w:rsidRDefault="00A63889" w:rsidP="00D876F1">
            <w:pPr>
              <w:pStyle w:val="BodyText"/>
              <w:ind w:right="-25"/>
              <w:jc w:val="center"/>
              <w:rPr>
                <w:i w:val="0"/>
                <w:sz w:val="20"/>
                <w:szCs w:val="20"/>
              </w:rPr>
            </w:pPr>
            <w:r w:rsidRPr="00A63889">
              <w:rPr>
                <w:i w:val="0"/>
                <w:sz w:val="20"/>
                <w:szCs w:val="20"/>
              </w:rPr>
              <w:t>17.4%</w:t>
            </w:r>
          </w:p>
          <w:p w14:paraId="09EB4838" w14:textId="77777777" w:rsidR="00A63889" w:rsidRPr="00A63889" w:rsidRDefault="00A63889" w:rsidP="00D876F1">
            <w:pPr>
              <w:pStyle w:val="BodyText"/>
              <w:ind w:right="-25"/>
              <w:jc w:val="center"/>
              <w:rPr>
                <w:i w:val="0"/>
                <w:sz w:val="20"/>
                <w:szCs w:val="20"/>
              </w:rPr>
            </w:pPr>
            <w:r w:rsidRPr="00A63889">
              <w:rPr>
                <w:i w:val="0"/>
                <w:sz w:val="20"/>
                <w:szCs w:val="20"/>
              </w:rPr>
              <w:t>p&lt;0.001</w:t>
            </w:r>
          </w:p>
        </w:tc>
      </w:tr>
    </w:tbl>
    <w:p w14:paraId="48515667" w14:textId="77777777" w:rsidR="00A63889" w:rsidRPr="00057F28" w:rsidRDefault="00A63889" w:rsidP="00A63889">
      <w:pPr>
        <w:pStyle w:val="BodyText"/>
        <w:ind w:right="-25"/>
        <w:jc w:val="both"/>
        <w:rPr>
          <w:i w:val="0"/>
          <w:sz w:val="20"/>
          <w:szCs w:val="20"/>
        </w:rPr>
      </w:pPr>
      <w:r w:rsidRPr="00057F28">
        <w:rPr>
          <w:i w:val="0"/>
          <w:sz w:val="20"/>
          <w:szCs w:val="20"/>
        </w:rPr>
        <w:t>FCM: Ferric Carboxymaltose. SMC: Standard Medical Care as determined by the investigator.</w:t>
      </w:r>
    </w:p>
    <w:p w14:paraId="736C80BC" w14:textId="77777777" w:rsidR="00A63889" w:rsidRPr="00057F28" w:rsidRDefault="00A63889" w:rsidP="00A63889">
      <w:pPr>
        <w:pStyle w:val="BodyText"/>
        <w:ind w:right="-25"/>
        <w:jc w:val="both"/>
        <w:rPr>
          <w:i w:val="0"/>
          <w:sz w:val="20"/>
          <w:szCs w:val="20"/>
        </w:rPr>
      </w:pPr>
      <w:r w:rsidRPr="00057F28">
        <w:rPr>
          <w:i w:val="0"/>
          <w:sz w:val="20"/>
          <w:szCs w:val="20"/>
          <w:vertAlign w:val="superscript"/>
        </w:rPr>
        <w:t>1</w:t>
      </w:r>
      <w:r w:rsidRPr="00057F28">
        <w:rPr>
          <w:i w:val="0"/>
          <w:sz w:val="20"/>
          <w:szCs w:val="20"/>
        </w:rPr>
        <w:t xml:space="preserve"> Anytime between baseline and end of study of surgical intervention. </w:t>
      </w:r>
      <w:r w:rsidRPr="00057F28">
        <w:rPr>
          <w:i w:val="0"/>
          <w:sz w:val="20"/>
          <w:szCs w:val="20"/>
          <w:vertAlign w:val="superscript"/>
        </w:rPr>
        <w:t>2</w:t>
      </w:r>
      <w:r w:rsidRPr="00057F28">
        <w:rPr>
          <w:i w:val="0"/>
          <w:sz w:val="20"/>
          <w:szCs w:val="20"/>
        </w:rPr>
        <w:t xml:space="preserve"> Fisher’s Exact Test.</w:t>
      </w:r>
    </w:p>
    <w:p w14:paraId="2493ABE7" w14:textId="77777777" w:rsidR="00A63889" w:rsidRDefault="00A63889" w:rsidP="00D44718">
      <w:pPr>
        <w:jc w:val="both"/>
        <w:rPr>
          <w:b/>
        </w:rPr>
      </w:pPr>
      <w:r w:rsidRPr="00A63889">
        <w:rPr>
          <w:b/>
        </w:rPr>
        <w:t>Pregnancy</w:t>
      </w:r>
    </w:p>
    <w:p w14:paraId="7F4DACEF" w14:textId="77777777" w:rsidR="004B1918" w:rsidRDefault="004B1918" w:rsidP="004B1918">
      <w:pPr>
        <w:spacing w:before="120"/>
        <w:jc w:val="both"/>
      </w:pPr>
      <w:r w:rsidRPr="004B1918">
        <w:t>In a study in pregnant women in the second and third trimester with iron deficiency anaemia (FER-ASAP-2009-01) randomised to receive either ferric carboxymaltose (maximum permitted total dose 1000 mg for baseline haemoglobin 91-104 g/L or 1500 mg for baseline haemoglobin 80-90 g/L) or oral iron (200 mg orally twice daily). The range of gestation at study entry for the ferric carboxymaltose arm was 16.0 to 33.9 weeks.</w:t>
      </w:r>
    </w:p>
    <w:p w14:paraId="6F677786" w14:textId="785FA434" w:rsidR="004B1918" w:rsidRDefault="004B1918" w:rsidP="00D44718">
      <w:pPr>
        <w:jc w:val="both"/>
      </w:pPr>
      <w:r>
        <w:t>S</w:t>
      </w:r>
      <w:r w:rsidRPr="00D74B06">
        <w:t xml:space="preserve">uperiority of ferric carboxymaltose for the </w:t>
      </w:r>
      <w:r w:rsidR="006A60B4">
        <w:t xml:space="preserve">primary outcome of </w:t>
      </w:r>
      <w:r w:rsidRPr="00D74B06">
        <w:t xml:space="preserve">change in Hb from baseline to </w:t>
      </w:r>
      <w:r>
        <w:t>w</w:t>
      </w:r>
      <w:r w:rsidRPr="00D74B06">
        <w:t>eek 3 was not shown</w:t>
      </w:r>
      <w:r>
        <w:t xml:space="preserve">. </w:t>
      </w:r>
      <w:r w:rsidRPr="00D74B06">
        <w:t>The mean total iron dose was 1,028.5 mg (median 1,000 mg) in the ferric carboxymaltose group compared to 11,959.2 mg (median 12,300 mg) in the oral iron group.</w:t>
      </w:r>
    </w:p>
    <w:p w14:paraId="7CABF076" w14:textId="1A0295B8" w:rsidR="004B1918" w:rsidRPr="00F15957" w:rsidRDefault="00F15957" w:rsidP="00F15957">
      <w:pPr>
        <w:jc w:val="both"/>
      </w:pPr>
      <w:r w:rsidRPr="00F15957">
        <w:t xml:space="preserve">Iron deficiency </w:t>
      </w:r>
      <w:r w:rsidR="004B1918" w:rsidRPr="00F15957">
        <w:t xml:space="preserve">associated with chronic heart failure </w:t>
      </w:r>
    </w:p>
    <w:p w14:paraId="05913874" w14:textId="77777777" w:rsidR="00A63889" w:rsidRPr="00A63889" w:rsidRDefault="00A63889" w:rsidP="00D44718">
      <w:pPr>
        <w:spacing w:before="120"/>
        <w:jc w:val="both"/>
      </w:pPr>
      <w:r w:rsidRPr="00A63889">
        <w:t xml:space="preserve">In a population with chronic heart failure, a double-blind, placebo-controlled, randomised study demonstrated a statistically significant improvement in both Patient Global Assessment and New York Heart Association functional class at Week 24 (odds ratio for improvement, 2.51 (95% CI 1.75-3.61; p&lt;0.001) and 2.40 (95% CI 1.55-3.71; p&lt;0.001), respectively). The results applied to iron deficient patients with and without anaemia. Superior improvements (p&lt;0.001) were also observed in the 6-minute walk test and patient quality of life (QoL) for patients treated with ferric carboxymaltose. </w:t>
      </w:r>
    </w:p>
    <w:p w14:paraId="2F2F67A0" w14:textId="4A338C0F" w:rsidR="00A63889" w:rsidRPr="00A63889" w:rsidRDefault="00F15957" w:rsidP="00D44718">
      <w:pPr>
        <w:jc w:val="both"/>
      </w:pPr>
      <w:r w:rsidRPr="00A63889">
        <w:t>Study FER-CARS-05 in subjects with chronic heart failure and iron deficiency demonstrated the benefit of FCM relative to placebo in improving functional capacity as measured by the change in 6-minute walk test distance from baseline to Week 24, with a difference between treatment groups (least squares mean (± standard error)) of 33.2 ± 10.52 m (p=0.002), thereby confirming the</w:t>
      </w:r>
      <w:r>
        <w:t xml:space="preserve"> </w:t>
      </w:r>
      <w:r w:rsidRPr="00A63889">
        <w:t xml:space="preserve">hypothesis of above study. The treatment benefit of FCM in improvement of 6-minute walk test distance was statistically significant from week 24 (p&lt;0.001) and was sustained throughout the study to Week 52 (p&lt;0.001), demonstrating the long-term benefit of iron repletion over a period of 1 year.  </w:t>
      </w:r>
      <w:r w:rsidR="006A60B4">
        <w:t>The i</w:t>
      </w:r>
      <w:r w:rsidRPr="00A63889">
        <w:t>mprovements in PGA and NYHA functional class were also seen in FCM-treated subjects, with statistical significance for the difference between treatment groups achieved from Week 12 (PGA) or Week 24 (NYHA functional class) onwards. At Week 52 Endpoint, 54.7% of subjects in the FCM group showed some improvement in PGA score compared to 35.1% in the placebo group, and 18.0% of subjects in the FCM group showed an improvement by 1 NYHA functional class, compared to only 3.3% in the placebo group. Improvements in fatigue score and overall Kansas City cardiomyopathy questionnaire score were also seen, with statistical significance for the difference between treatment groups (in favour of FCM) achieved from Week 12 onwards.</w:t>
      </w:r>
    </w:p>
    <w:p w14:paraId="48A7226B" w14:textId="77777777" w:rsidR="00A63889" w:rsidRPr="00A63889" w:rsidRDefault="00A63889" w:rsidP="00D44718">
      <w:pPr>
        <w:jc w:val="both"/>
      </w:pPr>
      <w:r w:rsidRPr="00A63889">
        <w:t>There are no data available regarding the long term use of FERINJECT.</w:t>
      </w:r>
    </w:p>
    <w:p w14:paraId="4EE02CAD" w14:textId="77777777" w:rsidR="00FD1F94" w:rsidRDefault="00FD1F94" w:rsidP="004879B0">
      <w:pPr>
        <w:pStyle w:val="Heading2"/>
      </w:pPr>
      <w:r>
        <w:lastRenderedPageBreak/>
        <w:t>PHARMACOKINETIC PROPERTIES</w:t>
      </w:r>
    </w:p>
    <w:p w14:paraId="091EBF78" w14:textId="77777777" w:rsidR="007D15F2" w:rsidRPr="00D724CD" w:rsidRDefault="007D15F2" w:rsidP="00D44718">
      <w:pPr>
        <w:jc w:val="both"/>
        <w:rPr>
          <w:strike/>
        </w:rPr>
      </w:pPr>
      <w:r w:rsidRPr="000A0320">
        <w:t xml:space="preserve">After a single 100 mg IV </w:t>
      </w:r>
      <w:r>
        <w:t xml:space="preserve">iron </w:t>
      </w:r>
      <w:r w:rsidRPr="000A0320">
        <w:t xml:space="preserve">dose of </w:t>
      </w:r>
      <w:r w:rsidRPr="009936B2">
        <w:rPr>
          <w:iCs/>
          <w:color w:val="auto"/>
        </w:rPr>
        <w:t>F</w:t>
      </w:r>
      <w:r w:rsidRPr="00410139">
        <w:rPr>
          <w:iCs/>
          <w:color w:val="auto"/>
        </w:rPr>
        <w:t>CM</w:t>
      </w:r>
      <w:r w:rsidRPr="000A0320" w:rsidDel="009936B2">
        <w:t xml:space="preserve"> </w:t>
      </w:r>
      <w:r>
        <w:t xml:space="preserve">solution </w:t>
      </w:r>
      <w:r w:rsidRPr="000A0320">
        <w:t xml:space="preserve">(n=6) injected over 1 min, serum iron concentration peaked at a mean of 15 min. After 500, 800 or 1,000 mg </w:t>
      </w:r>
      <w:r>
        <w:t>iron</w:t>
      </w:r>
      <w:r w:rsidRPr="000A0320">
        <w:t xml:space="preserve"> in 250 mL normal saline </w:t>
      </w:r>
      <w:r>
        <w:t xml:space="preserve">infused </w:t>
      </w:r>
      <w:r w:rsidRPr="000A0320">
        <w:t>over 15 min (n=6 for each dose), serum iron concentration peaked at means of 20 min, 1 h and 1.2 h</w:t>
      </w:r>
      <w:r>
        <w:t>,</w:t>
      </w:r>
      <w:r w:rsidRPr="000A0320">
        <w:t xml:space="preserve"> respectively. The mean volume of distribution was approximately 3 L, corresponding to the plasma volume. Mean plasma clearance ranged from 2.6-4.4 mL/min and terminal </w:t>
      </w:r>
      <w:proofErr w:type="spellStart"/>
      <w:r w:rsidRPr="000A0320">
        <w:t>half life</w:t>
      </w:r>
      <w:proofErr w:type="spellEnd"/>
      <w:r w:rsidRPr="000A0320">
        <w:t xml:space="preserve"> from 7-12 h. Renal elimination was negligible.</w:t>
      </w:r>
      <w:r w:rsidRPr="00D724CD">
        <w:rPr>
          <w:strike/>
        </w:rPr>
        <w:t xml:space="preserve"> </w:t>
      </w:r>
    </w:p>
    <w:p w14:paraId="7BA4112B" w14:textId="77777777" w:rsidR="007D15F2" w:rsidRDefault="007D15F2" w:rsidP="00D44718">
      <w:pPr>
        <w:jc w:val="both"/>
      </w:pPr>
      <w:r w:rsidRPr="000A0320">
        <w:t xml:space="preserve">Within 8 h of a single </w:t>
      </w:r>
      <w:proofErr w:type="spellStart"/>
      <w:r w:rsidRPr="000A0320">
        <w:t>radiolabelled</w:t>
      </w:r>
      <w:proofErr w:type="spellEnd"/>
      <w:r w:rsidRPr="000A0320">
        <w:t xml:space="preserve"> 100 mg IV </w:t>
      </w:r>
      <w:r>
        <w:t xml:space="preserve">iron </w:t>
      </w:r>
      <w:r w:rsidRPr="000A0320">
        <w:t xml:space="preserve">dose of </w:t>
      </w:r>
      <w:r w:rsidRPr="009936B2">
        <w:rPr>
          <w:iCs/>
          <w:color w:val="auto"/>
        </w:rPr>
        <w:t>FCM</w:t>
      </w:r>
      <w:r w:rsidRPr="000A0320" w:rsidDel="009936B2">
        <w:t xml:space="preserve"> </w:t>
      </w:r>
      <w:r w:rsidRPr="000A0320">
        <w:t xml:space="preserve">to patients with iron deficiency or renal anaemia, most of the </w:t>
      </w:r>
      <w:proofErr w:type="spellStart"/>
      <w:r>
        <w:t>radiolabelled</w:t>
      </w:r>
      <w:proofErr w:type="spellEnd"/>
      <w:r>
        <w:t xml:space="preserve"> iron</w:t>
      </w:r>
      <w:r w:rsidRPr="000A0320">
        <w:t xml:space="preserve"> had cleared the circulation and distributed to the bone marrow, liver and spleen. Within 6-9 days, </w:t>
      </w:r>
      <w:r>
        <w:t xml:space="preserve">the </w:t>
      </w:r>
      <w:proofErr w:type="spellStart"/>
      <w:r>
        <w:t>radiolabelled</w:t>
      </w:r>
      <w:proofErr w:type="spellEnd"/>
      <w:r>
        <w:t xml:space="preserve"> </w:t>
      </w:r>
      <w:r w:rsidRPr="000A0320">
        <w:t xml:space="preserve">iron </w:t>
      </w:r>
      <w:r>
        <w:t>was</w:t>
      </w:r>
      <w:r w:rsidRPr="000A0320">
        <w:t xml:space="preserve"> incorporated into the red blood cells. After 24 days, iron </w:t>
      </w:r>
      <w:proofErr w:type="spellStart"/>
      <w:r w:rsidRPr="000A0320">
        <w:t>utilisation</w:t>
      </w:r>
      <w:proofErr w:type="spellEnd"/>
      <w:r w:rsidRPr="000A0320">
        <w:t xml:space="preserve"> was 91-99% in iron deficiency anaemia and 61-84% in renal anaemia.</w:t>
      </w:r>
    </w:p>
    <w:p w14:paraId="60338FC3" w14:textId="77777777" w:rsidR="00FD1F94" w:rsidRDefault="00FD1F94" w:rsidP="0055703C">
      <w:pPr>
        <w:pStyle w:val="Heading2"/>
      </w:pPr>
      <w:r>
        <w:t>PRECLINICAL</w:t>
      </w:r>
      <w:r w:rsidR="008438F1">
        <w:t xml:space="preserve"> </w:t>
      </w:r>
      <w:r>
        <w:t>SAFETY DATA</w:t>
      </w:r>
    </w:p>
    <w:p w14:paraId="351F1078" w14:textId="77777777" w:rsidR="007D15F2" w:rsidRDefault="007D15F2" w:rsidP="007D15F2">
      <w:pPr>
        <w:pStyle w:val="Heading3"/>
        <w:numPr>
          <w:ilvl w:val="0"/>
          <w:numId w:val="0"/>
        </w:numPr>
      </w:pPr>
      <w:r>
        <w:t>Genotoxicity</w:t>
      </w:r>
    </w:p>
    <w:p w14:paraId="03C7A344" w14:textId="77777777" w:rsidR="007D15F2" w:rsidRDefault="007D15F2" w:rsidP="00D44718">
      <w:pPr>
        <w:jc w:val="both"/>
      </w:pPr>
      <w:r>
        <w:t>Ferric carboxymaltose was not genotoxic in assays for gene mutation (in vitro bacterial and mouse lymphoma cell assays) and chromosomal damage (human lymphocytes in vitro and mouse micronucleus test in vivo).</w:t>
      </w:r>
    </w:p>
    <w:p w14:paraId="1CCF08C0" w14:textId="77777777" w:rsidR="007D15F2" w:rsidRDefault="007D15F2" w:rsidP="007D15F2">
      <w:pPr>
        <w:pStyle w:val="Heading3"/>
        <w:numPr>
          <w:ilvl w:val="0"/>
          <w:numId w:val="0"/>
        </w:numPr>
      </w:pPr>
      <w:r>
        <w:t>Carcinogenicity</w:t>
      </w:r>
    </w:p>
    <w:p w14:paraId="4D8F6532" w14:textId="77777777" w:rsidR="007D15F2" w:rsidRDefault="007D15F2" w:rsidP="007D15F2">
      <w:r>
        <w:t>The carcinogenic potential of FERINJECT has not been studied in animals.</w:t>
      </w:r>
    </w:p>
    <w:p w14:paraId="112A18E4" w14:textId="77777777" w:rsidR="00FD1F94" w:rsidRDefault="00FD1F94" w:rsidP="0055703C">
      <w:pPr>
        <w:pStyle w:val="Heading1"/>
        <w:pageBreakBefore w:val="0"/>
      </w:pPr>
      <w:r>
        <w:t>PHARMACEUTICAL PARTICULARS</w:t>
      </w:r>
    </w:p>
    <w:p w14:paraId="1709A19F" w14:textId="77777777" w:rsidR="00FD1F94" w:rsidRDefault="00FD1F94" w:rsidP="0055703C">
      <w:pPr>
        <w:pStyle w:val="Heading2"/>
      </w:pPr>
      <w:r>
        <w:t>LIST OF EXCIPIENTS</w:t>
      </w:r>
    </w:p>
    <w:p w14:paraId="678A0C7A" w14:textId="77777777" w:rsidR="007D15F2" w:rsidRDefault="007D15F2" w:rsidP="007D15F2">
      <w:r>
        <w:t>Sodium hydroxide (for pH adjustment)</w:t>
      </w:r>
    </w:p>
    <w:p w14:paraId="360D9B9B" w14:textId="77777777" w:rsidR="007D15F2" w:rsidRDefault="007D15F2" w:rsidP="007D15F2">
      <w:r>
        <w:t>Hydrochloric acid (for pH adjustment)</w:t>
      </w:r>
    </w:p>
    <w:p w14:paraId="431769BE" w14:textId="77777777" w:rsidR="007D15F2" w:rsidRDefault="007D15F2" w:rsidP="007D15F2">
      <w:r>
        <w:t>Water for injections</w:t>
      </w:r>
    </w:p>
    <w:p w14:paraId="74406F18" w14:textId="77777777" w:rsidR="00FD1F94" w:rsidRDefault="00FD1F94" w:rsidP="0055703C">
      <w:pPr>
        <w:pStyle w:val="Heading2"/>
      </w:pPr>
      <w:r>
        <w:t>INCOMPATIBILITIES</w:t>
      </w:r>
    </w:p>
    <w:p w14:paraId="599A3A2D" w14:textId="77777777" w:rsidR="00C34084" w:rsidRPr="00C77721" w:rsidRDefault="00C34084" w:rsidP="00C34084">
      <w:pPr>
        <w:jc w:val="both"/>
      </w:pPr>
      <w:r w:rsidRPr="00C77721">
        <w:t>Incompatibilities were either not assessed or not identified as part of the registration of this medicine.</w:t>
      </w:r>
    </w:p>
    <w:p w14:paraId="0DA56D44" w14:textId="77777777" w:rsidR="00FD1F94" w:rsidRDefault="00FD1F94" w:rsidP="00C77721">
      <w:pPr>
        <w:pStyle w:val="Heading2"/>
      </w:pPr>
      <w:r>
        <w:t>SHELF LIFE</w:t>
      </w:r>
    </w:p>
    <w:p w14:paraId="1E5D7311" w14:textId="77777777" w:rsidR="007D15F2" w:rsidRPr="006F44C8" w:rsidRDefault="007D15F2" w:rsidP="00D44718">
      <w:pPr>
        <w:pStyle w:val="Heading3"/>
        <w:numPr>
          <w:ilvl w:val="0"/>
          <w:numId w:val="0"/>
        </w:numPr>
        <w:jc w:val="both"/>
        <w:rPr>
          <w:szCs w:val="22"/>
        </w:rPr>
      </w:pPr>
      <w:r w:rsidRPr="006F44C8">
        <w:rPr>
          <w:szCs w:val="22"/>
        </w:rPr>
        <w:t>Shelf-life of the product as packaged for sale:</w:t>
      </w:r>
    </w:p>
    <w:p w14:paraId="021410D9" w14:textId="77777777" w:rsidR="007D15F2" w:rsidRPr="00D44718" w:rsidRDefault="007D15F2" w:rsidP="00D44718">
      <w:pPr>
        <w:spacing w:before="0"/>
        <w:jc w:val="both"/>
      </w:pPr>
      <w:r w:rsidRPr="00D44718">
        <w:t>36 months.</w:t>
      </w:r>
    </w:p>
    <w:p w14:paraId="56D6F4C0" w14:textId="77777777" w:rsidR="007D15F2" w:rsidRPr="00D44718" w:rsidRDefault="007D15F2" w:rsidP="00D44718">
      <w:pPr>
        <w:spacing w:before="0"/>
        <w:jc w:val="both"/>
        <w:rPr>
          <w:i/>
        </w:rPr>
      </w:pPr>
    </w:p>
    <w:p w14:paraId="0F785221" w14:textId="77777777" w:rsidR="007D15F2" w:rsidRPr="006F44C8" w:rsidRDefault="007D15F2" w:rsidP="00D44718">
      <w:pPr>
        <w:pStyle w:val="Heading3"/>
        <w:numPr>
          <w:ilvl w:val="0"/>
          <w:numId w:val="0"/>
        </w:numPr>
        <w:jc w:val="both"/>
        <w:rPr>
          <w:szCs w:val="22"/>
        </w:rPr>
      </w:pPr>
      <w:r w:rsidRPr="006F44C8">
        <w:rPr>
          <w:szCs w:val="22"/>
        </w:rPr>
        <w:lastRenderedPageBreak/>
        <w:t>Shelf-life after first opening of the container:</w:t>
      </w:r>
    </w:p>
    <w:p w14:paraId="15F38772" w14:textId="77777777" w:rsidR="007D15F2" w:rsidRPr="00D44718" w:rsidRDefault="007D15F2" w:rsidP="00D44718">
      <w:pPr>
        <w:spacing w:before="0"/>
        <w:jc w:val="both"/>
      </w:pPr>
      <w:r w:rsidRPr="00D44718">
        <w:t>From a microbiological point of view, preparations for parenteral administration should be used immediately.</w:t>
      </w:r>
    </w:p>
    <w:p w14:paraId="200F4952" w14:textId="77777777" w:rsidR="007D15F2" w:rsidRPr="006F44C8" w:rsidRDefault="007D15F2" w:rsidP="00D44718">
      <w:pPr>
        <w:pStyle w:val="Heading3"/>
        <w:numPr>
          <w:ilvl w:val="0"/>
          <w:numId w:val="0"/>
        </w:numPr>
        <w:jc w:val="both"/>
        <w:rPr>
          <w:szCs w:val="22"/>
        </w:rPr>
      </w:pPr>
      <w:r w:rsidRPr="006F44C8">
        <w:rPr>
          <w:szCs w:val="22"/>
        </w:rPr>
        <w:t>Shelf-life after dilution with sterile 0.9% m/V sodium chloride solution:</w:t>
      </w:r>
    </w:p>
    <w:p w14:paraId="057CA1D0" w14:textId="77777777" w:rsidR="007D15F2" w:rsidRPr="00D44718" w:rsidRDefault="007D15F2" w:rsidP="00D44718">
      <w:pPr>
        <w:spacing w:before="0"/>
        <w:jc w:val="both"/>
      </w:pPr>
      <w:r w:rsidRPr="00D44718">
        <w:t>To reduce microbiological hazard, use as soon as practicable after dilution. If storage is necessary, hold at 2-8°C for not more than 12 hours.</w:t>
      </w:r>
    </w:p>
    <w:p w14:paraId="195865EE" w14:textId="77777777" w:rsidR="007D15F2" w:rsidRPr="00D44718" w:rsidRDefault="007D15F2" w:rsidP="00D44718">
      <w:pPr>
        <w:spacing w:before="0"/>
        <w:jc w:val="both"/>
      </w:pPr>
    </w:p>
    <w:p w14:paraId="6F4B2C3B" w14:textId="77777777" w:rsidR="007D15F2" w:rsidRPr="007D15F2" w:rsidRDefault="007D15F2" w:rsidP="00D44718">
      <w:pPr>
        <w:spacing w:before="0"/>
        <w:jc w:val="both"/>
        <w:rPr>
          <w:lang w:val="en-AU"/>
        </w:rPr>
      </w:pPr>
      <w:r w:rsidRPr="00D44718">
        <w:rPr>
          <w:lang w:val="en-AU"/>
        </w:rPr>
        <w:t>Product is for single use in one patient only. Discard any residue</w:t>
      </w:r>
      <w:r w:rsidRPr="007D15F2">
        <w:rPr>
          <w:lang w:val="en-AU"/>
        </w:rPr>
        <w:t>.</w:t>
      </w:r>
    </w:p>
    <w:p w14:paraId="31ECCC4B" w14:textId="77777777" w:rsidR="00FD1F94" w:rsidRDefault="00FD1F94" w:rsidP="00C77721">
      <w:pPr>
        <w:pStyle w:val="Heading2"/>
      </w:pPr>
      <w:r>
        <w:t>SPECIAL PRECAUTIONS FOR STORAGE</w:t>
      </w:r>
    </w:p>
    <w:p w14:paraId="646632A2" w14:textId="77777777" w:rsidR="00FD1F94" w:rsidRPr="00C77721" w:rsidRDefault="007D15F2" w:rsidP="00D44718">
      <w:pPr>
        <w:jc w:val="both"/>
      </w:pPr>
      <w:r w:rsidRPr="007D15F2">
        <w:t>Store in the original package. Do not store above 30 °C. Do not freeze, do not refrigerate.</w:t>
      </w:r>
    </w:p>
    <w:p w14:paraId="3FB16571" w14:textId="77777777" w:rsidR="00FD1F94" w:rsidRDefault="00FD1F94" w:rsidP="00C77721">
      <w:pPr>
        <w:pStyle w:val="Heading2"/>
      </w:pPr>
      <w:r>
        <w:t>NATURE AND CONTENTS OF CONTAINER</w:t>
      </w:r>
    </w:p>
    <w:p w14:paraId="138D6BCE" w14:textId="77777777" w:rsidR="007D15F2" w:rsidRDefault="007D15F2" w:rsidP="00D44718">
      <w:pPr>
        <w:jc w:val="both"/>
      </w:pPr>
      <w:r>
        <w:t xml:space="preserve">2 mL of solution in a vial (type I glass) with </w:t>
      </w:r>
      <w:proofErr w:type="spellStart"/>
      <w:r>
        <w:t>bromobutyl</w:t>
      </w:r>
      <w:proofErr w:type="spellEnd"/>
      <w:r>
        <w:t xml:space="preserve"> rubber stopper and </w:t>
      </w:r>
      <w:proofErr w:type="spellStart"/>
      <w:r>
        <w:t>aluminium</w:t>
      </w:r>
      <w:proofErr w:type="spellEnd"/>
      <w:r>
        <w:t xml:space="preserve"> cap in pack sizes of 1 and 5 vials.</w:t>
      </w:r>
    </w:p>
    <w:p w14:paraId="336D89D0" w14:textId="77777777" w:rsidR="007D15F2" w:rsidRDefault="007D15F2" w:rsidP="00D44718">
      <w:pPr>
        <w:jc w:val="both"/>
      </w:pPr>
      <w:r>
        <w:t xml:space="preserve">10 mL of solution in a vial (type I glass) with </w:t>
      </w:r>
      <w:proofErr w:type="spellStart"/>
      <w:r>
        <w:t>bromobutyl</w:t>
      </w:r>
      <w:proofErr w:type="spellEnd"/>
      <w:r>
        <w:t xml:space="preserve"> rubber stopper and </w:t>
      </w:r>
      <w:proofErr w:type="spellStart"/>
      <w:r>
        <w:t>aluminium</w:t>
      </w:r>
      <w:proofErr w:type="spellEnd"/>
      <w:r>
        <w:t xml:space="preserve"> cap in pack sizes of 1 and 5 vials.</w:t>
      </w:r>
    </w:p>
    <w:p w14:paraId="2A092DAB" w14:textId="77777777" w:rsidR="00C34084" w:rsidRDefault="00C34084" w:rsidP="00C34084">
      <w:pPr>
        <w:jc w:val="both"/>
      </w:pPr>
      <w:r>
        <w:t xml:space="preserve">20 mL of solution in a vial (type I glass) with </w:t>
      </w:r>
      <w:proofErr w:type="spellStart"/>
      <w:r>
        <w:t>bromobutyl</w:t>
      </w:r>
      <w:proofErr w:type="spellEnd"/>
      <w:r>
        <w:t xml:space="preserve"> rubber stopper and </w:t>
      </w:r>
      <w:proofErr w:type="spellStart"/>
      <w:r>
        <w:t>aluminium</w:t>
      </w:r>
      <w:proofErr w:type="spellEnd"/>
      <w:r>
        <w:t xml:space="preserve"> cap in pack sizes of 1 vial.</w:t>
      </w:r>
    </w:p>
    <w:p w14:paraId="3D29B2AB" w14:textId="77777777" w:rsidR="00C34084" w:rsidRDefault="00C34084" w:rsidP="00C34084">
      <w:pPr>
        <w:jc w:val="both"/>
      </w:pPr>
      <w:r>
        <w:t>Not all presentations may be marketed.</w:t>
      </w:r>
    </w:p>
    <w:p w14:paraId="33416478" w14:textId="77777777" w:rsidR="00FD1F94" w:rsidRDefault="00FD1F94" w:rsidP="00C77721">
      <w:pPr>
        <w:pStyle w:val="Heading2"/>
      </w:pPr>
      <w:r>
        <w:t>SPECIAL PRECAUTIONS FOR DISPOSAL</w:t>
      </w:r>
    </w:p>
    <w:p w14:paraId="52E47A29" w14:textId="77777777" w:rsidR="00C34084" w:rsidRPr="007D15F2" w:rsidRDefault="00C34084" w:rsidP="00C34084">
      <w:pPr>
        <w:jc w:val="both"/>
      </w:pPr>
      <w:r w:rsidRPr="007D15F2">
        <w:t>In Australia, any unused medicine or waster material should be disposed of in accordance with local requirements.</w:t>
      </w:r>
    </w:p>
    <w:p w14:paraId="27E6F259" w14:textId="3690F032" w:rsidR="00FD1F94" w:rsidRDefault="00FD1F94" w:rsidP="00414A94">
      <w:pPr>
        <w:pStyle w:val="Heading2"/>
      </w:pPr>
      <w:r>
        <w:t>PHYSICOCHEMICAL PROPERTIES</w:t>
      </w:r>
    </w:p>
    <w:p w14:paraId="61EBF59B" w14:textId="77777777" w:rsidR="00FD1F94" w:rsidRDefault="00FD1F94" w:rsidP="00C77721">
      <w:pPr>
        <w:pStyle w:val="Heading3"/>
        <w:numPr>
          <w:ilvl w:val="0"/>
          <w:numId w:val="0"/>
        </w:numPr>
      </w:pPr>
      <w:r>
        <w:t>Chemical structure</w:t>
      </w:r>
    </w:p>
    <w:p w14:paraId="04629121" w14:textId="77777777" w:rsidR="009D47A0" w:rsidRDefault="007D15F2" w:rsidP="00D44718">
      <w:pPr>
        <w:jc w:val="both"/>
      </w:pPr>
      <w:r w:rsidRPr="00057F28">
        <w:t xml:space="preserve">The active substance of FERINJECT is a complex of </w:t>
      </w:r>
      <w:proofErr w:type="spellStart"/>
      <w:r w:rsidRPr="00057F28">
        <w:t>polynuclear</w:t>
      </w:r>
      <w:proofErr w:type="spellEnd"/>
      <w:r w:rsidRPr="00057F28">
        <w:t xml:space="preserve"> iron(III)-hydroxide with 4(R)-(poly-(1</w:t>
      </w:r>
      <w:r w:rsidRPr="00057F28">
        <w:sym w:font="Symbol" w:char="F0AE"/>
      </w:r>
      <w:r w:rsidRPr="00057F28">
        <w:t>4)-</w:t>
      </w:r>
      <w:r w:rsidRPr="00057F28">
        <w:rPr>
          <w:i/>
        </w:rPr>
        <w:t>O</w:t>
      </w:r>
      <w:r w:rsidRPr="00057F28">
        <w:t>-</w:t>
      </w:r>
      <w:r w:rsidRPr="00057F28">
        <w:sym w:font="Symbol" w:char="F061"/>
      </w:r>
      <w:r w:rsidRPr="00057F28">
        <w:t>-D-</w:t>
      </w:r>
      <w:proofErr w:type="spellStart"/>
      <w:r w:rsidRPr="00057F28">
        <w:t>glucopyranosyl</w:t>
      </w:r>
      <w:proofErr w:type="spellEnd"/>
      <w:r w:rsidRPr="00057F28">
        <w:t xml:space="preserve">)-oxy-2(R),3(S),5(R),6-tetrahydroxy-hexanoate. </w:t>
      </w:r>
    </w:p>
    <w:p w14:paraId="343A1AC5" w14:textId="7E28F597" w:rsidR="007D15F2" w:rsidRPr="00057F28" w:rsidRDefault="007D15F2" w:rsidP="00D44718">
      <w:pPr>
        <w:jc w:val="both"/>
      </w:pPr>
      <w:r w:rsidRPr="00057F28">
        <w:t>The relative molecular weight is approximately 150,000 Da, corresponding to the empirical formula:</w:t>
      </w:r>
    </w:p>
    <w:p w14:paraId="3421BAC7" w14:textId="77777777" w:rsidR="007D15F2" w:rsidRPr="00057F28" w:rsidRDefault="007D15F2" w:rsidP="00D44718">
      <w:pPr>
        <w:jc w:val="both"/>
        <w:rPr>
          <w:lang w:val="pt-PT"/>
        </w:rPr>
      </w:pPr>
      <w:r w:rsidRPr="00057F28">
        <w:rPr>
          <w:lang w:val="pt-PT"/>
        </w:rPr>
        <w:t>[FeO</w:t>
      </w:r>
      <w:r w:rsidRPr="00057F28">
        <w:rPr>
          <w:vertAlign w:val="subscript"/>
          <w:lang w:val="pt-PT"/>
        </w:rPr>
        <w:t>x</w:t>
      </w:r>
      <w:r w:rsidRPr="00057F28">
        <w:rPr>
          <w:lang w:val="pt-PT"/>
        </w:rPr>
        <w:t>(OH)</w:t>
      </w:r>
      <w:r w:rsidRPr="00057F28">
        <w:rPr>
          <w:vertAlign w:val="subscript"/>
          <w:lang w:val="pt-PT"/>
        </w:rPr>
        <w:t>y</w:t>
      </w:r>
      <w:r w:rsidRPr="00057F28">
        <w:rPr>
          <w:lang w:val="pt-PT"/>
        </w:rPr>
        <w:t>(H</w:t>
      </w:r>
      <w:r w:rsidRPr="00057F28">
        <w:rPr>
          <w:vertAlign w:val="subscript"/>
          <w:lang w:val="pt-PT"/>
        </w:rPr>
        <w:t>2</w:t>
      </w:r>
      <w:r w:rsidRPr="00057F28">
        <w:rPr>
          <w:lang w:val="pt-PT"/>
        </w:rPr>
        <w:t>O)</w:t>
      </w:r>
      <w:r w:rsidRPr="00057F28">
        <w:rPr>
          <w:vertAlign w:val="subscript"/>
          <w:lang w:val="pt-PT"/>
        </w:rPr>
        <w:t>z</w:t>
      </w:r>
      <w:r w:rsidRPr="00057F28">
        <w:rPr>
          <w:lang w:val="pt-PT"/>
        </w:rPr>
        <w:t>]</w:t>
      </w:r>
      <w:r w:rsidRPr="00057F28">
        <w:rPr>
          <w:vertAlign w:val="subscript"/>
          <w:lang w:val="pt-PT"/>
        </w:rPr>
        <w:t>n</w:t>
      </w:r>
      <w:r w:rsidRPr="00057F28">
        <w:rPr>
          <w:lang w:val="pt-PT"/>
        </w:rPr>
        <w:t xml:space="preserve"> [</w:t>
      </w:r>
      <w:r w:rsidRPr="00057F28">
        <w:sym w:font="Symbol" w:char="F07B"/>
      </w:r>
      <w:r w:rsidRPr="00057F28">
        <w:rPr>
          <w:lang w:val="pt-PT"/>
        </w:rPr>
        <w:t>(C</w:t>
      </w:r>
      <w:r w:rsidRPr="00057F28">
        <w:rPr>
          <w:vertAlign w:val="subscript"/>
          <w:lang w:val="pt-PT"/>
        </w:rPr>
        <w:t>6</w:t>
      </w:r>
      <w:r w:rsidRPr="00057F28">
        <w:rPr>
          <w:lang w:val="pt-PT"/>
        </w:rPr>
        <w:t>H</w:t>
      </w:r>
      <w:r w:rsidRPr="00057F28">
        <w:rPr>
          <w:vertAlign w:val="subscript"/>
          <w:lang w:val="pt-PT"/>
        </w:rPr>
        <w:t>10</w:t>
      </w:r>
      <w:r w:rsidRPr="00057F28">
        <w:rPr>
          <w:lang w:val="pt-PT"/>
        </w:rPr>
        <w:t>O</w:t>
      </w:r>
      <w:r w:rsidRPr="00057F28">
        <w:rPr>
          <w:vertAlign w:val="subscript"/>
          <w:lang w:val="pt-PT"/>
        </w:rPr>
        <w:t>5</w:t>
      </w:r>
      <w:r w:rsidRPr="00057F28">
        <w:rPr>
          <w:lang w:val="pt-PT"/>
        </w:rPr>
        <w:t>)</w:t>
      </w:r>
      <w:r w:rsidRPr="00057F28">
        <w:rPr>
          <w:vertAlign w:val="subscript"/>
          <w:lang w:val="pt-PT"/>
        </w:rPr>
        <w:t>m</w:t>
      </w:r>
      <w:r w:rsidRPr="00057F28">
        <w:rPr>
          <w:lang w:val="pt-PT"/>
        </w:rPr>
        <w:t xml:space="preserve"> (C</w:t>
      </w:r>
      <w:r w:rsidRPr="00057F28">
        <w:rPr>
          <w:vertAlign w:val="subscript"/>
          <w:lang w:val="pt-PT"/>
        </w:rPr>
        <w:t>6</w:t>
      </w:r>
      <w:r w:rsidRPr="00057F28">
        <w:rPr>
          <w:lang w:val="pt-PT"/>
        </w:rPr>
        <w:t>H</w:t>
      </w:r>
      <w:r w:rsidRPr="00057F28">
        <w:rPr>
          <w:vertAlign w:val="subscript"/>
          <w:lang w:val="pt-PT"/>
        </w:rPr>
        <w:t>12</w:t>
      </w:r>
      <w:r w:rsidRPr="00057F28">
        <w:rPr>
          <w:lang w:val="pt-PT"/>
        </w:rPr>
        <w:t>O</w:t>
      </w:r>
      <w:r w:rsidRPr="00057F28">
        <w:rPr>
          <w:vertAlign w:val="subscript"/>
          <w:lang w:val="pt-PT"/>
        </w:rPr>
        <w:t>7</w:t>
      </w:r>
      <w:r w:rsidRPr="00057F28">
        <w:rPr>
          <w:lang w:val="pt-PT"/>
        </w:rPr>
        <w:t>)</w:t>
      </w:r>
      <w:r w:rsidRPr="00057F28">
        <w:sym w:font="Symbol" w:char="F07D"/>
      </w:r>
      <w:r w:rsidRPr="00057F28">
        <w:rPr>
          <w:vertAlign w:val="subscript"/>
          <w:lang w:val="pt-PT"/>
        </w:rPr>
        <w:t>l</w:t>
      </w:r>
      <w:r w:rsidRPr="00057F28">
        <w:rPr>
          <w:lang w:val="pt-PT"/>
        </w:rPr>
        <w:t>]</w:t>
      </w:r>
      <w:r w:rsidRPr="00057F28">
        <w:rPr>
          <w:vertAlign w:val="subscript"/>
          <w:lang w:val="pt-PT"/>
        </w:rPr>
        <w:t>k</w:t>
      </w:r>
      <w:r w:rsidRPr="00057F28">
        <w:rPr>
          <w:lang w:val="pt-PT"/>
        </w:rPr>
        <w:t xml:space="preserve">, where n </w:t>
      </w:r>
      <w:r w:rsidRPr="00057F28">
        <w:sym w:font="Symbol" w:char="F0BB"/>
      </w:r>
      <w:r w:rsidRPr="00057F28">
        <w:rPr>
          <w:lang w:val="pt-PT"/>
        </w:rPr>
        <w:t xml:space="preserve"> 10</w:t>
      </w:r>
      <w:r w:rsidRPr="00057F28">
        <w:rPr>
          <w:vertAlign w:val="superscript"/>
          <w:lang w:val="pt-PT"/>
        </w:rPr>
        <w:t>3</w:t>
      </w:r>
      <w:r w:rsidRPr="00057F28">
        <w:rPr>
          <w:lang w:val="pt-PT"/>
        </w:rPr>
        <w:t xml:space="preserve">, m </w:t>
      </w:r>
      <w:r w:rsidRPr="00057F28">
        <w:sym w:font="Symbol" w:char="F0BB"/>
      </w:r>
      <w:r w:rsidRPr="00057F28">
        <w:rPr>
          <w:lang w:val="pt-PT"/>
        </w:rPr>
        <w:t xml:space="preserve"> 8, l </w:t>
      </w:r>
      <w:r w:rsidRPr="00057F28">
        <w:sym w:font="Symbol" w:char="F0BB"/>
      </w:r>
      <w:r w:rsidRPr="00057F28">
        <w:rPr>
          <w:lang w:val="pt-PT"/>
        </w:rPr>
        <w:t xml:space="preserve"> 11, and k </w:t>
      </w:r>
      <w:r w:rsidRPr="00057F28">
        <w:sym w:font="Symbol" w:char="F0BB"/>
      </w:r>
      <w:r w:rsidRPr="00057F28">
        <w:rPr>
          <w:lang w:val="pt-PT"/>
        </w:rPr>
        <w:t xml:space="preserve"> 4.</w:t>
      </w:r>
    </w:p>
    <w:p w14:paraId="0D073B83" w14:textId="77777777" w:rsidR="00FD1F94" w:rsidRPr="00C77721" w:rsidRDefault="00FD1F94" w:rsidP="00C77721">
      <w:pPr>
        <w:pStyle w:val="Heading3"/>
        <w:numPr>
          <w:ilvl w:val="0"/>
          <w:numId w:val="0"/>
        </w:numPr>
      </w:pPr>
      <w:r w:rsidRPr="00C77721">
        <w:t>CAS number</w:t>
      </w:r>
    </w:p>
    <w:p w14:paraId="6982D48C" w14:textId="77777777" w:rsidR="007D15F2" w:rsidRPr="00057F28" w:rsidRDefault="007D15F2" w:rsidP="007D15F2">
      <w:pPr>
        <w:rPr>
          <w:u w:val="single"/>
        </w:rPr>
      </w:pPr>
      <w:r w:rsidRPr="00057F28">
        <w:t>1461680-64-7</w:t>
      </w:r>
    </w:p>
    <w:p w14:paraId="5B20F565" w14:textId="77777777" w:rsidR="00FD1F94" w:rsidRDefault="00FD1F94" w:rsidP="00C77721">
      <w:pPr>
        <w:pStyle w:val="Heading1"/>
        <w:pageBreakBefore w:val="0"/>
      </w:pPr>
      <w:r>
        <w:lastRenderedPageBreak/>
        <w:t>MEDICINE SCHEDULE (POISONS STANDARD)</w:t>
      </w:r>
    </w:p>
    <w:p w14:paraId="1A730B2C" w14:textId="77777777" w:rsidR="00FD1F94" w:rsidRPr="00C77721" w:rsidRDefault="007D15F2" w:rsidP="00C77721">
      <w:r>
        <w:t>S4</w:t>
      </w:r>
    </w:p>
    <w:p w14:paraId="4A80448A" w14:textId="77777777" w:rsidR="00FD1F94" w:rsidRDefault="00FD1F94" w:rsidP="00C77721">
      <w:pPr>
        <w:pStyle w:val="Heading1"/>
        <w:pageBreakBefore w:val="0"/>
      </w:pPr>
      <w:r>
        <w:t>SPONSOR</w:t>
      </w:r>
    </w:p>
    <w:p w14:paraId="35D24CC2" w14:textId="77777777" w:rsidR="007D15F2" w:rsidRDefault="007D15F2" w:rsidP="007D15F2">
      <w:r>
        <w:t>Vifor Pharma Pty Ltd</w:t>
      </w:r>
    </w:p>
    <w:p w14:paraId="5FD77429" w14:textId="77777777" w:rsidR="007D15F2" w:rsidRDefault="007D15F2" w:rsidP="007D15F2">
      <w:pPr>
        <w:spacing w:before="0"/>
      </w:pPr>
      <w:r>
        <w:t>Level 8, 80 Dorcas Street</w:t>
      </w:r>
    </w:p>
    <w:p w14:paraId="67901FE2" w14:textId="77777777" w:rsidR="007D15F2" w:rsidRDefault="007D15F2" w:rsidP="007D15F2">
      <w:pPr>
        <w:spacing w:before="0"/>
      </w:pPr>
      <w:r>
        <w:t>South Bank, Melbourne VIC 3006</w:t>
      </w:r>
    </w:p>
    <w:p w14:paraId="1F241CE3" w14:textId="77777777" w:rsidR="007D15F2" w:rsidRDefault="007D15F2" w:rsidP="007D15F2">
      <w:pPr>
        <w:spacing w:before="0"/>
      </w:pPr>
      <w:r>
        <w:t>Australia</w:t>
      </w:r>
    </w:p>
    <w:p w14:paraId="6B8AC46A" w14:textId="3149555D" w:rsidR="00DC2D4D" w:rsidRDefault="00DC2D4D" w:rsidP="007D15F2">
      <w:pPr>
        <w:spacing w:before="0"/>
      </w:pPr>
      <w:r w:rsidRPr="00DC2D4D">
        <w:t>Ph 1800 202 674</w:t>
      </w:r>
    </w:p>
    <w:p w14:paraId="4774E6A3" w14:textId="77777777" w:rsidR="00FD1F94" w:rsidRDefault="00FD1F94" w:rsidP="00C77721">
      <w:pPr>
        <w:pStyle w:val="Heading1"/>
        <w:pageBreakBefore w:val="0"/>
      </w:pPr>
      <w:bookmarkStart w:id="8" w:name="page8"/>
      <w:bookmarkEnd w:id="8"/>
      <w:r>
        <w:t>DATE OF FIRST APPROVAL</w:t>
      </w:r>
    </w:p>
    <w:p w14:paraId="6AC0E191" w14:textId="77777777" w:rsidR="00FD1F94" w:rsidRPr="00C77721" w:rsidRDefault="007D15F2" w:rsidP="00C77721">
      <w:r>
        <w:t>05 April 2011</w:t>
      </w:r>
    </w:p>
    <w:p w14:paraId="049A562A" w14:textId="77777777" w:rsidR="00FD1F94" w:rsidRDefault="00FD1F94" w:rsidP="00C77721">
      <w:pPr>
        <w:pStyle w:val="Heading1"/>
        <w:pageBreakBefore w:val="0"/>
      </w:pPr>
      <w:r>
        <w:t>DATE OF REVISION</w:t>
      </w:r>
    </w:p>
    <w:p w14:paraId="2FE83E9C" w14:textId="1807FE0C" w:rsidR="00C43842" w:rsidRPr="00C77721" w:rsidRDefault="00D93FF1" w:rsidP="00C77721">
      <w:r>
        <w:t>29 May 2018</w:t>
      </w:r>
    </w:p>
    <w:p w14:paraId="7BB6A6BB" w14:textId="77777777" w:rsidR="00FD1F94" w:rsidRDefault="00FD1F94" w:rsidP="00C77721">
      <w:pPr>
        <w:pStyle w:val="Heading3"/>
        <w:numPr>
          <w:ilvl w:val="0"/>
          <w:numId w:val="0"/>
        </w:numPr>
      </w:pPr>
      <w:r>
        <w:t>SUMMARY TABLE OF CHANGES</w:t>
      </w:r>
    </w:p>
    <w:p w14:paraId="29275FC0" w14:textId="77777777" w:rsidR="005122FF" w:rsidRDefault="005122FF" w:rsidP="005122FF"/>
    <w:tbl>
      <w:tblPr>
        <w:tblW w:w="9180" w:type="dxa"/>
        <w:tblInd w:w="10" w:type="dxa"/>
        <w:tblLayout w:type="fixed"/>
        <w:tblCellMar>
          <w:left w:w="0" w:type="dxa"/>
          <w:right w:w="0" w:type="dxa"/>
        </w:tblCellMar>
        <w:tblLook w:val="0000" w:firstRow="0" w:lastRow="0" w:firstColumn="0" w:lastColumn="0" w:noHBand="0" w:noVBand="0"/>
      </w:tblPr>
      <w:tblGrid>
        <w:gridCol w:w="2127"/>
        <w:gridCol w:w="7053"/>
      </w:tblGrid>
      <w:tr w:rsidR="00FD1F94" w14:paraId="36479B7F" w14:textId="77777777" w:rsidTr="00FD1F94">
        <w:trPr>
          <w:trHeight w:val="366"/>
        </w:trPr>
        <w:tc>
          <w:tcPr>
            <w:tcW w:w="2127" w:type="dxa"/>
            <w:tcBorders>
              <w:top w:val="single" w:sz="8" w:space="0" w:color="002C47"/>
              <w:left w:val="single" w:sz="8" w:space="0" w:color="002C47"/>
              <w:bottom w:val="single" w:sz="4" w:space="0" w:color="auto"/>
              <w:right w:val="single" w:sz="8" w:space="0" w:color="auto"/>
            </w:tcBorders>
            <w:shd w:val="clear" w:color="auto" w:fill="F2F2F2"/>
            <w:vAlign w:val="bottom"/>
          </w:tcPr>
          <w:p w14:paraId="6691207D" w14:textId="77777777" w:rsidR="00FD1F94" w:rsidRDefault="00FD1F94" w:rsidP="005122FF">
            <w:pPr>
              <w:spacing w:line="0" w:lineRule="atLeast"/>
              <w:ind w:left="120"/>
              <w:jc w:val="center"/>
              <w:rPr>
                <w:rFonts w:ascii="Cambria" w:eastAsia="Cambria" w:hAnsi="Cambria"/>
                <w:b/>
                <w:sz w:val="22"/>
              </w:rPr>
            </w:pPr>
            <w:r>
              <w:rPr>
                <w:rFonts w:ascii="Cambria" w:eastAsia="Cambria" w:hAnsi="Cambria"/>
                <w:b/>
                <w:sz w:val="22"/>
              </w:rPr>
              <w:t>Section</w:t>
            </w:r>
            <w:r w:rsidR="005122FF">
              <w:rPr>
                <w:rFonts w:ascii="Cambria" w:eastAsia="Cambria" w:hAnsi="Cambria"/>
                <w:b/>
                <w:sz w:val="22"/>
              </w:rPr>
              <w:br/>
            </w:r>
            <w:r w:rsidR="00C77721">
              <w:rPr>
                <w:rFonts w:ascii="Cambria" w:eastAsia="Cambria" w:hAnsi="Cambria"/>
                <w:b/>
                <w:sz w:val="22"/>
              </w:rPr>
              <w:t>changed</w:t>
            </w:r>
          </w:p>
        </w:tc>
        <w:tc>
          <w:tcPr>
            <w:tcW w:w="7053" w:type="dxa"/>
            <w:tcBorders>
              <w:top w:val="single" w:sz="8" w:space="0" w:color="002C47"/>
              <w:bottom w:val="single" w:sz="4" w:space="0" w:color="auto"/>
              <w:right w:val="single" w:sz="8" w:space="0" w:color="002C47"/>
            </w:tcBorders>
            <w:shd w:val="clear" w:color="auto" w:fill="F2F2F2"/>
            <w:vAlign w:val="bottom"/>
          </w:tcPr>
          <w:p w14:paraId="68985025" w14:textId="77777777" w:rsidR="00FD1F94" w:rsidRDefault="00FD1F94">
            <w:pPr>
              <w:spacing w:line="0" w:lineRule="atLeast"/>
              <w:ind w:left="100"/>
              <w:rPr>
                <w:rFonts w:ascii="Cambria" w:eastAsia="Cambria" w:hAnsi="Cambria"/>
                <w:b/>
                <w:sz w:val="22"/>
              </w:rPr>
            </w:pPr>
            <w:r>
              <w:rPr>
                <w:rFonts w:ascii="Cambria" w:eastAsia="Cambria" w:hAnsi="Cambria"/>
                <w:b/>
                <w:sz w:val="22"/>
              </w:rPr>
              <w:t>Summary of new information</w:t>
            </w:r>
          </w:p>
        </w:tc>
      </w:tr>
      <w:tr w:rsidR="00C34084" w14:paraId="55928D7E" w14:textId="77777777" w:rsidTr="00C77721">
        <w:trPr>
          <w:trHeight w:val="498"/>
        </w:trPr>
        <w:tc>
          <w:tcPr>
            <w:tcW w:w="2127" w:type="dxa"/>
            <w:tcBorders>
              <w:top w:val="single" w:sz="4" w:space="0" w:color="auto"/>
              <w:left w:val="single" w:sz="8" w:space="0" w:color="002C47"/>
              <w:bottom w:val="single" w:sz="8" w:space="0" w:color="002C47"/>
              <w:right w:val="single" w:sz="8" w:space="0" w:color="002C47"/>
            </w:tcBorders>
            <w:shd w:val="clear" w:color="auto" w:fill="auto"/>
            <w:vAlign w:val="bottom"/>
          </w:tcPr>
          <w:p w14:paraId="74251ADE" w14:textId="4C40D87B" w:rsidR="00C34084" w:rsidRPr="004875A4" w:rsidRDefault="00C34084" w:rsidP="006A60B4">
            <w:pPr>
              <w:spacing w:before="0" w:line="0" w:lineRule="atLeast"/>
              <w:jc w:val="center"/>
              <w:rPr>
                <w:b/>
              </w:rPr>
            </w:pPr>
            <w:r w:rsidRPr="004875A4">
              <w:rPr>
                <w:b/>
              </w:rPr>
              <w:t>All</w:t>
            </w:r>
          </w:p>
        </w:tc>
        <w:tc>
          <w:tcPr>
            <w:tcW w:w="7053" w:type="dxa"/>
            <w:tcBorders>
              <w:top w:val="single" w:sz="4" w:space="0" w:color="auto"/>
              <w:bottom w:val="single" w:sz="8" w:space="0" w:color="002C47"/>
              <w:right w:val="single" w:sz="8" w:space="0" w:color="002C47"/>
            </w:tcBorders>
            <w:shd w:val="clear" w:color="auto" w:fill="auto"/>
            <w:vAlign w:val="bottom"/>
          </w:tcPr>
          <w:p w14:paraId="4E84BEA5" w14:textId="6EBDD234" w:rsidR="00C34084" w:rsidRPr="004875A4" w:rsidRDefault="00C34084" w:rsidP="00C34084">
            <w:pPr>
              <w:spacing w:before="0" w:line="0" w:lineRule="atLeast"/>
            </w:pPr>
            <w:r w:rsidRPr="004875A4">
              <w:t>PI reformatted</w:t>
            </w:r>
            <w:r>
              <w:t xml:space="preserve"> to comply with the TGA form</w:t>
            </w:r>
            <w:r w:rsidRPr="004875A4">
              <w:t>.</w:t>
            </w:r>
          </w:p>
        </w:tc>
      </w:tr>
      <w:tr w:rsidR="00C34084" w14:paraId="0D231B55" w14:textId="77777777" w:rsidTr="00C77721">
        <w:trPr>
          <w:trHeight w:val="489"/>
        </w:trPr>
        <w:tc>
          <w:tcPr>
            <w:tcW w:w="2127" w:type="dxa"/>
            <w:tcBorders>
              <w:left w:val="single" w:sz="8" w:space="0" w:color="002C47"/>
              <w:bottom w:val="single" w:sz="8" w:space="0" w:color="002C47"/>
              <w:right w:val="single" w:sz="8" w:space="0" w:color="002C47"/>
            </w:tcBorders>
            <w:shd w:val="clear" w:color="auto" w:fill="auto"/>
            <w:vAlign w:val="bottom"/>
          </w:tcPr>
          <w:p w14:paraId="724AF489" w14:textId="59A8A1E5" w:rsidR="00C34084" w:rsidRPr="004875A4" w:rsidRDefault="00C34084" w:rsidP="006A60B4">
            <w:pPr>
              <w:spacing w:before="0" w:line="0" w:lineRule="atLeast"/>
              <w:jc w:val="center"/>
              <w:rPr>
                <w:b/>
              </w:rPr>
            </w:pPr>
            <w:r w:rsidRPr="004875A4">
              <w:rPr>
                <w:b/>
              </w:rPr>
              <w:t>2</w:t>
            </w:r>
          </w:p>
        </w:tc>
        <w:tc>
          <w:tcPr>
            <w:tcW w:w="7053" w:type="dxa"/>
            <w:tcBorders>
              <w:bottom w:val="single" w:sz="8" w:space="0" w:color="002C47"/>
              <w:right w:val="single" w:sz="8" w:space="0" w:color="002C47"/>
            </w:tcBorders>
            <w:shd w:val="clear" w:color="auto" w:fill="auto"/>
            <w:vAlign w:val="bottom"/>
          </w:tcPr>
          <w:p w14:paraId="40941CD6" w14:textId="4AD7426E" w:rsidR="00C34084" w:rsidRPr="00DC65D0" w:rsidRDefault="00C34084" w:rsidP="00C34084">
            <w:pPr>
              <w:spacing w:before="0" w:line="0" w:lineRule="atLeast"/>
            </w:pPr>
            <w:r w:rsidRPr="00DC65D0">
              <w:t>Addition of 1000 mg/20 mL strength.</w:t>
            </w:r>
          </w:p>
        </w:tc>
      </w:tr>
      <w:tr w:rsidR="00C34084" w14:paraId="790192CA" w14:textId="77777777" w:rsidTr="00C77721">
        <w:trPr>
          <w:trHeight w:val="488"/>
        </w:trPr>
        <w:tc>
          <w:tcPr>
            <w:tcW w:w="2127" w:type="dxa"/>
            <w:tcBorders>
              <w:left w:val="single" w:sz="8" w:space="0" w:color="002C47"/>
              <w:bottom w:val="single" w:sz="8" w:space="0" w:color="002C47"/>
              <w:right w:val="single" w:sz="8" w:space="0" w:color="002C47"/>
            </w:tcBorders>
            <w:shd w:val="clear" w:color="auto" w:fill="auto"/>
            <w:vAlign w:val="bottom"/>
          </w:tcPr>
          <w:p w14:paraId="16DC3A56" w14:textId="3557A7A8" w:rsidR="00C34084" w:rsidRPr="004875A4" w:rsidRDefault="00C34084" w:rsidP="006A60B4">
            <w:pPr>
              <w:spacing w:before="0" w:line="0" w:lineRule="atLeast"/>
              <w:jc w:val="center"/>
              <w:rPr>
                <w:b/>
              </w:rPr>
            </w:pPr>
            <w:r w:rsidRPr="004875A4">
              <w:rPr>
                <w:b/>
              </w:rPr>
              <w:t>4.2</w:t>
            </w:r>
          </w:p>
        </w:tc>
        <w:tc>
          <w:tcPr>
            <w:tcW w:w="7053" w:type="dxa"/>
            <w:tcBorders>
              <w:bottom w:val="single" w:sz="8" w:space="0" w:color="002C47"/>
              <w:right w:val="single" w:sz="8" w:space="0" w:color="002C47"/>
            </w:tcBorders>
            <w:shd w:val="clear" w:color="auto" w:fill="auto"/>
            <w:vAlign w:val="bottom"/>
          </w:tcPr>
          <w:p w14:paraId="3E47DBF7" w14:textId="77777777" w:rsidR="00C34084" w:rsidRPr="00DC65D0" w:rsidRDefault="00C34084" w:rsidP="00C34084">
            <w:pPr>
              <w:spacing w:before="0" w:line="0" w:lineRule="atLeast"/>
            </w:pPr>
            <w:r w:rsidRPr="00DC65D0">
              <w:t>Cumulative dose table updated.</w:t>
            </w:r>
          </w:p>
          <w:p w14:paraId="12FFC3A7" w14:textId="65CE5FAE" w:rsidR="00C34084" w:rsidRPr="00DC65D0" w:rsidRDefault="00C34084" w:rsidP="00C34084">
            <w:pPr>
              <w:spacing w:before="0" w:line="0" w:lineRule="atLeast"/>
            </w:pPr>
            <w:r w:rsidRPr="00DC65D0">
              <w:t>Recommendations on dosage during pregnancy added.</w:t>
            </w:r>
          </w:p>
        </w:tc>
      </w:tr>
      <w:tr w:rsidR="00C34084" w14:paraId="12A7DDC9" w14:textId="77777777" w:rsidTr="00C77721">
        <w:trPr>
          <w:trHeight w:val="488"/>
        </w:trPr>
        <w:tc>
          <w:tcPr>
            <w:tcW w:w="2127" w:type="dxa"/>
            <w:tcBorders>
              <w:left w:val="single" w:sz="8" w:space="0" w:color="002C47"/>
              <w:bottom w:val="single" w:sz="8" w:space="0" w:color="002C47"/>
              <w:right w:val="single" w:sz="8" w:space="0" w:color="002C47"/>
            </w:tcBorders>
            <w:shd w:val="clear" w:color="auto" w:fill="auto"/>
            <w:vAlign w:val="bottom"/>
          </w:tcPr>
          <w:p w14:paraId="4C694745" w14:textId="7EC7AD39" w:rsidR="00C34084" w:rsidRPr="004875A4" w:rsidRDefault="00C34084" w:rsidP="006A60B4">
            <w:pPr>
              <w:spacing w:before="0" w:line="0" w:lineRule="atLeast"/>
              <w:jc w:val="center"/>
              <w:rPr>
                <w:b/>
              </w:rPr>
            </w:pPr>
            <w:r w:rsidRPr="004875A4">
              <w:rPr>
                <w:b/>
              </w:rPr>
              <w:t>4.6</w:t>
            </w:r>
          </w:p>
        </w:tc>
        <w:tc>
          <w:tcPr>
            <w:tcW w:w="7053" w:type="dxa"/>
            <w:tcBorders>
              <w:bottom w:val="single" w:sz="8" w:space="0" w:color="002C47"/>
              <w:right w:val="single" w:sz="8" w:space="0" w:color="002C47"/>
            </w:tcBorders>
            <w:shd w:val="clear" w:color="auto" w:fill="auto"/>
            <w:vAlign w:val="bottom"/>
          </w:tcPr>
          <w:p w14:paraId="7DDFED84" w14:textId="6EAE704F" w:rsidR="00C34084" w:rsidRPr="00DC65D0" w:rsidRDefault="00C34084" w:rsidP="00C34084">
            <w:pPr>
              <w:spacing w:before="0" w:line="0" w:lineRule="atLeast"/>
            </w:pPr>
            <w:r w:rsidRPr="00DC65D0">
              <w:t>Use in pregnancy details updated.</w:t>
            </w:r>
          </w:p>
        </w:tc>
      </w:tr>
      <w:tr w:rsidR="00C34084" w14:paraId="17769C0B" w14:textId="77777777" w:rsidTr="00C77721">
        <w:trPr>
          <w:trHeight w:val="488"/>
        </w:trPr>
        <w:tc>
          <w:tcPr>
            <w:tcW w:w="2127" w:type="dxa"/>
            <w:tcBorders>
              <w:left w:val="single" w:sz="8" w:space="0" w:color="002C47"/>
              <w:bottom w:val="single" w:sz="8" w:space="0" w:color="002C47"/>
              <w:right w:val="single" w:sz="8" w:space="0" w:color="002C47"/>
            </w:tcBorders>
            <w:shd w:val="clear" w:color="auto" w:fill="auto"/>
            <w:vAlign w:val="bottom"/>
          </w:tcPr>
          <w:p w14:paraId="4CF4332C" w14:textId="4D4D51B4" w:rsidR="00C34084" w:rsidRPr="004875A4" w:rsidRDefault="00C34084" w:rsidP="006A60B4">
            <w:pPr>
              <w:spacing w:before="0" w:line="0" w:lineRule="atLeast"/>
              <w:jc w:val="center"/>
              <w:rPr>
                <w:b/>
              </w:rPr>
            </w:pPr>
            <w:r w:rsidRPr="004875A4">
              <w:rPr>
                <w:b/>
              </w:rPr>
              <w:t>4.8</w:t>
            </w:r>
          </w:p>
        </w:tc>
        <w:tc>
          <w:tcPr>
            <w:tcW w:w="7053" w:type="dxa"/>
            <w:tcBorders>
              <w:bottom w:val="single" w:sz="8" w:space="0" w:color="002C47"/>
              <w:right w:val="single" w:sz="8" w:space="0" w:color="002C47"/>
            </w:tcBorders>
            <w:shd w:val="clear" w:color="auto" w:fill="auto"/>
            <w:vAlign w:val="bottom"/>
          </w:tcPr>
          <w:p w14:paraId="4F5BFFF1" w14:textId="62B8FC6D" w:rsidR="00C34084" w:rsidRPr="00DC65D0" w:rsidRDefault="00C34084" w:rsidP="00C34084">
            <w:pPr>
              <w:spacing w:before="0" w:line="0" w:lineRule="atLeast"/>
            </w:pPr>
            <w:r w:rsidRPr="00DC65D0">
              <w:t>Updated to reflect new data and to include reports in pregnancy cases.</w:t>
            </w:r>
          </w:p>
        </w:tc>
      </w:tr>
      <w:tr w:rsidR="00C34084" w14:paraId="2D174404" w14:textId="77777777" w:rsidTr="00C77721">
        <w:trPr>
          <w:trHeight w:val="488"/>
        </w:trPr>
        <w:tc>
          <w:tcPr>
            <w:tcW w:w="2127" w:type="dxa"/>
            <w:tcBorders>
              <w:left w:val="single" w:sz="8" w:space="0" w:color="002C47"/>
              <w:bottom w:val="single" w:sz="8" w:space="0" w:color="002C47"/>
              <w:right w:val="single" w:sz="8" w:space="0" w:color="002C47"/>
            </w:tcBorders>
            <w:shd w:val="clear" w:color="auto" w:fill="auto"/>
            <w:vAlign w:val="bottom"/>
          </w:tcPr>
          <w:p w14:paraId="3C4CFD28" w14:textId="2A4432BF" w:rsidR="00C34084" w:rsidRPr="004875A4" w:rsidRDefault="00C34084" w:rsidP="006A60B4">
            <w:pPr>
              <w:spacing w:before="0" w:line="0" w:lineRule="atLeast"/>
              <w:jc w:val="center"/>
              <w:rPr>
                <w:b/>
              </w:rPr>
            </w:pPr>
            <w:r w:rsidRPr="004875A4">
              <w:rPr>
                <w:b/>
              </w:rPr>
              <w:t>5.1</w:t>
            </w:r>
          </w:p>
        </w:tc>
        <w:tc>
          <w:tcPr>
            <w:tcW w:w="7053" w:type="dxa"/>
            <w:tcBorders>
              <w:bottom w:val="single" w:sz="8" w:space="0" w:color="002C47"/>
              <w:right w:val="single" w:sz="8" w:space="0" w:color="002C47"/>
            </w:tcBorders>
            <w:shd w:val="clear" w:color="auto" w:fill="auto"/>
            <w:vAlign w:val="bottom"/>
          </w:tcPr>
          <w:p w14:paraId="7098B2FB" w14:textId="631B27EF" w:rsidR="00C34084" w:rsidRPr="00DC65D0" w:rsidRDefault="00C34084" w:rsidP="00C34084">
            <w:pPr>
              <w:spacing w:before="0" w:line="0" w:lineRule="atLeast"/>
            </w:pPr>
            <w:r w:rsidRPr="00DC65D0">
              <w:t>Updates to clinical trials in pregnancy and chronic heart failure.</w:t>
            </w:r>
          </w:p>
        </w:tc>
      </w:tr>
      <w:tr w:rsidR="00C34084" w14:paraId="2A22B358" w14:textId="77777777" w:rsidTr="00C77721">
        <w:trPr>
          <w:trHeight w:val="488"/>
        </w:trPr>
        <w:tc>
          <w:tcPr>
            <w:tcW w:w="2127" w:type="dxa"/>
            <w:tcBorders>
              <w:left w:val="single" w:sz="8" w:space="0" w:color="002C47"/>
              <w:bottom w:val="single" w:sz="8" w:space="0" w:color="002C47"/>
              <w:right w:val="single" w:sz="8" w:space="0" w:color="002C47"/>
            </w:tcBorders>
            <w:shd w:val="clear" w:color="auto" w:fill="auto"/>
            <w:vAlign w:val="bottom"/>
          </w:tcPr>
          <w:p w14:paraId="7099189B" w14:textId="155B8063" w:rsidR="00C34084" w:rsidRPr="004875A4" w:rsidRDefault="00C34084" w:rsidP="006A60B4">
            <w:pPr>
              <w:spacing w:before="0" w:line="0" w:lineRule="atLeast"/>
              <w:jc w:val="center"/>
              <w:rPr>
                <w:b/>
              </w:rPr>
            </w:pPr>
            <w:r w:rsidRPr="004875A4">
              <w:rPr>
                <w:b/>
              </w:rPr>
              <w:t>6.5</w:t>
            </w:r>
          </w:p>
        </w:tc>
        <w:tc>
          <w:tcPr>
            <w:tcW w:w="7053" w:type="dxa"/>
            <w:tcBorders>
              <w:bottom w:val="single" w:sz="8" w:space="0" w:color="002C47"/>
              <w:right w:val="single" w:sz="8" w:space="0" w:color="002C47"/>
            </w:tcBorders>
            <w:shd w:val="clear" w:color="auto" w:fill="auto"/>
            <w:vAlign w:val="bottom"/>
          </w:tcPr>
          <w:p w14:paraId="3C51D344" w14:textId="2ED2B6E4" w:rsidR="00C34084" w:rsidRPr="00DC65D0" w:rsidRDefault="00C34084" w:rsidP="00C34084">
            <w:pPr>
              <w:spacing w:before="0" w:line="0" w:lineRule="atLeast"/>
            </w:pPr>
            <w:r w:rsidRPr="00DC65D0">
              <w:t>Addition of 1000 mg/20 mL strength.</w:t>
            </w:r>
          </w:p>
        </w:tc>
      </w:tr>
    </w:tbl>
    <w:p w14:paraId="1046F011" w14:textId="77777777" w:rsidR="00FD1F94" w:rsidRPr="00C77721" w:rsidRDefault="00FD1F94" w:rsidP="00C77721"/>
    <w:sectPr w:rsidR="00FD1F94" w:rsidRPr="00C77721" w:rsidSect="00735ECC">
      <w:headerReference w:type="even" r:id="rId8"/>
      <w:headerReference w:type="default" r:id="rId9"/>
      <w:footerReference w:type="even" r:id="rId10"/>
      <w:footerReference w:type="default" r:id="rId11"/>
      <w:headerReference w:type="first" r:id="rId12"/>
      <w:footerReference w:type="first" r:id="rId13"/>
      <w:pgSz w:w="11900" w:h="16838"/>
      <w:pgMar w:top="1440" w:right="1440" w:bottom="709" w:left="1300" w:header="0" w:footer="0" w:gutter="0"/>
      <w:cols w:space="0" w:equalWidth="0">
        <w:col w:w="916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1829E" w14:textId="77777777" w:rsidR="00011B0D" w:rsidRDefault="00011B0D" w:rsidP="00761728">
      <w:pPr>
        <w:spacing w:before="0"/>
      </w:pPr>
      <w:r>
        <w:separator/>
      </w:r>
    </w:p>
  </w:endnote>
  <w:endnote w:type="continuationSeparator" w:id="0">
    <w:p w14:paraId="18FD904E" w14:textId="77777777" w:rsidR="00011B0D" w:rsidRDefault="00011B0D" w:rsidP="0076172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23B2F" w14:textId="77777777" w:rsidR="00A44652" w:rsidRDefault="00A446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483218"/>
      <w:docPartObj>
        <w:docPartGallery w:val="Page Numbers (Bottom of Page)"/>
        <w:docPartUnique/>
      </w:docPartObj>
    </w:sdtPr>
    <w:sdtEndPr/>
    <w:sdtContent>
      <w:sdt>
        <w:sdtPr>
          <w:id w:val="-1769616900"/>
          <w:docPartObj>
            <w:docPartGallery w:val="Page Numbers (Top of Page)"/>
            <w:docPartUnique/>
          </w:docPartObj>
        </w:sdtPr>
        <w:sdtEndPr/>
        <w:sdtContent>
          <w:p w14:paraId="58486718" w14:textId="5612BBD3" w:rsidR="00011B0D" w:rsidRDefault="00D93FF1" w:rsidP="00D876F1">
            <w:pPr>
              <w:pStyle w:val="Footer"/>
            </w:pPr>
            <w:r>
              <w:rPr>
                <w:sz w:val="20"/>
                <w:lang w:val="fr-CH"/>
              </w:rPr>
              <w:t>180529</w:t>
            </w:r>
            <w:r w:rsidRPr="00C128F0">
              <w:rPr>
                <w:sz w:val="20"/>
                <w:lang w:val="fr-CH"/>
              </w:rPr>
              <w:t xml:space="preserve"> </w:t>
            </w:r>
            <w:proofErr w:type="spellStart"/>
            <w:r w:rsidR="00011B0D" w:rsidRPr="00C128F0">
              <w:rPr>
                <w:sz w:val="20"/>
                <w:lang w:val="fr-CH"/>
              </w:rPr>
              <w:t>Ferinject</w:t>
            </w:r>
            <w:proofErr w:type="spellEnd"/>
            <w:r w:rsidR="00011B0D" w:rsidRPr="00C128F0">
              <w:rPr>
                <w:sz w:val="20"/>
                <w:lang w:val="fr-CH"/>
              </w:rPr>
              <w:t xml:space="preserve"> Product Information/</w:t>
            </w:r>
            <w:proofErr w:type="spellStart"/>
            <w:r w:rsidR="00011B0D" w:rsidRPr="00C128F0">
              <w:rPr>
                <w:sz w:val="20"/>
                <w:lang w:val="fr-CH"/>
              </w:rPr>
              <w:t>SmPC</w:t>
            </w:r>
            <w:proofErr w:type="spellEnd"/>
            <w:r w:rsidR="00011B0D" w:rsidRPr="00C128F0">
              <w:rPr>
                <w:sz w:val="20"/>
                <w:lang w:val="fr-CH"/>
              </w:rPr>
              <w:t xml:space="preserve"> AU </w:t>
            </w:r>
            <w:r w:rsidR="006A60B4">
              <w:rPr>
                <w:sz w:val="20"/>
                <w:lang w:val="fr-CH"/>
              </w:rPr>
              <w:t>E12</w:t>
            </w:r>
            <w:r w:rsidR="00011B0D">
              <w:rPr>
                <w:sz w:val="20"/>
                <w:lang w:val="fr-CH"/>
              </w:rPr>
              <w:t xml:space="preserve"> (CCDS 6) </w:t>
            </w:r>
            <w:r w:rsidR="00011B0D">
              <w:rPr>
                <w:sz w:val="20"/>
                <w:lang w:val="fr-CH"/>
              </w:rPr>
              <w:tab/>
            </w:r>
            <w:r w:rsidR="00011B0D">
              <w:t xml:space="preserve">Page </w:t>
            </w:r>
            <w:r w:rsidR="00011B0D" w:rsidRPr="00D876F1">
              <w:rPr>
                <w:bCs/>
                <w:sz w:val="24"/>
                <w:szCs w:val="24"/>
              </w:rPr>
              <w:fldChar w:fldCharType="begin"/>
            </w:r>
            <w:r w:rsidR="00011B0D" w:rsidRPr="00D876F1">
              <w:rPr>
                <w:bCs/>
              </w:rPr>
              <w:instrText xml:space="preserve"> PAGE </w:instrText>
            </w:r>
            <w:r w:rsidR="00011B0D" w:rsidRPr="00D876F1">
              <w:rPr>
                <w:bCs/>
                <w:sz w:val="24"/>
                <w:szCs w:val="24"/>
              </w:rPr>
              <w:fldChar w:fldCharType="separate"/>
            </w:r>
            <w:r w:rsidR="00A44652">
              <w:rPr>
                <w:bCs/>
                <w:noProof/>
              </w:rPr>
              <w:t>1</w:t>
            </w:r>
            <w:r w:rsidR="00011B0D" w:rsidRPr="00D876F1">
              <w:rPr>
                <w:bCs/>
                <w:sz w:val="24"/>
                <w:szCs w:val="24"/>
              </w:rPr>
              <w:fldChar w:fldCharType="end"/>
            </w:r>
            <w:r w:rsidR="00011B0D" w:rsidRPr="00D876F1">
              <w:t xml:space="preserve"> of </w:t>
            </w:r>
            <w:r w:rsidR="00011B0D" w:rsidRPr="00D876F1">
              <w:rPr>
                <w:bCs/>
                <w:sz w:val="24"/>
                <w:szCs w:val="24"/>
              </w:rPr>
              <w:fldChar w:fldCharType="begin"/>
            </w:r>
            <w:r w:rsidR="00011B0D" w:rsidRPr="00D876F1">
              <w:rPr>
                <w:bCs/>
              </w:rPr>
              <w:instrText xml:space="preserve"> NUMPAGES  </w:instrText>
            </w:r>
            <w:r w:rsidR="00011B0D" w:rsidRPr="00D876F1">
              <w:rPr>
                <w:bCs/>
                <w:sz w:val="24"/>
                <w:szCs w:val="24"/>
              </w:rPr>
              <w:fldChar w:fldCharType="separate"/>
            </w:r>
            <w:r w:rsidR="00A44652">
              <w:rPr>
                <w:bCs/>
                <w:noProof/>
              </w:rPr>
              <w:t>15</w:t>
            </w:r>
            <w:r w:rsidR="00011B0D" w:rsidRPr="00D876F1">
              <w:rPr>
                <w:bCs/>
                <w:sz w:val="24"/>
                <w:szCs w:val="24"/>
              </w:rPr>
              <w:fldChar w:fldCharType="end"/>
            </w:r>
          </w:p>
        </w:sdtContent>
      </w:sdt>
    </w:sdtContent>
  </w:sdt>
  <w:p w14:paraId="6EC85525" w14:textId="77777777" w:rsidR="00011B0D" w:rsidRDefault="00011B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D224E" w14:textId="77777777" w:rsidR="00A44652" w:rsidRDefault="00A44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A38A9" w14:textId="77777777" w:rsidR="00011B0D" w:rsidRDefault="00011B0D" w:rsidP="00761728">
      <w:pPr>
        <w:spacing w:before="0"/>
      </w:pPr>
      <w:r>
        <w:separator/>
      </w:r>
    </w:p>
  </w:footnote>
  <w:footnote w:type="continuationSeparator" w:id="0">
    <w:p w14:paraId="78A27FB5" w14:textId="77777777" w:rsidR="00011B0D" w:rsidRDefault="00011B0D" w:rsidP="0076172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FF3BC" w14:textId="77777777" w:rsidR="00A44652" w:rsidRDefault="00A44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4196D" w14:textId="75546974" w:rsidR="00A44652" w:rsidRDefault="00A44652">
    <w:pPr>
      <w:pStyle w:val="Header"/>
    </w:pPr>
  </w:p>
  <w:tbl>
    <w:tblPr>
      <w:tblStyle w:val="TableGrid"/>
      <w:tblW w:w="0" w:type="auto"/>
      <w:shd w:val="clear" w:color="auto" w:fill="E4F2E0"/>
      <w:tblLook w:val="04A0" w:firstRow="1" w:lastRow="0" w:firstColumn="1" w:lastColumn="0" w:noHBand="0" w:noVBand="1"/>
    </w:tblPr>
    <w:tblGrid>
      <w:gridCol w:w="8720"/>
    </w:tblGrid>
    <w:tr w:rsidR="00A44652" w:rsidRPr="002E7F61" w14:paraId="732854C9" w14:textId="77777777" w:rsidTr="009D553A">
      <w:trPr>
        <w:trHeight w:val="590"/>
      </w:trPr>
      <w:tc>
        <w:tcPr>
          <w:tcW w:w="8720" w:type="dxa"/>
          <w:shd w:val="clear" w:color="auto" w:fill="E4F2E0"/>
        </w:tcPr>
        <w:p w14:paraId="46A2EB43" w14:textId="77777777" w:rsidR="00A44652" w:rsidRPr="002E7F61" w:rsidRDefault="00A44652" w:rsidP="00A44652">
          <w:pPr>
            <w:pStyle w:val="Footer"/>
            <w:rPr>
              <w:b/>
              <w:szCs w:val="18"/>
            </w:rPr>
          </w:pPr>
          <w:r w:rsidRPr="002E7F61">
            <w:rPr>
              <w:b/>
              <w:szCs w:val="18"/>
            </w:rPr>
            <w:t xml:space="preserve">Attachment 1: Product </w:t>
          </w:r>
          <w:r w:rsidRPr="00786A55">
            <w:rPr>
              <w:b/>
              <w:szCs w:val="18"/>
            </w:rPr>
            <w:t xml:space="preserve">AusPAR FERINJECT - Ferric </w:t>
          </w:r>
          <w:proofErr w:type="spellStart"/>
          <w:r w:rsidRPr="00786A55">
            <w:rPr>
              <w:b/>
              <w:szCs w:val="18"/>
            </w:rPr>
            <w:t>carboxymaltose</w:t>
          </w:r>
          <w:proofErr w:type="spellEnd"/>
          <w:r w:rsidRPr="00786A55">
            <w:rPr>
              <w:b/>
              <w:szCs w:val="18"/>
            </w:rPr>
            <w:t xml:space="preserve"> - </w:t>
          </w:r>
          <w:proofErr w:type="spellStart"/>
          <w:r w:rsidRPr="00786A55">
            <w:rPr>
              <w:b/>
              <w:szCs w:val="18"/>
            </w:rPr>
            <w:t>Vifor</w:t>
          </w:r>
          <w:proofErr w:type="spellEnd"/>
          <w:r w:rsidRPr="00786A55">
            <w:rPr>
              <w:b/>
              <w:szCs w:val="18"/>
            </w:rPr>
            <w:t xml:space="preserve"> Pharma Pty Ltd - PM-2017-00846-1-4 (CEU6) – FINAL 1 October 2019</w:t>
          </w:r>
          <w:r>
            <w:rPr>
              <w:b/>
              <w:szCs w:val="18"/>
            </w:rPr>
            <w:t xml:space="preserve">. </w:t>
          </w:r>
          <w:r w:rsidRPr="00FF2AA4">
            <w:rPr>
              <w:b/>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Cs w:val="18"/>
              </w:rPr>
              <w:t>https://www.tga.gov.au/product-information-pi</w:t>
            </w:r>
          </w:hyperlink>
          <w:r w:rsidRPr="00FF2AA4">
            <w:rPr>
              <w:b/>
              <w:szCs w:val="18"/>
              <w:u w:val="single"/>
            </w:rPr>
            <w:t>&gt;</w:t>
          </w:r>
        </w:p>
      </w:tc>
    </w:tr>
  </w:tbl>
  <w:p w14:paraId="386A65C2" w14:textId="77777777" w:rsidR="00A44652" w:rsidRDefault="00A44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B94A7" w14:textId="77777777" w:rsidR="00A44652" w:rsidRDefault="00A44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906B97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hybridMultilevel"/>
    <w:tmpl w:val="25E45D32"/>
    <w:lvl w:ilvl="0" w:tplc="439C11CE">
      <w:start w:val="15"/>
      <w:numFmt w:val="lowerLetter"/>
      <w:lvlText w:val="%1"/>
      <w:lvlJc w:val="left"/>
    </w:lvl>
    <w:lvl w:ilvl="1" w:tplc="59EAC500">
      <w:start w:val="1"/>
      <w:numFmt w:val="bullet"/>
      <w:lvlText w:val=""/>
      <w:lvlJc w:val="left"/>
    </w:lvl>
    <w:lvl w:ilvl="2" w:tplc="12EC47DA">
      <w:start w:val="1"/>
      <w:numFmt w:val="bullet"/>
      <w:lvlText w:val=""/>
      <w:lvlJc w:val="left"/>
    </w:lvl>
    <w:lvl w:ilvl="3" w:tplc="F9A02936">
      <w:start w:val="1"/>
      <w:numFmt w:val="bullet"/>
      <w:lvlText w:val=""/>
      <w:lvlJc w:val="left"/>
    </w:lvl>
    <w:lvl w:ilvl="4" w:tplc="621062A8">
      <w:start w:val="1"/>
      <w:numFmt w:val="bullet"/>
      <w:lvlText w:val=""/>
      <w:lvlJc w:val="left"/>
    </w:lvl>
    <w:lvl w:ilvl="5" w:tplc="2938C9EC">
      <w:start w:val="1"/>
      <w:numFmt w:val="bullet"/>
      <w:lvlText w:val=""/>
      <w:lvlJc w:val="left"/>
    </w:lvl>
    <w:lvl w:ilvl="6" w:tplc="03ECB788">
      <w:start w:val="1"/>
      <w:numFmt w:val="bullet"/>
      <w:lvlText w:val=""/>
      <w:lvlJc w:val="left"/>
    </w:lvl>
    <w:lvl w:ilvl="7" w:tplc="679E7B0E">
      <w:start w:val="1"/>
      <w:numFmt w:val="bullet"/>
      <w:lvlText w:val=""/>
      <w:lvlJc w:val="left"/>
    </w:lvl>
    <w:lvl w:ilvl="8" w:tplc="6DFE18A4">
      <w:start w:val="1"/>
      <w:numFmt w:val="bullet"/>
      <w:lvlText w:val=""/>
      <w:lvlJc w:val="left"/>
    </w:lvl>
  </w:abstractNum>
  <w:abstractNum w:abstractNumId="2" w15:restartNumberingAfterBreak="0">
    <w:nsid w:val="00000004"/>
    <w:multiLevelType w:val="multilevel"/>
    <w:tmpl w:val="339C34D4"/>
    <w:lvl w:ilvl="0">
      <w:start w:val="1"/>
      <w:numFmt w:val="decimal"/>
      <w:lvlRestart w:val="0"/>
      <w:pStyle w:val="ListBulletLevel1"/>
      <w:lvlText w:val="%1."/>
      <w:lvlJc w:val="left"/>
      <w:pPr>
        <w:tabs>
          <w:tab w:val="num" w:pos="720"/>
        </w:tabs>
        <w:ind w:left="720" w:hanging="357"/>
      </w:pPr>
    </w:lvl>
    <w:lvl w:ilvl="1">
      <w:start w:val="1"/>
      <w:numFmt w:val="decimal"/>
      <w:lvlText w:val="%2."/>
      <w:lvlJc w:val="left"/>
      <w:pPr>
        <w:tabs>
          <w:tab w:val="num" w:pos="1083"/>
        </w:tabs>
        <w:ind w:left="1083" w:hanging="363"/>
      </w:pPr>
    </w:lvl>
    <w:lvl w:ilvl="2">
      <w:start w:val="1"/>
      <w:numFmt w:val="decimal"/>
      <w:lvlText w:val="%3."/>
      <w:lvlJc w:val="left"/>
      <w:pPr>
        <w:tabs>
          <w:tab w:val="num" w:pos="1440"/>
        </w:tabs>
        <w:ind w:left="1440" w:hanging="357"/>
      </w:pPr>
    </w:lvl>
    <w:lvl w:ilvl="3">
      <w:start w:val="1"/>
      <w:numFmt w:val="decimal"/>
      <w:lvlText w:val="%4."/>
      <w:lvlJc w:val="left"/>
      <w:pPr>
        <w:tabs>
          <w:tab w:val="num" w:pos="1803"/>
        </w:tabs>
        <w:ind w:left="1803" w:hanging="363"/>
      </w:pPr>
    </w:lvl>
    <w:lvl w:ilvl="4">
      <w:start w:val="1"/>
      <w:numFmt w:val="decimal"/>
      <w:lvlText w:val="%5."/>
      <w:lvlJc w:val="left"/>
      <w:pPr>
        <w:tabs>
          <w:tab w:val="num" w:pos="2160"/>
        </w:tabs>
        <w:ind w:left="2160" w:hanging="357"/>
      </w:pPr>
    </w:lvl>
    <w:lvl w:ilvl="5">
      <w:start w:val="1"/>
      <w:numFmt w:val="decimal"/>
      <w:lvlText w:val="%6."/>
      <w:lvlJc w:val="left"/>
      <w:pPr>
        <w:tabs>
          <w:tab w:val="num" w:pos="2523"/>
        </w:tabs>
        <w:ind w:left="2523" w:hanging="363"/>
      </w:pPr>
    </w:lvl>
    <w:lvl w:ilvl="6">
      <w:start w:val="1"/>
      <w:numFmt w:val="decimal"/>
      <w:lvlText w:val="%7."/>
      <w:lvlJc w:val="left"/>
      <w:pPr>
        <w:tabs>
          <w:tab w:val="num" w:pos="2880"/>
        </w:tabs>
        <w:ind w:left="2880" w:hanging="357"/>
      </w:pPr>
    </w:lvl>
    <w:lvl w:ilvl="7">
      <w:start w:val="1"/>
      <w:numFmt w:val="decimal"/>
      <w:lvlText w:val="%8."/>
      <w:lvlJc w:val="left"/>
      <w:pPr>
        <w:tabs>
          <w:tab w:val="num" w:pos="3243"/>
        </w:tabs>
        <w:ind w:left="3243" w:hanging="363"/>
      </w:pPr>
    </w:lvl>
    <w:lvl w:ilvl="8">
      <w:start w:val="1"/>
      <w:numFmt w:val="decimal"/>
      <w:lvlText w:val="%9."/>
      <w:lvlJc w:val="left"/>
      <w:pPr>
        <w:tabs>
          <w:tab w:val="num" w:pos="3600"/>
        </w:tabs>
        <w:ind w:left="3600" w:hanging="357"/>
      </w:pPr>
    </w:lvl>
  </w:abstractNum>
  <w:abstractNum w:abstractNumId="3" w15:restartNumberingAfterBreak="0">
    <w:nsid w:val="00000005"/>
    <w:multiLevelType w:val="hybridMultilevel"/>
    <w:tmpl w:val="431BD7B6"/>
    <w:lvl w:ilvl="0" w:tplc="D2C4672E">
      <w:start w:val="1"/>
      <w:numFmt w:val="bullet"/>
      <w:pStyle w:val="ListAlphabeticalLevel1"/>
      <w:lvlText w:val="·"/>
      <w:lvlJc w:val="left"/>
    </w:lvl>
    <w:lvl w:ilvl="1" w:tplc="E24AD90A">
      <w:start w:val="1"/>
      <w:numFmt w:val="bullet"/>
      <w:lvlText w:val=""/>
      <w:lvlJc w:val="left"/>
    </w:lvl>
    <w:lvl w:ilvl="2" w:tplc="02D61D22">
      <w:start w:val="1"/>
      <w:numFmt w:val="bullet"/>
      <w:lvlText w:val=""/>
      <w:lvlJc w:val="left"/>
    </w:lvl>
    <w:lvl w:ilvl="3" w:tplc="25F446BA">
      <w:start w:val="1"/>
      <w:numFmt w:val="bullet"/>
      <w:lvlText w:val=""/>
      <w:lvlJc w:val="left"/>
    </w:lvl>
    <w:lvl w:ilvl="4" w:tplc="A1F47FF8">
      <w:start w:val="1"/>
      <w:numFmt w:val="bullet"/>
      <w:lvlText w:val=""/>
      <w:lvlJc w:val="left"/>
    </w:lvl>
    <w:lvl w:ilvl="5" w:tplc="CEF424C8">
      <w:start w:val="1"/>
      <w:numFmt w:val="bullet"/>
      <w:lvlText w:val=""/>
      <w:lvlJc w:val="left"/>
    </w:lvl>
    <w:lvl w:ilvl="6" w:tplc="8BB63216">
      <w:start w:val="1"/>
      <w:numFmt w:val="bullet"/>
      <w:lvlText w:val=""/>
      <w:lvlJc w:val="left"/>
    </w:lvl>
    <w:lvl w:ilvl="7" w:tplc="05084920">
      <w:start w:val="1"/>
      <w:numFmt w:val="bullet"/>
      <w:lvlText w:val=""/>
      <w:lvlJc w:val="left"/>
    </w:lvl>
    <w:lvl w:ilvl="8" w:tplc="A6B86ABC">
      <w:start w:val="1"/>
      <w:numFmt w:val="bullet"/>
      <w:lvlText w:val=""/>
      <w:lvlJc w:val="left"/>
    </w:lvl>
  </w:abstractNum>
  <w:abstractNum w:abstractNumId="4" w15:restartNumberingAfterBreak="0">
    <w:nsid w:val="00000006"/>
    <w:multiLevelType w:val="hybridMultilevel"/>
    <w:tmpl w:val="3F2DBA30"/>
    <w:lvl w:ilvl="0" w:tplc="B7389082">
      <w:start w:val="1"/>
      <w:numFmt w:val="bullet"/>
      <w:pStyle w:val="ListNumbered"/>
      <w:lvlText w:val="·"/>
      <w:lvlJc w:val="left"/>
    </w:lvl>
    <w:lvl w:ilvl="1" w:tplc="609C9A88">
      <w:start w:val="1"/>
      <w:numFmt w:val="bullet"/>
      <w:lvlText w:val=""/>
      <w:lvlJc w:val="left"/>
    </w:lvl>
    <w:lvl w:ilvl="2" w:tplc="01EAD5DE">
      <w:start w:val="1"/>
      <w:numFmt w:val="bullet"/>
      <w:lvlText w:val=""/>
      <w:lvlJc w:val="left"/>
    </w:lvl>
    <w:lvl w:ilvl="3" w:tplc="38162A60">
      <w:start w:val="1"/>
      <w:numFmt w:val="bullet"/>
      <w:lvlText w:val=""/>
      <w:lvlJc w:val="left"/>
    </w:lvl>
    <w:lvl w:ilvl="4" w:tplc="196477D4">
      <w:start w:val="1"/>
      <w:numFmt w:val="bullet"/>
      <w:lvlText w:val=""/>
      <w:lvlJc w:val="left"/>
    </w:lvl>
    <w:lvl w:ilvl="5" w:tplc="7CE26B60">
      <w:start w:val="1"/>
      <w:numFmt w:val="bullet"/>
      <w:lvlText w:val=""/>
      <w:lvlJc w:val="left"/>
    </w:lvl>
    <w:lvl w:ilvl="6" w:tplc="C33ED5A4">
      <w:start w:val="1"/>
      <w:numFmt w:val="bullet"/>
      <w:lvlText w:val=""/>
      <w:lvlJc w:val="left"/>
    </w:lvl>
    <w:lvl w:ilvl="7" w:tplc="972A9EF0">
      <w:start w:val="1"/>
      <w:numFmt w:val="bullet"/>
      <w:lvlText w:val=""/>
      <w:lvlJc w:val="left"/>
    </w:lvl>
    <w:lvl w:ilvl="8" w:tplc="0BB69F68">
      <w:start w:val="1"/>
      <w:numFmt w:val="bullet"/>
      <w:lvlText w:val=""/>
      <w:lvlJc w:val="left"/>
    </w:lvl>
  </w:abstractNum>
  <w:abstractNum w:abstractNumId="5" w15:restartNumberingAfterBreak="0">
    <w:nsid w:val="00000008"/>
    <w:multiLevelType w:val="multilevel"/>
    <w:tmpl w:val="9458800E"/>
    <w:lvl w:ilvl="0">
      <w:start w:val="1"/>
      <w:numFmt w:val="bullet"/>
      <w:lvlRestart w:val="0"/>
      <w:pStyle w:val="ListAlphabeticalLevel2"/>
      <w:lvlText w:val="-"/>
      <w:lvlJc w:val="left"/>
      <w:pPr>
        <w:tabs>
          <w:tab w:val="num" w:pos="1083"/>
        </w:tabs>
        <w:ind w:left="1083" w:hanging="363"/>
      </w:pPr>
      <w:rPr>
        <w:rFonts w:ascii="Times New Roman" w:hAnsi="Times New Roman" w:cs="Times New Roman" w:hint="default"/>
      </w:rPr>
    </w:lvl>
    <w:lvl w:ilvl="1">
      <w:start w:val="1"/>
      <w:numFmt w:val="bullet"/>
      <w:lvlText w:val="-"/>
      <w:lvlJc w:val="left"/>
      <w:pPr>
        <w:tabs>
          <w:tab w:val="num" w:pos="1440"/>
        </w:tabs>
        <w:ind w:left="1440" w:hanging="357"/>
      </w:pPr>
      <w:rPr>
        <w:rFonts w:ascii="Times New Roman" w:hAnsi="Times New Roman" w:cs="Times New Roman" w:hint="default"/>
      </w:rPr>
    </w:lvl>
    <w:lvl w:ilvl="2">
      <w:start w:val="1"/>
      <w:numFmt w:val="bullet"/>
      <w:lvlText w:val="-"/>
      <w:lvlJc w:val="left"/>
      <w:pPr>
        <w:tabs>
          <w:tab w:val="num" w:pos="1803"/>
        </w:tabs>
        <w:ind w:left="1803" w:hanging="363"/>
      </w:pPr>
      <w:rPr>
        <w:rFonts w:ascii="Times New Roman" w:hAnsi="Times New Roman" w:cs="Times New Roman" w:hint="default"/>
      </w:rPr>
    </w:lvl>
    <w:lvl w:ilvl="3">
      <w:start w:val="1"/>
      <w:numFmt w:val="bullet"/>
      <w:lvlText w:val="-"/>
      <w:lvlJc w:val="left"/>
      <w:pPr>
        <w:tabs>
          <w:tab w:val="num" w:pos="2160"/>
        </w:tabs>
        <w:ind w:left="2160" w:hanging="357"/>
      </w:pPr>
      <w:rPr>
        <w:rFonts w:ascii="Times New Roman" w:hAnsi="Times New Roman" w:cs="Times New Roman" w:hint="default"/>
      </w:rPr>
    </w:lvl>
    <w:lvl w:ilvl="4">
      <w:start w:val="1"/>
      <w:numFmt w:val="bullet"/>
      <w:lvlText w:val="-"/>
      <w:lvlJc w:val="left"/>
      <w:pPr>
        <w:tabs>
          <w:tab w:val="num" w:pos="2523"/>
        </w:tabs>
        <w:ind w:left="2523" w:hanging="363"/>
      </w:pPr>
      <w:rPr>
        <w:rFonts w:ascii="Times New Roman" w:hAnsi="Times New Roman" w:cs="Times New Roman" w:hint="default"/>
      </w:rPr>
    </w:lvl>
    <w:lvl w:ilvl="5">
      <w:start w:val="1"/>
      <w:numFmt w:val="bullet"/>
      <w:lvlText w:val="-"/>
      <w:lvlJc w:val="left"/>
      <w:pPr>
        <w:tabs>
          <w:tab w:val="num" w:pos="2880"/>
        </w:tabs>
        <w:ind w:left="2880" w:hanging="357"/>
      </w:pPr>
      <w:rPr>
        <w:rFonts w:ascii="Times New Roman" w:hAnsi="Times New Roman" w:cs="Times New Roman" w:hint="default"/>
      </w:rPr>
    </w:lvl>
    <w:lvl w:ilvl="6">
      <w:start w:val="1"/>
      <w:numFmt w:val="bullet"/>
      <w:lvlText w:val="-"/>
      <w:lvlJc w:val="left"/>
      <w:pPr>
        <w:tabs>
          <w:tab w:val="num" w:pos="3243"/>
        </w:tabs>
        <w:ind w:left="3243" w:hanging="363"/>
      </w:pPr>
      <w:rPr>
        <w:rFonts w:ascii="Times New Roman" w:hAnsi="Times New Roman" w:cs="Times New Roman" w:hint="default"/>
      </w:rPr>
    </w:lvl>
    <w:lvl w:ilvl="7">
      <w:start w:val="1"/>
      <w:numFmt w:val="bullet"/>
      <w:lvlText w:val="-"/>
      <w:lvlJc w:val="left"/>
      <w:pPr>
        <w:tabs>
          <w:tab w:val="num" w:pos="3600"/>
        </w:tabs>
        <w:ind w:left="3600" w:hanging="357"/>
      </w:pPr>
      <w:rPr>
        <w:rFonts w:ascii="Times New Roman" w:hAnsi="Times New Roman" w:cs="Times New Roman" w:hint="default"/>
      </w:rPr>
    </w:lvl>
    <w:lvl w:ilvl="8">
      <w:start w:val="1"/>
      <w:numFmt w:val="bullet"/>
      <w:lvlText w:val="-"/>
      <w:lvlJc w:val="left"/>
      <w:pPr>
        <w:tabs>
          <w:tab w:val="num" w:pos="3957"/>
        </w:tabs>
        <w:ind w:left="3957" w:hanging="357"/>
      </w:pPr>
      <w:rPr>
        <w:rFonts w:ascii="Times New Roman" w:hAnsi="Times New Roman" w:cs="Times New Roman" w:hint="default"/>
      </w:rPr>
    </w:lvl>
  </w:abstractNum>
  <w:abstractNum w:abstractNumId="6" w15:restartNumberingAfterBreak="0">
    <w:nsid w:val="00000009"/>
    <w:multiLevelType w:val="hybridMultilevel"/>
    <w:tmpl w:val="62BBD95A"/>
    <w:lvl w:ilvl="0" w:tplc="6F5CB970">
      <w:start w:val="1"/>
      <w:numFmt w:val="bullet"/>
      <w:pStyle w:val="ListBullet"/>
      <w:lvlText w:val="·"/>
      <w:lvlJc w:val="left"/>
    </w:lvl>
    <w:lvl w:ilvl="1" w:tplc="A43AE844">
      <w:start w:val="1"/>
      <w:numFmt w:val="bullet"/>
      <w:lvlText w:val=""/>
      <w:lvlJc w:val="left"/>
    </w:lvl>
    <w:lvl w:ilvl="2" w:tplc="2C2AACDC">
      <w:start w:val="1"/>
      <w:numFmt w:val="bullet"/>
      <w:lvlText w:val=""/>
      <w:lvlJc w:val="left"/>
    </w:lvl>
    <w:lvl w:ilvl="3" w:tplc="F4B8C3B4">
      <w:start w:val="1"/>
      <w:numFmt w:val="bullet"/>
      <w:lvlText w:val=""/>
      <w:lvlJc w:val="left"/>
    </w:lvl>
    <w:lvl w:ilvl="4" w:tplc="69D47C36">
      <w:start w:val="1"/>
      <w:numFmt w:val="bullet"/>
      <w:lvlText w:val=""/>
      <w:lvlJc w:val="left"/>
    </w:lvl>
    <w:lvl w:ilvl="5" w:tplc="A740C210">
      <w:start w:val="1"/>
      <w:numFmt w:val="bullet"/>
      <w:lvlText w:val=""/>
      <w:lvlJc w:val="left"/>
    </w:lvl>
    <w:lvl w:ilvl="6" w:tplc="83642A08">
      <w:start w:val="1"/>
      <w:numFmt w:val="bullet"/>
      <w:lvlText w:val=""/>
      <w:lvlJc w:val="left"/>
    </w:lvl>
    <w:lvl w:ilvl="7" w:tplc="FCE21082">
      <w:start w:val="1"/>
      <w:numFmt w:val="bullet"/>
      <w:lvlText w:val=""/>
      <w:lvlJc w:val="left"/>
    </w:lvl>
    <w:lvl w:ilvl="8" w:tplc="A0707394">
      <w:start w:val="1"/>
      <w:numFmt w:val="bullet"/>
      <w:lvlText w:val=""/>
      <w:lvlJc w:val="left"/>
    </w:lvl>
  </w:abstractNum>
  <w:abstractNum w:abstractNumId="7" w15:restartNumberingAfterBreak="0">
    <w:nsid w:val="0000000E"/>
    <w:multiLevelType w:val="hybridMultilevel"/>
    <w:tmpl w:val="2443A858"/>
    <w:lvl w:ilvl="0" w:tplc="53F69CA6">
      <w:start w:val="1"/>
      <w:numFmt w:val="bullet"/>
      <w:lvlText w:val="·"/>
      <w:lvlJc w:val="left"/>
    </w:lvl>
    <w:lvl w:ilvl="1" w:tplc="3550C63A">
      <w:start w:val="1"/>
      <w:numFmt w:val="bullet"/>
      <w:lvlText w:val=""/>
      <w:lvlJc w:val="left"/>
    </w:lvl>
    <w:lvl w:ilvl="2" w:tplc="4E347678">
      <w:start w:val="1"/>
      <w:numFmt w:val="bullet"/>
      <w:lvlText w:val=""/>
      <w:lvlJc w:val="left"/>
    </w:lvl>
    <w:lvl w:ilvl="3" w:tplc="724C28E4">
      <w:start w:val="1"/>
      <w:numFmt w:val="bullet"/>
      <w:lvlText w:val=""/>
      <w:lvlJc w:val="left"/>
    </w:lvl>
    <w:lvl w:ilvl="4" w:tplc="FB4E66F6">
      <w:start w:val="1"/>
      <w:numFmt w:val="bullet"/>
      <w:lvlText w:val=""/>
      <w:lvlJc w:val="left"/>
    </w:lvl>
    <w:lvl w:ilvl="5" w:tplc="806E98F0">
      <w:start w:val="1"/>
      <w:numFmt w:val="bullet"/>
      <w:lvlText w:val=""/>
      <w:lvlJc w:val="left"/>
    </w:lvl>
    <w:lvl w:ilvl="6" w:tplc="CAF838A8">
      <w:start w:val="1"/>
      <w:numFmt w:val="bullet"/>
      <w:lvlText w:val=""/>
      <w:lvlJc w:val="left"/>
    </w:lvl>
    <w:lvl w:ilvl="7" w:tplc="D76E469A">
      <w:start w:val="1"/>
      <w:numFmt w:val="bullet"/>
      <w:lvlText w:val=""/>
      <w:lvlJc w:val="left"/>
    </w:lvl>
    <w:lvl w:ilvl="8" w:tplc="D0E0C0A0">
      <w:start w:val="1"/>
      <w:numFmt w:val="bullet"/>
      <w:lvlText w:val=""/>
      <w:lvlJc w:val="left"/>
    </w:lvl>
  </w:abstractNum>
  <w:abstractNum w:abstractNumId="8" w15:restartNumberingAfterBreak="0">
    <w:nsid w:val="00000010"/>
    <w:multiLevelType w:val="multilevel"/>
    <w:tmpl w:val="C658B390"/>
    <w:lvl w:ilvl="0">
      <w:start w:val="1"/>
      <w:numFmt w:val="bullet"/>
      <w:lvlRestart w:val="0"/>
      <w:pStyle w:val="ListBulletLevel2"/>
      <w:lvlText w:val="-"/>
      <w:lvlJc w:val="left"/>
      <w:pPr>
        <w:tabs>
          <w:tab w:val="num" w:pos="1083"/>
        </w:tabs>
        <w:ind w:left="1083" w:hanging="363"/>
      </w:pPr>
      <w:rPr>
        <w:rFonts w:ascii="Times New Roman" w:hAnsi="Times New Roman" w:cs="Times New Roman" w:hint="default"/>
      </w:rPr>
    </w:lvl>
    <w:lvl w:ilvl="1">
      <w:start w:val="1"/>
      <w:numFmt w:val="bullet"/>
      <w:lvlText w:val="-"/>
      <w:lvlJc w:val="left"/>
      <w:pPr>
        <w:tabs>
          <w:tab w:val="num" w:pos="1440"/>
        </w:tabs>
        <w:ind w:left="1440" w:hanging="357"/>
      </w:pPr>
      <w:rPr>
        <w:rFonts w:ascii="Times New Roman" w:hAnsi="Times New Roman" w:cs="Times New Roman" w:hint="default"/>
      </w:rPr>
    </w:lvl>
    <w:lvl w:ilvl="2">
      <w:start w:val="1"/>
      <w:numFmt w:val="bullet"/>
      <w:lvlText w:val="-"/>
      <w:lvlJc w:val="left"/>
      <w:pPr>
        <w:tabs>
          <w:tab w:val="num" w:pos="1803"/>
        </w:tabs>
        <w:ind w:left="1803" w:hanging="363"/>
      </w:pPr>
      <w:rPr>
        <w:rFonts w:ascii="Times New Roman" w:hAnsi="Times New Roman" w:cs="Times New Roman" w:hint="default"/>
      </w:rPr>
    </w:lvl>
    <w:lvl w:ilvl="3">
      <w:start w:val="1"/>
      <w:numFmt w:val="bullet"/>
      <w:lvlText w:val="-"/>
      <w:lvlJc w:val="left"/>
      <w:pPr>
        <w:tabs>
          <w:tab w:val="num" w:pos="2160"/>
        </w:tabs>
        <w:ind w:left="2160" w:hanging="357"/>
      </w:pPr>
      <w:rPr>
        <w:rFonts w:ascii="Times New Roman" w:hAnsi="Times New Roman" w:cs="Times New Roman" w:hint="default"/>
      </w:rPr>
    </w:lvl>
    <w:lvl w:ilvl="4">
      <w:start w:val="1"/>
      <w:numFmt w:val="bullet"/>
      <w:lvlText w:val="-"/>
      <w:lvlJc w:val="left"/>
      <w:pPr>
        <w:tabs>
          <w:tab w:val="num" w:pos="2523"/>
        </w:tabs>
        <w:ind w:left="2523" w:hanging="363"/>
      </w:pPr>
      <w:rPr>
        <w:rFonts w:ascii="Times New Roman" w:hAnsi="Times New Roman" w:cs="Times New Roman" w:hint="default"/>
      </w:rPr>
    </w:lvl>
    <w:lvl w:ilvl="5">
      <w:start w:val="1"/>
      <w:numFmt w:val="bullet"/>
      <w:lvlText w:val="-"/>
      <w:lvlJc w:val="left"/>
      <w:pPr>
        <w:tabs>
          <w:tab w:val="num" w:pos="2880"/>
        </w:tabs>
        <w:ind w:left="2880" w:hanging="357"/>
      </w:pPr>
      <w:rPr>
        <w:rFonts w:ascii="Times New Roman" w:hAnsi="Times New Roman" w:cs="Times New Roman" w:hint="default"/>
      </w:rPr>
    </w:lvl>
    <w:lvl w:ilvl="6">
      <w:start w:val="1"/>
      <w:numFmt w:val="bullet"/>
      <w:lvlText w:val="-"/>
      <w:lvlJc w:val="left"/>
      <w:pPr>
        <w:tabs>
          <w:tab w:val="num" w:pos="3243"/>
        </w:tabs>
        <w:ind w:left="3243" w:hanging="363"/>
      </w:pPr>
      <w:rPr>
        <w:rFonts w:ascii="Times New Roman" w:hAnsi="Times New Roman" w:cs="Times New Roman" w:hint="default"/>
      </w:rPr>
    </w:lvl>
    <w:lvl w:ilvl="7">
      <w:start w:val="1"/>
      <w:numFmt w:val="bullet"/>
      <w:lvlText w:val="-"/>
      <w:lvlJc w:val="left"/>
      <w:pPr>
        <w:tabs>
          <w:tab w:val="num" w:pos="3600"/>
        </w:tabs>
        <w:ind w:left="3600" w:hanging="357"/>
      </w:pPr>
      <w:rPr>
        <w:rFonts w:ascii="Times New Roman" w:hAnsi="Times New Roman" w:cs="Times New Roman" w:hint="default"/>
      </w:rPr>
    </w:lvl>
    <w:lvl w:ilvl="8">
      <w:start w:val="1"/>
      <w:numFmt w:val="bullet"/>
      <w:lvlText w:val="-"/>
      <w:lvlJc w:val="left"/>
      <w:pPr>
        <w:tabs>
          <w:tab w:val="num" w:pos="3957"/>
        </w:tabs>
        <w:ind w:left="3957" w:hanging="357"/>
      </w:pPr>
      <w:rPr>
        <w:rFonts w:ascii="Times New Roman" w:hAnsi="Times New Roman" w:cs="Times New Roman" w:hint="default"/>
      </w:rPr>
    </w:lvl>
  </w:abstractNum>
  <w:abstractNum w:abstractNumId="9" w15:restartNumberingAfterBreak="0">
    <w:nsid w:val="00C52498"/>
    <w:multiLevelType w:val="hybridMultilevel"/>
    <w:tmpl w:val="8B689B62"/>
    <w:lvl w:ilvl="0" w:tplc="0B4261B4">
      <w:numFmt w:val="bullet"/>
      <w:lvlText w:val="-"/>
      <w:lvlJc w:val="left"/>
      <w:pPr>
        <w:ind w:left="360" w:hanging="360"/>
      </w:pPr>
      <w:rPr>
        <w:rFonts w:ascii="Calibri" w:eastAsia="Calibri" w:hAnsi="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0C0268D4"/>
    <w:multiLevelType w:val="multilevel"/>
    <w:tmpl w:val="141857DE"/>
    <w:name w:val="LT_Heading"/>
    <w:lvl w:ilvl="0">
      <w:start w:val="1"/>
      <w:numFmt w:val="decimal"/>
      <w:lvlRestart w:val="0"/>
      <w:pStyle w:val="Heading1"/>
      <w:lvlText w:val="%1"/>
      <w:lvlJc w:val="left"/>
      <w:pPr>
        <w:tabs>
          <w:tab w:val="num" w:pos="680"/>
        </w:tabs>
        <w:ind w:left="680" w:hanging="680"/>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680"/>
        </w:tabs>
        <w:ind w:left="680" w:hanging="680"/>
      </w:pPr>
    </w:lvl>
    <w:lvl w:ilvl="3">
      <w:start w:val="1"/>
      <w:numFmt w:val="decimal"/>
      <w:pStyle w:val="Heading4"/>
      <w:lvlText w:val="%1.%2.%3.%4"/>
      <w:lvlJc w:val="left"/>
      <w:pPr>
        <w:tabs>
          <w:tab w:val="num" w:pos="862"/>
        </w:tabs>
        <w:ind w:left="862" w:hanging="862"/>
      </w:pPr>
    </w:lvl>
    <w:lvl w:ilvl="4">
      <w:start w:val="1"/>
      <w:numFmt w:val="decimal"/>
      <w:pStyle w:val="Heading5"/>
      <w:lvlText w:val="%1.%2.%3.%4.%5"/>
      <w:lvlJc w:val="left"/>
      <w:pPr>
        <w:tabs>
          <w:tab w:val="num" w:pos="1009"/>
        </w:tabs>
        <w:ind w:left="1009" w:hanging="1009"/>
      </w:pPr>
    </w:lvl>
    <w:lvl w:ilvl="5">
      <w:start w:val="1"/>
      <w:numFmt w:val="decimal"/>
      <w:pStyle w:val="Heading6"/>
      <w:lvlText w:val="%1.%2.%3.%4.%5.%6"/>
      <w:lvlJc w:val="left"/>
      <w:pPr>
        <w:tabs>
          <w:tab w:val="num" w:pos="1151"/>
        </w:tabs>
        <w:ind w:left="1151" w:hanging="1151"/>
      </w:pPr>
    </w:lvl>
    <w:lvl w:ilvl="6">
      <w:start w:val="1"/>
      <w:numFmt w:val="decimal"/>
      <w:pStyle w:val="Heading7"/>
      <w:lvlText w:val="%1.%2.%3.%4.%5.%6.%7"/>
      <w:lvlJc w:val="left"/>
      <w:pPr>
        <w:tabs>
          <w:tab w:val="num" w:pos="1298"/>
        </w:tabs>
        <w:ind w:left="1298" w:hanging="1298"/>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2"/>
        </w:tabs>
        <w:ind w:left="1582" w:hanging="1582"/>
      </w:pPr>
    </w:lvl>
  </w:abstractNum>
  <w:abstractNum w:abstractNumId="11" w15:restartNumberingAfterBreak="0">
    <w:nsid w:val="0E563DE3"/>
    <w:multiLevelType w:val="multilevel"/>
    <w:tmpl w:val="EA961A4C"/>
    <w:lvl w:ilvl="0">
      <w:start w:val="1"/>
      <w:numFmt w:val="lowerLetter"/>
      <w:lvlRestart w:val="0"/>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0"/>
        </w:tabs>
        <w:ind w:left="3600" w:hanging="357"/>
      </w:pPr>
    </w:lvl>
    <w:lvl w:ilvl="8">
      <w:start w:val="1"/>
      <w:numFmt w:val="lowerLetter"/>
      <w:lvlText w:val="%9)"/>
      <w:lvlJc w:val="left"/>
      <w:pPr>
        <w:tabs>
          <w:tab w:val="num" w:pos="3957"/>
        </w:tabs>
        <w:ind w:left="3957" w:hanging="357"/>
      </w:pPr>
    </w:lvl>
  </w:abstractNum>
  <w:abstractNum w:abstractNumId="12" w15:restartNumberingAfterBreak="0">
    <w:nsid w:val="0EF8625F"/>
    <w:multiLevelType w:val="hybridMultilevel"/>
    <w:tmpl w:val="3AE82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CF1C02"/>
    <w:multiLevelType w:val="multilevel"/>
    <w:tmpl w:val="EC448D7A"/>
    <w:lvl w:ilvl="0">
      <w:start w:val="1"/>
      <w:numFmt w:val="none"/>
      <w:lvlText w:val=""/>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DC41614"/>
    <w:multiLevelType w:val="multilevel"/>
    <w:tmpl w:val="56767712"/>
    <w:lvl w:ilvl="0">
      <w:start w:val="1"/>
      <w:numFmt w:val="decimal"/>
      <w:lvlRestart w:val="0"/>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decimal"/>
      <w:lvlText w:val="%3."/>
      <w:lvlJc w:val="left"/>
      <w:pPr>
        <w:tabs>
          <w:tab w:val="num" w:pos="1440"/>
        </w:tabs>
        <w:ind w:left="1440" w:hanging="357"/>
      </w:pPr>
      <w:rPr>
        <w:rFonts w:hint="default"/>
      </w:rPr>
    </w:lvl>
    <w:lvl w:ilvl="3">
      <w:start w:val="1"/>
      <w:numFmt w:val="decimal"/>
      <w:lvlText w:val="%4."/>
      <w:lvlJc w:val="left"/>
      <w:pPr>
        <w:tabs>
          <w:tab w:val="num" w:pos="1803"/>
        </w:tabs>
        <w:ind w:left="1803" w:hanging="363"/>
      </w:pPr>
      <w:rPr>
        <w:rFonts w:hint="default"/>
      </w:rPr>
    </w:lvl>
    <w:lvl w:ilvl="4">
      <w:start w:val="1"/>
      <w:numFmt w:val="decimal"/>
      <w:lvlText w:val="%5."/>
      <w:lvlJc w:val="left"/>
      <w:pPr>
        <w:tabs>
          <w:tab w:val="num" w:pos="2160"/>
        </w:tabs>
        <w:ind w:left="2160" w:hanging="357"/>
      </w:pPr>
      <w:rPr>
        <w:rFonts w:hint="default"/>
      </w:rPr>
    </w:lvl>
    <w:lvl w:ilvl="5">
      <w:start w:val="1"/>
      <w:numFmt w:val="decimal"/>
      <w:lvlText w:val="%6."/>
      <w:lvlJc w:val="left"/>
      <w:pPr>
        <w:tabs>
          <w:tab w:val="num" w:pos="2523"/>
        </w:tabs>
        <w:ind w:left="2523" w:hanging="363"/>
      </w:pPr>
      <w:rPr>
        <w:rFonts w:hint="default"/>
      </w:rPr>
    </w:lvl>
    <w:lvl w:ilvl="6">
      <w:start w:val="1"/>
      <w:numFmt w:val="decimal"/>
      <w:lvlText w:val="%7."/>
      <w:lvlJc w:val="left"/>
      <w:pPr>
        <w:tabs>
          <w:tab w:val="num" w:pos="2880"/>
        </w:tabs>
        <w:ind w:left="2880" w:hanging="357"/>
      </w:pPr>
      <w:rPr>
        <w:rFonts w:hint="default"/>
      </w:rPr>
    </w:lvl>
    <w:lvl w:ilvl="7">
      <w:start w:val="1"/>
      <w:numFmt w:val="decimal"/>
      <w:lvlText w:val="%8."/>
      <w:lvlJc w:val="left"/>
      <w:pPr>
        <w:tabs>
          <w:tab w:val="num" w:pos="3243"/>
        </w:tabs>
        <w:ind w:left="3243" w:hanging="363"/>
      </w:pPr>
      <w:rPr>
        <w:rFonts w:hint="default"/>
      </w:rPr>
    </w:lvl>
    <w:lvl w:ilvl="8">
      <w:start w:val="1"/>
      <w:numFmt w:val="decimal"/>
      <w:lvlText w:val="%9."/>
      <w:lvlJc w:val="left"/>
      <w:pPr>
        <w:tabs>
          <w:tab w:val="num" w:pos="3600"/>
        </w:tabs>
        <w:ind w:left="3600" w:hanging="357"/>
      </w:pPr>
      <w:rPr>
        <w:rFonts w:hint="default"/>
      </w:rPr>
    </w:lvl>
  </w:abstractNum>
  <w:abstractNum w:abstractNumId="15" w15:restartNumberingAfterBreak="0">
    <w:nsid w:val="2E4D086B"/>
    <w:multiLevelType w:val="multilevel"/>
    <w:tmpl w:val="98FEE14A"/>
    <w:lvl w:ilvl="0">
      <w:start w:val="1"/>
      <w:numFmt w:val="upperLetter"/>
      <w:lvlRestart w:val="0"/>
      <w:lvlText w:val="%1)"/>
      <w:lvlJc w:val="left"/>
      <w:pPr>
        <w:tabs>
          <w:tab w:val="num" w:pos="720"/>
        </w:tabs>
        <w:ind w:left="720" w:hanging="357"/>
      </w:pPr>
    </w:lvl>
    <w:lvl w:ilvl="1">
      <w:start w:val="1"/>
      <w:numFmt w:val="upperLetter"/>
      <w:lvlText w:val="%2)"/>
      <w:lvlJc w:val="left"/>
      <w:pPr>
        <w:tabs>
          <w:tab w:val="num" w:pos="1083"/>
        </w:tabs>
        <w:ind w:left="1083" w:hanging="363"/>
      </w:pPr>
    </w:lvl>
    <w:lvl w:ilvl="2">
      <w:start w:val="1"/>
      <w:numFmt w:val="upperLetter"/>
      <w:lvlText w:val="%3)"/>
      <w:lvlJc w:val="left"/>
      <w:pPr>
        <w:tabs>
          <w:tab w:val="num" w:pos="1440"/>
        </w:tabs>
        <w:ind w:left="1440" w:hanging="357"/>
      </w:pPr>
    </w:lvl>
    <w:lvl w:ilvl="3">
      <w:start w:val="1"/>
      <w:numFmt w:val="upperLetter"/>
      <w:lvlText w:val="%4)"/>
      <w:lvlJc w:val="left"/>
      <w:pPr>
        <w:tabs>
          <w:tab w:val="num" w:pos="1803"/>
        </w:tabs>
        <w:ind w:left="1803" w:hanging="363"/>
      </w:pPr>
    </w:lvl>
    <w:lvl w:ilvl="4">
      <w:start w:val="1"/>
      <w:numFmt w:val="upperLetter"/>
      <w:lvlText w:val="%5)"/>
      <w:lvlJc w:val="left"/>
      <w:pPr>
        <w:tabs>
          <w:tab w:val="num" w:pos="2160"/>
        </w:tabs>
        <w:ind w:left="2160" w:hanging="357"/>
      </w:pPr>
    </w:lvl>
    <w:lvl w:ilvl="5">
      <w:start w:val="1"/>
      <w:numFmt w:val="upperLetter"/>
      <w:lvlText w:val="%6)"/>
      <w:lvlJc w:val="left"/>
      <w:pPr>
        <w:tabs>
          <w:tab w:val="num" w:pos="2523"/>
        </w:tabs>
        <w:ind w:left="2523" w:hanging="363"/>
      </w:pPr>
    </w:lvl>
    <w:lvl w:ilvl="6">
      <w:start w:val="1"/>
      <w:numFmt w:val="upperLetter"/>
      <w:lvlText w:val="%7)"/>
      <w:lvlJc w:val="left"/>
      <w:pPr>
        <w:tabs>
          <w:tab w:val="num" w:pos="2880"/>
        </w:tabs>
        <w:ind w:left="2880" w:hanging="357"/>
      </w:pPr>
    </w:lvl>
    <w:lvl w:ilvl="7">
      <w:start w:val="1"/>
      <w:numFmt w:val="upperLetter"/>
      <w:lvlText w:val="%8)"/>
      <w:lvlJc w:val="left"/>
      <w:pPr>
        <w:tabs>
          <w:tab w:val="num" w:pos="3243"/>
        </w:tabs>
        <w:ind w:left="3243" w:hanging="363"/>
      </w:pPr>
    </w:lvl>
    <w:lvl w:ilvl="8">
      <w:start w:val="1"/>
      <w:numFmt w:val="upperLetter"/>
      <w:lvlText w:val="%8)"/>
      <w:lvlJc w:val="left"/>
      <w:pPr>
        <w:tabs>
          <w:tab w:val="num" w:pos="3600"/>
        </w:tabs>
        <w:ind w:left="3600" w:hanging="357"/>
      </w:pPr>
    </w:lvl>
  </w:abstractNum>
  <w:abstractNum w:abstractNumId="16" w15:restartNumberingAfterBreak="0">
    <w:nsid w:val="35954DA8"/>
    <w:multiLevelType w:val="multilevel"/>
    <w:tmpl w:val="B238C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A76F60"/>
    <w:multiLevelType w:val="multilevel"/>
    <w:tmpl w:val="C71ABB6C"/>
    <w:lvl w:ilvl="0">
      <w:start w:val="1"/>
      <w:numFmt w:val="bullet"/>
      <w:lvlRestart w:val="0"/>
      <w:lvlText w:val="-"/>
      <w:lvlJc w:val="left"/>
      <w:pPr>
        <w:tabs>
          <w:tab w:val="num" w:pos="1083"/>
        </w:tabs>
        <w:ind w:left="1083" w:hanging="363"/>
      </w:pPr>
      <w:rPr>
        <w:rFonts w:ascii="Times New Roman" w:hAnsi="Times New Roman" w:cs="Times New Roman" w:hint="default"/>
      </w:rPr>
    </w:lvl>
    <w:lvl w:ilvl="1">
      <w:start w:val="1"/>
      <w:numFmt w:val="bullet"/>
      <w:lvlText w:val="-"/>
      <w:lvlJc w:val="left"/>
      <w:pPr>
        <w:tabs>
          <w:tab w:val="num" w:pos="1440"/>
        </w:tabs>
        <w:ind w:left="1440" w:hanging="357"/>
      </w:pPr>
      <w:rPr>
        <w:rFonts w:ascii="Times New Roman" w:hAnsi="Times New Roman" w:cs="Times New Roman" w:hint="default"/>
      </w:rPr>
    </w:lvl>
    <w:lvl w:ilvl="2">
      <w:start w:val="1"/>
      <w:numFmt w:val="bullet"/>
      <w:lvlText w:val="-"/>
      <w:lvlJc w:val="left"/>
      <w:pPr>
        <w:tabs>
          <w:tab w:val="num" w:pos="1803"/>
        </w:tabs>
        <w:ind w:left="1803" w:hanging="363"/>
      </w:pPr>
      <w:rPr>
        <w:rFonts w:ascii="Times New Roman" w:hAnsi="Times New Roman" w:cs="Times New Roman" w:hint="default"/>
      </w:rPr>
    </w:lvl>
    <w:lvl w:ilvl="3">
      <w:start w:val="1"/>
      <w:numFmt w:val="bullet"/>
      <w:lvlText w:val="-"/>
      <w:lvlJc w:val="left"/>
      <w:pPr>
        <w:tabs>
          <w:tab w:val="num" w:pos="2160"/>
        </w:tabs>
        <w:ind w:left="2160" w:hanging="357"/>
      </w:pPr>
      <w:rPr>
        <w:rFonts w:ascii="Times New Roman" w:hAnsi="Times New Roman" w:cs="Times New Roman" w:hint="default"/>
      </w:rPr>
    </w:lvl>
    <w:lvl w:ilvl="4">
      <w:start w:val="1"/>
      <w:numFmt w:val="bullet"/>
      <w:lvlText w:val="-"/>
      <w:lvlJc w:val="left"/>
      <w:pPr>
        <w:tabs>
          <w:tab w:val="num" w:pos="2523"/>
        </w:tabs>
        <w:ind w:left="2523" w:hanging="363"/>
      </w:pPr>
      <w:rPr>
        <w:rFonts w:ascii="Times New Roman" w:hAnsi="Times New Roman" w:cs="Times New Roman" w:hint="default"/>
      </w:rPr>
    </w:lvl>
    <w:lvl w:ilvl="5">
      <w:start w:val="1"/>
      <w:numFmt w:val="bullet"/>
      <w:lvlText w:val="-"/>
      <w:lvlJc w:val="left"/>
      <w:pPr>
        <w:tabs>
          <w:tab w:val="num" w:pos="2880"/>
        </w:tabs>
        <w:ind w:left="2880" w:hanging="357"/>
      </w:pPr>
      <w:rPr>
        <w:rFonts w:ascii="Times New Roman" w:hAnsi="Times New Roman" w:cs="Times New Roman" w:hint="default"/>
      </w:rPr>
    </w:lvl>
    <w:lvl w:ilvl="6">
      <w:start w:val="1"/>
      <w:numFmt w:val="bullet"/>
      <w:lvlText w:val="-"/>
      <w:lvlJc w:val="left"/>
      <w:pPr>
        <w:tabs>
          <w:tab w:val="num" w:pos="3243"/>
        </w:tabs>
        <w:ind w:left="3243" w:hanging="363"/>
      </w:pPr>
      <w:rPr>
        <w:rFonts w:ascii="Times New Roman" w:hAnsi="Times New Roman" w:cs="Times New Roman" w:hint="default"/>
      </w:rPr>
    </w:lvl>
    <w:lvl w:ilvl="7">
      <w:start w:val="1"/>
      <w:numFmt w:val="bullet"/>
      <w:lvlText w:val="-"/>
      <w:lvlJc w:val="left"/>
      <w:pPr>
        <w:tabs>
          <w:tab w:val="num" w:pos="3600"/>
        </w:tabs>
        <w:ind w:left="3600" w:hanging="357"/>
      </w:pPr>
      <w:rPr>
        <w:rFonts w:ascii="Times New Roman" w:hAnsi="Times New Roman" w:cs="Times New Roman" w:hint="default"/>
      </w:rPr>
    </w:lvl>
    <w:lvl w:ilvl="8">
      <w:start w:val="1"/>
      <w:numFmt w:val="bullet"/>
      <w:lvlText w:val="-"/>
      <w:lvlJc w:val="left"/>
      <w:pPr>
        <w:tabs>
          <w:tab w:val="num" w:pos="3957"/>
        </w:tabs>
        <w:ind w:left="3957" w:hanging="357"/>
      </w:pPr>
      <w:rPr>
        <w:rFonts w:ascii="Times New Roman" w:hAnsi="Times New Roman" w:cs="Times New Roman" w:hint="default"/>
      </w:rPr>
    </w:lvl>
  </w:abstractNum>
  <w:abstractNum w:abstractNumId="18" w15:restartNumberingAfterBreak="0">
    <w:nsid w:val="398B4D5B"/>
    <w:multiLevelType w:val="hybridMultilevel"/>
    <w:tmpl w:val="AC0E0E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B06744"/>
    <w:multiLevelType w:val="hybridMultilevel"/>
    <w:tmpl w:val="F1FAAD48"/>
    <w:lvl w:ilvl="0" w:tplc="15F493E6">
      <w:start w:val="1"/>
      <w:numFmt w:val="upperRoman"/>
      <w:lvlText w:val="%1."/>
      <w:lvlJc w:val="right"/>
      <w:pPr>
        <w:tabs>
          <w:tab w:val="num" w:pos="720"/>
        </w:tabs>
        <w:ind w:left="720" w:hanging="360"/>
      </w:pPr>
    </w:lvl>
    <w:lvl w:ilvl="1" w:tplc="56C666FC">
      <w:start w:val="1"/>
      <w:numFmt w:val="upperLetter"/>
      <w:lvlText w:val="%2."/>
      <w:lvlJc w:val="right"/>
      <w:pPr>
        <w:tabs>
          <w:tab w:val="num" w:pos="1440"/>
        </w:tabs>
        <w:ind w:left="1440" w:hanging="360"/>
      </w:pPr>
    </w:lvl>
    <w:lvl w:ilvl="2" w:tplc="61463BE2">
      <w:start w:val="1"/>
      <w:numFmt w:val="decimal"/>
      <w:lvlText w:val="%3."/>
      <w:lvlJc w:val="right"/>
      <w:pPr>
        <w:tabs>
          <w:tab w:val="num" w:pos="2160"/>
        </w:tabs>
        <w:ind w:left="2160" w:hanging="360"/>
      </w:pPr>
    </w:lvl>
    <w:lvl w:ilvl="3" w:tplc="9A2C32E0">
      <w:start w:val="1"/>
      <w:numFmt w:val="lowerLetter"/>
      <w:lvlText w:val="%4."/>
      <w:lvlJc w:val="right"/>
      <w:pPr>
        <w:tabs>
          <w:tab w:val="num" w:pos="2880"/>
        </w:tabs>
        <w:ind w:left="2880" w:hanging="360"/>
      </w:pPr>
    </w:lvl>
    <w:lvl w:ilvl="4" w:tplc="0CAA24F2" w:tentative="1">
      <w:start w:val="1"/>
      <w:numFmt w:val="upperRoman"/>
      <w:lvlText w:val="%5."/>
      <w:lvlJc w:val="right"/>
      <w:pPr>
        <w:tabs>
          <w:tab w:val="num" w:pos="3600"/>
        </w:tabs>
        <w:ind w:left="3600" w:hanging="360"/>
      </w:pPr>
    </w:lvl>
    <w:lvl w:ilvl="5" w:tplc="E13A2634" w:tentative="1">
      <w:start w:val="1"/>
      <w:numFmt w:val="upperRoman"/>
      <w:lvlText w:val="%6."/>
      <w:lvlJc w:val="right"/>
      <w:pPr>
        <w:tabs>
          <w:tab w:val="num" w:pos="4320"/>
        </w:tabs>
        <w:ind w:left="4320" w:hanging="360"/>
      </w:pPr>
    </w:lvl>
    <w:lvl w:ilvl="6" w:tplc="EABA82E8" w:tentative="1">
      <w:start w:val="1"/>
      <w:numFmt w:val="upperRoman"/>
      <w:lvlText w:val="%7."/>
      <w:lvlJc w:val="right"/>
      <w:pPr>
        <w:tabs>
          <w:tab w:val="num" w:pos="5040"/>
        </w:tabs>
        <w:ind w:left="5040" w:hanging="360"/>
      </w:pPr>
    </w:lvl>
    <w:lvl w:ilvl="7" w:tplc="7ABE3286" w:tentative="1">
      <w:start w:val="1"/>
      <w:numFmt w:val="upperRoman"/>
      <w:lvlText w:val="%8."/>
      <w:lvlJc w:val="right"/>
      <w:pPr>
        <w:tabs>
          <w:tab w:val="num" w:pos="5760"/>
        </w:tabs>
        <w:ind w:left="5760" w:hanging="360"/>
      </w:pPr>
    </w:lvl>
    <w:lvl w:ilvl="8" w:tplc="A98A9C48" w:tentative="1">
      <w:start w:val="1"/>
      <w:numFmt w:val="upperRoman"/>
      <w:lvlText w:val="%9."/>
      <w:lvlJc w:val="right"/>
      <w:pPr>
        <w:tabs>
          <w:tab w:val="num" w:pos="6480"/>
        </w:tabs>
        <w:ind w:left="6480" w:hanging="360"/>
      </w:pPr>
    </w:lvl>
  </w:abstractNum>
  <w:abstractNum w:abstractNumId="20" w15:restartNumberingAfterBreak="0">
    <w:nsid w:val="5C225032"/>
    <w:multiLevelType w:val="hybridMultilevel"/>
    <w:tmpl w:val="87D8CFC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4460C3"/>
    <w:multiLevelType w:val="hybridMultilevel"/>
    <w:tmpl w:val="0C160602"/>
    <w:lvl w:ilvl="0" w:tplc="725E16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331808"/>
    <w:multiLevelType w:val="multilevel"/>
    <w:tmpl w:val="F1BEA42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1CE414F"/>
    <w:multiLevelType w:val="hybridMultilevel"/>
    <w:tmpl w:val="99F61858"/>
    <w:lvl w:ilvl="0" w:tplc="ED465E08">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D6C59A9"/>
    <w:multiLevelType w:val="multilevel"/>
    <w:tmpl w:val="5B240ADE"/>
    <w:lvl w:ilvl="0">
      <w:start w:val="1"/>
      <w:numFmt w:val="bullet"/>
      <w:lvlRestart w:val="0"/>
      <w:lvlText w:val=""/>
      <w:lvlJc w:val="left"/>
      <w:pPr>
        <w:tabs>
          <w:tab w:val="num" w:pos="720"/>
        </w:tabs>
        <w:ind w:left="720" w:hanging="357"/>
      </w:pPr>
      <w:rPr>
        <w:rFonts w:ascii="Symbol" w:hAnsi="Symbol" w:hint="default"/>
        <w:sz w:val="24"/>
      </w:rPr>
    </w:lvl>
    <w:lvl w:ilvl="1">
      <w:start w:val="1"/>
      <w:numFmt w:val="bullet"/>
      <w:lvlText w:val=""/>
      <w:lvlJc w:val="left"/>
      <w:pPr>
        <w:tabs>
          <w:tab w:val="num" w:pos="1083"/>
        </w:tabs>
        <w:ind w:left="1083" w:hanging="363"/>
      </w:pPr>
      <w:rPr>
        <w:rFonts w:ascii="Symbol" w:hAnsi="Symbol" w:cs="Times New Roman" w:hint="default"/>
        <w:sz w:val="21"/>
      </w:rPr>
    </w:lvl>
    <w:lvl w:ilvl="2">
      <w:start w:val="1"/>
      <w:numFmt w:val="bullet"/>
      <w:lvlText w:val=""/>
      <w:lvlJc w:val="left"/>
      <w:pPr>
        <w:tabs>
          <w:tab w:val="num" w:pos="1440"/>
        </w:tabs>
        <w:ind w:left="1440" w:hanging="357"/>
      </w:pPr>
      <w:rPr>
        <w:rFonts w:ascii="Symbol" w:hAnsi="Symbol" w:cs="Times New Roman" w:hint="default"/>
        <w:sz w:val="21"/>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25" w15:restartNumberingAfterBreak="0">
    <w:nsid w:val="7E525684"/>
    <w:multiLevelType w:val="hybridMultilevel"/>
    <w:tmpl w:val="0C160602"/>
    <w:lvl w:ilvl="0" w:tplc="725E16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2"/>
  </w:num>
  <w:num w:numId="19">
    <w:abstractNumId w:val="15"/>
  </w:num>
  <w:num w:numId="20">
    <w:abstractNumId w:val="14"/>
  </w:num>
  <w:num w:numId="21">
    <w:abstractNumId w:val="11"/>
  </w:num>
  <w:num w:numId="22">
    <w:abstractNumId w:val="0"/>
  </w:num>
  <w:num w:numId="23">
    <w:abstractNumId w:val="24"/>
  </w:num>
  <w:num w:numId="24">
    <w:abstractNumId w:val="17"/>
  </w:num>
  <w:num w:numId="25">
    <w:abstractNumId w:val="23"/>
  </w:num>
  <w:num w:numId="26">
    <w:abstractNumId w:val="18"/>
  </w:num>
  <w:num w:numId="27">
    <w:abstractNumId w:val="20"/>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9"/>
  </w:num>
  <w:num w:numId="31">
    <w:abstractNumId w:val="10"/>
  </w:num>
  <w:num w:numId="32">
    <w:abstractNumId w:val="16"/>
  </w:num>
  <w:num w:numId="33">
    <w:abstractNumId w:val="10"/>
  </w:num>
  <w:num w:numId="34">
    <w:abstractNumId w:val="8"/>
  </w:num>
  <w:num w:numId="35">
    <w:abstractNumId w:val="12"/>
  </w:num>
  <w:num w:numId="36">
    <w:abstractNumId w:val="19"/>
  </w:num>
  <w:num w:numId="37">
    <w:abstractNumId w:val="25"/>
  </w:num>
  <w:num w:numId="38">
    <w:abstractNumId w:val="21"/>
  </w:num>
  <w:num w:numId="39">
    <w:abstractNumId w:val="10"/>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A3A"/>
    <w:rsid w:val="00011B0D"/>
    <w:rsid w:val="0004689E"/>
    <w:rsid w:val="00075240"/>
    <w:rsid w:val="000A7393"/>
    <w:rsid w:val="000D1AF2"/>
    <w:rsid w:val="000E48BA"/>
    <w:rsid w:val="000F2667"/>
    <w:rsid w:val="00107D96"/>
    <w:rsid w:val="00120C3D"/>
    <w:rsid w:val="00196E5B"/>
    <w:rsid w:val="00277F37"/>
    <w:rsid w:val="00331595"/>
    <w:rsid w:val="003D55F8"/>
    <w:rsid w:val="003E1F1A"/>
    <w:rsid w:val="00414A94"/>
    <w:rsid w:val="00426E1A"/>
    <w:rsid w:val="00465EA9"/>
    <w:rsid w:val="004879B0"/>
    <w:rsid w:val="004B1918"/>
    <w:rsid w:val="004B425F"/>
    <w:rsid w:val="004E797B"/>
    <w:rsid w:val="004F2BC9"/>
    <w:rsid w:val="005100BB"/>
    <w:rsid w:val="005122FF"/>
    <w:rsid w:val="00556D95"/>
    <w:rsid w:val="0055703C"/>
    <w:rsid w:val="005713FD"/>
    <w:rsid w:val="005D5F25"/>
    <w:rsid w:val="00642014"/>
    <w:rsid w:val="00661390"/>
    <w:rsid w:val="006A1ECA"/>
    <w:rsid w:val="006A60B4"/>
    <w:rsid w:val="006C3CBC"/>
    <w:rsid w:val="006D6417"/>
    <w:rsid w:val="006E1633"/>
    <w:rsid w:val="006F44C8"/>
    <w:rsid w:val="007120F8"/>
    <w:rsid w:val="00725B45"/>
    <w:rsid w:val="00735ECC"/>
    <w:rsid w:val="007470DA"/>
    <w:rsid w:val="00761728"/>
    <w:rsid w:val="007D15F2"/>
    <w:rsid w:val="007F3C37"/>
    <w:rsid w:val="00827340"/>
    <w:rsid w:val="008437DD"/>
    <w:rsid w:val="008438F1"/>
    <w:rsid w:val="008465DE"/>
    <w:rsid w:val="008E1604"/>
    <w:rsid w:val="00914273"/>
    <w:rsid w:val="00976744"/>
    <w:rsid w:val="009B1033"/>
    <w:rsid w:val="009C75D1"/>
    <w:rsid w:val="009D47A0"/>
    <w:rsid w:val="00A44652"/>
    <w:rsid w:val="00A61436"/>
    <w:rsid w:val="00A63889"/>
    <w:rsid w:val="00A806EE"/>
    <w:rsid w:val="00AB14E4"/>
    <w:rsid w:val="00B0639E"/>
    <w:rsid w:val="00B226F4"/>
    <w:rsid w:val="00B52DE6"/>
    <w:rsid w:val="00B93688"/>
    <w:rsid w:val="00B97A3A"/>
    <w:rsid w:val="00BB4952"/>
    <w:rsid w:val="00C34084"/>
    <w:rsid w:val="00C43842"/>
    <w:rsid w:val="00C77721"/>
    <w:rsid w:val="00CC14B5"/>
    <w:rsid w:val="00CE0B1B"/>
    <w:rsid w:val="00CF1912"/>
    <w:rsid w:val="00CF55C1"/>
    <w:rsid w:val="00D44718"/>
    <w:rsid w:val="00D876F1"/>
    <w:rsid w:val="00D93FF1"/>
    <w:rsid w:val="00DC2D4D"/>
    <w:rsid w:val="00F15957"/>
    <w:rsid w:val="00F35962"/>
    <w:rsid w:val="00FC5822"/>
    <w:rsid w:val="00FD17D2"/>
    <w:rsid w:val="00FD1F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6E1DD0F"/>
  <w15:docId w15:val="{F7FC8B37-8CEF-46DA-9AC7-27FE7A2FD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728"/>
    <w:pPr>
      <w:spacing w:before="240"/>
    </w:pPr>
    <w:rPr>
      <w:rFonts w:ascii="Times New Roman" w:eastAsia="MS Mincho" w:hAnsi="Times New Roman" w:cs="Times New Roman"/>
      <w:color w:val="000000"/>
      <w:sz w:val="24"/>
      <w:szCs w:val="24"/>
      <w:lang w:val="en-US" w:eastAsia="en-US"/>
    </w:rPr>
  </w:style>
  <w:style w:type="paragraph" w:styleId="Heading1">
    <w:name w:val="heading 1"/>
    <w:next w:val="Normal"/>
    <w:link w:val="Heading1Char"/>
    <w:qFormat/>
    <w:rsid w:val="006C3CBC"/>
    <w:pPr>
      <w:keepNext/>
      <w:pageBreakBefore/>
      <w:numPr>
        <w:numId w:val="9"/>
      </w:numPr>
      <w:spacing w:before="480"/>
      <w:outlineLvl w:val="0"/>
    </w:pPr>
    <w:rPr>
      <w:rFonts w:ascii="Arial" w:eastAsia="MS Gothic" w:hAnsi="Arial"/>
      <w:b/>
      <w:bCs/>
      <w:caps/>
      <w:kern w:val="32"/>
      <w:sz w:val="28"/>
      <w:szCs w:val="32"/>
      <w:lang w:val="en-US" w:eastAsia="en-US"/>
    </w:rPr>
  </w:style>
  <w:style w:type="paragraph" w:styleId="Heading2">
    <w:name w:val="heading 2"/>
    <w:basedOn w:val="Heading1"/>
    <w:next w:val="Normal"/>
    <w:link w:val="Heading2Char"/>
    <w:qFormat/>
    <w:rsid w:val="006C3CBC"/>
    <w:pPr>
      <w:pageBreakBefore w:val="0"/>
      <w:numPr>
        <w:ilvl w:val="1"/>
      </w:numPr>
      <w:outlineLvl w:val="1"/>
    </w:pPr>
    <w:rPr>
      <w:bCs w:val="0"/>
      <w:iCs/>
      <w:sz w:val="22"/>
      <w:szCs w:val="28"/>
    </w:rPr>
  </w:style>
  <w:style w:type="paragraph" w:styleId="Heading3">
    <w:name w:val="heading 3"/>
    <w:basedOn w:val="Heading1"/>
    <w:next w:val="Normal"/>
    <w:link w:val="Heading3Char"/>
    <w:qFormat/>
    <w:rsid w:val="006C3CBC"/>
    <w:pPr>
      <w:pageBreakBefore w:val="0"/>
      <w:numPr>
        <w:ilvl w:val="2"/>
      </w:numPr>
      <w:spacing w:before="360"/>
      <w:outlineLvl w:val="2"/>
    </w:pPr>
    <w:rPr>
      <w:bCs w:val="0"/>
      <w:caps w:val="0"/>
      <w:sz w:val="22"/>
      <w:szCs w:val="26"/>
    </w:rPr>
  </w:style>
  <w:style w:type="paragraph" w:styleId="Heading4">
    <w:name w:val="heading 4"/>
    <w:basedOn w:val="Heading1"/>
    <w:next w:val="Normal"/>
    <w:link w:val="Heading4Char"/>
    <w:qFormat/>
    <w:rsid w:val="006C3CBC"/>
    <w:pPr>
      <w:pageBreakBefore w:val="0"/>
      <w:numPr>
        <w:ilvl w:val="3"/>
      </w:numPr>
      <w:spacing w:before="360"/>
      <w:outlineLvl w:val="3"/>
    </w:pPr>
    <w:rPr>
      <w:bCs w:val="0"/>
      <w:i/>
      <w:caps w:val="0"/>
      <w:sz w:val="22"/>
      <w:szCs w:val="28"/>
    </w:rPr>
  </w:style>
  <w:style w:type="paragraph" w:styleId="Heading5">
    <w:name w:val="heading 5"/>
    <w:basedOn w:val="Heading1"/>
    <w:next w:val="Normal"/>
    <w:link w:val="Heading5Char"/>
    <w:qFormat/>
    <w:rsid w:val="006C3CBC"/>
    <w:pPr>
      <w:pageBreakBefore w:val="0"/>
      <w:numPr>
        <w:ilvl w:val="4"/>
      </w:numPr>
      <w:spacing w:before="360"/>
      <w:outlineLvl w:val="4"/>
    </w:pPr>
    <w:rPr>
      <w:b w:val="0"/>
      <w:bCs w:val="0"/>
      <w:i/>
      <w:iCs/>
      <w:caps w:val="0"/>
      <w:sz w:val="22"/>
      <w:szCs w:val="26"/>
    </w:rPr>
  </w:style>
  <w:style w:type="paragraph" w:styleId="Heading6">
    <w:name w:val="heading 6"/>
    <w:basedOn w:val="Heading1"/>
    <w:next w:val="Normal"/>
    <w:link w:val="Heading6Char"/>
    <w:qFormat/>
    <w:rsid w:val="006C3CBC"/>
    <w:pPr>
      <w:pageBreakBefore w:val="0"/>
      <w:numPr>
        <w:ilvl w:val="5"/>
      </w:numPr>
      <w:spacing w:before="360"/>
      <w:outlineLvl w:val="5"/>
    </w:pPr>
    <w:rPr>
      <w:b w:val="0"/>
      <w:bCs w:val="0"/>
      <w:caps w:val="0"/>
      <w:sz w:val="22"/>
      <w:szCs w:val="22"/>
    </w:rPr>
  </w:style>
  <w:style w:type="paragraph" w:styleId="Heading7">
    <w:name w:val="heading 7"/>
    <w:basedOn w:val="Heading6"/>
    <w:next w:val="Normal"/>
    <w:link w:val="Heading7Char"/>
    <w:qFormat/>
    <w:rsid w:val="006C3CBC"/>
    <w:pPr>
      <w:numPr>
        <w:ilvl w:val="6"/>
      </w:numPr>
      <w:outlineLvl w:val="6"/>
    </w:pPr>
  </w:style>
  <w:style w:type="paragraph" w:styleId="Heading8">
    <w:name w:val="heading 8"/>
    <w:basedOn w:val="Heading6"/>
    <w:next w:val="Normal"/>
    <w:link w:val="Heading8Char"/>
    <w:qFormat/>
    <w:rsid w:val="006C3CBC"/>
    <w:pPr>
      <w:numPr>
        <w:ilvl w:val="7"/>
      </w:numPr>
      <w:outlineLvl w:val="7"/>
    </w:pPr>
    <w:rPr>
      <w:iCs/>
    </w:rPr>
  </w:style>
  <w:style w:type="paragraph" w:styleId="Heading9">
    <w:name w:val="heading 9"/>
    <w:basedOn w:val="Heading6"/>
    <w:next w:val="Normal"/>
    <w:link w:val="Heading9Char"/>
    <w:qFormat/>
    <w:rsid w:val="006C3CBC"/>
    <w:pPr>
      <w:numPr>
        <w:ilvl w:val="8"/>
      </w:numPr>
      <w:tabs>
        <w:tab w:val="left" w:pos="1797"/>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97A3A"/>
    <w:rPr>
      <w:rFonts w:ascii="Arial" w:eastAsia="MS Gothic" w:hAnsi="Arial"/>
      <w:b/>
      <w:bCs/>
      <w:caps/>
      <w:kern w:val="32"/>
      <w:sz w:val="28"/>
      <w:szCs w:val="32"/>
      <w:lang w:val="en-US" w:eastAsia="en-US"/>
    </w:rPr>
  </w:style>
  <w:style w:type="character" w:customStyle="1" w:styleId="Heading2Char">
    <w:name w:val="Heading 2 Char"/>
    <w:link w:val="Heading2"/>
    <w:rsid w:val="00B97A3A"/>
    <w:rPr>
      <w:rFonts w:ascii="Arial" w:eastAsia="MS Gothic" w:hAnsi="Arial"/>
      <w:b/>
      <w:iCs/>
      <w:caps/>
      <w:kern w:val="32"/>
      <w:sz w:val="22"/>
      <w:szCs w:val="28"/>
      <w:lang w:val="en-US" w:eastAsia="en-US"/>
    </w:rPr>
  </w:style>
  <w:style w:type="character" w:customStyle="1" w:styleId="Heading3Char">
    <w:name w:val="Heading 3 Char"/>
    <w:link w:val="Heading3"/>
    <w:rsid w:val="00B97A3A"/>
    <w:rPr>
      <w:rFonts w:ascii="Arial" w:eastAsia="MS Gothic" w:hAnsi="Arial"/>
      <w:b/>
      <w:kern w:val="32"/>
      <w:sz w:val="22"/>
      <w:szCs w:val="26"/>
      <w:lang w:val="en-US" w:eastAsia="en-US"/>
    </w:rPr>
  </w:style>
  <w:style w:type="character" w:customStyle="1" w:styleId="Heading4Char">
    <w:name w:val="Heading 4 Char"/>
    <w:link w:val="Heading4"/>
    <w:rsid w:val="00B97A3A"/>
    <w:rPr>
      <w:rFonts w:ascii="Arial" w:eastAsia="MS Gothic" w:hAnsi="Arial"/>
      <w:b/>
      <w:i/>
      <w:kern w:val="32"/>
      <w:sz w:val="22"/>
      <w:szCs w:val="28"/>
      <w:lang w:val="en-US" w:eastAsia="en-US"/>
    </w:rPr>
  </w:style>
  <w:style w:type="character" w:customStyle="1" w:styleId="Heading5Char">
    <w:name w:val="Heading 5 Char"/>
    <w:link w:val="Heading5"/>
    <w:rsid w:val="00B97A3A"/>
    <w:rPr>
      <w:rFonts w:ascii="Arial" w:eastAsia="MS Gothic" w:hAnsi="Arial"/>
      <w:i/>
      <w:iCs/>
      <w:kern w:val="32"/>
      <w:sz w:val="22"/>
      <w:szCs w:val="26"/>
      <w:lang w:val="en-US" w:eastAsia="en-US"/>
    </w:rPr>
  </w:style>
  <w:style w:type="character" w:customStyle="1" w:styleId="Heading6Char">
    <w:name w:val="Heading 6 Char"/>
    <w:link w:val="Heading6"/>
    <w:rsid w:val="00B97A3A"/>
    <w:rPr>
      <w:rFonts w:ascii="Arial" w:eastAsia="MS Gothic" w:hAnsi="Arial"/>
      <w:kern w:val="32"/>
      <w:sz w:val="22"/>
      <w:szCs w:val="22"/>
      <w:lang w:val="en-US" w:eastAsia="en-US"/>
    </w:rPr>
  </w:style>
  <w:style w:type="character" w:customStyle="1" w:styleId="Heading7Char">
    <w:name w:val="Heading 7 Char"/>
    <w:link w:val="Heading7"/>
    <w:rsid w:val="00B97A3A"/>
    <w:rPr>
      <w:rFonts w:ascii="Arial" w:eastAsia="MS Gothic" w:hAnsi="Arial"/>
      <w:kern w:val="32"/>
      <w:sz w:val="22"/>
      <w:szCs w:val="22"/>
      <w:lang w:val="en-US" w:eastAsia="en-US"/>
    </w:rPr>
  </w:style>
  <w:style w:type="character" w:customStyle="1" w:styleId="Heading8Char">
    <w:name w:val="Heading 8 Char"/>
    <w:link w:val="Heading8"/>
    <w:rsid w:val="00B97A3A"/>
    <w:rPr>
      <w:rFonts w:ascii="Arial" w:eastAsia="MS Gothic" w:hAnsi="Arial"/>
      <w:iCs/>
      <w:kern w:val="32"/>
      <w:sz w:val="22"/>
      <w:szCs w:val="22"/>
      <w:lang w:val="en-US" w:eastAsia="en-US"/>
    </w:rPr>
  </w:style>
  <w:style w:type="character" w:customStyle="1" w:styleId="Heading9Char">
    <w:name w:val="Heading 9 Char"/>
    <w:link w:val="Heading9"/>
    <w:rsid w:val="00B97A3A"/>
    <w:rPr>
      <w:rFonts w:ascii="Arial" w:eastAsia="MS Gothic" w:hAnsi="Arial"/>
      <w:kern w:val="32"/>
      <w:sz w:val="22"/>
      <w:szCs w:val="22"/>
      <w:lang w:val="en-US" w:eastAsia="en-US"/>
    </w:rPr>
  </w:style>
  <w:style w:type="paragraph" w:styleId="Header">
    <w:name w:val="header"/>
    <w:link w:val="HeaderChar"/>
    <w:uiPriority w:val="99"/>
    <w:rsid w:val="00761728"/>
    <w:pPr>
      <w:tabs>
        <w:tab w:val="left" w:pos="4536"/>
        <w:tab w:val="right" w:pos="9480"/>
      </w:tabs>
    </w:pPr>
    <w:rPr>
      <w:rFonts w:ascii="Arial" w:eastAsia="MS Gothic" w:hAnsi="Arial" w:cs="Times New Roman"/>
      <w:sz w:val="18"/>
      <w:lang w:val="en-US" w:eastAsia="en-US"/>
    </w:rPr>
  </w:style>
  <w:style w:type="character" w:customStyle="1" w:styleId="HeaderChar">
    <w:name w:val="Header Char"/>
    <w:link w:val="Header"/>
    <w:uiPriority w:val="99"/>
    <w:rsid w:val="00B97A3A"/>
    <w:rPr>
      <w:rFonts w:ascii="Arial" w:eastAsia="MS Gothic" w:hAnsi="Arial" w:cs="Times New Roman"/>
      <w:sz w:val="18"/>
      <w:lang w:val="en-US" w:eastAsia="en-US"/>
    </w:rPr>
  </w:style>
  <w:style w:type="paragraph" w:styleId="Footer">
    <w:name w:val="footer"/>
    <w:link w:val="FooterChar"/>
    <w:rsid w:val="00761728"/>
    <w:pPr>
      <w:tabs>
        <w:tab w:val="right" w:pos="9469"/>
      </w:tabs>
    </w:pPr>
    <w:rPr>
      <w:rFonts w:ascii="Arial" w:eastAsia="MS Gothic" w:hAnsi="Arial" w:cs="Times New Roman"/>
      <w:sz w:val="18"/>
      <w:lang w:val="en-US" w:eastAsia="en-US"/>
    </w:rPr>
  </w:style>
  <w:style w:type="character" w:customStyle="1" w:styleId="FooterChar">
    <w:name w:val="Footer Char"/>
    <w:link w:val="Footer"/>
    <w:rsid w:val="00B97A3A"/>
    <w:rPr>
      <w:rFonts w:ascii="Arial" w:eastAsia="MS Gothic" w:hAnsi="Arial" w:cs="Times New Roman"/>
      <w:sz w:val="18"/>
      <w:lang w:val="en-US" w:eastAsia="en-US"/>
    </w:rPr>
  </w:style>
  <w:style w:type="paragraph" w:customStyle="1" w:styleId="Heading1NoTOC">
    <w:name w:val="Heading 1 NoTOC"/>
    <w:basedOn w:val="Heading1"/>
    <w:rsid w:val="00761728"/>
    <w:pPr>
      <w:numPr>
        <w:numId w:val="0"/>
      </w:numPr>
      <w:outlineLvl w:val="9"/>
    </w:pPr>
  </w:style>
  <w:style w:type="paragraph" w:styleId="Title">
    <w:name w:val="Title"/>
    <w:next w:val="Normal"/>
    <w:link w:val="TitleChar"/>
    <w:qFormat/>
    <w:rsid w:val="00761728"/>
    <w:pPr>
      <w:keepNext/>
      <w:spacing w:before="600" w:after="480"/>
      <w:jc w:val="center"/>
      <w:outlineLvl w:val="0"/>
    </w:pPr>
    <w:rPr>
      <w:rFonts w:ascii="Arial" w:eastAsia="MS Gothic" w:hAnsi="Arial"/>
      <w:b/>
      <w:bCs/>
      <w:caps/>
      <w:sz w:val="22"/>
      <w:szCs w:val="32"/>
      <w:lang w:val="en-US" w:eastAsia="en-US"/>
    </w:rPr>
  </w:style>
  <w:style w:type="character" w:customStyle="1" w:styleId="TitleChar">
    <w:name w:val="Title Char"/>
    <w:link w:val="Title"/>
    <w:rsid w:val="00B97A3A"/>
    <w:rPr>
      <w:rFonts w:ascii="Arial" w:eastAsia="MS Gothic" w:hAnsi="Arial"/>
      <w:b/>
      <w:bCs/>
      <w:caps/>
      <w:sz w:val="22"/>
      <w:szCs w:val="32"/>
      <w:lang w:val="en-US" w:eastAsia="en-US"/>
    </w:rPr>
  </w:style>
  <w:style w:type="paragraph" w:customStyle="1" w:styleId="TitleNoToc">
    <w:name w:val="Title NoToc"/>
    <w:basedOn w:val="Title"/>
    <w:next w:val="Normal"/>
    <w:rsid w:val="00761728"/>
    <w:pPr>
      <w:outlineLvl w:val="9"/>
    </w:pPr>
  </w:style>
  <w:style w:type="character" w:customStyle="1" w:styleId="InstructionsTextChar">
    <w:name w:val="Instructions Text Char"/>
    <w:link w:val="InstructionsText"/>
    <w:rsid w:val="00761728"/>
    <w:rPr>
      <w:rFonts w:eastAsia="MS Mincho"/>
      <w:color w:val="000000"/>
      <w:sz w:val="24"/>
      <w:szCs w:val="24"/>
      <w:shd w:val="clear" w:color="auto" w:fill="FFCC66"/>
      <w:lang w:val="en-US" w:eastAsia="en-US"/>
    </w:rPr>
  </w:style>
  <w:style w:type="paragraph" w:customStyle="1" w:styleId="ListNumbered">
    <w:name w:val="List Numbered"/>
    <w:basedOn w:val="Normal"/>
    <w:rsid w:val="00761728"/>
    <w:pPr>
      <w:numPr>
        <w:numId w:val="4"/>
      </w:numPr>
      <w:spacing w:before="120"/>
    </w:pPr>
  </w:style>
  <w:style w:type="paragraph" w:customStyle="1" w:styleId="ListBulletLevel1">
    <w:name w:val="List Bullet Level 1"/>
    <w:basedOn w:val="Normal"/>
    <w:rsid w:val="00761728"/>
    <w:pPr>
      <w:numPr>
        <w:numId w:val="16"/>
      </w:numPr>
      <w:spacing w:before="120"/>
    </w:pPr>
  </w:style>
  <w:style w:type="paragraph" w:customStyle="1" w:styleId="ListAlphabeticalLevel1">
    <w:name w:val="List Alphabetical Level 1"/>
    <w:basedOn w:val="Normal"/>
    <w:rsid w:val="00761728"/>
    <w:pPr>
      <w:numPr>
        <w:numId w:val="3"/>
      </w:numPr>
      <w:spacing w:before="120"/>
    </w:pPr>
  </w:style>
  <w:style w:type="paragraph" w:customStyle="1" w:styleId="ListBulletLevel2">
    <w:name w:val="List Bullet Level 2"/>
    <w:basedOn w:val="Normal"/>
    <w:rsid w:val="00761728"/>
    <w:pPr>
      <w:numPr>
        <w:numId w:val="8"/>
      </w:numPr>
      <w:spacing w:before="120"/>
    </w:pPr>
    <w:rPr>
      <w:szCs w:val="20"/>
    </w:rPr>
  </w:style>
  <w:style w:type="paragraph" w:styleId="Caption">
    <w:name w:val="caption"/>
    <w:next w:val="Normal"/>
    <w:qFormat/>
    <w:rsid w:val="00761728"/>
    <w:pPr>
      <w:keepNext/>
      <w:spacing w:before="360" w:after="120"/>
      <w:jc w:val="center"/>
    </w:pPr>
    <w:rPr>
      <w:rFonts w:ascii="Arial" w:eastAsia="MS Gothic" w:hAnsi="Arial"/>
      <w:b/>
      <w:bCs/>
      <w:lang w:val="en-US" w:eastAsia="en-US"/>
    </w:rPr>
  </w:style>
  <w:style w:type="paragraph" w:customStyle="1" w:styleId="InstructionsText">
    <w:name w:val="Instructions Text"/>
    <w:basedOn w:val="Normal"/>
    <w:next w:val="Normal"/>
    <w:link w:val="InstructionsTextChar"/>
    <w:rsid w:val="00761728"/>
    <w:pPr>
      <w:shd w:val="clear" w:color="auto" w:fill="FFCC66"/>
      <w:spacing w:before="40" w:after="40"/>
    </w:pPr>
    <w:rPr>
      <w:rFonts w:ascii="Calibri" w:hAnsi="Calibri" w:cs="Arial"/>
    </w:rPr>
  </w:style>
  <w:style w:type="character" w:styleId="FootnoteReference">
    <w:name w:val="footnote reference"/>
    <w:rsid w:val="00761728"/>
    <w:rPr>
      <w:rFonts w:ascii="Times New Roman" w:eastAsia="MS Mincho" w:hAnsi="Times New Roman"/>
      <w:color w:val="0000FF"/>
      <w:sz w:val="18"/>
      <w:vertAlign w:val="superscript"/>
    </w:rPr>
  </w:style>
  <w:style w:type="paragraph" w:styleId="FootnoteText">
    <w:name w:val="footnote text"/>
    <w:basedOn w:val="Normal"/>
    <w:link w:val="FootnoteTextChar"/>
    <w:rsid w:val="00761728"/>
    <w:pPr>
      <w:spacing w:before="20"/>
      <w:ind w:left="113" w:hanging="113"/>
    </w:pPr>
    <w:rPr>
      <w:sz w:val="22"/>
      <w:szCs w:val="20"/>
    </w:rPr>
  </w:style>
  <w:style w:type="character" w:customStyle="1" w:styleId="FootnoteTextChar">
    <w:name w:val="Footnote Text Char"/>
    <w:link w:val="FootnoteText"/>
    <w:rsid w:val="00B97A3A"/>
    <w:rPr>
      <w:rFonts w:ascii="Times New Roman" w:eastAsia="MS Mincho" w:hAnsi="Times New Roman" w:cs="Times New Roman"/>
      <w:color w:val="000000"/>
      <w:sz w:val="22"/>
      <w:lang w:val="en-US" w:eastAsia="en-US"/>
    </w:rPr>
  </w:style>
  <w:style w:type="paragraph" w:customStyle="1" w:styleId="Heading1NoNumbering">
    <w:name w:val="Heading 1 NoNumbering"/>
    <w:basedOn w:val="Heading1"/>
    <w:next w:val="Normal"/>
    <w:rsid w:val="00761728"/>
    <w:pPr>
      <w:numPr>
        <w:numId w:val="0"/>
      </w:numPr>
      <w:tabs>
        <w:tab w:val="num" w:pos="1083"/>
      </w:tabs>
      <w:ind w:left="1083" w:hanging="363"/>
    </w:pPr>
  </w:style>
  <w:style w:type="paragraph" w:customStyle="1" w:styleId="TblTextCenter">
    <w:name w:val="Tbl Text Center"/>
    <w:basedOn w:val="TblTextLeft"/>
    <w:rsid w:val="00761728"/>
    <w:pPr>
      <w:jc w:val="center"/>
    </w:pPr>
  </w:style>
  <w:style w:type="paragraph" w:customStyle="1" w:styleId="TblTextLeft">
    <w:name w:val="Tbl Text Left"/>
    <w:rsid w:val="00761728"/>
    <w:pPr>
      <w:spacing w:before="60" w:after="60"/>
    </w:pPr>
    <w:rPr>
      <w:rFonts w:ascii="Arial Narrow" w:eastAsia="MS Gothic" w:hAnsi="Arial Narrow" w:cs="Times New Roman"/>
      <w:lang w:val="en-US" w:eastAsia="en-US"/>
    </w:rPr>
  </w:style>
  <w:style w:type="paragraph" w:customStyle="1" w:styleId="TblHeadingLeft">
    <w:name w:val="Tbl Heading Left"/>
    <w:rsid w:val="00761728"/>
    <w:pPr>
      <w:spacing w:before="60" w:after="60"/>
    </w:pPr>
    <w:rPr>
      <w:rFonts w:ascii="Arial" w:eastAsia="MS Gothic" w:hAnsi="Arial"/>
      <w:b/>
      <w:noProof/>
      <w:lang w:val="de-DE" w:eastAsia="en-US"/>
    </w:rPr>
  </w:style>
  <w:style w:type="paragraph" w:customStyle="1" w:styleId="TblFigFootnote">
    <w:name w:val="Tbl Fig Footnote"/>
    <w:rsid w:val="00761728"/>
    <w:pPr>
      <w:keepLines/>
      <w:adjustRightInd w:val="0"/>
      <w:snapToGrid w:val="0"/>
      <w:spacing w:before="20" w:after="20"/>
    </w:pPr>
    <w:rPr>
      <w:rFonts w:ascii="Arial Narrow" w:eastAsia="MS Gothic" w:hAnsi="Arial Narrow" w:cs="Times New Roman"/>
      <w:sz w:val="18"/>
      <w:lang w:val="en-US" w:eastAsia="en-US"/>
    </w:rPr>
  </w:style>
  <w:style w:type="paragraph" w:customStyle="1" w:styleId="TblHeadingCenter">
    <w:name w:val="Tbl Heading Center"/>
    <w:basedOn w:val="TblHeadingLeft"/>
    <w:rsid w:val="00761728"/>
    <w:pPr>
      <w:jc w:val="center"/>
    </w:pPr>
  </w:style>
  <w:style w:type="paragraph" w:customStyle="1" w:styleId="HeaderLandscape">
    <w:name w:val="Header Landscape"/>
    <w:basedOn w:val="Header"/>
    <w:rsid w:val="00761728"/>
    <w:pPr>
      <w:tabs>
        <w:tab w:val="clear" w:pos="4536"/>
        <w:tab w:val="clear" w:pos="9480"/>
        <w:tab w:val="left" w:pos="6804"/>
        <w:tab w:val="right" w:pos="14118"/>
      </w:tabs>
    </w:pPr>
  </w:style>
  <w:style w:type="paragraph" w:customStyle="1" w:styleId="FooterLandscape">
    <w:name w:val="Footer Landscape"/>
    <w:basedOn w:val="Footer"/>
    <w:rsid w:val="00761728"/>
    <w:pPr>
      <w:tabs>
        <w:tab w:val="clear" w:pos="9469"/>
        <w:tab w:val="right" w:pos="14118"/>
      </w:tabs>
    </w:pPr>
  </w:style>
  <w:style w:type="character" w:customStyle="1" w:styleId="TblFigFootnoteReference">
    <w:name w:val="Tbl Fig Footnote Reference"/>
    <w:rsid w:val="00761728"/>
    <w:rPr>
      <w:rFonts w:ascii="Arial Narrow" w:eastAsia="MS Gothic" w:hAnsi="Arial Narrow"/>
      <w:i/>
      <w:dstrike w:val="0"/>
      <w:noProof w:val="0"/>
      <w:position w:val="6"/>
      <w:sz w:val="18"/>
      <w:vertAlign w:val="baseline"/>
      <w:lang w:val="en-US"/>
    </w:rPr>
  </w:style>
  <w:style w:type="paragraph" w:customStyle="1" w:styleId="xCover">
    <w:name w:val="xCover"/>
    <w:rsid w:val="00761728"/>
    <w:pPr>
      <w:spacing w:before="120"/>
    </w:pPr>
    <w:rPr>
      <w:rFonts w:ascii="Arial" w:eastAsia="MS Gothic" w:hAnsi="Arial" w:cs="Times New Roman"/>
      <w:lang w:val="en-US" w:eastAsia="en-US"/>
    </w:rPr>
  </w:style>
  <w:style w:type="paragraph" w:customStyle="1" w:styleId="xCoverAddress">
    <w:name w:val="xCoverAddress"/>
    <w:basedOn w:val="xCover"/>
    <w:rsid w:val="00761728"/>
    <w:pPr>
      <w:spacing w:before="0"/>
    </w:pPr>
  </w:style>
  <w:style w:type="paragraph" w:customStyle="1" w:styleId="xCoverDocType">
    <w:name w:val="xCoverDocType"/>
    <w:basedOn w:val="xCover"/>
    <w:rsid w:val="00761728"/>
    <w:pPr>
      <w:spacing w:before="360"/>
      <w:jc w:val="center"/>
    </w:pPr>
    <w:rPr>
      <w:b/>
      <w:caps/>
      <w:sz w:val="28"/>
    </w:rPr>
  </w:style>
  <w:style w:type="paragraph" w:customStyle="1" w:styleId="xCoverDocTitle">
    <w:name w:val="xCoverDocTitle"/>
    <w:basedOn w:val="xCover"/>
    <w:rsid w:val="00761728"/>
    <w:pPr>
      <w:spacing w:before="240"/>
      <w:jc w:val="center"/>
    </w:pPr>
    <w:rPr>
      <w:b/>
      <w:sz w:val="24"/>
    </w:rPr>
  </w:style>
  <w:style w:type="paragraph" w:styleId="EndnoteText">
    <w:name w:val="endnote text"/>
    <w:basedOn w:val="Normal"/>
    <w:link w:val="EndnoteTextChar"/>
    <w:semiHidden/>
    <w:rsid w:val="00761728"/>
    <w:rPr>
      <w:sz w:val="22"/>
      <w:szCs w:val="20"/>
    </w:rPr>
  </w:style>
  <w:style w:type="character" w:customStyle="1" w:styleId="EndnoteTextChar">
    <w:name w:val="Endnote Text Char"/>
    <w:link w:val="EndnoteText"/>
    <w:semiHidden/>
    <w:rsid w:val="00B97A3A"/>
    <w:rPr>
      <w:rFonts w:ascii="Times New Roman" w:eastAsia="MS Mincho" w:hAnsi="Times New Roman" w:cs="Times New Roman"/>
      <w:color w:val="000000"/>
      <w:sz w:val="22"/>
      <w:lang w:val="en-US" w:eastAsia="en-US"/>
    </w:rPr>
  </w:style>
  <w:style w:type="character" w:styleId="EndnoteReference">
    <w:name w:val="endnote reference"/>
    <w:semiHidden/>
    <w:rsid w:val="00761728"/>
    <w:rPr>
      <w:vertAlign w:val="superscript"/>
    </w:rPr>
  </w:style>
  <w:style w:type="paragraph" w:styleId="MacroText">
    <w:name w:val="macro"/>
    <w:link w:val="MacroTextChar"/>
    <w:semiHidden/>
    <w:rsid w:val="0076172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lang w:val="en-US" w:eastAsia="en-US"/>
    </w:rPr>
  </w:style>
  <w:style w:type="character" w:customStyle="1" w:styleId="MacroTextChar">
    <w:name w:val="Macro Text Char"/>
    <w:link w:val="MacroText"/>
    <w:semiHidden/>
    <w:rsid w:val="00B97A3A"/>
    <w:rPr>
      <w:rFonts w:ascii="Courier New" w:eastAsia="Times New Roman" w:hAnsi="Courier New" w:cs="Times New Roman"/>
      <w:lang w:val="en-US" w:eastAsia="en-US"/>
    </w:rPr>
  </w:style>
  <w:style w:type="paragraph" w:styleId="TableofFigures">
    <w:name w:val="table of figures"/>
    <w:next w:val="Normal"/>
    <w:semiHidden/>
    <w:rsid w:val="00761728"/>
    <w:pPr>
      <w:tabs>
        <w:tab w:val="right" w:leader="dot" w:pos="9468"/>
      </w:tabs>
      <w:spacing w:before="120"/>
    </w:pPr>
    <w:rPr>
      <w:rFonts w:ascii="Arial" w:eastAsia="Times New Roman" w:hAnsi="Arial" w:cs="Times New Roman"/>
      <w:lang w:val="en-US" w:eastAsia="en-US"/>
    </w:rPr>
  </w:style>
  <w:style w:type="paragraph" w:styleId="TableofAuthorities">
    <w:name w:val="table of authorities"/>
    <w:basedOn w:val="Normal"/>
    <w:next w:val="Normal"/>
    <w:semiHidden/>
    <w:rsid w:val="00761728"/>
    <w:pPr>
      <w:ind w:left="240" w:hanging="240"/>
    </w:pPr>
  </w:style>
  <w:style w:type="character" w:styleId="Hyperlink">
    <w:name w:val="Hyperlink"/>
    <w:uiPriority w:val="99"/>
    <w:rsid w:val="00761728"/>
    <w:rPr>
      <w:color w:val="0000FF"/>
      <w:u w:val="single"/>
    </w:rPr>
  </w:style>
  <w:style w:type="paragraph" w:styleId="Bibliography">
    <w:name w:val="Bibliography"/>
    <w:basedOn w:val="Normal"/>
    <w:next w:val="Normal"/>
    <w:rsid w:val="00761728"/>
    <w:pPr>
      <w:ind w:left="357" w:hanging="357"/>
    </w:pPr>
  </w:style>
  <w:style w:type="character" w:customStyle="1" w:styleId="ReplaceText">
    <w:name w:val="Replace Text"/>
    <w:rsid w:val="00761728"/>
    <w:rPr>
      <w:color w:val="FF00FF"/>
    </w:rPr>
  </w:style>
  <w:style w:type="paragraph" w:styleId="TOC1">
    <w:name w:val="toc 1"/>
    <w:next w:val="Normal"/>
    <w:semiHidden/>
    <w:rsid w:val="00761728"/>
    <w:pPr>
      <w:tabs>
        <w:tab w:val="right" w:leader="dot" w:pos="9468"/>
      </w:tabs>
      <w:spacing w:before="240"/>
      <w:ind w:left="851" w:right="567" w:hanging="851"/>
    </w:pPr>
    <w:rPr>
      <w:rFonts w:ascii="Arial" w:eastAsia="Times New Roman" w:hAnsi="Arial" w:cs="Times New Roman"/>
      <w:b/>
      <w:caps/>
      <w:lang w:val="en-US" w:eastAsia="en-US"/>
    </w:rPr>
  </w:style>
  <w:style w:type="paragraph" w:customStyle="1" w:styleId="ListAlphabeticalLevel2">
    <w:name w:val="List Alphabetical Level 2"/>
    <w:basedOn w:val="ListNumbered"/>
    <w:rsid w:val="00761728"/>
    <w:pPr>
      <w:numPr>
        <w:numId w:val="5"/>
      </w:numPr>
    </w:pPr>
  </w:style>
  <w:style w:type="paragraph" w:styleId="Index1">
    <w:name w:val="index 1"/>
    <w:basedOn w:val="Normal"/>
    <w:next w:val="Normal"/>
    <w:semiHidden/>
    <w:rsid w:val="00761728"/>
    <w:pPr>
      <w:tabs>
        <w:tab w:val="left" w:pos="1701"/>
        <w:tab w:val="left" w:pos="3402"/>
        <w:tab w:val="left" w:pos="5103"/>
      </w:tabs>
      <w:spacing w:before="0"/>
      <w:ind w:left="1701" w:hanging="1701"/>
    </w:pPr>
  </w:style>
  <w:style w:type="paragraph" w:styleId="TOAHeading">
    <w:name w:val="toa heading"/>
    <w:basedOn w:val="Normal"/>
    <w:next w:val="Normal"/>
    <w:semiHidden/>
    <w:rsid w:val="00761728"/>
    <w:pPr>
      <w:spacing w:before="120"/>
    </w:pPr>
    <w:rPr>
      <w:rFonts w:ascii="Arial" w:hAnsi="Arial" w:cs="Arial"/>
      <w:b/>
      <w:bCs/>
    </w:rPr>
  </w:style>
  <w:style w:type="character" w:customStyle="1" w:styleId="Reference">
    <w:name w:val="Reference"/>
    <w:rsid w:val="00761728"/>
    <w:rPr>
      <w:color w:val="0000FF"/>
    </w:rPr>
  </w:style>
  <w:style w:type="paragraph" w:customStyle="1" w:styleId="TblTextbulletedlist">
    <w:name w:val="Tbl Text bulleted list"/>
    <w:basedOn w:val="TblTextLeft"/>
    <w:rsid w:val="00761728"/>
    <w:pPr>
      <w:tabs>
        <w:tab w:val="left" w:pos="216"/>
        <w:tab w:val="num" w:pos="680"/>
      </w:tabs>
      <w:spacing w:before="0" w:after="0"/>
      <w:ind w:left="216" w:hanging="216"/>
    </w:pPr>
  </w:style>
  <w:style w:type="paragraph" w:styleId="TOC2">
    <w:name w:val="toc 2"/>
    <w:basedOn w:val="TOC1"/>
    <w:next w:val="Normal"/>
    <w:semiHidden/>
    <w:rsid w:val="00761728"/>
    <w:rPr>
      <w:b w:val="0"/>
    </w:rPr>
  </w:style>
  <w:style w:type="character" w:styleId="PageNumber">
    <w:name w:val="page number"/>
    <w:rsid w:val="00761728"/>
  </w:style>
  <w:style w:type="paragraph" w:styleId="ListBullet">
    <w:name w:val="List Bullet"/>
    <w:basedOn w:val="Normal"/>
    <w:rsid w:val="00761728"/>
    <w:pPr>
      <w:numPr>
        <w:numId w:val="6"/>
      </w:numPr>
    </w:pPr>
  </w:style>
  <w:style w:type="paragraph" w:styleId="TOC3">
    <w:name w:val="toc 3"/>
    <w:basedOn w:val="TOC1"/>
    <w:next w:val="Normal"/>
    <w:semiHidden/>
    <w:rsid w:val="00761728"/>
    <w:pPr>
      <w:spacing w:before="120"/>
    </w:pPr>
    <w:rPr>
      <w:b w:val="0"/>
      <w:caps w:val="0"/>
    </w:rPr>
  </w:style>
  <w:style w:type="paragraph" w:styleId="TOC4">
    <w:name w:val="toc 4"/>
    <w:basedOn w:val="TOC1"/>
    <w:next w:val="Normal"/>
    <w:semiHidden/>
    <w:rsid w:val="00761728"/>
    <w:pPr>
      <w:spacing w:before="40"/>
    </w:pPr>
    <w:rPr>
      <w:b w:val="0"/>
      <w:caps w:val="0"/>
      <w:szCs w:val="22"/>
    </w:rPr>
  </w:style>
  <w:style w:type="paragraph" w:styleId="TOC5">
    <w:name w:val="toc 5"/>
    <w:basedOn w:val="TOC1"/>
    <w:next w:val="Normal"/>
    <w:semiHidden/>
    <w:rsid w:val="00761728"/>
    <w:pPr>
      <w:spacing w:before="0"/>
    </w:pPr>
    <w:rPr>
      <w:b w:val="0"/>
      <w:caps w:val="0"/>
    </w:rPr>
  </w:style>
  <w:style w:type="paragraph" w:styleId="TOC6">
    <w:name w:val="toc 6"/>
    <w:basedOn w:val="TOC1"/>
    <w:next w:val="Normal"/>
    <w:semiHidden/>
    <w:rsid w:val="00761728"/>
    <w:pPr>
      <w:spacing w:before="0"/>
    </w:pPr>
    <w:rPr>
      <w:b w:val="0"/>
      <w:caps w:val="0"/>
    </w:rPr>
  </w:style>
  <w:style w:type="paragraph" w:styleId="TOC7">
    <w:name w:val="toc 7"/>
    <w:basedOn w:val="TOC6"/>
    <w:next w:val="Normal"/>
    <w:semiHidden/>
    <w:rsid w:val="00761728"/>
  </w:style>
  <w:style w:type="paragraph" w:styleId="TOC8">
    <w:name w:val="toc 8"/>
    <w:basedOn w:val="TOC6"/>
    <w:next w:val="Normal"/>
    <w:semiHidden/>
    <w:rsid w:val="00761728"/>
  </w:style>
  <w:style w:type="paragraph" w:styleId="TOC9">
    <w:name w:val="toc 9"/>
    <w:basedOn w:val="TOC6"/>
    <w:next w:val="Normal"/>
    <w:semiHidden/>
    <w:rsid w:val="00761728"/>
  </w:style>
  <w:style w:type="character" w:customStyle="1" w:styleId="TblFigFootnoteChar">
    <w:name w:val="Tbl Fig Footnote Char"/>
    <w:rsid w:val="00761728"/>
    <w:rPr>
      <w:rFonts w:ascii="Arial Narrow" w:eastAsia="MS Gothic" w:hAnsi="Arial Narrow"/>
      <w:sz w:val="18"/>
      <w:lang w:val="en-US" w:eastAsia="en-US" w:bidi="ar-SA"/>
    </w:rPr>
  </w:style>
  <w:style w:type="character" w:styleId="FollowedHyperlink">
    <w:name w:val="FollowedHyperlink"/>
    <w:rsid w:val="00761728"/>
    <w:rPr>
      <w:color w:val="800080"/>
      <w:u w:val="single"/>
    </w:rPr>
  </w:style>
  <w:style w:type="character" w:customStyle="1" w:styleId="UnresolvedMention1">
    <w:name w:val="Unresolved Mention1"/>
    <w:uiPriority w:val="99"/>
    <w:semiHidden/>
    <w:unhideWhenUsed/>
    <w:rsid w:val="0055703C"/>
    <w:rPr>
      <w:color w:val="808080"/>
      <w:shd w:val="clear" w:color="auto" w:fill="E6E6E6"/>
    </w:rPr>
  </w:style>
  <w:style w:type="paragraph" w:styleId="NormalWeb">
    <w:name w:val="Normal (Web)"/>
    <w:basedOn w:val="Normal"/>
    <w:uiPriority w:val="99"/>
    <w:semiHidden/>
    <w:unhideWhenUsed/>
    <w:rsid w:val="00414A94"/>
    <w:pPr>
      <w:spacing w:before="100" w:beforeAutospacing="1" w:after="100" w:afterAutospacing="1"/>
    </w:pPr>
    <w:rPr>
      <w:rFonts w:eastAsia="Times New Roman"/>
      <w:color w:val="auto"/>
      <w:lang w:val="en-AU" w:eastAsia="en-AU"/>
    </w:rPr>
  </w:style>
  <w:style w:type="character" w:styleId="CommentReference">
    <w:name w:val="annotation reference"/>
    <w:basedOn w:val="DefaultParagraphFont"/>
    <w:uiPriority w:val="99"/>
    <w:semiHidden/>
    <w:unhideWhenUsed/>
    <w:rsid w:val="00CE0B1B"/>
    <w:rPr>
      <w:sz w:val="16"/>
      <w:szCs w:val="16"/>
    </w:rPr>
  </w:style>
  <w:style w:type="paragraph" w:styleId="CommentText">
    <w:name w:val="annotation text"/>
    <w:basedOn w:val="Normal"/>
    <w:link w:val="CommentTextChar"/>
    <w:uiPriority w:val="99"/>
    <w:unhideWhenUsed/>
    <w:rsid w:val="00CE0B1B"/>
    <w:pPr>
      <w:spacing w:before="0" w:after="200"/>
    </w:pPr>
    <w:rPr>
      <w:rFonts w:ascii="Calibri" w:eastAsia="Calibri" w:hAnsi="Calibri"/>
      <w:color w:val="auto"/>
      <w:sz w:val="20"/>
      <w:szCs w:val="20"/>
    </w:rPr>
  </w:style>
  <w:style w:type="character" w:customStyle="1" w:styleId="CommentTextChar">
    <w:name w:val="Comment Text Char"/>
    <w:basedOn w:val="DefaultParagraphFont"/>
    <w:link w:val="CommentText"/>
    <w:uiPriority w:val="99"/>
    <w:rsid w:val="00CE0B1B"/>
    <w:rPr>
      <w:rFonts w:cs="Times New Roman"/>
      <w:lang w:val="en-US" w:eastAsia="en-US"/>
    </w:rPr>
  </w:style>
  <w:style w:type="paragraph" w:styleId="BalloonText">
    <w:name w:val="Balloon Text"/>
    <w:basedOn w:val="Normal"/>
    <w:link w:val="BalloonTextChar"/>
    <w:uiPriority w:val="99"/>
    <w:semiHidden/>
    <w:unhideWhenUsed/>
    <w:rsid w:val="00CE0B1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B1B"/>
    <w:rPr>
      <w:rFonts w:ascii="Segoe UI" w:eastAsia="MS Mincho" w:hAnsi="Segoe UI" w:cs="Segoe UI"/>
      <w:color w:val="000000"/>
      <w:sz w:val="18"/>
      <w:szCs w:val="18"/>
      <w:lang w:val="en-US" w:eastAsia="en-US"/>
    </w:rPr>
  </w:style>
  <w:style w:type="paragraph" w:customStyle="1" w:styleId="BodyText21">
    <w:name w:val="Body Text 21"/>
    <w:basedOn w:val="Normal"/>
    <w:rsid w:val="00976744"/>
    <w:pPr>
      <w:spacing w:before="0"/>
      <w:ind w:left="709"/>
    </w:pPr>
    <w:rPr>
      <w:rFonts w:ascii="Arial" w:eastAsia="Times New Roman" w:hAnsi="Arial"/>
      <w:szCs w:val="20"/>
      <w:lang w:val="en-GB" w:eastAsia="de-DE"/>
    </w:rPr>
  </w:style>
  <w:style w:type="table" w:styleId="TableGrid">
    <w:name w:val="Table Grid"/>
    <w:basedOn w:val="TableNormal"/>
    <w:uiPriority w:val="59"/>
    <w:rsid w:val="00976744"/>
    <w:pPr>
      <w:jc w:val="both"/>
    </w:pPr>
    <w:rPr>
      <w:rFonts w:ascii="Times New Roman" w:eastAsia="SimSun"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37DD"/>
    <w:pPr>
      <w:ind w:left="720"/>
      <w:contextualSpacing/>
    </w:pPr>
  </w:style>
  <w:style w:type="paragraph" w:customStyle="1" w:styleId="Body12">
    <w:name w:val="Body 12"/>
    <w:link w:val="Body12Char"/>
    <w:qFormat/>
    <w:rsid w:val="009B1033"/>
    <w:pPr>
      <w:spacing w:after="240" w:line="264" w:lineRule="auto"/>
      <w:jc w:val="both"/>
    </w:pPr>
    <w:rPr>
      <w:rFonts w:ascii="Times New Roman" w:eastAsia="SimSun" w:hAnsi="Times New Roman" w:cs="Times New Roman"/>
      <w:sz w:val="24"/>
      <w:szCs w:val="32"/>
      <w:lang w:val="en-GB" w:eastAsia="en-CA"/>
    </w:rPr>
  </w:style>
  <w:style w:type="character" w:customStyle="1" w:styleId="Body12Char">
    <w:name w:val="Body 12 Char"/>
    <w:basedOn w:val="DefaultParagraphFont"/>
    <w:link w:val="Body12"/>
    <w:rsid w:val="009B1033"/>
    <w:rPr>
      <w:rFonts w:ascii="Times New Roman" w:eastAsia="SimSun" w:hAnsi="Times New Roman" w:cs="Times New Roman"/>
      <w:sz w:val="24"/>
      <w:szCs w:val="32"/>
      <w:lang w:val="en-GB" w:eastAsia="en-CA"/>
    </w:rPr>
  </w:style>
  <w:style w:type="paragraph" w:customStyle="1" w:styleId="TableFoot2">
    <w:name w:val="Table Foot 2"/>
    <w:basedOn w:val="Normal"/>
    <w:qFormat/>
    <w:rsid w:val="009B1033"/>
    <w:pPr>
      <w:tabs>
        <w:tab w:val="left" w:pos="180"/>
      </w:tabs>
      <w:spacing w:before="0"/>
      <w:ind w:left="180" w:hanging="180"/>
    </w:pPr>
    <w:rPr>
      <w:rFonts w:eastAsia="SimSun"/>
      <w:color w:val="auto"/>
      <w:sz w:val="16"/>
      <w:szCs w:val="16"/>
      <w:lang w:val="en-GB" w:eastAsia="en-CA"/>
    </w:rPr>
  </w:style>
  <w:style w:type="paragraph" w:customStyle="1" w:styleId="TableHeadLeft">
    <w:name w:val="Table Head Left"/>
    <w:basedOn w:val="Normal"/>
    <w:qFormat/>
    <w:rsid w:val="009B1033"/>
    <w:pPr>
      <w:spacing w:before="60" w:after="60"/>
    </w:pPr>
    <w:rPr>
      <w:rFonts w:eastAsia="SimSun"/>
      <w:b/>
      <w:color w:val="auto"/>
      <w:sz w:val="20"/>
      <w:szCs w:val="20"/>
      <w:lang w:val="en-GB" w:eastAsia="en-CA"/>
    </w:rPr>
  </w:style>
  <w:style w:type="paragraph" w:customStyle="1" w:styleId="TableHeadCentre">
    <w:name w:val="Table Head Centre"/>
    <w:basedOn w:val="Normal"/>
    <w:qFormat/>
    <w:rsid w:val="009B1033"/>
    <w:pPr>
      <w:spacing w:before="60" w:after="60"/>
      <w:jc w:val="center"/>
    </w:pPr>
    <w:rPr>
      <w:rFonts w:eastAsia="SimSun"/>
      <w:b/>
      <w:color w:val="auto"/>
      <w:sz w:val="20"/>
      <w:szCs w:val="20"/>
      <w:lang w:val="en-GB" w:eastAsia="en-CA"/>
    </w:rPr>
  </w:style>
  <w:style w:type="paragraph" w:customStyle="1" w:styleId="TableDataLeft">
    <w:name w:val="Table Data Left"/>
    <w:basedOn w:val="Normal"/>
    <w:rsid w:val="009B1033"/>
    <w:pPr>
      <w:spacing w:before="40" w:after="40"/>
    </w:pPr>
    <w:rPr>
      <w:rFonts w:eastAsia="SimSun"/>
      <w:color w:val="auto"/>
      <w:sz w:val="20"/>
      <w:szCs w:val="20"/>
      <w:lang w:val="en-GB" w:eastAsia="en-CA"/>
    </w:rPr>
  </w:style>
  <w:style w:type="paragraph" w:customStyle="1" w:styleId="TableFoot1">
    <w:name w:val="Table Foot 1"/>
    <w:basedOn w:val="Normal"/>
    <w:next w:val="TableFoot2"/>
    <w:qFormat/>
    <w:rsid w:val="009B1033"/>
    <w:pPr>
      <w:tabs>
        <w:tab w:val="left" w:pos="180"/>
      </w:tabs>
      <w:spacing w:before="60"/>
      <w:ind w:left="180" w:hanging="180"/>
    </w:pPr>
    <w:rPr>
      <w:rFonts w:eastAsia="SimSun"/>
      <w:color w:val="auto"/>
      <w:sz w:val="16"/>
      <w:szCs w:val="16"/>
      <w:lang w:val="en-GB" w:eastAsia="en-CA"/>
    </w:rPr>
  </w:style>
  <w:style w:type="paragraph" w:styleId="BodyText">
    <w:name w:val="Body Text"/>
    <w:basedOn w:val="Normal"/>
    <w:link w:val="BodyTextChar"/>
    <w:semiHidden/>
    <w:rsid w:val="00A63889"/>
    <w:pPr>
      <w:spacing w:before="0"/>
    </w:pPr>
    <w:rPr>
      <w:rFonts w:ascii="Arial" w:eastAsia="Times New Roman" w:hAnsi="Arial" w:cs="Arial"/>
      <w:i/>
      <w:iCs/>
      <w:color w:val="auto"/>
      <w:lang w:val="en-GB"/>
    </w:rPr>
  </w:style>
  <w:style w:type="character" w:customStyle="1" w:styleId="BodyTextChar">
    <w:name w:val="Body Text Char"/>
    <w:basedOn w:val="DefaultParagraphFont"/>
    <w:link w:val="BodyText"/>
    <w:semiHidden/>
    <w:rsid w:val="00A63889"/>
    <w:rPr>
      <w:rFonts w:ascii="Arial" w:eastAsia="Times New Roman" w:hAnsi="Arial"/>
      <w:i/>
      <w:iCs/>
      <w:sz w:val="24"/>
      <w:szCs w:val="24"/>
      <w:lang w:val="en-GB" w:eastAsia="en-US"/>
    </w:rPr>
  </w:style>
  <w:style w:type="paragraph" w:styleId="CommentSubject">
    <w:name w:val="annotation subject"/>
    <w:basedOn w:val="CommentText"/>
    <w:next w:val="CommentText"/>
    <w:link w:val="CommentSubjectChar"/>
    <w:uiPriority w:val="99"/>
    <w:semiHidden/>
    <w:unhideWhenUsed/>
    <w:rsid w:val="007D15F2"/>
    <w:pPr>
      <w:spacing w:before="240" w:after="0"/>
    </w:pPr>
    <w:rPr>
      <w:rFonts w:ascii="Times New Roman" w:eastAsia="MS Mincho" w:hAnsi="Times New Roman"/>
      <w:b/>
      <w:bCs/>
      <w:color w:val="000000"/>
    </w:rPr>
  </w:style>
  <w:style w:type="character" w:customStyle="1" w:styleId="CommentSubjectChar">
    <w:name w:val="Comment Subject Char"/>
    <w:basedOn w:val="CommentTextChar"/>
    <w:link w:val="CommentSubject"/>
    <w:uiPriority w:val="99"/>
    <w:semiHidden/>
    <w:rsid w:val="007D15F2"/>
    <w:rPr>
      <w:rFonts w:ascii="Times New Roman" w:eastAsia="MS Mincho" w:hAnsi="Times New Roman" w:cs="Times New Roman"/>
      <w:b/>
      <w:bCs/>
      <w:color w:val="000000"/>
      <w:lang w:val="en-US" w:eastAsia="en-US"/>
    </w:rPr>
  </w:style>
  <w:style w:type="paragraph" w:styleId="Revision">
    <w:name w:val="Revision"/>
    <w:hidden/>
    <w:uiPriority w:val="99"/>
    <w:semiHidden/>
    <w:rsid w:val="007D15F2"/>
    <w:rPr>
      <w:rFonts w:ascii="Times New Roman" w:eastAsia="MS Mincho" w:hAnsi="Times New Roman" w:cs="Times New Roman"/>
      <w:color w:val="000000"/>
      <w:sz w:val="24"/>
      <w:szCs w:val="24"/>
      <w:lang w:val="en-US" w:eastAsia="en-US"/>
    </w:rPr>
  </w:style>
  <w:style w:type="paragraph" w:styleId="BodyText3">
    <w:name w:val="Body Text 3"/>
    <w:basedOn w:val="Normal"/>
    <w:link w:val="BodyText3Char"/>
    <w:uiPriority w:val="99"/>
    <w:semiHidden/>
    <w:unhideWhenUsed/>
    <w:rsid w:val="007D15F2"/>
    <w:pPr>
      <w:spacing w:after="120"/>
    </w:pPr>
    <w:rPr>
      <w:sz w:val="16"/>
      <w:szCs w:val="16"/>
    </w:rPr>
  </w:style>
  <w:style w:type="character" w:customStyle="1" w:styleId="BodyText3Char">
    <w:name w:val="Body Text 3 Char"/>
    <w:basedOn w:val="DefaultParagraphFont"/>
    <w:link w:val="BodyText3"/>
    <w:uiPriority w:val="99"/>
    <w:semiHidden/>
    <w:rsid w:val="007D15F2"/>
    <w:rPr>
      <w:rFonts w:ascii="Times New Roman" w:eastAsia="MS Mincho" w:hAnsi="Times New Roman" w:cs="Times New Roman"/>
      <w:color w:val="000000"/>
      <w:sz w:val="16"/>
      <w:szCs w:val="16"/>
      <w:lang w:val="en-US" w:eastAsia="en-US"/>
    </w:rPr>
  </w:style>
  <w:style w:type="paragraph" w:styleId="BodyTextIndent">
    <w:name w:val="Body Text Indent"/>
    <w:basedOn w:val="Normal"/>
    <w:link w:val="BodyTextIndentChar"/>
    <w:uiPriority w:val="99"/>
    <w:semiHidden/>
    <w:unhideWhenUsed/>
    <w:rsid w:val="007D15F2"/>
    <w:pPr>
      <w:spacing w:after="120"/>
      <w:ind w:left="283"/>
    </w:pPr>
  </w:style>
  <w:style w:type="character" w:customStyle="1" w:styleId="BodyTextIndentChar">
    <w:name w:val="Body Text Indent Char"/>
    <w:basedOn w:val="DefaultParagraphFont"/>
    <w:link w:val="BodyTextIndent"/>
    <w:uiPriority w:val="99"/>
    <w:semiHidden/>
    <w:rsid w:val="007D15F2"/>
    <w:rPr>
      <w:rFonts w:ascii="Times New Roman" w:eastAsia="MS Mincho"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477105">
      <w:bodyDiv w:val="1"/>
      <w:marLeft w:val="0"/>
      <w:marRight w:val="0"/>
      <w:marTop w:val="0"/>
      <w:marBottom w:val="0"/>
      <w:divBdr>
        <w:top w:val="none" w:sz="0" w:space="0" w:color="auto"/>
        <w:left w:val="none" w:sz="0" w:space="0" w:color="auto"/>
        <w:bottom w:val="none" w:sz="0" w:space="0" w:color="auto"/>
        <w:right w:val="none" w:sz="0" w:space="0" w:color="auto"/>
      </w:divBdr>
      <w:divsChild>
        <w:div w:id="789322371">
          <w:marLeft w:val="240"/>
          <w:marRight w:val="0"/>
          <w:marTop w:val="0"/>
          <w:marBottom w:val="0"/>
          <w:divBdr>
            <w:top w:val="none" w:sz="0" w:space="0" w:color="auto"/>
            <w:left w:val="none" w:sz="0" w:space="0" w:color="auto"/>
            <w:bottom w:val="none" w:sz="0" w:space="0" w:color="auto"/>
            <w:right w:val="none" w:sz="0" w:space="0" w:color="auto"/>
          </w:divBdr>
        </w:div>
      </w:divsChild>
    </w:div>
    <w:div w:id="128581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tga.gov.au/reporting-problems"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B9F"/>
    <w:rsid w:val="00A30B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CECF6DF28448678D047279C7970FA4">
    <w:name w:val="5FCECF6DF28448678D047279C7970FA4"/>
    <w:rsid w:val="00A30B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5757</Words>
  <Characters>31477</Characters>
  <Application>Microsoft Office Word</Application>
  <DocSecurity>0</DocSecurity>
  <Lines>629</Lines>
  <Paragraphs>320</Paragraphs>
  <ScaleCrop>false</ScaleCrop>
  <HeadingPairs>
    <vt:vector size="2" baseType="variant">
      <vt:variant>
        <vt:lpstr>Title</vt:lpstr>
      </vt:variant>
      <vt:variant>
        <vt:i4>1</vt:i4>
      </vt:variant>
    </vt:vector>
  </HeadingPairs>
  <TitlesOfParts>
    <vt:vector size="1" baseType="lpstr">
      <vt:lpstr>Product Information</vt:lpstr>
    </vt:vector>
  </TitlesOfParts>
  <Company/>
  <LinksUpToDate>false</LinksUpToDate>
  <CharactersWithSpaces>36914</CharactersWithSpaces>
  <SharedDoc>false</SharedDoc>
  <HLinks>
    <vt:vector size="24" baseType="variant">
      <vt:variant>
        <vt:i4>6684796</vt:i4>
      </vt:variant>
      <vt:variant>
        <vt:i4>12</vt:i4>
      </vt:variant>
      <vt:variant>
        <vt:i4>0</vt:i4>
      </vt:variant>
      <vt:variant>
        <vt:i4>5</vt:i4>
      </vt:variant>
      <vt:variant>
        <vt:lpwstr>https://www.tga.gov.au/sites/default/files/reformatting-product-information-frequently-asked-questions.pdf</vt:lpwstr>
      </vt:variant>
      <vt:variant>
        <vt:lpwstr/>
      </vt:variant>
      <vt:variant>
        <vt:i4>5898317</vt:i4>
      </vt:variant>
      <vt:variant>
        <vt:i4>9</vt:i4>
      </vt:variant>
      <vt:variant>
        <vt:i4>0</vt:i4>
      </vt:variant>
      <vt:variant>
        <vt:i4>5</vt:i4>
      </vt:variant>
      <vt:variant>
        <vt:lpwstr>http://www.tga.gov.au/reporting-problems</vt:lpwstr>
      </vt:variant>
      <vt:variant>
        <vt:lpwstr/>
      </vt:variant>
      <vt:variant>
        <vt:i4>6357099</vt:i4>
      </vt:variant>
      <vt:variant>
        <vt:i4>6</vt:i4>
      </vt:variant>
      <vt:variant>
        <vt:i4>0</vt:i4>
      </vt:variant>
      <vt:variant>
        <vt:i4>5</vt:i4>
      </vt:variant>
      <vt:variant>
        <vt:lpwstr>https://www.tga.gov.au/where-find-approved-terminology</vt:lpwstr>
      </vt:variant>
      <vt:variant>
        <vt:lpwstr/>
      </vt:variant>
      <vt:variant>
        <vt:i4>5570626</vt:i4>
      </vt:variant>
      <vt:variant>
        <vt:i4>3</vt:i4>
      </vt:variant>
      <vt:variant>
        <vt:i4>0</vt:i4>
      </vt:variant>
      <vt:variant>
        <vt:i4>5</vt:i4>
      </vt:variant>
      <vt:variant>
        <vt:lpwstr>https://www.tga.gov.au/reporting-problems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Ferric carboxymaltose</dc:title>
  <dc:subject>prescription medicines</dc:subject>
  <dc:creator/>
  <cp:keywords/>
  <cp:lastPrinted>2018-05-30T00:50:00Z</cp:lastPrinted>
  <dcterms:created xsi:type="dcterms:W3CDTF">2019-10-28T01:00:00Z</dcterms:created>
  <dcterms:modified xsi:type="dcterms:W3CDTF">2019-10-28T01:02:00Z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Type of Document</vt:lpwstr>
  </property>
  <property fmtid="{D5CDD505-2E9C-101B-9397-08002B2CF9AE}" pid="3" name="INN">
    <vt:lpwstr>INN</vt:lpwstr>
  </property>
  <property fmtid="{D5CDD505-2E9C-101B-9397-08002B2CF9AE}" pid="4" name="Date">
    <vt:lpwstr>Date</vt:lpwstr>
  </property>
  <property fmtid="{D5CDD505-2E9C-101B-9397-08002B2CF9AE}" pid="5" name="Product Code">
    <vt:lpwstr>Product Code / Study Number</vt:lpwstr>
  </property>
  <property fmtid="{D5CDD505-2E9C-101B-9397-08002B2CF9AE}" pid="6" name="LastRefNum">
    <vt:i4>0</vt:i4>
  </property>
</Properties>
</file>