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E10614" w:rsidRDefault="0055407A" w:rsidP="00E10614">
            <w:pPr>
              <w:pStyle w:val="Date"/>
              <w:framePr w:hSpace="0" w:wrap="auto" w:vAnchor="margin" w:hAnchor="text" w:yAlign="inline"/>
              <w:suppressOverlap w:val="0"/>
            </w:pPr>
            <w:r w:rsidRPr="00E10614">
              <w:t>April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E10614" w:rsidRDefault="0032583B" w:rsidP="00E10614">
            <w:pPr>
              <w:pStyle w:val="Title"/>
              <w:framePr w:hSpace="0" w:wrap="auto" w:vAnchor="margin" w:yAlign="inline"/>
            </w:pPr>
            <w:r w:rsidRPr="00E10614">
              <w:t>Australian Pu</w:t>
            </w:r>
            <w:r w:rsidR="0055407A" w:rsidRPr="00E10614">
              <w:t>blic Assessment Report for Fentanyl citrate</w:t>
            </w:r>
          </w:p>
        </w:tc>
      </w:tr>
      <w:tr w:rsidR="0032583B" w:rsidRPr="00B64760" w:rsidTr="0032583B">
        <w:tc>
          <w:tcPr>
            <w:tcW w:w="9079" w:type="dxa"/>
          </w:tcPr>
          <w:p w:rsidR="0032583B" w:rsidRPr="00E10614" w:rsidRDefault="0032583B" w:rsidP="00E10614">
            <w:pPr>
              <w:pStyle w:val="Subtitle"/>
              <w:framePr w:hSpace="0" w:wrap="auto" w:vAnchor="margin" w:yAlign="inline"/>
            </w:pPr>
            <w:r w:rsidRPr="00E10614">
              <w:t xml:space="preserve">Proprietary Product Name: </w:t>
            </w:r>
            <w:proofErr w:type="spellStart"/>
            <w:r w:rsidR="0055407A" w:rsidRPr="00E10614">
              <w:t>Fentora</w:t>
            </w:r>
            <w:proofErr w:type="spellEnd"/>
          </w:p>
        </w:tc>
      </w:tr>
      <w:tr w:rsidR="0032583B" w:rsidRPr="00B64760" w:rsidTr="0032583B">
        <w:trPr>
          <w:trHeight w:val="486"/>
        </w:trPr>
        <w:tc>
          <w:tcPr>
            <w:tcW w:w="9079" w:type="dxa"/>
          </w:tcPr>
          <w:p w:rsidR="0032583B" w:rsidRPr="00E10614" w:rsidRDefault="0055407A" w:rsidP="00E10614">
            <w:pPr>
              <w:pStyle w:val="Subtitle"/>
              <w:framePr w:hSpace="0" w:wrap="auto" w:vAnchor="margin" w:yAlign="inline"/>
            </w:pPr>
            <w:r w:rsidRPr="00E10614">
              <w:t>Sponsor: Orphan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FD28F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FD28F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FD28F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FD28F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FD28FA">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About AusPARs</w:t>
      </w:r>
    </w:p>
    <w:p w:rsidR="008E7846" w:rsidRDefault="008E7846" w:rsidP="00FD28FA">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F15577">
        <w:t>escription medicine submission.</w:t>
      </w:r>
    </w:p>
    <w:p w:rsidR="008E7846" w:rsidRDefault="008E7846" w:rsidP="00FD28FA">
      <w:pPr>
        <w:pStyle w:val="ListBullet"/>
        <w:numPr>
          <w:ilvl w:val="0"/>
          <w:numId w:val="1"/>
        </w:numPr>
        <w:ind w:left="357" w:hanging="357"/>
      </w:pPr>
      <w:r>
        <w:t>AusPARs are prepared and published by the TGA.</w:t>
      </w:r>
    </w:p>
    <w:p w:rsidR="008E7846" w:rsidRDefault="008E7846" w:rsidP="00FD28FA">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FD28FA">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FD28FA">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E10614">
      <w:pPr>
        <w:pStyle w:val="LegalSubheading"/>
        <w:spacing w:before="348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B60391"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B60391" w:rsidRPr="00BA0181">
            <w:rPr>
              <w:rStyle w:val="Hyperlink"/>
              <w:noProof/>
            </w:rPr>
            <w:fldChar w:fldCharType="begin"/>
          </w:r>
          <w:r w:rsidR="00B60391" w:rsidRPr="00BA0181">
            <w:rPr>
              <w:rStyle w:val="Hyperlink"/>
              <w:noProof/>
            </w:rPr>
            <w:instrText xml:space="preserve"> </w:instrText>
          </w:r>
          <w:r w:rsidR="00B60391">
            <w:rPr>
              <w:noProof/>
            </w:rPr>
            <w:instrText>HYPERLINK \l "_Toc420586645"</w:instrText>
          </w:r>
          <w:r w:rsidR="00B60391" w:rsidRPr="00BA0181">
            <w:rPr>
              <w:rStyle w:val="Hyperlink"/>
              <w:noProof/>
            </w:rPr>
            <w:instrText xml:space="preserve"> </w:instrText>
          </w:r>
          <w:r w:rsidR="00B60391" w:rsidRPr="00BA0181">
            <w:rPr>
              <w:rStyle w:val="Hyperlink"/>
              <w:noProof/>
            </w:rPr>
          </w:r>
          <w:r w:rsidR="00B60391" w:rsidRPr="00BA0181">
            <w:rPr>
              <w:rStyle w:val="Hyperlink"/>
              <w:noProof/>
            </w:rPr>
            <w:fldChar w:fldCharType="separate"/>
          </w:r>
          <w:r w:rsidR="00B60391" w:rsidRPr="00BA0181">
            <w:rPr>
              <w:rStyle w:val="Hyperlink"/>
              <w:noProof/>
            </w:rPr>
            <w:t>List of the most common abbreviations used in this AusPAR</w:t>
          </w:r>
          <w:r w:rsidR="00B60391">
            <w:rPr>
              <w:noProof/>
              <w:webHidden/>
            </w:rPr>
            <w:tab/>
          </w:r>
          <w:r w:rsidR="00B60391">
            <w:rPr>
              <w:noProof/>
              <w:webHidden/>
            </w:rPr>
            <w:fldChar w:fldCharType="begin"/>
          </w:r>
          <w:r w:rsidR="00B60391">
            <w:rPr>
              <w:noProof/>
              <w:webHidden/>
            </w:rPr>
            <w:instrText xml:space="preserve"> PAGEREF _Toc420586645 \h </w:instrText>
          </w:r>
          <w:r w:rsidR="00B60391">
            <w:rPr>
              <w:noProof/>
              <w:webHidden/>
            </w:rPr>
          </w:r>
          <w:r w:rsidR="00B60391">
            <w:rPr>
              <w:noProof/>
              <w:webHidden/>
            </w:rPr>
            <w:fldChar w:fldCharType="separate"/>
          </w:r>
          <w:r w:rsidR="00B60391">
            <w:rPr>
              <w:noProof/>
              <w:webHidden/>
            </w:rPr>
            <w:t>5</w:t>
          </w:r>
          <w:r w:rsidR="00B60391">
            <w:rPr>
              <w:noProof/>
              <w:webHidden/>
            </w:rPr>
            <w:fldChar w:fldCharType="end"/>
          </w:r>
          <w:r w:rsidR="00B60391" w:rsidRPr="00BA0181">
            <w:rPr>
              <w:rStyle w:val="Hyperlink"/>
              <w:noProof/>
            </w:rPr>
            <w:fldChar w:fldCharType="end"/>
          </w:r>
        </w:p>
        <w:p w:rsidR="00B60391" w:rsidRDefault="00B60391">
          <w:pPr>
            <w:pStyle w:val="TOC2"/>
            <w:rPr>
              <w:rFonts w:asciiTheme="minorHAnsi" w:eastAsiaTheme="minorEastAsia" w:hAnsiTheme="minorHAnsi" w:cstheme="minorBidi"/>
              <w:b w:val="0"/>
              <w:noProof/>
              <w:sz w:val="22"/>
              <w:lang w:eastAsia="en-AU"/>
            </w:rPr>
          </w:pPr>
          <w:hyperlink w:anchor="_Toc420586646" w:history="1">
            <w:r w:rsidRPr="00BA0181">
              <w:rPr>
                <w:rStyle w:val="Hyperlink"/>
                <w:noProof/>
              </w:rPr>
              <w:t>I. Introduction to product submission</w:t>
            </w:r>
            <w:r>
              <w:rPr>
                <w:noProof/>
                <w:webHidden/>
              </w:rPr>
              <w:tab/>
            </w:r>
            <w:r>
              <w:rPr>
                <w:noProof/>
                <w:webHidden/>
              </w:rPr>
              <w:fldChar w:fldCharType="begin"/>
            </w:r>
            <w:r>
              <w:rPr>
                <w:noProof/>
                <w:webHidden/>
              </w:rPr>
              <w:instrText xml:space="preserve"> PAGEREF _Toc420586646 \h </w:instrText>
            </w:r>
            <w:r>
              <w:rPr>
                <w:noProof/>
                <w:webHidden/>
              </w:rPr>
            </w:r>
            <w:r>
              <w:rPr>
                <w:noProof/>
                <w:webHidden/>
              </w:rPr>
              <w:fldChar w:fldCharType="separate"/>
            </w:r>
            <w:r>
              <w:rPr>
                <w:noProof/>
                <w:webHidden/>
              </w:rPr>
              <w:t>9</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47" w:history="1">
            <w:r w:rsidRPr="00BA0181">
              <w:rPr>
                <w:rStyle w:val="Hyperlink"/>
                <w:noProof/>
                <w:lang w:eastAsia="en-AU"/>
              </w:rPr>
              <w:t>Submission details</w:t>
            </w:r>
            <w:r>
              <w:rPr>
                <w:noProof/>
                <w:webHidden/>
              </w:rPr>
              <w:tab/>
            </w:r>
            <w:r>
              <w:rPr>
                <w:noProof/>
                <w:webHidden/>
              </w:rPr>
              <w:fldChar w:fldCharType="begin"/>
            </w:r>
            <w:r>
              <w:rPr>
                <w:noProof/>
                <w:webHidden/>
              </w:rPr>
              <w:instrText xml:space="preserve"> PAGEREF _Toc420586647 \h </w:instrText>
            </w:r>
            <w:r>
              <w:rPr>
                <w:noProof/>
                <w:webHidden/>
              </w:rPr>
            </w:r>
            <w:r>
              <w:rPr>
                <w:noProof/>
                <w:webHidden/>
              </w:rPr>
              <w:fldChar w:fldCharType="separate"/>
            </w:r>
            <w:r>
              <w:rPr>
                <w:noProof/>
                <w:webHidden/>
              </w:rPr>
              <w:t>9</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48" w:history="1">
            <w:r w:rsidRPr="00BA0181">
              <w:rPr>
                <w:rStyle w:val="Hyperlink"/>
                <w:noProof/>
              </w:rPr>
              <w:t>Product background</w:t>
            </w:r>
            <w:r>
              <w:rPr>
                <w:noProof/>
                <w:webHidden/>
              </w:rPr>
              <w:tab/>
            </w:r>
            <w:r>
              <w:rPr>
                <w:noProof/>
                <w:webHidden/>
              </w:rPr>
              <w:fldChar w:fldCharType="begin"/>
            </w:r>
            <w:r>
              <w:rPr>
                <w:noProof/>
                <w:webHidden/>
              </w:rPr>
              <w:instrText xml:space="preserve"> PAGEREF _Toc420586648 \h </w:instrText>
            </w:r>
            <w:r>
              <w:rPr>
                <w:noProof/>
                <w:webHidden/>
              </w:rPr>
            </w:r>
            <w:r>
              <w:rPr>
                <w:noProof/>
                <w:webHidden/>
              </w:rPr>
              <w:fldChar w:fldCharType="separate"/>
            </w:r>
            <w:r>
              <w:rPr>
                <w:noProof/>
                <w:webHidden/>
              </w:rPr>
              <w:t>9</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49" w:history="1">
            <w:r w:rsidRPr="00BA0181">
              <w:rPr>
                <w:rStyle w:val="Hyperlink"/>
                <w:noProof/>
              </w:rPr>
              <w:t>Regulatory status</w:t>
            </w:r>
            <w:r>
              <w:rPr>
                <w:noProof/>
                <w:webHidden/>
              </w:rPr>
              <w:tab/>
            </w:r>
            <w:r>
              <w:rPr>
                <w:noProof/>
                <w:webHidden/>
              </w:rPr>
              <w:fldChar w:fldCharType="begin"/>
            </w:r>
            <w:r>
              <w:rPr>
                <w:noProof/>
                <w:webHidden/>
              </w:rPr>
              <w:instrText xml:space="preserve"> PAGEREF _Toc420586649 \h </w:instrText>
            </w:r>
            <w:r>
              <w:rPr>
                <w:noProof/>
                <w:webHidden/>
              </w:rPr>
            </w:r>
            <w:r>
              <w:rPr>
                <w:noProof/>
                <w:webHidden/>
              </w:rPr>
              <w:fldChar w:fldCharType="separate"/>
            </w:r>
            <w:r>
              <w:rPr>
                <w:noProof/>
                <w:webHidden/>
              </w:rPr>
              <w:t>10</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0" w:history="1">
            <w:r w:rsidRPr="00BA0181">
              <w:rPr>
                <w:rStyle w:val="Hyperlink"/>
                <w:noProof/>
              </w:rPr>
              <w:t>Product information</w:t>
            </w:r>
            <w:r>
              <w:rPr>
                <w:noProof/>
                <w:webHidden/>
              </w:rPr>
              <w:tab/>
            </w:r>
            <w:r>
              <w:rPr>
                <w:noProof/>
                <w:webHidden/>
              </w:rPr>
              <w:fldChar w:fldCharType="begin"/>
            </w:r>
            <w:r>
              <w:rPr>
                <w:noProof/>
                <w:webHidden/>
              </w:rPr>
              <w:instrText xml:space="preserve"> PAGEREF _Toc420586650 \h </w:instrText>
            </w:r>
            <w:r>
              <w:rPr>
                <w:noProof/>
                <w:webHidden/>
              </w:rPr>
            </w:r>
            <w:r>
              <w:rPr>
                <w:noProof/>
                <w:webHidden/>
              </w:rPr>
              <w:fldChar w:fldCharType="separate"/>
            </w:r>
            <w:r>
              <w:rPr>
                <w:noProof/>
                <w:webHidden/>
              </w:rPr>
              <w:t>11</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51" w:history="1">
            <w:r w:rsidRPr="00BA0181">
              <w:rPr>
                <w:rStyle w:val="Hyperlink"/>
                <w:noProof/>
              </w:rPr>
              <w:t>II. Quality findings</w:t>
            </w:r>
            <w:r>
              <w:rPr>
                <w:noProof/>
                <w:webHidden/>
              </w:rPr>
              <w:tab/>
            </w:r>
            <w:r>
              <w:rPr>
                <w:noProof/>
                <w:webHidden/>
              </w:rPr>
              <w:fldChar w:fldCharType="begin"/>
            </w:r>
            <w:r>
              <w:rPr>
                <w:noProof/>
                <w:webHidden/>
              </w:rPr>
              <w:instrText xml:space="preserve"> PAGEREF _Toc420586651 \h </w:instrText>
            </w:r>
            <w:r>
              <w:rPr>
                <w:noProof/>
                <w:webHidden/>
              </w:rPr>
            </w:r>
            <w:r>
              <w:rPr>
                <w:noProof/>
                <w:webHidden/>
              </w:rPr>
              <w:fldChar w:fldCharType="separate"/>
            </w:r>
            <w:r>
              <w:rPr>
                <w:noProof/>
                <w:webHidden/>
              </w:rPr>
              <w:t>11</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2" w:history="1">
            <w:r w:rsidRPr="00BA0181">
              <w:rPr>
                <w:rStyle w:val="Hyperlink"/>
                <w:noProof/>
              </w:rPr>
              <w:t>Drug substance (active ingredient)</w:t>
            </w:r>
            <w:r>
              <w:rPr>
                <w:noProof/>
                <w:webHidden/>
              </w:rPr>
              <w:tab/>
            </w:r>
            <w:r>
              <w:rPr>
                <w:noProof/>
                <w:webHidden/>
              </w:rPr>
              <w:fldChar w:fldCharType="begin"/>
            </w:r>
            <w:r>
              <w:rPr>
                <w:noProof/>
                <w:webHidden/>
              </w:rPr>
              <w:instrText xml:space="preserve"> PAGEREF _Toc420586652 \h </w:instrText>
            </w:r>
            <w:r>
              <w:rPr>
                <w:noProof/>
                <w:webHidden/>
              </w:rPr>
            </w:r>
            <w:r>
              <w:rPr>
                <w:noProof/>
                <w:webHidden/>
              </w:rPr>
              <w:fldChar w:fldCharType="separate"/>
            </w:r>
            <w:r>
              <w:rPr>
                <w:noProof/>
                <w:webHidden/>
              </w:rPr>
              <w:t>11</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3" w:history="1">
            <w:r w:rsidRPr="00BA0181">
              <w:rPr>
                <w:rStyle w:val="Hyperlink"/>
                <w:noProof/>
              </w:rPr>
              <w:t>Drug product</w:t>
            </w:r>
            <w:r>
              <w:rPr>
                <w:noProof/>
                <w:webHidden/>
              </w:rPr>
              <w:tab/>
            </w:r>
            <w:r>
              <w:rPr>
                <w:noProof/>
                <w:webHidden/>
              </w:rPr>
              <w:fldChar w:fldCharType="begin"/>
            </w:r>
            <w:r>
              <w:rPr>
                <w:noProof/>
                <w:webHidden/>
              </w:rPr>
              <w:instrText xml:space="preserve"> PAGEREF _Toc420586653 \h </w:instrText>
            </w:r>
            <w:r>
              <w:rPr>
                <w:noProof/>
                <w:webHidden/>
              </w:rPr>
            </w:r>
            <w:r>
              <w:rPr>
                <w:noProof/>
                <w:webHidden/>
              </w:rPr>
              <w:fldChar w:fldCharType="separate"/>
            </w:r>
            <w:r>
              <w:rPr>
                <w:noProof/>
                <w:webHidden/>
              </w:rPr>
              <w:t>12</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4" w:history="1">
            <w:r w:rsidRPr="00BA0181">
              <w:rPr>
                <w:rStyle w:val="Hyperlink"/>
                <w:noProof/>
              </w:rPr>
              <w:t>Quality summary and conclusions</w:t>
            </w:r>
            <w:r>
              <w:rPr>
                <w:noProof/>
                <w:webHidden/>
              </w:rPr>
              <w:tab/>
            </w:r>
            <w:r>
              <w:rPr>
                <w:noProof/>
                <w:webHidden/>
              </w:rPr>
              <w:fldChar w:fldCharType="begin"/>
            </w:r>
            <w:r>
              <w:rPr>
                <w:noProof/>
                <w:webHidden/>
              </w:rPr>
              <w:instrText xml:space="preserve"> PAGEREF _Toc420586654 \h </w:instrText>
            </w:r>
            <w:r>
              <w:rPr>
                <w:noProof/>
                <w:webHidden/>
              </w:rPr>
            </w:r>
            <w:r>
              <w:rPr>
                <w:noProof/>
                <w:webHidden/>
              </w:rPr>
              <w:fldChar w:fldCharType="separate"/>
            </w:r>
            <w:r>
              <w:rPr>
                <w:noProof/>
                <w:webHidden/>
              </w:rPr>
              <w:t>12</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55" w:history="1">
            <w:r w:rsidRPr="00BA0181">
              <w:rPr>
                <w:rStyle w:val="Hyperlink"/>
                <w:noProof/>
              </w:rPr>
              <w:t>III. Nonclinical findings</w:t>
            </w:r>
            <w:r>
              <w:rPr>
                <w:noProof/>
                <w:webHidden/>
              </w:rPr>
              <w:tab/>
            </w:r>
            <w:r>
              <w:rPr>
                <w:noProof/>
                <w:webHidden/>
              </w:rPr>
              <w:fldChar w:fldCharType="begin"/>
            </w:r>
            <w:r>
              <w:rPr>
                <w:noProof/>
                <w:webHidden/>
              </w:rPr>
              <w:instrText xml:space="preserve"> PAGEREF _Toc420586655 \h </w:instrText>
            </w:r>
            <w:r>
              <w:rPr>
                <w:noProof/>
                <w:webHidden/>
              </w:rPr>
            </w:r>
            <w:r>
              <w:rPr>
                <w:noProof/>
                <w:webHidden/>
              </w:rPr>
              <w:fldChar w:fldCharType="separate"/>
            </w:r>
            <w:r>
              <w:rPr>
                <w:noProof/>
                <w:webHidden/>
              </w:rPr>
              <w:t>13</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6" w:history="1">
            <w:r w:rsidRPr="00BA0181">
              <w:rPr>
                <w:rStyle w:val="Hyperlink"/>
                <w:noProof/>
              </w:rPr>
              <w:t>Introduction</w:t>
            </w:r>
            <w:r>
              <w:rPr>
                <w:noProof/>
                <w:webHidden/>
              </w:rPr>
              <w:tab/>
            </w:r>
            <w:r>
              <w:rPr>
                <w:noProof/>
                <w:webHidden/>
              </w:rPr>
              <w:fldChar w:fldCharType="begin"/>
            </w:r>
            <w:r>
              <w:rPr>
                <w:noProof/>
                <w:webHidden/>
              </w:rPr>
              <w:instrText xml:space="preserve"> PAGEREF _Toc420586656 \h </w:instrText>
            </w:r>
            <w:r>
              <w:rPr>
                <w:noProof/>
                <w:webHidden/>
              </w:rPr>
            </w:r>
            <w:r>
              <w:rPr>
                <w:noProof/>
                <w:webHidden/>
              </w:rPr>
              <w:fldChar w:fldCharType="separate"/>
            </w:r>
            <w:r>
              <w:rPr>
                <w:noProof/>
                <w:webHidden/>
              </w:rPr>
              <w:t>13</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7" w:history="1">
            <w:r w:rsidRPr="00BA0181">
              <w:rPr>
                <w:rStyle w:val="Hyperlink"/>
                <w:noProof/>
              </w:rPr>
              <w:t>Pharmacology</w:t>
            </w:r>
            <w:r>
              <w:rPr>
                <w:noProof/>
                <w:webHidden/>
              </w:rPr>
              <w:tab/>
            </w:r>
            <w:r>
              <w:rPr>
                <w:noProof/>
                <w:webHidden/>
              </w:rPr>
              <w:fldChar w:fldCharType="begin"/>
            </w:r>
            <w:r>
              <w:rPr>
                <w:noProof/>
                <w:webHidden/>
              </w:rPr>
              <w:instrText xml:space="preserve"> PAGEREF _Toc420586657 \h </w:instrText>
            </w:r>
            <w:r>
              <w:rPr>
                <w:noProof/>
                <w:webHidden/>
              </w:rPr>
            </w:r>
            <w:r>
              <w:rPr>
                <w:noProof/>
                <w:webHidden/>
              </w:rPr>
              <w:fldChar w:fldCharType="separate"/>
            </w:r>
            <w:r>
              <w:rPr>
                <w:noProof/>
                <w:webHidden/>
              </w:rPr>
              <w:t>14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8" w:history="1">
            <w:r w:rsidRPr="00BA0181">
              <w:rPr>
                <w:rStyle w:val="Hyperlink"/>
                <w:noProof/>
              </w:rPr>
              <w:t>Pharmacokinetics</w:t>
            </w:r>
            <w:r>
              <w:rPr>
                <w:noProof/>
                <w:webHidden/>
              </w:rPr>
              <w:tab/>
            </w:r>
            <w:r>
              <w:rPr>
                <w:noProof/>
                <w:webHidden/>
              </w:rPr>
              <w:fldChar w:fldCharType="begin"/>
            </w:r>
            <w:r>
              <w:rPr>
                <w:noProof/>
                <w:webHidden/>
              </w:rPr>
              <w:instrText xml:space="preserve"> PAGEREF _Toc420586658 \h </w:instrText>
            </w:r>
            <w:r>
              <w:rPr>
                <w:noProof/>
                <w:webHidden/>
              </w:rPr>
            </w:r>
            <w:r>
              <w:rPr>
                <w:noProof/>
                <w:webHidden/>
              </w:rPr>
              <w:fldChar w:fldCharType="separate"/>
            </w:r>
            <w:r>
              <w:rPr>
                <w:noProof/>
                <w:webHidden/>
              </w:rPr>
              <w:t>15</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59" w:history="1">
            <w:r w:rsidRPr="00BA0181">
              <w:rPr>
                <w:rStyle w:val="Hyperlink"/>
                <w:noProof/>
              </w:rPr>
              <w:t>Toxicology</w:t>
            </w:r>
            <w:r>
              <w:rPr>
                <w:noProof/>
                <w:webHidden/>
              </w:rPr>
              <w:tab/>
            </w:r>
            <w:r>
              <w:rPr>
                <w:noProof/>
                <w:webHidden/>
              </w:rPr>
              <w:fldChar w:fldCharType="begin"/>
            </w:r>
            <w:r>
              <w:rPr>
                <w:noProof/>
                <w:webHidden/>
              </w:rPr>
              <w:instrText xml:space="preserve"> PAGEREF _Toc420586659 \h </w:instrText>
            </w:r>
            <w:r>
              <w:rPr>
                <w:noProof/>
                <w:webHidden/>
              </w:rPr>
            </w:r>
            <w:r>
              <w:rPr>
                <w:noProof/>
                <w:webHidden/>
              </w:rPr>
              <w:fldChar w:fldCharType="separate"/>
            </w:r>
            <w:r>
              <w:rPr>
                <w:noProof/>
                <w:webHidden/>
              </w:rPr>
              <w:t>16</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0" w:history="1">
            <w:r w:rsidRPr="00BA0181">
              <w:rPr>
                <w:rStyle w:val="Hyperlink"/>
                <w:noProof/>
              </w:rPr>
              <w:t>Nonclinical summary and conclusions</w:t>
            </w:r>
            <w:r>
              <w:rPr>
                <w:noProof/>
                <w:webHidden/>
              </w:rPr>
              <w:tab/>
            </w:r>
            <w:r>
              <w:rPr>
                <w:noProof/>
                <w:webHidden/>
              </w:rPr>
              <w:fldChar w:fldCharType="begin"/>
            </w:r>
            <w:r>
              <w:rPr>
                <w:noProof/>
                <w:webHidden/>
              </w:rPr>
              <w:instrText xml:space="preserve"> PAGEREF _Toc420586660 \h </w:instrText>
            </w:r>
            <w:r>
              <w:rPr>
                <w:noProof/>
                <w:webHidden/>
              </w:rPr>
            </w:r>
            <w:r>
              <w:rPr>
                <w:noProof/>
                <w:webHidden/>
              </w:rPr>
              <w:fldChar w:fldCharType="separate"/>
            </w:r>
            <w:r>
              <w:rPr>
                <w:noProof/>
                <w:webHidden/>
              </w:rPr>
              <w:t>23</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1" w:history="1">
            <w:r w:rsidRPr="00BA0181">
              <w:rPr>
                <w:rStyle w:val="Hyperlink"/>
                <w:noProof/>
              </w:rPr>
              <w:t>Nonclinical conclusions and recommendation</w:t>
            </w:r>
            <w:r>
              <w:rPr>
                <w:noProof/>
                <w:webHidden/>
              </w:rPr>
              <w:tab/>
            </w:r>
            <w:r>
              <w:rPr>
                <w:noProof/>
                <w:webHidden/>
              </w:rPr>
              <w:fldChar w:fldCharType="begin"/>
            </w:r>
            <w:r>
              <w:rPr>
                <w:noProof/>
                <w:webHidden/>
              </w:rPr>
              <w:instrText xml:space="preserve"> PAGEREF _Toc420586661 \h </w:instrText>
            </w:r>
            <w:r>
              <w:rPr>
                <w:noProof/>
                <w:webHidden/>
              </w:rPr>
            </w:r>
            <w:r>
              <w:rPr>
                <w:noProof/>
                <w:webHidden/>
              </w:rPr>
              <w:fldChar w:fldCharType="separate"/>
            </w:r>
            <w:r>
              <w:rPr>
                <w:noProof/>
                <w:webHidden/>
              </w:rPr>
              <w:t>24</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62" w:history="1">
            <w:r w:rsidRPr="00BA0181">
              <w:rPr>
                <w:rStyle w:val="Hyperlink"/>
                <w:noProof/>
              </w:rPr>
              <w:t>IV. Clinical findings</w:t>
            </w:r>
            <w:r>
              <w:rPr>
                <w:noProof/>
                <w:webHidden/>
              </w:rPr>
              <w:tab/>
            </w:r>
            <w:r>
              <w:rPr>
                <w:noProof/>
                <w:webHidden/>
              </w:rPr>
              <w:fldChar w:fldCharType="begin"/>
            </w:r>
            <w:r>
              <w:rPr>
                <w:noProof/>
                <w:webHidden/>
              </w:rPr>
              <w:instrText xml:space="preserve"> PAGEREF _Toc420586662 \h </w:instrText>
            </w:r>
            <w:r>
              <w:rPr>
                <w:noProof/>
                <w:webHidden/>
              </w:rPr>
            </w:r>
            <w:r>
              <w:rPr>
                <w:noProof/>
                <w:webHidden/>
              </w:rPr>
              <w:fldChar w:fldCharType="separate"/>
            </w:r>
            <w:r>
              <w:rPr>
                <w:noProof/>
                <w:webHidden/>
              </w:rPr>
              <w:t>24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3" w:history="1">
            <w:r w:rsidRPr="00BA0181">
              <w:rPr>
                <w:rStyle w:val="Hyperlink"/>
                <w:noProof/>
              </w:rPr>
              <w:t>Introduction</w:t>
            </w:r>
            <w:r>
              <w:rPr>
                <w:noProof/>
                <w:webHidden/>
              </w:rPr>
              <w:tab/>
            </w:r>
            <w:r>
              <w:rPr>
                <w:noProof/>
                <w:webHidden/>
              </w:rPr>
              <w:fldChar w:fldCharType="begin"/>
            </w:r>
            <w:r>
              <w:rPr>
                <w:noProof/>
                <w:webHidden/>
              </w:rPr>
              <w:instrText xml:space="preserve"> PAGEREF _Toc420586663 \h </w:instrText>
            </w:r>
            <w:r>
              <w:rPr>
                <w:noProof/>
                <w:webHidden/>
              </w:rPr>
            </w:r>
            <w:r>
              <w:rPr>
                <w:noProof/>
                <w:webHidden/>
              </w:rPr>
              <w:fldChar w:fldCharType="separate"/>
            </w:r>
            <w:r>
              <w:rPr>
                <w:noProof/>
                <w:webHidden/>
              </w:rPr>
              <w:t>24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4" w:history="1">
            <w:r w:rsidRPr="00BA0181">
              <w:rPr>
                <w:rStyle w:val="Hyperlink"/>
                <w:noProof/>
              </w:rPr>
              <w:t>Pharmacokinetics</w:t>
            </w:r>
            <w:r>
              <w:rPr>
                <w:noProof/>
                <w:webHidden/>
              </w:rPr>
              <w:tab/>
            </w:r>
            <w:r>
              <w:rPr>
                <w:noProof/>
                <w:webHidden/>
              </w:rPr>
              <w:fldChar w:fldCharType="begin"/>
            </w:r>
            <w:r>
              <w:rPr>
                <w:noProof/>
                <w:webHidden/>
              </w:rPr>
              <w:instrText xml:space="preserve"> PAGEREF _Toc420586664 \h </w:instrText>
            </w:r>
            <w:r>
              <w:rPr>
                <w:noProof/>
                <w:webHidden/>
              </w:rPr>
            </w:r>
            <w:r>
              <w:rPr>
                <w:noProof/>
                <w:webHidden/>
              </w:rPr>
              <w:fldChar w:fldCharType="separate"/>
            </w:r>
            <w:r>
              <w:rPr>
                <w:noProof/>
                <w:webHidden/>
              </w:rPr>
              <w:t>26</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5" w:history="1">
            <w:r w:rsidRPr="00BA0181">
              <w:rPr>
                <w:rStyle w:val="Hyperlink"/>
                <w:noProof/>
              </w:rPr>
              <w:t>Pharmacodynamics</w:t>
            </w:r>
            <w:r>
              <w:rPr>
                <w:noProof/>
                <w:webHidden/>
              </w:rPr>
              <w:tab/>
            </w:r>
            <w:r>
              <w:rPr>
                <w:noProof/>
                <w:webHidden/>
              </w:rPr>
              <w:fldChar w:fldCharType="begin"/>
            </w:r>
            <w:r>
              <w:rPr>
                <w:noProof/>
                <w:webHidden/>
              </w:rPr>
              <w:instrText xml:space="preserve"> PAGEREF _Toc420586665 \h </w:instrText>
            </w:r>
            <w:r>
              <w:rPr>
                <w:noProof/>
                <w:webHidden/>
              </w:rPr>
            </w:r>
            <w:r>
              <w:rPr>
                <w:noProof/>
                <w:webHidden/>
              </w:rPr>
              <w:fldChar w:fldCharType="separate"/>
            </w:r>
            <w:r>
              <w:rPr>
                <w:noProof/>
                <w:webHidden/>
              </w:rPr>
              <w:t>28</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6" w:history="1">
            <w:r w:rsidRPr="00BA0181">
              <w:rPr>
                <w:rStyle w:val="Hyperlink"/>
                <w:noProof/>
              </w:rPr>
              <w:t>Dosage selection for the pivotal studies</w:t>
            </w:r>
            <w:r>
              <w:rPr>
                <w:noProof/>
                <w:webHidden/>
              </w:rPr>
              <w:tab/>
            </w:r>
            <w:r>
              <w:rPr>
                <w:noProof/>
                <w:webHidden/>
              </w:rPr>
              <w:fldChar w:fldCharType="begin"/>
            </w:r>
            <w:r>
              <w:rPr>
                <w:noProof/>
                <w:webHidden/>
              </w:rPr>
              <w:instrText xml:space="preserve"> PAGEREF _Toc420586666 \h </w:instrText>
            </w:r>
            <w:r>
              <w:rPr>
                <w:noProof/>
                <w:webHidden/>
              </w:rPr>
            </w:r>
            <w:r>
              <w:rPr>
                <w:noProof/>
                <w:webHidden/>
              </w:rPr>
              <w:fldChar w:fldCharType="separate"/>
            </w:r>
            <w:r>
              <w:rPr>
                <w:noProof/>
                <w:webHidden/>
              </w:rPr>
              <w:t>29</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7" w:history="1">
            <w:r w:rsidRPr="00BA0181">
              <w:rPr>
                <w:rStyle w:val="Hyperlink"/>
                <w:noProof/>
              </w:rPr>
              <w:t>Efficacy</w:t>
            </w:r>
            <w:r>
              <w:rPr>
                <w:noProof/>
                <w:webHidden/>
              </w:rPr>
              <w:tab/>
            </w:r>
            <w:r>
              <w:rPr>
                <w:noProof/>
                <w:webHidden/>
              </w:rPr>
              <w:fldChar w:fldCharType="begin"/>
            </w:r>
            <w:r>
              <w:rPr>
                <w:noProof/>
                <w:webHidden/>
              </w:rPr>
              <w:instrText xml:space="preserve"> PAGEREF _Toc420586667 \h </w:instrText>
            </w:r>
            <w:r>
              <w:rPr>
                <w:noProof/>
                <w:webHidden/>
              </w:rPr>
            </w:r>
            <w:r>
              <w:rPr>
                <w:noProof/>
                <w:webHidden/>
              </w:rPr>
              <w:fldChar w:fldCharType="separate"/>
            </w:r>
            <w:r>
              <w:rPr>
                <w:noProof/>
                <w:webHidden/>
              </w:rPr>
              <w:t>29</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8" w:history="1">
            <w:r w:rsidRPr="00BA0181">
              <w:rPr>
                <w:rStyle w:val="Hyperlink"/>
                <w:noProof/>
              </w:rPr>
              <w:t>Safety</w:t>
            </w:r>
            <w:r>
              <w:rPr>
                <w:noProof/>
                <w:webHidden/>
              </w:rPr>
              <w:tab/>
            </w:r>
            <w:r>
              <w:rPr>
                <w:noProof/>
                <w:webHidden/>
              </w:rPr>
              <w:fldChar w:fldCharType="begin"/>
            </w:r>
            <w:r>
              <w:rPr>
                <w:noProof/>
                <w:webHidden/>
              </w:rPr>
              <w:instrText xml:space="preserve"> PAGEREF _Toc420586668 \h </w:instrText>
            </w:r>
            <w:r>
              <w:rPr>
                <w:noProof/>
                <w:webHidden/>
              </w:rPr>
            </w:r>
            <w:r>
              <w:rPr>
                <w:noProof/>
                <w:webHidden/>
              </w:rPr>
              <w:fldChar w:fldCharType="separate"/>
            </w:r>
            <w:r>
              <w:rPr>
                <w:noProof/>
                <w:webHidden/>
              </w:rPr>
              <w:t>30</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69" w:history="1">
            <w:r w:rsidRPr="00BA0181">
              <w:rPr>
                <w:rStyle w:val="Hyperlink"/>
                <w:noProof/>
              </w:rPr>
              <w:t>First round benefit-risk assessment</w:t>
            </w:r>
            <w:r>
              <w:rPr>
                <w:noProof/>
                <w:webHidden/>
              </w:rPr>
              <w:tab/>
            </w:r>
            <w:r>
              <w:rPr>
                <w:noProof/>
                <w:webHidden/>
              </w:rPr>
              <w:fldChar w:fldCharType="begin"/>
            </w:r>
            <w:r>
              <w:rPr>
                <w:noProof/>
                <w:webHidden/>
              </w:rPr>
              <w:instrText xml:space="preserve"> PAGEREF _Toc420586669 \h </w:instrText>
            </w:r>
            <w:r>
              <w:rPr>
                <w:noProof/>
                <w:webHidden/>
              </w:rPr>
            </w:r>
            <w:r>
              <w:rPr>
                <w:noProof/>
                <w:webHidden/>
              </w:rPr>
              <w:fldChar w:fldCharType="separate"/>
            </w:r>
            <w:r>
              <w:rPr>
                <w:noProof/>
                <w:webHidden/>
              </w:rPr>
              <w:t>35</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0" w:history="1">
            <w:r w:rsidRPr="00BA0181">
              <w:rPr>
                <w:rStyle w:val="Hyperlink"/>
                <w:noProof/>
              </w:rPr>
              <w:t>First round recommendation regarding authorisation</w:t>
            </w:r>
            <w:r>
              <w:rPr>
                <w:noProof/>
                <w:webHidden/>
              </w:rPr>
              <w:tab/>
            </w:r>
            <w:r>
              <w:rPr>
                <w:noProof/>
                <w:webHidden/>
              </w:rPr>
              <w:fldChar w:fldCharType="begin"/>
            </w:r>
            <w:r>
              <w:rPr>
                <w:noProof/>
                <w:webHidden/>
              </w:rPr>
              <w:instrText xml:space="preserve"> PAGEREF _Toc420586670 \h </w:instrText>
            </w:r>
            <w:r>
              <w:rPr>
                <w:noProof/>
                <w:webHidden/>
              </w:rPr>
            </w:r>
            <w:r>
              <w:rPr>
                <w:noProof/>
                <w:webHidden/>
              </w:rPr>
              <w:fldChar w:fldCharType="separate"/>
            </w:r>
            <w:r>
              <w:rPr>
                <w:noProof/>
                <w:webHidden/>
              </w:rPr>
              <w:t>36</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1" w:history="1">
            <w:r w:rsidRPr="00BA0181">
              <w:rPr>
                <w:rStyle w:val="Hyperlink"/>
                <w:noProof/>
              </w:rPr>
              <w:t>Clinical questions</w:t>
            </w:r>
            <w:r>
              <w:rPr>
                <w:noProof/>
                <w:webHidden/>
              </w:rPr>
              <w:tab/>
            </w:r>
            <w:r>
              <w:rPr>
                <w:noProof/>
                <w:webHidden/>
              </w:rPr>
              <w:fldChar w:fldCharType="begin"/>
            </w:r>
            <w:r>
              <w:rPr>
                <w:noProof/>
                <w:webHidden/>
              </w:rPr>
              <w:instrText xml:space="preserve"> PAGEREF _Toc420586671 \h </w:instrText>
            </w:r>
            <w:r>
              <w:rPr>
                <w:noProof/>
                <w:webHidden/>
              </w:rPr>
            </w:r>
            <w:r>
              <w:rPr>
                <w:noProof/>
                <w:webHidden/>
              </w:rPr>
              <w:fldChar w:fldCharType="separate"/>
            </w:r>
            <w:r>
              <w:rPr>
                <w:noProof/>
                <w:webHidden/>
              </w:rPr>
              <w:t>36</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2" w:history="1">
            <w:r w:rsidRPr="00BA0181">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_Toc420586672 \h </w:instrText>
            </w:r>
            <w:r>
              <w:rPr>
                <w:noProof/>
                <w:webHidden/>
              </w:rPr>
            </w:r>
            <w:r>
              <w:rPr>
                <w:noProof/>
                <w:webHidden/>
              </w:rPr>
              <w:fldChar w:fldCharType="separate"/>
            </w:r>
            <w:r>
              <w:rPr>
                <w:noProof/>
                <w:webHidden/>
              </w:rPr>
              <w:t>36</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73" w:history="1">
            <w:r w:rsidRPr="00BA0181">
              <w:rPr>
                <w:rStyle w:val="Hyperlink"/>
                <w:noProof/>
              </w:rPr>
              <w:t>V. Pharmacovigilance findings</w:t>
            </w:r>
            <w:r>
              <w:rPr>
                <w:noProof/>
                <w:webHidden/>
              </w:rPr>
              <w:tab/>
            </w:r>
            <w:r>
              <w:rPr>
                <w:noProof/>
                <w:webHidden/>
              </w:rPr>
              <w:fldChar w:fldCharType="begin"/>
            </w:r>
            <w:r>
              <w:rPr>
                <w:noProof/>
                <w:webHidden/>
              </w:rPr>
              <w:instrText xml:space="preserve"> PAGEREF _Toc420586673 \h </w:instrText>
            </w:r>
            <w:r>
              <w:rPr>
                <w:noProof/>
                <w:webHidden/>
              </w:rPr>
            </w:r>
            <w:r>
              <w:rPr>
                <w:noProof/>
                <w:webHidden/>
              </w:rPr>
              <w:fldChar w:fldCharType="separate"/>
            </w:r>
            <w:r>
              <w:rPr>
                <w:noProof/>
                <w:webHidden/>
              </w:rPr>
              <w:t>36</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4" w:history="1">
            <w:r w:rsidRPr="00BA0181">
              <w:rPr>
                <w:rStyle w:val="Hyperlink"/>
                <w:noProof/>
                <w:lang w:eastAsia="en-AU"/>
              </w:rPr>
              <w:t>Risk management plan</w:t>
            </w:r>
            <w:r>
              <w:rPr>
                <w:noProof/>
                <w:webHidden/>
              </w:rPr>
              <w:tab/>
            </w:r>
            <w:r>
              <w:rPr>
                <w:noProof/>
                <w:webHidden/>
              </w:rPr>
              <w:fldChar w:fldCharType="begin"/>
            </w:r>
            <w:r>
              <w:rPr>
                <w:noProof/>
                <w:webHidden/>
              </w:rPr>
              <w:instrText xml:space="preserve"> PAGEREF _Toc420586674 \h </w:instrText>
            </w:r>
            <w:r>
              <w:rPr>
                <w:noProof/>
                <w:webHidden/>
              </w:rPr>
            </w:r>
            <w:r>
              <w:rPr>
                <w:noProof/>
                <w:webHidden/>
              </w:rPr>
              <w:fldChar w:fldCharType="separate"/>
            </w:r>
            <w:r>
              <w:rPr>
                <w:noProof/>
                <w:webHidden/>
              </w:rPr>
              <w:t>36</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75" w:history="1">
            <w:r w:rsidRPr="00BA0181">
              <w:rPr>
                <w:rStyle w:val="Hyperlink"/>
                <w:noProof/>
              </w:rPr>
              <w:t>VI. Overall conclusion and risk/benefit assessment</w:t>
            </w:r>
            <w:r>
              <w:rPr>
                <w:noProof/>
                <w:webHidden/>
              </w:rPr>
              <w:tab/>
            </w:r>
            <w:r>
              <w:rPr>
                <w:noProof/>
                <w:webHidden/>
              </w:rPr>
              <w:fldChar w:fldCharType="begin"/>
            </w:r>
            <w:r>
              <w:rPr>
                <w:noProof/>
                <w:webHidden/>
              </w:rPr>
              <w:instrText xml:space="preserve"> PAGEREF _Toc420586675 \h </w:instrText>
            </w:r>
            <w:r>
              <w:rPr>
                <w:noProof/>
                <w:webHidden/>
              </w:rPr>
            </w:r>
            <w:r>
              <w:rPr>
                <w:noProof/>
                <w:webHidden/>
              </w:rPr>
              <w:fldChar w:fldCharType="separate"/>
            </w:r>
            <w:r>
              <w:rPr>
                <w:noProof/>
                <w:webHidden/>
              </w:rPr>
              <w:t>44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6" w:history="1">
            <w:r w:rsidRPr="00BA0181">
              <w:rPr>
                <w:rStyle w:val="Hyperlink"/>
                <w:noProof/>
              </w:rPr>
              <w:t>Quality</w:t>
            </w:r>
            <w:r>
              <w:rPr>
                <w:noProof/>
                <w:webHidden/>
              </w:rPr>
              <w:tab/>
            </w:r>
            <w:r>
              <w:rPr>
                <w:noProof/>
                <w:webHidden/>
              </w:rPr>
              <w:fldChar w:fldCharType="begin"/>
            </w:r>
            <w:r>
              <w:rPr>
                <w:noProof/>
                <w:webHidden/>
              </w:rPr>
              <w:instrText xml:space="preserve"> PAGEREF _Toc420586676 \h </w:instrText>
            </w:r>
            <w:r>
              <w:rPr>
                <w:noProof/>
                <w:webHidden/>
              </w:rPr>
            </w:r>
            <w:r>
              <w:rPr>
                <w:noProof/>
                <w:webHidden/>
              </w:rPr>
              <w:fldChar w:fldCharType="separate"/>
            </w:r>
            <w:r>
              <w:rPr>
                <w:noProof/>
                <w:webHidden/>
              </w:rPr>
              <w:t>44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7" w:history="1">
            <w:r w:rsidRPr="00BA0181">
              <w:rPr>
                <w:rStyle w:val="Hyperlink"/>
                <w:noProof/>
              </w:rPr>
              <w:t>Nonclinical</w:t>
            </w:r>
            <w:r>
              <w:rPr>
                <w:noProof/>
                <w:webHidden/>
              </w:rPr>
              <w:tab/>
            </w:r>
            <w:r>
              <w:rPr>
                <w:noProof/>
                <w:webHidden/>
              </w:rPr>
              <w:fldChar w:fldCharType="begin"/>
            </w:r>
            <w:r>
              <w:rPr>
                <w:noProof/>
                <w:webHidden/>
              </w:rPr>
              <w:instrText xml:space="preserve"> PAGEREF _Toc420586677 \h </w:instrText>
            </w:r>
            <w:r>
              <w:rPr>
                <w:noProof/>
                <w:webHidden/>
              </w:rPr>
            </w:r>
            <w:r>
              <w:rPr>
                <w:noProof/>
                <w:webHidden/>
              </w:rPr>
              <w:fldChar w:fldCharType="separate"/>
            </w:r>
            <w:r>
              <w:rPr>
                <w:noProof/>
                <w:webHidden/>
              </w:rPr>
              <w:t>44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8" w:history="1">
            <w:r w:rsidRPr="00BA0181">
              <w:rPr>
                <w:rStyle w:val="Hyperlink"/>
                <w:noProof/>
              </w:rPr>
              <w:t>Clinical</w:t>
            </w:r>
            <w:r>
              <w:rPr>
                <w:noProof/>
                <w:webHidden/>
              </w:rPr>
              <w:tab/>
            </w:r>
            <w:r>
              <w:rPr>
                <w:noProof/>
                <w:webHidden/>
              </w:rPr>
              <w:fldChar w:fldCharType="begin"/>
            </w:r>
            <w:r>
              <w:rPr>
                <w:noProof/>
                <w:webHidden/>
              </w:rPr>
              <w:instrText xml:space="preserve"> PAGEREF _Toc420586678 \h </w:instrText>
            </w:r>
            <w:r>
              <w:rPr>
                <w:noProof/>
                <w:webHidden/>
              </w:rPr>
            </w:r>
            <w:r>
              <w:rPr>
                <w:noProof/>
                <w:webHidden/>
              </w:rPr>
              <w:fldChar w:fldCharType="separate"/>
            </w:r>
            <w:r>
              <w:rPr>
                <w:noProof/>
                <w:webHidden/>
              </w:rPr>
              <w:t>44</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79" w:history="1">
            <w:r w:rsidRPr="00BA0181">
              <w:rPr>
                <w:rStyle w:val="Hyperlink"/>
                <w:noProof/>
                <w:lang w:eastAsia="en-AU"/>
              </w:rPr>
              <w:t>Risk management plan</w:t>
            </w:r>
            <w:r>
              <w:rPr>
                <w:noProof/>
                <w:webHidden/>
              </w:rPr>
              <w:tab/>
            </w:r>
            <w:r>
              <w:rPr>
                <w:noProof/>
                <w:webHidden/>
              </w:rPr>
              <w:fldChar w:fldCharType="begin"/>
            </w:r>
            <w:r>
              <w:rPr>
                <w:noProof/>
                <w:webHidden/>
              </w:rPr>
              <w:instrText xml:space="preserve"> PAGEREF _Toc420586679 \h </w:instrText>
            </w:r>
            <w:r>
              <w:rPr>
                <w:noProof/>
                <w:webHidden/>
              </w:rPr>
            </w:r>
            <w:r>
              <w:rPr>
                <w:noProof/>
                <w:webHidden/>
              </w:rPr>
              <w:fldChar w:fldCharType="separate"/>
            </w:r>
            <w:r>
              <w:rPr>
                <w:noProof/>
                <w:webHidden/>
              </w:rPr>
              <w:t>51</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80" w:history="1">
            <w:r w:rsidRPr="00BA0181">
              <w:rPr>
                <w:rStyle w:val="Hyperlink"/>
                <w:noProof/>
              </w:rPr>
              <w:t>Risk-benefit analysis</w:t>
            </w:r>
            <w:r>
              <w:rPr>
                <w:noProof/>
                <w:webHidden/>
              </w:rPr>
              <w:tab/>
            </w:r>
            <w:r>
              <w:rPr>
                <w:noProof/>
                <w:webHidden/>
              </w:rPr>
              <w:fldChar w:fldCharType="begin"/>
            </w:r>
            <w:r>
              <w:rPr>
                <w:noProof/>
                <w:webHidden/>
              </w:rPr>
              <w:instrText xml:space="preserve"> PAGEREF _Toc420586680 \h </w:instrText>
            </w:r>
            <w:r>
              <w:rPr>
                <w:noProof/>
                <w:webHidden/>
              </w:rPr>
            </w:r>
            <w:r>
              <w:rPr>
                <w:noProof/>
                <w:webHidden/>
              </w:rPr>
              <w:fldChar w:fldCharType="separate"/>
            </w:r>
            <w:r>
              <w:rPr>
                <w:noProof/>
                <w:webHidden/>
              </w:rPr>
              <w:t>51</w:t>
            </w:r>
            <w:r>
              <w:rPr>
                <w:noProof/>
                <w:webHidden/>
              </w:rPr>
              <w:fldChar w:fldCharType="end"/>
            </w:r>
          </w:hyperlink>
        </w:p>
        <w:p w:rsidR="00B60391" w:rsidRDefault="00B60391">
          <w:pPr>
            <w:pStyle w:val="TOC3"/>
            <w:rPr>
              <w:rFonts w:asciiTheme="minorHAnsi" w:eastAsiaTheme="minorEastAsia" w:hAnsiTheme="minorHAnsi" w:cstheme="minorBidi"/>
              <w:noProof/>
              <w:lang w:eastAsia="en-AU"/>
            </w:rPr>
          </w:pPr>
          <w:hyperlink w:anchor="_Toc420586681" w:history="1">
            <w:r w:rsidRPr="00BA0181">
              <w:rPr>
                <w:rStyle w:val="Hyperlink"/>
                <w:noProof/>
              </w:rPr>
              <w:t>Outcome</w:t>
            </w:r>
            <w:r>
              <w:rPr>
                <w:noProof/>
                <w:webHidden/>
              </w:rPr>
              <w:tab/>
            </w:r>
            <w:r>
              <w:rPr>
                <w:noProof/>
                <w:webHidden/>
              </w:rPr>
              <w:fldChar w:fldCharType="begin"/>
            </w:r>
            <w:r>
              <w:rPr>
                <w:noProof/>
                <w:webHidden/>
              </w:rPr>
              <w:instrText xml:space="preserve"> PAGEREF _Toc420586681 \h </w:instrText>
            </w:r>
            <w:r>
              <w:rPr>
                <w:noProof/>
                <w:webHidden/>
              </w:rPr>
            </w:r>
            <w:r>
              <w:rPr>
                <w:noProof/>
                <w:webHidden/>
              </w:rPr>
              <w:fldChar w:fldCharType="separate"/>
            </w:r>
            <w:r>
              <w:rPr>
                <w:noProof/>
                <w:webHidden/>
              </w:rPr>
              <w:t>54</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82" w:history="1">
            <w:r w:rsidRPr="00BA0181">
              <w:rPr>
                <w:rStyle w:val="Hyperlink"/>
                <w:noProof/>
              </w:rPr>
              <w:t>Attachment 1. Product information</w:t>
            </w:r>
            <w:r>
              <w:rPr>
                <w:noProof/>
                <w:webHidden/>
              </w:rPr>
              <w:tab/>
            </w:r>
            <w:r>
              <w:rPr>
                <w:noProof/>
                <w:webHidden/>
              </w:rPr>
              <w:fldChar w:fldCharType="begin"/>
            </w:r>
            <w:r>
              <w:rPr>
                <w:noProof/>
                <w:webHidden/>
              </w:rPr>
              <w:instrText xml:space="preserve"> PAGEREF _Toc420586682 \h </w:instrText>
            </w:r>
            <w:r>
              <w:rPr>
                <w:noProof/>
                <w:webHidden/>
              </w:rPr>
            </w:r>
            <w:r>
              <w:rPr>
                <w:noProof/>
                <w:webHidden/>
              </w:rPr>
              <w:fldChar w:fldCharType="separate"/>
            </w:r>
            <w:r>
              <w:rPr>
                <w:noProof/>
                <w:webHidden/>
              </w:rPr>
              <w:t>54</w:t>
            </w:r>
            <w:r>
              <w:rPr>
                <w:noProof/>
                <w:webHidden/>
              </w:rPr>
              <w:fldChar w:fldCharType="end"/>
            </w:r>
          </w:hyperlink>
        </w:p>
        <w:p w:rsidR="00B60391" w:rsidRDefault="00B60391">
          <w:pPr>
            <w:pStyle w:val="TOC2"/>
            <w:rPr>
              <w:rFonts w:asciiTheme="minorHAnsi" w:eastAsiaTheme="minorEastAsia" w:hAnsiTheme="minorHAnsi" w:cstheme="minorBidi"/>
              <w:b w:val="0"/>
              <w:noProof/>
              <w:sz w:val="22"/>
              <w:lang w:eastAsia="en-AU"/>
            </w:rPr>
          </w:pPr>
          <w:hyperlink w:anchor="_Toc420586683" w:history="1">
            <w:r w:rsidRPr="00BA0181">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_Toc420586683 \h </w:instrText>
            </w:r>
            <w:r>
              <w:rPr>
                <w:noProof/>
                <w:webHidden/>
              </w:rPr>
            </w:r>
            <w:r>
              <w:rPr>
                <w:noProof/>
                <w:webHidden/>
              </w:rPr>
              <w:fldChar w:fldCharType="separate"/>
            </w:r>
            <w:r>
              <w:rPr>
                <w:noProof/>
                <w:webHidden/>
              </w:rPr>
              <w:t>55</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420586645"/>
      <w:r w:rsidRPr="00FD119B">
        <w:lastRenderedPageBreak/>
        <w:t>List of the most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2268"/>
        <w:gridCol w:w="6237"/>
      </w:tblGrid>
      <w:tr w:rsidR="002D457F" w:rsidRPr="002902B8" w:rsidTr="00F15577">
        <w:trPr>
          <w:cnfStyle w:val="100000000000" w:firstRow="1" w:lastRow="0" w:firstColumn="0" w:lastColumn="0" w:oddVBand="0" w:evenVBand="0" w:oddHBand="0" w:evenHBand="0" w:firstRowFirstColumn="0" w:firstRowLastColumn="0" w:lastRowFirstColumn="0" w:lastRowLastColumn="0"/>
        </w:trPr>
        <w:tc>
          <w:tcPr>
            <w:tcW w:w="2268" w:type="dxa"/>
          </w:tcPr>
          <w:p w:rsidR="002D457F" w:rsidRPr="002902B8" w:rsidRDefault="002D457F" w:rsidP="00F15577">
            <w:r>
              <w:t>Abbreviation</w:t>
            </w:r>
          </w:p>
        </w:tc>
        <w:tc>
          <w:tcPr>
            <w:tcW w:w="6237" w:type="dxa"/>
          </w:tcPr>
          <w:p w:rsidR="002D457F" w:rsidRPr="002902B8" w:rsidRDefault="002D457F" w:rsidP="00F15577">
            <w:r>
              <w:t>Meaning</w:t>
            </w:r>
          </w:p>
        </w:tc>
      </w:tr>
      <w:tr w:rsidR="002D457F" w:rsidRPr="002902B8" w:rsidTr="00F15577">
        <w:tc>
          <w:tcPr>
            <w:tcW w:w="2268" w:type="dxa"/>
          </w:tcPr>
          <w:p w:rsidR="002D457F" w:rsidRPr="002902B8" w:rsidRDefault="002D457F" w:rsidP="00F15577">
            <w:pPr>
              <w:rPr>
                <w:szCs w:val="22"/>
              </w:rPr>
            </w:pPr>
            <w:r w:rsidRPr="002902B8">
              <w:rPr>
                <w:szCs w:val="22"/>
              </w:rPr>
              <w:t>λz</w:t>
            </w:r>
          </w:p>
        </w:tc>
        <w:tc>
          <w:tcPr>
            <w:tcW w:w="6237" w:type="dxa"/>
          </w:tcPr>
          <w:p w:rsidR="002D457F" w:rsidRPr="002902B8" w:rsidRDefault="002D457F" w:rsidP="00F15577">
            <w:pPr>
              <w:rPr>
                <w:szCs w:val="22"/>
              </w:rPr>
            </w:pPr>
            <w:r w:rsidRPr="002902B8">
              <w:rPr>
                <w:szCs w:val="22"/>
              </w:rPr>
              <w:t>Apparent plasma terminal elimination rate constant</w:t>
            </w:r>
          </w:p>
        </w:tc>
      </w:tr>
      <w:tr w:rsidR="002D457F" w:rsidRPr="002902B8" w:rsidTr="00F15577">
        <w:tc>
          <w:tcPr>
            <w:tcW w:w="2268" w:type="dxa"/>
          </w:tcPr>
          <w:p w:rsidR="002D457F" w:rsidRPr="002902B8" w:rsidRDefault="00F15577" w:rsidP="00F15577">
            <w:pPr>
              <w:rPr>
                <w:szCs w:val="22"/>
              </w:rPr>
            </w:pPr>
            <w:r>
              <w:rPr>
                <w:szCs w:val="22"/>
              </w:rPr>
              <w:t>AE</w:t>
            </w:r>
          </w:p>
        </w:tc>
        <w:tc>
          <w:tcPr>
            <w:tcW w:w="6237" w:type="dxa"/>
          </w:tcPr>
          <w:p w:rsidR="002D457F" w:rsidRPr="002902B8" w:rsidRDefault="002D457F" w:rsidP="00F15577">
            <w:pPr>
              <w:rPr>
                <w:szCs w:val="22"/>
              </w:rPr>
            </w:pPr>
            <w:r w:rsidRPr="002902B8">
              <w:rPr>
                <w:szCs w:val="22"/>
              </w:rPr>
              <w:t>Adverse event</w:t>
            </w:r>
          </w:p>
        </w:tc>
      </w:tr>
      <w:tr w:rsidR="002D457F" w:rsidRPr="002902B8" w:rsidTr="00F15577">
        <w:tc>
          <w:tcPr>
            <w:tcW w:w="2268" w:type="dxa"/>
          </w:tcPr>
          <w:p w:rsidR="002D457F" w:rsidRPr="002902B8" w:rsidRDefault="00F15577" w:rsidP="00F15577">
            <w:pPr>
              <w:rPr>
                <w:szCs w:val="22"/>
              </w:rPr>
            </w:pPr>
            <w:r>
              <w:rPr>
                <w:szCs w:val="22"/>
              </w:rPr>
              <w:t>ALT</w:t>
            </w:r>
          </w:p>
        </w:tc>
        <w:tc>
          <w:tcPr>
            <w:tcW w:w="6237" w:type="dxa"/>
          </w:tcPr>
          <w:p w:rsidR="002D457F" w:rsidRPr="002902B8" w:rsidRDefault="002D457F" w:rsidP="00F15577">
            <w:pPr>
              <w:rPr>
                <w:szCs w:val="22"/>
              </w:rPr>
            </w:pPr>
            <w:r w:rsidRPr="002902B8">
              <w:rPr>
                <w:szCs w:val="22"/>
              </w:rPr>
              <w:t>Alanine aminotransferase</w:t>
            </w:r>
          </w:p>
        </w:tc>
      </w:tr>
      <w:tr w:rsidR="002D457F" w:rsidRPr="002902B8" w:rsidTr="00F15577">
        <w:tc>
          <w:tcPr>
            <w:tcW w:w="2268" w:type="dxa"/>
          </w:tcPr>
          <w:p w:rsidR="002D457F" w:rsidRPr="002902B8" w:rsidRDefault="002D457F" w:rsidP="00F15577">
            <w:pPr>
              <w:rPr>
                <w:szCs w:val="22"/>
              </w:rPr>
            </w:pPr>
            <w:r w:rsidRPr="002902B8">
              <w:rPr>
                <w:szCs w:val="22"/>
              </w:rPr>
              <w:t>ANOVA</w:t>
            </w:r>
          </w:p>
        </w:tc>
        <w:tc>
          <w:tcPr>
            <w:tcW w:w="6237" w:type="dxa"/>
          </w:tcPr>
          <w:p w:rsidR="002D457F" w:rsidRPr="002902B8" w:rsidRDefault="002D457F" w:rsidP="00F15577">
            <w:pPr>
              <w:rPr>
                <w:szCs w:val="22"/>
              </w:rPr>
            </w:pPr>
            <w:r w:rsidRPr="002902B8">
              <w:rPr>
                <w:szCs w:val="22"/>
              </w:rPr>
              <w:t>Analysis of variance</w:t>
            </w:r>
          </w:p>
        </w:tc>
      </w:tr>
      <w:tr w:rsidR="002D457F" w:rsidRPr="002902B8" w:rsidTr="00F15577">
        <w:tc>
          <w:tcPr>
            <w:tcW w:w="2268" w:type="dxa"/>
          </w:tcPr>
          <w:p w:rsidR="002D457F" w:rsidRPr="002902B8" w:rsidRDefault="002D457F" w:rsidP="00F15577">
            <w:pPr>
              <w:rPr>
                <w:szCs w:val="22"/>
              </w:rPr>
            </w:pPr>
            <w:r w:rsidRPr="002902B8">
              <w:rPr>
                <w:szCs w:val="22"/>
              </w:rPr>
              <w:t>AST</w:t>
            </w:r>
          </w:p>
        </w:tc>
        <w:tc>
          <w:tcPr>
            <w:tcW w:w="6237" w:type="dxa"/>
          </w:tcPr>
          <w:p w:rsidR="002D457F" w:rsidRPr="002902B8" w:rsidRDefault="002D457F" w:rsidP="00F15577">
            <w:pPr>
              <w:rPr>
                <w:szCs w:val="22"/>
              </w:rPr>
            </w:pPr>
            <w:r w:rsidRPr="002902B8">
              <w:rPr>
                <w:szCs w:val="22"/>
              </w:rPr>
              <w:t>Aspartate aminotransferase</w:t>
            </w:r>
          </w:p>
        </w:tc>
      </w:tr>
      <w:tr w:rsidR="002D457F" w:rsidRPr="002902B8" w:rsidTr="00F15577">
        <w:tc>
          <w:tcPr>
            <w:tcW w:w="2268" w:type="dxa"/>
          </w:tcPr>
          <w:p w:rsidR="002D457F" w:rsidRPr="002902B8" w:rsidRDefault="002D457F" w:rsidP="00F15577">
            <w:pPr>
              <w:rPr>
                <w:szCs w:val="22"/>
              </w:rPr>
            </w:pPr>
            <w:r w:rsidRPr="002902B8">
              <w:rPr>
                <w:szCs w:val="22"/>
              </w:rPr>
              <w:t>ATC</w:t>
            </w:r>
          </w:p>
        </w:tc>
        <w:tc>
          <w:tcPr>
            <w:tcW w:w="6237" w:type="dxa"/>
          </w:tcPr>
          <w:p w:rsidR="002D457F" w:rsidRPr="002902B8" w:rsidRDefault="002D457F" w:rsidP="00F15577">
            <w:pPr>
              <w:rPr>
                <w:szCs w:val="22"/>
              </w:rPr>
            </w:pPr>
            <w:r w:rsidRPr="002902B8">
              <w:rPr>
                <w:szCs w:val="22"/>
              </w:rPr>
              <w:t>Around-the-clock</w:t>
            </w:r>
          </w:p>
        </w:tc>
      </w:tr>
      <w:tr w:rsidR="002D457F" w:rsidRPr="002902B8" w:rsidTr="00F15577">
        <w:tc>
          <w:tcPr>
            <w:tcW w:w="2268" w:type="dxa"/>
          </w:tcPr>
          <w:p w:rsidR="002D457F" w:rsidRPr="002902B8" w:rsidRDefault="002D457F" w:rsidP="00F15577">
            <w:pPr>
              <w:rPr>
                <w:rFonts w:eastAsia="TimesNewRomanPSMT" w:cs="TimesNewRomanPSMT"/>
                <w:szCs w:val="22"/>
              </w:rPr>
            </w:pPr>
            <w:r w:rsidRPr="002902B8">
              <w:rPr>
                <w:szCs w:val="22"/>
              </w:rPr>
              <w:t>AUC</w:t>
            </w:r>
            <w:r w:rsidRPr="002902B8">
              <w:rPr>
                <w:szCs w:val="22"/>
                <w:vertAlign w:val="subscript"/>
              </w:rPr>
              <w:t>0-</w:t>
            </w:r>
            <w:r w:rsidRPr="002902B8">
              <w:rPr>
                <w:rFonts w:eastAsia="TimesNewRomanPSMT" w:cs="TimesNewRomanPSMT"/>
                <w:szCs w:val="22"/>
                <w:vertAlign w:val="subscript"/>
              </w:rPr>
              <w:t>∞</w:t>
            </w:r>
          </w:p>
        </w:tc>
        <w:tc>
          <w:tcPr>
            <w:tcW w:w="6237" w:type="dxa"/>
          </w:tcPr>
          <w:p w:rsidR="002D457F" w:rsidRPr="002902B8" w:rsidRDefault="002D457F" w:rsidP="00F15577">
            <w:pPr>
              <w:rPr>
                <w:szCs w:val="22"/>
              </w:rPr>
            </w:pPr>
            <w:r w:rsidRPr="002902B8">
              <w:rPr>
                <w:rFonts w:eastAsia="TimesNewRomanPSMT" w:cs="TimesNewRomanPSMT"/>
                <w:szCs w:val="22"/>
              </w:rPr>
              <w:t>A</w:t>
            </w:r>
            <w:r w:rsidRPr="002902B8">
              <w:rPr>
                <w:szCs w:val="22"/>
              </w:rPr>
              <w:t>rea under the plasma drug concentration-versus-time curve from time 0 to infinity after study drug administration</w:t>
            </w:r>
          </w:p>
        </w:tc>
      </w:tr>
      <w:tr w:rsidR="002D457F" w:rsidRPr="002902B8" w:rsidTr="00F15577">
        <w:tc>
          <w:tcPr>
            <w:tcW w:w="2268" w:type="dxa"/>
          </w:tcPr>
          <w:p w:rsidR="002D457F" w:rsidRPr="002902B8" w:rsidRDefault="002D457F" w:rsidP="00F15577">
            <w:pPr>
              <w:rPr>
                <w:szCs w:val="22"/>
              </w:rPr>
            </w:pPr>
            <w:r w:rsidRPr="002902B8">
              <w:rPr>
                <w:szCs w:val="22"/>
              </w:rPr>
              <w:t>AUC</w:t>
            </w:r>
            <w:r w:rsidRPr="002902B8">
              <w:rPr>
                <w:szCs w:val="22"/>
                <w:vertAlign w:val="subscript"/>
              </w:rPr>
              <w:t>0-24</w:t>
            </w:r>
          </w:p>
        </w:tc>
        <w:tc>
          <w:tcPr>
            <w:tcW w:w="6237" w:type="dxa"/>
          </w:tcPr>
          <w:p w:rsidR="002D457F" w:rsidRPr="002902B8" w:rsidRDefault="002D457F" w:rsidP="00F15577">
            <w:pPr>
              <w:rPr>
                <w:szCs w:val="22"/>
              </w:rPr>
            </w:pPr>
            <w:r w:rsidRPr="002902B8">
              <w:rPr>
                <w:rFonts w:eastAsia="TimesNewRomanPSMT" w:cs="TimesNewRomanPSMT"/>
                <w:szCs w:val="22"/>
              </w:rPr>
              <w:t>A</w:t>
            </w:r>
            <w:r w:rsidRPr="002902B8">
              <w:rPr>
                <w:szCs w:val="22"/>
              </w:rPr>
              <w:t>rea under the plasma drug concentration-versus-time curve from time 0 to 24 hours after study drug administration</w:t>
            </w:r>
          </w:p>
        </w:tc>
      </w:tr>
      <w:tr w:rsidR="002D457F" w:rsidRPr="002902B8" w:rsidTr="00F15577">
        <w:tc>
          <w:tcPr>
            <w:tcW w:w="2268" w:type="dxa"/>
          </w:tcPr>
          <w:p w:rsidR="002D457F" w:rsidRPr="002902B8" w:rsidRDefault="002D457F" w:rsidP="00F15577">
            <w:pPr>
              <w:rPr>
                <w:szCs w:val="22"/>
              </w:rPr>
            </w:pPr>
            <w:r w:rsidRPr="002902B8">
              <w:rPr>
                <w:szCs w:val="22"/>
              </w:rPr>
              <w:t>AUC</w:t>
            </w:r>
            <w:r w:rsidRPr="002902B8">
              <w:rPr>
                <w:szCs w:val="22"/>
                <w:vertAlign w:val="subscript"/>
              </w:rPr>
              <w:t>0-72</w:t>
            </w:r>
          </w:p>
        </w:tc>
        <w:tc>
          <w:tcPr>
            <w:tcW w:w="6237" w:type="dxa"/>
          </w:tcPr>
          <w:p w:rsidR="002D457F" w:rsidRPr="002902B8" w:rsidRDefault="002D457F" w:rsidP="00F15577">
            <w:pPr>
              <w:rPr>
                <w:szCs w:val="22"/>
              </w:rPr>
            </w:pPr>
            <w:r w:rsidRPr="002902B8">
              <w:rPr>
                <w:rFonts w:eastAsia="TimesNewRomanPSMT" w:cs="TimesNewRomanPSMT"/>
                <w:szCs w:val="22"/>
              </w:rPr>
              <w:t>A</w:t>
            </w:r>
            <w:r w:rsidRPr="002902B8">
              <w:rPr>
                <w:szCs w:val="22"/>
              </w:rPr>
              <w:t>rea under the plasma drug concentration-versus-time curve from time 0 to 72 hours after study drug administration</w:t>
            </w:r>
          </w:p>
        </w:tc>
      </w:tr>
      <w:tr w:rsidR="002D457F" w:rsidRPr="002902B8" w:rsidTr="00F15577">
        <w:tc>
          <w:tcPr>
            <w:tcW w:w="2268" w:type="dxa"/>
          </w:tcPr>
          <w:p w:rsidR="002D457F" w:rsidRPr="002902B8" w:rsidRDefault="002D457F" w:rsidP="00F15577">
            <w:pPr>
              <w:rPr>
                <w:szCs w:val="22"/>
              </w:rPr>
            </w:pPr>
            <w:r w:rsidRPr="002902B8">
              <w:rPr>
                <w:szCs w:val="22"/>
              </w:rPr>
              <w:t>BMI</w:t>
            </w:r>
          </w:p>
        </w:tc>
        <w:tc>
          <w:tcPr>
            <w:tcW w:w="6237" w:type="dxa"/>
          </w:tcPr>
          <w:p w:rsidR="002D457F" w:rsidRPr="002902B8" w:rsidRDefault="002D457F" w:rsidP="00F15577">
            <w:pPr>
              <w:rPr>
                <w:szCs w:val="22"/>
              </w:rPr>
            </w:pPr>
            <w:r w:rsidRPr="002902B8">
              <w:rPr>
                <w:szCs w:val="22"/>
              </w:rPr>
              <w:t>Body mass index</w:t>
            </w:r>
          </w:p>
        </w:tc>
      </w:tr>
      <w:tr w:rsidR="002D457F" w:rsidRPr="002902B8" w:rsidTr="00F15577">
        <w:tc>
          <w:tcPr>
            <w:tcW w:w="2268" w:type="dxa"/>
          </w:tcPr>
          <w:p w:rsidR="002D457F" w:rsidRPr="002902B8" w:rsidRDefault="002D457F" w:rsidP="00F15577">
            <w:pPr>
              <w:rPr>
                <w:szCs w:val="22"/>
              </w:rPr>
            </w:pPr>
            <w:r w:rsidRPr="002902B8">
              <w:rPr>
                <w:szCs w:val="22"/>
              </w:rPr>
              <w:t>BPI-7S</w:t>
            </w:r>
          </w:p>
        </w:tc>
        <w:tc>
          <w:tcPr>
            <w:tcW w:w="6237" w:type="dxa"/>
          </w:tcPr>
          <w:p w:rsidR="002D457F" w:rsidRPr="002902B8" w:rsidRDefault="002D457F" w:rsidP="00F15577">
            <w:pPr>
              <w:rPr>
                <w:szCs w:val="22"/>
              </w:rPr>
            </w:pPr>
            <w:r w:rsidRPr="002902B8">
              <w:rPr>
                <w:szCs w:val="22"/>
              </w:rPr>
              <w:t>7-item Interference Subscale of the Brief Pain Inventory–Short Form</w:t>
            </w:r>
          </w:p>
        </w:tc>
      </w:tr>
      <w:tr w:rsidR="002D457F" w:rsidRPr="002902B8" w:rsidTr="00F15577">
        <w:tc>
          <w:tcPr>
            <w:tcW w:w="2268" w:type="dxa"/>
          </w:tcPr>
          <w:p w:rsidR="002D457F" w:rsidRPr="002902B8" w:rsidRDefault="002D457F" w:rsidP="00F15577">
            <w:pPr>
              <w:rPr>
                <w:szCs w:val="22"/>
              </w:rPr>
            </w:pPr>
            <w:r w:rsidRPr="002902B8">
              <w:rPr>
                <w:szCs w:val="22"/>
              </w:rPr>
              <w:t>BPI-SF</w:t>
            </w:r>
          </w:p>
        </w:tc>
        <w:tc>
          <w:tcPr>
            <w:tcW w:w="6237" w:type="dxa"/>
          </w:tcPr>
          <w:p w:rsidR="002D457F" w:rsidRPr="002902B8" w:rsidRDefault="002D457F" w:rsidP="00F15577">
            <w:pPr>
              <w:rPr>
                <w:szCs w:val="22"/>
              </w:rPr>
            </w:pPr>
            <w:r w:rsidRPr="002902B8">
              <w:rPr>
                <w:szCs w:val="22"/>
              </w:rPr>
              <w:t>Brief Pain Inventory-Short Form</w:t>
            </w:r>
          </w:p>
        </w:tc>
      </w:tr>
      <w:tr w:rsidR="002D457F" w:rsidRPr="002902B8" w:rsidTr="00F15577">
        <w:tc>
          <w:tcPr>
            <w:tcW w:w="2268" w:type="dxa"/>
          </w:tcPr>
          <w:p w:rsidR="002D457F" w:rsidRPr="002902B8" w:rsidRDefault="002D457F" w:rsidP="00F15577">
            <w:pPr>
              <w:rPr>
                <w:szCs w:val="22"/>
              </w:rPr>
            </w:pPr>
            <w:r w:rsidRPr="002902B8">
              <w:rPr>
                <w:szCs w:val="22"/>
              </w:rPr>
              <w:t>Bpm</w:t>
            </w:r>
          </w:p>
        </w:tc>
        <w:tc>
          <w:tcPr>
            <w:tcW w:w="6237" w:type="dxa"/>
          </w:tcPr>
          <w:p w:rsidR="002D457F" w:rsidRPr="002902B8" w:rsidRDefault="002D457F" w:rsidP="00F15577">
            <w:pPr>
              <w:rPr>
                <w:szCs w:val="22"/>
              </w:rPr>
            </w:pPr>
            <w:r w:rsidRPr="002902B8">
              <w:rPr>
                <w:szCs w:val="22"/>
              </w:rPr>
              <w:t>Beats per minute</w:t>
            </w:r>
          </w:p>
        </w:tc>
      </w:tr>
      <w:tr w:rsidR="002D457F" w:rsidRPr="002902B8" w:rsidTr="00F15577">
        <w:tc>
          <w:tcPr>
            <w:tcW w:w="2268" w:type="dxa"/>
          </w:tcPr>
          <w:p w:rsidR="002D457F" w:rsidRPr="002902B8" w:rsidRDefault="002D457F" w:rsidP="00F15577">
            <w:pPr>
              <w:rPr>
                <w:szCs w:val="22"/>
              </w:rPr>
            </w:pPr>
            <w:r w:rsidRPr="002902B8">
              <w:rPr>
                <w:szCs w:val="22"/>
              </w:rPr>
              <w:t>BTP</w:t>
            </w:r>
          </w:p>
        </w:tc>
        <w:tc>
          <w:tcPr>
            <w:tcW w:w="6237" w:type="dxa"/>
          </w:tcPr>
          <w:p w:rsidR="002D457F" w:rsidRPr="002902B8" w:rsidRDefault="002D457F" w:rsidP="00F15577">
            <w:pPr>
              <w:rPr>
                <w:szCs w:val="22"/>
              </w:rPr>
            </w:pPr>
            <w:r w:rsidRPr="002902B8">
              <w:rPr>
                <w:szCs w:val="22"/>
              </w:rPr>
              <w:t>Breakthrough pain</w:t>
            </w:r>
          </w:p>
        </w:tc>
      </w:tr>
      <w:tr w:rsidR="002D457F" w:rsidRPr="002902B8" w:rsidTr="00F15577">
        <w:tc>
          <w:tcPr>
            <w:tcW w:w="2268" w:type="dxa"/>
          </w:tcPr>
          <w:p w:rsidR="002D457F" w:rsidRPr="002902B8" w:rsidRDefault="002D457F" w:rsidP="00F15577">
            <w:pPr>
              <w:rPr>
                <w:szCs w:val="22"/>
              </w:rPr>
            </w:pPr>
            <w:r w:rsidRPr="002902B8">
              <w:rPr>
                <w:szCs w:val="22"/>
              </w:rPr>
              <w:t>BUN</w:t>
            </w:r>
          </w:p>
        </w:tc>
        <w:tc>
          <w:tcPr>
            <w:tcW w:w="6237" w:type="dxa"/>
          </w:tcPr>
          <w:p w:rsidR="002D457F" w:rsidRPr="002902B8" w:rsidRDefault="002D457F" w:rsidP="00F15577">
            <w:pPr>
              <w:rPr>
                <w:szCs w:val="22"/>
              </w:rPr>
            </w:pPr>
            <w:r w:rsidRPr="002902B8">
              <w:rPr>
                <w:szCs w:val="22"/>
              </w:rPr>
              <w:t>Blood urea nitrogen</w:t>
            </w:r>
          </w:p>
        </w:tc>
      </w:tr>
      <w:tr w:rsidR="002D457F" w:rsidRPr="002902B8" w:rsidTr="00F15577">
        <w:tc>
          <w:tcPr>
            <w:tcW w:w="2268" w:type="dxa"/>
          </w:tcPr>
          <w:p w:rsidR="002D457F" w:rsidRPr="002902B8" w:rsidRDefault="002D457F" w:rsidP="00F15577">
            <w:pPr>
              <w:rPr>
                <w:szCs w:val="22"/>
              </w:rPr>
            </w:pPr>
            <w:r w:rsidRPr="002902B8">
              <w:rPr>
                <w:szCs w:val="22"/>
              </w:rPr>
              <w:t>CAPF</w:t>
            </w:r>
          </w:p>
        </w:tc>
        <w:tc>
          <w:tcPr>
            <w:tcW w:w="6237" w:type="dxa"/>
          </w:tcPr>
          <w:p w:rsidR="002D457F" w:rsidRPr="002902B8" w:rsidRDefault="002D457F" w:rsidP="00F15577">
            <w:pPr>
              <w:rPr>
                <w:szCs w:val="22"/>
              </w:rPr>
            </w:pPr>
            <w:r w:rsidRPr="002902B8">
              <w:rPr>
                <w:szCs w:val="22"/>
              </w:rPr>
              <w:t>Clinician Assessment of Patient Function</w:t>
            </w:r>
          </w:p>
        </w:tc>
      </w:tr>
      <w:tr w:rsidR="002D457F" w:rsidRPr="002902B8" w:rsidTr="00F15577">
        <w:tc>
          <w:tcPr>
            <w:tcW w:w="2268" w:type="dxa"/>
          </w:tcPr>
          <w:p w:rsidR="002D457F" w:rsidRPr="002902B8" w:rsidRDefault="002D457F" w:rsidP="00F15577">
            <w:pPr>
              <w:rPr>
                <w:szCs w:val="22"/>
              </w:rPr>
            </w:pPr>
            <w:r w:rsidRPr="002902B8">
              <w:rPr>
                <w:szCs w:val="22"/>
              </w:rPr>
              <w:t>CGIC</w:t>
            </w:r>
          </w:p>
        </w:tc>
        <w:tc>
          <w:tcPr>
            <w:tcW w:w="6237" w:type="dxa"/>
          </w:tcPr>
          <w:p w:rsidR="002D457F" w:rsidRPr="002902B8" w:rsidRDefault="002D457F" w:rsidP="00F15577">
            <w:pPr>
              <w:rPr>
                <w:szCs w:val="22"/>
              </w:rPr>
            </w:pPr>
            <w:r w:rsidRPr="002902B8">
              <w:rPr>
                <w:szCs w:val="22"/>
              </w:rPr>
              <w:t>Clinical Global Impression of Change</w:t>
            </w:r>
          </w:p>
        </w:tc>
      </w:tr>
      <w:tr w:rsidR="002D457F" w:rsidRPr="002902B8" w:rsidTr="00F15577">
        <w:tc>
          <w:tcPr>
            <w:tcW w:w="2268" w:type="dxa"/>
          </w:tcPr>
          <w:p w:rsidR="002D457F" w:rsidRPr="002902B8" w:rsidRDefault="002D457F" w:rsidP="00F15577">
            <w:pPr>
              <w:rPr>
                <w:szCs w:val="22"/>
              </w:rPr>
            </w:pPr>
            <w:r w:rsidRPr="002902B8">
              <w:rPr>
                <w:szCs w:val="22"/>
              </w:rPr>
              <w:t>CL</w:t>
            </w:r>
          </w:p>
        </w:tc>
        <w:tc>
          <w:tcPr>
            <w:tcW w:w="6237" w:type="dxa"/>
          </w:tcPr>
          <w:p w:rsidR="002D457F" w:rsidRPr="002902B8" w:rsidRDefault="002D457F" w:rsidP="00F15577">
            <w:pPr>
              <w:rPr>
                <w:szCs w:val="22"/>
              </w:rPr>
            </w:pPr>
            <w:r w:rsidRPr="002902B8">
              <w:rPr>
                <w:szCs w:val="22"/>
              </w:rPr>
              <w:t>Total plasma clearance</w:t>
            </w:r>
          </w:p>
        </w:tc>
      </w:tr>
      <w:tr w:rsidR="002D457F" w:rsidRPr="002902B8" w:rsidTr="00F15577">
        <w:tc>
          <w:tcPr>
            <w:tcW w:w="2268" w:type="dxa"/>
          </w:tcPr>
          <w:p w:rsidR="002D457F" w:rsidRPr="002902B8" w:rsidRDefault="002D457F" w:rsidP="00F15577">
            <w:pPr>
              <w:rPr>
                <w:szCs w:val="22"/>
              </w:rPr>
            </w:pPr>
            <w:r w:rsidRPr="002902B8">
              <w:rPr>
                <w:szCs w:val="22"/>
              </w:rPr>
              <w:t>CL/F</w:t>
            </w:r>
          </w:p>
        </w:tc>
        <w:tc>
          <w:tcPr>
            <w:tcW w:w="6237" w:type="dxa"/>
          </w:tcPr>
          <w:p w:rsidR="002D457F" w:rsidRPr="002902B8" w:rsidRDefault="002D457F" w:rsidP="00F15577">
            <w:pPr>
              <w:rPr>
                <w:szCs w:val="22"/>
              </w:rPr>
            </w:pPr>
            <w:r w:rsidRPr="002902B8">
              <w:rPr>
                <w:szCs w:val="22"/>
              </w:rPr>
              <w:t>Apparent total plasma clearance normalised for systemic bioavailability</w:t>
            </w:r>
          </w:p>
        </w:tc>
      </w:tr>
      <w:tr w:rsidR="002D457F" w:rsidRPr="002902B8" w:rsidTr="00F15577">
        <w:tc>
          <w:tcPr>
            <w:tcW w:w="2268" w:type="dxa"/>
          </w:tcPr>
          <w:p w:rsidR="002D457F" w:rsidRPr="002902B8" w:rsidRDefault="002D457F" w:rsidP="00F15577">
            <w:pPr>
              <w:rPr>
                <w:szCs w:val="22"/>
              </w:rPr>
            </w:pPr>
            <w:r w:rsidRPr="002902B8">
              <w:rPr>
                <w:szCs w:val="22"/>
              </w:rPr>
              <w:t>C</w:t>
            </w:r>
            <w:r w:rsidRPr="002902B8">
              <w:rPr>
                <w:szCs w:val="22"/>
                <w:vertAlign w:val="subscript"/>
              </w:rPr>
              <w:t>max</w:t>
            </w:r>
          </w:p>
        </w:tc>
        <w:tc>
          <w:tcPr>
            <w:tcW w:w="6237" w:type="dxa"/>
          </w:tcPr>
          <w:p w:rsidR="002D457F" w:rsidRPr="002902B8" w:rsidRDefault="002D457F" w:rsidP="00F15577">
            <w:pPr>
              <w:rPr>
                <w:szCs w:val="22"/>
              </w:rPr>
            </w:pPr>
            <w:r w:rsidRPr="002902B8">
              <w:rPr>
                <w:szCs w:val="22"/>
              </w:rPr>
              <w:t>maximum observed serum drug concentration</w:t>
            </w:r>
          </w:p>
        </w:tc>
      </w:tr>
      <w:tr w:rsidR="002D457F" w:rsidRPr="002902B8" w:rsidTr="00F15577">
        <w:tc>
          <w:tcPr>
            <w:tcW w:w="2268" w:type="dxa"/>
          </w:tcPr>
          <w:p w:rsidR="002D457F" w:rsidRPr="002902B8" w:rsidRDefault="002D457F" w:rsidP="00F15577">
            <w:pPr>
              <w:rPr>
                <w:szCs w:val="22"/>
              </w:rPr>
            </w:pPr>
            <w:r w:rsidRPr="002902B8">
              <w:rPr>
                <w:szCs w:val="22"/>
              </w:rPr>
              <w:t>CNS</w:t>
            </w:r>
          </w:p>
        </w:tc>
        <w:tc>
          <w:tcPr>
            <w:tcW w:w="6237" w:type="dxa"/>
          </w:tcPr>
          <w:p w:rsidR="002D457F" w:rsidRPr="002902B8" w:rsidRDefault="002D457F" w:rsidP="00F15577">
            <w:pPr>
              <w:rPr>
                <w:szCs w:val="22"/>
              </w:rPr>
            </w:pPr>
            <w:r w:rsidRPr="002902B8">
              <w:rPr>
                <w:szCs w:val="22"/>
              </w:rPr>
              <w:t>Central nervous system</w:t>
            </w:r>
          </w:p>
        </w:tc>
      </w:tr>
      <w:tr w:rsidR="002D457F" w:rsidRPr="002902B8" w:rsidTr="00F15577">
        <w:tc>
          <w:tcPr>
            <w:tcW w:w="2268" w:type="dxa"/>
          </w:tcPr>
          <w:p w:rsidR="002D457F" w:rsidRPr="002902B8" w:rsidRDefault="002D457F" w:rsidP="00F15577">
            <w:pPr>
              <w:rPr>
                <w:szCs w:val="22"/>
              </w:rPr>
            </w:pPr>
            <w:r w:rsidRPr="002902B8">
              <w:rPr>
                <w:szCs w:val="22"/>
              </w:rPr>
              <w:lastRenderedPageBreak/>
              <w:t>COAD</w:t>
            </w:r>
          </w:p>
        </w:tc>
        <w:tc>
          <w:tcPr>
            <w:tcW w:w="6237" w:type="dxa"/>
          </w:tcPr>
          <w:p w:rsidR="002D457F" w:rsidRPr="002902B8" w:rsidRDefault="002D457F" w:rsidP="00F15577">
            <w:pPr>
              <w:rPr>
                <w:szCs w:val="22"/>
              </w:rPr>
            </w:pPr>
            <w:r w:rsidRPr="002902B8">
              <w:rPr>
                <w:szCs w:val="22"/>
              </w:rPr>
              <w:t>Chronic obstructive airways disease</w:t>
            </w:r>
          </w:p>
        </w:tc>
      </w:tr>
      <w:tr w:rsidR="002D457F" w:rsidRPr="002902B8" w:rsidTr="00F15577">
        <w:tc>
          <w:tcPr>
            <w:tcW w:w="2268" w:type="dxa"/>
          </w:tcPr>
          <w:p w:rsidR="002D457F" w:rsidRPr="002902B8" w:rsidRDefault="002D457F" w:rsidP="00F15577">
            <w:pPr>
              <w:rPr>
                <w:szCs w:val="22"/>
              </w:rPr>
            </w:pPr>
            <w:r w:rsidRPr="002902B8">
              <w:rPr>
                <w:szCs w:val="22"/>
              </w:rPr>
              <w:t>CSR</w:t>
            </w:r>
          </w:p>
        </w:tc>
        <w:tc>
          <w:tcPr>
            <w:tcW w:w="6237" w:type="dxa"/>
          </w:tcPr>
          <w:p w:rsidR="002D457F" w:rsidRPr="002902B8" w:rsidRDefault="002D457F" w:rsidP="00F15577">
            <w:pPr>
              <w:rPr>
                <w:szCs w:val="22"/>
              </w:rPr>
            </w:pPr>
            <w:r w:rsidRPr="002902B8">
              <w:rPr>
                <w:szCs w:val="22"/>
              </w:rPr>
              <w:t>Clinical Study Report</w:t>
            </w:r>
          </w:p>
        </w:tc>
      </w:tr>
      <w:tr w:rsidR="002D457F" w:rsidRPr="002902B8" w:rsidTr="00F15577">
        <w:tc>
          <w:tcPr>
            <w:tcW w:w="2268" w:type="dxa"/>
          </w:tcPr>
          <w:p w:rsidR="002D457F" w:rsidRPr="002902B8" w:rsidRDefault="002D457F" w:rsidP="00F15577">
            <w:pPr>
              <w:rPr>
                <w:szCs w:val="22"/>
              </w:rPr>
            </w:pPr>
            <w:r w:rsidRPr="002902B8">
              <w:rPr>
                <w:szCs w:val="22"/>
              </w:rPr>
              <w:t>CYP</w:t>
            </w:r>
          </w:p>
        </w:tc>
        <w:tc>
          <w:tcPr>
            <w:tcW w:w="6237" w:type="dxa"/>
          </w:tcPr>
          <w:p w:rsidR="002D457F" w:rsidRPr="002902B8" w:rsidRDefault="002D457F" w:rsidP="00F15577">
            <w:pPr>
              <w:rPr>
                <w:szCs w:val="22"/>
              </w:rPr>
            </w:pPr>
            <w:r w:rsidRPr="002902B8">
              <w:rPr>
                <w:szCs w:val="22"/>
              </w:rPr>
              <w:t>Cytochrome P450</w:t>
            </w:r>
          </w:p>
        </w:tc>
      </w:tr>
      <w:tr w:rsidR="002D457F" w:rsidRPr="002902B8" w:rsidTr="00F15577">
        <w:tc>
          <w:tcPr>
            <w:tcW w:w="2268" w:type="dxa"/>
          </w:tcPr>
          <w:p w:rsidR="002D457F" w:rsidRPr="002902B8" w:rsidRDefault="002D457F" w:rsidP="00F15577">
            <w:pPr>
              <w:rPr>
                <w:szCs w:val="22"/>
              </w:rPr>
            </w:pPr>
            <w:r w:rsidRPr="002902B8">
              <w:rPr>
                <w:szCs w:val="22"/>
              </w:rPr>
              <w:t>DSUR</w:t>
            </w:r>
          </w:p>
        </w:tc>
        <w:tc>
          <w:tcPr>
            <w:tcW w:w="6237" w:type="dxa"/>
          </w:tcPr>
          <w:p w:rsidR="002D457F" w:rsidRPr="002902B8" w:rsidRDefault="002D457F" w:rsidP="00F15577">
            <w:pPr>
              <w:rPr>
                <w:szCs w:val="22"/>
              </w:rPr>
            </w:pPr>
            <w:r w:rsidRPr="002902B8">
              <w:rPr>
                <w:szCs w:val="22"/>
              </w:rPr>
              <w:t>Development Safety Update Report</w:t>
            </w:r>
          </w:p>
        </w:tc>
      </w:tr>
      <w:tr w:rsidR="002D457F" w:rsidRPr="002902B8" w:rsidTr="00F15577">
        <w:tc>
          <w:tcPr>
            <w:tcW w:w="2268" w:type="dxa"/>
          </w:tcPr>
          <w:p w:rsidR="002D457F" w:rsidRPr="002902B8" w:rsidRDefault="002D457F" w:rsidP="00F15577">
            <w:pPr>
              <w:rPr>
                <w:szCs w:val="22"/>
              </w:rPr>
            </w:pPr>
            <w:r w:rsidRPr="002902B8">
              <w:rPr>
                <w:szCs w:val="22"/>
              </w:rPr>
              <w:t>ECG</w:t>
            </w:r>
          </w:p>
        </w:tc>
        <w:tc>
          <w:tcPr>
            <w:tcW w:w="6237" w:type="dxa"/>
          </w:tcPr>
          <w:p w:rsidR="002D457F" w:rsidRPr="002902B8" w:rsidRDefault="002D457F" w:rsidP="00F15577">
            <w:pPr>
              <w:rPr>
                <w:szCs w:val="22"/>
              </w:rPr>
            </w:pPr>
            <w:r w:rsidRPr="002902B8">
              <w:rPr>
                <w:szCs w:val="22"/>
              </w:rPr>
              <w:t>Electrocardiogram</w:t>
            </w:r>
          </w:p>
        </w:tc>
      </w:tr>
      <w:tr w:rsidR="002D457F" w:rsidRPr="002902B8" w:rsidTr="00F15577">
        <w:tc>
          <w:tcPr>
            <w:tcW w:w="2268" w:type="dxa"/>
          </w:tcPr>
          <w:p w:rsidR="002D457F" w:rsidRPr="002902B8" w:rsidRDefault="002D457F" w:rsidP="00F15577">
            <w:pPr>
              <w:rPr>
                <w:szCs w:val="22"/>
              </w:rPr>
            </w:pPr>
            <w:r w:rsidRPr="002902B8">
              <w:rPr>
                <w:szCs w:val="22"/>
              </w:rPr>
              <w:t>EU</w:t>
            </w:r>
          </w:p>
        </w:tc>
        <w:tc>
          <w:tcPr>
            <w:tcW w:w="6237" w:type="dxa"/>
          </w:tcPr>
          <w:p w:rsidR="002D457F" w:rsidRPr="002902B8" w:rsidRDefault="002D457F" w:rsidP="00F15577">
            <w:pPr>
              <w:rPr>
                <w:szCs w:val="22"/>
              </w:rPr>
            </w:pPr>
            <w:r w:rsidRPr="002902B8">
              <w:rPr>
                <w:szCs w:val="22"/>
              </w:rPr>
              <w:t>European Union</w:t>
            </w:r>
          </w:p>
        </w:tc>
      </w:tr>
      <w:tr w:rsidR="002D457F" w:rsidRPr="002902B8" w:rsidTr="00F15577">
        <w:tc>
          <w:tcPr>
            <w:tcW w:w="2268" w:type="dxa"/>
          </w:tcPr>
          <w:p w:rsidR="002D457F" w:rsidRPr="002902B8" w:rsidRDefault="002D457F" w:rsidP="00F15577">
            <w:pPr>
              <w:rPr>
                <w:szCs w:val="22"/>
              </w:rPr>
            </w:pPr>
            <w:r w:rsidRPr="002902B8">
              <w:rPr>
                <w:szCs w:val="22"/>
              </w:rPr>
              <w:t>FDA</w:t>
            </w:r>
          </w:p>
        </w:tc>
        <w:tc>
          <w:tcPr>
            <w:tcW w:w="6237" w:type="dxa"/>
          </w:tcPr>
          <w:p w:rsidR="002D457F" w:rsidRPr="002902B8" w:rsidRDefault="002D457F" w:rsidP="00F15577">
            <w:pPr>
              <w:rPr>
                <w:szCs w:val="22"/>
              </w:rPr>
            </w:pPr>
            <w:r w:rsidRPr="002902B8">
              <w:rPr>
                <w:szCs w:val="22"/>
              </w:rPr>
              <w:t>Food and Drug Administration (USA)</w:t>
            </w:r>
          </w:p>
        </w:tc>
      </w:tr>
      <w:tr w:rsidR="002D457F" w:rsidRPr="002902B8" w:rsidTr="00F15577">
        <w:tc>
          <w:tcPr>
            <w:tcW w:w="2268" w:type="dxa"/>
          </w:tcPr>
          <w:p w:rsidR="002D457F" w:rsidRPr="002902B8" w:rsidRDefault="002D457F" w:rsidP="00F15577">
            <w:pPr>
              <w:rPr>
                <w:szCs w:val="22"/>
              </w:rPr>
            </w:pPr>
            <w:r w:rsidRPr="002902B8">
              <w:rPr>
                <w:szCs w:val="22"/>
              </w:rPr>
              <w:t>FEBT</w:t>
            </w:r>
          </w:p>
        </w:tc>
        <w:tc>
          <w:tcPr>
            <w:tcW w:w="6237" w:type="dxa"/>
          </w:tcPr>
          <w:p w:rsidR="002D457F" w:rsidRPr="002902B8" w:rsidRDefault="002D457F" w:rsidP="00F15577">
            <w:pPr>
              <w:rPr>
                <w:szCs w:val="22"/>
              </w:rPr>
            </w:pPr>
            <w:r w:rsidRPr="002902B8">
              <w:rPr>
                <w:szCs w:val="22"/>
              </w:rPr>
              <w:t>Fentanyl effervescent buccal tablet</w:t>
            </w:r>
          </w:p>
        </w:tc>
      </w:tr>
      <w:tr w:rsidR="002D457F" w:rsidRPr="002902B8" w:rsidTr="00F15577">
        <w:tc>
          <w:tcPr>
            <w:tcW w:w="2268" w:type="dxa"/>
          </w:tcPr>
          <w:p w:rsidR="002D457F" w:rsidRPr="002902B8" w:rsidRDefault="002D457F" w:rsidP="00F15577">
            <w:pPr>
              <w:rPr>
                <w:szCs w:val="22"/>
              </w:rPr>
            </w:pPr>
            <w:r w:rsidRPr="002902B8">
              <w:rPr>
                <w:szCs w:val="22"/>
              </w:rPr>
              <w:t>F</w:t>
            </w:r>
            <w:r w:rsidRPr="002902B8">
              <w:rPr>
                <w:szCs w:val="22"/>
                <w:vertAlign w:val="subscript"/>
              </w:rPr>
              <w:t>OVF</w:t>
            </w:r>
          </w:p>
        </w:tc>
        <w:tc>
          <w:tcPr>
            <w:tcW w:w="6237" w:type="dxa"/>
          </w:tcPr>
          <w:p w:rsidR="002D457F" w:rsidRPr="002902B8" w:rsidRDefault="002D457F" w:rsidP="00F15577">
            <w:pPr>
              <w:rPr>
                <w:szCs w:val="22"/>
              </w:rPr>
            </w:pPr>
            <w:r w:rsidRPr="002902B8">
              <w:rPr>
                <w:szCs w:val="22"/>
              </w:rPr>
              <w:t>Absolute bioavailability of transmucosal Oravescent FEBT</w:t>
            </w:r>
          </w:p>
        </w:tc>
      </w:tr>
      <w:tr w:rsidR="002D457F" w:rsidRPr="002902B8" w:rsidTr="00F15577">
        <w:tc>
          <w:tcPr>
            <w:tcW w:w="2268" w:type="dxa"/>
          </w:tcPr>
          <w:p w:rsidR="002D457F" w:rsidRPr="002902B8" w:rsidRDefault="002D457F" w:rsidP="00F15577">
            <w:pPr>
              <w:rPr>
                <w:szCs w:val="22"/>
              </w:rPr>
            </w:pPr>
            <w:r w:rsidRPr="002902B8">
              <w:rPr>
                <w:szCs w:val="22"/>
              </w:rPr>
              <w:t>GAS</w:t>
            </w:r>
          </w:p>
        </w:tc>
        <w:tc>
          <w:tcPr>
            <w:tcW w:w="6237" w:type="dxa"/>
          </w:tcPr>
          <w:p w:rsidR="002D457F" w:rsidRPr="002902B8" w:rsidRDefault="002D457F" w:rsidP="00F15577">
            <w:pPr>
              <w:rPr>
                <w:szCs w:val="22"/>
              </w:rPr>
            </w:pPr>
            <w:r w:rsidRPr="002902B8">
              <w:rPr>
                <w:szCs w:val="22"/>
              </w:rPr>
              <w:t>Goal Attainment Scale</w:t>
            </w:r>
          </w:p>
        </w:tc>
      </w:tr>
      <w:tr w:rsidR="002D457F" w:rsidRPr="002902B8" w:rsidTr="00F15577">
        <w:tc>
          <w:tcPr>
            <w:tcW w:w="2268" w:type="dxa"/>
          </w:tcPr>
          <w:p w:rsidR="002D457F" w:rsidRPr="002902B8" w:rsidRDefault="002D457F" w:rsidP="00F15577">
            <w:pPr>
              <w:rPr>
                <w:szCs w:val="22"/>
              </w:rPr>
            </w:pPr>
            <w:r w:rsidRPr="002902B8">
              <w:rPr>
                <w:szCs w:val="22"/>
              </w:rPr>
              <w:t>GMPA</w:t>
            </w:r>
          </w:p>
        </w:tc>
        <w:tc>
          <w:tcPr>
            <w:tcW w:w="6237" w:type="dxa"/>
          </w:tcPr>
          <w:p w:rsidR="002D457F" w:rsidRPr="002902B8" w:rsidRDefault="002D457F" w:rsidP="00F15577">
            <w:pPr>
              <w:rPr>
                <w:szCs w:val="22"/>
              </w:rPr>
            </w:pPr>
            <w:r w:rsidRPr="002902B8">
              <w:rPr>
                <w:szCs w:val="22"/>
              </w:rPr>
              <w:t>Global medication performance assessment</w:t>
            </w:r>
          </w:p>
        </w:tc>
      </w:tr>
      <w:tr w:rsidR="002D457F" w:rsidRPr="002902B8" w:rsidTr="00F15577">
        <w:tc>
          <w:tcPr>
            <w:tcW w:w="2268" w:type="dxa"/>
          </w:tcPr>
          <w:p w:rsidR="002D457F" w:rsidRPr="002902B8" w:rsidRDefault="002D457F" w:rsidP="00F15577">
            <w:pPr>
              <w:rPr>
                <w:szCs w:val="22"/>
              </w:rPr>
            </w:pPr>
            <w:r w:rsidRPr="002902B8">
              <w:rPr>
                <w:szCs w:val="22"/>
              </w:rPr>
              <w:t>IV</w:t>
            </w:r>
          </w:p>
        </w:tc>
        <w:tc>
          <w:tcPr>
            <w:tcW w:w="6237" w:type="dxa"/>
          </w:tcPr>
          <w:p w:rsidR="002D457F" w:rsidRPr="002902B8" w:rsidRDefault="002D457F" w:rsidP="00F15577">
            <w:pPr>
              <w:rPr>
                <w:szCs w:val="22"/>
              </w:rPr>
            </w:pPr>
            <w:r w:rsidRPr="002902B8">
              <w:rPr>
                <w:szCs w:val="22"/>
              </w:rPr>
              <w:t>Intravenous</w:t>
            </w:r>
          </w:p>
        </w:tc>
      </w:tr>
      <w:tr w:rsidR="002D457F" w:rsidRPr="002902B8" w:rsidTr="00F15577">
        <w:tc>
          <w:tcPr>
            <w:tcW w:w="2268" w:type="dxa"/>
          </w:tcPr>
          <w:p w:rsidR="002D457F" w:rsidRPr="002902B8" w:rsidRDefault="002D457F" w:rsidP="00F15577">
            <w:pPr>
              <w:rPr>
                <w:sz w:val="20"/>
                <w:szCs w:val="20"/>
              </w:rPr>
            </w:pPr>
            <w:r w:rsidRPr="002902B8">
              <w:rPr>
                <w:sz w:val="20"/>
                <w:szCs w:val="20"/>
              </w:rPr>
              <w:t>Kel</w:t>
            </w:r>
          </w:p>
        </w:tc>
        <w:tc>
          <w:tcPr>
            <w:tcW w:w="6237" w:type="dxa"/>
          </w:tcPr>
          <w:p w:rsidR="002D457F" w:rsidRPr="002902B8" w:rsidRDefault="002D457F" w:rsidP="00F15577">
            <w:pPr>
              <w:rPr>
                <w:szCs w:val="22"/>
              </w:rPr>
            </w:pPr>
            <w:r w:rsidRPr="002902B8">
              <w:rPr>
                <w:szCs w:val="22"/>
              </w:rPr>
              <w:t>Terminal elimination rate constant</w:t>
            </w:r>
          </w:p>
        </w:tc>
      </w:tr>
      <w:tr w:rsidR="002D457F" w:rsidRPr="002902B8" w:rsidTr="00F15577">
        <w:tc>
          <w:tcPr>
            <w:tcW w:w="2268" w:type="dxa"/>
          </w:tcPr>
          <w:p w:rsidR="002D457F" w:rsidRPr="002902B8" w:rsidRDefault="002D457F" w:rsidP="00F15577">
            <w:pPr>
              <w:rPr>
                <w:szCs w:val="22"/>
              </w:rPr>
            </w:pPr>
            <w:r w:rsidRPr="002902B8">
              <w:rPr>
                <w:szCs w:val="22"/>
              </w:rPr>
              <w:t>LLOQ</w:t>
            </w:r>
          </w:p>
        </w:tc>
        <w:tc>
          <w:tcPr>
            <w:tcW w:w="6237" w:type="dxa"/>
          </w:tcPr>
          <w:p w:rsidR="002D457F" w:rsidRPr="002902B8" w:rsidRDefault="002D457F" w:rsidP="00F15577">
            <w:pPr>
              <w:rPr>
                <w:szCs w:val="22"/>
              </w:rPr>
            </w:pPr>
            <w:r w:rsidRPr="002902B8">
              <w:rPr>
                <w:szCs w:val="22"/>
              </w:rPr>
              <w:t>Lower limit of quantification</w:t>
            </w:r>
          </w:p>
        </w:tc>
      </w:tr>
      <w:tr w:rsidR="002D457F" w:rsidRPr="002902B8" w:rsidTr="00F15577">
        <w:tc>
          <w:tcPr>
            <w:tcW w:w="2268" w:type="dxa"/>
          </w:tcPr>
          <w:p w:rsidR="002D457F" w:rsidRPr="002902B8" w:rsidRDefault="002D457F" w:rsidP="00F15577">
            <w:pPr>
              <w:rPr>
                <w:szCs w:val="22"/>
              </w:rPr>
            </w:pPr>
            <w:r w:rsidRPr="002902B8">
              <w:rPr>
                <w:szCs w:val="22"/>
              </w:rPr>
              <w:t>Max</w:t>
            </w:r>
          </w:p>
        </w:tc>
        <w:tc>
          <w:tcPr>
            <w:tcW w:w="6237" w:type="dxa"/>
          </w:tcPr>
          <w:p w:rsidR="002D457F" w:rsidRPr="002902B8" w:rsidRDefault="002D457F" w:rsidP="00F15577">
            <w:pPr>
              <w:rPr>
                <w:szCs w:val="22"/>
              </w:rPr>
            </w:pPr>
            <w:r w:rsidRPr="002902B8">
              <w:rPr>
                <w:szCs w:val="22"/>
              </w:rPr>
              <w:t>Maximum</w:t>
            </w:r>
          </w:p>
        </w:tc>
      </w:tr>
      <w:tr w:rsidR="002D457F" w:rsidRPr="002902B8" w:rsidTr="00F15577">
        <w:tc>
          <w:tcPr>
            <w:tcW w:w="2268" w:type="dxa"/>
          </w:tcPr>
          <w:p w:rsidR="002D457F" w:rsidRPr="002902B8" w:rsidRDefault="002D457F" w:rsidP="00F15577">
            <w:pPr>
              <w:rPr>
                <w:szCs w:val="22"/>
              </w:rPr>
            </w:pPr>
            <w:r w:rsidRPr="002902B8">
              <w:rPr>
                <w:szCs w:val="22"/>
              </w:rPr>
              <w:t>MedDRA</w:t>
            </w:r>
          </w:p>
        </w:tc>
        <w:tc>
          <w:tcPr>
            <w:tcW w:w="6237" w:type="dxa"/>
          </w:tcPr>
          <w:p w:rsidR="002D457F" w:rsidRPr="002902B8" w:rsidRDefault="002D457F" w:rsidP="00F15577">
            <w:pPr>
              <w:rPr>
                <w:szCs w:val="22"/>
              </w:rPr>
            </w:pPr>
            <w:r w:rsidRPr="002902B8">
              <w:rPr>
                <w:szCs w:val="22"/>
              </w:rPr>
              <w:t>Medical Dictionary for Regulatory Activities</w:t>
            </w:r>
          </w:p>
        </w:tc>
      </w:tr>
      <w:tr w:rsidR="002D457F" w:rsidRPr="002902B8" w:rsidTr="00F15577">
        <w:tc>
          <w:tcPr>
            <w:tcW w:w="2268" w:type="dxa"/>
          </w:tcPr>
          <w:p w:rsidR="002D457F" w:rsidRPr="002902B8" w:rsidRDefault="002D457F" w:rsidP="00F15577">
            <w:pPr>
              <w:rPr>
                <w:szCs w:val="22"/>
              </w:rPr>
            </w:pPr>
            <w:r w:rsidRPr="002902B8">
              <w:rPr>
                <w:szCs w:val="22"/>
              </w:rPr>
              <w:t>Min</w:t>
            </w:r>
          </w:p>
        </w:tc>
        <w:tc>
          <w:tcPr>
            <w:tcW w:w="6237" w:type="dxa"/>
          </w:tcPr>
          <w:p w:rsidR="002D457F" w:rsidRPr="002902B8" w:rsidRDefault="002D457F" w:rsidP="00F15577">
            <w:pPr>
              <w:rPr>
                <w:szCs w:val="22"/>
              </w:rPr>
            </w:pPr>
            <w:r w:rsidRPr="002902B8">
              <w:rPr>
                <w:szCs w:val="22"/>
              </w:rPr>
              <w:t>Minimum</w:t>
            </w:r>
          </w:p>
        </w:tc>
      </w:tr>
      <w:tr w:rsidR="002D457F" w:rsidRPr="002902B8" w:rsidTr="00F15577">
        <w:tc>
          <w:tcPr>
            <w:tcW w:w="2268" w:type="dxa"/>
          </w:tcPr>
          <w:p w:rsidR="002D457F" w:rsidRPr="002902B8" w:rsidRDefault="002D457F" w:rsidP="00F15577">
            <w:pPr>
              <w:rPr>
                <w:szCs w:val="22"/>
              </w:rPr>
            </w:pPr>
            <w:r w:rsidRPr="002902B8">
              <w:rPr>
                <w:szCs w:val="22"/>
              </w:rPr>
              <w:t>MPA</w:t>
            </w:r>
          </w:p>
        </w:tc>
        <w:tc>
          <w:tcPr>
            <w:tcW w:w="6237" w:type="dxa"/>
          </w:tcPr>
          <w:p w:rsidR="002D457F" w:rsidRPr="002902B8" w:rsidRDefault="002D457F" w:rsidP="00F15577">
            <w:pPr>
              <w:rPr>
                <w:szCs w:val="22"/>
              </w:rPr>
            </w:pPr>
            <w:r w:rsidRPr="002902B8">
              <w:rPr>
                <w:szCs w:val="22"/>
              </w:rPr>
              <w:t>Medication performance assessment</w:t>
            </w:r>
          </w:p>
        </w:tc>
      </w:tr>
      <w:tr w:rsidR="002D457F" w:rsidRPr="002902B8" w:rsidTr="00F15577">
        <w:tc>
          <w:tcPr>
            <w:tcW w:w="2268" w:type="dxa"/>
          </w:tcPr>
          <w:p w:rsidR="002D457F" w:rsidRPr="002902B8" w:rsidRDefault="002D457F" w:rsidP="00F15577">
            <w:pPr>
              <w:rPr>
                <w:szCs w:val="22"/>
              </w:rPr>
            </w:pPr>
            <w:r w:rsidRPr="002902B8">
              <w:rPr>
                <w:szCs w:val="22"/>
              </w:rPr>
              <w:t>M-PEM</w:t>
            </w:r>
          </w:p>
        </w:tc>
        <w:tc>
          <w:tcPr>
            <w:tcW w:w="6237" w:type="dxa"/>
          </w:tcPr>
          <w:p w:rsidR="002D457F" w:rsidRPr="002902B8" w:rsidRDefault="002D457F" w:rsidP="00F15577">
            <w:pPr>
              <w:rPr>
                <w:szCs w:val="22"/>
              </w:rPr>
            </w:pPr>
            <w:r w:rsidRPr="002902B8">
              <w:rPr>
                <w:szCs w:val="22"/>
              </w:rPr>
              <w:t>Modified Prescription-Event Monitoring</w:t>
            </w:r>
          </w:p>
        </w:tc>
      </w:tr>
      <w:tr w:rsidR="002D457F" w:rsidRPr="002902B8" w:rsidTr="00F15577">
        <w:tc>
          <w:tcPr>
            <w:tcW w:w="2268" w:type="dxa"/>
          </w:tcPr>
          <w:p w:rsidR="002D457F" w:rsidRPr="002902B8" w:rsidRDefault="002D457F" w:rsidP="00F15577">
            <w:pPr>
              <w:rPr>
                <w:szCs w:val="22"/>
              </w:rPr>
            </w:pPr>
            <w:r w:rsidRPr="002902B8">
              <w:rPr>
                <w:szCs w:val="22"/>
              </w:rPr>
              <w:t>MPI</w:t>
            </w:r>
          </w:p>
        </w:tc>
        <w:tc>
          <w:tcPr>
            <w:tcW w:w="6237" w:type="dxa"/>
          </w:tcPr>
          <w:p w:rsidR="002D457F" w:rsidRPr="002902B8" w:rsidRDefault="002D457F" w:rsidP="00F15577">
            <w:pPr>
              <w:rPr>
                <w:szCs w:val="22"/>
              </w:rPr>
            </w:pPr>
            <w:r w:rsidRPr="002902B8">
              <w:rPr>
                <w:szCs w:val="22"/>
              </w:rPr>
              <w:t>Multidimensional Pain Inventory</w:t>
            </w:r>
          </w:p>
        </w:tc>
      </w:tr>
      <w:tr w:rsidR="002D457F" w:rsidRPr="002902B8" w:rsidTr="00F15577">
        <w:tc>
          <w:tcPr>
            <w:tcW w:w="2268" w:type="dxa"/>
          </w:tcPr>
          <w:p w:rsidR="002D457F" w:rsidRPr="002902B8" w:rsidRDefault="002D457F" w:rsidP="00F15577">
            <w:pPr>
              <w:rPr>
                <w:szCs w:val="22"/>
              </w:rPr>
            </w:pPr>
            <w:r w:rsidRPr="002902B8">
              <w:rPr>
                <w:szCs w:val="22"/>
              </w:rPr>
              <w:t>NA</w:t>
            </w:r>
          </w:p>
        </w:tc>
        <w:tc>
          <w:tcPr>
            <w:tcW w:w="6237" w:type="dxa"/>
          </w:tcPr>
          <w:p w:rsidR="002D457F" w:rsidRPr="002902B8" w:rsidRDefault="002D457F" w:rsidP="00F15577">
            <w:pPr>
              <w:rPr>
                <w:szCs w:val="22"/>
              </w:rPr>
            </w:pPr>
            <w:r w:rsidRPr="002902B8">
              <w:rPr>
                <w:szCs w:val="22"/>
              </w:rPr>
              <w:t>Not applicable</w:t>
            </w:r>
          </w:p>
        </w:tc>
      </w:tr>
      <w:tr w:rsidR="002D457F" w:rsidRPr="002902B8" w:rsidTr="00F15577">
        <w:tc>
          <w:tcPr>
            <w:tcW w:w="2268" w:type="dxa"/>
          </w:tcPr>
          <w:p w:rsidR="002D457F" w:rsidRPr="002902B8" w:rsidRDefault="002D457F" w:rsidP="00F15577">
            <w:pPr>
              <w:rPr>
                <w:szCs w:val="22"/>
              </w:rPr>
            </w:pPr>
            <w:r w:rsidRPr="002902B8">
              <w:rPr>
                <w:szCs w:val="22"/>
              </w:rPr>
              <w:t>NAV</w:t>
            </w:r>
          </w:p>
        </w:tc>
        <w:tc>
          <w:tcPr>
            <w:tcW w:w="6237" w:type="dxa"/>
          </w:tcPr>
          <w:p w:rsidR="002D457F" w:rsidRPr="002902B8" w:rsidRDefault="002D457F" w:rsidP="00F15577">
            <w:pPr>
              <w:rPr>
                <w:szCs w:val="22"/>
              </w:rPr>
            </w:pPr>
            <w:r w:rsidRPr="002902B8">
              <w:rPr>
                <w:szCs w:val="22"/>
              </w:rPr>
              <w:t>Not available</w:t>
            </w:r>
          </w:p>
        </w:tc>
      </w:tr>
      <w:tr w:rsidR="002D457F" w:rsidRPr="002902B8" w:rsidTr="00F15577">
        <w:tc>
          <w:tcPr>
            <w:tcW w:w="2268" w:type="dxa"/>
          </w:tcPr>
          <w:p w:rsidR="002D457F" w:rsidRPr="002902B8" w:rsidRDefault="002D457F" w:rsidP="00F15577">
            <w:pPr>
              <w:rPr>
                <w:szCs w:val="22"/>
              </w:rPr>
            </w:pPr>
            <w:r w:rsidRPr="002902B8">
              <w:rPr>
                <w:szCs w:val="22"/>
              </w:rPr>
              <w:t>NOS</w:t>
            </w:r>
          </w:p>
        </w:tc>
        <w:tc>
          <w:tcPr>
            <w:tcW w:w="6237" w:type="dxa"/>
          </w:tcPr>
          <w:p w:rsidR="002D457F" w:rsidRPr="002902B8" w:rsidRDefault="002D457F" w:rsidP="00F15577">
            <w:pPr>
              <w:rPr>
                <w:szCs w:val="22"/>
              </w:rPr>
            </w:pPr>
            <w:r w:rsidRPr="002902B8">
              <w:rPr>
                <w:szCs w:val="22"/>
              </w:rPr>
              <w:t>Not otherwise specified</w:t>
            </w:r>
          </w:p>
        </w:tc>
      </w:tr>
      <w:tr w:rsidR="002D457F" w:rsidRPr="002902B8" w:rsidTr="00F15577">
        <w:tc>
          <w:tcPr>
            <w:tcW w:w="2268" w:type="dxa"/>
          </w:tcPr>
          <w:p w:rsidR="002D457F" w:rsidRPr="002902B8" w:rsidRDefault="002D457F" w:rsidP="00F15577">
            <w:pPr>
              <w:rPr>
                <w:szCs w:val="22"/>
              </w:rPr>
            </w:pPr>
            <w:r w:rsidRPr="002902B8">
              <w:rPr>
                <w:szCs w:val="22"/>
              </w:rPr>
              <w:t>OTFC</w:t>
            </w:r>
          </w:p>
        </w:tc>
        <w:tc>
          <w:tcPr>
            <w:tcW w:w="6237" w:type="dxa"/>
          </w:tcPr>
          <w:p w:rsidR="002D457F" w:rsidRPr="002902B8" w:rsidRDefault="002D457F" w:rsidP="00F15577">
            <w:pPr>
              <w:rPr>
                <w:szCs w:val="22"/>
              </w:rPr>
            </w:pPr>
            <w:r w:rsidRPr="002902B8">
              <w:rPr>
                <w:szCs w:val="22"/>
              </w:rPr>
              <w:t>Oral transmucosal fentanyl citrate</w:t>
            </w:r>
          </w:p>
        </w:tc>
      </w:tr>
      <w:tr w:rsidR="002D457F" w:rsidRPr="002902B8" w:rsidTr="00F15577">
        <w:tc>
          <w:tcPr>
            <w:tcW w:w="2268" w:type="dxa"/>
          </w:tcPr>
          <w:p w:rsidR="002D457F" w:rsidRPr="002902B8" w:rsidRDefault="002D457F" w:rsidP="00F15577">
            <w:pPr>
              <w:rPr>
                <w:szCs w:val="22"/>
              </w:rPr>
            </w:pPr>
            <w:r w:rsidRPr="002902B8">
              <w:rPr>
                <w:szCs w:val="22"/>
              </w:rPr>
              <w:t>OVF</w:t>
            </w:r>
          </w:p>
        </w:tc>
        <w:tc>
          <w:tcPr>
            <w:tcW w:w="6237" w:type="dxa"/>
          </w:tcPr>
          <w:p w:rsidR="002D457F" w:rsidRPr="002902B8" w:rsidRDefault="002D457F" w:rsidP="00F15577">
            <w:pPr>
              <w:rPr>
                <w:szCs w:val="22"/>
              </w:rPr>
            </w:pPr>
            <w:r w:rsidRPr="002902B8">
              <w:rPr>
                <w:szCs w:val="22"/>
              </w:rPr>
              <w:t>Oravescent fentanyl (citrate) = FEBT</w:t>
            </w:r>
          </w:p>
        </w:tc>
      </w:tr>
      <w:tr w:rsidR="002D457F" w:rsidRPr="002902B8" w:rsidTr="00F15577">
        <w:tc>
          <w:tcPr>
            <w:tcW w:w="2268" w:type="dxa"/>
          </w:tcPr>
          <w:p w:rsidR="002D457F" w:rsidRPr="002902B8" w:rsidRDefault="002D457F" w:rsidP="00F15577">
            <w:pPr>
              <w:rPr>
                <w:szCs w:val="22"/>
              </w:rPr>
            </w:pPr>
            <w:r w:rsidRPr="002902B8">
              <w:rPr>
                <w:szCs w:val="22"/>
              </w:rPr>
              <w:t>PADER</w:t>
            </w:r>
          </w:p>
        </w:tc>
        <w:tc>
          <w:tcPr>
            <w:tcW w:w="6237" w:type="dxa"/>
          </w:tcPr>
          <w:p w:rsidR="002D457F" w:rsidRPr="002902B8" w:rsidRDefault="002D457F" w:rsidP="00F15577">
            <w:pPr>
              <w:rPr>
                <w:szCs w:val="22"/>
              </w:rPr>
            </w:pPr>
            <w:r w:rsidRPr="002902B8">
              <w:rPr>
                <w:szCs w:val="22"/>
              </w:rPr>
              <w:t>Periodic Adverse Drug Experience Reports</w:t>
            </w:r>
          </w:p>
        </w:tc>
      </w:tr>
      <w:tr w:rsidR="002D457F" w:rsidRPr="002902B8" w:rsidTr="00F15577">
        <w:tc>
          <w:tcPr>
            <w:tcW w:w="2268" w:type="dxa"/>
          </w:tcPr>
          <w:p w:rsidR="002D457F" w:rsidRPr="002902B8" w:rsidRDefault="002D457F" w:rsidP="00F15577">
            <w:pPr>
              <w:rPr>
                <w:szCs w:val="22"/>
              </w:rPr>
            </w:pPr>
            <w:r w:rsidRPr="002902B8">
              <w:rPr>
                <w:szCs w:val="22"/>
              </w:rPr>
              <w:lastRenderedPageBreak/>
              <w:t>PAF</w:t>
            </w:r>
          </w:p>
        </w:tc>
        <w:tc>
          <w:tcPr>
            <w:tcW w:w="6237" w:type="dxa"/>
          </w:tcPr>
          <w:p w:rsidR="002D457F" w:rsidRPr="002902B8" w:rsidRDefault="002D457F" w:rsidP="00F15577">
            <w:pPr>
              <w:rPr>
                <w:szCs w:val="22"/>
              </w:rPr>
            </w:pPr>
            <w:r w:rsidRPr="002902B8">
              <w:rPr>
                <w:szCs w:val="22"/>
              </w:rPr>
              <w:t>Patient Assessment of Function</w:t>
            </w:r>
          </w:p>
        </w:tc>
      </w:tr>
      <w:tr w:rsidR="002D457F" w:rsidRPr="002902B8" w:rsidTr="00F15577">
        <w:tc>
          <w:tcPr>
            <w:tcW w:w="2268" w:type="dxa"/>
          </w:tcPr>
          <w:p w:rsidR="002D457F" w:rsidRPr="002902B8" w:rsidRDefault="002D457F" w:rsidP="00F15577">
            <w:pPr>
              <w:rPr>
                <w:szCs w:val="22"/>
              </w:rPr>
            </w:pPr>
            <w:r w:rsidRPr="002902B8">
              <w:rPr>
                <w:szCs w:val="22"/>
              </w:rPr>
              <w:t>PASS</w:t>
            </w:r>
          </w:p>
        </w:tc>
        <w:tc>
          <w:tcPr>
            <w:tcW w:w="6237" w:type="dxa"/>
          </w:tcPr>
          <w:p w:rsidR="002D457F" w:rsidRPr="002902B8" w:rsidRDefault="002D457F" w:rsidP="00F15577">
            <w:pPr>
              <w:rPr>
                <w:szCs w:val="22"/>
              </w:rPr>
            </w:pPr>
            <w:r w:rsidRPr="002902B8">
              <w:rPr>
                <w:szCs w:val="22"/>
              </w:rPr>
              <w:t>Pain Anxiety Symptoms Scale</w:t>
            </w:r>
          </w:p>
        </w:tc>
      </w:tr>
      <w:tr w:rsidR="002D457F" w:rsidRPr="002902B8" w:rsidTr="00F15577">
        <w:tc>
          <w:tcPr>
            <w:tcW w:w="2268" w:type="dxa"/>
          </w:tcPr>
          <w:p w:rsidR="002D457F" w:rsidRPr="002902B8" w:rsidRDefault="002D457F" w:rsidP="00F15577">
            <w:pPr>
              <w:rPr>
                <w:szCs w:val="22"/>
              </w:rPr>
            </w:pPr>
            <w:r w:rsidRPr="002902B8">
              <w:rPr>
                <w:szCs w:val="22"/>
              </w:rPr>
              <w:t>PFTS</w:t>
            </w:r>
          </w:p>
        </w:tc>
        <w:tc>
          <w:tcPr>
            <w:tcW w:w="6237" w:type="dxa"/>
          </w:tcPr>
          <w:p w:rsidR="002D457F" w:rsidRPr="002902B8" w:rsidRDefault="002D457F" w:rsidP="00F15577">
            <w:pPr>
              <w:rPr>
                <w:szCs w:val="22"/>
              </w:rPr>
            </w:pPr>
            <w:r w:rsidRPr="002902B8">
              <w:rPr>
                <w:szCs w:val="22"/>
              </w:rPr>
              <w:t>Pain Flare Treatment Satisfaction</w:t>
            </w:r>
          </w:p>
        </w:tc>
      </w:tr>
      <w:tr w:rsidR="002D457F" w:rsidRPr="002902B8" w:rsidTr="00F15577">
        <w:tc>
          <w:tcPr>
            <w:tcW w:w="2268" w:type="dxa"/>
          </w:tcPr>
          <w:p w:rsidR="002D457F" w:rsidRPr="002902B8" w:rsidRDefault="002D457F" w:rsidP="00F15577">
            <w:pPr>
              <w:rPr>
                <w:szCs w:val="22"/>
              </w:rPr>
            </w:pPr>
            <w:r w:rsidRPr="002902B8">
              <w:rPr>
                <w:szCs w:val="22"/>
              </w:rPr>
              <w:t>PGIC</w:t>
            </w:r>
          </w:p>
        </w:tc>
        <w:tc>
          <w:tcPr>
            <w:tcW w:w="6237" w:type="dxa"/>
          </w:tcPr>
          <w:p w:rsidR="002D457F" w:rsidRPr="002902B8" w:rsidRDefault="002D457F" w:rsidP="00F15577">
            <w:pPr>
              <w:rPr>
                <w:szCs w:val="22"/>
              </w:rPr>
            </w:pPr>
            <w:r w:rsidRPr="002902B8">
              <w:rPr>
                <w:szCs w:val="22"/>
              </w:rPr>
              <w:t>Patient Global Impression of Change</w:t>
            </w:r>
          </w:p>
        </w:tc>
      </w:tr>
      <w:tr w:rsidR="002D457F" w:rsidRPr="002902B8" w:rsidTr="00F15577">
        <w:tc>
          <w:tcPr>
            <w:tcW w:w="2268" w:type="dxa"/>
          </w:tcPr>
          <w:p w:rsidR="002D457F" w:rsidRPr="002902B8" w:rsidRDefault="002D457F" w:rsidP="00F15577">
            <w:pPr>
              <w:rPr>
                <w:szCs w:val="22"/>
              </w:rPr>
            </w:pPr>
            <w:r w:rsidRPr="002902B8">
              <w:rPr>
                <w:szCs w:val="22"/>
              </w:rPr>
              <w:t>PI</w:t>
            </w:r>
          </w:p>
        </w:tc>
        <w:tc>
          <w:tcPr>
            <w:tcW w:w="6237" w:type="dxa"/>
          </w:tcPr>
          <w:p w:rsidR="002D457F" w:rsidRPr="002902B8" w:rsidRDefault="002D457F" w:rsidP="00F15577">
            <w:pPr>
              <w:rPr>
                <w:szCs w:val="22"/>
              </w:rPr>
            </w:pPr>
            <w:r w:rsidRPr="002902B8">
              <w:rPr>
                <w:szCs w:val="22"/>
              </w:rPr>
              <w:t>Product Information</w:t>
            </w:r>
          </w:p>
        </w:tc>
      </w:tr>
      <w:tr w:rsidR="002D457F" w:rsidRPr="002902B8" w:rsidTr="00F15577">
        <w:tc>
          <w:tcPr>
            <w:tcW w:w="2268" w:type="dxa"/>
          </w:tcPr>
          <w:p w:rsidR="002D457F" w:rsidRPr="002902B8" w:rsidRDefault="002D457F" w:rsidP="00F15577">
            <w:pPr>
              <w:rPr>
                <w:szCs w:val="22"/>
              </w:rPr>
            </w:pPr>
            <w:r w:rsidRPr="002902B8">
              <w:rPr>
                <w:szCs w:val="22"/>
              </w:rPr>
              <w:t>PI</w:t>
            </w:r>
          </w:p>
        </w:tc>
        <w:tc>
          <w:tcPr>
            <w:tcW w:w="6237" w:type="dxa"/>
          </w:tcPr>
          <w:p w:rsidR="002D457F" w:rsidRPr="002902B8" w:rsidRDefault="002D457F" w:rsidP="00F15577">
            <w:pPr>
              <w:rPr>
                <w:szCs w:val="22"/>
              </w:rPr>
            </w:pPr>
            <w:r w:rsidRPr="002902B8">
              <w:rPr>
                <w:szCs w:val="22"/>
              </w:rPr>
              <w:t>Pain intensity</w:t>
            </w:r>
          </w:p>
        </w:tc>
      </w:tr>
      <w:tr w:rsidR="002D457F" w:rsidRPr="002902B8" w:rsidTr="00F15577">
        <w:tc>
          <w:tcPr>
            <w:tcW w:w="2268" w:type="dxa"/>
          </w:tcPr>
          <w:p w:rsidR="002D457F" w:rsidRPr="002902B8" w:rsidRDefault="002D457F" w:rsidP="00F15577">
            <w:pPr>
              <w:rPr>
                <w:szCs w:val="22"/>
              </w:rPr>
            </w:pPr>
            <w:r w:rsidRPr="002902B8">
              <w:rPr>
                <w:szCs w:val="22"/>
              </w:rPr>
              <w:t>PID</w:t>
            </w:r>
          </w:p>
        </w:tc>
        <w:tc>
          <w:tcPr>
            <w:tcW w:w="6237" w:type="dxa"/>
          </w:tcPr>
          <w:p w:rsidR="002D457F" w:rsidRPr="002902B8" w:rsidRDefault="002D457F" w:rsidP="00F15577">
            <w:pPr>
              <w:rPr>
                <w:szCs w:val="22"/>
              </w:rPr>
            </w:pPr>
            <w:r w:rsidRPr="002902B8">
              <w:rPr>
                <w:szCs w:val="22"/>
              </w:rPr>
              <w:t>Pain intensity difference</w:t>
            </w:r>
          </w:p>
        </w:tc>
      </w:tr>
      <w:tr w:rsidR="002D457F" w:rsidRPr="002902B8" w:rsidTr="00F15577">
        <w:tc>
          <w:tcPr>
            <w:tcW w:w="2268" w:type="dxa"/>
          </w:tcPr>
          <w:p w:rsidR="002D457F" w:rsidRPr="002902B8" w:rsidRDefault="002D457F" w:rsidP="00F15577">
            <w:pPr>
              <w:rPr>
                <w:szCs w:val="22"/>
              </w:rPr>
            </w:pPr>
            <w:r w:rsidRPr="002902B8">
              <w:rPr>
                <w:szCs w:val="22"/>
              </w:rPr>
              <w:t>POMS</w:t>
            </w:r>
          </w:p>
        </w:tc>
        <w:tc>
          <w:tcPr>
            <w:tcW w:w="6237" w:type="dxa"/>
          </w:tcPr>
          <w:p w:rsidR="002D457F" w:rsidRPr="002902B8" w:rsidRDefault="002D457F" w:rsidP="00F15577">
            <w:pPr>
              <w:rPr>
                <w:szCs w:val="22"/>
              </w:rPr>
            </w:pPr>
            <w:r w:rsidRPr="002902B8">
              <w:rPr>
                <w:szCs w:val="22"/>
              </w:rPr>
              <w:t>Profile of Mood States</w:t>
            </w:r>
          </w:p>
        </w:tc>
      </w:tr>
      <w:tr w:rsidR="002D457F" w:rsidRPr="002902B8" w:rsidTr="00F15577">
        <w:tc>
          <w:tcPr>
            <w:tcW w:w="2268" w:type="dxa"/>
          </w:tcPr>
          <w:p w:rsidR="002D457F" w:rsidRPr="002902B8" w:rsidRDefault="002D457F" w:rsidP="00F15577">
            <w:pPr>
              <w:rPr>
                <w:szCs w:val="22"/>
              </w:rPr>
            </w:pPr>
            <w:r w:rsidRPr="002902B8">
              <w:rPr>
                <w:szCs w:val="22"/>
              </w:rPr>
              <w:t>PSUR</w:t>
            </w:r>
          </w:p>
        </w:tc>
        <w:tc>
          <w:tcPr>
            <w:tcW w:w="6237" w:type="dxa"/>
          </w:tcPr>
          <w:p w:rsidR="002D457F" w:rsidRPr="002902B8" w:rsidRDefault="002D457F" w:rsidP="00F15577">
            <w:pPr>
              <w:rPr>
                <w:szCs w:val="22"/>
              </w:rPr>
            </w:pPr>
            <w:r w:rsidRPr="002902B8">
              <w:rPr>
                <w:szCs w:val="22"/>
              </w:rPr>
              <w:t>Periodic Safety Update Report</w:t>
            </w:r>
          </w:p>
        </w:tc>
      </w:tr>
      <w:tr w:rsidR="002D457F" w:rsidRPr="002902B8" w:rsidTr="00F15577">
        <w:tc>
          <w:tcPr>
            <w:tcW w:w="2268" w:type="dxa"/>
          </w:tcPr>
          <w:p w:rsidR="002D457F" w:rsidRPr="002902B8" w:rsidRDefault="002D457F" w:rsidP="00F15577">
            <w:pPr>
              <w:rPr>
                <w:szCs w:val="22"/>
              </w:rPr>
            </w:pPr>
            <w:r w:rsidRPr="002902B8">
              <w:rPr>
                <w:szCs w:val="22"/>
              </w:rPr>
              <w:t>RBC</w:t>
            </w:r>
          </w:p>
        </w:tc>
        <w:tc>
          <w:tcPr>
            <w:tcW w:w="6237" w:type="dxa"/>
          </w:tcPr>
          <w:p w:rsidR="002D457F" w:rsidRPr="002902B8" w:rsidRDefault="002D457F" w:rsidP="00F15577">
            <w:pPr>
              <w:rPr>
                <w:szCs w:val="22"/>
              </w:rPr>
            </w:pPr>
            <w:r w:rsidRPr="002902B8">
              <w:rPr>
                <w:szCs w:val="22"/>
              </w:rPr>
              <w:t>Red blood cell</w:t>
            </w:r>
          </w:p>
        </w:tc>
      </w:tr>
      <w:tr w:rsidR="002D457F" w:rsidRPr="002902B8" w:rsidTr="00F15577">
        <w:tc>
          <w:tcPr>
            <w:tcW w:w="2268" w:type="dxa"/>
          </w:tcPr>
          <w:p w:rsidR="002D457F" w:rsidRPr="002902B8" w:rsidRDefault="002D457F" w:rsidP="00F15577">
            <w:pPr>
              <w:rPr>
                <w:szCs w:val="22"/>
              </w:rPr>
            </w:pPr>
            <w:r w:rsidRPr="002902B8">
              <w:rPr>
                <w:szCs w:val="22"/>
              </w:rPr>
              <w:t>RMP</w:t>
            </w:r>
          </w:p>
        </w:tc>
        <w:tc>
          <w:tcPr>
            <w:tcW w:w="6237" w:type="dxa"/>
          </w:tcPr>
          <w:p w:rsidR="002D457F" w:rsidRPr="002902B8" w:rsidRDefault="002D457F" w:rsidP="00F15577">
            <w:pPr>
              <w:rPr>
                <w:szCs w:val="22"/>
              </w:rPr>
            </w:pPr>
            <w:r w:rsidRPr="002902B8">
              <w:rPr>
                <w:szCs w:val="22"/>
              </w:rPr>
              <w:t>Risk Management Plan</w:t>
            </w:r>
          </w:p>
        </w:tc>
      </w:tr>
      <w:tr w:rsidR="002D457F" w:rsidRPr="002902B8" w:rsidTr="00F15577">
        <w:tc>
          <w:tcPr>
            <w:tcW w:w="2268" w:type="dxa"/>
          </w:tcPr>
          <w:p w:rsidR="002D457F" w:rsidRPr="002902B8" w:rsidRDefault="002D457F" w:rsidP="00F15577">
            <w:pPr>
              <w:rPr>
                <w:szCs w:val="22"/>
              </w:rPr>
            </w:pPr>
            <w:r w:rsidRPr="002902B8">
              <w:rPr>
                <w:szCs w:val="22"/>
              </w:rPr>
              <w:t>SD</w:t>
            </w:r>
          </w:p>
        </w:tc>
        <w:tc>
          <w:tcPr>
            <w:tcW w:w="6237" w:type="dxa"/>
          </w:tcPr>
          <w:p w:rsidR="002D457F" w:rsidRPr="002902B8" w:rsidRDefault="002D457F" w:rsidP="00F15577">
            <w:pPr>
              <w:rPr>
                <w:szCs w:val="22"/>
              </w:rPr>
            </w:pPr>
            <w:r w:rsidRPr="002902B8">
              <w:rPr>
                <w:szCs w:val="22"/>
              </w:rPr>
              <w:t>Standard deviation</w:t>
            </w:r>
          </w:p>
        </w:tc>
      </w:tr>
      <w:tr w:rsidR="002D457F" w:rsidRPr="002902B8" w:rsidTr="00F15577">
        <w:tc>
          <w:tcPr>
            <w:tcW w:w="2268" w:type="dxa"/>
          </w:tcPr>
          <w:p w:rsidR="002D457F" w:rsidRPr="002902B8" w:rsidRDefault="002D457F" w:rsidP="00F15577">
            <w:pPr>
              <w:rPr>
                <w:szCs w:val="22"/>
              </w:rPr>
            </w:pPr>
            <w:r w:rsidRPr="002902B8">
              <w:rPr>
                <w:szCs w:val="22"/>
              </w:rPr>
              <w:t>SE</w:t>
            </w:r>
          </w:p>
        </w:tc>
        <w:tc>
          <w:tcPr>
            <w:tcW w:w="6237" w:type="dxa"/>
          </w:tcPr>
          <w:p w:rsidR="002D457F" w:rsidRPr="002902B8" w:rsidRDefault="002D457F" w:rsidP="00F15577">
            <w:pPr>
              <w:rPr>
                <w:szCs w:val="22"/>
              </w:rPr>
            </w:pPr>
            <w:r w:rsidRPr="002902B8">
              <w:rPr>
                <w:szCs w:val="22"/>
              </w:rPr>
              <w:t>Standard error</w:t>
            </w:r>
          </w:p>
        </w:tc>
      </w:tr>
      <w:tr w:rsidR="002D457F" w:rsidRPr="002902B8" w:rsidTr="00F15577">
        <w:tc>
          <w:tcPr>
            <w:tcW w:w="2268" w:type="dxa"/>
          </w:tcPr>
          <w:p w:rsidR="002D457F" w:rsidRPr="002902B8" w:rsidRDefault="002D457F" w:rsidP="00F15577">
            <w:pPr>
              <w:rPr>
                <w:szCs w:val="22"/>
              </w:rPr>
            </w:pPr>
            <w:r w:rsidRPr="002902B8">
              <w:rPr>
                <w:szCs w:val="22"/>
              </w:rPr>
              <w:t>SF-36</w:t>
            </w:r>
          </w:p>
        </w:tc>
        <w:tc>
          <w:tcPr>
            <w:tcW w:w="6237" w:type="dxa"/>
          </w:tcPr>
          <w:p w:rsidR="002D457F" w:rsidRPr="002902B8" w:rsidRDefault="002D457F" w:rsidP="00F15577">
            <w:pPr>
              <w:rPr>
                <w:szCs w:val="22"/>
              </w:rPr>
            </w:pPr>
            <w:r w:rsidRPr="002902B8">
              <w:rPr>
                <w:szCs w:val="22"/>
              </w:rPr>
              <w:t>Short Form Health Survey-36</w:t>
            </w:r>
          </w:p>
        </w:tc>
      </w:tr>
      <w:tr w:rsidR="002D457F" w:rsidRPr="002902B8" w:rsidTr="00F15577">
        <w:tc>
          <w:tcPr>
            <w:tcW w:w="2268" w:type="dxa"/>
          </w:tcPr>
          <w:p w:rsidR="002D457F" w:rsidRPr="002902B8" w:rsidRDefault="002D457F" w:rsidP="00F15577">
            <w:pPr>
              <w:rPr>
                <w:szCs w:val="22"/>
              </w:rPr>
            </w:pPr>
            <w:r w:rsidRPr="002902B8">
              <w:rPr>
                <w:szCs w:val="22"/>
              </w:rPr>
              <w:t>SI</w:t>
            </w:r>
          </w:p>
        </w:tc>
        <w:tc>
          <w:tcPr>
            <w:tcW w:w="6237" w:type="dxa"/>
          </w:tcPr>
          <w:p w:rsidR="002D457F" w:rsidRPr="002902B8" w:rsidRDefault="002D457F" w:rsidP="00F15577">
            <w:pPr>
              <w:rPr>
                <w:szCs w:val="22"/>
              </w:rPr>
            </w:pPr>
            <w:r w:rsidRPr="002902B8">
              <w:rPr>
                <w:szCs w:val="22"/>
              </w:rPr>
              <w:t>International System of Units</w:t>
            </w:r>
          </w:p>
        </w:tc>
      </w:tr>
      <w:tr w:rsidR="002D457F" w:rsidRPr="002902B8" w:rsidTr="00F15577">
        <w:tc>
          <w:tcPr>
            <w:tcW w:w="2268" w:type="dxa"/>
          </w:tcPr>
          <w:p w:rsidR="002D457F" w:rsidRPr="002902B8" w:rsidRDefault="002D457F" w:rsidP="00F15577">
            <w:pPr>
              <w:rPr>
                <w:szCs w:val="22"/>
              </w:rPr>
            </w:pPr>
            <w:r w:rsidRPr="002902B8">
              <w:rPr>
                <w:szCs w:val="22"/>
              </w:rPr>
              <w:t>SPID</w:t>
            </w:r>
          </w:p>
        </w:tc>
        <w:tc>
          <w:tcPr>
            <w:tcW w:w="6237" w:type="dxa"/>
          </w:tcPr>
          <w:p w:rsidR="002D457F" w:rsidRPr="002902B8" w:rsidRDefault="002D457F" w:rsidP="00F15577">
            <w:pPr>
              <w:rPr>
                <w:szCs w:val="22"/>
              </w:rPr>
            </w:pPr>
            <w:r w:rsidRPr="002902B8">
              <w:rPr>
                <w:szCs w:val="22"/>
              </w:rPr>
              <w:t>Sum of pain intensity differences</w:t>
            </w:r>
          </w:p>
        </w:tc>
      </w:tr>
      <w:tr w:rsidR="002D457F" w:rsidRPr="002902B8" w:rsidTr="00F15577">
        <w:tc>
          <w:tcPr>
            <w:tcW w:w="2268" w:type="dxa"/>
          </w:tcPr>
          <w:p w:rsidR="002D457F" w:rsidRPr="002902B8" w:rsidRDefault="002D457F" w:rsidP="00F15577">
            <w:pPr>
              <w:rPr>
                <w:szCs w:val="22"/>
              </w:rPr>
            </w:pPr>
            <w:r w:rsidRPr="002902B8">
              <w:rPr>
                <w:szCs w:val="22"/>
              </w:rPr>
              <w:t>SPID</w:t>
            </w:r>
            <w:r w:rsidRPr="002902B8">
              <w:rPr>
                <w:szCs w:val="22"/>
                <w:vertAlign w:val="subscript"/>
              </w:rPr>
              <w:t>30</w:t>
            </w:r>
          </w:p>
        </w:tc>
        <w:tc>
          <w:tcPr>
            <w:tcW w:w="6237" w:type="dxa"/>
          </w:tcPr>
          <w:p w:rsidR="002D457F" w:rsidRPr="002902B8" w:rsidRDefault="002D457F" w:rsidP="00F15577">
            <w:pPr>
              <w:rPr>
                <w:szCs w:val="22"/>
              </w:rPr>
            </w:pPr>
            <w:r w:rsidRPr="002902B8">
              <w:rPr>
                <w:szCs w:val="22"/>
              </w:rPr>
              <w:t>SPID up to 30 minutes after the start of study drug administration</w:t>
            </w:r>
          </w:p>
        </w:tc>
      </w:tr>
      <w:tr w:rsidR="002D457F" w:rsidRPr="002902B8" w:rsidTr="00F15577">
        <w:tc>
          <w:tcPr>
            <w:tcW w:w="2268" w:type="dxa"/>
          </w:tcPr>
          <w:p w:rsidR="002D457F" w:rsidRPr="002902B8" w:rsidRDefault="002D457F" w:rsidP="00F15577">
            <w:pPr>
              <w:rPr>
                <w:szCs w:val="22"/>
              </w:rPr>
            </w:pPr>
            <w:r w:rsidRPr="002902B8">
              <w:rPr>
                <w:szCs w:val="22"/>
              </w:rPr>
              <w:t>SPID</w:t>
            </w:r>
            <w:r w:rsidRPr="002902B8">
              <w:rPr>
                <w:szCs w:val="22"/>
                <w:vertAlign w:val="subscript"/>
              </w:rPr>
              <w:t>60</w:t>
            </w:r>
          </w:p>
        </w:tc>
        <w:tc>
          <w:tcPr>
            <w:tcW w:w="6237" w:type="dxa"/>
          </w:tcPr>
          <w:p w:rsidR="002D457F" w:rsidRPr="002902B8" w:rsidRDefault="002D457F" w:rsidP="00F15577">
            <w:pPr>
              <w:rPr>
                <w:szCs w:val="22"/>
              </w:rPr>
            </w:pPr>
            <w:r w:rsidRPr="002902B8">
              <w:rPr>
                <w:szCs w:val="22"/>
              </w:rPr>
              <w:t>SPID up to 60 minutes after the start of study drug administration</w:t>
            </w:r>
          </w:p>
        </w:tc>
      </w:tr>
      <w:tr w:rsidR="002D457F" w:rsidRPr="002902B8" w:rsidTr="00F15577">
        <w:tc>
          <w:tcPr>
            <w:tcW w:w="2268" w:type="dxa"/>
          </w:tcPr>
          <w:p w:rsidR="002D457F" w:rsidRPr="002902B8" w:rsidRDefault="002D457F" w:rsidP="00F15577">
            <w:pPr>
              <w:rPr>
                <w:szCs w:val="22"/>
              </w:rPr>
            </w:pPr>
            <w:r w:rsidRPr="002902B8">
              <w:rPr>
                <w:szCs w:val="22"/>
              </w:rPr>
              <w:t>SpO</w:t>
            </w:r>
            <w:r w:rsidRPr="002902B8">
              <w:rPr>
                <w:szCs w:val="22"/>
                <w:vertAlign w:val="subscript"/>
              </w:rPr>
              <w:t>2</w:t>
            </w:r>
          </w:p>
        </w:tc>
        <w:tc>
          <w:tcPr>
            <w:tcW w:w="6237" w:type="dxa"/>
          </w:tcPr>
          <w:p w:rsidR="002D457F" w:rsidRPr="002902B8" w:rsidRDefault="002D457F" w:rsidP="00F15577">
            <w:pPr>
              <w:rPr>
                <w:szCs w:val="22"/>
              </w:rPr>
            </w:pPr>
            <w:r w:rsidRPr="002902B8">
              <w:rPr>
                <w:szCs w:val="22"/>
              </w:rPr>
              <w:t>oxyhaemoglobin saturation</w:t>
            </w:r>
          </w:p>
        </w:tc>
      </w:tr>
      <w:tr w:rsidR="002D457F" w:rsidRPr="002902B8" w:rsidTr="00F15577">
        <w:tc>
          <w:tcPr>
            <w:tcW w:w="2268" w:type="dxa"/>
          </w:tcPr>
          <w:p w:rsidR="002D457F" w:rsidRPr="002902B8" w:rsidRDefault="002D457F" w:rsidP="00F15577">
            <w:pPr>
              <w:rPr>
                <w:szCs w:val="22"/>
              </w:rPr>
            </w:pPr>
            <w:r w:rsidRPr="002902B8">
              <w:rPr>
                <w:szCs w:val="22"/>
              </w:rPr>
              <w:t>SQ</w:t>
            </w:r>
          </w:p>
        </w:tc>
        <w:tc>
          <w:tcPr>
            <w:tcW w:w="6237" w:type="dxa"/>
          </w:tcPr>
          <w:p w:rsidR="002D457F" w:rsidRPr="002902B8" w:rsidRDefault="002D457F" w:rsidP="00F15577">
            <w:pPr>
              <w:rPr>
                <w:szCs w:val="22"/>
              </w:rPr>
            </w:pPr>
            <w:r w:rsidRPr="002902B8">
              <w:rPr>
                <w:szCs w:val="22"/>
              </w:rPr>
              <w:t>Sleep questionnaire</w:t>
            </w:r>
          </w:p>
        </w:tc>
      </w:tr>
      <w:tr w:rsidR="002D457F" w:rsidRPr="002902B8" w:rsidTr="00F15577">
        <w:tc>
          <w:tcPr>
            <w:tcW w:w="2268" w:type="dxa"/>
          </w:tcPr>
          <w:p w:rsidR="002D457F" w:rsidRPr="002902B8" w:rsidRDefault="002D457F" w:rsidP="00F15577">
            <w:pPr>
              <w:rPr>
                <w:szCs w:val="22"/>
              </w:rPr>
            </w:pPr>
            <w:r w:rsidRPr="002902B8">
              <w:rPr>
                <w:szCs w:val="22"/>
              </w:rPr>
              <w:t>T½</w:t>
            </w:r>
          </w:p>
        </w:tc>
        <w:tc>
          <w:tcPr>
            <w:tcW w:w="6237" w:type="dxa"/>
          </w:tcPr>
          <w:p w:rsidR="002D457F" w:rsidRPr="002902B8" w:rsidRDefault="002D457F" w:rsidP="00F15577">
            <w:pPr>
              <w:rPr>
                <w:szCs w:val="22"/>
              </w:rPr>
            </w:pPr>
            <w:r w:rsidRPr="002902B8">
              <w:rPr>
                <w:szCs w:val="22"/>
              </w:rPr>
              <w:t>Elimination half-life</w:t>
            </w:r>
          </w:p>
        </w:tc>
      </w:tr>
      <w:tr w:rsidR="002D457F" w:rsidRPr="002902B8" w:rsidTr="00F15577">
        <w:tc>
          <w:tcPr>
            <w:tcW w:w="2268" w:type="dxa"/>
          </w:tcPr>
          <w:p w:rsidR="002D457F" w:rsidRPr="002902B8" w:rsidRDefault="002D457F" w:rsidP="00F15577">
            <w:pPr>
              <w:rPr>
                <w:szCs w:val="22"/>
              </w:rPr>
            </w:pPr>
            <w:r w:rsidRPr="002902B8">
              <w:rPr>
                <w:szCs w:val="22"/>
              </w:rPr>
              <w:t>T</w:t>
            </w:r>
            <w:r w:rsidRPr="002902B8">
              <w:rPr>
                <w:szCs w:val="22"/>
                <w:vertAlign w:val="subscript"/>
              </w:rPr>
              <w:t>max</w:t>
            </w:r>
          </w:p>
        </w:tc>
        <w:tc>
          <w:tcPr>
            <w:tcW w:w="6237" w:type="dxa"/>
          </w:tcPr>
          <w:p w:rsidR="002D457F" w:rsidRPr="002902B8" w:rsidRDefault="002D457F" w:rsidP="00F15577">
            <w:pPr>
              <w:rPr>
                <w:szCs w:val="22"/>
              </w:rPr>
            </w:pPr>
            <w:r w:rsidRPr="002902B8">
              <w:rPr>
                <w:szCs w:val="22"/>
              </w:rPr>
              <w:t>Time to maximum observed plasma drug concentration</w:t>
            </w:r>
          </w:p>
        </w:tc>
      </w:tr>
      <w:tr w:rsidR="002D457F" w:rsidRPr="002902B8" w:rsidTr="00F15577">
        <w:tc>
          <w:tcPr>
            <w:tcW w:w="2268" w:type="dxa"/>
          </w:tcPr>
          <w:p w:rsidR="002D457F" w:rsidRPr="002902B8" w:rsidRDefault="002D457F" w:rsidP="00F15577">
            <w:pPr>
              <w:rPr>
                <w:szCs w:val="22"/>
              </w:rPr>
            </w:pPr>
            <w:r w:rsidRPr="002902B8">
              <w:rPr>
                <w:szCs w:val="22"/>
              </w:rPr>
              <w:t>TOTPAR</w:t>
            </w:r>
          </w:p>
        </w:tc>
        <w:tc>
          <w:tcPr>
            <w:tcW w:w="6237" w:type="dxa"/>
          </w:tcPr>
          <w:p w:rsidR="002D457F" w:rsidRPr="002902B8" w:rsidRDefault="002D457F" w:rsidP="00F15577">
            <w:pPr>
              <w:rPr>
                <w:szCs w:val="22"/>
              </w:rPr>
            </w:pPr>
            <w:r w:rsidRPr="002902B8">
              <w:rPr>
                <w:szCs w:val="22"/>
              </w:rPr>
              <w:t>Total pain relief</w:t>
            </w:r>
          </w:p>
        </w:tc>
      </w:tr>
      <w:tr w:rsidR="002D457F" w:rsidRPr="002902B8" w:rsidTr="00F15577">
        <w:tc>
          <w:tcPr>
            <w:tcW w:w="2268" w:type="dxa"/>
          </w:tcPr>
          <w:p w:rsidR="002D457F" w:rsidRPr="002902B8" w:rsidRDefault="002D457F" w:rsidP="00F15577">
            <w:pPr>
              <w:rPr>
                <w:szCs w:val="22"/>
              </w:rPr>
            </w:pPr>
            <w:r w:rsidRPr="002902B8">
              <w:rPr>
                <w:szCs w:val="22"/>
              </w:rPr>
              <w:t>U</w:t>
            </w:r>
          </w:p>
        </w:tc>
        <w:tc>
          <w:tcPr>
            <w:tcW w:w="6237" w:type="dxa"/>
          </w:tcPr>
          <w:p w:rsidR="002D457F" w:rsidRPr="002902B8" w:rsidRDefault="002D457F" w:rsidP="00F15577">
            <w:pPr>
              <w:rPr>
                <w:szCs w:val="22"/>
              </w:rPr>
            </w:pPr>
            <w:r w:rsidRPr="002902B8">
              <w:rPr>
                <w:szCs w:val="22"/>
              </w:rPr>
              <w:t>Unknown (missing)</w:t>
            </w:r>
          </w:p>
        </w:tc>
      </w:tr>
      <w:tr w:rsidR="002D457F" w:rsidRPr="002902B8" w:rsidTr="00F15577">
        <w:tc>
          <w:tcPr>
            <w:tcW w:w="2268" w:type="dxa"/>
          </w:tcPr>
          <w:p w:rsidR="002D457F" w:rsidRPr="002902B8" w:rsidRDefault="002D457F" w:rsidP="00F15577">
            <w:pPr>
              <w:rPr>
                <w:szCs w:val="22"/>
              </w:rPr>
            </w:pPr>
            <w:r w:rsidRPr="002902B8">
              <w:rPr>
                <w:szCs w:val="22"/>
              </w:rPr>
              <w:t>UK</w:t>
            </w:r>
          </w:p>
        </w:tc>
        <w:tc>
          <w:tcPr>
            <w:tcW w:w="6237" w:type="dxa"/>
          </w:tcPr>
          <w:p w:rsidR="002D457F" w:rsidRPr="002902B8" w:rsidRDefault="002D457F" w:rsidP="00F15577">
            <w:pPr>
              <w:rPr>
                <w:szCs w:val="22"/>
              </w:rPr>
            </w:pPr>
            <w:r w:rsidRPr="002902B8">
              <w:rPr>
                <w:szCs w:val="22"/>
              </w:rPr>
              <w:t>United Kingdom</w:t>
            </w:r>
          </w:p>
        </w:tc>
      </w:tr>
      <w:tr w:rsidR="002D457F" w:rsidRPr="002902B8" w:rsidTr="00F15577">
        <w:tc>
          <w:tcPr>
            <w:tcW w:w="2268" w:type="dxa"/>
          </w:tcPr>
          <w:p w:rsidR="002D457F" w:rsidRPr="002902B8" w:rsidRDefault="002D457F" w:rsidP="00F15577">
            <w:pPr>
              <w:rPr>
                <w:szCs w:val="22"/>
              </w:rPr>
            </w:pPr>
            <w:r w:rsidRPr="002902B8">
              <w:rPr>
                <w:szCs w:val="22"/>
              </w:rPr>
              <w:lastRenderedPageBreak/>
              <w:t>ULN</w:t>
            </w:r>
          </w:p>
        </w:tc>
        <w:tc>
          <w:tcPr>
            <w:tcW w:w="6237" w:type="dxa"/>
          </w:tcPr>
          <w:p w:rsidR="002D457F" w:rsidRPr="002902B8" w:rsidRDefault="002D457F" w:rsidP="00F15577">
            <w:pPr>
              <w:rPr>
                <w:szCs w:val="22"/>
              </w:rPr>
            </w:pPr>
            <w:r w:rsidRPr="002902B8">
              <w:rPr>
                <w:szCs w:val="22"/>
              </w:rPr>
              <w:t>Upper limit of normal</w:t>
            </w:r>
          </w:p>
        </w:tc>
      </w:tr>
      <w:tr w:rsidR="002D457F" w:rsidRPr="002902B8" w:rsidTr="00F15577">
        <w:tc>
          <w:tcPr>
            <w:tcW w:w="2268" w:type="dxa"/>
          </w:tcPr>
          <w:p w:rsidR="002D457F" w:rsidRPr="002902B8" w:rsidRDefault="002D457F" w:rsidP="00F15577">
            <w:pPr>
              <w:rPr>
                <w:szCs w:val="22"/>
              </w:rPr>
            </w:pPr>
            <w:r w:rsidRPr="002902B8">
              <w:rPr>
                <w:szCs w:val="22"/>
              </w:rPr>
              <w:t>USP</w:t>
            </w:r>
          </w:p>
        </w:tc>
        <w:tc>
          <w:tcPr>
            <w:tcW w:w="6237" w:type="dxa"/>
          </w:tcPr>
          <w:p w:rsidR="002D457F" w:rsidRPr="002902B8" w:rsidRDefault="002D457F" w:rsidP="00F15577">
            <w:pPr>
              <w:rPr>
                <w:szCs w:val="22"/>
              </w:rPr>
            </w:pPr>
            <w:r w:rsidRPr="002902B8">
              <w:rPr>
                <w:szCs w:val="22"/>
              </w:rPr>
              <w:t>United States Pharmacopeia</w:t>
            </w:r>
          </w:p>
        </w:tc>
      </w:tr>
      <w:tr w:rsidR="002D457F" w:rsidRPr="002902B8" w:rsidTr="00F15577">
        <w:tc>
          <w:tcPr>
            <w:tcW w:w="2268" w:type="dxa"/>
          </w:tcPr>
          <w:p w:rsidR="002D457F" w:rsidRPr="002902B8" w:rsidRDefault="002D457F" w:rsidP="00F15577">
            <w:pPr>
              <w:rPr>
                <w:szCs w:val="22"/>
              </w:rPr>
            </w:pPr>
            <w:r w:rsidRPr="002902B8">
              <w:rPr>
                <w:szCs w:val="22"/>
              </w:rPr>
              <w:t>V</w:t>
            </w:r>
          </w:p>
        </w:tc>
        <w:tc>
          <w:tcPr>
            <w:tcW w:w="6237" w:type="dxa"/>
          </w:tcPr>
          <w:p w:rsidR="002D457F" w:rsidRPr="002902B8" w:rsidRDefault="002D457F" w:rsidP="00F15577">
            <w:pPr>
              <w:rPr>
                <w:szCs w:val="22"/>
              </w:rPr>
            </w:pPr>
            <w:r w:rsidRPr="002902B8">
              <w:rPr>
                <w:szCs w:val="22"/>
              </w:rPr>
              <w:t>Volume of distribution</w:t>
            </w:r>
          </w:p>
        </w:tc>
      </w:tr>
      <w:tr w:rsidR="002D457F" w:rsidRPr="002902B8" w:rsidTr="00F15577">
        <w:tc>
          <w:tcPr>
            <w:tcW w:w="2268" w:type="dxa"/>
          </w:tcPr>
          <w:p w:rsidR="002D457F" w:rsidRPr="002902B8" w:rsidRDefault="002D457F" w:rsidP="00F15577">
            <w:pPr>
              <w:rPr>
                <w:szCs w:val="22"/>
              </w:rPr>
            </w:pPr>
            <w:r w:rsidRPr="002902B8">
              <w:rPr>
                <w:szCs w:val="22"/>
              </w:rPr>
              <w:t>V/F</w:t>
            </w:r>
          </w:p>
        </w:tc>
        <w:tc>
          <w:tcPr>
            <w:tcW w:w="6237" w:type="dxa"/>
          </w:tcPr>
          <w:p w:rsidR="002D457F" w:rsidRPr="002902B8" w:rsidRDefault="002D457F" w:rsidP="00F15577">
            <w:pPr>
              <w:rPr>
                <w:szCs w:val="22"/>
              </w:rPr>
            </w:pPr>
            <w:r w:rsidRPr="002902B8">
              <w:rPr>
                <w:szCs w:val="22"/>
              </w:rPr>
              <w:t>Apparent volume of distribution normalised for systemic bioavailability</w:t>
            </w:r>
          </w:p>
        </w:tc>
      </w:tr>
      <w:tr w:rsidR="002D457F" w:rsidRPr="002902B8" w:rsidTr="00F15577">
        <w:tc>
          <w:tcPr>
            <w:tcW w:w="2268" w:type="dxa"/>
          </w:tcPr>
          <w:p w:rsidR="002D457F" w:rsidRPr="002902B8" w:rsidRDefault="002D457F" w:rsidP="00F15577">
            <w:pPr>
              <w:rPr>
                <w:szCs w:val="22"/>
              </w:rPr>
            </w:pPr>
            <w:r w:rsidRPr="002902B8">
              <w:rPr>
                <w:szCs w:val="22"/>
              </w:rPr>
              <w:t>WBC</w:t>
            </w:r>
          </w:p>
        </w:tc>
        <w:tc>
          <w:tcPr>
            <w:tcW w:w="6237" w:type="dxa"/>
          </w:tcPr>
          <w:p w:rsidR="002D457F" w:rsidRPr="002902B8" w:rsidRDefault="002D457F" w:rsidP="00F15577">
            <w:pPr>
              <w:rPr>
                <w:szCs w:val="22"/>
              </w:rPr>
            </w:pPr>
            <w:r w:rsidRPr="002902B8">
              <w:rPr>
                <w:szCs w:val="22"/>
              </w:rPr>
              <w:t>White blood cell</w:t>
            </w:r>
          </w:p>
        </w:tc>
      </w:tr>
      <w:tr w:rsidR="002D457F" w:rsidRPr="002902B8" w:rsidTr="00F15577">
        <w:tc>
          <w:tcPr>
            <w:tcW w:w="2268" w:type="dxa"/>
          </w:tcPr>
          <w:p w:rsidR="002D457F" w:rsidRPr="002902B8" w:rsidRDefault="002D457F" w:rsidP="00F15577">
            <w:pPr>
              <w:rPr>
                <w:szCs w:val="22"/>
              </w:rPr>
            </w:pPr>
            <w:r w:rsidRPr="002902B8">
              <w:rPr>
                <w:szCs w:val="22"/>
              </w:rPr>
              <w:t>WHO</w:t>
            </w:r>
          </w:p>
        </w:tc>
        <w:tc>
          <w:tcPr>
            <w:tcW w:w="6237" w:type="dxa"/>
          </w:tcPr>
          <w:p w:rsidR="002D457F" w:rsidRPr="002902B8" w:rsidRDefault="002D457F" w:rsidP="00F15577">
            <w:pPr>
              <w:rPr>
                <w:szCs w:val="22"/>
              </w:rPr>
            </w:pPr>
            <w:r w:rsidRPr="002902B8">
              <w:rPr>
                <w:szCs w:val="22"/>
              </w:rPr>
              <w:t>World Health Organization</w:t>
            </w:r>
          </w:p>
        </w:tc>
      </w:tr>
      <w:tr w:rsidR="002D457F" w:rsidRPr="002902B8" w:rsidTr="00F15577">
        <w:tc>
          <w:tcPr>
            <w:tcW w:w="2268" w:type="dxa"/>
          </w:tcPr>
          <w:p w:rsidR="002D457F" w:rsidRPr="002902B8" w:rsidRDefault="002D457F" w:rsidP="00F15577">
            <w:pPr>
              <w:rPr>
                <w:szCs w:val="22"/>
              </w:rPr>
            </w:pPr>
            <w:r w:rsidRPr="002902B8">
              <w:rPr>
                <w:szCs w:val="22"/>
              </w:rPr>
              <w:t>WHO</w:t>
            </w:r>
          </w:p>
        </w:tc>
        <w:tc>
          <w:tcPr>
            <w:tcW w:w="6237" w:type="dxa"/>
          </w:tcPr>
          <w:p w:rsidR="002D457F" w:rsidRPr="002902B8" w:rsidRDefault="002D457F" w:rsidP="00F15577">
            <w:pPr>
              <w:rPr>
                <w:szCs w:val="22"/>
              </w:rPr>
            </w:pPr>
            <w:r w:rsidRPr="002902B8">
              <w:rPr>
                <w:szCs w:val="22"/>
              </w:rPr>
              <w:t>Drug World Health Organization (WHO) drug dictionary</w:t>
            </w:r>
          </w:p>
        </w:tc>
      </w:tr>
      <w:tr w:rsidR="002D457F" w:rsidRPr="002902B8" w:rsidTr="00F15577">
        <w:tc>
          <w:tcPr>
            <w:tcW w:w="2268" w:type="dxa"/>
          </w:tcPr>
          <w:p w:rsidR="002D457F" w:rsidRPr="002902B8" w:rsidRDefault="002D457F" w:rsidP="00F15577">
            <w:pPr>
              <w:rPr>
                <w:szCs w:val="22"/>
              </w:rPr>
            </w:pPr>
            <w:r w:rsidRPr="002902B8">
              <w:rPr>
                <w:szCs w:val="22"/>
              </w:rPr>
              <w:t>WPAI</w:t>
            </w:r>
          </w:p>
        </w:tc>
        <w:tc>
          <w:tcPr>
            <w:tcW w:w="6237" w:type="dxa"/>
          </w:tcPr>
          <w:p w:rsidR="002D457F" w:rsidRPr="002902B8" w:rsidRDefault="002D457F" w:rsidP="00F15577">
            <w:pPr>
              <w:rPr>
                <w:szCs w:val="22"/>
              </w:rPr>
            </w:pPr>
            <w:r w:rsidRPr="002902B8">
              <w:rPr>
                <w:szCs w:val="22"/>
              </w:rPr>
              <w:t>Work Productivity and Activity Impairment Questionnaires</w:t>
            </w:r>
          </w:p>
        </w:tc>
      </w:tr>
      <w:tr w:rsidR="002D457F" w:rsidRPr="002902B8" w:rsidTr="00F15577">
        <w:tc>
          <w:tcPr>
            <w:tcW w:w="2268" w:type="dxa"/>
          </w:tcPr>
          <w:p w:rsidR="002D457F" w:rsidRPr="002902B8" w:rsidRDefault="002D457F" w:rsidP="00F15577">
            <w:pPr>
              <w:rPr>
                <w:szCs w:val="22"/>
              </w:rPr>
            </w:pPr>
            <w:r w:rsidRPr="002902B8">
              <w:rPr>
                <w:szCs w:val="22"/>
              </w:rPr>
              <w:t>y, yr</w:t>
            </w:r>
          </w:p>
        </w:tc>
        <w:tc>
          <w:tcPr>
            <w:tcW w:w="6237" w:type="dxa"/>
          </w:tcPr>
          <w:p w:rsidR="002D457F" w:rsidRPr="002902B8" w:rsidRDefault="002D457F" w:rsidP="00F15577">
            <w:pPr>
              <w:rPr>
                <w:szCs w:val="22"/>
              </w:rPr>
            </w:pPr>
            <w:r w:rsidRPr="002902B8">
              <w:rPr>
                <w:szCs w:val="22"/>
              </w:rPr>
              <w:t>Year(s)</w:t>
            </w:r>
          </w:p>
        </w:tc>
      </w:tr>
    </w:tbl>
    <w:p w:rsidR="008E7846" w:rsidRDefault="00F53C07" w:rsidP="00E10614">
      <w:pPr>
        <w:pStyle w:val="Heading2"/>
        <w:pageBreakBefore/>
      </w:pPr>
      <w:bookmarkStart w:id="9" w:name="_Toc420586646"/>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20586647"/>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55407A" w:rsidP="0055407A">
            <w:r>
              <w:t xml:space="preserve">New dose form and </w:t>
            </w:r>
            <w:r w:rsidR="007D651F">
              <w:t xml:space="preserve">new </w:t>
            </w:r>
            <w:r>
              <w:t xml:space="preserve">route </w:t>
            </w:r>
            <w:r w:rsidR="00153C4C">
              <w:t xml:space="preserve">(buccal) </w:t>
            </w:r>
            <w:r>
              <w:t>of administration</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7D651F">
            <w:r w:rsidRPr="003D1E62">
              <w:t>Approved</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DA264C" w:rsidP="001B5C90">
            <w:r>
              <w:t>5 February 2015</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1B5C90" w:rsidP="00DC43D6">
            <w:pPr>
              <w:rPr>
                <w:i/>
              </w:rPr>
            </w:pPr>
            <w:r>
              <w:rPr>
                <w:i/>
              </w:rPr>
              <w:t>Active ingredient:</w:t>
            </w:r>
          </w:p>
        </w:tc>
        <w:tc>
          <w:tcPr>
            <w:tcW w:w="6307" w:type="dxa"/>
          </w:tcPr>
          <w:p w:rsidR="008E7846" w:rsidRPr="00487162" w:rsidRDefault="0055407A" w:rsidP="00E45619">
            <w:r>
              <w:t>Fentanyl citrate</w:t>
            </w:r>
          </w:p>
        </w:tc>
      </w:tr>
      <w:tr w:rsidR="008E7846" w:rsidRPr="00487162" w:rsidTr="00BF1190">
        <w:tc>
          <w:tcPr>
            <w:tcW w:w="2907" w:type="dxa"/>
          </w:tcPr>
          <w:p w:rsidR="008E7846" w:rsidRPr="00487162" w:rsidRDefault="008E7846" w:rsidP="00DC43D6">
            <w:pPr>
              <w:rPr>
                <w:i/>
              </w:rPr>
            </w:pPr>
            <w:r w:rsidRPr="00487162">
              <w:rPr>
                <w:i/>
              </w:rPr>
              <w:t>Product</w:t>
            </w:r>
            <w:r w:rsidR="001B5C90">
              <w:rPr>
                <w:i/>
              </w:rPr>
              <w:t xml:space="preserve"> name:</w:t>
            </w:r>
          </w:p>
        </w:tc>
        <w:tc>
          <w:tcPr>
            <w:tcW w:w="6307" w:type="dxa"/>
          </w:tcPr>
          <w:p w:rsidR="008E7846" w:rsidRPr="00487162" w:rsidRDefault="0055407A" w:rsidP="00E45619">
            <w:r>
              <w:t>Fentora</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AE085C" w:rsidRPr="007D651F" w:rsidRDefault="0055407A" w:rsidP="00F15577">
            <w:r w:rsidRPr="007D651F">
              <w:t>Orphan Australia Pty Ltd</w:t>
            </w:r>
            <w:r w:rsidR="00F15577">
              <w:br/>
              <w:t xml:space="preserve">34-36 </w:t>
            </w:r>
            <w:proofErr w:type="spellStart"/>
            <w:r w:rsidR="00F15577">
              <w:t>Chandos</w:t>
            </w:r>
            <w:proofErr w:type="spellEnd"/>
            <w:r w:rsidR="00F15577">
              <w:t xml:space="preserve"> Street</w:t>
            </w:r>
            <w:r w:rsidR="00F15577">
              <w:br/>
            </w:r>
            <w:r w:rsidR="0026565F">
              <w:t>St Leonards</w:t>
            </w:r>
            <w:r w:rsidR="00F15577">
              <w:t xml:space="preserve"> </w:t>
            </w:r>
            <w:r w:rsidR="0026565F">
              <w:t xml:space="preserve"> NSW </w:t>
            </w:r>
            <w:r w:rsidR="00F15577">
              <w:t xml:space="preserve"> </w:t>
            </w:r>
            <w:r w:rsidR="0026565F">
              <w:t>2065</w:t>
            </w:r>
          </w:p>
        </w:tc>
      </w:tr>
      <w:tr w:rsidR="008E7846" w:rsidRPr="00487162" w:rsidTr="00BF1190">
        <w:tc>
          <w:tcPr>
            <w:tcW w:w="2907" w:type="dxa"/>
          </w:tcPr>
          <w:p w:rsidR="008E7846" w:rsidRPr="00487162" w:rsidRDefault="001B5C90" w:rsidP="00F15577">
            <w:pPr>
              <w:rPr>
                <w:i/>
              </w:rPr>
            </w:pPr>
            <w:r>
              <w:rPr>
                <w:i/>
              </w:rPr>
              <w:t>Dose form:</w:t>
            </w:r>
          </w:p>
        </w:tc>
        <w:tc>
          <w:tcPr>
            <w:tcW w:w="6307" w:type="dxa"/>
          </w:tcPr>
          <w:p w:rsidR="008E7846" w:rsidRPr="0055407A" w:rsidRDefault="0055407A" w:rsidP="00E45619">
            <w:pPr>
              <w:rPr>
                <w:rFonts w:asciiTheme="minorHAnsi" w:hAnsiTheme="minorHAnsi"/>
              </w:rPr>
            </w:pPr>
            <w:r w:rsidRPr="0055407A">
              <w:rPr>
                <w:rFonts w:asciiTheme="minorHAnsi" w:hAnsiTheme="minorHAnsi" w:cs="Calibri"/>
                <w:snapToGrid w:val="0"/>
              </w:rPr>
              <w:t>Orally Disintegrating Tablets</w:t>
            </w:r>
          </w:p>
        </w:tc>
      </w:tr>
      <w:tr w:rsidR="008E7846" w:rsidRPr="00487162" w:rsidTr="00BF1190">
        <w:tc>
          <w:tcPr>
            <w:tcW w:w="2907" w:type="dxa"/>
          </w:tcPr>
          <w:p w:rsidR="008E7846" w:rsidRPr="00487162" w:rsidRDefault="00F15577" w:rsidP="00DC43D6">
            <w:pPr>
              <w:rPr>
                <w:i/>
              </w:rPr>
            </w:pPr>
            <w:r>
              <w:rPr>
                <w:i/>
              </w:rPr>
              <w:t>Strengths:</w:t>
            </w:r>
          </w:p>
        </w:tc>
        <w:tc>
          <w:tcPr>
            <w:tcW w:w="6307" w:type="dxa"/>
          </w:tcPr>
          <w:p w:rsidR="008E7846" w:rsidRPr="0055407A" w:rsidRDefault="0055407A" w:rsidP="00E45619">
            <w:pPr>
              <w:rPr>
                <w:rFonts w:asciiTheme="minorHAnsi" w:hAnsiTheme="minorHAnsi"/>
              </w:rPr>
            </w:pPr>
            <w:r w:rsidRPr="0055407A">
              <w:rPr>
                <w:rFonts w:asciiTheme="minorHAnsi" w:hAnsiTheme="minorHAnsi"/>
                <w:szCs w:val="19"/>
              </w:rPr>
              <w:t>100 μg, 200 μg, 400 μg, 600 μg and 800 μg</w:t>
            </w:r>
          </w:p>
        </w:tc>
      </w:tr>
      <w:tr w:rsidR="008E7846" w:rsidRPr="00487162" w:rsidTr="00BF1190">
        <w:tc>
          <w:tcPr>
            <w:tcW w:w="2907" w:type="dxa"/>
          </w:tcPr>
          <w:p w:rsidR="008E7846" w:rsidRPr="00487162" w:rsidRDefault="008E7846" w:rsidP="00F15577">
            <w:pPr>
              <w:rPr>
                <w:i/>
              </w:rPr>
            </w:pPr>
            <w:r w:rsidRPr="00487162">
              <w:rPr>
                <w:i/>
              </w:rPr>
              <w:t>Container:</w:t>
            </w:r>
          </w:p>
        </w:tc>
        <w:tc>
          <w:tcPr>
            <w:tcW w:w="6307" w:type="dxa"/>
          </w:tcPr>
          <w:p w:rsidR="008E7846" w:rsidRPr="00487162" w:rsidRDefault="0055407A" w:rsidP="00E45619">
            <w:r>
              <w:t>Blister packs</w:t>
            </w:r>
          </w:p>
        </w:tc>
      </w:tr>
      <w:tr w:rsidR="008E7846" w:rsidRPr="00487162" w:rsidTr="00BF1190">
        <w:tc>
          <w:tcPr>
            <w:tcW w:w="2907" w:type="dxa"/>
          </w:tcPr>
          <w:p w:rsidR="008E7846" w:rsidRPr="00487162" w:rsidRDefault="008E7846" w:rsidP="00DC43D6">
            <w:pPr>
              <w:rPr>
                <w:i/>
              </w:rPr>
            </w:pPr>
            <w:r w:rsidRPr="00487162">
              <w:rPr>
                <w:i/>
              </w:rPr>
              <w:t>Pack sizes:</w:t>
            </w:r>
          </w:p>
        </w:tc>
        <w:tc>
          <w:tcPr>
            <w:tcW w:w="6307" w:type="dxa"/>
          </w:tcPr>
          <w:p w:rsidR="008E7846" w:rsidRPr="00487162" w:rsidRDefault="0055407A" w:rsidP="0055407A">
            <w:r>
              <w:t>4’s and 28’s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DA264C" w:rsidRDefault="00DA264C" w:rsidP="00DA264C">
            <w:pPr>
              <w:rPr>
                <w:i/>
              </w:rPr>
            </w:pPr>
            <w:r>
              <w:rPr>
                <w:i/>
              </w:rPr>
              <w:t>The treatment of breakthrough pain (BTP) in adults with cancer who are already receiving maintenance opioid therapy for chronic cancer pain.</w:t>
            </w:r>
          </w:p>
        </w:tc>
      </w:tr>
      <w:tr w:rsidR="008E7846" w:rsidRPr="00487162" w:rsidTr="00BF1190">
        <w:tc>
          <w:tcPr>
            <w:tcW w:w="2907" w:type="dxa"/>
          </w:tcPr>
          <w:p w:rsidR="008E7846" w:rsidRPr="00487162" w:rsidRDefault="008E7846" w:rsidP="00F15577">
            <w:pPr>
              <w:rPr>
                <w:i/>
              </w:rPr>
            </w:pPr>
            <w:r w:rsidRPr="00487162">
              <w:rPr>
                <w:i/>
              </w:rPr>
              <w:t>Route of administration:</w:t>
            </w:r>
          </w:p>
        </w:tc>
        <w:tc>
          <w:tcPr>
            <w:tcW w:w="6307" w:type="dxa"/>
          </w:tcPr>
          <w:p w:rsidR="008E7846" w:rsidRPr="00487162" w:rsidRDefault="00DA264C" w:rsidP="00DA264C">
            <w:r>
              <w:t>B</w:t>
            </w:r>
            <w:r w:rsidR="00153C4C" w:rsidRPr="00DA264C">
              <w:t>uccal</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DA264C" w:rsidP="00DA264C">
            <w:r>
              <w:t>Fentora should be individually titrated to an ‘effective’ dose that provides adequate analgesia and minimises undesirable effects. In clinical studies, the effective dose of Fentora for breakthrough time (BTP) was not predictable from the daily maintenance dose of opioid. Patients should be carefully monitored until an effective dose is reached. See Product Information details.</w:t>
            </w:r>
          </w:p>
        </w:tc>
      </w:tr>
      <w:tr w:rsidR="008E7846" w:rsidRPr="00487162" w:rsidTr="00BF1190">
        <w:tc>
          <w:tcPr>
            <w:tcW w:w="2907" w:type="dxa"/>
          </w:tcPr>
          <w:p w:rsidR="008E7846" w:rsidRPr="00487162" w:rsidRDefault="008E7846" w:rsidP="00DC43D6">
            <w:pPr>
              <w:rPr>
                <w:i/>
              </w:rPr>
            </w:pPr>
            <w:r w:rsidRPr="00487162">
              <w:rPr>
                <w:i/>
              </w:rPr>
              <w:t xml:space="preserve">ARTG </w:t>
            </w:r>
            <w:r w:rsidR="001B5C90">
              <w:rPr>
                <w:i/>
              </w:rPr>
              <w:t>n</w:t>
            </w:r>
            <w:r w:rsidR="00DC43D6">
              <w:rPr>
                <w:i/>
              </w:rPr>
              <w:t>umber</w:t>
            </w:r>
            <w:r w:rsidRPr="00487162">
              <w:rPr>
                <w:i/>
              </w:rPr>
              <w:t>s</w:t>
            </w:r>
            <w:r w:rsidR="001B5C90">
              <w:rPr>
                <w:i/>
              </w:rPr>
              <w:t>:</w:t>
            </w:r>
          </w:p>
        </w:tc>
        <w:tc>
          <w:tcPr>
            <w:tcW w:w="6307" w:type="dxa"/>
          </w:tcPr>
          <w:p w:rsidR="008E7846" w:rsidRPr="00487162" w:rsidRDefault="00DA264C" w:rsidP="00DA264C">
            <w:r>
              <w:t>218433, 218434, 218435, 218436 and 218437</w:t>
            </w:r>
          </w:p>
        </w:tc>
      </w:tr>
    </w:tbl>
    <w:p w:rsidR="008E7846" w:rsidRDefault="008E7846" w:rsidP="00187359">
      <w:pPr>
        <w:pStyle w:val="Heading3"/>
      </w:pPr>
      <w:bookmarkStart w:id="13" w:name="_Toc247691503"/>
      <w:bookmarkStart w:id="14" w:name="_Toc314842484"/>
      <w:bookmarkStart w:id="15" w:name="_Toc420586648"/>
      <w:r w:rsidRPr="00187359">
        <w:t>Product</w:t>
      </w:r>
      <w:r>
        <w:t xml:space="preserve"> background</w:t>
      </w:r>
      <w:bookmarkEnd w:id="13"/>
      <w:bookmarkEnd w:id="14"/>
      <w:bookmarkEnd w:id="15"/>
    </w:p>
    <w:p w:rsidR="007D651F" w:rsidRDefault="00940A89" w:rsidP="00187359">
      <w:r w:rsidRPr="00940A89">
        <w:t>This AusPAR describes the application by the sponsor</w:t>
      </w:r>
      <w:r w:rsidR="007D651F">
        <w:t>,</w:t>
      </w:r>
      <w:r w:rsidRPr="00940A89">
        <w:t xml:space="preserve"> </w:t>
      </w:r>
      <w:bookmarkStart w:id="16" w:name="_Toc314842485"/>
      <w:bookmarkStart w:id="17" w:name="_Toc247691504"/>
      <w:r w:rsidR="007D4337" w:rsidRPr="0089452E">
        <w:t>O</w:t>
      </w:r>
      <w:r w:rsidR="007D4337" w:rsidRPr="005A54C3">
        <w:t>rphan Australia Pty Ltd</w:t>
      </w:r>
      <w:r w:rsidR="007D651F">
        <w:t>,</w:t>
      </w:r>
      <w:r w:rsidR="007D4337" w:rsidRPr="005A54C3">
        <w:t xml:space="preserve"> to register a new </w:t>
      </w:r>
      <w:r w:rsidR="007D651F">
        <w:t xml:space="preserve">route of administration and new </w:t>
      </w:r>
      <w:r w:rsidR="007D4337" w:rsidRPr="005A54C3">
        <w:t>formulation of fentanyl citrate, (</w:t>
      </w:r>
      <w:r w:rsidR="007D4337" w:rsidRPr="007D651F">
        <w:t>Fentora</w:t>
      </w:r>
      <w:r w:rsidR="007D4337">
        <w:t>)</w:t>
      </w:r>
      <w:r w:rsidR="000D140C">
        <w:t>;</w:t>
      </w:r>
      <w:r w:rsidR="007D4337">
        <w:t xml:space="preserve"> an effervescent</w:t>
      </w:r>
      <w:r w:rsidR="00153C4C">
        <w:t xml:space="preserve">, immediate release </w:t>
      </w:r>
      <w:r w:rsidR="0026565F">
        <w:t>orally disintegrating</w:t>
      </w:r>
      <w:r w:rsidR="007D4337">
        <w:t xml:space="preserve"> tablet, for the treatment of breakthrough</w:t>
      </w:r>
      <w:r w:rsidR="00F15577">
        <w:t xml:space="preserve"> pain in adult cancer patients.</w:t>
      </w:r>
    </w:p>
    <w:p w:rsidR="000D140C" w:rsidRDefault="000D140C" w:rsidP="00EB24E0">
      <w:r>
        <w:t xml:space="preserve">Fentanyl citrate is a synthetic opioid analgesic related to pethidine. </w:t>
      </w:r>
      <w:proofErr w:type="gramStart"/>
      <w:r>
        <w:t xml:space="preserve">Currently fentanyl lozenges, patches, solutions for injection and nasal spray formulations are registered in Australia (see </w:t>
      </w:r>
      <w:r w:rsidRPr="000D140C">
        <w:rPr>
          <w:i/>
        </w:rPr>
        <w:t>Regulatory status</w:t>
      </w:r>
      <w:r>
        <w:t xml:space="preserve"> below).</w:t>
      </w:r>
      <w:proofErr w:type="gramEnd"/>
    </w:p>
    <w:p w:rsidR="007D4337" w:rsidRPr="003A2C2D" w:rsidRDefault="007D4337" w:rsidP="00EB24E0">
      <w:r>
        <w:lastRenderedPageBreak/>
        <w:t xml:space="preserve">A buccal fentanyl citrate formulation (a lozenge), </w:t>
      </w:r>
      <w:proofErr w:type="spellStart"/>
      <w:r w:rsidRPr="007D651F">
        <w:t>Actiq</w:t>
      </w:r>
      <w:proofErr w:type="spellEnd"/>
      <w:r w:rsidR="00F15577">
        <w:rPr>
          <w:b/>
          <w:smallCaps/>
          <w:position w:val="5"/>
          <w:sz w:val="13"/>
          <w:szCs w:val="13"/>
        </w:rPr>
        <w:t>®</w:t>
      </w:r>
      <w:r>
        <w:t xml:space="preserve"> (sponsor</w:t>
      </w:r>
      <w:r w:rsidR="007D651F">
        <w:t xml:space="preserve"> also</w:t>
      </w:r>
      <w:r>
        <w:t xml:space="preserve"> </w:t>
      </w:r>
      <w:r w:rsidRPr="0089452E">
        <w:t>O</w:t>
      </w:r>
      <w:r w:rsidRPr="005A54C3">
        <w:t>rphan Australia Pty Ltd</w:t>
      </w:r>
      <w:r>
        <w:t>),</w:t>
      </w:r>
      <w:r w:rsidRPr="005A54C3">
        <w:t xml:space="preserve"> </w:t>
      </w:r>
      <w:r>
        <w:t xml:space="preserve">is already registered in Australia but </w:t>
      </w:r>
      <w:r w:rsidRPr="007D651F">
        <w:t>Fentora</w:t>
      </w:r>
      <w:r>
        <w:t xml:space="preserve"> </w:t>
      </w:r>
      <w:r w:rsidRPr="005A54C3">
        <w:t>facilitate</w:t>
      </w:r>
      <w:r>
        <w:t>s</w:t>
      </w:r>
      <w:r w:rsidRPr="005A54C3">
        <w:t xml:space="preserve"> rapid delivery and enhanced absorption of fentanyl.</w:t>
      </w:r>
      <w:r>
        <w:t xml:space="preserve"> The maximum single dose is 800 µg fentanyl base </w:t>
      </w:r>
      <w:r w:rsidR="007D651F">
        <w:t>compared to</w:t>
      </w:r>
      <w:r>
        <w:t xml:space="preserve"> 1600 µg fentanyl base for </w:t>
      </w:r>
      <w:r w:rsidRPr="007D651F">
        <w:t>Actiq</w:t>
      </w:r>
      <w:r w:rsidRPr="005A54C3">
        <w:rPr>
          <w:b/>
          <w:smallCaps/>
          <w:position w:val="5"/>
          <w:sz w:val="13"/>
          <w:szCs w:val="13"/>
        </w:rPr>
        <w:t>®</w:t>
      </w:r>
      <w:r w:rsidR="007D651F">
        <w:t>. T</w:t>
      </w:r>
      <w:r>
        <w:t xml:space="preserve">he maximum number of doses/day is 4 </w:t>
      </w:r>
      <w:r w:rsidR="00441EC2">
        <w:t>and this</w:t>
      </w:r>
      <w:r w:rsidR="007D651F">
        <w:t xml:space="preserve"> is the </w:t>
      </w:r>
      <w:r>
        <w:t xml:space="preserve">same as </w:t>
      </w:r>
      <w:r w:rsidR="000D140C">
        <w:t xml:space="preserve">that recommended </w:t>
      </w:r>
      <w:r>
        <w:t xml:space="preserve">for </w:t>
      </w:r>
      <w:proofErr w:type="spellStart"/>
      <w:r w:rsidRPr="007D651F">
        <w:t>Actiq</w:t>
      </w:r>
      <w:proofErr w:type="spellEnd"/>
      <w:r w:rsidRPr="005A54C3">
        <w:rPr>
          <w:b/>
          <w:smallCaps/>
          <w:position w:val="5"/>
          <w:sz w:val="13"/>
          <w:szCs w:val="13"/>
        </w:rPr>
        <w:t>®</w:t>
      </w:r>
      <w:r w:rsidR="00F15577">
        <w:t>.</w:t>
      </w:r>
    </w:p>
    <w:p w:rsidR="000D140C" w:rsidRDefault="00153C4C" w:rsidP="00EB24E0">
      <w:r>
        <w:t xml:space="preserve">Treatment should be initiated by and remain under the guidance of a physician experienced in the management of opioid therapy in cancer patients. Patients should be instructed not to use two different formulations of fentanyl concurrently for the treatment of breakthrough pain and to dispose of any fentanyl product prescribed for </w:t>
      </w:r>
      <w:r w:rsidR="000D140C">
        <w:t>breakthrough pain (</w:t>
      </w:r>
      <w:r>
        <w:t>BTP</w:t>
      </w:r>
      <w:r w:rsidR="000D140C">
        <w:t>)</w:t>
      </w:r>
      <w:r>
        <w:t xml:space="preserve"> when switching to </w:t>
      </w:r>
      <w:proofErr w:type="spellStart"/>
      <w:r w:rsidR="000D140C">
        <w:t>Fentora</w:t>
      </w:r>
      <w:proofErr w:type="spellEnd"/>
      <w:r w:rsidR="0018579F">
        <w:t>.</w:t>
      </w:r>
    </w:p>
    <w:p w:rsidR="000D140C" w:rsidRDefault="00153C4C" w:rsidP="00EB24E0">
      <w:r>
        <w:t xml:space="preserve">Due to different absorption profiles, switching must not be done at a 1:1 ratio. If switching from another oral fentanyl citrate product, independent dose titration with </w:t>
      </w:r>
      <w:r w:rsidR="007D651F">
        <w:t xml:space="preserve">Fentora </w:t>
      </w:r>
      <w:r>
        <w:t xml:space="preserve">is required as bioavailability between </w:t>
      </w:r>
      <w:r w:rsidR="0018579F">
        <w:t>products differs significantly.</w:t>
      </w:r>
    </w:p>
    <w:p w:rsidR="008E7846" w:rsidRPr="003F31A2" w:rsidRDefault="00386150" w:rsidP="00EB24E0">
      <w:pPr>
        <w:pStyle w:val="Heading3"/>
      </w:pPr>
      <w:bookmarkStart w:id="18" w:name="_Toc420586649"/>
      <w:r>
        <w:t>Regulatory s</w:t>
      </w:r>
      <w:r w:rsidR="008E7846">
        <w:t>tatus</w:t>
      </w:r>
      <w:bookmarkEnd w:id="16"/>
      <w:bookmarkEnd w:id="17"/>
      <w:bookmarkEnd w:id="18"/>
    </w:p>
    <w:p w:rsidR="00940A89" w:rsidRPr="00940A89" w:rsidRDefault="00940A89" w:rsidP="00EB24E0">
      <w:bookmarkStart w:id="19" w:name="_Toc247691505"/>
      <w:bookmarkStart w:id="20" w:name="_Toc314842486"/>
      <w:r w:rsidRPr="00DA264C">
        <w:t>Th</w:t>
      </w:r>
      <w:r w:rsidR="00DA264C" w:rsidRPr="00DA264C">
        <w:t xml:space="preserve">is new dose form has not been previously registered on the </w:t>
      </w:r>
      <w:r w:rsidRPr="00DA264C">
        <w:t>Australian Register of Therapeutic Goods (ARTG)</w:t>
      </w:r>
      <w:r w:rsidR="00DA264C" w:rsidRPr="00DA264C">
        <w:t>.</w:t>
      </w:r>
    </w:p>
    <w:p w:rsidR="007D651F" w:rsidRDefault="007D651F" w:rsidP="00EB24E0">
      <w:r>
        <w:t>Fentanyl citrate is currently registered on the ARTG in the following dosage forms and strengths</w:t>
      </w:r>
      <w:r w:rsidR="000D140C">
        <w:t xml:space="preserve"> (Table 1)</w:t>
      </w:r>
      <w:r>
        <w:t>:</w:t>
      </w:r>
    </w:p>
    <w:p w:rsidR="000D140C" w:rsidRDefault="000D140C" w:rsidP="000D140C">
      <w:pPr>
        <w:pStyle w:val="TableTitle"/>
      </w:pPr>
      <w:r>
        <w:t>Table 1: Registered dosage forms of fentanyl in Australia</w:t>
      </w:r>
    </w:p>
    <w:tbl>
      <w:tblPr>
        <w:tblStyle w:val="TableTGAblue"/>
        <w:tblpPr w:leftFromText="180" w:rightFromText="180" w:vertAnchor="text" w:horzAnchor="margin" w:tblpXSpec="center" w:tblpY="2"/>
        <w:tblW w:w="0" w:type="auto"/>
        <w:tblLook w:val="04A0" w:firstRow="1" w:lastRow="0" w:firstColumn="1" w:lastColumn="0" w:noHBand="0" w:noVBand="1"/>
      </w:tblPr>
      <w:tblGrid>
        <w:gridCol w:w="2376"/>
        <w:gridCol w:w="3969"/>
        <w:gridCol w:w="2092"/>
      </w:tblGrid>
      <w:tr w:rsidR="007D651F" w:rsidRPr="00D2280A" w:rsidTr="00EB24E0">
        <w:trPr>
          <w:cnfStyle w:val="100000000000" w:firstRow="1" w:lastRow="0" w:firstColumn="0" w:lastColumn="0" w:oddVBand="0" w:evenVBand="0" w:oddHBand="0" w:evenHBand="0" w:firstRowFirstColumn="0" w:firstRowLastColumn="0" w:lastRowFirstColumn="0" w:lastRowLastColumn="0"/>
        </w:trPr>
        <w:tc>
          <w:tcPr>
            <w:tcW w:w="2376" w:type="dxa"/>
          </w:tcPr>
          <w:p w:rsidR="007D651F" w:rsidRPr="0026565F" w:rsidRDefault="007D651F" w:rsidP="00EB24E0">
            <w:pPr>
              <w:ind w:left="0"/>
              <w:rPr>
                <w:b w:val="0"/>
              </w:rPr>
            </w:pPr>
            <w:r w:rsidRPr="0026565F">
              <w:t>Dosage form</w:t>
            </w:r>
          </w:p>
        </w:tc>
        <w:tc>
          <w:tcPr>
            <w:tcW w:w="3969" w:type="dxa"/>
          </w:tcPr>
          <w:p w:rsidR="007D651F" w:rsidRPr="0026565F" w:rsidRDefault="007D651F" w:rsidP="00EB24E0">
            <w:pPr>
              <w:ind w:left="34"/>
              <w:rPr>
                <w:b w:val="0"/>
              </w:rPr>
            </w:pPr>
            <w:r w:rsidRPr="0026565F">
              <w:t xml:space="preserve">Dose / </w:t>
            </w:r>
            <w:r w:rsidR="00EB24E0">
              <w:t>s</w:t>
            </w:r>
            <w:r w:rsidRPr="0026565F">
              <w:t>trength</w:t>
            </w:r>
          </w:p>
        </w:tc>
        <w:tc>
          <w:tcPr>
            <w:tcW w:w="2092" w:type="dxa"/>
          </w:tcPr>
          <w:p w:rsidR="007D651F" w:rsidRPr="0026565F" w:rsidRDefault="007D651F" w:rsidP="00EB24E0">
            <w:pPr>
              <w:ind w:left="34"/>
              <w:rPr>
                <w:b w:val="0"/>
              </w:rPr>
            </w:pPr>
            <w:r w:rsidRPr="0026565F">
              <w:t xml:space="preserve">Trade </w:t>
            </w:r>
            <w:r w:rsidR="00EB24E0">
              <w:t>n</w:t>
            </w:r>
            <w:r w:rsidRPr="0026565F">
              <w:t>ame</w:t>
            </w:r>
          </w:p>
        </w:tc>
      </w:tr>
      <w:tr w:rsidR="007D651F" w:rsidRPr="00D2280A" w:rsidTr="00EB24E0">
        <w:tc>
          <w:tcPr>
            <w:tcW w:w="2376" w:type="dxa"/>
          </w:tcPr>
          <w:p w:rsidR="007D651F" w:rsidRPr="0026565F" w:rsidRDefault="007D651F" w:rsidP="00EB24E0">
            <w:pPr>
              <w:ind w:left="0"/>
            </w:pPr>
            <w:r w:rsidRPr="0026565F">
              <w:t>Lozenges</w:t>
            </w:r>
          </w:p>
        </w:tc>
        <w:tc>
          <w:tcPr>
            <w:tcW w:w="3969" w:type="dxa"/>
          </w:tcPr>
          <w:p w:rsidR="007D651F" w:rsidRPr="0026565F" w:rsidRDefault="007D651F" w:rsidP="00EB24E0">
            <w:pPr>
              <w:ind w:left="34"/>
            </w:pPr>
            <w:r w:rsidRPr="0026565F">
              <w:t>200, 400, 600, 800, 1200, 1600 µg</w:t>
            </w:r>
          </w:p>
        </w:tc>
        <w:tc>
          <w:tcPr>
            <w:tcW w:w="2092" w:type="dxa"/>
          </w:tcPr>
          <w:p w:rsidR="007D651F" w:rsidRPr="0026565F" w:rsidRDefault="007D651F" w:rsidP="00EB24E0">
            <w:pPr>
              <w:ind w:left="34"/>
            </w:pPr>
            <w:r w:rsidRPr="0026565F">
              <w:t>Actiq</w:t>
            </w:r>
          </w:p>
        </w:tc>
      </w:tr>
      <w:tr w:rsidR="007D651F" w:rsidRPr="00D2280A" w:rsidTr="00EB24E0">
        <w:tc>
          <w:tcPr>
            <w:tcW w:w="2376" w:type="dxa"/>
          </w:tcPr>
          <w:p w:rsidR="007D651F" w:rsidRPr="0026565F" w:rsidRDefault="007D651F" w:rsidP="00EB24E0">
            <w:pPr>
              <w:ind w:left="0"/>
            </w:pPr>
            <w:r w:rsidRPr="0026565F">
              <w:t>Patches</w:t>
            </w:r>
          </w:p>
        </w:tc>
        <w:tc>
          <w:tcPr>
            <w:tcW w:w="3969" w:type="dxa"/>
          </w:tcPr>
          <w:p w:rsidR="007D651F" w:rsidRPr="0026565F" w:rsidRDefault="007D651F" w:rsidP="00EB24E0">
            <w:pPr>
              <w:ind w:left="34"/>
            </w:pPr>
            <w:r w:rsidRPr="0026565F">
              <w:t>12, 25, 50, 75, 100 µg</w:t>
            </w:r>
          </w:p>
        </w:tc>
        <w:tc>
          <w:tcPr>
            <w:tcW w:w="2092" w:type="dxa"/>
          </w:tcPr>
          <w:p w:rsidR="007D651F" w:rsidRPr="0026565F" w:rsidRDefault="007D651F" w:rsidP="00EB24E0">
            <w:pPr>
              <w:ind w:left="34"/>
            </w:pPr>
            <w:r w:rsidRPr="0026565F">
              <w:t>Durogesic</w:t>
            </w:r>
          </w:p>
        </w:tc>
      </w:tr>
      <w:tr w:rsidR="007D651F" w:rsidRPr="00D2280A" w:rsidTr="00EB24E0">
        <w:tc>
          <w:tcPr>
            <w:tcW w:w="2376" w:type="dxa"/>
          </w:tcPr>
          <w:p w:rsidR="007D651F" w:rsidRPr="0026565F" w:rsidRDefault="007D651F" w:rsidP="00EB24E0">
            <w:pPr>
              <w:ind w:left="0"/>
            </w:pPr>
            <w:r w:rsidRPr="0026565F">
              <w:t>Solution for injection</w:t>
            </w:r>
          </w:p>
        </w:tc>
        <w:tc>
          <w:tcPr>
            <w:tcW w:w="3969" w:type="dxa"/>
          </w:tcPr>
          <w:p w:rsidR="007D651F" w:rsidRPr="0026565F" w:rsidRDefault="007D651F" w:rsidP="00EB24E0">
            <w:pPr>
              <w:ind w:left="34"/>
            </w:pPr>
            <w:r w:rsidRPr="0026565F">
              <w:t>50 µg/mL</w:t>
            </w:r>
          </w:p>
        </w:tc>
        <w:tc>
          <w:tcPr>
            <w:tcW w:w="2092" w:type="dxa"/>
          </w:tcPr>
          <w:p w:rsidR="007D651F" w:rsidRPr="0026565F" w:rsidRDefault="007D651F" w:rsidP="00EB24E0">
            <w:pPr>
              <w:ind w:left="34"/>
            </w:pPr>
            <w:r w:rsidRPr="0026565F">
              <w:t>Sublimaze</w:t>
            </w:r>
          </w:p>
        </w:tc>
      </w:tr>
      <w:tr w:rsidR="007D651F" w:rsidRPr="00D2280A" w:rsidTr="00EB24E0">
        <w:tc>
          <w:tcPr>
            <w:tcW w:w="2376" w:type="dxa"/>
          </w:tcPr>
          <w:p w:rsidR="007D651F" w:rsidRPr="0026565F" w:rsidRDefault="007D651F" w:rsidP="00EB24E0">
            <w:pPr>
              <w:ind w:left="0"/>
            </w:pPr>
            <w:r w:rsidRPr="0026565F">
              <w:t>Nasal Spray</w:t>
            </w:r>
          </w:p>
        </w:tc>
        <w:tc>
          <w:tcPr>
            <w:tcW w:w="3969" w:type="dxa"/>
          </w:tcPr>
          <w:p w:rsidR="007D651F" w:rsidRPr="0026565F" w:rsidRDefault="007D651F" w:rsidP="00EB24E0">
            <w:pPr>
              <w:ind w:left="34"/>
            </w:pPr>
            <w:r w:rsidRPr="0026565F">
              <w:t>100 and 400 µg 50, 100 and 200 µg</w:t>
            </w:r>
          </w:p>
        </w:tc>
        <w:tc>
          <w:tcPr>
            <w:tcW w:w="2092" w:type="dxa"/>
          </w:tcPr>
          <w:p w:rsidR="007D651F" w:rsidRPr="0026565F" w:rsidRDefault="007D651F" w:rsidP="00EB24E0">
            <w:pPr>
              <w:ind w:left="34"/>
            </w:pPr>
            <w:proofErr w:type="spellStart"/>
            <w:r w:rsidRPr="0026565F">
              <w:t>PecFent</w:t>
            </w:r>
            <w:proofErr w:type="spellEnd"/>
            <w:r w:rsidR="00EB24E0">
              <w:t xml:space="preserve"> </w:t>
            </w:r>
            <w:proofErr w:type="spellStart"/>
            <w:r w:rsidRPr="0026565F">
              <w:t>Instanyl</w:t>
            </w:r>
            <w:proofErr w:type="spellEnd"/>
          </w:p>
        </w:tc>
      </w:tr>
    </w:tbl>
    <w:p w:rsidR="007D651F" w:rsidRDefault="007D651F" w:rsidP="00EB24E0">
      <w:r>
        <w:t>The approved indications for the above dosage forms are:</w:t>
      </w:r>
    </w:p>
    <w:p w:rsidR="007D651F" w:rsidRDefault="007D651F" w:rsidP="00187359">
      <w:r>
        <w:t>Durogesic patch is indicated for the management of chronic pain requiring opioid analgesia.</w:t>
      </w:r>
    </w:p>
    <w:p w:rsidR="007D651F" w:rsidRDefault="007D651F" w:rsidP="00187359">
      <w:r>
        <w:t>Sublimaze solution for injection is indicated for analgesic action of short duration during anaesthetic periods, premedication, induction and maintenance, and in the immediate post-operatic period (recovery room) as the need arises; use as a narcotic analgesic supplement in general</w:t>
      </w:r>
      <w:r w:rsidR="00281C4E">
        <w:t xml:space="preserve"> </w:t>
      </w:r>
      <w:r>
        <w:t>and regional anaesthesia; administration with a neuroleptic such as droperidol injection as an anaesthetic premedication, for the induction of anaesthesia, and as an adjunct in the maintenance of general and regional anaesthesia.</w:t>
      </w:r>
    </w:p>
    <w:p w:rsidR="007D651F" w:rsidRDefault="007D651F" w:rsidP="00187359">
      <w:r>
        <w:t>Actiq lozenge is indicated for the management of breakthrough cancer pain in patients with malignancies who are already receiving and are tolerant to opioid therapy for their underlying persistent cancer pain.</w:t>
      </w:r>
    </w:p>
    <w:p w:rsidR="007D651F" w:rsidRDefault="007D651F" w:rsidP="00187359">
      <w:r>
        <w:t>PecFent nasal spray is indicated for the management of breakthrough pain in adults with cancer who are already receiving maintenance opioid therapy for chronic pain.</w:t>
      </w:r>
    </w:p>
    <w:p w:rsidR="007D651F" w:rsidRDefault="007D651F" w:rsidP="00187359">
      <w:r>
        <w:t>Instanyl nasal spray is indicated for the management of breakthrough pain in adults already receiving maintenance opioid therapy for chronic cancer pain.</w:t>
      </w:r>
    </w:p>
    <w:p w:rsidR="000D140C" w:rsidRDefault="000D140C" w:rsidP="00EB24E0">
      <w:r>
        <w:t>Many generic products are also available.</w:t>
      </w:r>
    </w:p>
    <w:p w:rsidR="00AE085C" w:rsidRDefault="00AE085C" w:rsidP="00EB24E0">
      <w:r>
        <w:lastRenderedPageBreak/>
        <w:t xml:space="preserve">The table </w:t>
      </w:r>
      <w:r w:rsidR="00F01A54">
        <w:t xml:space="preserve">(Table 2) </w:t>
      </w:r>
      <w:r>
        <w:t xml:space="preserve">below reveals the </w:t>
      </w:r>
      <w:r w:rsidRPr="007D651F">
        <w:t>overseas regulatory status</w:t>
      </w:r>
      <w:r w:rsidR="007D651F">
        <w:t xml:space="preserve"> of this product.</w:t>
      </w:r>
    </w:p>
    <w:p w:rsidR="00AE085C" w:rsidRDefault="007D651F" w:rsidP="00EB24E0">
      <w:pPr>
        <w:pStyle w:val="TableTitle"/>
      </w:pPr>
      <w:r>
        <w:t>Table</w:t>
      </w:r>
      <w:r w:rsidR="000D140C">
        <w:t xml:space="preserve"> 2: International regulatory status</w:t>
      </w:r>
    </w:p>
    <w:tbl>
      <w:tblPr>
        <w:tblStyle w:val="TableTGAblue"/>
        <w:tblW w:w="8755" w:type="dxa"/>
        <w:tblLayout w:type="fixed"/>
        <w:tblLook w:val="0020" w:firstRow="1" w:lastRow="0" w:firstColumn="0" w:lastColumn="0" w:noHBand="0" w:noVBand="0"/>
      </w:tblPr>
      <w:tblGrid>
        <w:gridCol w:w="1526"/>
        <w:gridCol w:w="1701"/>
        <w:gridCol w:w="5528"/>
      </w:tblGrid>
      <w:tr w:rsidR="00AE085C" w:rsidTr="00EB24E0">
        <w:trPr>
          <w:cnfStyle w:val="100000000000" w:firstRow="1" w:lastRow="0" w:firstColumn="0" w:lastColumn="0" w:oddVBand="0" w:evenVBand="0" w:oddHBand="0" w:evenHBand="0" w:firstRowFirstColumn="0" w:firstRowLastColumn="0" w:lastRowFirstColumn="0" w:lastRowLastColumn="0"/>
          <w:trHeight w:val="1140"/>
        </w:trPr>
        <w:tc>
          <w:tcPr>
            <w:tcW w:w="1526" w:type="dxa"/>
          </w:tcPr>
          <w:p w:rsidR="00AE085C" w:rsidRPr="007A3077" w:rsidRDefault="00AE085C" w:rsidP="00EB24E0">
            <w:pPr>
              <w:ind w:left="0"/>
            </w:pPr>
            <w:r w:rsidRPr="007A3077">
              <w:t>C</w:t>
            </w:r>
            <w:r w:rsidRPr="007A3077">
              <w:rPr>
                <w:spacing w:val="1"/>
              </w:rPr>
              <w:t>o</w:t>
            </w:r>
            <w:r w:rsidRPr="007A3077">
              <w:t>un</w:t>
            </w:r>
            <w:r w:rsidRPr="007A3077">
              <w:rPr>
                <w:spacing w:val="1"/>
              </w:rPr>
              <w:t>t</w:t>
            </w:r>
            <w:r w:rsidRPr="007A3077">
              <w:t>ry</w:t>
            </w:r>
          </w:p>
        </w:tc>
        <w:tc>
          <w:tcPr>
            <w:tcW w:w="1701" w:type="dxa"/>
          </w:tcPr>
          <w:p w:rsidR="00AE085C" w:rsidRPr="007A3077" w:rsidRDefault="000D140C" w:rsidP="00EB24E0">
            <w:pPr>
              <w:ind w:left="34"/>
            </w:pPr>
            <w:r>
              <w:t>Approval date</w:t>
            </w:r>
          </w:p>
        </w:tc>
        <w:tc>
          <w:tcPr>
            <w:tcW w:w="5528" w:type="dxa"/>
          </w:tcPr>
          <w:p w:rsidR="00AE085C" w:rsidRPr="007A3077" w:rsidRDefault="00AE085C" w:rsidP="00EB24E0">
            <w:pPr>
              <w:ind w:left="34"/>
            </w:pPr>
            <w:r w:rsidRPr="007A3077">
              <w:t>Appr</w:t>
            </w:r>
            <w:r w:rsidRPr="007A3077">
              <w:rPr>
                <w:spacing w:val="1"/>
              </w:rPr>
              <w:t>ov</w:t>
            </w:r>
            <w:r w:rsidRPr="007A3077">
              <w:t>ed</w:t>
            </w:r>
            <w:r w:rsidRPr="007A3077">
              <w:rPr>
                <w:spacing w:val="-9"/>
              </w:rPr>
              <w:t xml:space="preserve"> </w:t>
            </w:r>
            <w:r w:rsidRPr="007A3077">
              <w:rPr>
                <w:spacing w:val="-1"/>
              </w:rPr>
              <w:t>I</w:t>
            </w:r>
            <w:r w:rsidRPr="007A3077">
              <w:rPr>
                <w:spacing w:val="2"/>
              </w:rPr>
              <w:t>n</w:t>
            </w:r>
            <w:r w:rsidRPr="007A3077">
              <w:t>dic</w:t>
            </w:r>
            <w:r w:rsidRPr="007A3077">
              <w:rPr>
                <w:spacing w:val="1"/>
              </w:rPr>
              <w:t>at</w:t>
            </w:r>
            <w:r w:rsidRPr="007A3077">
              <w:t>i</w:t>
            </w:r>
            <w:r w:rsidRPr="007A3077">
              <w:rPr>
                <w:spacing w:val="1"/>
              </w:rPr>
              <w:t>o</w:t>
            </w:r>
            <w:r w:rsidRPr="007A3077">
              <w:t>n</w:t>
            </w:r>
          </w:p>
        </w:tc>
      </w:tr>
      <w:tr w:rsidR="00AE085C" w:rsidTr="00EB24E0">
        <w:trPr>
          <w:trHeight w:val="794"/>
        </w:trPr>
        <w:tc>
          <w:tcPr>
            <w:tcW w:w="1526" w:type="dxa"/>
          </w:tcPr>
          <w:p w:rsidR="00AE085C" w:rsidRPr="007A3077" w:rsidRDefault="00AE085C" w:rsidP="00EB24E0">
            <w:pPr>
              <w:ind w:left="0"/>
            </w:pPr>
            <w:r w:rsidRPr="007A3077">
              <w:rPr>
                <w:spacing w:val="1"/>
              </w:rPr>
              <w:t>E</w:t>
            </w:r>
            <w:r w:rsidRPr="007A3077">
              <w:t>U</w:t>
            </w:r>
          </w:p>
        </w:tc>
        <w:tc>
          <w:tcPr>
            <w:tcW w:w="1701" w:type="dxa"/>
          </w:tcPr>
          <w:p w:rsidR="00AE085C" w:rsidRPr="007A3077" w:rsidRDefault="00AE085C" w:rsidP="00EB24E0">
            <w:pPr>
              <w:ind w:left="34"/>
            </w:pPr>
            <w:r w:rsidRPr="007A3077">
              <w:rPr>
                <w:spacing w:val="1"/>
              </w:rPr>
              <w:t>04</w:t>
            </w:r>
            <w:r w:rsidRPr="007A3077">
              <w:t>/</w:t>
            </w:r>
            <w:r w:rsidRPr="007A3077">
              <w:rPr>
                <w:spacing w:val="1"/>
              </w:rPr>
              <w:t>04</w:t>
            </w:r>
            <w:r w:rsidRPr="007A3077">
              <w:t>/</w:t>
            </w:r>
            <w:r w:rsidRPr="007A3077">
              <w:rPr>
                <w:spacing w:val="-1"/>
              </w:rPr>
              <w:t>2</w:t>
            </w:r>
            <w:r w:rsidRPr="007A3077">
              <w:rPr>
                <w:spacing w:val="1"/>
              </w:rPr>
              <w:t>008</w:t>
            </w:r>
          </w:p>
        </w:tc>
        <w:tc>
          <w:tcPr>
            <w:tcW w:w="5528" w:type="dxa"/>
          </w:tcPr>
          <w:p w:rsidR="00AE085C" w:rsidRPr="007A3077" w:rsidRDefault="00AE085C" w:rsidP="00EB24E0">
            <w:pPr>
              <w:ind w:left="34"/>
            </w:pPr>
            <w:r w:rsidRPr="007A3077">
              <w:rPr>
                <w:spacing w:val="3"/>
              </w:rPr>
              <w:t>T</w:t>
            </w:r>
            <w:r w:rsidRPr="007A3077">
              <w:rPr>
                <w:spacing w:val="1"/>
              </w:rPr>
              <w:t>r</w:t>
            </w:r>
            <w:r w:rsidRPr="007A3077">
              <w:t>eat</w:t>
            </w:r>
            <w:r w:rsidRPr="007A3077">
              <w:rPr>
                <w:spacing w:val="-4"/>
              </w:rPr>
              <w:t>m</w:t>
            </w:r>
            <w:r w:rsidRPr="007A3077">
              <w:t>e</w:t>
            </w:r>
            <w:r w:rsidRPr="007A3077">
              <w:rPr>
                <w:spacing w:val="-1"/>
              </w:rPr>
              <w:t>n</w:t>
            </w:r>
            <w:r w:rsidRPr="007A3077">
              <w:t>t</w:t>
            </w:r>
            <w:r w:rsidRPr="007A3077">
              <w:rPr>
                <w:spacing w:val="-8"/>
              </w:rPr>
              <w:t xml:space="preserve"> </w:t>
            </w:r>
            <w:r w:rsidRPr="007A3077">
              <w:rPr>
                <w:spacing w:val="4"/>
              </w:rPr>
              <w:t>o</w:t>
            </w:r>
            <w:r w:rsidRPr="007A3077">
              <w:t>f</w:t>
            </w:r>
            <w:r w:rsidRPr="007A3077">
              <w:rPr>
                <w:spacing w:val="-3"/>
              </w:rPr>
              <w:t xml:space="preserve"> </w:t>
            </w:r>
            <w:r w:rsidRPr="007A3077">
              <w:rPr>
                <w:spacing w:val="1"/>
              </w:rPr>
              <w:t>br</w:t>
            </w:r>
            <w:r w:rsidRPr="007A3077">
              <w:t>ea</w:t>
            </w:r>
            <w:r w:rsidRPr="007A3077">
              <w:rPr>
                <w:spacing w:val="-1"/>
              </w:rPr>
              <w:t>k</w:t>
            </w:r>
            <w:r w:rsidRPr="007A3077">
              <w:t>t</w:t>
            </w:r>
            <w:r w:rsidRPr="007A3077">
              <w:rPr>
                <w:spacing w:val="-1"/>
              </w:rPr>
              <w:t>h</w:t>
            </w:r>
            <w:r w:rsidRPr="007A3077">
              <w:rPr>
                <w:spacing w:val="1"/>
              </w:rPr>
              <w:t>r</w:t>
            </w:r>
            <w:r w:rsidRPr="007A3077">
              <w:rPr>
                <w:spacing w:val="4"/>
              </w:rPr>
              <w:t>o</w:t>
            </w:r>
            <w:r w:rsidRPr="007A3077">
              <w:rPr>
                <w:spacing w:val="-1"/>
              </w:rPr>
              <w:t>u</w:t>
            </w:r>
            <w:r w:rsidRPr="007A3077">
              <w:rPr>
                <w:spacing w:val="1"/>
              </w:rPr>
              <w:t>g</w:t>
            </w:r>
            <w:r w:rsidRPr="007A3077">
              <w:t xml:space="preserve">h </w:t>
            </w:r>
            <w:r w:rsidRPr="007A3077">
              <w:rPr>
                <w:spacing w:val="1"/>
              </w:rPr>
              <w:t>p</w:t>
            </w:r>
            <w:r w:rsidRPr="007A3077">
              <w:t>ain</w:t>
            </w:r>
            <w:r w:rsidRPr="007A3077">
              <w:rPr>
                <w:spacing w:val="-4"/>
              </w:rPr>
              <w:t xml:space="preserve"> </w:t>
            </w:r>
            <w:r w:rsidRPr="007A3077">
              <w:t>in</w:t>
            </w:r>
            <w:r w:rsidRPr="007A3077">
              <w:rPr>
                <w:spacing w:val="-3"/>
              </w:rPr>
              <w:t xml:space="preserve"> </w:t>
            </w:r>
            <w:r w:rsidRPr="007A3077">
              <w:t>a</w:t>
            </w:r>
            <w:r w:rsidRPr="007A3077">
              <w:rPr>
                <w:spacing w:val="1"/>
              </w:rPr>
              <w:t>d</w:t>
            </w:r>
            <w:r w:rsidRPr="007A3077">
              <w:rPr>
                <w:spacing w:val="-1"/>
              </w:rPr>
              <w:t>u</w:t>
            </w:r>
            <w:r w:rsidRPr="007A3077">
              <w:rPr>
                <w:spacing w:val="2"/>
              </w:rPr>
              <w:t>l</w:t>
            </w:r>
            <w:r w:rsidRPr="007A3077">
              <w:t>ts</w:t>
            </w:r>
            <w:r w:rsidRPr="007A3077">
              <w:rPr>
                <w:spacing w:val="-3"/>
              </w:rPr>
              <w:t xml:space="preserve"> </w:t>
            </w:r>
            <w:r w:rsidRPr="007A3077">
              <w:rPr>
                <w:spacing w:val="-2"/>
              </w:rPr>
              <w:t>w</w:t>
            </w:r>
            <w:r w:rsidRPr="007A3077">
              <w:t>i</w:t>
            </w:r>
            <w:r w:rsidRPr="007A3077">
              <w:rPr>
                <w:spacing w:val="2"/>
              </w:rPr>
              <w:t>t</w:t>
            </w:r>
            <w:r w:rsidRPr="007A3077">
              <w:t>h</w:t>
            </w:r>
            <w:r w:rsidRPr="007A3077">
              <w:rPr>
                <w:spacing w:val="-5"/>
              </w:rPr>
              <w:t xml:space="preserve"> </w:t>
            </w:r>
            <w:r w:rsidRPr="007A3077">
              <w:t>c</w:t>
            </w:r>
            <w:r w:rsidRPr="007A3077">
              <w:rPr>
                <w:spacing w:val="3"/>
              </w:rPr>
              <w:t>a</w:t>
            </w:r>
            <w:r w:rsidRPr="007A3077">
              <w:rPr>
                <w:spacing w:val="-1"/>
              </w:rPr>
              <w:t>n</w:t>
            </w:r>
            <w:r w:rsidRPr="007A3077">
              <w:t>cer</w:t>
            </w:r>
            <w:r w:rsidRPr="007A3077">
              <w:rPr>
                <w:spacing w:val="-6"/>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1"/>
              </w:rPr>
              <w:t xml:space="preserve"> </w:t>
            </w:r>
            <w:r w:rsidRPr="007A3077">
              <w:t>al</w:t>
            </w:r>
            <w:r w:rsidRPr="007A3077">
              <w:rPr>
                <w:spacing w:val="1"/>
              </w:rPr>
              <w:t>r</w:t>
            </w:r>
            <w:r w:rsidRPr="007A3077">
              <w:t>ea</w:t>
            </w:r>
            <w:r w:rsidRPr="007A3077">
              <w:rPr>
                <w:spacing w:val="1"/>
              </w:rPr>
              <w:t>d</w:t>
            </w:r>
            <w:r w:rsidRPr="007A3077">
              <w:t>y</w:t>
            </w:r>
            <w:r w:rsidRPr="007A3077">
              <w:rPr>
                <w:spacing w:val="-9"/>
              </w:rPr>
              <w:t xml:space="preserve"> </w:t>
            </w:r>
            <w:r w:rsidRPr="007A3077">
              <w:rPr>
                <w:spacing w:val="1"/>
              </w:rPr>
              <w:t>r</w:t>
            </w:r>
            <w:r w:rsidRPr="007A3077">
              <w:t>ece</w:t>
            </w:r>
            <w:r w:rsidRPr="007A3077">
              <w:rPr>
                <w:spacing w:val="2"/>
              </w:rPr>
              <w:t>i</w:t>
            </w:r>
            <w:r w:rsidRPr="007A3077">
              <w:rPr>
                <w:spacing w:val="-1"/>
              </w:rPr>
              <w:t>v</w:t>
            </w:r>
            <w:r w:rsidRPr="007A3077">
              <w:t>i</w:t>
            </w:r>
            <w:r w:rsidRPr="007A3077">
              <w:rPr>
                <w:spacing w:val="1"/>
              </w:rPr>
              <w:t>n</w:t>
            </w:r>
            <w:r w:rsidRPr="007A3077">
              <w:t>g</w:t>
            </w:r>
            <w:r w:rsidRPr="007A3077">
              <w:rPr>
                <w:spacing w:val="-8"/>
              </w:rPr>
              <w:t xml:space="preserve"> </w:t>
            </w:r>
            <w:r w:rsidRPr="007A3077">
              <w:rPr>
                <w:spacing w:val="-1"/>
              </w:rPr>
              <w:t>m</w:t>
            </w:r>
            <w:r w:rsidRPr="007A3077">
              <w:t>a</w:t>
            </w:r>
            <w:r w:rsidRPr="007A3077">
              <w:rPr>
                <w:spacing w:val="2"/>
              </w:rPr>
              <w:t>i</w:t>
            </w:r>
            <w:r w:rsidRPr="007A3077">
              <w:rPr>
                <w:spacing w:val="-1"/>
              </w:rPr>
              <w:t>n</w:t>
            </w:r>
            <w:r w:rsidRPr="007A3077">
              <w:t>te</w:t>
            </w:r>
            <w:r w:rsidRPr="007A3077">
              <w:rPr>
                <w:spacing w:val="-1"/>
              </w:rPr>
              <w:t>n</w:t>
            </w:r>
            <w:r w:rsidRPr="007A3077">
              <w:rPr>
                <w:spacing w:val="3"/>
              </w:rPr>
              <w:t>a</w:t>
            </w:r>
            <w:r w:rsidRPr="007A3077">
              <w:rPr>
                <w:spacing w:val="-1"/>
              </w:rPr>
              <w:t>n</w:t>
            </w:r>
            <w:r w:rsidRPr="007A3077">
              <w:t>ce</w:t>
            </w:r>
            <w:r w:rsidRPr="007A3077">
              <w:rPr>
                <w:spacing w:val="-9"/>
              </w:rPr>
              <w:t xml:space="preserve"> </w:t>
            </w:r>
            <w:r w:rsidRPr="007A3077">
              <w:rPr>
                <w:spacing w:val="1"/>
              </w:rPr>
              <w:t>op</w:t>
            </w:r>
            <w:r w:rsidRPr="007A3077">
              <w:t>i</w:t>
            </w:r>
            <w:r w:rsidRPr="007A3077">
              <w:rPr>
                <w:spacing w:val="1"/>
              </w:rPr>
              <w:t>o</w:t>
            </w:r>
            <w:r w:rsidRPr="007A3077">
              <w:t>id</w:t>
            </w:r>
            <w:r w:rsidRPr="007A3077">
              <w:rPr>
                <w:spacing w:val="-3"/>
              </w:rPr>
              <w:t xml:space="preserve"> </w:t>
            </w:r>
            <w:r w:rsidRPr="007A3077">
              <w:t>t</w:t>
            </w:r>
            <w:r w:rsidRPr="007A3077">
              <w:rPr>
                <w:spacing w:val="-1"/>
              </w:rPr>
              <w:t>h</w:t>
            </w:r>
            <w:r w:rsidRPr="007A3077">
              <w:t>e</w:t>
            </w:r>
            <w:r w:rsidRPr="007A3077">
              <w:rPr>
                <w:spacing w:val="1"/>
              </w:rPr>
              <w:t>r</w:t>
            </w:r>
            <w:r w:rsidRPr="007A3077">
              <w:t>a</w:t>
            </w:r>
            <w:r w:rsidRPr="007A3077">
              <w:rPr>
                <w:spacing w:val="4"/>
              </w:rPr>
              <w:t>p</w:t>
            </w:r>
            <w:r w:rsidRPr="007A3077">
              <w:t>y</w:t>
            </w:r>
            <w:r w:rsidRPr="007A3077">
              <w:rPr>
                <w:spacing w:val="-6"/>
              </w:rPr>
              <w:t xml:space="preserve"> </w:t>
            </w:r>
            <w:r w:rsidRPr="007A3077">
              <w:rPr>
                <w:spacing w:val="-2"/>
              </w:rPr>
              <w:t>f</w:t>
            </w:r>
            <w:r w:rsidRPr="007A3077">
              <w:rPr>
                <w:spacing w:val="1"/>
              </w:rPr>
              <w:t>o</w:t>
            </w:r>
            <w:r w:rsidRPr="007A3077">
              <w:t>r</w:t>
            </w:r>
            <w:r w:rsidRPr="007A3077">
              <w:rPr>
                <w:spacing w:val="-1"/>
              </w:rPr>
              <w:t xml:space="preserve"> </w:t>
            </w:r>
            <w:r w:rsidRPr="007A3077">
              <w:t>c</w:t>
            </w:r>
            <w:r w:rsidRPr="007A3077">
              <w:rPr>
                <w:spacing w:val="-1"/>
              </w:rPr>
              <w:t>h</w:t>
            </w:r>
            <w:r w:rsidRPr="007A3077">
              <w:rPr>
                <w:spacing w:val="1"/>
              </w:rPr>
              <w:t>ro</w:t>
            </w:r>
            <w:r w:rsidRPr="007A3077">
              <w:rPr>
                <w:spacing w:val="-1"/>
              </w:rPr>
              <w:t>n</w:t>
            </w:r>
            <w:r w:rsidRPr="007A3077">
              <w:t>ic</w:t>
            </w:r>
            <w:r w:rsidRPr="007A3077">
              <w:rPr>
                <w:spacing w:val="-5"/>
              </w:rPr>
              <w:t xml:space="preserve"> </w:t>
            </w:r>
            <w:r w:rsidRPr="007A3077">
              <w:t>ca</w:t>
            </w:r>
            <w:r w:rsidRPr="007A3077">
              <w:rPr>
                <w:spacing w:val="-1"/>
              </w:rPr>
              <w:t>n</w:t>
            </w:r>
            <w:r w:rsidRPr="007A3077">
              <w:t>cer</w:t>
            </w:r>
            <w:r w:rsidRPr="007A3077">
              <w:rPr>
                <w:spacing w:val="-4"/>
              </w:rPr>
              <w:t xml:space="preserve"> </w:t>
            </w:r>
            <w:r w:rsidRPr="007A3077">
              <w:rPr>
                <w:spacing w:val="1"/>
              </w:rPr>
              <w:t>p</w:t>
            </w:r>
            <w:r w:rsidRPr="007A3077">
              <w:t>ai</w:t>
            </w:r>
            <w:r w:rsidRPr="007A3077">
              <w:rPr>
                <w:spacing w:val="-1"/>
              </w:rPr>
              <w:t>n</w:t>
            </w:r>
            <w:r w:rsidRPr="007A3077">
              <w:t>.</w:t>
            </w:r>
          </w:p>
        </w:tc>
      </w:tr>
      <w:tr w:rsidR="00AE085C" w:rsidTr="00EB24E0">
        <w:trPr>
          <w:trHeight w:val="1140"/>
        </w:trPr>
        <w:tc>
          <w:tcPr>
            <w:tcW w:w="1526" w:type="dxa"/>
          </w:tcPr>
          <w:p w:rsidR="00AE085C" w:rsidRPr="007A3077" w:rsidRDefault="00AE085C" w:rsidP="00EB24E0">
            <w:pPr>
              <w:ind w:left="0"/>
            </w:pPr>
            <w:r w:rsidRPr="007A3077">
              <w:t>U</w:t>
            </w:r>
            <w:r w:rsidRPr="007A3077">
              <w:rPr>
                <w:spacing w:val="2"/>
              </w:rPr>
              <w:t>S</w:t>
            </w:r>
            <w:r w:rsidRPr="007A3077">
              <w:t>A</w:t>
            </w:r>
          </w:p>
        </w:tc>
        <w:tc>
          <w:tcPr>
            <w:tcW w:w="1701" w:type="dxa"/>
          </w:tcPr>
          <w:p w:rsidR="00AE085C" w:rsidRPr="007A3077" w:rsidRDefault="00AE085C" w:rsidP="00EB24E0">
            <w:pPr>
              <w:ind w:left="34"/>
            </w:pPr>
            <w:r w:rsidRPr="007A3077">
              <w:rPr>
                <w:spacing w:val="1"/>
              </w:rPr>
              <w:t>25</w:t>
            </w:r>
            <w:r w:rsidRPr="007A3077">
              <w:t>/</w:t>
            </w:r>
            <w:r w:rsidRPr="007A3077">
              <w:rPr>
                <w:spacing w:val="1"/>
              </w:rPr>
              <w:t>09</w:t>
            </w:r>
            <w:r w:rsidRPr="007A3077">
              <w:t>/</w:t>
            </w:r>
            <w:r w:rsidRPr="007A3077">
              <w:rPr>
                <w:spacing w:val="-1"/>
              </w:rPr>
              <w:t>2</w:t>
            </w:r>
            <w:r w:rsidRPr="007A3077">
              <w:rPr>
                <w:spacing w:val="1"/>
              </w:rPr>
              <w:t>006</w:t>
            </w:r>
          </w:p>
        </w:tc>
        <w:tc>
          <w:tcPr>
            <w:tcW w:w="5528" w:type="dxa"/>
          </w:tcPr>
          <w:p w:rsidR="00AE085C" w:rsidRPr="007A3077" w:rsidRDefault="00AE085C" w:rsidP="00EB24E0">
            <w:pPr>
              <w:ind w:left="34"/>
            </w:pPr>
            <w:r w:rsidRPr="007A3077">
              <w:rPr>
                <w:spacing w:val="-1"/>
              </w:rPr>
              <w:t>M</w:t>
            </w:r>
            <w:r w:rsidRPr="007A3077">
              <w:t>a</w:t>
            </w:r>
            <w:r w:rsidRPr="007A3077">
              <w:rPr>
                <w:spacing w:val="-1"/>
              </w:rPr>
              <w:t>n</w:t>
            </w:r>
            <w:r w:rsidRPr="007A3077">
              <w:rPr>
                <w:spacing w:val="3"/>
              </w:rPr>
              <w:t>a</w:t>
            </w:r>
            <w:r w:rsidRPr="007A3077">
              <w:rPr>
                <w:spacing w:val="-1"/>
              </w:rPr>
              <w:t>g</w:t>
            </w:r>
            <w:r w:rsidRPr="007A3077">
              <w:rPr>
                <w:spacing w:val="3"/>
              </w:rPr>
              <w:t>e</w:t>
            </w:r>
            <w:r w:rsidRPr="007A3077">
              <w:rPr>
                <w:spacing w:val="-1"/>
              </w:rPr>
              <w:t>m</w:t>
            </w:r>
            <w:r w:rsidRPr="007A3077">
              <w:rPr>
                <w:spacing w:val="3"/>
              </w:rPr>
              <w:t>e</w:t>
            </w:r>
            <w:r w:rsidRPr="007A3077">
              <w:rPr>
                <w:spacing w:val="-1"/>
              </w:rPr>
              <w:t>n</w:t>
            </w:r>
            <w:r w:rsidRPr="007A3077">
              <w:t>t</w:t>
            </w:r>
            <w:r w:rsidRPr="007A3077">
              <w:rPr>
                <w:spacing w:val="-10"/>
              </w:rPr>
              <w:t xml:space="preserve"> </w:t>
            </w:r>
            <w:r w:rsidRPr="007A3077">
              <w:rPr>
                <w:spacing w:val="1"/>
              </w:rPr>
              <w:t>o</w:t>
            </w:r>
            <w:r w:rsidRPr="007A3077">
              <w:t xml:space="preserve">f </w:t>
            </w:r>
            <w:r w:rsidRPr="007A3077">
              <w:rPr>
                <w:spacing w:val="1"/>
              </w:rPr>
              <w:t>br</w:t>
            </w:r>
            <w:r w:rsidRPr="007A3077">
              <w:t>ea</w:t>
            </w:r>
            <w:r w:rsidRPr="007A3077">
              <w:rPr>
                <w:spacing w:val="-1"/>
              </w:rPr>
              <w:t>k</w:t>
            </w:r>
            <w:r w:rsidRPr="007A3077">
              <w:t>t</w:t>
            </w:r>
            <w:r w:rsidRPr="007A3077">
              <w:rPr>
                <w:spacing w:val="-1"/>
              </w:rPr>
              <w:t>h</w:t>
            </w:r>
            <w:r w:rsidRPr="007A3077">
              <w:rPr>
                <w:spacing w:val="1"/>
              </w:rPr>
              <w:t>rou</w:t>
            </w:r>
            <w:r w:rsidRPr="007A3077">
              <w:rPr>
                <w:spacing w:val="-1"/>
              </w:rPr>
              <w:t>g</w:t>
            </w:r>
            <w:r w:rsidRPr="007A3077">
              <w:t>h</w:t>
            </w:r>
            <w:r w:rsidRPr="007A3077">
              <w:rPr>
                <w:spacing w:val="-12"/>
              </w:rPr>
              <w:t xml:space="preserve"> </w:t>
            </w:r>
            <w:r w:rsidRPr="007A3077">
              <w:rPr>
                <w:spacing w:val="1"/>
              </w:rPr>
              <w:t>p</w:t>
            </w:r>
            <w:r w:rsidRPr="007A3077">
              <w:t>a</w:t>
            </w:r>
            <w:r w:rsidRPr="007A3077">
              <w:rPr>
                <w:spacing w:val="2"/>
              </w:rPr>
              <w:t>i</w:t>
            </w:r>
            <w:r w:rsidRPr="007A3077">
              <w:t>n</w:t>
            </w:r>
            <w:r w:rsidRPr="007A3077">
              <w:rPr>
                <w:spacing w:val="-4"/>
              </w:rPr>
              <w:t xml:space="preserve"> </w:t>
            </w:r>
            <w:r w:rsidRPr="007A3077">
              <w:t>in</w:t>
            </w:r>
            <w:r w:rsidRPr="007A3077">
              <w:rPr>
                <w:spacing w:val="-3"/>
              </w:rPr>
              <w:t xml:space="preserve"> </w:t>
            </w:r>
            <w:r w:rsidRPr="007A3077">
              <w:t>c</w:t>
            </w:r>
            <w:r w:rsidRPr="007A3077">
              <w:rPr>
                <w:spacing w:val="3"/>
              </w:rPr>
              <w:t>a</w:t>
            </w:r>
            <w:r w:rsidRPr="007A3077">
              <w:rPr>
                <w:spacing w:val="-1"/>
              </w:rPr>
              <w:t>n</w:t>
            </w:r>
            <w:r w:rsidRPr="007A3077">
              <w:t>cer</w:t>
            </w:r>
            <w:r w:rsidRPr="007A3077">
              <w:rPr>
                <w:spacing w:val="-6"/>
              </w:rPr>
              <w:t xml:space="preserve"> </w:t>
            </w:r>
            <w:r w:rsidRPr="007A3077">
              <w:rPr>
                <w:spacing w:val="1"/>
              </w:rPr>
              <w:t>p</w:t>
            </w:r>
            <w:r w:rsidRPr="007A3077">
              <w:t>atie</w:t>
            </w:r>
            <w:r w:rsidRPr="007A3077">
              <w:rPr>
                <w:spacing w:val="-1"/>
              </w:rPr>
              <w:t>n</w:t>
            </w:r>
            <w:r w:rsidRPr="007A3077">
              <w:t>ts</w:t>
            </w:r>
            <w:r w:rsidRPr="007A3077">
              <w:rPr>
                <w:spacing w:val="-6"/>
              </w:rPr>
              <w:t xml:space="preserve"> </w:t>
            </w:r>
            <w:r w:rsidRPr="007A3077">
              <w:rPr>
                <w:spacing w:val="1"/>
              </w:rPr>
              <w:t>1</w:t>
            </w:r>
            <w:r w:rsidRPr="007A3077">
              <w:t>8</w:t>
            </w:r>
            <w:r w:rsidRPr="007A3077">
              <w:rPr>
                <w:spacing w:val="2"/>
              </w:rPr>
              <w:t xml:space="preserve"> </w:t>
            </w:r>
            <w:r w:rsidRPr="007A3077">
              <w:rPr>
                <w:spacing w:val="-4"/>
              </w:rPr>
              <w:t>y</w:t>
            </w:r>
            <w:r w:rsidRPr="007A3077">
              <w:t>ea</w:t>
            </w:r>
            <w:r w:rsidRPr="007A3077">
              <w:rPr>
                <w:spacing w:val="1"/>
              </w:rPr>
              <w:t>r</w:t>
            </w:r>
            <w:r w:rsidRPr="007A3077">
              <w:t>s</w:t>
            </w:r>
            <w:r w:rsidRPr="007A3077">
              <w:rPr>
                <w:spacing w:val="-4"/>
              </w:rPr>
              <w:t xml:space="preserve"> </w:t>
            </w:r>
            <w:r w:rsidRPr="007A3077">
              <w:rPr>
                <w:spacing w:val="1"/>
              </w:rPr>
              <w:t>o</w:t>
            </w:r>
            <w:r w:rsidRPr="007A3077">
              <w:t>f</w:t>
            </w:r>
            <w:r w:rsidRPr="007A3077">
              <w:rPr>
                <w:spacing w:val="-3"/>
              </w:rPr>
              <w:t xml:space="preserve"> </w:t>
            </w:r>
            <w:r w:rsidRPr="007A3077">
              <w:rPr>
                <w:spacing w:val="3"/>
              </w:rPr>
              <w:t>a</w:t>
            </w:r>
            <w:r w:rsidRPr="007A3077">
              <w:rPr>
                <w:spacing w:val="-1"/>
              </w:rPr>
              <w:t>g</w:t>
            </w:r>
            <w:r w:rsidRPr="007A3077">
              <w:t>e</w:t>
            </w:r>
            <w:r w:rsidRPr="007A3077">
              <w:rPr>
                <w:spacing w:val="-2"/>
              </w:rPr>
              <w:t xml:space="preserve"> </w:t>
            </w:r>
            <w:r w:rsidRPr="007A3077">
              <w:t>a</w:t>
            </w:r>
            <w:r w:rsidRPr="007A3077">
              <w:rPr>
                <w:spacing w:val="-1"/>
              </w:rPr>
              <w:t>n</w:t>
            </w:r>
            <w:r w:rsidRPr="007A3077">
              <w:t>d</w:t>
            </w:r>
            <w:r w:rsidRPr="007A3077">
              <w:rPr>
                <w:spacing w:val="-3"/>
              </w:rPr>
              <w:t xml:space="preserve"> </w:t>
            </w:r>
            <w:r w:rsidRPr="007A3077">
              <w:rPr>
                <w:spacing w:val="1"/>
              </w:rPr>
              <w:t>o</w:t>
            </w:r>
            <w:r w:rsidRPr="007A3077">
              <w:t>l</w:t>
            </w:r>
            <w:r w:rsidRPr="007A3077">
              <w:rPr>
                <w:spacing w:val="1"/>
              </w:rPr>
              <w:t>d</w:t>
            </w:r>
            <w:r w:rsidRPr="007A3077">
              <w:t>er</w:t>
            </w:r>
            <w:r w:rsidRPr="007A3077">
              <w:rPr>
                <w:spacing w:val="-3"/>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1"/>
              </w:rPr>
              <w:t xml:space="preserve"> </w:t>
            </w:r>
            <w:r w:rsidRPr="007A3077">
              <w:t>al</w:t>
            </w:r>
            <w:r w:rsidRPr="007A3077">
              <w:rPr>
                <w:spacing w:val="1"/>
              </w:rPr>
              <w:t>r</w:t>
            </w:r>
            <w:r w:rsidRPr="007A3077">
              <w:t>ea</w:t>
            </w:r>
            <w:r w:rsidRPr="007A3077">
              <w:rPr>
                <w:spacing w:val="1"/>
              </w:rPr>
              <w:t>d</w:t>
            </w:r>
            <w:r w:rsidRPr="007A3077">
              <w:t>y</w:t>
            </w:r>
            <w:r w:rsidRPr="007A3077">
              <w:rPr>
                <w:spacing w:val="-6"/>
              </w:rPr>
              <w:t xml:space="preserve"> </w:t>
            </w:r>
            <w:r w:rsidRPr="007A3077">
              <w:rPr>
                <w:spacing w:val="1"/>
              </w:rPr>
              <w:t>r</w:t>
            </w:r>
            <w:r w:rsidRPr="007A3077">
              <w:t>ecei</w:t>
            </w:r>
            <w:r w:rsidRPr="007A3077">
              <w:rPr>
                <w:spacing w:val="-1"/>
              </w:rPr>
              <w:t>v</w:t>
            </w:r>
            <w:r w:rsidRPr="007A3077">
              <w:t>i</w:t>
            </w:r>
            <w:r w:rsidRPr="007A3077">
              <w:rPr>
                <w:spacing w:val="1"/>
              </w:rPr>
              <w:t>n</w:t>
            </w:r>
            <w:r w:rsidRPr="007A3077">
              <w:t>g</w:t>
            </w:r>
            <w:r w:rsidRPr="007A3077">
              <w:rPr>
                <w:spacing w:val="-8"/>
              </w:rPr>
              <w:t xml:space="preserve"> </w:t>
            </w:r>
            <w:r w:rsidRPr="007A3077">
              <w:rPr>
                <w:spacing w:val="3"/>
              </w:rPr>
              <w:t>a</w:t>
            </w:r>
            <w:r w:rsidRPr="007A3077">
              <w:rPr>
                <w:spacing w:val="-1"/>
              </w:rPr>
              <w:t>n</w:t>
            </w:r>
            <w:r w:rsidRPr="007A3077">
              <w:t>d</w:t>
            </w:r>
            <w:r w:rsidRPr="007A3077">
              <w:rPr>
                <w:spacing w:val="1"/>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3"/>
              </w:rPr>
              <w:t xml:space="preserve"> </w:t>
            </w:r>
            <w:r w:rsidRPr="007A3077">
              <w:t>t</w:t>
            </w:r>
            <w:r w:rsidRPr="007A3077">
              <w:rPr>
                <w:spacing w:val="1"/>
              </w:rPr>
              <w:t>o</w:t>
            </w:r>
            <w:r w:rsidRPr="007A3077">
              <w:t>le</w:t>
            </w:r>
            <w:r w:rsidRPr="007A3077">
              <w:rPr>
                <w:spacing w:val="1"/>
              </w:rPr>
              <w:t>r</w:t>
            </w:r>
            <w:r w:rsidRPr="007A3077">
              <w:t>a</w:t>
            </w:r>
            <w:r w:rsidRPr="007A3077">
              <w:rPr>
                <w:spacing w:val="-1"/>
              </w:rPr>
              <w:t>n</w:t>
            </w:r>
            <w:r w:rsidRPr="007A3077">
              <w:t>t</w:t>
            </w:r>
            <w:r w:rsidRPr="007A3077">
              <w:rPr>
                <w:spacing w:val="-6"/>
              </w:rPr>
              <w:t xml:space="preserve"> </w:t>
            </w:r>
            <w:r w:rsidRPr="007A3077">
              <w:t>to</w:t>
            </w:r>
            <w:r w:rsidRPr="007A3077">
              <w:rPr>
                <w:spacing w:val="2"/>
              </w:rPr>
              <w:t xml:space="preserve"> </w:t>
            </w:r>
            <w:r w:rsidRPr="007A3077">
              <w:t>a</w:t>
            </w:r>
            <w:r w:rsidRPr="007A3077">
              <w:rPr>
                <w:spacing w:val="1"/>
              </w:rPr>
              <w:t>ro</w:t>
            </w:r>
            <w:r w:rsidRPr="007A3077">
              <w:rPr>
                <w:spacing w:val="-1"/>
              </w:rPr>
              <w:t>un</w:t>
            </w:r>
            <w:r w:rsidRPr="007A3077">
              <w:rPr>
                <w:spacing w:val="1"/>
              </w:rPr>
              <w:t>d</w:t>
            </w:r>
            <w:r w:rsidRPr="007A3077">
              <w:rPr>
                <w:spacing w:val="-2"/>
              </w:rPr>
              <w:t>-</w:t>
            </w:r>
            <w:r w:rsidRPr="007A3077">
              <w:rPr>
                <w:spacing w:val="2"/>
              </w:rPr>
              <w:t>t</w:t>
            </w:r>
            <w:r w:rsidRPr="007A3077">
              <w:rPr>
                <w:spacing w:val="-1"/>
              </w:rPr>
              <w:t>h</w:t>
            </w:r>
            <w:r w:rsidRPr="007A3077">
              <w:rPr>
                <w:spacing w:val="3"/>
              </w:rPr>
              <w:t>e</w:t>
            </w:r>
            <w:r w:rsidRPr="007A3077">
              <w:rPr>
                <w:spacing w:val="-2"/>
              </w:rPr>
              <w:t>-</w:t>
            </w:r>
            <w:r w:rsidRPr="007A3077">
              <w:t>cl</w:t>
            </w:r>
            <w:r w:rsidRPr="007A3077">
              <w:rPr>
                <w:spacing w:val="1"/>
              </w:rPr>
              <w:t>o</w:t>
            </w:r>
            <w:r w:rsidRPr="007A3077">
              <w:t>ck</w:t>
            </w:r>
            <w:r w:rsidRPr="007A3077">
              <w:rPr>
                <w:spacing w:val="-14"/>
              </w:rPr>
              <w:t xml:space="preserve"> </w:t>
            </w:r>
            <w:r w:rsidRPr="007A3077">
              <w:rPr>
                <w:spacing w:val="1"/>
              </w:rPr>
              <w:t>op</w:t>
            </w:r>
            <w:r w:rsidRPr="007A3077">
              <w:t>i</w:t>
            </w:r>
            <w:r w:rsidRPr="007A3077">
              <w:rPr>
                <w:spacing w:val="1"/>
              </w:rPr>
              <w:t>o</w:t>
            </w:r>
            <w:r w:rsidRPr="007A3077">
              <w:t>id</w:t>
            </w:r>
            <w:r w:rsidRPr="007A3077">
              <w:rPr>
                <w:spacing w:val="-3"/>
              </w:rPr>
              <w:t xml:space="preserve"> </w:t>
            </w:r>
            <w:r w:rsidRPr="007A3077">
              <w:t>t</w:t>
            </w:r>
            <w:r w:rsidRPr="007A3077">
              <w:rPr>
                <w:spacing w:val="-1"/>
              </w:rPr>
              <w:t>h</w:t>
            </w:r>
            <w:r w:rsidRPr="007A3077">
              <w:t>e</w:t>
            </w:r>
            <w:r w:rsidRPr="007A3077">
              <w:rPr>
                <w:spacing w:val="1"/>
              </w:rPr>
              <w:t>r</w:t>
            </w:r>
            <w:r w:rsidRPr="007A3077">
              <w:t>a</w:t>
            </w:r>
            <w:r w:rsidRPr="007A3077">
              <w:rPr>
                <w:spacing w:val="1"/>
              </w:rPr>
              <w:t>p</w:t>
            </w:r>
            <w:r w:rsidRPr="007A3077">
              <w:t>y</w:t>
            </w:r>
            <w:r w:rsidRPr="007A3077">
              <w:rPr>
                <w:spacing w:val="-9"/>
              </w:rPr>
              <w:t xml:space="preserve"> </w:t>
            </w:r>
            <w:r w:rsidRPr="007A3077">
              <w:rPr>
                <w:spacing w:val="-2"/>
              </w:rPr>
              <w:t>f</w:t>
            </w:r>
            <w:r w:rsidRPr="007A3077">
              <w:rPr>
                <w:spacing w:val="1"/>
              </w:rPr>
              <w:t>o</w:t>
            </w:r>
            <w:r w:rsidRPr="007A3077">
              <w:t>r</w:t>
            </w:r>
            <w:r w:rsidRPr="007A3077">
              <w:rPr>
                <w:spacing w:val="-1"/>
              </w:rPr>
              <w:t xml:space="preserve"> </w:t>
            </w:r>
            <w:r w:rsidRPr="007A3077">
              <w:t>t</w:t>
            </w:r>
            <w:r w:rsidRPr="007A3077">
              <w:rPr>
                <w:spacing w:val="-1"/>
              </w:rPr>
              <w:t>h</w:t>
            </w:r>
            <w:r w:rsidRPr="007A3077">
              <w:rPr>
                <w:spacing w:val="3"/>
              </w:rPr>
              <w:t>e</w:t>
            </w:r>
            <w:r w:rsidRPr="007A3077">
              <w:t>ir</w:t>
            </w:r>
            <w:r w:rsidRPr="007A3077">
              <w:rPr>
                <w:spacing w:val="-4"/>
              </w:rPr>
              <w:t xml:space="preserve"> </w:t>
            </w:r>
            <w:r w:rsidRPr="007A3077">
              <w:rPr>
                <w:spacing w:val="-1"/>
              </w:rPr>
              <w:t>un</w:t>
            </w:r>
            <w:r w:rsidRPr="007A3077">
              <w:rPr>
                <w:spacing w:val="1"/>
              </w:rPr>
              <w:t>d</w:t>
            </w:r>
            <w:r w:rsidRPr="007A3077">
              <w:t>e</w:t>
            </w:r>
            <w:r w:rsidRPr="007A3077">
              <w:rPr>
                <w:spacing w:val="1"/>
              </w:rPr>
              <w:t>r</w:t>
            </w:r>
            <w:r w:rsidRPr="007A3077">
              <w:rPr>
                <w:spacing w:val="2"/>
              </w:rPr>
              <w:t>l</w:t>
            </w:r>
            <w:r w:rsidRPr="007A3077">
              <w:rPr>
                <w:spacing w:val="-1"/>
              </w:rPr>
              <w:t>y</w:t>
            </w:r>
            <w:r w:rsidRPr="007A3077">
              <w:t>i</w:t>
            </w:r>
            <w:r w:rsidRPr="007A3077">
              <w:rPr>
                <w:spacing w:val="1"/>
              </w:rPr>
              <w:t>n</w:t>
            </w:r>
            <w:r w:rsidRPr="007A3077">
              <w:t>g</w:t>
            </w:r>
            <w:r w:rsidRPr="007A3077">
              <w:rPr>
                <w:spacing w:val="-10"/>
              </w:rPr>
              <w:t xml:space="preserve"> </w:t>
            </w:r>
            <w:r w:rsidRPr="007A3077">
              <w:rPr>
                <w:spacing w:val="1"/>
              </w:rPr>
              <w:t>p</w:t>
            </w:r>
            <w:r w:rsidRPr="007A3077">
              <w:t>e</w:t>
            </w:r>
            <w:r w:rsidRPr="007A3077">
              <w:rPr>
                <w:spacing w:val="1"/>
              </w:rPr>
              <w:t>r</w:t>
            </w:r>
            <w:r w:rsidRPr="007A3077">
              <w:rPr>
                <w:spacing w:val="-1"/>
              </w:rPr>
              <w:t>s</w:t>
            </w:r>
            <w:r w:rsidRPr="007A3077">
              <w:t>i</w:t>
            </w:r>
            <w:r w:rsidRPr="007A3077">
              <w:rPr>
                <w:spacing w:val="-1"/>
              </w:rPr>
              <w:t>s</w:t>
            </w:r>
            <w:r w:rsidRPr="007A3077">
              <w:t>t</w:t>
            </w:r>
            <w:r w:rsidRPr="007A3077">
              <w:rPr>
                <w:spacing w:val="3"/>
              </w:rPr>
              <w:t>e</w:t>
            </w:r>
            <w:r w:rsidRPr="007A3077">
              <w:rPr>
                <w:spacing w:val="-1"/>
              </w:rPr>
              <w:t xml:space="preserve">nt </w:t>
            </w:r>
            <w:r w:rsidRPr="007A3077">
              <w:t>ca</w:t>
            </w:r>
            <w:r w:rsidRPr="007A3077">
              <w:rPr>
                <w:spacing w:val="-1"/>
              </w:rPr>
              <w:t>n</w:t>
            </w:r>
            <w:r w:rsidRPr="007A3077">
              <w:t>cer</w:t>
            </w:r>
            <w:r w:rsidRPr="007A3077">
              <w:rPr>
                <w:spacing w:val="-4"/>
              </w:rPr>
              <w:t xml:space="preserve"> </w:t>
            </w:r>
            <w:r w:rsidRPr="007A3077">
              <w:rPr>
                <w:spacing w:val="1"/>
              </w:rPr>
              <w:t>p</w:t>
            </w:r>
            <w:r w:rsidRPr="007A3077">
              <w:t>ai</w:t>
            </w:r>
            <w:r w:rsidRPr="007A3077">
              <w:rPr>
                <w:spacing w:val="-1"/>
              </w:rPr>
              <w:t>n</w:t>
            </w:r>
            <w:r w:rsidRPr="007A3077">
              <w:t>.</w:t>
            </w:r>
          </w:p>
        </w:tc>
      </w:tr>
      <w:tr w:rsidR="00AE085C" w:rsidTr="00EB24E0">
        <w:trPr>
          <w:trHeight w:val="1140"/>
        </w:trPr>
        <w:tc>
          <w:tcPr>
            <w:tcW w:w="1526" w:type="dxa"/>
          </w:tcPr>
          <w:p w:rsidR="00AE085C" w:rsidRPr="007A3077" w:rsidRDefault="00AE085C" w:rsidP="00EB24E0">
            <w:pPr>
              <w:ind w:left="0"/>
            </w:pPr>
            <w:r w:rsidRPr="007A3077">
              <w:rPr>
                <w:spacing w:val="-1"/>
              </w:rPr>
              <w:t>C</w:t>
            </w:r>
            <w:r w:rsidRPr="007A3077">
              <w:t>a</w:t>
            </w:r>
            <w:r w:rsidRPr="007A3077">
              <w:rPr>
                <w:spacing w:val="-1"/>
              </w:rPr>
              <w:t>n</w:t>
            </w:r>
            <w:r w:rsidRPr="007A3077">
              <w:t>a</w:t>
            </w:r>
            <w:r w:rsidRPr="007A3077">
              <w:rPr>
                <w:spacing w:val="1"/>
              </w:rPr>
              <w:t>d</w:t>
            </w:r>
            <w:r w:rsidRPr="007A3077">
              <w:t>a</w:t>
            </w:r>
          </w:p>
        </w:tc>
        <w:tc>
          <w:tcPr>
            <w:tcW w:w="1701" w:type="dxa"/>
          </w:tcPr>
          <w:p w:rsidR="00AE085C" w:rsidRPr="007A3077" w:rsidRDefault="00AE085C" w:rsidP="00EB24E0">
            <w:pPr>
              <w:ind w:left="34"/>
            </w:pPr>
            <w:r w:rsidRPr="007A3077">
              <w:rPr>
                <w:spacing w:val="1"/>
              </w:rPr>
              <w:t>14</w:t>
            </w:r>
            <w:r w:rsidRPr="007A3077">
              <w:t>/</w:t>
            </w:r>
            <w:r w:rsidRPr="007A3077">
              <w:rPr>
                <w:spacing w:val="1"/>
              </w:rPr>
              <w:t>06</w:t>
            </w:r>
            <w:r w:rsidRPr="007A3077">
              <w:t>/</w:t>
            </w:r>
            <w:r w:rsidRPr="007A3077">
              <w:rPr>
                <w:spacing w:val="-1"/>
              </w:rPr>
              <w:t>2</w:t>
            </w:r>
            <w:r w:rsidRPr="007A3077">
              <w:rPr>
                <w:spacing w:val="1"/>
              </w:rPr>
              <w:t>013</w:t>
            </w:r>
          </w:p>
        </w:tc>
        <w:tc>
          <w:tcPr>
            <w:tcW w:w="5528" w:type="dxa"/>
          </w:tcPr>
          <w:p w:rsidR="00AE085C" w:rsidRPr="007A3077" w:rsidRDefault="00AE085C" w:rsidP="00EB24E0">
            <w:pPr>
              <w:ind w:left="34"/>
            </w:pPr>
            <w:r w:rsidRPr="007A3077">
              <w:rPr>
                <w:spacing w:val="-1"/>
              </w:rPr>
              <w:t>M</w:t>
            </w:r>
            <w:r w:rsidRPr="007A3077">
              <w:t>a</w:t>
            </w:r>
            <w:r w:rsidRPr="007A3077">
              <w:rPr>
                <w:spacing w:val="-1"/>
              </w:rPr>
              <w:t>n</w:t>
            </w:r>
            <w:r w:rsidRPr="007A3077">
              <w:rPr>
                <w:spacing w:val="3"/>
              </w:rPr>
              <w:t>a</w:t>
            </w:r>
            <w:r w:rsidRPr="007A3077">
              <w:rPr>
                <w:spacing w:val="-1"/>
              </w:rPr>
              <w:t>g</w:t>
            </w:r>
            <w:r w:rsidRPr="007A3077">
              <w:rPr>
                <w:spacing w:val="3"/>
              </w:rPr>
              <w:t>e</w:t>
            </w:r>
            <w:r w:rsidRPr="007A3077">
              <w:rPr>
                <w:spacing w:val="-1"/>
              </w:rPr>
              <w:t>m</w:t>
            </w:r>
            <w:r w:rsidRPr="007A3077">
              <w:rPr>
                <w:spacing w:val="3"/>
              </w:rPr>
              <w:t>e</w:t>
            </w:r>
            <w:r w:rsidRPr="007A3077">
              <w:rPr>
                <w:spacing w:val="-1"/>
              </w:rPr>
              <w:t>n</w:t>
            </w:r>
            <w:r w:rsidRPr="007A3077">
              <w:t>t</w:t>
            </w:r>
            <w:r w:rsidRPr="007A3077">
              <w:rPr>
                <w:spacing w:val="-10"/>
              </w:rPr>
              <w:t xml:space="preserve"> </w:t>
            </w:r>
            <w:r w:rsidRPr="007A3077">
              <w:rPr>
                <w:spacing w:val="1"/>
              </w:rPr>
              <w:t>o</w:t>
            </w:r>
            <w:r w:rsidRPr="007A3077">
              <w:t xml:space="preserve">f </w:t>
            </w:r>
            <w:r w:rsidRPr="007A3077">
              <w:rPr>
                <w:spacing w:val="1"/>
              </w:rPr>
              <w:t>br</w:t>
            </w:r>
            <w:r w:rsidRPr="007A3077">
              <w:t>ea</w:t>
            </w:r>
            <w:r w:rsidRPr="007A3077">
              <w:rPr>
                <w:spacing w:val="-1"/>
              </w:rPr>
              <w:t>k</w:t>
            </w:r>
            <w:r w:rsidRPr="007A3077">
              <w:t>t</w:t>
            </w:r>
            <w:r w:rsidRPr="007A3077">
              <w:rPr>
                <w:spacing w:val="-1"/>
              </w:rPr>
              <w:t>h</w:t>
            </w:r>
            <w:r w:rsidRPr="007A3077">
              <w:rPr>
                <w:spacing w:val="1"/>
              </w:rPr>
              <w:t>rou</w:t>
            </w:r>
            <w:r w:rsidRPr="007A3077">
              <w:rPr>
                <w:spacing w:val="-1"/>
              </w:rPr>
              <w:t>g</w:t>
            </w:r>
            <w:r w:rsidRPr="007A3077">
              <w:t>h</w:t>
            </w:r>
            <w:r w:rsidRPr="007A3077">
              <w:rPr>
                <w:spacing w:val="-12"/>
              </w:rPr>
              <w:t xml:space="preserve"> </w:t>
            </w:r>
            <w:r w:rsidRPr="007A3077">
              <w:rPr>
                <w:spacing w:val="1"/>
              </w:rPr>
              <w:t>p</w:t>
            </w:r>
            <w:r w:rsidRPr="007A3077">
              <w:t>a</w:t>
            </w:r>
            <w:r w:rsidRPr="007A3077">
              <w:rPr>
                <w:spacing w:val="2"/>
              </w:rPr>
              <w:t>i</w:t>
            </w:r>
            <w:r w:rsidRPr="007A3077">
              <w:t>n</w:t>
            </w:r>
            <w:r w:rsidRPr="007A3077">
              <w:rPr>
                <w:spacing w:val="-4"/>
              </w:rPr>
              <w:t xml:space="preserve"> </w:t>
            </w:r>
            <w:r w:rsidRPr="007A3077">
              <w:t>in</w:t>
            </w:r>
            <w:r w:rsidRPr="007A3077">
              <w:rPr>
                <w:spacing w:val="-3"/>
              </w:rPr>
              <w:t xml:space="preserve"> </w:t>
            </w:r>
            <w:r w:rsidRPr="007A3077">
              <w:t>c</w:t>
            </w:r>
            <w:r w:rsidRPr="007A3077">
              <w:rPr>
                <w:spacing w:val="3"/>
              </w:rPr>
              <w:t>a</w:t>
            </w:r>
            <w:r w:rsidRPr="007A3077">
              <w:rPr>
                <w:spacing w:val="-1"/>
              </w:rPr>
              <w:t>n</w:t>
            </w:r>
            <w:r w:rsidRPr="007A3077">
              <w:t>cer</w:t>
            </w:r>
            <w:r w:rsidRPr="007A3077">
              <w:rPr>
                <w:spacing w:val="-6"/>
              </w:rPr>
              <w:t xml:space="preserve"> </w:t>
            </w:r>
            <w:r w:rsidRPr="007A3077">
              <w:rPr>
                <w:spacing w:val="1"/>
              </w:rPr>
              <w:t>p</w:t>
            </w:r>
            <w:r w:rsidRPr="007A3077">
              <w:t>atie</w:t>
            </w:r>
            <w:r w:rsidRPr="007A3077">
              <w:rPr>
                <w:spacing w:val="-1"/>
              </w:rPr>
              <w:t>n</w:t>
            </w:r>
            <w:r w:rsidRPr="007A3077">
              <w:t>ts</w:t>
            </w:r>
            <w:r w:rsidRPr="007A3077">
              <w:rPr>
                <w:spacing w:val="-6"/>
              </w:rPr>
              <w:t xml:space="preserve"> </w:t>
            </w:r>
            <w:r w:rsidRPr="007A3077">
              <w:rPr>
                <w:spacing w:val="1"/>
              </w:rPr>
              <w:t>1</w:t>
            </w:r>
            <w:r w:rsidRPr="007A3077">
              <w:t>8</w:t>
            </w:r>
            <w:r w:rsidRPr="007A3077">
              <w:rPr>
                <w:spacing w:val="2"/>
              </w:rPr>
              <w:t xml:space="preserve"> </w:t>
            </w:r>
            <w:r w:rsidRPr="007A3077">
              <w:rPr>
                <w:spacing w:val="-4"/>
              </w:rPr>
              <w:t>y</w:t>
            </w:r>
            <w:r w:rsidRPr="007A3077">
              <w:t>ea</w:t>
            </w:r>
            <w:r w:rsidRPr="007A3077">
              <w:rPr>
                <w:spacing w:val="1"/>
              </w:rPr>
              <w:t>r</w:t>
            </w:r>
            <w:r w:rsidRPr="007A3077">
              <w:t>s</w:t>
            </w:r>
            <w:r w:rsidRPr="007A3077">
              <w:rPr>
                <w:spacing w:val="-4"/>
              </w:rPr>
              <w:t xml:space="preserve"> </w:t>
            </w:r>
            <w:r w:rsidRPr="007A3077">
              <w:rPr>
                <w:spacing w:val="1"/>
              </w:rPr>
              <w:t>o</w:t>
            </w:r>
            <w:r w:rsidRPr="007A3077">
              <w:t>f</w:t>
            </w:r>
            <w:r w:rsidRPr="007A3077">
              <w:rPr>
                <w:spacing w:val="-3"/>
              </w:rPr>
              <w:t xml:space="preserve"> </w:t>
            </w:r>
            <w:r w:rsidRPr="007A3077">
              <w:rPr>
                <w:spacing w:val="3"/>
              </w:rPr>
              <w:t>a</w:t>
            </w:r>
            <w:r w:rsidRPr="007A3077">
              <w:rPr>
                <w:spacing w:val="-1"/>
              </w:rPr>
              <w:t>g</w:t>
            </w:r>
            <w:r w:rsidRPr="007A3077">
              <w:t>e</w:t>
            </w:r>
            <w:r w:rsidRPr="007A3077">
              <w:rPr>
                <w:spacing w:val="-2"/>
              </w:rPr>
              <w:t xml:space="preserve"> </w:t>
            </w:r>
            <w:r w:rsidRPr="007A3077">
              <w:t>a</w:t>
            </w:r>
            <w:r w:rsidRPr="007A3077">
              <w:rPr>
                <w:spacing w:val="-1"/>
              </w:rPr>
              <w:t>n</w:t>
            </w:r>
            <w:r w:rsidRPr="007A3077">
              <w:t>d</w:t>
            </w:r>
            <w:r w:rsidRPr="007A3077">
              <w:rPr>
                <w:spacing w:val="-3"/>
              </w:rPr>
              <w:t xml:space="preserve"> </w:t>
            </w:r>
            <w:r w:rsidRPr="007A3077">
              <w:rPr>
                <w:spacing w:val="1"/>
              </w:rPr>
              <w:t>o</w:t>
            </w:r>
            <w:r w:rsidRPr="007A3077">
              <w:t>l</w:t>
            </w:r>
            <w:r w:rsidRPr="007A3077">
              <w:rPr>
                <w:spacing w:val="1"/>
              </w:rPr>
              <w:t>d</w:t>
            </w:r>
            <w:r w:rsidRPr="007A3077">
              <w:t>er</w:t>
            </w:r>
            <w:r w:rsidRPr="007A3077">
              <w:rPr>
                <w:spacing w:val="-3"/>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1"/>
              </w:rPr>
              <w:t xml:space="preserve"> </w:t>
            </w:r>
            <w:r w:rsidRPr="007A3077">
              <w:t>al</w:t>
            </w:r>
            <w:r w:rsidRPr="007A3077">
              <w:rPr>
                <w:spacing w:val="1"/>
              </w:rPr>
              <w:t>r</w:t>
            </w:r>
            <w:r w:rsidRPr="007A3077">
              <w:t>ea</w:t>
            </w:r>
            <w:r w:rsidRPr="007A3077">
              <w:rPr>
                <w:spacing w:val="1"/>
              </w:rPr>
              <w:t>d</w:t>
            </w:r>
            <w:r w:rsidRPr="007A3077">
              <w:t>y</w:t>
            </w:r>
            <w:r w:rsidRPr="007A3077">
              <w:rPr>
                <w:spacing w:val="-6"/>
              </w:rPr>
              <w:t xml:space="preserve"> </w:t>
            </w:r>
            <w:r w:rsidRPr="007A3077">
              <w:rPr>
                <w:spacing w:val="1"/>
              </w:rPr>
              <w:t>r</w:t>
            </w:r>
            <w:r w:rsidRPr="007A3077">
              <w:t>ecei</w:t>
            </w:r>
            <w:r w:rsidRPr="007A3077">
              <w:rPr>
                <w:spacing w:val="-1"/>
              </w:rPr>
              <w:t>v</w:t>
            </w:r>
            <w:r w:rsidRPr="007A3077">
              <w:t>i</w:t>
            </w:r>
            <w:r w:rsidRPr="007A3077">
              <w:rPr>
                <w:spacing w:val="1"/>
              </w:rPr>
              <w:t>n</w:t>
            </w:r>
            <w:r w:rsidRPr="007A3077">
              <w:t>g</w:t>
            </w:r>
            <w:r w:rsidRPr="007A3077">
              <w:rPr>
                <w:spacing w:val="-8"/>
              </w:rPr>
              <w:t xml:space="preserve"> </w:t>
            </w:r>
            <w:r w:rsidRPr="007A3077">
              <w:rPr>
                <w:spacing w:val="3"/>
              </w:rPr>
              <w:t>a</w:t>
            </w:r>
            <w:r w:rsidRPr="007A3077">
              <w:rPr>
                <w:spacing w:val="-1"/>
              </w:rPr>
              <w:t>n</w:t>
            </w:r>
            <w:r w:rsidRPr="007A3077">
              <w:t>d</w:t>
            </w:r>
            <w:r w:rsidRPr="007A3077">
              <w:rPr>
                <w:spacing w:val="1"/>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3"/>
              </w:rPr>
              <w:t xml:space="preserve"> </w:t>
            </w:r>
            <w:r w:rsidRPr="007A3077">
              <w:t>t</w:t>
            </w:r>
            <w:r w:rsidRPr="007A3077">
              <w:rPr>
                <w:spacing w:val="1"/>
              </w:rPr>
              <w:t>o</w:t>
            </w:r>
            <w:r w:rsidRPr="007A3077">
              <w:t>le</w:t>
            </w:r>
            <w:r w:rsidRPr="007A3077">
              <w:rPr>
                <w:spacing w:val="1"/>
              </w:rPr>
              <w:t>r</w:t>
            </w:r>
            <w:r w:rsidRPr="007A3077">
              <w:t>a</w:t>
            </w:r>
            <w:r w:rsidRPr="007A3077">
              <w:rPr>
                <w:spacing w:val="-1"/>
              </w:rPr>
              <w:t>n</w:t>
            </w:r>
            <w:r w:rsidRPr="007A3077">
              <w:t>t</w:t>
            </w:r>
            <w:r w:rsidRPr="007A3077">
              <w:rPr>
                <w:spacing w:val="-6"/>
              </w:rPr>
              <w:t xml:space="preserve"> </w:t>
            </w:r>
            <w:r w:rsidRPr="007A3077">
              <w:t>to c</w:t>
            </w:r>
            <w:r w:rsidRPr="007A3077">
              <w:rPr>
                <w:spacing w:val="1"/>
              </w:rPr>
              <w:t>o</w:t>
            </w:r>
            <w:r w:rsidRPr="007A3077">
              <w:rPr>
                <w:spacing w:val="-1"/>
              </w:rPr>
              <w:t>n</w:t>
            </w:r>
            <w:r w:rsidRPr="007A3077">
              <w:t>ti</w:t>
            </w:r>
            <w:r w:rsidRPr="007A3077">
              <w:rPr>
                <w:spacing w:val="1"/>
              </w:rPr>
              <w:t>n</w:t>
            </w:r>
            <w:r w:rsidRPr="007A3077">
              <w:rPr>
                <w:spacing w:val="-1"/>
              </w:rPr>
              <w:t>u</w:t>
            </w:r>
            <w:r w:rsidRPr="007A3077">
              <w:rPr>
                <w:spacing w:val="1"/>
              </w:rPr>
              <w:t>ou</w:t>
            </w:r>
            <w:r w:rsidRPr="007A3077">
              <w:t xml:space="preserve">s </w:t>
            </w:r>
            <w:r w:rsidRPr="007A3077">
              <w:rPr>
                <w:spacing w:val="1"/>
              </w:rPr>
              <w:t>op</w:t>
            </w:r>
            <w:r w:rsidRPr="007A3077">
              <w:t>i</w:t>
            </w:r>
            <w:r w:rsidRPr="007A3077">
              <w:rPr>
                <w:spacing w:val="1"/>
              </w:rPr>
              <w:t>o</w:t>
            </w:r>
            <w:r w:rsidRPr="007A3077">
              <w:t>id</w:t>
            </w:r>
            <w:r w:rsidRPr="007A3077">
              <w:rPr>
                <w:spacing w:val="-3"/>
              </w:rPr>
              <w:t xml:space="preserve"> </w:t>
            </w:r>
            <w:r w:rsidRPr="007A3077">
              <w:t>t</w:t>
            </w:r>
            <w:r w:rsidRPr="007A3077">
              <w:rPr>
                <w:spacing w:val="-1"/>
              </w:rPr>
              <w:t>h</w:t>
            </w:r>
            <w:r w:rsidRPr="007A3077">
              <w:t>e</w:t>
            </w:r>
            <w:r w:rsidRPr="007A3077">
              <w:rPr>
                <w:spacing w:val="1"/>
              </w:rPr>
              <w:t>r</w:t>
            </w:r>
            <w:r w:rsidRPr="007A3077">
              <w:t>a</w:t>
            </w:r>
            <w:r w:rsidRPr="007A3077">
              <w:rPr>
                <w:spacing w:val="1"/>
              </w:rPr>
              <w:t>p</w:t>
            </w:r>
            <w:r w:rsidRPr="007A3077">
              <w:t>y</w:t>
            </w:r>
            <w:r w:rsidRPr="007A3077">
              <w:rPr>
                <w:spacing w:val="-9"/>
              </w:rPr>
              <w:t xml:space="preserve"> </w:t>
            </w:r>
            <w:r w:rsidRPr="007A3077">
              <w:rPr>
                <w:spacing w:val="-2"/>
              </w:rPr>
              <w:t>f</w:t>
            </w:r>
            <w:r w:rsidRPr="007A3077">
              <w:rPr>
                <w:spacing w:val="1"/>
              </w:rPr>
              <w:t>o</w:t>
            </w:r>
            <w:r w:rsidRPr="007A3077">
              <w:t>r</w:t>
            </w:r>
            <w:r w:rsidRPr="007A3077">
              <w:rPr>
                <w:spacing w:val="-1"/>
              </w:rPr>
              <w:t xml:space="preserve"> </w:t>
            </w:r>
            <w:r w:rsidRPr="007A3077">
              <w:t>t</w:t>
            </w:r>
            <w:r w:rsidRPr="007A3077">
              <w:rPr>
                <w:spacing w:val="-1"/>
              </w:rPr>
              <w:t>h</w:t>
            </w:r>
            <w:r w:rsidRPr="007A3077">
              <w:rPr>
                <w:spacing w:val="3"/>
              </w:rPr>
              <w:t>e</w:t>
            </w:r>
            <w:r w:rsidRPr="007A3077">
              <w:t>ir</w:t>
            </w:r>
            <w:r w:rsidRPr="007A3077">
              <w:rPr>
                <w:spacing w:val="-4"/>
              </w:rPr>
              <w:t xml:space="preserve"> </w:t>
            </w:r>
            <w:r w:rsidRPr="007A3077">
              <w:rPr>
                <w:spacing w:val="1"/>
              </w:rPr>
              <w:t>p</w:t>
            </w:r>
            <w:r w:rsidRPr="007A3077">
              <w:t>e</w:t>
            </w:r>
            <w:r w:rsidRPr="007A3077">
              <w:rPr>
                <w:spacing w:val="1"/>
              </w:rPr>
              <w:t>r</w:t>
            </w:r>
            <w:r w:rsidRPr="007A3077">
              <w:rPr>
                <w:spacing w:val="-1"/>
              </w:rPr>
              <w:t>s</w:t>
            </w:r>
            <w:r w:rsidRPr="007A3077">
              <w:t>i</w:t>
            </w:r>
            <w:r w:rsidRPr="007A3077">
              <w:rPr>
                <w:spacing w:val="-1"/>
              </w:rPr>
              <w:t>s</w:t>
            </w:r>
            <w:r w:rsidRPr="007A3077">
              <w:t>te</w:t>
            </w:r>
            <w:r w:rsidRPr="007A3077">
              <w:rPr>
                <w:spacing w:val="-1"/>
              </w:rPr>
              <w:t>n</w:t>
            </w:r>
            <w:r w:rsidRPr="007A3077">
              <w:t>t</w:t>
            </w:r>
            <w:r w:rsidRPr="007A3077">
              <w:rPr>
                <w:spacing w:val="-8"/>
              </w:rPr>
              <w:t xml:space="preserve"> </w:t>
            </w:r>
            <w:r w:rsidRPr="007A3077">
              <w:rPr>
                <w:spacing w:val="1"/>
              </w:rPr>
              <w:t>b</w:t>
            </w:r>
            <w:r w:rsidRPr="007A3077">
              <w:t>a</w:t>
            </w:r>
            <w:r w:rsidRPr="007A3077">
              <w:rPr>
                <w:spacing w:val="-1"/>
              </w:rPr>
              <w:t>s</w:t>
            </w:r>
            <w:r w:rsidRPr="007A3077">
              <w:t>e</w:t>
            </w:r>
            <w:r w:rsidRPr="007A3077">
              <w:rPr>
                <w:spacing w:val="2"/>
              </w:rPr>
              <w:t>l</w:t>
            </w:r>
            <w:r w:rsidRPr="007A3077">
              <w:t>i</w:t>
            </w:r>
            <w:r w:rsidRPr="007A3077">
              <w:rPr>
                <w:spacing w:val="-1"/>
              </w:rPr>
              <w:t>n</w:t>
            </w:r>
            <w:r w:rsidRPr="007A3077">
              <w:t>e</w:t>
            </w:r>
            <w:r w:rsidRPr="007A3077">
              <w:rPr>
                <w:spacing w:val="-6"/>
              </w:rPr>
              <w:t xml:space="preserve"> </w:t>
            </w:r>
            <w:r w:rsidRPr="007A3077">
              <w:t>c</w:t>
            </w:r>
            <w:r w:rsidRPr="007A3077">
              <w:rPr>
                <w:spacing w:val="3"/>
              </w:rPr>
              <w:t>a</w:t>
            </w:r>
            <w:r w:rsidRPr="007A3077">
              <w:rPr>
                <w:spacing w:val="-1"/>
              </w:rPr>
              <w:t>n</w:t>
            </w:r>
            <w:r w:rsidRPr="007A3077">
              <w:t xml:space="preserve">cer </w:t>
            </w:r>
            <w:r w:rsidRPr="007A3077">
              <w:rPr>
                <w:spacing w:val="1"/>
              </w:rPr>
              <w:t>p</w:t>
            </w:r>
            <w:r w:rsidRPr="007A3077">
              <w:t>ai</w:t>
            </w:r>
            <w:r w:rsidRPr="007A3077">
              <w:rPr>
                <w:spacing w:val="-1"/>
              </w:rPr>
              <w:t>n.</w:t>
            </w:r>
          </w:p>
        </w:tc>
      </w:tr>
      <w:tr w:rsidR="00AE085C" w:rsidTr="00EB24E0">
        <w:trPr>
          <w:trHeight w:val="794"/>
        </w:trPr>
        <w:tc>
          <w:tcPr>
            <w:tcW w:w="1526" w:type="dxa"/>
          </w:tcPr>
          <w:p w:rsidR="00AE085C" w:rsidRPr="007A3077" w:rsidRDefault="00AE085C" w:rsidP="00EB24E0">
            <w:pPr>
              <w:ind w:left="0"/>
            </w:pPr>
            <w:r w:rsidRPr="007A3077">
              <w:rPr>
                <w:spacing w:val="2"/>
              </w:rPr>
              <w:t>S</w:t>
            </w:r>
            <w:r w:rsidRPr="007A3077">
              <w:rPr>
                <w:spacing w:val="-2"/>
              </w:rPr>
              <w:t>w</w:t>
            </w:r>
            <w:r w:rsidRPr="007A3077">
              <w:t>itze</w:t>
            </w:r>
            <w:r w:rsidRPr="007A3077">
              <w:rPr>
                <w:spacing w:val="1"/>
              </w:rPr>
              <w:t>r</w:t>
            </w:r>
            <w:r w:rsidRPr="007A3077">
              <w:t>la</w:t>
            </w:r>
            <w:r w:rsidRPr="007A3077">
              <w:rPr>
                <w:spacing w:val="-1"/>
              </w:rPr>
              <w:t>n</w:t>
            </w:r>
            <w:r w:rsidRPr="007A3077">
              <w:t>d</w:t>
            </w:r>
          </w:p>
        </w:tc>
        <w:tc>
          <w:tcPr>
            <w:tcW w:w="1701" w:type="dxa"/>
          </w:tcPr>
          <w:p w:rsidR="00AE085C" w:rsidRPr="007A3077" w:rsidRDefault="00AE085C" w:rsidP="00EB24E0">
            <w:pPr>
              <w:ind w:left="34"/>
            </w:pPr>
            <w:r w:rsidRPr="007A3077">
              <w:rPr>
                <w:spacing w:val="1"/>
              </w:rPr>
              <w:t>28</w:t>
            </w:r>
            <w:r w:rsidRPr="007A3077">
              <w:t>/</w:t>
            </w:r>
            <w:r w:rsidRPr="007A3077">
              <w:rPr>
                <w:spacing w:val="1"/>
              </w:rPr>
              <w:t>06</w:t>
            </w:r>
            <w:r w:rsidRPr="007A3077">
              <w:t>/</w:t>
            </w:r>
            <w:r w:rsidRPr="007A3077">
              <w:rPr>
                <w:spacing w:val="-1"/>
              </w:rPr>
              <w:t>2</w:t>
            </w:r>
            <w:r w:rsidRPr="007A3077">
              <w:rPr>
                <w:spacing w:val="1"/>
              </w:rPr>
              <w:t>011</w:t>
            </w:r>
          </w:p>
        </w:tc>
        <w:tc>
          <w:tcPr>
            <w:tcW w:w="5528" w:type="dxa"/>
          </w:tcPr>
          <w:p w:rsidR="00AE085C" w:rsidRPr="007A3077" w:rsidRDefault="00AE085C" w:rsidP="00EB24E0">
            <w:pPr>
              <w:ind w:left="34"/>
            </w:pPr>
            <w:r>
              <w:t>T</w:t>
            </w:r>
            <w:r w:rsidRPr="007A3077">
              <w:rPr>
                <w:spacing w:val="1"/>
              </w:rPr>
              <w:t>r</w:t>
            </w:r>
            <w:r w:rsidRPr="007A3077">
              <w:t>ea</w:t>
            </w:r>
            <w:r w:rsidRPr="007A3077">
              <w:rPr>
                <w:spacing w:val="2"/>
              </w:rPr>
              <w:t>t</w:t>
            </w:r>
            <w:r w:rsidRPr="007A3077">
              <w:rPr>
                <w:spacing w:val="-4"/>
              </w:rPr>
              <w:t>m</w:t>
            </w:r>
            <w:r w:rsidRPr="007A3077">
              <w:rPr>
                <w:spacing w:val="3"/>
              </w:rPr>
              <w:t>e</w:t>
            </w:r>
            <w:r w:rsidRPr="007A3077">
              <w:rPr>
                <w:spacing w:val="-1"/>
              </w:rPr>
              <w:t>n</w:t>
            </w:r>
            <w:r w:rsidRPr="007A3077">
              <w:t>t</w:t>
            </w:r>
            <w:r w:rsidRPr="007A3077">
              <w:rPr>
                <w:spacing w:val="-8"/>
              </w:rPr>
              <w:t xml:space="preserve"> </w:t>
            </w:r>
            <w:r w:rsidRPr="007A3077">
              <w:rPr>
                <w:spacing w:val="1"/>
              </w:rPr>
              <w:t>o</w:t>
            </w:r>
            <w:r w:rsidRPr="007A3077">
              <w:t>f</w:t>
            </w:r>
            <w:r w:rsidRPr="007A3077">
              <w:rPr>
                <w:spacing w:val="-3"/>
              </w:rPr>
              <w:t xml:space="preserve"> </w:t>
            </w:r>
            <w:r w:rsidRPr="007A3077">
              <w:rPr>
                <w:spacing w:val="1"/>
              </w:rPr>
              <w:t>br</w:t>
            </w:r>
            <w:r w:rsidRPr="007A3077">
              <w:t>ea</w:t>
            </w:r>
            <w:r w:rsidRPr="007A3077">
              <w:rPr>
                <w:spacing w:val="-1"/>
              </w:rPr>
              <w:t>k</w:t>
            </w:r>
            <w:r w:rsidRPr="007A3077">
              <w:rPr>
                <w:spacing w:val="2"/>
              </w:rPr>
              <w:t>t</w:t>
            </w:r>
            <w:r w:rsidRPr="007A3077">
              <w:rPr>
                <w:spacing w:val="-1"/>
              </w:rPr>
              <w:t>h</w:t>
            </w:r>
            <w:r w:rsidRPr="007A3077">
              <w:rPr>
                <w:spacing w:val="1"/>
              </w:rPr>
              <w:t>ro</w:t>
            </w:r>
            <w:r w:rsidRPr="007A3077">
              <w:rPr>
                <w:spacing w:val="-1"/>
              </w:rPr>
              <w:t>u</w:t>
            </w:r>
            <w:r w:rsidRPr="007A3077">
              <w:rPr>
                <w:spacing w:val="1"/>
              </w:rPr>
              <w:t>g</w:t>
            </w:r>
            <w:r w:rsidRPr="007A3077">
              <w:t>h</w:t>
            </w:r>
            <w:r>
              <w:t xml:space="preserve"> </w:t>
            </w:r>
            <w:r w:rsidRPr="007A3077">
              <w:rPr>
                <w:spacing w:val="1"/>
              </w:rPr>
              <w:t>p</w:t>
            </w:r>
            <w:r w:rsidRPr="007A3077">
              <w:t>ain</w:t>
            </w:r>
            <w:r w:rsidRPr="007A3077">
              <w:rPr>
                <w:spacing w:val="-4"/>
              </w:rPr>
              <w:t xml:space="preserve"> </w:t>
            </w:r>
            <w:r w:rsidRPr="007A3077">
              <w:t>in</w:t>
            </w:r>
            <w:r w:rsidRPr="007A3077">
              <w:rPr>
                <w:spacing w:val="-3"/>
              </w:rPr>
              <w:t xml:space="preserve"> </w:t>
            </w:r>
            <w:r w:rsidRPr="007A3077">
              <w:t>a</w:t>
            </w:r>
            <w:r w:rsidRPr="007A3077">
              <w:rPr>
                <w:spacing w:val="1"/>
              </w:rPr>
              <w:t>d</w:t>
            </w:r>
            <w:r w:rsidRPr="007A3077">
              <w:rPr>
                <w:spacing w:val="-1"/>
              </w:rPr>
              <w:t>u</w:t>
            </w:r>
            <w:r w:rsidRPr="007A3077">
              <w:rPr>
                <w:spacing w:val="2"/>
              </w:rPr>
              <w:t>l</w:t>
            </w:r>
            <w:r w:rsidRPr="007A3077">
              <w:t>ts</w:t>
            </w:r>
            <w:r w:rsidRPr="007A3077">
              <w:rPr>
                <w:spacing w:val="-3"/>
              </w:rPr>
              <w:t xml:space="preserve"> </w:t>
            </w:r>
            <w:r w:rsidRPr="007A3077">
              <w:rPr>
                <w:spacing w:val="-2"/>
              </w:rPr>
              <w:t>w</w:t>
            </w:r>
            <w:r w:rsidRPr="007A3077">
              <w:t>i</w:t>
            </w:r>
            <w:r w:rsidRPr="007A3077">
              <w:rPr>
                <w:spacing w:val="2"/>
              </w:rPr>
              <w:t>t</w:t>
            </w:r>
            <w:r w:rsidRPr="007A3077">
              <w:t>h</w:t>
            </w:r>
            <w:r w:rsidRPr="007A3077">
              <w:rPr>
                <w:spacing w:val="-5"/>
              </w:rPr>
              <w:t xml:space="preserve"> </w:t>
            </w:r>
            <w:r w:rsidRPr="007A3077">
              <w:t>c</w:t>
            </w:r>
            <w:r w:rsidRPr="007A3077">
              <w:rPr>
                <w:spacing w:val="3"/>
              </w:rPr>
              <w:t>a</w:t>
            </w:r>
            <w:r w:rsidRPr="007A3077">
              <w:rPr>
                <w:spacing w:val="-1"/>
              </w:rPr>
              <w:t>n</w:t>
            </w:r>
            <w:r w:rsidRPr="007A3077">
              <w:t>cer</w:t>
            </w:r>
            <w:r w:rsidRPr="007A3077">
              <w:rPr>
                <w:spacing w:val="-6"/>
              </w:rPr>
              <w:t xml:space="preserve"> </w:t>
            </w:r>
            <w:r w:rsidRPr="007A3077">
              <w:rPr>
                <w:spacing w:val="-2"/>
              </w:rPr>
              <w:t>w</w:t>
            </w:r>
            <w:r w:rsidRPr="007A3077">
              <w:rPr>
                <w:spacing w:val="1"/>
              </w:rPr>
              <w:t>h</w:t>
            </w:r>
            <w:r w:rsidRPr="007A3077">
              <w:t>o</w:t>
            </w:r>
            <w:r w:rsidRPr="007A3077">
              <w:rPr>
                <w:spacing w:val="-1"/>
              </w:rPr>
              <w:t xml:space="preserve"> </w:t>
            </w:r>
            <w:r w:rsidRPr="007A3077">
              <w:t>a</w:t>
            </w:r>
            <w:r w:rsidRPr="007A3077">
              <w:rPr>
                <w:spacing w:val="1"/>
              </w:rPr>
              <w:t>r</w:t>
            </w:r>
            <w:r w:rsidRPr="007A3077">
              <w:t>e</w:t>
            </w:r>
            <w:r w:rsidRPr="007A3077">
              <w:rPr>
                <w:spacing w:val="-1"/>
              </w:rPr>
              <w:t xml:space="preserve"> </w:t>
            </w:r>
            <w:r w:rsidRPr="007A3077">
              <w:t>al</w:t>
            </w:r>
            <w:r w:rsidRPr="007A3077">
              <w:rPr>
                <w:spacing w:val="1"/>
              </w:rPr>
              <w:t>r</w:t>
            </w:r>
            <w:r w:rsidRPr="007A3077">
              <w:t>ea</w:t>
            </w:r>
            <w:r w:rsidRPr="007A3077">
              <w:rPr>
                <w:spacing w:val="1"/>
              </w:rPr>
              <w:t>d</w:t>
            </w:r>
            <w:r w:rsidRPr="007A3077">
              <w:t>y</w:t>
            </w:r>
            <w:r w:rsidRPr="007A3077">
              <w:rPr>
                <w:spacing w:val="-9"/>
              </w:rPr>
              <w:t xml:space="preserve"> </w:t>
            </w:r>
            <w:r w:rsidRPr="007A3077">
              <w:rPr>
                <w:spacing w:val="1"/>
              </w:rPr>
              <w:t>r</w:t>
            </w:r>
            <w:r w:rsidRPr="007A3077">
              <w:t>ece</w:t>
            </w:r>
            <w:r w:rsidRPr="007A3077">
              <w:rPr>
                <w:spacing w:val="2"/>
              </w:rPr>
              <w:t>i</w:t>
            </w:r>
            <w:r w:rsidRPr="007A3077">
              <w:rPr>
                <w:spacing w:val="-1"/>
              </w:rPr>
              <w:t>v</w:t>
            </w:r>
            <w:r w:rsidRPr="007A3077">
              <w:t>i</w:t>
            </w:r>
            <w:r w:rsidRPr="007A3077">
              <w:rPr>
                <w:spacing w:val="1"/>
              </w:rPr>
              <w:t>n</w:t>
            </w:r>
            <w:r w:rsidRPr="007A3077">
              <w:t>g</w:t>
            </w:r>
            <w:r w:rsidRPr="007A3077">
              <w:rPr>
                <w:spacing w:val="-8"/>
              </w:rPr>
              <w:t xml:space="preserve"> </w:t>
            </w:r>
            <w:r w:rsidRPr="007A3077">
              <w:rPr>
                <w:spacing w:val="-1"/>
              </w:rPr>
              <w:t>m</w:t>
            </w:r>
            <w:r w:rsidRPr="007A3077">
              <w:t>a</w:t>
            </w:r>
            <w:r w:rsidRPr="007A3077">
              <w:rPr>
                <w:spacing w:val="2"/>
              </w:rPr>
              <w:t>i</w:t>
            </w:r>
            <w:r w:rsidRPr="007A3077">
              <w:rPr>
                <w:spacing w:val="-1"/>
              </w:rPr>
              <w:t>n</w:t>
            </w:r>
            <w:r w:rsidRPr="007A3077">
              <w:t>te</w:t>
            </w:r>
            <w:r w:rsidRPr="007A3077">
              <w:rPr>
                <w:spacing w:val="-1"/>
              </w:rPr>
              <w:t>n</w:t>
            </w:r>
            <w:r w:rsidRPr="007A3077">
              <w:rPr>
                <w:spacing w:val="3"/>
              </w:rPr>
              <w:t>a</w:t>
            </w:r>
            <w:r w:rsidRPr="007A3077">
              <w:rPr>
                <w:spacing w:val="-1"/>
              </w:rPr>
              <w:t>n</w:t>
            </w:r>
            <w:r w:rsidRPr="007A3077">
              <w:t>ce</w:t>
            </w:r>
            <w:r w:rsidRPr="007A3077">
              <w:rPr>
                <w:spacing w:val="-9"/>
              </w:rPr>
              <w:t xml:space="preserve"> </w:t>
            </w:r>
            <w:r w:rsidRPr="007A3077">
              <w:rPr>
                <w:spacing w:val="1"/>
              </w:rPr>
              <w:t>op</w:t>
            </w:r>
            <w:r w:rsidRPr="007A3077">
              <w:t>i</w:t>
            </w:r>
            <w:r w:rsidRPr="007A3077">
              <w:rPr>
                <w:spacing w:val="1"/>
              </w:rPr>
              <w:t>o</w:t>
            </w:r>
            <w:r w:rsidRPr="007A3077">
              <w:t>id</w:t>
            </w:r>
            <w:r w:rsidRPr="007A3077">
              <w:rPr>
                <w:spacing w:val="-3"/>
              </w:rPr>
              <w:t xml:space="preserve"> </w:t>
            </w:r>
            <w:r w:rsidRPr="007A3077">
              <w:t>t</w:t>
            </w:r>
            <w:r w:rsidRPr="007A3077">
              <w:rPr>
                <w:spacing w:val="-1"/>
              </w:rPr>
              <w:t>h</w:t>
            </w:r>
            <w:r w:rsidRPr="007A3077">
              <w:t>e</w:t>
            </w:r>
            <w:r w:rsidRPr="007A3077">
              <w:rPr>
                <w:spacing w:val="1"/>
              </w:rPr>
              <w:t>r</w:t>
            </w:r>
            <w:r w:rsidRPr="007A3077">
              <w:t>a</w:t>
            </w:r>
            <w:r w:rsidRPr="007A3077">
              <w:rPr>
                <w:spacing w:val="4"/>
              </w:rPr>
              <w:t>p</w:t>
            </w:r>
            <w:r w:rsidRPr="007A3077">
              <w:t>y</w:t>
            </w:r>
            <w:r w:rsidRPr="007A3077">
              <w:rPr>
                <w:spacing w:val="-6"/>
              </w:rPr>
              <w:t xml:space="preserve"> </w:t>
            </w:r>
            <w:r w:rsidRPr="007A3077">
              <w:rPr>
                <w:spacing w:val="-2"/>
              </w:rPr>
              <w:t>f</w:t>
            </w:r>
            <w:r w:rsidRPr="007A3077">
              <w:rPr>
                <w:spacing w:val="1"/>
              </w:rPr>
              <w:t>o</w:t>
            </w:r>
            <w:r w:rsidRPr="007A3077">
              <w:t>r</w:t>
            </w:r>
            <w:r w:rsidRPr="007A3077">
              <w:rPr>
                <w:spacing w:val="-1"/>
              </w:rPr>
              <w:t xml:space="preserve"> </w:t>
            </w:r>
            <w:r w:rsidRPr="007A3077">
              <w:t>c</w:t>
            </w:r>
            <w:r w:rsidRPr="007A3077">
              <w:rPr>
                <w:spacing w:val="-1"/>
              </w:rPr>
              <w:t>h</w:t>
            </w:r>
            <w:r w:rsidRPr="007A3077">
              <w:rPr>
                <w:spacing w:val="1"/>
              </w:rPr>
              <w:t>ro</w:t>
            </w:r>
            <w:r w:rsidRPr="007A3077">
              <w:rPr>
                <w:spacing w:val="-1"/>
              </w:rPr>
              <w:t>n</w:t>
            </w:r>
            <w:r w:rsidRPr="007A3077">
              <w:t>ic</w:t>
            </w:r>
            <w:r w:rsidRPr="007A3077">
              <w:rPr>
                <w:spacing w:val="-5"/>
              </w:rPr>
              <w:t xml:space="preserve"> </w:t>
            </w:r>
            <w:r w:rsidRPr="007A3077">
              <w:t>ca</w:t>
            </w:r>
            <w:r w:rsidRPr="007A3077">
              <w:rPr>
                <w:spacing w:val="-1"/>
              </w:rPr>
              <w:t>n</w:t>
            </w:r>
            <w:r w:rsidRPr="007A3077">
              <w:t>cer</w:t>
            </w:r>
            <w:r w:rsidRPr="007A3077">
              <w:rPr>
                <w:spacing w:val="-4"/>
              </w:rPr>
              <w:t xml:space="preserve"> </w:t>
            </w:r>
            <w:r w:rsidRPr="007A3077">
              <w:rPr>
                <w:spacing w:val="1"/>
              </w:rPr>
              <w:t>p</w:t>
            </w:r>
            <w:r w:rsidRPr="007A3077">
              <w:t>ain</w:t>
            </w:r>
            <w:r w:rsidR="0026565F">
              <w:t>.</w:t>
            </w:r>
          </w:p>
        </w:tc>
      </w:tr>
    </w:tbl>
    <w:p w:rsidR="008E7846" w:rsidRDefault="008E7846" w:rsidP="00EB24E0">
      <w:pPr>
        <w:pStyle w:val="Heading3"/>
      </w:pPr>
      <w:bookmarkStart w:id="21" w:name="_Toc420586650"/>
      <w:r>
        <w:t xml:space="preserve">Product </w:t>
      </w:r>
      <w:r w:rsidR="0018579F">
        <w:t>i</w:t>
      </w:r>
      <w:r>
        <w:t>nformation</w:t>
      </w:r>
      <w:bookmarkEnd w:id="19"/>
      <w:bookmarkEnd w:id="20"/>
      <w:bookmarkEnd w:id="21"/>
    </w:p>
    <w:p w:rsidR="00940A89" w:rsidRDefault="00940A89" w:rsidP="00EB24E0">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00383221">
          <w:rPr>
            <w:rStyle w:val="Hyperlink"/>
          </w:rPr>
          <w:t>https://www.tga.gov.au/product-information-pi</w:t>
        </w:r>
      </w:hyperlink>
      <w:r w:rsidRPr="00940A89">
        <w:t>&gt;.</w:t>
      </w:r>
    </w:p>
    <w:p w:rsidR="008E7846" w:rsidRPr="003602A9" w:rsidRDefault="008E7846" w:rsidP="00EB24E0">
      <w:pPr>
        <w:pStyle w:val="Heading2"/>
      </w:pPr>
      <w:bookmarkStart w:id="24" w:name="_Toc420586651"/>
      <w:r>
        <w:t>II. Quality</w:t>
      </w:r>
      <w:bookmarkEnd w:id="1"/>
      <w:r>
        <w:t xml:space="preserve"> findings</w:t>
      </w:r>
      <w:bookmarkEnd w:id="22"/>
      <w:bookmarkEnd w:id="23"/>
      <w:bookmarkEnd w:id="24"/>
    </w:p>
    <w:p w:rsidR="008E7846" w:rsidRDefault="008E7846" w:rsidP="00EB24E0">
      <w:pPr>
        <w:pStyle w:val="Heading3"/>
      </w:pPr>
      <w:bookmarkStart w:id="25" w:name="_Toc247691507"/>
      <w:bookmarkStart w:id="26" w:name="_Toc314842488"/>
      <w:bookmarkStart w:id="27" w:name="_Toc420586652"/>
      <w:r w:rsidRPr="008751DC">
        <w:t xml:space="preserve">Drug </w:t>
      </w:r>
      <w:r>
        <w:t>s</w:t>
      </w:r>
      <w:r w:rsidRPr="008751DC">
        <w:t>ubstance</w:t>
      </w:r>
      <w:r>
        <w:t xml:space="preserve"> (active ingredient)</w:t>
      </w:r>
      <w:bookmarkEnd w:id="25"/>
      <w:bookmarkEnd w:id="26"/>
      <w:bookmarkEnd w:id="27"/>
    </w:p>
    <w:p w:rsidR="00727D09" w:rsidRDefault="00727D09" w:rsidP="00EB24E0">
      <w:r>
        <w:t>Fentora (fentanyl citrate) is a synthetic</w:t>
      </w:r>
      <w:r w:rsidRPr="00DA264C">
        <w:t>,</w:t>
      </w:r>
      <w:r>
        <w:t xml:space="preserve"> </w:t>
      </w:r>
      <w:r w:rsidRPr="00DA264C">
        <w:t xml:space="preserve">1:1 citric acid salt of the opioid analgesic </w:t>
      </w:r>
      <w:r>
        <w:t>f</w:t>
      </w:r>
      <w:r w:rsidRPr="00DA264C">
        <w:t xml:space="preserve">entanyl </w:t>
      </w:r>
      <w:r>
        <w:t xml:space="preserve">related to pethidine and with </w:t>
      </w:r>
      <w:r w:rsidR="0018579F">
        <w:t>similar properties to morphine.</w:t>
      </w:r>
    </w:p>
    <w:p w:rsidR="00727D09" w:rsidRDefault="00727D09" w:rsidP="00EB24E0">
      <w:r>
        <w:t>Fentanyl citrate is a white, crystalline powder with a molecular weight of 528.6 and the molecular formula C22H28N20, C6H807. Its chemical name is N-(I-Phenethy1-4--piperidyl) propionanilide dihydrogen citrate.</w:t>
      </w:r>
      <w:r w:rsidRPr="00727D09">
        <w:t xml:space="preserve"> </w:t>
      </w:r>
      <w:r w:rsidRPr="00DA264C">
        <w:t>The chemical structure is depicted below</w:t>
      </w:r>
      <w:r>
        <w:t xml:space="preserve"> (Figure 1).</w:t>
      </w:r>
    </w:p>
    <w:p w:rsidR="00727D09" w:rsidRPr="00DA264C" w:rsidRDefault="00727D09" w:rsidP="00EB24E0">
      <w:pPr>
        <w:pStyle w:val="FigureTitle"/>
      </w:pPr>
      <w:r>
        <w:lastRenderedPageBreak/>
        <w:t>Figure 1: Chemical structure of fentanyl citrate</w:t>
      </w:r>
    </w:p>
    <w:p w:rsidR="00727D09" w:rsidRPr="00F42ED0" w:rsidRDefault="00727D09" w:rsidP="00EB24E0">
      <w:pPr>
        <w:rPr>
          <w:rFonts w:ascii="Calibri" w:hAnsi="Calibri" w:cs="Calibri"/>
          <w:szCs w:val="24"/>
        </w:rPr>
      </w:pPr>
      <w:bookmarkStart w:id="28" w:name="gofly"/>
      <w:r>
        <w:rPr>
          <w:noProof/>
          <w:lang w:eastAsia="en-AU"/>
        </w:rPr>
        <w:drawing>
          <wp:inline distT="0" distB="0" distL="0" distR="0" wp14:anchorId="350C9946" wp14:editId="3F60F39D">
            <wp:extent cx="2133600" cy="1619250"/>
            <wp:effectExtent l="0" t="0" r="0" b="0"/>
            <wp:docPr id="1" name="Picture 1" descr="Figure 1: Chemical structure of fentanyl citra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chem.ncbi.nlm.nih.gov/image/imgsrv.fcgi?t=l&amp;cid=13810"/>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12054" b="12054"/>
                    <a:stretch/>
                  </pic:blipFill>
                  <pic:spPr bwMode="auto">
                    <a:xfrm>
                      <a:off x="0" y="0"/>
                      <a:ext cx="2133600" cy="1619250"/>
                    </a:xfrm>
                    <a:prstGeom prst="rect">
                      <a:avLst/>
                    </a:prstGeom>
                    <a:noFill/>
                    <a:ln>
                      <a:noFill/>
                    </a:ln>
                    <a:extLst>
                      <a:ext uri="{53640926-AAD7-44D8-BBD7-CCE9431645EC}">
                        <a14:shadowObscured xmlns:a14="http://schemas.microsoft.com/office/drawing/2010/main"/>
                      </a:ext>
                    </a:extLst>
                  </pic:spPr>
                </pic:pic>
              </a:graphicData>
            </a:graphic>
          </wp:inline>
        </w:drawing>
      </w:r>
      <w:bookmarkEnd w:id="28"/>
    </w:p>
    <w:p w:rsidR="00DA264C" w:rsidRDefault="00DA264C" w:rsidP="00EB24E0">
      <w:r w:rsidRPr="00DA264C">
        <w:t xml:space="preserve">Fentanyl citrate is the subject of monographs in the </w:t>
      </w:r>
      <w:r>
        <w:t>Eur</w:t>
      </w:r>
      <w:r w:rsidR="00727D09">
        <w:t>o</w:t>
      </w:r>
      <w:r>
        <w:t>pean Pharmacopeia (</w:t>
      </w:r>
      <w:r w:rsidRPr="00DA264C">
        <w:t>Ph Eur</w:t>
      </w:r>
      <w:r>
        <w:t xml:space="preserve">; </w:t>
      </w:r>
      <w:r w:rsidRPr="00DA264C">
        <w:t xml:space="preserve">01/2013:1103), </w:t>
      </w:r>
      <w:r>
        <w:t>British Pharmacopeia (</w:t>
      </w:r>
      <w:r w:rsidRPr="00DA264C">
        <w:t>BP</w:t>
      </w:r>
      <w:r>
        <w:t>)</w:t>
      </w:r>
      <w:r w:rsidRPr="00DA264C">
        <w:t xml:space="preserve"> (Ph Eur monograph 1103) and </w:t>
      </w:r>
      <w:r>
        <w:t>US Pharmacopeia (</w:t>
      </w:r>
      <w:r w:rsidRPr="00DA264C">
        <w:t>USP</w:t>
      </w:r>
      <w:r>
        <w:t>)</w:t>
      </w:r>
      <w:r w:rsidRPr="00DA264C">
        <w:t>.</w:t>
      </w:r>
    </w:p>
    <w:p w:rsidR="00946CB5" w:rsidRPr="0039397B" w:rsidRDefault="00946CB5" w:rsidP="00EB24E0">
      <w:pPr>
        <w:rPr>
          <w:sz w:val="28"/>
        </w:rPr>
      </w:pPr>
      <w:r w:rsidRPr="0039397B">
        <w:t>The drug substance has no chiral centres</w:t>
      </w:r>
      <w:r>
        <w:t xml:space="preserve"> or potential for any geometric isomerism</w:t>
      </w:r>
      <w:r w:rsidR="0018579F">
        <w:t>.</w:t>
      </w:r>
    </w:p>
    <w:p w:rsidR="00727D09" w:rsidRDefault="00727D09" w:rsidP="00EB24E0">
      <w:r>
        <w:t xml:space="preserve">The citrate salt is </w:t>
      </w:r>
      <w:r w:rsidR="00441EC2">
        <w:t>sparingly</w:t>
      </w:r>
      <w:r>
        <w:t xml:space="preserve"> soluble to soluble in water; </w:t>
      </w:r>
      <w:r w:rsidR="00441EC2">
        <w:t>sparingly</w:t>
      </w:r>
      <w:r>
        <w:t xml:space="preserve"> soluble in alcohol; slightly soluble in chloroform; </w:t>
      </w:r>
      <w:r w:rsidR="00374766">
        <w:t xml:space="preserve">and </w:t>
      </w:r>
      <w:r>
        <w:t>soluble to freely soluble in methyl alcohol.</w:t>
      </w:r>
    </w:p>
    <w:p w:rsidR="008E7846" w:rsidRDefault="008E7846" w:rsidP="00EB24E0">
      <w:pPr>
        <w:pStyle w:val="Heading3"/>
      </w:pPr>
      <w:bookmarkStart w:id="29" w:name="_Toc247691508"/>
      <w:bookmarkStart w:id="30" w:name="_Toc314842490"/>
      <w:bookmarkStart w:id="31" w:name="_Toc420586653"/>
      <w:r w:rsidRPr="008751DC">
        <w:t xml:space="preserve">Drug </w:t>
      </w:r>
      <w:r>
        <w:t>p</w:t>
      </w:r>
      <w:r w:rsidRPr="008751DC">
        <w:t>roduct</w:t>
      </w:r>
      <w:bookmarkEnd w:id="29"/>
      <w:bookmarkEnd w:id="30"/>
      <w:bookmarkEnd w:id="31"/>
    </w:p>
    <w:p w:rsidR="00727D09" w:rsidRDefault="00441EC2" w:rsidP="00EB24E0">
      <w:r>
        <w:t>Fentora, orally</w:t>
      </w:r>
      <w:r w:rsidR="00727D09">
        <w:t xml:space="preserve"> disintegrating tablets are available in five unit strengths equivalent to 100, 200, 400, 600 and 800 µg of fentanyl base. The excipients include mannitol, sodium starch glycollate type </w:t>
      </w:r>
      <w:proofErr w:type="gramStart"/>
      <w:r w:rsidR="00727D09">
        <w:t>A</w:t>
      </w:r>
      <w:proofErr w:type="gramEnd"/>
      <w:r w:rsidR="00727D09">
        <w:t>, sodium hydrogen carbonate, sodium carbonate anhydrous, anhydrous citric acid and magnesium stearate.</w:t>
      </w:r>
    </w:p>
    <w:p w:rsidR="00DA264C" w:rsidRPr="00727D09" w:rsidRDefault="00DA264C" w:rsidP="00EB24E0">
      <w:r w:rsidRPr="00727D09">
        <w:t>Each of the finished products is described as a white to off-white flat-faced, round, bevelled tablet, debossed with ‘C’ on one side</w:t>
      </w:r>
      <w:r w:rsidR="00727D09">
        <w:t>’</w:t>
      </w:r>
      <w:r w:rsidRPr="00727D09">
        <w:t xml:space="preserve">, with the 100 μg, 200 μg, 400 μg, 600 μg and 800 μg tablets being debossed with </w:t>
      </w:r>
      <w:r w:rsidR="00727D09">
        <w:t>‘</w:t>
      </w:r>
      <w:r w:rsidRPr="00727D09">
        <w:t>1</w:t>
      </w:r>
      <w:r w:rsidR="00727D09">
        <w:t>’</w:t>
      </w:r>
      <w:r w:rsidRPr="00727D09">
        <w:t xml:space="preserve">, </w:t>
      </w:r>
      <w:r w:rsidR="00727D09">
        <w:t>‘</w:t>
      </w:r>
      <w:r w:rsidRPr="00727D09">
        <w:t>2</w:t>
      </w:r>
      <w:r w:rsidR="00727D09">
        <w:t>’</w:t>
      </w:r>
      <w:r w:rsidRPr="00727D09">
        <w:t xml:space="preserve">, </w:t>
      </w:r>
      <w:r w:rsidR="00727D09">
        <w:t>‘</w:t>
      </w:r>
      <w:r w:rsidRPr="00727D09">
        <w:t>4</w:t>
      </w:r>
      <w:r w:rsidR="00727D09">
        <w:t>’</w:t>
      </w:r>
      <w:r w:rsidRPr="00727D09">
        <w:t xml:space="preserve">, </w:t>
      </w:r>
      <w:r w:rsidR="00727D09">
        <w:t>‘</w:t>
      </w:r>
      <w:r w:rsidRPr="00727D09">
        <w:t>6</w:t>
      </w:r>
      <w:r w:rsidR="00727D09">
        <w:t>’</w:t>
      </w:r>
      <w:r w:rsidRPr="00727D09">
        <w:t xml:space="preserve"> and </w:t>
      </w:r>
      <w:r w:rsidR="00727D09">
        <w:t>‘</w:t>
      </w:r>
      <w:r w:rsidRPr="00727D09">
        <w:t>8</w:t>
      </w:r>
      <w:r w:rsidR="00727D09">
        <w:t>’</w:t>
      </w:r>
      <w:r w:rsidRPr="00727D09">
        <w:t xml:space="preserve"> (r</w:t>
      </w:r>
      <w:r w:rsidR="0018579F">
        <w:t>espectively) on the other side.</w:t>
      </w:r>
    </w:p>
    <w:p w:rsidR="00946CB5" w:rsidRPr="00727D09" w:rsidRDefault="00946CB5" w:rsidP="00EB24E0">
      <w:r w:rsidRPr="00727D09">
        <w:t>The products are to be presented packaged in moisture-resistant, physically protective, child resistant blister cards in a 2 x 2 configuration with perforations between each tablet pocket .The blister cards are packaged in an outer cardboard carto</w:t>
      </w:r>
      <w:r w:rsidR="0018579F">
        <w:t>n (4 or 28 tablets per carton).</w:t>
      </w:r>
    </w:p>
    <w:p w:rsidR="00946CB5" w:rsidRDefault="00946CB5" w:rsidP="00EB24E0">
      <w:pPr>
        <w:rPr>
          <w:lang w:eastAsia="en-AU"/>
        </w:rPr>
      </w:pPr>
      <w:r w:rsidRPr="00727D09">
        <w:t xml:space="preserve">The stability of the product has been investigated under accelerated and normal storage conditions. </w:t>
      </w:r>
      <w:bookmarkStart w:id="32" w:name="_Toc247691509"/>
      <w:bookmarkStart w:id="33" w:name="_Toc314842493"/>
      <w:r w:rsidRPr="00727D09">
        <w:t>Provided the results were generated from tablets packaged in blisters proposed for Australia</w:t>
      </w:r>
      <w:r w:rsidRPr="005335E0">
        <w:rPr>
          <w:lang w:eastAsia="en-AU"/>
        </w:rPr>
        <w:t xml:space="preserve">, </w:t>
      </w:r>
      <w:r>
        <w:rPr>
          <w:lang w:eastAsia="en-AU"/>
        </w:rPr>
        <w:t xml:space="preserve">these </w:t>
      </w:r>
      <w:r w:rsidRPr="00746C49">
        <w:t xml:space="preserve">support a shelf life of </w:t>
      </w:r>
      <w:r>
        <w:t>36</w:t>
      </w:r>
      <w:r w:rsidRPr="00746C49">
        <w:t xml:space="preserve"> months stored below 25°C for the </w:t>
      </w:r>
      <w:r>
        <w:t>100 μg and 800 μg orally disintegrating tablets with the limits currently applied</w:t>
      </w:r>
      <w:r w:rsidRPr="00F72BD0">
        <w:t>.</w:t>
      </w:r>
      <w:r>
        <w:t xml:space="preserve"> However, these limits only support the allocation of shelf lives of 24 months to the </w:t>
      </w:r>
      <w:r w:rsidRPr="00714954">
        <w:rPr>
          <w:lang w:eastAsia="en-AU"/>
        </w:rPr>
        <w:t>200 μg and 400 μg tablets</w:t>
      </w:r>
      <w:r>
        <w:rPr>
          <w:lang w:eastAsia="en-AU"/>
        </w:rPr>
        <w:t xml:space="preserve">, and of 30 months to the 600 μg tablets. </w:t>
      </w:r>
      <w:r w:rsidR="00727D09">
        <w:rPr>
          <w:lang w:eastAsia="en-AU"/>
        </w:rPr>
        <w:t>A</w:t>
      </w:r>
      <w:r>
        <w:rPr>
          <w:lang w:eastAsia="en-AU"/>
        </w:rPr>
        <w:t xml:space="preserve"> shelf life of 36 months stored below 25°C in the original packaging could be allocated to the 200 μg, 400 μg and 600 μg orally disintegrating tablets if the tighter lower release limits identified are applied to </w:t>
      </w:r>
      <w:r>
        <w:t xml:space="preserve">the </w:t>
      </w:r>
      <w:r w:rsidR="00727D09">
        <w:t>a</w:t>
      </w:r>
      <w:r>
        <w:rPr>
          <w:i/>
        </w:rPr>
        <w:t>ssay</w:t>
      </w:r>
      <w:r>
        <w:rPr>
          <w:lang w:eastAsia="en-AU"/>
        </w:rPr>
        <w:t>.</w:t>
      </w:r>
    </w:p>
    <w:p w:rsidR="00946CB5" w:rsidRPr="00FD1396" w:rsidRDefault="00946CB5" w:rsidP="00EB24E0">
      <w:r>
        <w:rPr>
          <w:lang w:eastAsia="en-AU"/>
        </w:rPr>
        <w:t>Although not supported by the photostability study results, the results from</w:t>
      </w:r>
      <w:r w:rsidRPr="00EF74B2">
        <w:t xml:space="preserve"> </w:t>
      </w:r>
      <w:r>
        <w:t xml:space="preserve">validation of the </w:t>
      </w:r>
      <w:r>
        <w:rPr>
          <w:i/>
        </w:rPr>
        <w:t>Assay</w:t>
      </w:r>
      <w:r>
        <w:t xml:space="preserve"> and </w:t>
      </w:r>
      <w:r>
        <w:rPr>
          <w:i/>
        </w:rPr>
        <w:t>Related Substances</w:t>
      </w:r>
      <w:r>
        <w:t xml:space="preserve"> methods clearly suggest the tablets are thermo</w:t>
      </w:r>
      <w:r w:rsidR="00727D09">
        <w:t xml:space="preserve"> </w:t>
      </w:r>
      <w:r>
        <w:t>and photolabile, and are also susceptible to oxidation. However, the blister packaging appears to be adequate protection against such degradation, making additional warning statements on the labelling and in the PI/</w:t>
      </w:r>
      <w:r w:rsidR="00727D09">
        <w:t>Consumer Medicine Information (</w:t>
      </w:r>
      <w:r>
        <w:t>CMI</w:t>
      </w:r>
      <w:r w:rsidR="00727D09">
        <w:t>)</w:t>
      </w:r>
      <w:r>
        <w:t xml:space="preserve"> unnecessary.</w:t>
      </w:r>
    </w:p>
    <w:p w:rsidR="008E7846" w:rsidRDefault="008E7846" w:rsidP="00EB24E0">
      <w:pPr>
        <w:pStyle w:val="Heading3"/>
      </w:pPr>
      <w:bookmarkStart w:id="34" w:name="_Toc420586654"/>
      <w:r>
        <w:t>Quality s</w:t>
      </w:r>
      <w:r w:rsidRPr="008751DC">
        <w:t>ummary</w:t>
      </w:r>
      <w:r>
        <w:t xml:space="preserve"> and conclusions</w:t>
      </w:r>
      <w:bookmarkEnd w:id="32"/>
      <w:bookmarkEnd w:id="33"/>
      <w:bookmarkEnd w:id="34"/>
    </w:p>
    <w:p w:rsidR="0055407A" w:rsidRPr="0030427C" w:rsidRDefault="0055407A" w:rsidP="00EB24E0">
      <w:r w:rsidRPr="0030427C">
        <w:t>There are no objections to registration from a quality and biopharmaceutics perspective. The following details relate to this submission:</w:t>
      </w:r>
    </w:p>
    <w:p w:rsidR="00F01A54" w:rsidRPr="00F01A54" w:rsidRDefault="0055407A" w:rsidP="00EB24E0">
      <w:pPr>
        <w:pStyle w:val="Numberbullet0"/>
        <w:rPr>
          <w:szCs w:val="24"/>
        </w:rPr>
      </w:pPr>
      <w:r w:rsidRPr="0030427C">
        <w:lastRenderedPageBreak/>
        <w:t xml:space="preserve">A shelf life of 24 months when stored below 25°C in the original packaging has been assigned to the orally disintegrating tablets packaged in </w:t>
      </w:r>
      <w:r w:rsidRPr="00F01A54">
        <w:rPr>
          <w:szCs w:val="24"/>
        </w:rPr>
        <w:t>P</w:t>
      </w:r>
      <w:r w:rsidR="00F01A54">
        <w:rPr>
          <w:szCs w:val="24"/>
        </w:rPr>
        <w:t>olyvinyl chloride (P</w:t>
      </w:r>
      <w:r w:rsidRPr="00F01A54">
        <w:rPr>
          <w:szCs w:val="24"/>
        </w:rPr>
        <w:t>VC</w:t>
      </w:r>
      <w:r w:rsidR="00F01A54">
        <w:rPr>
          <w:szCs w:val="24"/>
        </w:rPr>
        <w:t>)</w:t>
      </w:r>
      <w:r w:rsidRPr="00F01A54">
        <w:rPr>
          <w:szCs w:val="24"/>
        </w:rPr>
        <w:t>/aluminium/polyamide/PVC</w:t>
      </w:r>
      <w:r w:rsidR="00F01A54">
        <w:rPr>
          <w:szCs w:val="24"/>
        </w:rPr>
        <w:t>/</w:t>
      </w:r>
      <w:r w:rsidRPr="00F01A54">
        <w:rPr>
          <w:szCs w:val="24"/>
        </w:rPr>
        <w:t xml:space="preserve"> paper/polyester/aluminium</w:t>
      </w:r>
      <w:r w:rsidRPr="0030427C">
        <w:t xml:space="preserve"> blisters</w:t>
      </w:r>
      <w:r w:rsidR="00F01A54">
        <w:t>.</w:t>
      </w:r>
    </w:p>
    <w:p w:rsidR="0055407A" w:rsidRPr="00F01A54" w:rsidRDefault="0055407A" w:rsidP="00EB24E0">
      <w:pPr>
        <w:pStyle w:val="Numberbullet0"/>
      </w:pPr>
      <w:r w:rsidRPr="00F01A54">
        <w:t>The (revised) Product Information document is acceptable from the perspective of the P</w:t>
      </w:r>
      <w:r w:rsidR="00F01A54">
        <w:t>harmaceutical Sub Committee (PSC) of the Advisory Committee on Prescription Medicines (ACPM)</w:t>
      </w:r>
      <w:r w:rsidR="0018579F">
        <w:t>.</w:t>
      </w:r>
    </w:p>
    <w:p w:rsidR="0055407A" w:rsidRPr="0030427C" w:rsidRDefault="00F01A54" w:rsidP="00EB24E0">
      <w:pPr>
        <w:pStyle w:val="Numberbullet0"/>
      </w:pPr>
      <w:r>
        <w:t>The blister foil</w:t>
      </w:r>
      <w:r w:rsidR="00281C4E">
        <w:t xml:space="preserve"> </w:t>
      </w:r>
      <w:r w:rsidR="0055407A" w:rsidRPr="0030427C">
        <w:t>100 µg; 200 µg; 400 µg); 600 µg; 800 µg and carton labels for the 4 tablet</w:t>
      </w:r>
      <w:r w:rsidR="00281C4E">
        <w:t xml:space="preserve"> </w:t>
      </w:r>
      <w:r w:rsidR="0055407A" w:rsidRPr="0030427C">
        <w:t>100 µg; 200 µg; 400 µg; 600 µg; 800 µg and 28 tablet presentations 100 µg; 200</w:t>
      </w:r>
      <w:r w:rsidR="00187359">
        <w:t> </w:t>
      </w:r>
      <w:r w:rsidR="0055407A" w:rsidRPr="0030427C">
        <w:t>µg;</w:t>
      </w:r>
      <w:r>
        <w:t xml:space="preserve"> </w:t>
      </w:r>
      <w:r w:rsidR="0055407A" w:rsidRPr="0030427C">
        <w:t>400 µg; 600 µg; 800</w:t>
      </w:r>
      <w:r w:rsidR="00187359">
        <w:t xml:space="preserve"> </w:t>
      </w:r>
      <w:r w:rsidR="0055407A" w:rsidRPr="0030427C">
        <w:t>µg</w:t>
      </w:r>
      <w:r w:rsidR="0018579F">
        <w:t xml:space="preserve"> are acceptable.</w:t>
      </w:r>
    </w:p>
    <w:p w:rsidR="0055407A" w:rsidRPr="0030427C" w:rsidRDefault="0055407A" w:rsidP="00EB24E0">
      <w:pPr>
        <w:pStyle w:val="Numberbullet0"/>
      </w:pPr>
      <w:r w:rsidRPr="0030427C">
        <w:t xml:space="preserve">The </w:t>
      </w:r>
      <w:r w:rsidR="00946CB5">
        <w:t>provisional ARTG records</w:t>
      </w:r>
      <w:r w:rsidRPr="0030427C">
        <w:t xml:space="preserve"> have been checked by the applicant, and their accuracy has been confirmed.</w:t>
      </w:r>
    </w:p>
    <w:p w:rsidR="0055407A" w:rsidRPr="0030427C" w:rsidRDefault="0055407A" w:rsidP="00EB24E0">
      <w:pPr>
        <w:pStyle w:val="Numberbullet0"/>
      </w:pPr>
      <w:r w:rsidRPr="0030427C">
        <w:t>Current evidence of acceptable G</w:t>
      </w:r>
      <w:r w:rsidR="00F01A54">
        <w:t>ood Manufacturing Practice (G</w:t>
      </w:r>
      <w:r w:rsidRPr="0030427C">
        <w:t>MP</w:t>
      </w:r>
      <w:r w:rsidR="00F01A54">
        <w:t>)</w:t>
      </w:r>
      <w:r w:rsidRPr="0030427C">
        <w:t xml:space="preserve"> has been submitted for the sites nominated for the manufacture of the </w:t>
      </w:r>
      <w:r w:rsidR="00F01A54">
        <w:t xml:space="preserve">active ingredient </w:t>
      </w:r>
      <w:r w:rsidRPr="0030427C">
        <w:t>and finished products.</w:t>
      </w:r>
    </w:p>
    <w:p w:rsidR="0055407A" w:rsidRPr="0030427C" w:rsidRDefault="0055407A" w:rsidP="00EB24E0">
      <w:pPr>
        <w:pStyle w:val="Numberbullet0"/>
      </w:pPr>
      <w:r w:rsidRPr="0030427C">
        <w:t>Acceptable composite release and composite expiry specifications have been submitted for the finished products.</w:t>
      </w:r>
    </w:p>
    <w:p w:rsidR="0055407A" w:rsidRPr="0030427C" w:rsidRDefault="0055407A" w:rsidP="00EB24E0">
      <w:pPr>
        <w:pStyle w:val="Numberbullet0"/>
        <w:rPr>
          <w:sz w:val="28"/>
        </w:rPr>
      </w:pPr>
      <w:r w:rsidRPr="0030427C">
        <w:t>The following bioavailability/bioequivalence studies were presented in support of the submission to register the orally disintegrating tablets:</w:t>
      </w:r>
    </w:p>
    <w:p w:rsidR="0055407A" w:rsidRPr="0030427C" w:rsidRDefault="0055407A" w:rsidP="00EB24E0">
      <w:pPr>
        <w:pStyle w:val="Numberbullet2"/>
      </w:pPr>
      <w:r w:rsidRPr="0030427C">
        <w:t xml:space="preserve">Absolute and Relative Bioavailability Study </w:t>
      </w:r>
      <w:r w:rsidRPr="0030427C">
        <w:rPr>
          <w:bCs/>
          <w:lang w:eastAsia="en-AU"/>
        </w:rPr>
        <w:t>C25608/1028/BA/US</w:t>
      </w:r>
      <w:r w:rsidRPr="0030427C">
        <w:t xml:space="preserve">, in which </w:t>
      </w:r>
      <w:r w:rsidRPr="0030427C">
        <w:rPr>
          <w:lang w:eastAsia="en-AU"/>
        </w:rPr>
        <w:t xml:space="preserve">the relative bioavailability of a single 400 μg transmucosal dose of </w:t>
      </w:r>
      <w:r w:rsidR="00F01A54" w:rsidRPr="00F01A54">
        <w:t>Oravescent</w:t>
      </w:r>
      <w:r w:rsidR="00F01A54" w:rsidRPr="0030427C">
        <w:rPr>
          <w:lang w:eastAsia="en-AU"/>
        </w:rPr>
        <w:t xml:space="preserve"> </w:t>
      </w:r>
      <w:r w:rsidRPr="0030427C">
        <w:rPr>
          <w:lang w:eastAsia="en-AU"/>
        </w:rPr>
        <w:t xml:space="preserve">fentanyl (as citrate) when compared to a single 800 μg oral dose of </w:t>
      </w:r>
      <w:r w:rsidR="00F01A54" w:rsidRPr="00F01A54">
        <w:t>Oravescent</w:t>
      </w:r>
      <w:r w:rsidR="00F01A54" w:rsidRPr="0030427C">
        <w:rPr>
          <w:lang w:eastAsia="en-AU"/>
        </w:rPr>
        <w:t xml:space="preserve"> </w:t>
      </w:r>
      <w:r w:rsidRPr="0030427C">
        <w:rPr>
          <w:lang w:eastAsia="en-AU"/>
        </w:rPr>
        <w:t>fentanyl (as citrate)</w:t>
      </w:r>
      <w:r w:rsidRPr="0030427C">
        <w:rPr>
          <w:rStyle w:val="FootnoteReference"/>
          <w:rFonts w:ascii="Calibri" w:hAnsi="Calibri" w:cs="Calibri"/>
          <w:b/>
          <w:color w:val="0000FF"/>
          <w:sz w:val="24"/>
          <w:szCs w:val="24"/>
        </w:rPr>
        <w:footnoteReference w:id="1"/>
      </w:r>
      <w:r w:rsidRPr="0030427C">
        <w:rPr>
          <w:lang w:eastAsia="en-AU"/>
        </w:rPr>
        <w:t xml:space="preserve"> and a single 800 μg transmucosal dose of </w:t>
      </w:r>
      <w:r w:rsidR="00F01A54" w:rsidRPr="00F01A54">
        <w:t>Actiq</w:t>
      </w:r>
      <w:r w:rsidR="00F01A54" w:rsidRPr="0030427C">
        <w:rPr>
          <w:lang w:eastAsia="en-AU"/>
        </w:rPr>
        <w:t xml:space="preserve"> </w:t>
      </w:r>
      <w:r w:rsidRPr="0030427C">
        <w:rPr>
          <w:lang w:eastAsia="en-AU"/>
        </w:rPr>
        <w:t xml:space="preserve">fentanyl (as citrate) lozenge was evaluated, as well as the absolute bioavailability of these formulations was compared with an intravenous infusion of 400 μg fentanyl as assessed by </w:t>
      </w:r>
      <w:r w:rsidR="00F01A54">
        <w:rPr>
          <w:lang w:eastAsia="en-AU"/>
        </w:rPr>
        <w:t>area under the plasma concentration versus time curve from time zero to infinity (</w:t>
      </w:r>
      <w:r w:rsidRPr="0030427C">
        <w:rPr>
          <w:lang w:eastAsia="en-AU"/>
        </w:rPr>
        <w:t>AUC</w:t>
      </w:r>
      <w:r w:rsidRPr="0030427C">
        <w:rPr>
          <w:vertAlign w:val="subscript"/>
          <w:lang w:eastAsia="en-AU"/>
        </w:rPr>
        <w:t>0-∞</w:t>
      </w:r>
      <w:r w:rsidR="00F01A54">
        <w:rPr>
          <w:lang w:eastAsia="en-AU"/>
        </w:rPr>
        <w:t>).</w:t>
      </w:r>
    </w:p>
    <w:p w:rsidR="0055407A" w:rsidRPr="0030427C" w:rsidRDefault="0055407A" w:rsidP="00EB24E0">
      <w:pPr>
        <w:pStyle w:val="Numberbullet2"/>
      </w:pPr>
      <w:r w:rsidRPr="0030427C">
        <w:t xml:space="preserve">Bioequivalence Study </w:t>
      </w:r>
      <w:r w:rsidRPr="0030427C">
        <w:rPr>
          <w:bCs/>
        </w:rPr>
        <w:t xml:space="preserve">C25608/1026/BE/US, in which </w:t>
      </w:r>
      <w:r w:rsidRPr="0030427C">
        <w:t xml:space="preserve">the bioequivalence of 4 x 100 µg </w:t>
      </w:r>
      <w:r w:rsidR="00F01A54" w:rsidRPr="00F01A54">
        <w:t>Oravescent</w:t>
      </w:r>
      <w:r w:rsidR="00F01A54" w:rsidRPr="0030427C">
        <w:t xml:space="preserve"> </w:t>
      </w:r>
      <w:r w:rsidRPr="0030427C">
        <w:t xml:space="preserve">fentanyl (as citrate) orally disintegrating tablets </w:t>
      </w:r>
      <w:r w:rsidRPr="0030427C">
        <w:rPr>
          <w:i/>
        </w:rPr>
        <w:t>vs</w:t>
      </w:r>
      <w:r w:rsidRPr="0030427C">
        <w:t xml:space="preserve"> 1 x 400 µg </w:t>
      </w:r>
      <w:r w:rsidR="00F01A54" w:rsidRPr="00F01A54">
        <w:t>Oravescent</w:t>
      </w:r>
      <w:r w:rsidR="00F01A54" w:rsidRPr="0030427C">
        <w:t xml:space="preserve"> </w:t>
      </w:r>
      <w:r w:rsidRPr="0030427C">
        <w:t>fentanyl (as citrate) orally disintegrating tablet was established, and the pharmacokinetics (from arterial and v</w:t>
      </w:r>
      <w:r w:rsidR="00187359">
        <w:t xml:space="preserve">enous blood samples) of 1 x 400 </w:t>
      </w:r>
      <w:r w:rsidRPr="0030427C">
        <w:t xml:space="preserve">µg </w:t>
      </w:r>
      <w:proofErr w:type="spellStart"/>
      <w:r w:rsidR="00F01A54" w:rsidRPr="00F01A54">
        <w:t>Oravescent</w:t>
      </w:r>
      <w:proofErr w:type="spellEnd"/>
      <w:r w:rsidR="00F01A54" w:rsidRPr="0030427C">
        <w:t xml:space="preserve"> </w:t>
      </w:r>
      <w:r w:rsidRPr="0030427C">
        <w:t>fentanyl (as citrate) orally disintegrating tablet were assessed.</w:t>
      </w:r>
    </w:p>
    <w:p w:rsidR="0055407A" w:rsidRPr="00374766" w:rsidRDefault="0055407A" w:rsidP="00EB24E0">
      <w:pPr>
        <w:pStyle w:val="Numberbullet2"/>
      </w:pPr>
      <w:r w:rsidRPr="0030427C">
        <w:t xml:space="preserve">Study </w:t>
      </w:r>
      <w:r w:rsidRPr="0030427C">
        <w:rPr>
          <w:bCs/>
        </w:rPr>
        <w:t xml:space="preserve">C25608/1043/BE/US, in which </w:t>
      </w:r>
      <w:r w:rsidRPr="0030427C">
        <w:t>the bioequivalence of 1 x 400</w:t>
      </w:r>
      <w:r w:rsidR="00187359">
        <w:t xml:space="preserve"> </w:t>
      </w:r>
      <w:r w:rsidRPr="0030427C">
        <w:t xml:space="preserve">µg </w:t>
      </w:r>
      <w:proofErr w:type="spellStart"/>
      <w:r w:rsidR="00881D57" w:rsidRPr="00881D57">
        <w:t>Oravescent</w:t>
      </w:r>
      <w:proofErr w:type="spellEnd"/>
      <w:r w:rsidR="00881D57" w:rsidRPr="0030427C">
        <w:t xml:space="preserve"> </w:t>
      </w:r>
      <w:r w:rsidRPr="0030427C">
        <w:t xml:space="preserve">fentanyl (as citrate) </w:t>
      </w:r>
      <w:r w:rsidR="00374766">
        <w:t xml:space="preserve">orally </w:t>
      </w:r>
      <w:r w:rsidR="00374766" w:rsidRPr="00374766">
        <w:t>disintegrating tablet (</w:t>
      </w:r>
      <w:r w:rsidRPr="00374766">
        <w:t>ODT</w:t>
      </w:r>
      <w:r w:rsidR="00374766" w:rsidRPr="00374766">
        <w:t>)</w:t>
      </w:r>
      <w:r w:rsidRPr="00374766">
        <w:t xml:space="preserve"> placed buccally </w:t>
      </w:r>
      <w:r w:rsidR="00881D57" w:rsidRPr="00374766">
        <w:t>versus</w:t>
      </w:r>
      <w:r w:rsidR="0018579F">
        <w:t xml:space="preserve"> sublingually was established.</w:t>
      </w:r>
    </w:p>
    <w:p w:rsidR="008E7846" w:rsidRDefault="008E7846" w:rsidP="008E7846">
      <w:pPr>
        <w:pStyle w:val="Heading2"/>
      </w:pPr>
      <w:bookmarkStart w:id="35" w:name="_Toc196046439"/>
      <w:bookmarkStart w:id="36" w:name="_Toc247691510"/>
      <w:bookmarkStart w:id="37" w:name="_Toc314842494"/>
      <w:bookmarkStart w:id="38" w:name="_Toc420586655"/>
      <w:r>
        <w:t>III. Nonclinical</w:t>
      </w:r>
      <w:bookmarkEnd w:id="35"/>
      <w:r>
        <w:t xml:space="preserve"> findings</w:t>
      </w:r>
      <w:bookmarkEnd w:id="36"/>
      <w:bookmarkEnd w:id="37"/>
      <w:bookmarkEnd w:id="38"/>
    </w:p>
    <w:p w:rsidR="008E7846" w:rsidRPr="00881D57" w:rsidRDefault="008E7846" w:rsidP="00EB24E0">
      <w:pPr>
        <w:pStyle w:val="Heading3"/>
      </w:pPr>
      <w:bookmarkStart w:id="39" w:name="_Toc247691511"/>
      <w:bookmarkStart w:id="40" w:name="_Toc314842495"/>
      <w:bookmarkStart w:id="41" w:name="_Toc420586656"/>
      <w:r>
        <w:t>Introduction</w:t>
      </w:r>
      <w:bookmarkEnd w:id="39"/>
      <w:bookmarkEnd w:id="40"/>
      <w:bookmarkEnd w:id="41"/>
    </w:p>
    <w:p w:rsidR="007D4337" w:rsidRDefault="007D4337" w:rsidP="00EB24E0">
      <w:bookmarkStart w:id="42" w:name="_Toc247691512"/>
      <w:bookmarkStart w:id="43" w:name="_Toc314842496"/>
      <w:r w:rsidRPr="00A0317B">
        <w:t xml:space="preserve">The aim of the drug development program </w:t>
      </w:r>
      <w:r>
        <w:t xml:space="preserve">for </w:t>
      </w:r>
      <w:r w:rsidR="00881D57" w:rsidRPr="00881D57">
        <w:t>Fentora</w:t>
      </w:r>
      <w:r w:rsidR="00881D57">
        <w:t xml:space="preserve"> </w:t>
      </w:r>
      <w:r w:rsidRPr="00A0317B">
        <w:t xml:space="preserve">was to develop an effervescent tablet for buccal administration to facilitate transmucosal absorption </w:t>
      </w:r>
      <w:r>
        <w:t xml:space="preserve">in order to achieve therapeutically effective plasma fentanyl levels with lower drug doses than those of </w:t>
      </w:r>
      <w:r w:rsidRPr="00881D57">
        <w:t>Actiq</w:t>
      </w:r>
      <w:r w:rsidRPr="00F02554">
        <w:rPr>
          <w:vertAlign w:val="superscript"/>
        </w:rPr>
        <w:t>®</w:t>
      </w:r>
      <w:r>
        <w:t>, an oral transmucosal formulation (lozenge)</w:t>
      </w:r>
      <w:r w:rsidR="0018579F">
        <w:t xml:space="preserve"> already approved in Australia.</w:t>
      </w:r>
    </w:p>
    <w:p w:rsidR="007D4337" w:rsidRDefault="007D4337" w:rsidP="00EB24E0">
      <w:r>
        <w:lastRenderedPageBreak/>
        <w:t xml:space="preserve">Although the sponsor may have chosen to conduct initial pharmacokinetic studies in nonclinical species to compare the pharmacokinetic profiles of </w:t>
      </w:r>
      <w:r w:rsidRPr="00881D57">
        <w:t>Actiq</w:t>
      </w:r>
      <w:r w:rsidRPr="00F02554">
        <w:rPr>
          <w:vertAlign w:val="superscript"/>
        </w:rPr>
        <w:t>®</w:t>
      </w:r>
      <w:r>
        <w:t xml:space="preserve"> and </w:t>
      </w:r>
      <w:r w:rsidRPr="00881D57">
        <w:t>Fentora</w:t>
      </w:r>
      <w:r w:rsidRPr="00F02554">
        <w:rPr>
          <w:vertAlign w:val="superscript"/>
        </w:rPr>
        <w:t>®</w:t>
      </w:r>
      <w:r>
        <w:t>, it is acceptable that pharmacokinetic studies wer</w:t>
      </w:r>
      <w:r w:rsidR="0018579F">
        <w:t>e conducted directly in humans.</w:t>
      </w:r>
    </w:p>
    <w:p w:rsidR="007D4337" w:rsidRDefault="007D4337" w:rsidP="00EB24E0">
      <w:r>
        <w:t xml:space="preserve">Much of the nonclinical data used to support approval of the </w:t>
      </w:r>
      <w:r w:rsidRPr="00881D57">
        <w:t>Actiq</w:t>
      </w:r>
      <w:r w:rsidRPr="00F02554">
        <w:rPr>
          <w:vertAlign w:val="superscript"/>
        </w:rPr>
        <w:t>®</w:t>
      </w:r>
      <w:r>
        <w:t xml:space="preserve"> buccal formulation (evaluation dated 2002) can be used to support the safety of the new formulation, although these data were below current standards and the </w:t>
      </w:r>
      <w:r w:rsidR="00881D57">
        <w:t>n</w:t>
      </w:r>
      <w:r>
        <w:t xml:space="preserve">onclinical </w:t>
      </w:r>
      <w:r w:rsidR="00881D57">
        <w:t>e</w:t>
      </w:r>
      <w:r>
        <w:t xml:space="preserve">valuator noted that </w:t>
      </w:r>
      <w:r w:rsidR="00881D57">
        <w:t>‘</w:t>
      </w:r>
      <w:r w:rsidRPr="00881D57">
        <w:rPr>
          <w:i/>
        </w:rPr>
        <w:t>Most of the preclinical data were derived from published papers describing animal experiments performed with other routes of administration. These were mainly non-GLP compliant and, in most instances, were inadequately described. Preclinical data to support the use of fentanyl for long periods (&gt;30 days) remain deficient in that limited repeat dose toxicity studies have been conducted.</w:t>
      </w:r>
      <w:r w:rsidR="00881D57">
        <w:t>’</w:t>
      </w:r>
      <w:r>
        <w:t xml:space="preserve"> However, it was also noted that </w:t>
      </w:r>
      <w:r w:rsidR="00881D57">
        <w:t>‘</w:t>
      </w:r>
      <w:r w:rsidRPr="00881D57">
        <w:rPr>
          <w:i/>
        </w:rPr>
        <w:t>In the available [repeat dose toxicity] studies, all toxicities observed with fentanyl were generally predictable from the pharmacological effects of the drug or were not of major concern…</w:t>
      </w:r>
      <w:r w:rsidR="00881D57">
        <w:t>’</w:t>
      </w:r>
      <w:r>
        <w:t>, and d</w:t>
      </w:r>
      <w:r w:rsidRPr="001E3A0D">
        <w:t xml:space="preserve">ata for the </w:t>
      </w:r>
      <w:r>
        <w:t xml:space="preserve">repeat dose toxicity studies submitted with the current application are consistent with this statement. Further, there is extensive clinical experience with fentanyl (including by the buccal route) and fentanyl has a very well-known pharmaco-toxicological profile. Additionally, the current application contained a number of studies which addressed some of the deficiencies of the </w:t>
      </w:r>
      <w:proofErr w:type="spellStart"/>
      <w:r w:rsidRPr="00881D57">
        <w:t>Actiq</w:t>
      </w:r>
      <w:proofErr w:type="spellEnd"/>
      <w:r w:rsidRPr="00F02554">
        <w:rPr>
          <w:vertAlign w:val="superscript"/>
        </w:rPr>
        <w:t>®</w:t>
      </w:r>
      <w:r w:rsidR="0018579F">
        <w:t xml:space="preserve"> application.</w:t>
      </w:r>
    </w:p>
    <w:p w:rsidR="007D4337" w:rsidRDefault="007D4337" w:rsidP="00EB24E0">
      <w:r>
        <w:t xml:space="preserve">There is no reason to expect the new formulation to produce a new toxicity as it is to be used similarly to the previous </w:t>
      </w:r>
      <w:r w:rsidRPr="00881D57">
        <w:t>Actiq</w:t>
      </w:r>
      <w:r w:rsidRPr="00F02554">
        <w:rPr>
          <w:vertAlign w:val="superscript"/>
        </w:rPr>
        <w:t>®</w:t>
      </w:r>
      <w:r>
        <w:t xml:space="preserve"> formulations (same route, comparable treatment pr</w:t>
      </w:r>
      <w:r w:rsidR="0018579F">
        <w:t>otocol and lower maximum dose).</w:t>
      </w:r>
    </w:p>
    <w:p w:rsidR="007D4337" w:rsidRPr="00197DAE" w:rsidRDefault="007D4337" w:rsidP="00EB24E0">
      <w:r>
        <w:t xml:space="preserve">The sponsor provided an adequate review of available pharmacology/toxicity information and an assessment of whether these data support the proposed clinical use of the new formulation. Data from the submitted studies and the studies discussed in this review support the conclusion that the main risk associated with the use of fentanyl, when given at high </w:t>
      </w:r>
      <w:r w:rsidRPr="00607331">
        <w:t>doses</w:t>
      </w:r>
      <w:r>
        <w:t>,</w:t>
      </w:r>
      <w:r w:rsidRPr="00607331">
        <w:t xml:space="preserve"> </w:t>
      </w:r>
      <w:r>
        <w:t xml:space="preserve">is respiratory depression followed by a reduction in heart rate, although these </w:t>
      </w:r>
      <w:r w:rsidRPr="003C5CEF">
        <w:t xml:space="preserve">will be of less concern in the target opioid-tolerant population compared to an opioid-naïve </w:t>
      </w:r>
      <w:r w:rsidR="0018579F">
        <w:t>population.</w:t>
      </w:r>
    </w:p>
    <w:p w:rsidR="007D4337" w:rsidRPr="006D5658" w:rsidRDefault="007D4337" w:rsidP="00EB24E0">
      <w:r>
        <w:t>Local tolerance is another issue that warrants investigation with a new formulation (for further discussion see ‘</w:t>
      </w:r>
      <w:r w:rsidRPr="00881D57">
        <w:rPr>
          <w:i/>
        </w:rPr>
        <w:t>Local Tolerance</w:t>
      </w:r>
      <w:r w:rsidR="0018579F">
        <w:t>’ below).</w:t>
      </w:r>
    </w:p>
    <w:p w:rsidR="008E7846" w:rsidRDefault="008E7846" w:rsidP="00187359">
      <w:pPr>
        <w:pStyle w:val="Heading3"/>
      </w:pPr>
      <w:bookmarkStart w:id="44" w:name="_Toc420586657"/>
      <w:r w:rsidRPr="00187359">
        <w:t>Pharmacology</w:t>
      </w:r>
      <w:bookmarkEnd w:id="42"/>
      <w:bookmarkEnd w:id="43"/>
      <w:bookmarkEnd w:id="44"/>
    </w:p>
    <w:p w:rsidR="007D4337" w:rsidRDefault="007D4337" w:rsidP="00187359">
      <w:pPr>
        <w:pStyle w:val="Heading4"/>
      </w:pPr>
      <w:r>
        <w:t xml:space="preserve">Primary </w:t>
      </w:r>
      <w:r w:rsidRPr="00187359">
        <w:t>pharmacology</w:t>
      </w:r>
    </w:p>
    <w:p w:rsidR="007D4337" w:rsidRPr="00936758" w:rsidRDefault="007D4337" w:rsidP="00EB24E0">
      <w:r>
        <w:t>Since b</w:t>
      </w:r>
      <w:r w:rsidRPr="007442EB">
        <w:t>reakthrough pain is severe and achieves peak intensity in 3</w:t>
      </w:r>
      <w:r w:rsidR="00881D57">
        <w:t xml:space="preserve"> to </w:t>
      </w:r>
      <w:r w:rsidRPr="007442EB">
        <w:t>5 min, with the median duration of an episode being 30 min</w:t>
      </w:r>
      <w:bookmarkStart w:id="45" w:name="_Ref417460093"/>
      <w:r w:rsidR="0026565F">
        <w:rPr>
          <w:rStyle w:val="FootnoteReference"/>
        </w:rPr>
        <w:footnoteReference w:id="2"/>
      </w:r>
      <w:bookmarkEnd w:id="45"/>
      <w:r w:rsidR="0026565F">
        <w:t>,</w:t>
      </w:r>
      <w:r>
        <w:t xml:space="preserve"> fentanyl is well suited to managing pain due to its high potency, fast onset of action and short duration of action. </w:t>
      </w:r>
      <w:r w:rsidRPr="007442EB">
        <w:t xml:space="preserve">The median number of episodes </w:t>
      </w:r>
      <w:r>
        <w:t xml:space="preserve">of breakthrough pain </w:t>
      </w:r>
      <w:r w:rsidRPr="007442EB">
        <w:t>is 4 per day</w:t>
      </w:r>
      <w:r w:rsidR="00441EC2">
        <w:t>.</w:t>
      </w:r>
      <w:r w:rsidR="0026565F" w:rsidRPr="0026565F">
        <w:rPr>
          <w:vertAlign w:val="superscript"/>
        </w:rPr>
        <w:fldChar w:fldCharType="begin"/>
      </w:r>
      <w:r w:rsidR="0026565F" w:rsidRPr="0026565F">
        <w:rPr>
          <w:vertAlign w:val="superscript"/>
        </w:rPr>
        <w:instrText xml:space="preserve"> NOTEREF _Ref417460093 \h </w:instrText>
      </w:r>
      <w:r w:rsidR="0026565F">
        <w:rPr>
          <w:vertAlign w:val="superscript"/>
        </w:rPr>
        <w:instrText xml:space="preserve"> \* MERGEFORMAT </w:instrText>
      </w:r>
      <w:r w:rsidR="0026565F" w:rsidRPr="0026565F">
        <w:rPr>
          <w:vertAlign w:val="superscript"/>
        </w:rPr>
      </w:r>
      <w:r w:rsidR="0026565F" w:rsidRPr="0026565F">
        <w:rPr>
          <w:vertAlign w:val="superscript"/>
        </w:rPr>
        <w:fldChar w:fldCharType="separate"/>
      </w:r>
      <w:r w:rsidR="0030403C">
        <w:rPr>
          <w:vertAlign w:val="superscript"/>
        </w:rPr>
        <w:t>2</w:t>
      </w:r>
      <w:r w:rsidR="0026565F" w:rsidRPr="0026565F">
        <w:rPr>
          <w:vertAlign w:val="superscript"/>
        </w:rPr>
        <w:fldChar w:fldCharType="end"/>
      </w:r>
      <w:r w:rsidR="0026565F" w:rsidRPr="0026565F">
        <w:rPr>
          <w:rStyle w:val="FootnoteReference"/>
        </w:rPr>
        <w:t>,</w:t>
      </w:r>
      <w:r w:rsidR="0026565F" w:rsidRPr="0026565F">
        <w:rPr>
          <w:rStyle w:val="FootnoteReference"/>
        </w:rPr>
        <w:footnoteReference w:id="3"/>
      </w:r>
      <w:r w:rsidRPr="0026565F">
        <w:t xml:space="preserve"> Thus, breakthrough pain would normally</w:t>
      </w:r>
      <w:r>
        <w:t xml:space="preserve"> be adequately controlled with the proposed dosing schedule</w:t>
      </w:r>
      <w:r w:rsidRPr="00936758">
        <w:t>.</w:t>
      </w:r>
    </w:p>
    <w:p w:rsidR="007D4337" w:rsidRPr="00936758" w:rsidRDefault="007D4337" w:rsidP="00EB24E0">
      <w:pPr>
        <w:pStyle w:val="Heading4"/>
      </w:pPr>
      <w:r w:rsidRPr="00936758">
        <w:t>Secondary pharmacodynamics and safety pharmacology</w:t>
      </w:r>
    </w:p>
    <w:p w:rsidR="007D4337" w:rsidRPr="00687B73" w:rsidRDefault="007D4337" w:rsidP="00187359">
      <w:r>
        <w:t>Core safety pharmacology studies, all G</w:t>
      </w:r>
      <w:r w:rsidR="00881D57">
        <w:t>ood Laboratory Practice (G</w:t>
      </w:r>
      <w:r>
        <w:t>LP</w:t>
      </w:r>
      <w:r w:rsidR="00881D57">
        <w:t>)</w:t>
      </w:r>
      <w:r>
        <w:t xml:space="preserve"> compliant, were submitted: </w:t>
      </w:r>
      <w:r w:rsidR="00881D57">
        <w:t>central nervous system (</w:t>
      </w:r>
      <w:r w:rsidRPr="00374766">
        <w:t>CNS</w:t>
      </w:r>
      <w:r w:rsidR="00881D57" w:rsidRPr="00374766">
        <w:t>)</w:t>
      </w:r>
      <w:r w:rsidRPr="00374766">
        <w:t xml:space="preserve"> (Irwin test</w:t>
      </w:r>
      <w:r w:rsidR="00374766" w:rsidRPr="00374766">
        <w:rPr>
          <w:rStyle w:val="FootnoteReference"/>
        </w:rPr>
        <w:footnoteReference w:id="4"/>
      </w:r>
      <w:r w:rsidRPr="00374766">
        <w:t>) and respiratory</w:t>
      </w:r>
      <w:r>
        <w:t xml:space="preserve"> studies in rats, and </w:t>
      </w:r>
      <w:r>
        <w:lastRenderedPageBreak/>
        <w:t xml:space="preserve">a cardiovascular study in conscious telemetered dogs. In the Irwin test in rats, CNS effects were observed at all doses (≥0.003 mg/kg </w:t>
      </w:r>
      <w:r w:rsidR="00881D57">
        <w:t>subcutaneously (</w:t>
      </w:r>
      <w:r>
        <w:t>SC</w:t>
      </w:r>
      <w:r w:rsidR="00881D57">
        <w:t>)</w:t>
      </w:r>
      <w:r>
        <w:t xml:space="preserve">), but mainly at the </w:t>
      </w:r>
      <w:r w:rsidR="00881D57">
        <w:t>high dose (</w:t>
      </w:r>
      <w:r>
        <w:t>HD</w:t>
      </w:r>
      <w:r w:rsidR="00881D57">
        <w:t>)</w:t>
      </w:r>
      <w:r>
        <w:t xml:space="preserve"> (0.3 mg/kg) which elicited generalised CNS depression (</w:t>
      </w:r>
      <w:r w:rsidR="00881D57">
        <w:t>such as</w:t>
      </w:r>
      <w:r>
        <w:t xml:space="preserve"> catalepsy, decreased alertness, motor activity, touch and startle responses, fearfulness, body tone, grip strength and reflexes,</w:t>
      </w:r>
      <w:r w:rsidRPr="00662853">
        <w:t xml:space="preserve"> </w:t>
      </w:r>
      <w:r>
        <w:t xml:space="preserve">and slowed respiration) and a reduction in body temperature. CNS clinical signs were also a consistent feature of the toxicity studies. In the respiratory study which examined the effects of fentanyl on respiration rate and tidal volume in rats, doses of 0.003 and 0.03 mg/kg SC were without effect but 0.3 mg/kg SC significantly reduced both parameters. CNS clinical signs and respiratory depression are known effects of fentanyl and are consistent with an exaggerated </w:t>
      </w:r>
      <w:r w:rsidRPr="00687B73">
        <w:t xml:space="preserve">pharmacological </w:t>
      </w:r>
      <w:r>
        <w:t>response</w:t>
      </w:r>
      <w:r w:rsidRPr="00687B73">
        <w:t xml:space="preserve">. Assuming comparable bioavailability of the SC dose in rats and the effervescent tablet in humans, the 0.3 mg/kg dose in rats </w:t>
      </w:r>
      <w:r>
        <w:t>(</w:t>
      </w:r>
      <w:r w:rsidRPr="00687B73">
        <w:t>1.8 mg/m</w:t>
      </w:r>
      <w:r w:rsidRPr="00687B73">
        <w:rPr>
          <w:vertAlign w:val="superscript"/>
        </w:rPr>
        <w:t>2</w:t>
      </w:r>
      <w:r>
        <w:t>; 1.1 mg/m</w:t>
      </w:r>
      <w:r w:rsidRPr="00136513">
        <w:rPr>
          <w:vertAlign w:val="superscript"/>
        </w:rPr>
        <w:t>2</w:t>
      </w:r>
      <w:r>
        <w:t xml:space="preserve"> base) </w:t>
      </w:r>
      <w:r w:rsidRPr="00136513">
        <w:t xml:space="preserve">is 2.7 fold </w:t>
      </w:r>
      <w:r w:rsidRPr="00687B73">
        <w:t xml:space="preserve">the maximum human dose of 11.4 µg/kg (800/70) </w:t>
      </w:r>
      <w:r>
        <w:t>(</w:t>
      </w:r>
      <w:r w:rsidRPr="00687B73">
        <w:t>0.42 mg/m</w:t>
      </w:r>
      <w:r w:rsidRPr="00687B73">
        <w:rPr>
          <w:vertAlign w:val="superscript"/>
        </w:rPr>
        <w:t>2</w:t>
      </w:r>
      <w:r>
        <w:t xml:space="preserve">), while the 0.03 mg/kg dose </w:t>
      </w:r>
      <w:r w:rsidRPr="00136513">
        <w:t xml:space="preserve">in rats is 0.3 fold the </w:t>
      </w:r>
      <w:r w:rsidRPr="00687B73">
        <w:t>maximum human dose</w:t>
      </w:r>
      <w:r>
        <w:t>.</w:t>
      </w:r>
    </w:p>
    <w:p w:rsidR="007D4337" w:rsidRPr="00687B73" w:rsidRDefault="007D4337" w:rsidP="00EB24E0">
      <w:r w:rsidRPr="00374766">
        <w:t xml:space="preserve">In the cardiovascular study in dogs, significant reductions in </w:t>
      </w:r>
      <w:r w:rsidR="00881D57" w:rsidRPr="00374766">
        <w:t>heart rate (</w:t>
      </w:r>
      <w:r w:rsidRPr="00374766">
        <w:t>HR</w:t>
      </w:r>
      <w:r w:rsidR="00881D57" w:rsidRPr="00374766">
        <w:t>)</w:t>
      </w:r>
      <w:r w:rsidRPr="00374766">
        <w:t xml:space="preserve"> and associated increases in PR, RR and QT intervals and QRS duration</w:t>
      </w:r>
      <w:r w:rsidR="00374766" w:rsidRPr="00374766">
        <w:rPr>
          <w:rStyle w:val="FootnoteReference"/>
        </w:rPr>
        <w:footnoteReference w:id="5"/>
      </w:r>
      <w:r w:rsidRPr="00374766">
        <w:t xml:space="preserve"> were observed at some time points following a dose of 0.01 mg/kg SC (QTcF and QTcQ were not significantly</w:t>
      </w:r>
      <w:r>
        <w:t xml:space="preserve"> changed</w:t>
      </w:r>
      <w:r w:rsidR="00374766">
        <w:rPr>
          <w:rStyle w:val="FootnoteReference"/>
        </w:rPr>
        <w:footnoteReference w:id="6"/>
      </w:r>
      <w:r>
        <w:t xml:space="preserve">). At 0.05 mg/kg, similar findings were observed, but additionally QTcF and QTcQ were both significantly increased at 120 min post dose and significant increases in systolic and mean arterial blood pressure were observed. </w:t>
      </w:r>
      <w:r w:rsidRPr="00EE144F">
        <w:t>Decrease</w:t>
      </w:r>
      <w:r>
        <w:t xml:space="preserve">d </w:t>
      </w:r>
      <w:r w:rsidRPr="00EE144F">
        <w:t xml:space="preserve">heart </w:t>
      </w:r>
      <w:r w:rsidRPr="004F1683">
        <w:t xml:space="preserve">rate </w:t>
      </w:r>
      <w:r>
        <w:t>is</w:t>
      </w:r>
      <w:r w:rsidRPr="004F1683">
        <w:t xml:space="preserve"> a known effect of fentanyl in do</w:t>
      </w:r>
      <w:r w:rsidRPr="00EE144F">
        <w:t>gs</w:t>
      </w:r>
      <w:bookmarkStart w:id="46" w:name="_Ref416020742"/>
      <w:r w:rsidR="00DC4CD2">
        <w:rPr>
          <w:rStyle w:val="FootnoteReference"/>
        </w:rPr>
        <w:footnoteReference w:id="7"/>
      </w:r>
      <w:bookmarkEnd w:id="46"/>
      <w:r w:rsidR="00F041B6" w:rsidRPr="00F041B6">
        <w:rPr>
          <w:vertAlign w:val="superscript"/>
        </w:rPr>
        <w:t>,</w:t>
      </w:r>
      <w:bookmarkStart w:id="47" w:name="_Ref416020754"/>
      <w:r w:rsidR="00F041B6" w:rsidRPr="00F041B6">
        <w:rPr>
          <w:rStyle w:val="FootnoteReference"/>
        </w:rPr>
        <w:footnoteReference w:id="8"/>
      </w:r>
      <w:bookmarkEnd w:id="47"/>
      <w:r w:rsidR="00441EC2">
        <w:rPr>
          <w:vertAlign w:val="superscript"/>
        </w:rPr>
        <w:t>,</w:t>
      </w:r>
      <w:r w:rsidR="00F041B6" w:rsidRPr="00F041B6">
        <w:rPr>
          <w:rStyle w:val="FootnoteReference"/>
        </w:rPr>
        <w:footnoteReference w:id="9"/>
      </w:r>
      <w:r w:rsidR="00F041B6" w:rsidRPr="00F041B6">
        <w:rPr>
          <w:vertAlign w:val="superscript"/>
        </w:rPr>
        <w:t>,</w:t>
      </w:r>
      <w:bookmarkStart w:id="48" w:name="_Ref416020761"/>
      <w:r w:rsidR="00F041B6">
        <w:rPr>
          <w:rStyle w:val="FootnoteReference"/>
        </w:rPr>
        <w:footnoteReference w:id="10"/>
      </w:r>
      <w:bookmarkEnd w:id="48"/>
      <w:r>
        <w:t xml:space="preserve"> and fentanyl is known to have the potential to cause bradycardia clinically. L</w:t>
      </w:r>
      <w:r w:rsidRPr="00EE144F">
        <w:t>iterature studies have generally reported decreases in blood pressure</w:t>
      </w:r>
      <w:r w:rsidR="00F041B6" w:rsidRPr="00F041B6">
        <w:rPr>
          <w:vertAlign w:val="superscript"/>
        </w:rPr>
        <w:fldChar w:fldCharType="begin"/>
      </w:r>
      <w:r w:rsidR="00F041B6" w:rsidRPr="00F041B6">
        <w:rPr>
          <w:vertAlign w:val="superscript"/>
        </w:rPr>
        <w:instrText xml:space="preserve"> NOTEREF _Ref416020742 \h </w:instrText>
      </w:r>
      <w:r w:rsidR="00F041B6">
        <w:rPr>
          <w:vertAlign w:val="superscript"/>
        </w:rPr>
        <w:instrText xml:space="preserve"> \* MERGEFORMAT </w:instrText>
      </w:r>
      <w:r w:rsidR="00F041B6" w:rsidRPr="00F041B6">
        <w:rPr>
          <w:vertAlign w:val="superscript"/>
        </w:rPr>
      </w:r>
      <w:r w:rsidR="00F041B6" w:rsidRPr="00F041B6">
        <w:rPr>
          <w:vertAlign w:val="superscript"/>
        </w:rPr>
        <w:fldChar w:fldCharType="separate"/>
      </w:r>
      <w:r w:rsidR="0030403C">
        <w:rPr>
          <w:vertAlign w:val="superscript"/>
        </w:rPr>
        <w:t>7</w:t>
      </w:r>
      <w:r w:rsidR="00F041B6" w:rsidRPr="00F041B6">
        <w:rPr>
          <w:vertAlign w:val="superscript"/>
        </w:rPr>
        <w:fldChar w:fldCharType="end"/>
      </w:r>
      <w:proofErr w:type="gramStart"/>
      <w:r w:rsidR="00F041B6" w:rsidRPr="00F041B6">
        <w:rPr>
          <w:vertAlign w:val="superscript"/>
        </w:rPr>
        <w:t>,</w:t>
      </w:r>
      <w:proofErr w:type="gramEnd"/>
      <w:r w:rsidR="00F041B6" w:rsidRPr="00F041B6">
        <w:rPr>
          <w:vertAlign w:val="superscript"/>
        </w:rPr>
        <w:fldChar w:fldCharType="begin"/>
      </w:r>
      <w:r w:rsidR="00F041B6" w:rsidRPr="00F041B6">
        <w:rPr>
          <w:vertAlign w:val="superscript"/>
        </w:rPr>
        <w:instrText xml:space="preserve"> NOTEREF _Ref416020754 \h </w:instrText>
      </w:r>
      <w:r w:rsidR="00F041B6">
        <w:rPr>
          <w:vertAlign w:val="superscript"/>
        </w:rPr>
        <w:instrText xml:space="preserve"> \* MERGEFORMAT </w:instrText>
      </w:r>
      <w:r w:rsidR="00F041B6" w:rsidRPr="00F041B6">
        <w:rPr>
          <w:vertAlign w:val="superscript"/>
        </w:rPr>
      </w:r>
      <w:r w:rsidR="00F041B6" w:rsidRPr="00F041B6">
        <w:rPr>
          <w:vertAlign w:val="superscript"/>
        </w:rPr>
        <w:fldChar w:fldCharType="separate"/>
      </w:r>
      <w:r w:rsidR="0030403C">
        <w:rPr>
          <w:vertAlign w:val="superscript"/>
        </w:rPr>
        <w:t>8</w:t>
      </w:r>
      <w:r w:rsidR="00F041B6" w:rsidRPr="00F041B6">
        <w:rPr>
          <w:vertAlign w:val="superscript"/>
        </w:rPr>
        <w:fldChar w:fldCharType="end"/>
      </w:r>
      <w:r w:rsidR="00F041B6" w:rsidRPr="00F041B6">
        <w:rPr>
          <w:vertAlign w:val="superscript"/>
        </w:rPr>
        <w:t>,</w:t>
      </w:r>
      <w:r w:rsidR="00F041B6" w:rsidRPr="00F041B6">
        <w:rPr>
          <w:vertAlign w:val="superscript"/>
        </w:rPr>
        <w:fldChar w:fldCharType="begin"/>
      </w:r>
      <w:r w:rsidR="00F041B6" w:rsidRPr="00F041B6">
        <w:rPr>
          <w:vertAlign w:val="superscript"/>
        </w:rPr>
        <w:instrText xml:space="preserve"> NOTEREF _Ref416020761 \h </w:instrText>
      </w:r>
      <w:r w:rsidR="00F041B6">
        <w:rPr>
          <w:vertAlign w:val="superscript"/>
        </w:rPr>
        <w:instrText xml:space="preserve"> \* MERGEFORMAT </w:instrText>
      </w:r>
      <w:r w:rsidR="00F041B6" w:rsidRPr="00F041B6">
        <w:rPr>
          <w:vertAlign w:val="superscript"/>
        </w:rPr>
      </w:r>
      <w:r w:rsidR="00F041B6" w:rsidRPr="00F041B6">
        <w:rPr>
          <w:vertAlign w:val="superscript"/>
        </w:rPr>
        <w:fldChar w:fldCharType="separate"/>
      </w:r>
      <w:r w:rsidR="0030403C">
        <w:rPr>
          <w:vertAlign w:val="superscript"/>
        </w:rPr>
        <w:t>10</w:t>
      </w:r>
      <w:r w:rsidR="00F041B6" w:rsidRPr="00F041B6">
        <w:rPr>
          <w:vertAlign w:val="superscript"/>
        </w:rPr>
        <w:fldChar w:fldCharType="end"/>
      </w:r>
      <w:r w:rsidR="00F041B6">
        <w:t xml:space="preserve"> </w:t>
      </w:r>
      <w:r>
        <w:t>and fentanyl is known to have the potential to cause hypotension</w:t>
      </w:r>
      <w:r w:rsidRPr="00EE144F">
        <w:t xml:space="preserve">. </w:t>
      </w:r>
      <w:r w:rsidRPr="004819AB">
        <w:t>Decreased HR was observed at 0.2 mg/m</w:t>
      </w:r>
      <w:r w:rsidRPr="004819AB">
        <w:rPr>
          <w:vertAlign w:val="superscript"/>
        </w:rPr>
        <w:t>2</w:t>
      </w:r>
      <w:r>
        <w:t xml:space="preserve">, </w:t>
      </w:r>
      <w:r w:rsidRPr="004819AB">
        <w:t>below the maximum human dose of 0.42 mg/m</w:t>
      </w:r>
      <w:r w:rsidRPr="004819AB">
        <w:rPr>
          <w:vertAlign w:val="superscript"/>
        </w:rPr>
        <w:t>2</w:t>
      </w:r>
      <w:r w:rsidRPr="004819AB">
        <w:t>. QTcF and QTcQ increases (only at one time point) were observed at 1 mg/m</w:t>
      </w:r>
      <w:r w:rsidRPr="004819AB">
        <w:rPr>
          <w:vertAlign w:val="superscript"/>
        </w:rPr>
        <w:t>2</w:t>
      </w:r>
      <w:r>
        <w:t xml:space="preserve">, </w:t>
      </w:r>
      <w:r w:rsidRPr="004819AB">
        <w:t xml:space="preserve">giving a margin of safety of </w:t>
      </w:r>
      <w:r w:rsidR="0018579F">
        <w:t>2.5.</w:t>
      </w:r>
    </w:p>
    <w:p w:rsidR="007D4337" w:rsidRPr="00007D43" w:rsidRDefault="007D4337" w:rsidP="00EB24E0">
      <w:pPr>
        <w:rPr>
          <w:rFonts w:asciiTheme="minorHAnsi" w:hAnsiTheme="minorHAnsi"/>
        </w:rPr>
      </w:pPr>
      <w:r w:rsidRPr="0042795E">
        <w:t>F</w:t>
      </w:r>
      <w:r>
        <w:rPr>
          <w:kern w:val="2"/>
        </w:rPr>
        <w:t xml:space="preserve">entanyl and </w:t>
      </w:r>
      <w:r w:rsidRPr="0042795E">
        <w:rPr>
          <w:kern w:val="2"/>
        </w:rPr>
        <w:t xml:space="preserve">other </w:t>
      </w:r>
      <w:r w:rsidRPr="0042795E">
        <w:t>µ-receptor agonis</w:t>
      </w:r>
      <w:r>
        <w:t>ts are also known to dose-dependently</w:t>
      </w:r>
      <w:r w:rsidRPr="0042795E">
        <w:t xml:space="preserve"> </w:t>
      </w:r>
      <w:r>
        <w:t>increase</w:t>
      </w:r>
      <w:r w:rsidRPr="0042795E">
        <w:t xml:space="preserve"> the tone and decrease the contractions of the gastrointestinal smooth muscle, which results in prolongation of gastrointestinal transit time and </w:t>
      </w:r>
      <w:r w:rsidRPr="00007D43">
        <w:rPr>
          <w:rFonts w:asciiTheme="minorHAnsi" w:hAnsiTheme="minorHAnsi"/>
        </w:rPr>
        <w:t>constipation</w:t>
      </w:r>
      <w:r w:rsidR="00E61C8A">
        <w:rPr>
          <w:rFonts w:asciiTheme="minorHAnsi" w:hAnsiTheme="minorHAnsi"/>
        </w:rPr>
        <w:t>.</w:t>
      </w:r>
      <w:r w:rsidR="00E61C8A">
        <w:rPr>
          <w:rStyle w:val="FootnoteReference"/>
          <w:rFonts w:asciiTheme="minorHAnsi" w:hAnsiTheme="minorHAnsi"/>
        </w:rPr>
        <w:footnoteReference w:id="11"/>
      </w:r>
    </w:p>
    <w:p w:rsidR="008E7846" w:rsidRPr="00881D57" w:rsidRDefault="008E7846" w:rsidP="00EB24E0">
      <w:pPr>
        <w:pStyle w:val="Heading3"/>
      </w:pPr>
      <w:bookmarkStart w:id="49" w:name="_Toc247691513"/>
      <w:bookmarkStart w:id="50" w:name="_Toc314842497"/>
      <w:bookmarkStart w:id="51" w:name="_Toc420586658"/>
      <w:r>
        <w:t>Pharmacokinetics</w:t>
      </w:r>
      <w:bookmarkEnd w:id="49"/>
      <w:bookmarkEnd w:id="50"/>
      <w:bookmarkEnd w:id="51"/>
    </w:p>
    <w:p w:rsidR="007D4337" w:rsidRPr="00152356" w:rsidRDefault="007D4337" w:rsidP="00187359">
      <w:bookmarkStart w:id="52" w:name="_Toc247691514"/>
      <w:bookmarkStart w:id="53" w:name="_Toc314842498"/>
      <w:r>
        <w:t xml:space="preserve">Fentanyl is highly lipophilic and can be absorbed very rapidly through the oral mucosa and more slowly by the conventional gastrointestinal route. It is subject to extensive first-pass hepatic and intestinal metabolism and the metabolites make little or no contribution </w:t>
      </w:r>
      <w:r>
        <w:lastRenderedPageBreak/>
        <w:t xml:space="preserve">to fentanyl’s therapeutic effects. Following administration of </w:t>
      </w:r>
      <w:r w:rsidRPr="00881D57">
        <w:t>Fentora</w:t>
      </w:r>
      <w:r>
        <w:t xml:space="preserve">, fentanyl is rapidly absorbed, with a </w:t>
      </w:r>
      <w:r w:rsidR="00881D57">
        <w:t>time to peak plasma concentration (</w:t>
      </w:r>
      <w:r>
        <w:t>T</w:t>
      </w:r>
      <w:r w:rsidRPr="00DC0C8B">
        <w:rPr>
          <w:vertAlign w:val="subscript"/>
        </w:rPr>
        <w:t>max</w:t>
      </w:r>
      <w:r w:rsidR="00881D57">
        <w:t xml:space="preserve">) </w:t>
      </w:r>
      <w:r>
        <w:t xml:space="preserve">of </w:t>
      </w:r>
      <w:r w:rsidR="00881D57">
        <w:t xml:space="preserve">approximately </w:t>
      </w:r>
      <w:r>
        <w:t>50 min in the fasted state, and</w:t>
      </w:r>
      <w:r w:rsidRPr="00182D34">
        <w:t xml:space="preserve"> plasma concentrations reach</w:t>
      </w:r>
      <w:r>
        <w:t>ing</w:t>
      </w:r>
      <w:r w:rsidRPr="00182D34">
        <w:t xml:space="preserve"> 80% of the </w:t>
      </w:r>
      <w:r w:rsidR="00881D57">
        <w:t>peak plasma concentration (</w:t>
      </w:r>
      <w:r w:rsidRPr="00182D34">
        <w:t>C</w:t>
      </w:r>
      <w:r w:rsidRPr="00182D34">
        <w:rPr>
          <w:vertAlign w:val="subscript"/>
        </w:rPr>
        <w:t>max</w:t>
      </w:r>
      <w:r w:rsidR="00881D57">
        <w:t>)</w:t>
      </w:r>
      <w:r>
        <w:t xml:space="preserve"> </w:t>
      </w:r>
      <w:r w:rsidRPr="00182D34">
        <w:t>within 25 min</w:t>
      </w:r>
      <w:r>
        <w:t xml:space="preserve">. Rapid buccal absorption minimises the proportion of the drug that is swallowed and therefore minimises the first pass effect observed after oral administration. A larger proportion of the fentanyl dose is buccally absorbed after the administration of </w:t>
      </w:r>
      <w:r w:rsidRPr="00483B0C">
        <w:t>Fentora</w:t>
      </w:r>
      <w:r>
        <w:t xml:space="preserve"> than after the administration of </w:t>
      </w:r>
      <w:r w:rsidRPr="00483B0C">
        <w:t>Actiq</w:t>
      </w:r>
      <w:r w:rsidRPr="00F02554">
        <w:rPr>
          <w:vertAlign w:val="superscript"/>
        </w:rPr>
        <w:t>®</w:t>
      </w:r>
      <w:r>
        <w:t xml:space="preserve">, resulting in a higher absolute bioavailability for the </w:t>
      </w:r>
      <w:r w:rsidRPr="00483B0C">
        <w:t>Fentora</w:t>
      </w:r>
      <w:r>
        <w:rPr>
          <w:vertAlign w:val="superscript"/>
        </w:rPr>
        <w:t xml:space="preserve"> </w:t>
      </w:r>
      <w:r>
        <w:t xml:space="preserve">formulation (65% </w:t>
      </w:r>
      <w:r w:rsidR="00483B0C">
        <w:t>comp</w:t>
      </w:r>
      <w:r w:rsidR="00C66D67">
        <w:t>a</w:t>
      </w:r>
      <w:r w:rsidR="00483B0C">
        <w:t>red to</w:t>
      </w:r>
      <w:r>
        <w:t xml:space="preserve"> 50%). Thus, the </w:t>
      </w:r>
      <w:r w:rsidRPr="00483B0C">
        <w:t>Fentora</w:t>
      </w:r>
      <w:r>
        <w:t xml:space="preserve"> formulation has pharmacokinetic advantages over the currently registered </w:t>
      </w:r>
      <w:r w:rsidRPr="00483B0C">
        <w:t>Actiq</w:t>
      </w:r>
      <w:r w:rsidRPr="00F02554">
        <w:rPr>
          <w:vertAlign w:val="superscript"/>
        </w:rPr>
        <w:t>®</w:t>
      </w:r>
      <w:r>
        <w:t xml:space="preserve"> formulation for the treatment of breakthrough pain.</w:t>
      </w:r>
    </w:p>
    <w:p w:rsidR="007D4337" w:rsidRDefault="007D4337" w:rsidP="00EB24E0">
      <w:r w:rsidRPr="00EB6209">
        <w:t xml:space="preserve">According to the </w:t>
      </w:r>
      <w:r w:rsidRPr="00483B0C">
        <w:t>Actiq</w:t>
      </w:r>
      <w:r w:rsidRPr="00EB6209">
        <w:rPr>
          <w:vertAlign w:val="superscript"/>
        </w:rPr>
        <w:t>®</w:t>
      </w:r>
      <w:r w:rsidRPr="00EB6209">
        <w:t xml:space="preserve"> PI, C</w:t>
      </w:r>
      <w:r w:rsidRPr="00EB6209">
        <w:rPr>
          <w:vertAlign w:val="subscript"/>
        </w:rPr>
        <w:t>max</w:t>
      </w:r>
      <w:r w:rsidRPr="00EB6209">
        <w:t xml:space="preserve"> ranges from 0.39 </w:t>
      </w:r>
      <w:proofErr w:type="gramStart"/>
      <w:r w:rsidRPr="00EB6209">
        <w:t>to 2.51 ng/mL in healthy adult subjects</w:t>
      </w:r>
      <w:proofErr w:type="gramEnd"/>
      <w:r w:rsidRPr="00EB6209">
        <w:t xml:space="preserve"> after administration of </w:t>
      </w:r>
      <w:r w:rsidRPr="00483B0C">
        <w:t>Actiq</w:t>
      </w:r>
      <w:r w:rsidRPr="00EB6209">
        <w:rPr>
          <w:vertAlign w:val="superscript"/>
        </w:rPr>
        <w:t>®</w:t>
      </w:r>
      <w:r w:rsidRPr="00EB6209">
        <w:t xml:space="preserve"> (200 µg to 1600 µg). C</w:t>
      </w:r>
      <w:r w:rsidRPr="00EB6209">
        <w:rPr>
          <w:vertAlign w:val="subscript"/>
        </w:rPr>
        <w:t>max</w:t>
      </w:r>
      <w:r w:rsidRPr="00EB6209">
        <w:t xml:space="preserve"> values following administration of </w:t>
      </w:r>
      <w:r w:rsidRPr="00483B0C">
        <w:t>Fentora</w:t>
      </w:r>
      <w:r w:rsidRPr="00EB6209">
        <w:t xml:space="preserve"> (100 µg to 800 µg) were 0.25 to 1.59 ng/mL (Study </w:t>
      </w:r>
      <w:r>
        <w:t>C25608/1027/PK/US</w:t>
      </w:r>
      <w:r w:rsidRPr="00EB6209">
        <w:t xml:space="preserve">), below those for </w:t>
      </w:r>
      <w:r w:rsidRPr="00483B0C">
        <w:t>Actiq</w:t>
      </w:r>
      <w:r w:rsidRPr="00EB6209">
        <w:rPr>
          <w:vertAlign w:val="superscript"/>
        </w:rPr>
        <w:t>®</w:t>
      </w:r>
      <w:r w:rsidRPr="00EB6209">
        <w:t>.</w:t>
      </w:r>
      <w:r>
        <w:t xml:space="preserve"> An AUC of 898 ng.min/mL (</w:t>
      </w:r>
      <w:r w:rsidR="00483B0C">
        <w:t xml:space="preserve">approximately </w:t>
      </w:r>
      <w:r>
        <w:t>14.97</w:t>
      </w:r>
      <w:r w:rsidRPr="00EB6209">
        <w:t xml:space="preserve"> ng.h/mL) was observed for a dose of </w:t>
      </w:r>
      <w:r w:rsidRPr="00483B0C">
        <w:t>Actiq</w:t>
      </w:r>
      <w:r w:rsidRPr="00EB6209">
        <w:rPr>
          <w:vertAlign w:val="superscript"/>
        </w:rPr>
        <w:t>®</w:t>
      </w:r>
      <w:r w:rsidRPr="00EB6209">
        <w:t xml:space="preserve"> in the range 1023</w:t>
      </w:r>
      <w:r w:rsidR="00483B0C">
        <w:t xml:space="preserve"> to </w:t>
      </w:r>
      <w:r w:rsidRPr="00EB6209">
        <w:t xml:space="preserve">1275 </w:t>
      </w:r>
      <w:r w:rsidRPr="00091D84">
        <w:t>µg, so a dose of 1600 µg might be expected to result in an AUC of about 10.4 ng.h/mL which is above the AUC</w:t>
      </w:r>
      <w:r w:rsidRPr="00091D84">
        <w:rPr>
          <w:vertAlign w:val="subscript"/>
        </w:rPr>
        <w:t>0</w:t>
      </w:r>
      <w:r w:rsidR="00483B0C">
        <w:rPr>
          <w:vertAlign w:val="subscript"/>
        </w:rPr>
        <w:noBreakHyphen/>
      </w:r>
      <w:r w:rsidRPr="00091D84">
        <w:rPr>
          <w:vertAlign w:val="subscript"/>
        </w:rPr>
        <w:t>∞</w:t>
      </w:r>
      <w:r w:rsidRPr="00091D84">
        <w:t xml:space="preserve"> of </w:t>
      </w:r>
      <w:r w:rsidRPr="00091D84">
        <w:rPr>
          <w:szCs w:val="18"/>
        </w:rPr>
        <w:t xml:space="preserve">9.05 ng.h/mL observed in Study </w:t>
      </w:r>
      <w:r w:rsidRPr="00091D84">
        <w:t>C25608/1027/PK/US</w:t>
      </w:r>
      <w:r w:rsidRPr="00091D84">
        <w:rPr>
          <w:szCs w:val="18"/>
        </w:rPr>
        <w:t xml:space="preserve"> following a dose of 800 µg </w:t>
      </w:r>
      <w:r w:rsidRPr="00483B0C">
        <w:t>Fentora</w:t>
      </w:r>
      <w:r w:rsidRPr="00091D84">
        <w:t xml:space="preserve"> base</w:t>
      </w:r>
      <w:r>
        <w:t xml:space="preserve"> or</w:t>
      </w:r>
      <w:r w:rsidRPr="00091D84">
        <w:t xml:space="preserve"> the estimated 15.2 ng.h/mL based on twice the AUC</w:t>
      </w:r>
      <w:r w:rsidRPr="00091D84">
        <w:rPr>
          <w:vertAlign w:val="subscript"/>
        </w:rPr>
        <w:t>0-τ</w:t>
      </w:r>
      <w:r w:rsidRPr="00091D84">
        <w:t xml:space="preserve"> of 7.59 ng.h/mL</w:t>
      </w:r>
      <w:r w:rsidRPr="00D458B9">
        <w:t xml:space="preserve"> observed following administ</w:t>
      </w:r>
      <w:r>
        <w:t xml:space="preserve">ration of multiple doses of 400 </w:t>
      </w:r>
      <w:r w:rsidRPr="00D458B9">
        <w:t xml:space="preserve">µg </w:t>
      </w:r>
      <w:r w:rsidRPr="00483B0C">
        <w:t>Fentora</w:t>
      </w:r>
      <w:r w:rsidRPr="00D458B9">
        <w:t xml:space="preserve"> base in Study </w:t>
      </w:r>
      <w:r>
        <w:t>C25608/1029/PK/US</w:t>
      </w:r>
      <w:r w:rsidRPr="00D458B9">
        <w:t xml:space="preserve"> (note that dose proportionality across the available range of dosages </w:t>
      </w:r>
      <w:r>
        <w:t xml:space="preserve">over the range </w:t>
      </w:r>
      <w:r w:rsidRPr="00D458B9">
        <w:t xml:space="preserve">100 </w:t>
      </w:r>
      <w:r w:rsidR="00483B0C">
        <w:t>to</w:t>
      </w:r>
      <w:r w:rsidR="00281C4E">
        <w:t xml:space="preserve"> </w:t>
      </w:r>
      <w:r w:rsidRPr="00D458B9">
        <w:t xml:space="preserve">800 µg of </w:t>
      </w:r>
      <w:r w:rsidRPr="00483B0C">
        <w:t>Fentora</w:t>
      </w:r>
      <w:r w:rsidRPr="00D458B9">
        <w:t xml:space="preserve"> has</w:t>
      </w:r>
      <w:r>
        <w:t xml:space="preserve"> been demonstrated</w:t>
      </w:r>
      <w:r w:rsidRPr="00D458B9">
        <w:t>).</w:t>
      </w:r>
    </w:p>
    <w:p w:rsidR="007D4337" w:rsidRDefault="007D4337" w:rsidP="00EB24E0">
      <w:r>
        <w:t>Submitted toxicokinetic data (carcinogenicity range-finding studies,</w:t>
      </w:r>
      <w:r w:rsidRPr="00016312">
        <w:t xml:space="preserve"> </w:t>
      </w:r>
      <w:r>
        <w:t>carcinogenicity studies and reproductive toxicity studies) suggested broadly dose-proportional increases in plasma fentanyl concentrations and AUC values (mice, rats and rabbits). There was no consistent evidence of a gender difference in plasma fentanyl concentrations/AUC values. In general, there was little evidence of accumulation with repeated dosing over time.</w:t>
      </w:r>
    </w:p>
    <w:p w:rsidR="007D4337" w:rsidRDefault="007D4337" w:rsidP="00EB24E0">
      <w:r>
        <w:t>Evidence from incubation of human liver microsomes with specific CYP inhibitors, from correlation analyses of norfentanyl formation rates with CYP activities in individual human liver microsomes, and from incubations with individual recombinant human CYP isozymes all</w:t>
      </w:r>
      <w:r w:rsidRPr="00F301D5">
        <w:t xml:space="preserve"> suggested that </w:t>
      </w:r>
      <w:r>
        <w:t xml:space="preserve">CYP3A4 </w:t>
      </w:r>
      <w:r w:rsidRPr="00F301D5">
        <w:t xml:space="preserve">is </w:t>
      </w:r>
      <w:r>
        <w:t>the main isozyme</w:t>
      </w:r>
      <w:r w:rsidRPr="00F301D5">
        <w:t xml:space="preserve"> catalysing the formation of norfentanyl from fentanyl</w:t>
      </w:r>
      <w:r>
        <w:t>, with little, if any, contribution from other CYP isozymes.</w:t>
      </w:r>
    </w:p>
    <w:p w:rsidR="001B5C90" w:rsidRDefault="008E7846" w:rsidP="00187359">
      <w:pPr>
        <w:pStyle w:val="Heading3"/>
      </w:pPr>
      <w:bookmarkStart w:id="54" w:name="_Toc420586659"/>
      <w:r w:rsidRPr="00187359">
        <w:t>Toxicology</w:t>
      </w:r>
      <w:bookmarkEnd w:id="52"/>
      <w:bookmarkEnd w:id="53"/>
      <w:bookmarkEnd w:id="54"/>
    </w:p>
    <w:p w:rsidR="007D4337" w:rsidRDefault="007D4337" w:rsidP="00EB24E0">
      <w:pPr>
        <w:pStyle w:val="Heading4"/>
      </w:pPr>
      <w:bookmarkStart w:id="55" w:name="_Toc294861727"/>
      <w:r w:rsidRPr="001258AE">
        <w:t>Acute toxicity</w:t>
      </w:r>
      <w:bookmarkEnd w:id="55"/>
    </w:p>
    <w:p w:rsidR="007D4337" w:rsidRDefault="00483B0C" w:rsidP="00EB24E0">
      <w:r>
        <w:t>Fifty percent lethal dose (</w:t>
      </w:r>
      <w:r w:rsidR="007D4337">
        <w:t>LD</w:t>
      </w:r>
      <w:r w:rsidR="007D4337" w:rsidRPr="009621C8">
        <w:rPr>
          <w:vertAlign w:val="subscript"/>
        </w:rPr>
        <w:t>50</w:t>
      </w:r>
      <w:r>
        <w:t xml:space="preserve">) </w:t>
      </w:r>
      <w:r w:rsidR="007D4337">
        <w:t>values have been estimated in a number of species using a number of routes (in studies not submitted with this application), although oral LD</w:t>
      </w:r>
      <w:r w:rsidR="007D4337" w:rsidRPr="009621C8">
        <w:rPr>
          <w:vertAlign w:val="subscript"/>
        </w:rPr>
        <w:t>50</w:t>
      </w:r>
      <w:r w:rsidR="007D4337">
        <w:t xml:space="preserve"> values were estimated only in mice and rats (120 and 18 mg/kg, </w:t>
      </w:r>
      <w:r w:rsidR="007D4337" w:rsidRPr="007B5DC7">
        <w:t xml:space="preserve">respectively). These </w:t>
      </w:r>
      <w:r w:rsidR="007D4337">
        <w:t xml:space="preserve">values suggest that fentanyl is of moderate to low acute toxicity. </w:t>
      </w:r>
      <w:r w:rsidR="007D4337" w:rsidRPr="007B5DC7">
        <w:t>Respiratory depression</w:t>
      </w:r>
      <w:r w:rsidR="007D4337">
        <w:t xml:space="preserve"> was an important </w:t>
      </w:r>
      <w:r w:rsidR="0018579F">
        <w:t>cause of deaths.</w:t>
      </w:r>
    </w:p>
    <w:p w:rsidR="007D4337" w:rsidRDefault="007D4337" w:rsidP="00EB24E0">
      <w:pPr>
        <w:pStyle w:val="Heading4"/>
      </w:pPr>
      <w:bookmarkStart w:id="56" w:name="_Toc294861728"/>
      <w:r w:rsidRPr="001258AE">
        <w:t>Repeat-dose toxicity</w:t>
      </w:r>
      <w:bookmarkEnd w:id="56"/>
    </w:p>
    <w:p w:rsidR="007D4337" w:rsidRPr="00533639" w:rsidRDefault="007D4337" w:rsidP="00EB24E0">
      <w:r w:rsidRPr="00533639">
        <w:t>The repeat dose toxicity studies submitted (4</w:t>
      </w:r>
      <w:r w:rsidR="00483B0C">
        <w:t xml:space="preserve"> </w:t>
      </w:r>
      <w:r w:rsidRPr="00533639">
        <w:t xml:space="preserve">week dermal </w:t>
      </w:r>
      <w:r w:rsidRPr="00374766">
        <w:t xml:space="preserve">study in FVB </w:t>
      </w:r>
      <w:r w:rsidR="00374766">
        <w:t xml:space="preserve">type </w:t>
      </w:r>
      <w:r w:rsidRPr="00374766">
        <w:t>mice</w:t>
      </w:r>
      <w:r w:rsidRPr="00533639">
        <w:t xml:space="preserve"> and 13</w:t>
      </w:r>
      <w:r w:rsidR="00483B0C">
        <w:t xml:space="preserve"> </w:t>
      </w:r>
      <w:r w:rsidRPr="00533639">
        <w:t xml:space="preserve">week SC study in </w:t>
      </w:r>
      <w:r w:rsidR="00483B0C">
        <w:t>Sprague Dawley (</w:t>
      </w:r>
      <w:r w:rsidRPr="00533639">
        <w:t>SD</w:t>
      </w:r>
      <w:r w:rsidR="00483B0C">
        <w:t>)</w:t>
      </w:r>
      <w:r w:rsidRPr="00533639">
        <w:t xml:space="preserve"> rats) were conducted as range-finding studies for subsequent carcinogenicity studies</w:t>
      </w:r>
      <w:r>
        <w:t xml:space="preserve"> and were GLP</w:t>
      </w:r>
      <w:r w:rsidR="00483B0C">
        <w:t xml:space="preserve"> </w:t>
      </w:r>
      <w:r>
        <w:t>compliant</w:t>
      </w:r>
      <w:r w:rsidRPr="00533639">
        <w:t xml:space="preserve">. </w:t>
      </w:r>
      <w:r>
        <w:t>The studies were adequately conducted and formed an appropriate basis for dose selection in the carcinogenicity studie</w:t>
      </w:r>
      <w:r w:rsidR="0018579F">
        <w:t>s.</w:t>
      </w:r>
    </w:p>
    <w:p w:rsidR="007D4337" w:rsidRPr="00533639" w:rsidRDefault="007D4337" w:rsidP="00EB24E0">
      <w:r w:rsidRPr="00533639">
        <w:t xml:space="preserve">At dermal doses </w:t>
      </w:r>
      <w:proofErr w:type="gramStart"/>
      <w:r w:rsidRPr="00533639">
        <w:t>of up to 5 µg/day in mice,</w:t>
      </w:r>
      <w:proofErr w:type="gramEnd"/>
      <w:r w:rsidRPr="00533639">
        <w:t xml:space="preserve"> the main findings were CNS clinical signs (mainly at the </w:t>
      </w:r>
      <w:r w:rsidR="00483B0C">
        <w:t>mid dose (</w:t>
      </w:r>
      <w:r w:rsidRPr="00533639">
        <w:t>MD</w:t>
      </w:r>
      <w:r w:rsidR="00483B0C">
        <w:t>)</w:t>
      </w:r>
      <w:r w:rsidRPr="00533639">
        <w:t xml:space="preserve"> and HD) and </w:t>
      </w:r>
      <w:r>
        <w:t xml:space="preserve">small </w:t>
      </w:r>
      <w:r w:rsidRPr="00533639">
        <w:t xml:space="preserve">body weight </w:t>
      </w:r>
      <w:r>
        <w:t xml:space="preserve">losses </w:t>
      </w:r>
      <w:r w:rsidRPr="00533639">
        <w:t>associated with reduced food consumption at the HD. N</w:t>
      </w:r>
      <w:r w:rsidR="0018579F">
        <w:t>o skin irritation was observed.</w:t>
      </w:r>
    </w:p>
    <w:p w:rsidR="007D4337" w:rsidRDefault="007D4337" w:rsidP="00187359">
      <w:r w:rsidRPr="00533639">
        <w:lastRenderedPageBreak/>
        <w:t xml:space="preserve">At SC doses </w:t>
      </w:r>
      <w:proofErr w:type="gramStart"/>
      <w:r w:rsidRPr="00533639">
        <w:t>of 50</w:t>
      </w:r>
      <w:r w:rsidR="00483B0C">
        <w:t xml:space="preserve"> to </w:t>
      </w:r>
      <w:r w:rsidRPr="00533639">
        <w:t>250 µg/kg/day in rats,</w:t>
      </w:r>
      <w:proofErr w:type="gramEnd"/>
      <w:r w:rsidRPr="00533639">
        <w:t xml:space="preserve"> mortalities (dose-dependent incidence)</w:t>
      </w:r>
      <w:r>
        <w:t xml:space="preserve"> were observed at the MD and HD</w:t>
      </w:r>
      <w:r w:rsidRPr="0036038A">
        <w:t xml:space="preserve">, probably associated with respiratory arrest, although this was not clear from the study report. A number </w:t>
      </w:r>
      <w:r w:rsidRPr="00533639">
        <w:t>of CNS clinical signs were observed, with decreased activity at all dose levels. A decrease in body weight gain in HD males was associated with reduced food consumption. A dose-dependent incidence of granulomatous inflammation in the lungs was observed</w:t>
      </w:r>
      <w:r>
        <w:t xml:space="preserve">, and the </w:t>
      </w:r>
      <w:r w:rsidR="00483B0C">
        <w:t>No Observable Adverse Effect Level (</w:t>
      </w:r>
      <w:r>
        <w:t>NOAEL</w:t>
      </w:r>
      <w:r w:rsidR="00483B0C">
        <w:t>)</w:t>
      </w:r>
      <w:r>
        <w:t xml:space="preserve"> was &lt;50 µg/kg/day. </w:t>
      </w:r>
      <w:r w:rsidRPr="00AE7F94">
        <w:t xml:space="preserve">The granulomatous inflammation in the lungs was </w:t>
      </w:r>
      <w:r w:rsidRPr="00B02FB9">
        <w:t>considered by the authors to be a seco</w:t>
      </w:r>
      <w:r w:rsidRPr="00AE7F94">
        <w:t>ndary effect caused by aspiration of feed material</w:t>
      </w:r>
      <w:r>
        <w:t>,</w:t>
      </w:r>
      <w:r w:rsidRPr="00B02FB9">
        <w:t xml:space="preserve"> </w:t>
      </w:r>
      <w:r>
        <w:t>associated, in turn, with the marked and prolonged sedation which caused the MD and HD rats to lie motionless for extended periods of time. This evaluator concurs with this explanation</w:t>
      </w:r>
      <w:r w:rsidRPr="00AE7F94">
        <w:t>.</w:t>
      </w:r>
      <w:r w:rsidRPr="0058335F">
        <w:t xml:space="preserve"> </w:t>
      </w:r>
      <w:r>
        <w:t>Testicular s</w:t>
      </w:r>
      <w:r w:rsidRPr="00533639">
        <w:t>eminiferous tubular degradation was increased in incidence (dose-dependent) in MD and HD males, and testicular weight was decreased in HD males. Epididymides were examined only in control and HD males but aspermia and luminal cellular debris were observed only in the HD animals. Thymus weights were reduced in HD animals</w:t>
      </w:r>
      <w:r>
        <w:t xml:space="preserve">, a finding commonly observed in </w:t>
      </w:r>
      <w:r w:rsidR="0018579F">
        <w:t>stressed animals.</w:t>
      </w:r>
    </w:p>
    <w:p w:rsidR="007D4337" w:rsidRPr="00DE7CDB" w:rsidRDefault="007D4337" w:rsidP="00EB24E0">
      <w:pPr>
        <w:pStyle w:val="Heading5"/>
      </w:pPr>
      <w:r w:rsidRPr="00DE7CDB">
        <w:t>Relative exposure</w:t>
      </w:r>
    </w:p>
    <w:p w:rsidR="007D4337" w:rsidRPr="004B6A8E" w:rsidRDefault="007D4337" w:rsidP="00EB24E0">
      <w:r w:rsidRPr="0036038A">
        <w:t xml:space="preserve">Exposure ratios (ERs) </w:t>
      </w:r>
      <w:r>
        <w:t xml:space="preserve">have </w:t>
      </w:r>
      <w:r w:rsidRPr="00153EA8">
        <w:t>been calculated b</w:t>
      </w:r>
      <w:r>
        <w:t>ased on animal:</w:t>
      </w:r>
      <w:r w:rsidR="00483B0C">
        <w:t xml:space="preserve"> </w:t>
      </w:r>
      <w:r>
        <w:t xml:space="preserve">human plasma AUC, using single (800 µg) and multiple </w:t>
      </w:r>
      <w:r w:rsidRPr="004B6A8E">
        <w:t>(</w:t>
      </w:r>
      <w:r>
        <w:t xml:space="preserve">800 µg x </w:t>
      </w:r>
      <w:r w:rsidRPr="004B6A8E">
        <w:t>4/day)</w:t>
      </w:r>
      <w:r>
        <w:t xml:space="preserve"> dose values for humans,</w:t>
      </w:r>
      <w:r w:rsidRPr="004B6A8E">
        <w:t xml:space="preserve"> or C</w:t>
      </w:r>
      <w:r w:rsidRPr="004B6A8E">
        <w:rPr>
          <w:vertAlign w:val="subscript"/>
        </w:rPr>
        <w:t>max</w:t>
      </w:r>
      <w:r w:rsidRPr="004B6A8E">
        <w:t xml:space="preserve"> values</w:t>
      </w:r>
      <w:r w:rsidR="00483B0C">
        <w:t xml:space="preserve"> (Table 3)</w:t>
      </w:r>
      <w:r w:rsidRPr="004B6A8E">
        <w:t xml:space="preserve">. For the single dose in humans, the </w:t>
      </w:r>
      <w:r>
        <w:t>ERs</w:t>
      </w:r>
      <w:r w:rsidRPr="004B6A8E">
        <w:t xml:space="preserve"> were acceptable in the dose range-finding studies but low in the carcinogenicity studies. For the multiple dos</w:t>
      </w:r>
      <w:r>
        <w:t>ing</w:t>
      </w:r>
      <w:r w:rsidRPr="004B6A8E">
        <w:t xml:space="preserve"> in humans, </w:t>
      </w:r>
      <w:r>
        <w:t>ERs</w:t>
      </w:r>
      <w:r w:rsidRPr="004B6A8E">
        <w:t xml:space="preserve"> were low.</w:t>
      </w:r>
    </w:p>
    <w:p w:rsidR="007D4337" w:rsidRPr="0068453C" w:rsidRDefault="00483B0C" w:rsidP="00187359">
      <w:pPr>
        <w:pStyle w:val="TableTitle"/>
      </w:pPr>
      <w:r>
        <w:t xml:space="preserve">Table 3: </w:t>
      </w:r>
      <w:r w:rsidR="007D4337" w:rsidRPr="0068453C">
        <w:t>Relative exposure</w:t>
      </w:r>
      <w:r w:rsidR="007D4337">
        <w:t xml:space="preserve"> for fentanyl</w:t>
      </w:r>
      <w:r w:rsidR="007D4337" w:rsidRPr="0068453C">
        <w:t xml:space="preserve"> in repeat-dose </w:t>
      </w:r>
      <w:r w:rsidR="007D4337">
        <w:t>range-finding studies</w:t>
      </w:r>
      <w:r w:rsidR="007D4337" w:rsidRPr="0068453C">
        <w:t xml:space="preserve"> and carcinogenicity studies</w:t>
      </w:r>
      <w:r w:rsidR="007D4337">
        <w:t xml:space="preserve"> (data are for males and females combined unless otherwise specified)</w:t>
      </w:r>
    </w:p>
    <w:tbl>
      <w:tblPr>
        <w:tblStyle w:val="TableTGAblue"/>
        <w:tblW w:w="8897" w:type="dxa"/>
        <w:tblLayout w:type="fixed"/>
        <w:tblLook w:val="01E0" w:firstRow="1" w:lastRow="1" w:firstColumn="1" w:lastColumn="1" w:noHBand="0" w:noVBand="0"/>
      </w:tblPr>
      <w:tblGrid>
        <w:gridCol w:w="851"/>
        <w:gridCol w:w="709"/>
        <w:gridCol w:w="992"/>
        <w:gridCol w:w="1242"/>
        <w:gridCol w:w="1134"/>
        <w:gridCol w:w="1417"/>
        <w:gridCol w:w="1418"/>
        <w:gridCol w:w="1134"/>
      </w:tblGrid>
      <w:tr w:rsidR="005617AE" w:rsidRPr="00921F44" w:rsidTr="00187359">
        <w:trPr>
          <w:cnfStyle w:val="100000000000" w:firstRow="1" w:lastRow="0" w:firstColumn="0" w:lastColumn="0" w:oddVBand="0" w:evenVBand="0" w:oddHBand="0" w:evenHBand="0" w:firstRowFirstColumn="0" w:firstRowLastColumn="0" w:lastRowFirstColumn="0" w:lastRowLastColumn="0"/>
        </w:trPr>
        <w:tc>
          <w:tcPr>
            <w:tcW w:w="1560" w:type="dxa"/>
            <w:gridSpan w:val="2"/>
          </w:tcPr>
          <w:p w:rsidR="007D4337" w:rsidRPr="00187359" w:rsidRDefault="007D4337" w:rsidP="00187359">
            <w:pPr>
              <w:ind w:left="0" w:right="0"/>
              <w:rPr>
                <w:sz w:val="20"/>
                <w:szCs w:val="20"/>
              </w:rPr>
            </w:pPr>
            <w:r w:rsidRPr="00187359">
              <w:rPr>
                <w:sz w:val="20"/>
                <w:szCs w:val="20"/>
              </w:rPr>
              <w:t>Species</w:t>
            </w:r>
          </w:p>
        </w:tc>
        <w:tc>
          <w:tcPr>
            <w:tcW w:w="992" w:type="dxa"/>
          </w:tcPr>
          <w:p w:rsidR="007D4337" w:rsidRPr="00187359" w:rsidRDefault="007D4337" w:rsidP="00187359">
            <w:pPr>
              <w:ind w:left="0" w:right="0"/>
              <w:rPr>
                <w:sz w:val="20"/>
                <w:szCs w:val="20"/>
              </w:rPr>
            </w:pPr>
            <w:r w:rsidRPr="00187359">
              <w:rPr>
                <w:sz w:val="20"/>
                <w:szCs w:val="20"/>
              </w:rPr>
              <w:t>Study duration</w:t>
            </w:r>
          </w:p>
        </w:tc>
        <w:tc>
          <w:tcPr>
            <w:tcW w:w="1242" w:type="dxa"/>
          </w:tcPr>
          <w:p w:rsidR="007D4337" w:rsidRPr="00187359" w:rsidRDefault="007D4337" w:rsidP="00187359">
            <w:pPr>
              <w:ind w:left="0" w:right="0"/>
              <w:rPr>
                <w:sz w:val="20"/>
                <w:szCs w:val="20"/>
              </w:rPr>
            </w:pPr>
            <w:r w:rsidRPr="00187359">
              <w:rPr>
                <w:sz w:val="20"/>
                <w:szCs w:val="20"/>
              </w:rPr>
              <w:t>Dose</w:t>
            </w:r>
            <w:r w:rsidR="005A11E0" w:rsidRPr="00187359">
              <w:rPr>
                <w:sz w:val="20"/>
                <w:szCs w:val="20"/>
              </w:rPr>
              <w:t xml:space="preserve"> </w:t>
            </w:r>
            <w:r w:rsidRPr="00187359">
              <w:rPr>
                <w:sz w:val="20"/>
                <w:szCs w:val="20"/>
              </w:rPr>
              <w:t>µg/day (mice); µg/kg/day (rats)</w:t>
            </w:r>
          </w:p>
        </w:tc>
        <w:tc>
          <w:tcPr>
            <w:tcW w:w="1134" w:type="dxa"/>
          </w:tcPr>
          <w:p w:rsidR="007D4337" w:rsidRPr="00187359" w:rsidRDefault="007D4337" w:rsidP="00187359">
            <w:pPr>
              <w:ind w:left="0" w:right="0"/>
              <w:rPr>
                <w:sz w:val="20"/>
                <w:szCs w:val="20"/>
              </w:rPr>
            </w:pPr>
            <w:r w:rsidRPr="00187359">
              <w:rPr>
                <w:sz w:val="20"/>
                <w:szCs w:val="20"/>
              </w:rPr>
              <w:t xml:space="preserve">AUC or </w:t>
            </w:r>
            <w:proofErr w:type="spellStart"/>
            <w:r w:rsidRPr="00187359">
              <w:rPr>
                <w:sz w:val="20"/>
                <w:szCs w:val="20"/>
              </w:rPr>
              <w:t>C</w:t>
            </w:r>
            <w:r w:rsidRPr="00187359">
              <w:rPr>
                <w:sz w:val="20"/>
                <w:szCs w:val="20"/>
                <w:vertAlign w:val="subscript"/>
              </w:rPr>
              <w:t>max</w:t>
            </w:r>
            <w:proofErr w:type="spellEnd"/>
          </w:p>
        </w:tc>
        <w:tc>
          <w:tcPr>
            <w:tcW w:w="1417" w:type="dxa"/>
          </w:tcPr>
          <w:p w:rsidR="007D4337" w:rsidRPr="00187359" w:rsidRDefault="007D4337" w:rsidP="00187359">
            <w:pPr>
              <w:ind w:left="0" w:right="0"/>
              <w:rPr>
                <w:sz w:val="20"/>
                <w:szCs w:val="20"/>
              </w:rPr>
            </w:pPr>
            <w:r w:rsidRPr="00187359">
              <w:rPr>
                <w:sz w:val="20"/>
                <w:szCs w:val="20"/>
              </w:rPr>
              <w:t>AUC ng∙h/mL* or C</w:t>
            </w:r>
            <w:r w:rsidRPr="00187359">
              <w:rPr>
                <w:sz w:val="20"/>
                <w:szCs w:val="20"/>
                <w:vertAlign w:val="subscript"/>
              </w:rPr>
              <w:t>max</w:t>
            </w:r>
            <w:r w:rsidRPr="00187359">
              <w:rPr>
                <w:sz w:val="20"/>
                <w:szCs w:val="20"/>
              </w:rPr>
              <w:t xml:space="preserve"> ng/mL</w:t>
            </w:r>
          </w:p>
        </w:tc>
        <w:tc>
          <w:tcPr>
            <w:tcW w:w="1418" w:type="dxa"/>
          </w:tcPr>
          <w:p w:rsidR="007D4337" w:rsidRPr="00187359" w:rsidRDefault="007D4337" w:rsidP="00187359">
            <w:pPr>
              <w:ind w:left="0" w:right="0"/>
              <w:rPr>
                <w:sz w:val="20"/>
                <w:szCs w:val="20"/>
              </w:rPr>
            </w:pPr>
            <w:r w:rsidRPr="00187359">
              <w:rPr>
                <w:sz w:val="20"/>
                <w:szCs w:val="20"/>
              </w:rPr>
              <w:t>Exposure ratio</w:t>
            </w:r>
            <w:r w:rsidRPr="00187359">
              <w:rPr>
                <w:sz w:val="20"/>
                <w:szCs w:val="20"/>
                <w:vertAlign w:val="superscript"/>
              </w:rPr>
              <w:t>$</w:t>
            </w:r>
          </w:p>
        </w:tc>
        <w:tc>
          <w:tcPr>
            <w:tcW w:w="1134" w:type="dxa"/>
          </w:tcPr>
          <w:p w:rsidR="007D4337" w:rsidRPr="00187359" w:rsidRDefault="007D4337" w:rsidP="00187359">
            <w:pPr>
              <w:ind w:left="0" w:right="0"/>
              <w:rPr>
                <w:sz w:val="20"/>
                <w:szCs w:val="20"/>
              </w:rPr>
            </w:pPr>
            <w:r w:rsidRPr="00187359">
              <w:rPr>
                <w:sz w:val="20"/>
                <w:szCs w:val="20"/>
              </w:rPr>
              <w:t>Exposure ratio</w:t>
            </w:r>
            <w:r w:rsidRPr="00187359">
              <w:rPr>
                <w:sz w:val="20"/>
                <w:szCs w:val="20"/>
                <w:vertAlign w:val="superscript"/>
              </w:rPr>
              <w:t>&amp;</w:t>
            </w:r>
          </w:p>
        </w:tc>
      </w:tr>
      <w:tr w:rsidR="005617AE" w:rsidRPr="00E25444" w:rsidTr="00187359">
        <w:trPr>
          <w:trHeight w:val="200"/>
        </w:trPr>
        <w:tc>
          <w:tcPr>
            <w:tcW w:w="851" w:type="dxa"/>
            <w:vMerge w:val="restart"/>
          </w:tcPr>
          <w:p w:rsidR="007D4337" w:rsidRPr="00716409" w:rsidRDefault="007D4337" w:rsidP="00716409">
            <w:pPr>
              <w:ind w:left="0" w:right="0"/>
              <w:rPr>
                <w:sz w:val="20"/>
                <w:szCs w:val="20"/>
              </w:rPr>
            </w:pPr>
            <w:r w:rsidRPr="00716409">
              <w:rPr>
                <w:sz w:val="20"/>
                <w:szCs w:val="20"/>
              </w:rPr>
              <w:t>Mouse</w:t>
            </w:r>
          </w:p>
        </w:tc>
        <w:tc>
          <w:tcPr>
            <w:tcW w:w="709" w:type="dxa"/>
            <w:vMerge w:val="restart"/>
          </w:tcPr>
          <w:p w:rsidR="007D4337" w:rsidRPr="00716409" w:rsidRDefault="007D4337" w:rsidP="00716409">
            <w:pPr>
              <w:ind w:left="0" w:right="0"/>
              <w:rPr>
                <w:sz w:val="20"/>
                <w:szCs w:val="20"/>
              </w:rPr>
            </w:pPr>
            <w:r w:rsidRPr="00716409">
              <w:rPr>
                <w:sz w:val="20"/>
                <w:szCs w:val="20"/>
              </w:rPr>
              <w:t>FVB/N</w:t>
            </w:r>
          </w:p>
        </w:tc>
        <w:tc>
          <w:tcPr>
            <w:tcW w:w="992" w:type="dxa"/>
            <w:vMerge w:val="restart"/>
          </w:tcPr>
          <w:p w:rsidR="007D4337" w:rsidRPr="00716409" w:rsidRDefault="007D4337" w:rsidP="00716409">
            <w:pPr>
              <w:ind w:left="0" w:right="0"/>
              <w:rPr>
                <w:sz w:val="20"/>
                <w:szCs w:val="20"/>
              </w:rPr>
            </w:pPr>
            <w:r w:rsidRPr="00716409">
              <w:rPr>
                <w:sz w:val="20"/>
                <w:szCs w:val="20"/>
              </w:rPr>
              <w:t>4 weeks</w:t>
            </w:r>
          </w:p>
        </w:tc>
        <w:tc>
          <w:tcPr>
            <w:tcW w:w="1242" w:type="dxa"/>
          </w:tcPr>
          <w:p w:rsidR="007D4337" w:rsidRPr="00716409" w:rsidRDefault="007D4337" w:rsidP="00716409">
            <w:pPr>
              <w:ind w:left="0" w:right="0"/>
              <w:rPr>
                <w:sz w:val="20"/>
                <w:szCs w:val="20"/>
              </w:rPr>
            </w:pPr>
            <w:r w:rsidRPr="00716409">
              <w:rPr>
                <w:sz w:val="20"/>
                <w:szCs w:val="20"/>
              </w:rPr>
              <w:t>1</w:t>
            </w:r>
          </w:p>
        </w:tc>
        <w:tc>
          <w:tcPr>
            <w:tcW w:w="1134" w:type="dxa"/>
            <w:vMerge w:val="restart"/>
          </w:tcPr>
          <w:p w:rsidR="007D4337" w:rsidRPr="00716409" w:rsidRDefault="007D4337" w:rsidP="00716409">
            <w:pPr>
              <w:ind w:left="0" w:right="0"/>
              <w:rPr>
                <w:sz w:val="20"/>
                <w:szCs w:val="20"/>
              </w:rPr>
            </w:pPr>
            <w:r w:rsidRPr="00716409">
              <w:rPr>
                <w:sz w:val="20"/>
                <w:szCs w:val="20"/>
              </w:rPr>
              <w:t>AUC</w:t>
            </w:r>
          </w:p>
        </w:tc>
        <w:tc>
          <w:tcPr>
            <w:tcW w:w="1417" w:type="dxa"/>
          </w:tcPr>
          <w:p w:rsidR="007D4337" w:rsidRPr="00716409" w:rsidRDefault="007D4337" w:rsidP="00716409">
            <w:pPr>
              <w:ind w:left="0" w:right="0"/>
              <w:rPr>
                <w:sz w:val="20"/>
                <w:szCs w:val="20"/>
              </w:rPr>
            </w:pPr>
            <w:r w:rsidRPr="00716409">
              <w:rPr>
                <w:sz w:val="20"/>
                <w:szCs w:val="20"/>
              </w:rPr>
              <w:t>4.0</w:t>
            </w:r>
          </w:p>
        </w:tc>
        <w:tc>
          <w:tcPr>
            <w:tcW w:w="1418" w:type="dxa"/>
          </w:tcPr>
          <w:p w:rsidR="007D4337" w:rsidRPr="00716409" w:rsidRDefault="007D4337" w:rsidP="00716409">
            <w:pPr>
              <w:ind w:left="0" w:right="0"/>
              <w:rPr>
                <w:sz w:val="20"/>
                <w:szCs w:val="20"/>
              </w:rPr>
            </w:pPr>
            <w:r w:rsidRPr="00716409">
              <w:rPr>
                <w:sz w:val="20"/>
                <w:szCs w:val="20"/>
              </w:rPr>
              <w:t>0.3</w:t>
            </w:r>
          </w:p>
        </w:tc>
        <w:tc>
          <w:tcPr>
            <w:tcW w:w="1134" w:type="dxa"/>
          </w:tcPr>
          <w:p w:rsidR="007D4337" w:rsidRPr="00716409" w:rsidRDefault="007D4337" w:rsidP="00716409">
            <w:pPr>
              <w:ind w:left="0" w:right="0"/>
              <w:rPr>
                <w:sz w:val="20"/>
                <w:szCs w:val="20"/>
              </w:rPr>
            </w:pPr>
            <w:r w:rsidRPr="00716409">
              <w:rPr>
                <w:sz w:val="20"/>
                <w:szCs w:val="20"/>
              </w:rPr>
              <w:t>0.1</w:t>
            </w:r>
          </w:p>
        </w:tc>
      </w:tr>
      <w:tr w:rsidR="005617AE" w:rsidRPr="00E25444"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5</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17.1</w:t>
            </w:r>
          </w:p>
        </w:tc>
        <w:tc>
          <w:tcPr>
            <w:tcW w:w="1418" w:type="dxa"/>
          </w:tcPr>
          <w:p w:rsidR="007D4337" w:rsidRPr="00716409" w:rsidRDefault="007D4337" w:rsidP="00716409">
            <w:pPr>
              <w:ind w:left="0" w:right="0"/>
              <w:rPr>
                <w:sz w:val="20"/>
                <w:szCs w:val="20"/>
              </w:rPr>
            </w:pPr>
            <w:r w:rsidRPr="00716409">
              <w:rPr>
                <w:sz w:val="20"/>
                <w:szCs w:val="20"/>
              </w:rPr>
              <w:t>1.4</w:t>
            </w:r>
          </w:p>
        </w:tc>
        <w:tc>
          <w:tcPr>
            <w:tcW w:w="1134" w:type="dxa"/>
          </w:tcPr>
          <w:p w:rsidR="007D4337" w:rsidRPr="00716409" w:rsidRDefault="007D4337" w:rsidP="00716409">
            <w:pPr>
              <w:ind w:left="0" w:right="0"/>
              <w:rPr>
                <w:sz w:val="20"/>
                <w:szCs w:val="20"/>
              </w:rPr>
            </w:pPr>
            <w:r w:rsidRPr="00716409">
              <w:rPr>
                <w:sz w:val="20"/>
                <w:szCs w:val="20"/>
              </w:rPr>
              <w:t>0.3</w:t>
            </w:r>
          </w:p>
        </w:tc>
      </w:tr>
      <w:tr w:rsidR="005617AE" w:rsidRPr="00E25444"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50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 xml:space="preserve">256 </w:t>
            </w:r>
          </w:p>
        </w:tc>
        <w:tc>
          <w:tcPr>
            <w:tcW w:w="1418" w:type="dxa"/>
          </w:tcPr>
          <w:p w:rsidR="007D4337" w:rsidRPr="00716409" w:rsidRDefault="007D4337" w:rsidP="00716409">
            <w:pPr>
              <w:ind w:left="0" w:right="0"/>
              <w:rPr>
                <w:sz w:val="20"/>
                <w:szCs w:val="20"/>
              </w:rPr>
            </w:pPr>
            <w:r w:rsidRPr="00716409">
              <w:rPr>
                <w:sz w:val="20"/>
                <w:szCs w:val="20"/>
              </w:rPr>
              <w:t>21</w:t>
            </w:r>
          </w:p>
        </w:tc>
        <w:tc>
          <w:tcPr>
            <w:tcW w:w="1134" w:type="dxa"/>
          </w:tcPr>
          <w:p w:rsidR="007D4337" w:rsidRPr="00716409" w:rsidRDefault="007D4337" w:rsidP="00716409">
            <w:pPr>
              <w:ind w:left="0" w:right="0"/>
              <w:rPr>
                <w:sz w:val="20"/>
                <w:szCs w:val="20"/>
              </w:rPr>
            </w:pPr>
            <w:r w:rsidRPr="00716409">
              <w:rPr>
                <w:sz w:val="20"/>
                <w:szCs w:val="20"/>
              </w:rPr>
              <w:t>4</w:t>
            </w:r>
          </w:p>
        </w:tc>
      </w:tr>
      <w:tr w:rsidR="005617AE" w:rsidRPr="00E25444"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1</w:t>
            </w:r>
          </w:p>
        </w:tc>
        <w:tc>
          <w:tcPr>
            <w:tcW w:w="1134" w:type="dxa"/>
            <w:vMerge w:val="restart"/>
          </w:tcPr>
          <w:p w:rsidR="007D4337" w:rsidRPr="00716409" w:rsidRDefault="007D4337" w:rsidP="00716409">
            <w:pPr>
              <w:ind w:left="0" w:right="0"/>
              <w:rPr>
                <w:sz w:val="20"/>
                <w:szCs w:val="20"/>
              </w:rPr>
            </w:pPr>
            <w:proofErr w:type="spellStart"/>
            <w:r w:rsidRPr="00716409">
              <w:rPr>
                <w:sz w:val="20"/>
                <w:szCs w:val="20"/>
              </w:rPr>
              <w:t>C</w:t>
            </w:r>
            <w:r w:rsidRPr="00716409">
              <w:rPr>
                <w:sz w:val="20"/>
                <w:szCs w:val="20"/>
                <w:vertAlign w:val="subscript"/>
              </w:rPr>
              <w:t>max</w:t>
            </w:r>
            <w:proofErr w:type="spellEnd"/>
          </w:p>
        </w:tc>
        <w:tc>
          <w:tcPr>
            <w:tcW w:w="1417" w:type="dxa"/>
          </w:tcPr>
          <w:p w:rsidR="007D4337" w:rsidRPr="00716409" w:rsidRDefault="007D4337" w:rsidP="00716409">
            <w:pPr>
              <w:ind w:left="0" w:right="0"/>
              <w:rPr>
                <w:sz w:val="20"/>
                <w:szCs w:val="20"/>
              </w:rPr>
            </w:pPr>
            <w:r w:rsidRPr="00716409">
              <w:rPr>
                <w:sz w:val="20"/>
                <w:szCs w:val="20"/>
              </w:rPr>
              <w:t>0.568</w:t>
            </w:r>
          </w:p>
        </w:tc>
        <w:tc>
          <w:tcPr>
            <w:tcW w:w="1418" w:type="dxa"/>
          </w:tcPr>
          <w:p w:rsidR="007D4337" w:rsidRPr="00716409" w:rsidRDefault="007D4337" w:rsidP="00716409">
            <w:pPr>
              <w:ind w:left="0" w:right="0"/>
              <w:rPr>
                <w:sz w:val="20"/>
                <w:szCs w:val="20"/>
              </w:rPr>
            </w:pPr>
            <w:r w:rsidRPr="00716409">
              <w:rPr>
                <w:sz w:val="20"/>
                <w:szCs w:val="20"/>
              </w:rPr>
              <w:t>0.3</w:t>
            </w:r>
          </w:p>
        </w:tc>
        <w:tc>
          <w:tcPr>
            <w:tcW w:w="1134" w:type="dxa"/>
          </w:tcPr>
          <w:p w:rsidR="007D4337" w:rsidRPr="00716409" w:rsidRDefault="007D4337" w:rsidP="00716409">
            <w:pPr>
              <w:ind w:left="0" w:right="0"/>
              <w:rPr>
                <w:sz w:val="20"/>
                <w:szCs w:val="20"/>
              </w:rPr>
            </w:pPr>
            <w:r w:rsidRPr="00716409">
              <w:rPr>
                <w:sz w:val="20"/>
                <w:szCs w:val="20"/>
              </w:rPr>
              <w:t>0.2</w:t>
            </w:r>
          </w:p>
        </w:tc>
      </w:tr>
      <w:tr w:rsidR="005617AE" w:rsidRPr="00E25444"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5</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2.36</w:t>
            </w:r>
          </w:p>
        </w:tc>
        <w:tc>
          <w:tcPr>
            <w:tcW w:w="1418" w:type="dxa"/>
          </w:tcPr>
          <w:p w:rsidR="007D4337" w:rsidRPr="00716409" w:rsidRDefault="007D4337" w:rsidP="00716409">
            <w:pPr>
              <w:ind w:left="0" w:right="0"/>
              <w:rPr>
                <w:sz w:val="20"/>
                <w:szCs w:val="20"/>
              </w:rPr>
            </w:pPr>
            <w:r w:rsidRPr="00716409">
              <w:rPr>
                <w:sz w:val="20"/>
                <w:szCs w:val="20"/>
              </w:rPr>
              <w:t>1.2</w:t>
            </w:r>
          </w:p>
        </w:tc>
        <w:tc>
          <w:tcPr>
            <w:tcW w:w="1134" w:type="dxa"/>
          </w:tcPr>
          <w:p w:rsidR="007D4337" w:rsidRPr="00716409" w:rsidRDefault="007D4337" w:rsidP="00716409">
            <w:pPr>
              <w:ind w:left="0" w:right="0"/>
              <w:rPr>
                <w:sz w:val="20"/>
                <w:szCs w:val="20"/>
              </w:rPr>
            </w:pPr>
            <w:r w:rsidRPr="00716409">
              <w:rPr>
                <w:sz w:val="20"/>
                <w:szCs w:val="20"/>
              </w:rPr>
              <w:t>0.7</w:t>
            </w:r>
          </w:p>
        </w:tc>
      </w:tr>
      <w:tr w:rsidR="005617AE" w:rsidRPr="00E25444"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50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33.1</w:t>
            </w:r>
          </w:p>
        </w:tc>
        <w:tc>
          <w:tcPr>
            <w:tcW w:w="1418" w:type="dxa"/>
          </w:tcPr>
          <w:p w:rsidR="007D4337" w:rsidRPr="00716409" w:rsidRDefault="007D4337" w:rsidP="00716409">
            <w:pPr>
              <w:ind w:left="0" w:right="0"/>
              <w:rPr>
                <w:sz w:val="20"/>
                <w:szCs w:val="20"/>
              </w:rPr>
            </w:pPr>
            <w:r w:rsidRPr="00716409">
              <w:rPr>
                <w:sz w:val="20"/>
                <w:szCs w:val="20"/>
              </w:rPr>
              <w:t>17</w:t>
            </w:r>
          </w:p>
        </w:tc>
        <w:tc>
          <w:tcPr>
            <w:tcW w:w="1134" w:type="dxa"/>
          </w:tcPr>
          <w:p w:rsidR="007D4337" w:rsidRPr="00716409" w:rsidRDefault="007D4337" w:rsidP="00716409">
            <w:pPr>
              <w:ind w:left="0" w:right="0"/>
              <w:rPr>
                <w:sz w:val="20"/>
                <w:szCs w:val="20"/>
              </w:rPr>
            </w:pPr>
            <w:r w:rsidRPr="00716409">
              <w:rPr>
                <w:sz w:val="20"/>
                <w:szCs w:val="20"/>
              </w:rPr>
              <w:t>9</w:t>
            </w:r>
          </w:p>
        </w:tc>
      </w:tr>
      <w:tr w:rsidR="005617AE" w:rsidRPr="007068A9" w:rsidTr="00187359">
        <w:trPr>
          <w:trHeight w:val="227"/>
        </w:trPr>
        <w:tc>
          <w:tcPr>
            <w:tcW w:w="851" w:type="dxa"/>
            <w:vMerge/>
          </w:tcPr>
          <w:p w:rsidR="007D4337" w:rsidRPr="00716409" w:rsidRDefault="007D4337" w:rsidP="00716409">
            <w:pPr>
              <w:ind w:left="0" w:right="0"/>
              <w:rPr>
                <w:sz w:val="20"/>
                <w:szCs w:val="20"/>
              </w:rPr>
            </w:pPr>
          </w:p>
        </w:tc>
        <w:tc>
          <w:tcPr>
            <w:tcW w:w="709" w:type="dxa"/>
            <w:vMerge w:val="restart"/>
          </w:tcPr>
          <w:p w:rsidR="007D4337" w:rsidRPr="00716409" w:rsidRDefault="007D4337" w:rsidP="00716409">
            <w:pPr>
              <w:ind w:left="0" w:right="0"/>
              <w:rPr>
                <w:sz w:val="20"/>
                <w:szCs w:val="20"/>
              </w:rPr>
            </w:pPr>
            <w:r w:rsidRPr="00716409">
              <w:rPr>
                <w:sz w:val="20"/>
                <w:szCs w:val="20"/>
              </w:rPr>
              <w:t>Tg.AC trans</w:t>
            </w:r>
            <w:r w:rsidR="00483B0C" w:rsidRPr="00716409">
              <w:rPr>
                <w:sz w:val="20"/>
                <w:szCs w:val="20"/>
              </w:rPr>
              <w:t>-</w:t>
            </w:r>
            <w:r w:rsidRPr="00716409">
              <w:rPr>
                <w:sz w:val="20"/>
                <w:szCs w:val="20"/>
              </w:rPr>
              <w:t>genic</w:t>
            </w:r>
          </w:p>
        </w:tc>
        <w:tc>
          <w:tcPr>
            <w:tcW w:w="992" w:type="dxa"/>
            <w:vMerge w:val="restart"/>
          </w:tcPr>
          <w:p w:rsidR="007D4337" w:rsidRPr="00716409" w:rsidRDefault="00483B0C" w:rsidP="00716409">
            <w:pPr>
              <w:ind w:left="0" w:right="0"/>
              <w:rPr>
                <w:sz w:val="20"/>
                <w:szCs w:val="20"/>
              </w:rPr>
            </w:pPr>
            <w:r w:rsidRPr="00716409">
              <w:rPr>
                <w:sz w:val="20"/>
                <w:szCs w:val="20"/>
              </w:rPr>
              <w:t>26 weeks</w:t>
            </w:r>
            <w:r w:rsidR="005A11E0" w:rsidRPr="00716409">
              <w:rPr>
                <w:sz w:val="20"/>
                <w:szCs w:val="20"/>
              </w:rPr>
              <w:t xml:space="preserve"> </w:t>
            </w:r>
            <w:proofErr w:type="spellStart"/>
            <w:r w:rsidR="005617AE" w:rsidRPr="00716409">
              <w:rPr>
                <w:sz w:val="20"/>
                <w:szCs w:val="20"/>
              </w:rPr>
              <w:t>carcinog</w:t>
            </w:r>
            <w:r w:rsidR="00441EC2" w:rsidRPr="00716409">
              <w:rPr>
                <w:sz w:val="20"/>
                <w:szCs w:val="20"/>
              </w:rPr>
              <w:t>-</w:t>
            </w:r>
            <w:r w:rsidR="005617AE" w:rsidRPr="00716409">
              <w:rPr>
                <w:sz w:val="20"/>
                <w:szCs w:val="20"/>
              </w:rPr>
              <w:t>en</w:t>
            </w:r>
            <w:r w:rsidR="007D4337" w:rsidRPr="00716409">
              <w:rPr>
                <w:sz w:val="20"/>
                <w:szCs w:val="20"/>
              </w:rPr>
              <w:t>icity</w:t>
            </w:r>
            <w:proofErr w:type="spellEnd"/>
          </w:p>
        </w:tc>
        <w:tc>
          <w:tcPr>
            <w:tcW w:w="1242" w:type="dxa"/>
          </w:tcPr>
          <w:p w:rsidR="007D4337" w:rsidRPr="00716409" w:rsidRDefault="007D4337" w:rsidP="00716409">
            <w:pPr>
              <w:ind w:left="0" w:right="0"/>
              <w:rPr>
                <w:sz w:val="20"/>
                <w:szCs w:val="20"/>
              </w:rPr>
            </w:pPr>
            <w:r w:rsidRPr="00716409">
              <w:rPr>
                <w:sz w:val="20"/>
                <w:szCs w:val="20"/>
              </w:rPr>
              <w:t>5</w:t>
            </w:r>
          </w:p>
        </w:tc>
        <w:tc>
          <w:tcPr>
            <w:tcW w:w="1134" w:type="dxa"/>
            <w:vMerge w:val="restart"/>
          </w:tcPr>
          <w:p w:rsidR="007D4337" w:rsidRPr="00716409" w:rsidRDefault="007D4337" w:rsidP="00716409">
            <w:pPr>
              <w:ind w:left="0" w:right="0"/>
              <w:rPr>
                <w:sz w:val="20"/>
                <w:szCs w:val="20"/>
              </w:rPr>
            </w:pPr>
            <w:proofErr w:type="spellStart"/>
            <w:r w:rsidRPr="00716409">
              <w:rPr>
                <w:sz w:val="20"/>
                <w:szCs w:val="20"/>
              </w:rPr>
              <w:t>C</w:t>
            </w:r>
            <w:r w:rsidRPr="00716409">
              <w:rPr>
                <w:sz w:val="20"/>
                <w:szCs w:val="20"/>
                <w:vertAlign w:val="subscript"/>
              </w:rPr>
              <w:t>max</w:t>
            </w:r>
            <w:proofErr w:type="spellEnd"/>
            <w:r w:rsidRPr="00716409">
              <w:rPr>
                <w:sz w:val="20"/>
                <w:szCs w:val="20"/>
                <w:vertAlign w:val="superscript"/>
              </w:rPr>
              <w:t>@</w:t>
            </w:r>
          </w:p>
        </w:tc>
        <w:tc>
          <w:tcPr>
            <w:tcW w:w="1417" w:type="dxa"/>
          </w:tcPr>
          <w:p w:rsidR="007D4337" w:rsidRPr="00716409" w:rsidRDefault="007D4337" w:rsidP="00716409">
            <w:pPr>
              <w:ind w:left="0" w:right="0"/>
              <w:rPr>
                <w:sz w:val="20"/>
                <w:szCs w:val="20"/>
              </w:rPr>
            </w:pPr>
            <w:r w:rsidRPr="00716409">
              <w:rPr>
                <w:sz w:val="20"/>
                <w:szCs w:val="20"/>
              </w:rPr>
              <w:t>1.68</w:t>
            </w:r>
          </w:p>
        </w:tc>
        <w:tc>
          <w:tcPr>
            <w:tcW w:w="1418" w:type="dxa"/>
          </w:tcPr>
          <w:p w:rsidR="007D4337" w:rsidRPr="00716409" w:rsidRDefault="007D4337" w:rsidP="00716409">
            <w:pPr>
              <w:ind w:left="0" w:right="0"/>
              <w:rPr>
                <w:sz w:val="20"/>
                <w:szCs w:val="20"/>
              </w:rPr>
            </w:pPr>
            <w:r w:rsidRPr="00716409">
              <w:rPr>
                <w:sz w:val="20"/>
                <w:szCs w:val="20"/>
              </w:rPr>
              <w:t>0.9</w:t>
            </w:r>
          </w:p>
        </w:tc>
        <w:tc>
          <w:tcPr>
            <w:tcW w:w="1134" w:type="dxa"/>
          </w:tcPr>
          <w:p w:rsidR="007D4337" w:rsidRPr="00716409" w:rsidRDefault="007D4337" w:rsidP="00716409">
            <w:pPr>
              <w:ind w:left="0" w:right="0"/>
              <w:rPr>
                <w:sz w:val="20"/>
                <w:szCs w:val="20"/>
              </w:rPr>
            </w:pPr>
            <w:r w:rsidRPr="00716409">
              <w:rPr>
                <w:sz w:val="20"/>
                <w:szCs w:val="20"/>
              </w:rPr>
              <w:t>0.5</w:t>
            </w:r>
          </w:p>
        </w:tc>
      </w:tr>
      <w:tr w:rsidR="005617AE" w:rsidRPr="007068A9"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15</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3.58</w:t>
            </w:r>
          </w:p>
        </w:tc>
        <w:tc>
          <w:tcPr>
            <w:tcW w:w="1418" w:type="dxa"/>
          </w:tcPr>
          <w:p w:rsidR="007D4337" w:rsidRPr="00716409" w:rsidRDefault="007D4337" w:rsidP="00716409">
            <w:pPr>
              <w:ind w:left="0" w:right="0"/>
              <w:rPr>
                <w:sz w:val="20"/>
                <w:szCs w:val="20"/>
              </w:rPr>
            </w:pPr>
            <w:r w:rsidRPr="00716409">
              <w:rPr>
                <w:sz w:val="20"/>
                <w:szCs w:val="20"/>
              </w:rPr>
              <w:t>1.8</w:t>
            </w:r>
          </w:p>
        </w:tc>
        <w:tc>
          <w:tcPr>
            <w:tcW w:w="1134" w:type="dxa"/>
          </w:tcPr>
          <w:p w:rsidR="007D4337" w:rsidRPr="00716409" w:rsidRDefault="007D4337" w:rsidP="00716409">
            <w:pPr>
              <w:ind w:left="0" w:right="0"/>
              <w:rPr>
                <w:sz w:val="20"/>
                <w:szCs w:val="20"/>
              </w:rPr>
            </w:pPr>
            <w:r w:rsidRPr="00716409">
              <w:rPr>
                <w:sz w:val="20"/>
                <w:szCs w:val="20"/>
              </w:rPr>
              <w:t>1.0</w:t>
            </w:r>
          </w:p>
        </w:tc>
      </w:tr>
      <w:tr w:rsidR="005617AE" w:rsidRPr="007068A9" w:rsidTr="00187359">
        <w:trPr>
          <w:trHeight w:val="227"/>
        </w:trPr>
        <w:tc>
          <w:tcPr>
            <w:tcW w:w="851" w:type="dxa"/>
            <w:vMerge/>
          </w:tcPr>
          <w:p w:rsidR="007D4337" w:rsidRPr="00716409" w:rsidRDefault="007D4337" w:rsidP="00716409">
            <w:pPr>
              <w:ind w:left="0" w:right="0"/>
              <w:rPr>
                <w:sz w:val="20"/>
                <w:szCs w:val="20"/>
              </w:rPr>
            </w:pPr>
          </w:p>
        </w:tc>
        <w:tc>
          <w:tcPr>
            <w:tcW w:w="709" w:type="dxa"/>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50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 xml:space="preserve">6.53 </w:t>
            </w:r>
          </w:p>
        </w:tc>
        <w:tc>
          <w:tcPr>
            <w:tcW w:w="1418" w:type="dxa"/>
          </w:tcPr>
          <w:p w:rsidR="007D4337" w:rsidRPr="00716409" w:rsidRDefault="007D4337" w:rsidP="00716409">
            <w:pPr>
              <w:ind w:left="0" w:right="0"/>
              <w:rPr>
                <w:sz w:val="20"/>
                <w:szCs w:val="20"/>
              </w:rPr>
            </w:pPr>
            <w:r w:rsidRPr="00716409">
              <w:rPr>
                <w:sz w:val="20"/>
                <w:szCs w:val="20"/>
              </w:rPr>
              <w:t>3.3</w:t>
            </w:r>
          </w:p>
        </w:tc>
        <w:tc>
          <w:tcPr>
            <w:tcW w:w="1134" w:type="dxa"/>
          </w:tcPr>
          <w:p w:rsidR="007D4337" w:rsidRPr="00716409" w:rsidRDefault="007D4337" w:rsidP="00716409">
            <w:pPr>
              <w:ind w:left="0" w:right="0"/>
              <w:rPr>
                <w:sz w:val="20"/>
                <w:szCs w:val="20"/>
              </w:rPr>
            </w:pPr>
            <w:r w:rsidRPr="00716409">
              <w:rPr>
                <w:sz w:val="20"/>
                <w:szCs w:val="20"/>
              </w:rPr>
              <w:t>1.8</w:t>
            </w:r>
          </w:p>
        </w:tc>
      </w:tr>
      <w:tr w:rsidR="005617AE" w:rsidRPr="007068A9" w:rsidTr="00187359">
        <w:trPr>
          <w:trHeight w:val="227"/>
        </w:trPr>
        <w:tc>
          <w:tcPr>
            <w:tcW w:w="1560" w:type="dxa"/>
            <w:gridSpan w:val="2"/>
            <w:vMerge w:val="restart"/>
          </w:tcPr>
          <w:p w:rsidR="007D4337" w:rsidRPr="00716409" w:rsidRDefault="007D4337" w:rsidP="00716409">
            <w:pPr>
              <w:ind w:left="0" w:right="0"/>
              <w:rPr>
                <w:sz w:val="20"/>
                <w:szCs w:val="20"/>
              </w:rPr>
            </w:pPr>
            <w:r w:rsidRPr="00716409">
              <w:rPr>
                <w:sz w:val="20"/>
                <w:szCs w:val="20"/>
              </w:rPr>
              <w:t>Rat</w:t>
            </w:r>
            <w:r w:rsidR="005A11E0" w:rsidRPr="00716409">
              <w:rPr>
                <w:sz w:val="20"/>
                <w:szCs w:val="20"/>
              </w:rPr>
              <w:t xml:space="preserve"> </w:t>
            </w:r>
            <w:r w:rsidRPr="00716409">
              <w:rPr>
                <w:sz w:val="20"/>
                <w:szCs w:val="20"/>
              </w:rPr>
              <w:t>(SD)</w:t>
            </w:r>
          </w:p>
        </w:tc>
        <w:tc>
          <w:tcPr>
            <w:tcW w:w="992" w:type="dxa"/>
            <w:vMerge w:val="restart"/>
          </w:tcPr>
          <w:p w:rsidR="007D4337" w:rsidRPr="00716409" w:rsidRDefault="007D4337" w:rsidP="00716409">
            <w:pPr>
              <w:ind w:left="0" w:right="0"/>
              <w:rPr>
                <w:sz w:val="20"/>
                <w:szCs w:val="20"/>
              </w:rPr>
            </w:pPr>
            <w:r w:rsidRPr="00716409">
              <w:rPr>
                <w:sz w:val="20"/>
                <w:szCs w:val="20"/>
              </w:rPr>
              <w:t>3 months</w:t>
            </w:r>
          </w:p>
        </w:tc>
        <w:tc>
          <w:tcPr>
            <w:tcW w:w="1242" w:type="dxa"/>
          </w:tcPr>
          <w:p w:rsidR="007D4337" w:rsidRPr="00716409" w:rsidRDefault="007D4337" w:rsidP="00716409">
            <w:pPr>
              <w:ind w:left="0" w:right="0"/>
              <w:rPr>
                <w:sz w:val="20"/>
                <w:szCs w:val="20"/>
              </w:rPr>
            </w:pPr>
            <w:r w:rsidRPr="00716409">
              <w:rPr>
                <w:sz w:val="20"/>
                <w:szCs w:val="20"/>
              </w:rPr>
              <w:t>50</w:t>
            </w:r>
          </w:p>
        </w:tc>
        <w:tc>
          <w:tcPr>
            <w:tcW w:w="1134" w:type="dxa"/>
            <w:vMerge w:val="restart"/>
          </w:tcPr>
          <w:p w:rsidR="007D4337" w:rsidRPr="00716409" w:rsidRDefault="007D4337" w:rsidP="00716409">
            <w:pPr>
              <w:ind w:left="0" w:right="0"/>
              <w:rPr>
                <w:sz w:val="20"/>
                <w:szCs w:val="20"/>
              </w:rPr>
            </w:pPr>
            <w:r w:rsidRPr="00716409">
              <w:rPr>
                <w:sz w:val="20"/>
                <w:szCs w:val="20"/>
              </w:rPr>
              <w:t>AUC</w:t>
            </w:r>
          </w:p>
        </w:tc>
        <w:tc>
          <w:tcPr>
            <w:tcW w:w="1417" w:type="dxa"/>
          </w:tcPr>
          <w:p w:rsidR="007D4337" w:rsidRPr="00716409" w:rsidRDefault="007D4337" w:rsidP="00716409">
            <w:pPr>
              <w:ind w:left="0" w:right="0"/>
              <w:rPr>
                <w:sz w:val="20"/>
                <w:szCs w:val="20"/>
              </w:rPr>
            </w:pPr>
            <w:r w:rsidRPr="00716409">
              <w:rPr>
                <w:sz w:val="20"/>
                <w:szCs w:val="20"/>
              </w:rPr>
              <w:t>18.1</w:t>
            </w:r>
          </w:p>
        </w:tc>
        <w:tc>
          <w:tcPr>
            <w:tcW w:w="1418" w:type="dxa"/>
          </w:tcPr>
          <w:p w:rsidR="007D4337" w:rsidRPr="00716409" w:rsidRDefault="007D4337" w:rsidP="00716409">
            <w:pPr>
              <w:ind w:left="0" w:right="0"/>
              <w:rPr>
                <w:sz w:val="20"/>
                <w:szCs w:val="20"/>
              </w:rPr>
            </w:pPr>
            <w:r w:rsidRPr="00716409">
              <w:rPr>
                <w:sz w:val="20"/>
                <w:szCs w:val="20"/>
              </w:rPr>
              <w:t>1.5</w:t>
            </w:r>
          </w:p>
        </w:tc>
        <w:tc>
          <w:tcPr>
            <w:tcW w:w="1134" w:type="dxa"/>
          </w:tcPr>
          <w:p w:rsidR="007D4337" w:rsidRPr="00716409" w:rsidRDefault="007D4337" w:rsidP="00716409">
            <w:pPr>
              <w:ind w:left="0" w:right="0"/>
              <w:rPr>
                <w:sz w:val="20"/>
                <w:szCs w:val="20"/>
              </w:rPr>
            </w:pPr>
            <w:r w:rsidRPr="00716409">
              <w:rPr>
                <w:sz w:val="20"/>
                <w:szCs w:val="20"/>
              </w:rPr>
              <w:t>0.3</w:t>
            </w:r>
          </w:p>
        </w:tc>
      </w:tr>
      <w:tr w:rsidR="005617AE" w:rsidRPr="007068A9" w:rsidTr="00187359">
        <w:trPr>
          <w:trHeight w:val="227"/>
        </w:trPr>
        <w:tc>
          <w:tcPr>
            <w:tcW w:w="1560" w:type="dxa"/>
            <w:gridSpan w:val="2"/>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100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36.2</w:t>
            </w:r>
          </w:p>
        </w:tc>
        <w:tc>
          <w:tcPr>
            <w:tcW w:w="1418" w:type="dxa"/>
          </w:tcPr>
          <w:p w:rsidR="007D4337" w:rsidRPr="00716409" w:rsidRDefault="007D4337" w:rsidP="00716409">
            <w:pPr>
              <w:ind w:left="0" w:right="0"/>
              <w:rPr>
                <w:sz w:val="20"/>
                <w:szCs w:val="20"/>
              </w:rPr>
            </w:pPr>
            <w:r w:rsidRPr="00716409">
              <w:rPr>
                <w:sz w:val="20"/>
                <w:szCs w:val="20"/>
              </w:rPr>
              <w:t>3.0</w:t>
            </w:r>
          </w:p>
        </w:tc>
        <w:tc>
          <w:tcPr>
            <w:tcW w:w="1134" w:type="dxa"/>
          </w:tcPr>
          <w:p w:rsidR="007D4337" w:rsidRPr="00716409" w:rsidRDefault="007D4337" w:rsidP="00716409">
            <w:pPr>
              <w:ind w:left="0" w:right="0"/>
              <w:rPr>
                <w:sz w:val="20"/>
                <w:szCs w:val="20"/>
              </w:rPr>
            </w:pPr>
            <w:r w:rsidRPr="00716409">
              <w:rPr>
                <w:sz w:val="20"/>
                <w:szCs w:val="20"/>
              </w:rPr>
              <w:t>0.6</w:t>
            </w:r>
          </w:p>
        </w:tc>
      </w:tr>
      <w:tr w:rsidR="005617AE" w:rsidRPr="007068A9" w:rsidTr="00187359">
        <w:trPr>
          <w:trHeight w:val="227"/>
        </w:trPr>
        <w:tc>
          <w:tcPr>
            <w:tcW w:w="1560" w:type="dxa"/>
            <w:gridSpan w:val="2"/>
            <w:vMerge/>
          </w:tcPr>
          <w:p w:rsidR="007D4337" w:rsidRPr="00716409" w:rsidRDefault="007D4337" w:rsidP="00716409">
            <w:pPr>
              <w:ind w:left="0" w:right="0"/>
              <w:rPr>
                <w:sz w:val="20"/>
                <w:szCs w:val="20"/>
              </w:rPr>
            </w:pPr>
          </w:p>
        </w:tc>
        <w:tc>
          <w:tcPr>
            <w:tcW w:w="992" w:type="dxa"/>
            <w:vMerge/>
          </w:tcPr>
          <w:p w:rsidR="007D4337" w:rsidRPr="00716409" w:rsidRDefault="007D4337" w:rsidP="00716409">
            <w:pPr>
              <w:ind w:left="0" w:right="0"/>
              <w:rPr>
                <w:sz w:val="20"/>
                <w:szCs w:val="20"/>
              </w:rPr>
            </w:pPr>
          </w:p>
        </w:tc>
        <w:tc>
          <w:tcPr>
            <w:tcW w:w="1242" w:type="dxa"/>
          </w:tcPr>
          <w:p w:rsidR="007D4337" w:rsidRPr="00716409" w:rsidRDefault="007D4337" w:rsidP="00716409">
            <w:pPr>
              <w:ind w:left="0" w:right="0"/>
              <w:rPr>
                <w:sz w:val="20"/>
                <w:szCs w:val="20"/>
              </w:rPr>
            </w:pPr>
            <w:r w:rsidRPr="00716409">
              <w:rPr>
                <w:sz w:val="20"/>
                <w:szCs w:val="20"/>
              </w:rPr>
              <w:t>up to 250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105.5</w:t>
            </w:r>
          </w:p>
        </w:tc>
        <w:tc>
          <w:tcPr>
            <w:tcW w:w="1418" w:type="dxa"/>
          </w:tcPr>
          <w:p w:rsidR="007D4337" w:rsidRPr="00716409" w:rsidRDefault="007D4337" w:rsidP="00716409">
            <w:pPr>
              <w:ind w:left="0" w:right="0"/>
              <w:rPr>
                <w:sz w:val="20"/>
                <w:szCs w:val="20"/>
              </w:rPr>
            </w:pPr>
            <w:r w:rsidRPr="00716409">
              <w:rPr>
                <w:sz w:val="20"/>
                <w:szCs w:val="20"/>
              </w:rPr>
              <w:t>9</w:t>
            </w:r>
          </w:p>
        </w:tc>
        <w:tc>
          <w:tcPr>
            <w:tcW w:w="1134" w:type="dxa"/>
          </w:tcPr>
          <w:p w:rsidR="007D4337" w:rsidRPr="00716409" w:rsidRDefault="007D4337" w:rsidP="00716409">
            <w:pPr>
              <w:ind w:left="0" w:right="0"/>
              <w:rPr>
                <w:sz w:val="20"/>
                <w:szCs w:val="20"/>
              </w:rPr>
            </w:pPr>
            <w:r w:rsidRPr="00716409">
              <w:rPr>
                <w:sz w:val="20"/>
                <w:szCs w:val="20"/>
              </w:rPr>
              <w:t>1.7</w:t>
            </w:r>
          </w:p>
        </w:tc>
      </w:tr>
      <w:tr w:rsidR="005617AE" w:rsidRPr="007068A9" w:rsidTr="00187359">
        <w:trPr>
          <w:trHeight w:val="227"/>
        </w:trPr>
        <w:tc>
          <w:tcPr>
            <w:tcW w:w="1560" w:type="dxa"/>
            <w:gridSpan w:val="2"/>
            <w:vMerge/>
          </w:tcPr>
          <w:p w:rsidR="007D4337" w:rsidRPr="00716409" w:rsidRDefault="007D4337" w:rsidP="00716409">
            <w:pPr>
              <w:ind w:left="0" w:right="0"/>
              <w:rPr>
                <w:sz w:val="20"/>
                <w:szCs w:val="20"/>
              </w:rPr>
            </w:pPr>
          </w:p>
        </w:tc>
        <w:tc>
          <w:tcPr>
            <w:tcW w:w="992" w:type="dxa"/>
            <w:vMerge w:val="restart"/>
          </w:tcPr>
          <w:p w:rsidR="007D4337" w:rsidRPr="00716409" w:rsidRDefault="007D4337" w:rsidP="00716409">
            <w:pPr>
              <w:ind w:left="0" w:right="0"/>
              <w:rPr>
                <w:sz w:val="20"/>
                <w:szCs w:val="20"/>
              </w:rPr>
            </w:pPr>
            <w:r w:rsidRPr="00716409">
              <w:rPr>
                <w:sz w:val="20"/>
                <w:szCs w:val="20"/>
              </w:rPr>
              <w:t>2 years</w:t>
            </w:r>
            <w:r w:rsidR="005A11E0" w:rsidRPr="00716409">
              <w:rPr>
                <w:sz w:val="20"/>
                <w:szCs w:val="20"/>
              </w:rPr>
              <w:t xml:space="preserve"> </w:t>
            </w:r>
            <w:proofErr w:type="spellStart"/>
            <w:r w:rsidR="005617AE" w:rsidRPr="00716409">
              <w:rPr>
                <w:sz w:val="20"/>
                <w:szCs w:val="20"/>
              </w:rPr>
              <w:t>carcinog</w:t>
            </w:r>
            <w:r w:rsidR="00441EC2" w:rsidRPr="00716409">
              <w:rPr>
                <w:sz w:val="20"/>
                <w:szCs w:val="20"/>
              </w:rPr>
              <w:t>-</w:t>
            </w:r>
            <w:r w:rsidR="005617AE" w:rsidRPr="00716409">
              <w:rPr>
                <w:sz w:val="20"/>
                <w:szCs w:val="20"/>
              </w:rPr>
              <w:t>en</w:t>
            </w:r>
            <w:r w:rsidRPr="00716409">
              <w:rPr>
                <w:sz w:val="20"/>
                <w:szCs w:val="20"/>
              </w:rPr>
              <w:t>icity</w:t>
            </w:r>
            <w:proofErr w:type="spellEnd"/>
          </w:p>
        </w:tc>
        <w:tc>
          <w:tcPr>
            <w:tcW w:w="1242" w:type="dxa"/>
          </w:tcPr>
          <w:p w:rsidR="007D4337" w:rsidRPr="00716409" w:rsidRDefault="007D4337" w:rsidP="00716409">
            <w:pPr>
              <w:ind w:left="0" w:right="0"/>
              <w:rPr>
                <w:sz w:val="20"/>
                <w:szCs w:val="20"/>
              </w:rPr>
            </w:pPr>
            <w:r w:rsidRPr="00716409">
              <w:rPr>
                <w:sz w:val="20"/>
                <w:szCs w:val="20"/>
              </w:rPr>
              <w:t>12.5 (males only)</w:t>
            </w:r>
          </w:p>
        </w:tc>
        <w:tc>
          <w:tcPr>
            <w:tcW w:w="1134" w:type="dxa"/>
            <w:vMerge w:val="restart"/>
          </w:tcPr>
          <w:p w:rsidR="007D4337" w:rsidRPr="00716409" w:rsidRDefault="007D4337" w:rsidP="00716409">
            <w:pPr>
              <w:ind w:left="0" w:right="0"/>
              <w:rPr>
                <w:sz w:val="20"/>
                <w:szCs w:val="20"/>
              </w:rPr>
            </w:pPr>
            <w:r w:rsidRPr="00716409">
              <w:rPr>
                <w:sz w:val="20"/>
                <w:szCs w:val="20"/>
              </w:rPr>
              <w:t>AUC</w:t>
            </w:r>
          </w:p>
        </w:tc>
        <w:tc>
          <w:tcPr>
            <w:tcW w:w="1417" w:type="dxa"/>
          </w:tcPr>
          <w:p w:rsidR="007D4337" w:rsidRPr="00716409" w:rsidRDefault="007D4337" w:rsidP="00716409">
            <w:pPr>
              <w:ind w:left="0" w:right="0"/>
              <w:rPr>
                <w:sz w:val="20"/>
                <w:szCs w:val="20"/>
              </w:rPr>
            </w:pPr>
            <w:r w:rsidRPr="00716409">
              <w:rPr>
                <w:sz w:val="20"/>
                <w:szCs w:val="20"/>
              </w:rPr>
              <w:t>5.34</w:t>
            </w:r>
          </w:p>
        </w:tc>
        <w:tc>
          <w:tcPr>
            <w:tcW w:w="1418" w:type="dxa"/>
          </w:tcPr>
          <w:p w:rsidR="007D4337" w:rsidRPr="00716409" w:rsidRDefault="007D4337" w:rsidP="00716409">
            <w:pPr>
              <w:ind w:left="0" w:right="0"/>
              <w:rPr>
                <w:sz w:val="20"/>
                <w:szCs w:val="20"/>
              </w:rPr>
            </w:pPr>
            <w:r w:rsidRPr="00716409">
              <w:rPr>
                <w:sz w:val="20"/>
                <w:szCs w:val="20"/>
              </w:rPr>
              <w:t>0.4</w:t>
            </w:r>
          </w:p>
        </w:tc>
        <w:tc>
          <w:tcPr>
            <w:tcW w:w="1134" w:type="dxa"/>
          </w:tcPr>
          <w:p w:rsidR="007D4337" w:rsidRPr="00716409" w:rsidRDefault="007D4337" w:rsidP="00716409">
            <w:pPr>
              <w:ind w:left="0" w:right="0"/>
              <w:rPr>
                <w:sz w:val="20"/>
                <w:szCs w:val="20"/>
              </w:rPr>
            </w:pPr>
            <w:r w:rsidRPr="00716409">
              <w:rPr>
                <w:sz w:val="20"/>
                <w:szCs w:val="20"/>
              </w:rPr>
              <w:t>0.1</w:t>
            </w:r>
          </w:p>
        </w:tc>
      </w:tr>
      <w:tr w:rsidR="005617AE" w:rsidRPr="007068A9" w:rsidTr="00187359">
        <w:trPr>
          <w:trHeight w:val="227"/>
        </w:trPr>
        <w:tc>
          <w:tcPr>
            <w:tcW w:w="1560" w:type="dxa"/>
            <w:gridSpan w:val="2"/>
            <w:vMerge/>
          </w:tcPr>
          <w:p w:rsidR="007D4337" w:rsidRPr="00716409" w:rsidRDefault="007D4337" w:rsidP="00716409">
            <w:pPr>
              <w:ind w:left="0" w:right="0"/>
              <w:rPr>
                <w:color w:val="00B050"/>
                <w:sz w:val="20"/>
                <w:szCs w:val="20"/>
              </w:rPr>
            </w:pPr>
          </w:p>
        </w:tc>
        <w:tc>
          <w:tcPr>
            <w:tcW w:w="992" w:type="dxa"/>
            <w:vMerge/>
          </w:tcPr>
          <w:p w:rsidR="007D4337" w:rsidRPr="00716409" w:rsidRDefault="007D4337" w:rsidP="00716409">
            <w:pPr>
              <w:ind w:left="0" w:right="0"/>
              <w:rPr>
                <w:color w:val="00B050"/>
                <w:sz w:val="20"/>
                <w:szCs w:val="20"/>
              </w:rPr>
            </w:pPr>
          </w:p>
        </w:tc>
        <w:tc>
          <w:tcPr>
            <w:tcW w:w="1242" w:type="dxa"/>
          </w:tcPr>
          <w:p w:rsidR="007D4337" w:rsidRPr="00716409" w:rsidRDefault="007D4337" w:rsidP="00716409">
            <w:pPr>
              <w:ind w:left="0" w:right="0"/>
              <w:rPr>
                <w:sz w:val="20"/>
                <w:szCs w:val="20"/>
              </w:rPr>
            </w:pPr>
            <w:r w:rsidRPr="00716409">
              <w:rPr>
                <w:sz w:val="20"/>
                <w:szCs w:val="20"/>
              </w:rPr>
              <w:t>25</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10.7</w:t>
            </w:r>
          </w:p>
        </w:tc>
        <w:tc>
          <w:tcPr>
            <w:tcW w:w="1418" w:type="dxa"/>
          </w:tcPr>
          <w:p w:rsidR="007D4337" w:rsidRPr="00716409" w:rsidRDefault="007D4337" w:rsidP="00716409">
            <w:pPr>
              <w:ind w:left="0" w:right="0"/>
              <w:rPr>
                <w:sz w:val="20"/>
                <w:szCs w:val="20"/>
              </w:rPr>
            </w:pPr>
            <w:r w:rsidRPr="00716409">
              <w:rPr>
                <w:sz w:val="20"/>
                <w:szCs w:val="20"/>
              </w:rPr>
              <w:t>0.9</w:t>
            </w:r>
          </w:p>
        </w:tc>
        <w:tc>
          <w:tcPr>
            <w:tcW w:w="1134" w:type="dxa"/>
          </w:tcPr>
          <w:p w:rsidR="007D4337" w:rsidRPr="00716409" w:rsidRDefault="007D4337" w:rsidP="00716409">
            <w:pPr>
              <w:ind w:left="0" w:right="0"/>
              <w:rPr>
                <w:sz w:val="20"/>
                <w:szCs w:val="20"/>
              </w:rPr>
            </w:pPr>
            <w:r w:rsidRPr="00716409">
              <w:rPr>
                <w:sz w:val="20"/>
                <w:szCs w:val="20"/>
              </w:rPr>
              <w:t>0.2</w:t>
            </w:r>
          </w:p>
        </w:tc>
      </w:tr>
      <w:tr w:rsidR="005617AE" w:rsidRPr="007068A9" w:rsidTr="00187359">
        <w:trPr>
          <w:trHeight w:val="227"/>
        </w:trPr>
        <w:tc>
          <w:tcPr>
            <w:tcW w:w="1560" w:type="dxa"/>
            <w:gridSpan w:val="2"/>
            <w:vMerge/>
          </w:tcPr>
          <w:p w:rsidR="007D4337" w:rsidRPr="00716409" w:rsidRDefault="007D4337" w:rsidP="00716409">
            <w:pPr>
              <w:ind w:left="0" w:right="0"/>
              <w:rPr>
                <w:color w:val="00B050"/>
                <w:sz w:val="20"/>
                <w:szCs w:val="20"/>
              </w:rPr>
            </w:pPr>
          </w:p>
        </w:tc>
        <w:tc>
          <w:tcPr>
            <w:tcW w:w="992" w:type="dxa"/>
            <w:vMerge/>
          </w:tcPr>
          <w:p w:rsidR="007D4337" w:rsidRPr="00716409" w:rsidRDefault="007D4337" w:rsidP="00716409">
            <w:pPr>
              <w:ind w:left="0" w:right="0"/>
              <w:rPr>
                <w:color w:val="00B050"/>
                <w:sz w:val="20"/>
                <w:szCs w:val="20"/>
              </w:rPr>
            </w:pPr>
          </w:p>
        </w:tc>
        <w:tc>
          <w:tcPr>
            <w:tcW w:w="1242" w:type="dxa"/>
          </w:tcPr>
          <w:p w:rsidR="007D4337" w:rsidRPr="00716409" w:rsidRDefault="007D4337" w:rsidP="00716409">
            <w:pPr>
              <w:ind w:left="0" w:right="0"/>
              <w:rPr>
                <w:sz w:val="20"/>
                <w:szCs w:val="20"/>
              </w:rPr>
            </w:pPr>
            <w:r w:rsidRPr="00716409">
              <w:rPr>
                <w:sz w:val="20"/>
                <w:szCs w:val="20"/>
              </w:rPr>
              <w:t>50</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20.5</w:t>
            </w:r>
          </w:p>
        </w:tc>
        <w:tc>
          <w:tcPr>
            <w:tcW w:w="1418" w:type="dxa"/>
          </w:tcPr>
          <w:p w:rsidR="007D4337" w:rsidRPr="00716409" w:rsidRDefault="007D4337" w:rsidP="00716409">
            <w:pPr>
              <w:ind w:left="0" w:right="0"/>
              <w:rPr>
                <w:sz w:val="20"/>
                <w:szCs w:val="20"/>
              </w:rPr>
            </w:pPr>
            <w:r w:rsidRPr="00716409">
              <w:rPr>
                <w:sz w:val="20"/>
                <w:szCs w:val="20"/>
              </w:rPr>
              <w:t>1.7</w:t>
            </w:r>
          </w:p>
        </w:tc>
        <w:tc>
          <w:tcPr>
            <w:tcW w:w="1134" w:type="dxa"/>
          </w:tcPr>
          <w:p w:rsidR="007D4337" w:rsidRPr="00716409" w:rsidRDefault="007D4337" w:rsidP="00716409">
            <w:pPr>
              <w:ind w:left="0" w:right="0"/>
              <w:rPr>
                <w:sz w:val="20"/>
                <w:szCs w:val="20"/>
              </w:rPr>
            </w:pPr>
            <w:r w:rsidRPr="00716409">
              <w:rPr>
                <w:sz w:val="20"/>
                <w:szCs w:val="20"/>
              </w:rPr>
              <w:t>0.3</w:t>
            </w:r>
          </w:p>
        </w:tc>
      </w:tr>
      <w:tr w:rsidR="005617AE" w:rsidRPr="007068A9" w:rsidTr="00187359">
        <w:trPr>
          <w:trHeight w:val="227"/>
        </w:trPr>
        <w:tc>
          <w:tcPr>
            <w:tcW w:w="1560" w:type="dxa"/>
            <w:gridSpan w:val="2"/>
            <w:vMerge/>
          </w:tcPr>
          <w:p w:rsidR="007D4337" w:rsidRPr="00716409" w:rsidRDefault="007D4337" w:rsidP="00716409">
            <w:pPr>
              <w:ind w:left="0" w:right="0"/>
              <w:rPr>
                <w:color w:val="00B050"/>
                <w:sz w:val="20"/>
                <w:szCs w:val="20"/>
              </w:rPr>
            </w:pPr>
          </w:p>
        </w:tc>
        <w:tc>
          <w:tcPr>
            <w:tcW w:w="992" w:type="dxa"/>
            <w:vMerge/>
          </w:tcPr>
          <w:p w:rsidR="007D4337" w:rsidRPr="00716409" w:rsidRDefault="007D4337" w:rsidP="00716409">
            <w:pPr>
              <w:ind w:left="0" w:right="0"/>
              <w:rPr>
                <w:color w:val="00B050"/>
                <w:sz w:val="20"/>
                <w:szCs w:val="20"/>
              </w:rPr>
            </w:pPr>
          </w:p>
        </w:tc>
        <w:tc>
          <w:tcPr>
            <w:tcW w:w="1242" w:type="dxa"/>
          </w:tcPr>
          <w:p w:rsidR="007D4337" w:rsidRPr="00716409" w:rsidRDefault="007D4337" w:rsidP="00716409">
            <w:pPr>
              <w:ind w:left="0" w:right="0"/>
              <w:rPr>
                <w:sz w:val="20"/>
                <w:szCs w:val="20"/>
              </w:rPr>
            </w:pPr>
            <w:r w:rsidRPr="00716409">
              <w:rPr>
                <w:sz w:val="20"/>
                <w:szCs w:val="20"/>
              </w:rPr>
              <w:t>100 (females only)</w:t>
            </w:r>
          </w:p>
        </w:tc>
        <w:tc>
          <w:tcPr>
            <w:tcW w:w="1134" w:type="dxa"/>
            <w:vMerge/>
          </w:tcPr>
          <w:p w:rsidR="007D4337" w:rsidRPr="00716409" w:rsidRDefault="007D4337" w:rsidP="00716409">
            <w:pPr>
              <w:ind w:left="0" w:right="0" w:firstLine="170"/>
              <w:rPr>
                <w:sz w:val="20"/>
                <w:szCs w:val="20"/>
              </w:rPr>
            </w:pPr>
          </w:p>
        </w:tc>
        <w:tc>
          <w:tcPr>
            <w:tcW w:w="1417" w:type="dxa"/>
          </w:tcPr>
          <w:p w:rsidR="007D4337" w:rsidRPr="00716409" w:rsidRDefault="007D4337" w:rsidP="00716409">
            <w:pPr>
              <w:ind w:left="0" w:right="0"/>
              <w:rPr>
                <w:sz w:val="20"/>
                <w:szCs w:val="20"/>
              </w:rPr>
            </w:pPr>
            <w:r w:rsidRPr="00716409">
              <w:rPr>
                <w:sz w:val="20"/>
                <w:szCs w:val="20"/>
              </w:rPr>
              <w:t>37.5</w:t>
            </w:r>
          </w:p>
        </w:tc>
        <w:tc>
          <w:tcPr>
            <w:tcW w:w="1418" w:type="dxa"/>
          </w:tcPr>
          <w:p w:rsidR="007D4337" w:rsidRPr="00716409" w:rsidRDefault="007D4337" w:rsidP="00716409">
            <w:pPr>
              <w:ind w:left="0" w:right="0"/>
              <w:rPr>
                <w:sz w:val="20"/>
                <w:szCs w:val="20"/>
              </w:rPr>
            </w:pPr>
            <w:r w:rsidRPr="00716409">
              <w:rPr>
                <w:sz w:val="20"/>
                <w:szCs w:val="20"/>
              </w:rPr>
              <w:t>3.1</w:t>
            </w:r>
          </w:p>
        </w:tc>
        <w:tc>
          <w:tcPr>
            <w:tcW w:w="1134" w:type="dxa"/>
          </w:tcPr>
          <w:p w:rsidR="007D4337" w:rsidRPr="00716409" w:rsidRDefault="007D4337" w:rsidP="00716409">
            <w:pPr>
              <w:ind w:left="0" w:right="0"/>
              <w:rPr>
                <w:sz w:val="20"/>
                <w:szCs w:val="20"/>
              </w:rPr>
            </w:pPr>
            <w:r w:rsidRPr="00716409">
              <w:rPr>
                <w:sz w:val="20"/>
                <w:szCs w:val="20"/>
              </w:rPr>
              <w:t>0.6</w:t>
            </w:r>
          </w:p>
        </w:tc>
      </w:tr>
      <w:tr w:rsidR="005617AE" w:rsidRPr="007068A9" w:rsidTr="00187359">
        <w:trPr>
          <w:trHeight w:val="227"/>
        </w:trPr>
        <w:tc>
          <w:tcPr>
            <w:tcW w:w="1560" w:type="dxa"/>
            <w:gridSpan w:val="2"/>
          </w:tcPr>
          <w:p w:rsidR="007D4337" w:rsidRPr="00716409" w:rsidRDefault="007D4337" w:rsidP="00716409">
            <w:pPr>
              <w:ind w:left="0" w:right="0"/>
              <w:rPr>
                <w:sz w:val="20"/>
                <w:szCs w:val="20"/>
              </w:rPr>
            </w:pPr>
            <w:r w:rsidRPr="00716409">
              <w:rPr>
                <w:sz w:val="20"/>
                <w:szCs w:val="20"/>
              </w:rPr>
              <w:t>Human</w:t>
            </w:r>
            <w:r w:rsidRPr="00716409">
              <w:rPr>
                <w:sz w:val="20"/>
                <w:szCs w:val="20"/>
              </w:rPr>
              <w:br/>
              <w:t>(healthy volunteers)</w:t>
            </w:r>
          </w:p>
        </w:tc>
        <w:tc>
          <w:tcPr>
            <w:tcW w:w="992" w:type="dxa"/>
          </w:tcPr>
          <w:p w:rsidR="007D4337" w:rsidRPr="00716409" w:rsidRDefault="007D4337" w:rsidP="00716409">
            <w:pPr>
              <w:ind w:left="0" w:right="0"/>
              <w:rPr>
                <w:sz w:val="20"/>
                <w:szCs w:val="20"/>
              </w:rPr>
            </w:pPr>
            <w:r w:rsidRPr="00716409">
              <w:rPr>
                <w:sz w:val="20"/>
                <w:szCs w:val="20"/>
              </w:rPr>
              <w:t>single dose</w:t>
            </w:r>
            <w:r w:rsidR="00716409">
              <w:rPr>
                <w:sz w:val="20"/>
                <w:szCs w:val="20"/>
              </w:rPr>
              <w:t xml:space="preserve"> </w:t>
            </w:r>
            <w:r w:rsidRPr="00716409">
              <w:rPr>
                <w:sz w:val="20"/>
                <w:szCs w:val="20"/>
              </w:rPr>
              <w:t>/</w:t>
            </w:r>
            <w:r w:rsidR="00716409">
              <w:rPr>
                <w:sz w:val="20"/>
                <w:szCs w:val="20"/>
              </w:rPr>
              <w:t xml:space="preserve"> </w:t>
            </w:r>
            <w:r w:rsidRPr="00716409">
              <w:rPr>
                <w:sz w:val="20"/>
                <w:szCs w:val="20"/>
              </w:rPr>
              <w:t>steady state</w:t>
            </w:r>
          </w:p>
        </w:tc>
        <w:tc>
          <w:tcPr>
            <w:tcW w:w="1242" w:type="dxa"/>
          </w:tcPr>
          <w:p w:rsidR="007D4337" w:rsidRPr="00716409" w:rsidRDefault="007D4337" w:rsidP="00716409">
            <w:pPr>
              <w:ind w:left="0" w:right="0"/>
              <w:rPr>
                <w:sz w:val="20"/>
                <w:szCs w:val="20"/>
              </w:rPr>
            </w:pPr>
            <w:r w:rsidRPr="00716409">
              <w:rPr>
                <w:sz w:val="20"/>
                <w:szCs w:val="20"/>
              </w:rPr>
              <w:t>[800 µg]</w:t>
            </w:r>
          </w:p>
        </w:tc>
        <w:tc>
          <w:tcPr>
            <w:tcW w:w="1134" w:type="dxa"/>
          </w:tcPr>
          <w:p w:rsidR="007D4337" w:rsidRPr="00716409" w:rsidRDefault="007D4337" w:rsidP="00716409">
            <w:pPr>
              <w:ind w:left="0" w:right="0"/>
              <w:rPr>
                <w:sz w:val="20"/>
                <w:szCs w:val="20"/>
              </w:rPr>
            </w:pPr>
            <w:r w:rsidRPr="00716409">
              <w:rPr>
                <w:sz w:val="20"/>
                <w:szCs w:val="20"/>
              </w:rPr>
              <w:t>NA</w:t>
            </w:r>
          </w:p>
        </w:tc>
        <w:tc>
          <w:tcPr>
            <w:tcW w:w="1417" w:type="dxa"/>
          </w:tcPr>
          <w:p w:rsidR="007D4337" w:rsidRPr="00716409" w:rsidRDefault="007D4337" w:rsidP="00716409">
            <w:pPr>
              <w:ind w:left="0" w:right="0"/>
              <w:rPr>
                <w:sz w:val="20"/>
                <w:szCs w:val="20"/>
              </w:rPr>
            </w:pPr>
            <w:r w:rsidRPr="00716409">
              <w:rPr>
                <w:sz w:val="20"/>
                <w:szCs w:val="20"/>
              </w:rPr>
              <w:t>AUC 12.24 ng.h/mL^/C</w:t>
            </w:r>
            <w:r w:rsidRPr="00716409">
              <w:rPr>
                <w:sz w:val="20"/>
                <w:szCs w:val="20"/>
                <w:vertAlign w:val="subscript"/>
              </w:rPr>
              <w:t>max</w:t>
            </w:r>
            <w:r w:rsidRPr="00716409">
              <w:rPr>
                <w:sz w:val="20"/>
                <w:szCs w:val="20"/>
              </w:rPr>
              <w:t xml:space="preserve"> 1.968 ng/mL</w:t>
            </w:r>
            <w:r w:rsidRPr="00716409">
              <w:rPr>
                <w:sz w:val="20"/>
                <w:szCs w:val="20"/>
                <w:vertAlign w:val="superscript"/>
              </w:rPr>
              <w:t xml:space="preserve"># </w:t>
            </w:r>
            <w:r w:rsidRPr="00716409">
              <w:rPr>
                <w:sz w:val="20"/>
                <w:szCs w:val="20"/>
              </w:rPr>
              <w:t>for a single dose and AUC 60.72 ng.h/mL</w:t>
            </w:r>
            <w:r w:rsidRPr="00716409">
              <w:rPr>
                <w:rFonts w:ascii="Times New Roman" w:hAnsi="Times New Roman"/>
                <w:sz w:val="20"/>
                <w:szCs w:val="20"/>
                <w:vertAlign w:val="superscript"/>
              </w:rPr>
              <w:t>♦</w:t>
            </w:r>
            <w:r w:rsidRPr="00716409">
              <w:rPr>
                <w:sz w:val="20"/>
                <w:szCs w:val="20"/>
              </w:rPr>
              <w:t>/C</w:t>
            </w:r>
            <w:r w:rsidRPr="00716409">
              <w:rPr>
                <w:sz w:val="20"/>
                <w:szCs w:val="20"/>
                <w:vertAlign w:val="subscript"/>
              </w:rPr>
              <w:t>max</w:t>
            </w:r>
            <w:r w:rsidRPr="00716409">
              <w:rPr>
                <w:sz w:val="20"/>
                <w:szCs w:val="20"/>
              </w:rPr>
              <w:t xml:space="preserve"> 3.54 ng/mL^^ for multiple daily doses</w:t>
            </w:r>
          </w:p>
        </w:tc>
        <w:tc>
          <w:tcPr>
            <w:tcW w:w="1418" w:type="dxa"/>
          </w:tcPr>
          <w:p w:rsidR="007D4337" w:rsidRPr="00716409" w:rsidRDefault="007D4337" w:rsidP="00716409">
            <w:pPr>
              <w:ind w:left="0" w:right="0"/>
              <w:rPr>
                <w:sz w:val="20"/>
                <w:szCs w:val="20"/>
              </w:rPr>
            </w:pPr>
            <w:r w:rsidRPr="00716409">
              <w:rPr>
                <w:sz w:val="20"/>
                <w:szCs w:val="20"/>
              </w:rPr>
              <w:t>-</w:t>
            </w:r>
          </w:p>
        </w:tc>
        <w:tc>
          <w:tcPr>
            <w:tcW w:w="1134" w:type="dxa"/>
          </w:tcPr>
          <w:p w:rsidR="007D4337" w:rsidRPr="00716409" w:rsidRDefault="007D4337" w:rsidP="00716409">
            <w:pPr>
              <w:ind w:left="0" w:right="0"/>
              <w:rPr>
                <w:sz w:val="20"/>
                <w:szCs w:val="20"/>
              </w:rPr>
            </w:pPr>
            <w:r w:rsidRPr="00716409">
              <w:rPr>
                <w:sz w:val="20"/>
                <w:szCs w:val="20"/>
              </w:rPr>
              <w:t>-</w:t>
            </w:r>
          </w:p>
        </w:tc>
      </w:tr>
    </w:tbl>
    <w:p w:rsidR="007D4337" w:rsidRPr="005A11E0" w:rsidRDefault="007D4337" w:rsidP="00716409">
      <w:pPr>
        <w:pStyle w:val="Tabletext"/>
      </w:pPr>
      <w:r w:rsidRPr="005A11E0">
        <w:rPr>
          <w:rStyle w:val="TabletextChar"/>
        </w:rPr>
        <w:t xml:space="preserve">* AUC0-24 h for animals (mean data for relevant time points) and AUC0-∞ for humans; $ ER based on a single human dose of 800 µg (pooled data from Studies 11, 18, 1026, 1027, 1028, 1029, 1037 and 1043); &amp; ER based on AUC0–τ (scaled from a 400 µg dose to an 800 µg dose) or </w:t>
      </w:r>
      <w:proofErr w:type="spellStart"/>
      <w:r w:rsidRPr="005A11E0">
        <w:rPr>
          <w:rStyle w:val="TabletextChar"/>
        </w:rPr>
        <w:t>Cmax</w:t>
      </w:r>
      <w:proofErr w:type="spellEnd"/>
      <w:r w:rsidRPr="005A11E0">
        <w:rPr>
          <w:rStyle w:val="TabletextChar"/>
        </w:rPr>
        <w:t xml:space="preserve"> (scaled from a 400 µg dose to an 800 µg dose) following administration in humans every 6 h over a 24 h period (Study C25608/1029/PK/US); ^ 8 x AUC normalised to 100 µg dose (8 x 1.53 </w:t>
      </w:r>
      <w:proofErr w:type="spellStart"/>
      <w:r w:rsidRPr="005A11E0">
        <w:rPr>
          <w:rStyle w:val="TabletextChar"/>
        </w:rPr>
        <w:t>ng.h</w:t>
      </w:r>
      <w:proofErr w:type="spellEnd"/>
      <w:r w:rsidRPr="005A11E0">
        <w:rPr>
          <w:rStyle w:val="TabletextChar"/>
        </w:rPr>
        <w:t xml:space="preserve">/mL); # 8 x </w:t>
      </w:r>
      <w:proofErr w:type="spellStart"/>
      <w:r w:rsidRPr="005A11E0">
        <w:rPr>
          <w:rStyle w:val="TabletextChar"/>
        </w:rPr>
        <w:t>Cmax</w:t>
      </w:r>
      <w:proofErr w:type="spellEnd"/>
      <w:r w:rsidRPr="005A11E0">
        <w:rPr>
          <w:rStyle w:val="TabletextChar"/>
        </w:rPr>
        <w:t xml:space="preserve"> normalised to 100 µg dose (8 x 0.246 </w:t>
      </w:r>
      <w:proofErr w:type="spellStart"/>
      <w:r w:rsidRPr="005A11E0">
        <w:rPr>
          <w:rStyle w:val="TabletextChar"/>
        </w:rPr>
        <w:t>ng.h</w:t>
      </w:r>
      <w:proofErr w:type="spellEnd"/>
      <w:r w:rsidRPr="005A11E0">
        <w:rPr>
          <w:rStyle w:val="TabletextChar"/>
        </w:rPr>
        <w:t xml:space="preserve">/mL) (pooled data from Studies 11, 18, 1026, 1027, 1028, 1029, 1037 and 1043); </w:t>
      </w:r>
      <w:r w:rsidRPr="005A11E0">
        <w:rPr>
          <w:rStyle w:val="TabletextChar"/>
          <w:rFonts w:ascii="Times New Roman" w:hAnsi="Times New Roman"/>
        </w:rPr>
        <w:t>♦</w:t>
      </w:r>
      <w:r w:rsidRPr="005A11E0">
        <w:rPr>
          <w:rStyle w:val="TabletextChar"/>
        </w:rPr>
        <w:t xml:space="preserve"> 4 x 2 x 7.59 </w:t>
      </w:r>
      <w:proofErr w:type="spellStart"/>
      <w:r w:rsidRPr="005A11E0">
        <w:rPr>
          <w:rStyle w:val="TabletextChar"/>
        </w:rPr>
        <w:t>ng.h</w:t>
      </w:r>
      <w:proofErr w:type="spellEnd"/>
      <w:r w:rsidRPr="005A11E0">
        <w:rPr>
          <w:rStyle w:val="TabletextChar"/>
        </w:rPr>
        <w:t>/mL (Study C25608/1029/PK/US); ^^ 2 x 1.77 ng/mL (Study C25608/1029/PK/US); @ 2 h plasma concentrations (</w:t>
      </w:r>
      <w:r w:rsidR="00483B0C" w:rsidRPr="005A11E0">
        <w:rPr>
          <w:rStyle w:val="TabletextChar"/>
        </w:rPr>
        <w:t>that is,</w:t>
      </w:r>
      <w:r w:rsidRPr="005A11E0">
        <w:rPr>
          <w:rStyle w:val="TabletextChar"/>
        </w:rPr>
        <w:t xml:space="preserve"> the </w:t>
      </w:r>
      <w:proofErr w:type="spellStart"/>
      <w:r w:rsidRPr="005A11E0">
        <w:rPr>
          <w:rStyle w:val="TabletextChar"/>
        </w:rPr>
        <w:t>Cmax</w:t>
      </w:r>
      <w:proofErr w:type="spellEnd"/>
      <w:r w:rsidRPr="005A11E0">
        <w:rPr>
          <w:rStyle w:val="TabletextChar"/>
        </w:rPr>
        <w:t xml:space="preserve"> after dermal administration); NA = n</w:t>
      </w:r>
      <w:r w:rsidRPr="005A11E0">
        <w:t>ot applicable</w:t>
      </w:r>
    </w:p>
    <w:p w:rsidR="007D4337" w:rsidRPr="00936758" w:rsidRDefault="007D4337" w:rsidP="00716409">
      <w:r>
        <w:t>There was a large (5</w:t>
      </w:r>
      <w:r w:rsidR="00483B0C">
        <w:t xml:space="preserve"> </w:t>
      </w:r>
      <w:r>
        <w:t>fold) difference in the ER (based on C</w:t>
      </w:r>
      <w:r w:rsidRPr="00612E4B">
        <w:rPr>
          <w:vertAlign w:val="subscript"/>
        </w:rPr>
        <w:t>max</w:t>
      </w:r>
      <w:r>
        <w:t>) calculated for the dose of 50 µg/day in the mouse range-finding study and the ER (based on C</w:t>
      </w:r>
      <w:r>
        <w:rPr>
          <w:vertAlign w:val="subscript"/>
        </w:rPr>
        <w:t>max</w:t>
      </w:r>
      <w:r>
        <w:t xml:space="preserve">) calculated for the same dose in the carcinogenicity study which was probably due to variability (the difference between the two studies at the 5 µg/day dose level was only 33%). This difference suggests that the ER of 3.3 </w:t>
      </w:r>
      <w:proofErr w:type="gramStart"/>
      <w:r>
        <w:t>at 50 µg/day in the carcinogenicity study</w:t>
      </w:r>
      <w:proofErr w:type="gramEnd"/>
      <w:r>
        <w:t xml:space="preserve"> may have been an underestimate.</w:t>
      </w:r>
    </w:p>
    <w:p w:rsidR="007D4337" w:rsidRPr="0030403C" w:rsidRDefault="007D4337" w:rsidP="005A11E0">
      <w:pPr>
        <w:pStyle w:val="Heading4"/>
      </w:pPr>
      <w:bookmarkStart w:id="57" w:name="_Toc294861729"/>
      <w:r w:rsidRPr="001258AE">
        <w:t>Genotoxicity</w:t>
      </w:r>
      <w:bookmarkEnd w:id="57"/>
    </w:p>
    <w:p w:rsidR="007D4337" w:rsidRPr="00943EF6" w:rsidRDefault="007D4337" w:rsidP="00716409">
      <w:r>
        <w:t>A compilation of GLP</w:t>
      </w:r>
      <w:r w:rsidR="007E4FA2">
        <w:t xml:space="preserve"> </w:t>
      </w:r>
      <w:r>
        <w:t xml:space="preserve">compliant genotoxicity studies comprising a reverse mutation study in </w:t>
      </w:r>
      <w:r>
        <w:rPr>
          <w:i/>
        </w:rPr>
        <w:t>S. typhimurium</w:t>
      </w:r>
      <w:r>
        <w:t xml:space="preserve"> and </w:t>
      </w:r>
      <w:r>
        <w:rPr>
          <w:i/>
        </w:rPr>
        <w:t>E. coli</w:t>
      </w:r>
      <w:r>
        <w:t xml:space="preserve"> strains, a forward mutation study at the thymidine kinase locus in mouse lymphoma L5178Y cells and an </w:t>
      </w:r>
      <w:r w:rsidRPr="007E4FA2">
        <w:t>in vivo</w:t>
      </w:r>
      <w:r>
        <w:t xml:space="preserve"> mouse micronucleus assay, were submitted. As the same studies have been evaluated </w:t>
      </w:r>
      <w:r w:rsidRPr="0030403C">
        <w:t>previously (Actiq®),</w:t>
      </w:r>
      <w:r w:rsidRPr="001E6A00">
        <w:t xml:space="preserve"> they</w:t>
      </w:r>
      <w:r>
        <w:t xml:space="preserve"> were not re-evaluated. The studies were adequately conducted and there was no evidence from any of the studies that fentanyl was genotoxic.</w:t>
      </w:r>
    </w:p>
    <w:p w:rsidR="007D4337" w:rsidRPr="001258AE" w:rsidRDefault="007D4337" w:rsidP="005A11E0">
      <w:pPr>
        <w:pStyle w:val="Heading4"/>
      </w:pPr>
      <w:bookmarkStart w:id="58" w:name="_Toc294861730"/>
      <w:r w:rsidRPr="001258AE">
        <w:lastRenderedPageBreak/>
        <w:t>Carcinogenicity</w:t>
      </w:r>
      <w:bookmarkEnd w:id="58"/>
    </w:p>
    <w:p w:rsidR="007D4337" w:rsidRDefault="007D4337" w:rsidP="005A11E0">
      <w:r>
        <w:t>Carcinogenicity studies are not required for the indication currently sought (in cancer patients) but the studies were conducted to support a non-cancer indication in the USA and are evaluated here as they are relevant for the Product Information and for possible future applications to the TGA.</w:t>
      </w:r>
    </w:p>
    <w:p w:rsidR="007D4337" w:rsidRPr="0036038A" w:rsidRDefault="007D4337" w:rsidP="005A11E0">
      <w:r w:rsidRPr="007A6D01">
        <w:t>Carcinogenic</w:t>
      </w:r>
      <w:r w:rsidR="007E4FA2">
        <w:t xml:space="preserve">ity studies conducted were a 26 </w:t>
      </w:r>
      <w:r w:rsidRPr="007A6D01">
        <w:t>week dermal study in the Tg.AC transgenic mouse and a standard 104</w:t>
      </w:r>
      <w:r w:rsidR="007E4FA2">
        <w:t xml:space="preserve"> </w:t>
      </w:r>
      <w:r w:rsidRPr="007A6D01">
        <w:t xml:space="preserve">week </w:t>
      </w:r>
      <w:r>
        <w:t>SC</w:t>
      </w:r>
      <w:r w:rsidRPr="007A6D01">
        <w:t xml:space="preserve"> study</w:t>
      </w:r>
      <w:r w:rsidR="007E4FA2">
        <w:t xml:space="preserve"> in rats (both were GLP </w:t>
      </w:r>
      <w:r>
        <w:t>compliant)</w:t>
      </w:r>
      <w:r w:rsidRPr="007A6D01">
        <w:t xml:space="preserve">. </w:t>
      </w:r>
      <w:r>
        <w:t xml:space="preserve">The submitted studies were consistent with the </w:t>
      </w:r>
      <w:r w:rsidR="00DC4CD2">
        <w:t>relevant guideline</w:t>
      </w:r>
      <w:r w:rsidR="00DC4CD2">
        <w:rPr>
          <w:rStyle w:val="FootnoteReference"/>
        </w:rPr>
        <w:footnoteReference w:id="12"/>
      </w:r>
      <w:r w:rsidR="00DC4CD2">
        <w:t xml:space="preserve"> </w:t>
      </w:r>
      <w:r>
        <w:t xml:space="preserve">which recommends that a carcinogenicity package should consist of two long-term rodent carcinogenicity studies or one long-term study (preferably in the rat) and one short or medium-term </w:t>
      </w:r>
      <w:r w:rsidRPr="007E4FA2">
        <w:t>in vivo</w:t>
      </w:r>
      <w:r>
        <w:t xml:space="preserve"> rodent test system providing insight into carcinogenic endpoints and having the potential to contribute information valuable to the overall </w:t>
      </w:r>
      <w:r w:rsidR="00881D57">
        <w:t>‘</w:t>
      </w:r>
      <w:r>
        <w:t>weight of evidence</w:t>
      </w:r>
      <w:r w:rsidR="00881D57">
        <w:t>’</w:t>
      </w:r>
      <w:r>
        <w:t xml:space="preserve"> for the assessment of carcinogenic potential, which may include </w:t>
      </w:r>
      <w:r w:rsidRPr="0046597A">
        <w:t xml:space="preserve">models using transgenic rodents. The guideline notes that the rationale for the choice of this test system should be documented and a discussion should be provided on the strengths and weaknesses of the chosen method. The justification given by the study authors was that Tg.AC mice are recommended for identification of dermally applied carcinogens, which is not </w:t>
      </w:r>
      <w:r>
        <w:t xml:space="preserve">specifically </w:t>
      </w:r>
      <w:r w:rsidRPr="0046597A">
        <w:t xml:space="preserve">relevant for the </w:t>
      </w:r>
      <w:r w:rsidRPr="0036038A">
        <w:t>current application</w:t>
      </w:r>
      <w:r>
        <w:t xml:space="preserve"> (possibly more relevant to fentanyl patch formulations)</w:t>
      </w:r>
      <w:r w:rsidRPr="0036038A">
        <w:t>. No discussion on the strengths and weaknesses of the chosen method was provided.</w:t>
      </w:r>
    </w:p>
    <w:p w:rsidR="007D4337" w:rsidRPr="0083079A" w:rsidRDefault="007D4337" w:rsidP="005A11E0">
      <w:r>
        <w:t xml:space="preserve">Studies were GLP compliant and study designs (including species, route, animal numbers and </w:t>
      </w:r>
      <w:r w:rsidRPr="00CD3F1C">
        <w:t>duration) were adequate. The SC route was justified as giving a pharmacokinetic profile that most closely resembles the profile following buccal delivery of fentanyl by effervescent tablets</w:t>
      </w:r>
      <w:r w:rsidR="007E4FA2">
        <w:t>,</w:t>
      </w:r>
      <w:r w:rsidRPr="00CD3F1C">
        <w:t xml:space="preserve"> which seems reasonable. The </w:t>
      </w:r>
      <w:r w:rsidRPr="007A6D01">
        <w:t>mouse carcinogenicity study included a positive control group which elicited the expected significant increase in the incidence of dermal papill</w:t>
      </w:r>
      <w:r>
        <w:t>o</w:t>
      </w:r>
      <w:r w:rsidRPr="007A6D01">
        <w:t>mas at the site of application,</w:t>
      </w:r>
      <w:r>
        <w:t xml:space="preserve"> with a</w:t>
      </w:r>
      <w:r w:rsidRPr="007A6D01">
        <w:t xml:space="preserve">ll </w:t>
      </w:r>
      <w:r>
        <w:t>positive control animals reaching</w:t>
      </w:r>
      <w:r w:rsidRPr="007A6D01">
        <w:t xml:space="preserve"> </w:t>
      </w:r>
      <w:r>
        <w:t>≥20 papillomas and</w:t>
      </w:r>
      <w:r w:rsidRPr="007A6D01">
        <w:t xml:space="preserve"> therefore </w:t>
      </w:r>
      <w:r>
        <w:t xml:space="preserve">being </w:t>
      </w:r>
      <w:r w:rsidR="007E4FA2">
        <w:t xml:space="preserve">euthanised </w:t>
      </w:r>
      <w:r w:rsidRPr="007A6D01">
        <w:t xml:space="preserve">prior to the completion of </w:t>
      </w:r>
      <w:r w:rsidRPr="00DC4CD2">
        <w:t xml:space="preserve">the study. While this positive control provided some validation of the study methodology, the </w:t>
      </w:r>
      <w:r w:rsidR="00DC4CD2" w:rsidRPr="00DC4CD2">
        <w:t>relevant EU guideline</w:t>
      </w:r>
      <w:r w:rsidR="00DC4CD2" w:rsidRPr="00DC4CD2">
        <w:rPr>
          <w:rStyle w:val="FootnoteReference"/>
        </w:rPr>
        <w:footnoteReference w:id="13"/>
      </w:r>
      <w:r w:rsidR="00DC4CD2" w:rsidRPr="00DC4CD2">
        <w:t xml:space="preserve"> </w:t>
      </w:r>
      <w:r w:rsidRPr="00DC4CD2">
        <w:t>noted that the Tg.AC model reacted inconsistently and incompletely</w:t>
      </w:r>
      <w:r>
        <w:t xml:space="preserve"> to known human carcinogens, but is useful for screening the properties of dermally-administered </w:t>
      </w:r>
      <w:r w:rsidRPr="0083079A">
        <w:t>pharmaceuticals.</w:t>
      </w:r>
    </w:p>
    <w:p w:rsidR="007D4337" w:rsidRDefault="007D4337" w:rsidP="005A11E0">
      <w:r>
        <w:t xml:space="preserve">Based on the results of the </w:t>
      </w:r>
      <w:r w:rsidR="007E4FA2">
        <w:t xml:space="preserve">dose </w:t>
      </w:r>
      <w:r>
        <w:t>range-finding study, t</w:t>
      </w:r>
      <w:r w:rsidRPr="007A6D01">
        <w:t>he dermal doses chosen for the mouse study (5,</w:t>
      </w:r>
      <w:r>
        <w:t xml:space="preserve"> </w:t>
      </w:r>
      <w:r w:rsidRPr="007A6D01">
        <w:t xml:space="preserve">15 and 50 µg/day) </w:t>
      </w:r>
      <w:r>
        <w:t>were</w:t>
      </w:r>
      <w:r w:rsidRPr="007A6D01">
        <w:t xml:space="preserve"> </w:t>
      </w:r>
      <w:r w:rsidRPr="0083079A">
        <w:t xml:space="preserve">appropriate. Note that the FVB/N strain used in the dose-range finding study and as toxicokinetic animals in the main study is the genetic background for the Tg.AC mouse. There </w:t>
      </w:r>
      <w:r>
        <w:t>was no evidence of a carcinogenic effect of fentanyl in the mouse study as there was no significant increase in the number of animals bearing papillomas in the treated groups. There were also no other treatment-related neoplastic lesions.</w:t>
      </w:r>
    </w:p>
    <w:p w:rsidR="007D4337" w:rsidRDefault="007D4337" w:rsidP="005A11E0">
      <w:r>
        <w:t>Based on the results of the range-finding study, the selection of 50/100 µg/kg/day SC as the HD in the rat carcinogenicity study was appropriate. There were no treatment-related neoplastic lesions in this study. Overall, fentanyl showed no evidence of carcinogenic potential in these studies.</w:t>
      </w:r>
    </w:p>
    <w:p w:rsidR="007D4337" w:rsidRDefault="007D4337" w:rsidP="005A11E0">
      <w:r>
        <w:t xml:space="preserve">ERs </w:t>
      </w:r>
      <w:r w:rsidRPr="001C444D">
        <w:t>achieved at the HD in the mouse carc</w:t>
      </w:r>
      <w:r>
        <w:t>inogenicity study</w:t>
      </w:r>
      <w:r w:rsidRPr="001C444D">
        <w:t xml:space="preserve"> </w:t>
      </w:r>
      <w:r>
        <w:t>were</w:t>
      </w:r>
      <w:r w:rsidRPr="001C444D">
        <w:t xml:space="preserve"> about 3</w:t>
      </w:r>
      <w:r>
        <w:t xml:space="preserve"> (although this value may be an underestimate; see above), and in the rat study about 1.7 (males) and about 3 (females),</w:t>
      </w:r>
      <w:r w:rsidRPr="001C444D">
        <w:t xml:space="preserve"> for a single </w:t>
      </w:r>
      <w:r>
        <w:t xml:space="preserve">human </w:t>
      </w:r>
      <w:r w:rsidRPr="001C444D">
        <w:t>dose</w:t>
      </w:r>
      <w:r>
        <w:t>,</w:t>
      </w:r>
      <w:r w:rsidRPr="001C444D">
        <w:t xml:space="preserve"> providing a small margin of safety</w:t>
      </w:r>
      <w:r>
        <w:t xml:space="preserve">. There was </w:t>
      </w:r>
      <w:r w:rsidRPr="001C444D">
        <w:t>little or no margin of safety for multiple daily doses. However</w:t>
      </w:r>
      <w:r w:rsidRPr="0079592A">
        <w:t xml:space="preserve">, </w:t>
      </w:r>
      <w:r>
        <w:t xml:space="preserve">maximal </w:t>
      </w:r>
      <w:r w:rsidRPr="0079592A">
        <w:t xml:space="preserve">doses </w:t>
      </w:r>
      <w:r>
        <w:t xml:space="preserve">in both mice and rats </w:t>
      </w:r>
      <w:r w:rsidRPr="0079592A">
        <w:t xml:space="preserve">were limited by </w:t>
      </w:r>
      <w:r>
        <w:t xml:space="preserve">toxicity (effects of fentanyl on </w:t>
      </w:r>
      <w:r w:rsidRPr="0079592A">
        <w:t>body</w:t>
      </w:r>
      <w:r>
        <w:t xml:space="preserve"> weight gain).</w:t>
      </w:r>
    </w:p>
    <w:p w:rsidR="007D4337" w:rsidRPr="0079592A" w:rsidRDefault="007D4337" w:rsidP="005A11E0">
      <w:r>
        <w:lastRenderedPageBreak/>
        <w:t>As in the range-finding study, non-neoplastic lesions in rats included granulomatous inflammation in the lungs</w:t>
      </w:r>
      <w:r w:rsidR="007E4FA2">
        <w:t>. T</w:t>
      </w:r>
      <w:r>
        <w:t>esticular/epididymal changes were not observed in the carcinogenicity study where the HD in males was 50 µg/kg/day, as opposed to 250 µg/kg/day in the range-finding study. Initially, the study report did not note any unusual histological findings in the brain; however, the slides were re-examined in the light of findings of brain lesions in a separate 2</w:t>
      </w:r>
      <w:r w:rsidR="007E4FA2">
        <w:t xml:space="preserve"> </w:t>
      </w:r>
      <w:r>
        <w:t>year SC rat carcinogenicity study with fentanyl hydrochloride (ALZA Corporation study TR-02-5715-021), including mineralisation/ necrosis in the brain of 12/65 (18%) male and 3/65 (5%) female rats treated with 100 µg/kg/day. Following slide re-examination for the current fentanyl citrate SC study, brain lesions (most notably areas of mineralisation) were observed in 4 males and one female at 50 µg/kg/day and in one female at 100 µg/kg/day (this dose was not tested in males). Additionally, minimal focal necrosis (1 male at 50 µg/kg/day) and minimal focal spongiosis (1 female at 50 µg/kg/day) were reported. These lesions were observed at low incidence and minimal severity, and were not observed in the 3</w:t>
      </w:r>
      <w:r w:rsidR="007E4FA2">
        <w:t xml:space="preserve"> </w:t>
      </w:r>
      <w:r>
        <w:t>month dose range-finding study. In a follow-up study</w:t>
      </w:r>
      <w:r w:rsidRPr="00EE60FE">
        <w:t xml:space="preserve"> </w:t>
      </w:r>
      <w:r>
        <w:t xml:space="preserve">(AB11800) in rats treated with fentanyl citrate twice daily SC for 2 or 6 weeks (the latter animals showing some evidence of tolerance), there was no evidence of treatment-related brain histopathology or necrosis. These data suggest that the brain lesions may be related to long term treatment but not opioid tolerance. In the </w:t>
      </w:r>
      <w:r w:rsidR="007E4FA2">
        <w:t>sponsor’s response to TGA’s request for further information</w:t>
      </w:r>
      <w:r>
        <w:t>, the sponsor cited similar previous findings in rats given high opioid doses</w:t>
      </w:r>
      <w:r w:rsidR="00E61C8A">
        <w:rPr>
          <w:rStyle w:val="FootnoteReference"/>
        </w:rPr>
        <w:footnoteReference w:id="14"/>
      </w:r>
      <w:r w:rsidR="00E61C8A" w:rsidRPr="00E61C8A">
        <w:rPr>
          <w:vertAlign w:val="superscript"/>
        </w:rPr>
        <w:t>,</w:t>
      </w:r>
      <w:r w:rsidR="00E61C8A">
        <w:rPr>
          <w:rStyle w:val="FootnoteReference"/>
        </w:rPr>
        <w:footnoteReference w:id="15"/>
      </w:r>
      <w:r>
        <w:t xml:space="preserve"> suggestive of a treatment-related class effect. In any event, the brain findings in rats are not considered to be of particular concern for the proposed patient population (cancer patients) because of their low incidence and severity and the possibly long period of administration prior to their appearance/detection.</w:t>
      </w:r>
    </w:p>
    <w:p w:rsidR="007D4337" w:rsidRPr="001258AE" w:rsidRDefault="007D4337" w:rsidP="00716409">
      <w:pPr>
        <w:pStyle w:val="Heading4"/>
      </w:pPr>
      <w:r w:rsidRPr="00716409">
        <w:t>Reproductive</w:t>
      </w:r>
      <w:r>
        <w:t xml:space="preserve"> toxicity</w:t>
      </w:r>
    </w:p>
    <w:p w:rsidR="007D4337" w:rsidRDefault="007D4337" w:rsidP="005A11E0">
      <w:r w:rsidRPr="00B24446">
        <w:t xml:space="preserve">A full package of reproductive toxicity studies </w:t>
      </w:r>
      <w:r>
        <w:t>(all GLP compliant)</w:t>
      </w:r>
      <w:r w:rsidRPr="00B24446">
        <w:t xml:space="preserve"> was submitted,</w:t>
      </w:r>
      <w:r>
        <w:t xml:space="preserve"> </w:t>
      </w:r>
      <w:r w:rsidRPr="00B24446">
        <w:t xml:space="preserve">including a fertility study in rats (treated males were mated with untreated females and vice versa), </w:t>
      </w:r>
      <w:r w:rsidR="00441EC2" w:rsidRPr="00B24446">
        <w:t>embryofetal</w:t>
      </w:r>
      <w:r w:rsidRPr="00B24446">
        <w:t xml:space="preserve"> development studies in rats and rabbits and a </w:t>
      </w:r>
      <w:r>
        <w:t>pre</w:t>
      </w:r>
      <w:r w:rsidR="007E4FA2">
        <w:t xml:space="preserve"> and </w:t>
      </w:r>
      <w:r>
        <w:t>p</w:t>
      </w:r>
      <w:r w:rsidRPr="00B24446">
        <w:t xml:space="preserve">ostnatal development study in rats. </w:t>
      </w:r>
      <w:r>
        <w:t>While these studies are not all required for the indication currently sought, they are fully evaluated here, as they are relevant for the Product Information and for possible future applications.</w:t>
      </w:r>
    </w:p>
    <w:p w:rsidR="007D4337" w:rsidRPr="00D118FC" w:rsidRDefault="007D4337" w:rsidP="005A11E0">
      <w:r w:rsidRPr="00B24446">
        <w:t xml:space="preserve">All studies were GLP compliant and were adequately conducted (including appropriate doses and dosing periods, and adequate </w:t>
      </w:r>
      <w:r w:rsidRPr="0079592A">
        <w:t>animal numbers and parameters investigated). All studies used the SC route which</w:t>
      </w:r>
      <w:r>
        <w:t>,</w:t>
      </w:r>
      <w:r w:rsidRPr="0079592A">
        <w:t xml:space="preserve"> as noted above, was selected to most closely resemble the pharmacokinetic profile following buccal administration of the effervescent tablet. Although </w:t>
      </w:r>
      <w:r>
        <w:t>pilot rabbit embr</w:t>
      </w:r>
      <w:r w:rsidR="007E4FA2">
        <w:t xml:space="preserve">yofetal development and rat pre and </w:t>
      </w:r>
      <w:r>
        <w:t>postnatal studies were conducted, doses were relatively low, with the HD selected for the main studies being higher than the HD in the pilot studies, and the 13</w:t>
      </w:r>
      <w:r w:rsidR="007E4FA2">
        <w:t xml:space="preserve"> </w:t>
      </w:r>
      <w:r>
        <w:t>week repeat-dose study was used as the basis for dose selection in the pre</w:t>
      </w:r>
      <w:r w:rsidR="007E4FA2">
        <w:t xml:space="preserve"> and </w:t>
      </w:r>
      <w:r>
        <w:t>postnatal study. The HD groups in the fertility and pre</w:t>
      </w:r>
      <w:r w:rsidR="007E4FA2">
        <w:t xml:space="preserve"> and </w:t>
      </w:r>
      <w:r>
        <w:t>postnatal studies were initiated at a later date compared to the groups in the original study but time-matched controls were included and this alteration in study design did not detract from the data</w:t>
      </w:r>
      <w:r w:rsidRPr="00D118FC">
        <w:t xml:space="preserve">. </w:t>
      </w:r>
      <w:r>
        <w:t>However, these additional high doses were excessively toxic, causing substantial mortalities.</w:t>
      </w:r>
    </w:p>
    <w:p w:rsidR="007D4337" w:rsidRDefault="007D4337" w:rsidP="005A11E0">
      <w:r w:rsidRPr="00D118FC">
        <w:t xml:space="preserve">There was </w:t>
      </w:r>
      <w:r w:rsidRPr="00B24446">
        <w:t>clear evidence from the fertility study of an effect on male fertility</w:t>
      </w:r>
      <w:r>
        <w:t xml:space="preserve">, with significant </w:t>
      </w:r>
      <w:r w:rsidRPr="00C54559">
        <w:t xml:space="preserve">changes observed at the HD </w:t>
      </w:r>
      <w:proofErr w:type="gramStart"/>
      <w:r w:rsidRPr="00C54559">
        <w:t>(300 µg/kg/day)</w:t>
      </w:r>
      <w:proofErr w:type="gramEnd"/>
      <w:r w:rsidRPr="00C54559">
        <w:t>. These included reductions in fertility indices in the untreated females</w:t>
      </w:r>
      <w:r>
        <w:t xml:space="preserve">/treated males; there was also a slight reduction in mating for the untreated females/treated males. Uterine weights in untreated females </w:t>
      </w:r>
      <w:r>
        <w:lastRenderedPageBreak/>
        <w:t>were reduced which was likely to be male</w:t>
      </w:r>
      <w:r w:rsidR="007E4FA2">
        <w:t xml:space="preserve"> </w:t>
      </w:r>
      <w:r>
        <w:t xml:space="preserve">mediated due to reduced </w:t>
      </w:r>
      <w:r w:rsidRPr="00C54559">
        <w:t>viable fetuses. A reduction in implantation sites and an increase in pre-implantation loss</w:t>
      </w:r>
      <w:r>
        <w:t xml:space="preserve"> were</w:t>
      </w:r>
      <w:r w:rsidRPr="00C54559">
        <w:t xml:space="preserve"> also observed in untreated females. This </w:t>
      </w:r>
      <w:r>
        <w:t xml:space="preserve">reduction in male fertility was associated with significant changes in sperm parameters at the HD (reductions in % motility and sperm concentration, and increases in % abnormal sperm). Weights of organs of the male reproductive tract (testes, epididymides, prostate and seminal vesicles) were also reduced at the HD. However, the HD was a lethal dose, with 14/25 </w:t>
      </w:r>
      <w:r w:rsidRPr="00374766">
        <w:t xml:space="preserve">HD males </w:t>
      </w:r>
      <w:r w:rsidR="00374766" w:rsidRPr="00374766">
        <w:t>succumbing</w:t>
      </w:r>
      <w:r w:rsidRPr="00374766">
        <w:t xml:space="preserve"> (probably</w:t>
      </w:r>
      <w:r>
        <w:t xml:space="preserve"> from respiratory depression) over the first 51 days of the study. These effects on male fertility are consistent with the effects seen in testes (degeneration of the seminiferous tubules) and associated effects in the epididymides (aspermia and luminal cellular debris) in the 13-week rat study. The authors/</w:t>
      </w:r>
      <w:r w:rsidR="00395141">
        <w:t>sponsor’s n</w:t>
      </w:r>
      <w:r>
        <w:t xml:space="preserve">onclinical </w:t>
      </w:r>
      <w:r w:rsidR="00395141">
        <w:t>e</w:t>
      </w:r>
      <w:r>
        <w:t>xpert hypothesised that the effect on sperm was an indirect effect due to sedation causing the rats to lie down for long periods, thus resulting in the testes being pushed into the inguinal canal and increasing their temperature. Whilst this is a feasible explanation, it was difficult to substantiate and a possible direct effect of fentanyl cannot be eliminated as reductions in the weights of organs of the wider male reproductive tract were observed at the HD. No toxicokinetic data were provided for the fertility study but an estimate can be made from the toxicokinetic data from the 3</w:t>
      </w:r>
      <w:r w:rsidR="00395141">
        <w:t xml:space="preserve"> </w:t>
      </w:r>
      <w:r>
        <w:t>month rat study (mean day 19 data in males). Thus, extrapolating linearly from the 250 µg/kg/day AUC value (103.2 ng.h/mL) gives an AUC</w:t>
      </w:r>
      <w:r w:rsidRPr="00172FB1">
        <w:rPr>
          <w:vertAlign w:val="subscript"/>
        </w:rPr>
        <w:t>0-24h</w:t>
      </w:r>
      <w:r>
        <w:t xml:space="preserve"> of 124 ng.h/mL for a dose of 300 µg/kg/day, which gives ERs of 10 and 2 based on a single dose or multiple doses, respectively. The NOAEL for male fertility was 100 µg/kg/day, although sperm motility was reduced at this dose (NOAEL 25 µg/kg/day)). The AUC</w:t>
      </w:r>
      <w:r w:rsidRPr="00172FB1">
        <w:rPr>
          <w:vertAlign w:val="subscript"/>
        </w:rPr>
        <w:t>0-24h</w:t>
      </w:r>
      <w:r>
        <w:t xml:space="preserve"> at 100 µg/kg/day was 38.9 ng.h/mL (ERs of 3 and 0.6 based on a single human dose or multiple doses, respectively). </w:t>
      </w:r>
      <w:r w:rsidRPr="00B24446">
        <w:t>There was little effect on female fertility</w:t>
      </w:r>
      <w:r>
        <w:t>,</w:t>
      </w:r>
      <w:r w:rsidRPr="00B24446">
        <w:t xml:space="preserve"> although </w:t>
      </w:r>
      <w:r>
        <w:t xml:space="preserve">at the HD </w:t>
      </w:r>
      <w:r w:rsidRPr="00B24446">
        <w:t>oestrous cycli</w:t>
      </w:r>
      <w:r>
        <w:t>ng was affected and uterine weights were reduced.</w:t>
      </w:r>
    </w:p>
    <w:p w:rsidR="007D4337" w:rsidRPr="00F1174B" w:rsidRDefault="007D4337" w:rsidP="005A11E0">
      <w:r>
        <w:t xml:space="preserve">There was no evidence from the submitted rat or rabbit embryofetal development studies of an embryofetotoxic (including teratogenic) effect of fentanyl, except for a reduction in fetal weights at the HD (100 µg/kg/day) in rats, a dose which was maternotoxic (clinical signs and </w:t>
      </w:r>
      <w:r w:rsidRPr="00F1174B">
        <w:t>reductions in food consumption and body weight gain)</w:t>
      </w:r>
      <w:r>
        <w:t>; dose-related maternotoxicity was also seen in the rabbits</w:t>
      </w:r>
      <w:r w:rsidRPr="00F1174B">
        <w:t xml:space="preserve">. The </w:t>
      </w:r>
      <w:r w:rsidR="00395141">
        <w:t>sponsor’s n</w:t>
      </w:r>
      <w:r w:rsidRPr="00F1174B">
        <w:t xml:space="preserve">onclinical </w:t>
      </w:r>
      <w:r w:rsidR="00395141">
        <w:t>e</w:t>
      </w:r>
      <w:r w:rsidRPr="00F1174B">
        <w:t xml:space="preserve">xpert noted that some embryofetotoxic effects had been reported following </w:t>
      </w:r>
      <w:r w:rsidRPr="005466A1">
        <w:t>administration of fentanyl under some experimental conditions (</w:t>
      </w:r>
      <w:r w:rsidR="00395141">
        <w:t xml:space="preserve">for examples </w:t>
      </w:r>
      <w:r>
        <w:t>see published PI documents for other fentanyl products</w:t>
      </w:r>
      <w:r w:rsidRPr="005466A1">
        <w:t>)</w:t>
      </w:r>
      <w:r>
        <w:t>;</w:t>
      </w:r>
      <w:r w:rsidRPr="005466A1">
        <w:t xml:space="preserve"> however, teratogenic activity has not been observed in </w:t>
      </w:r>
      <w:r w:rsidRPr="00F05081">
        <w:t>mice</w:t>
      </w:r>
      <w:r w:rsidR="00441EC2" w:rsidRPr="00F05081">
        <w:rPr>
          <w:rStyle w:val="FootnoteReference"/>
        </w:rPr>
        <w:footnoteReference w:id="16"/>
      </w:r>
      <w:r w:rsidRPr="00F05081">
        <w:t xml:space="preserve"> or in rats or rabbits</w:t>
      </w:r>
      <w:r w:rsidR="00F05081" w:rsidRPr="00F05081">
        <w:rPr>
          <w:rStyle w:val="FootnoteReference"/>
        </w:rPr>
        <w:footnoteReference w:id="17"/>
      </w:r>
      <w:r w:rsidR="00F05081" w:rsidRPr="00F05081">
        <w:rPr>
          <w:vertAlign w:val="superscript"/>
        </w:rPr>
        <w:t>,</w:t>
      </w:r>
      <w:r w:rsidR="00F05081" w:rsidRPr="00F05081">
        <w:rPr>
          <w:rStyle w:val="FootnoteReference"/>
        </w:rPr>
        <w:footnoteReference w:id="18"/>
      </w:r>
      <w:r w:rsidR="00F05081" w:rsidRPr="00F05081">
        <w:rPr>
          <w:vertAlign w:val="superscript"/>
        </w:rPr>
        <w:t>,</w:t>
      </w:r>
      <w:r w:rsidR="00F05081" w:rsidRPr="00F05081">
        <w:rPr>
          <w:rStyle w:val="FootnoteReference"/>
        </w:rPr>
        <w:footnoteReference w:id="19"/>
      </w:r>
      <w:r w:rsidRPr="00F05081">
        <w:t>.</w:t>
      </w:r>
    </w:p>
    <w:p w:rsidR="007D4337" w:rsidRPr="00B24446" w:rsidRDefault="007D4337" w:rsidP="005A11E0">
      <w:r>
        <w:t>In the pre</w:t>
      </w:r>
      <w:r w:rsidR="00395141">
        <w:t xml:space="preserve"> and </w:t>
      </w:r>
      <w:r>
        <w:t xml:space="preserve">postnatal development study at the HD (400 µg/kg/day) there were reductions in pup birth weight, and growth and development were inhibited (reductions in body weight gain and viability and lactation indices, clinical signs, delays in physical development and sexual maturation, as well as minor changes in motor activity and a reduction in implantation sites/female during reproduction </w:t>
      </w:r>
      <w:r w:rsidRPr="007A22E7">
        <w:t>of the F</w:t>
      </w:r>
      <w:r w:rsidRPr="007A22E7">
        <w:rPr>
          <w:vertAlign w:val="subscript"/>
        </w:rPr>
        <w:t>1</w:t>
      </w:r>
      <w:r w:rsidRPr="007A22E7">
        <w:t xml:space="preserve"> generation</w:t>
      </w:r>
      <w:bookmarkStart w:id="59" w:name="_Ref416260234"/>
      <w:r w:rsidR="00374766" w:rsidRPr="007A22E7">
        <w:rPr>
          <w:rStyle w:val="FootnoteReference"/>
        </w:rPr>
        <w:footnoteReference w:id="20"/>
      </w:r>
      <w:bookmarkEnd w:id="59"/>
      <w:r w:rsidRPr="007A22E7">
        <w:t xml:space="preserve">). The </w:t>
      </w:r>
      <w:r w:rsidR="00395141" w:rsidRPr="007A22E7">
        <w:t>second mid dose (</w:t>
      </w:r>
      <w:r w:rsidRPr="007A22E7">
        <w:t>MD2</w:t>
      </w:r>
      <w:r w:rsidR="00395141" w:rsidRPr="007A22E7">
        <w:t>)</w:t>
      </w:r>
      <w:r w:rsidRPr="007A22E7">
        <w:t xml:space="preserve"> (100 µg/kg/day) was also associated with inhibited pup growth and reduced day 21 survival (lactation index), although to a lesser extent. Both the HD and the MD2 were lethal doses with </w:t>
      </w:r>
      <w:r w:rsidR="00395141" w:rsidRPr="007A22E7">
        <w:t>approximately</w:t>
      </w:r>
      <w:r w:rsidRPr="007A22E7">
        <w:t xml:space="preserve"> 60% of the F</w:t>
      </w:r>
      <w:r w:rsidRPr="007A22E7">
        <w:rPr>
          <w:vertAlign w:val="subscript"/>
        </w:rPr>
        <w:t>0</w:t>
      </w:r>
      <w:r w:rsidRPr="007A22E7">
        <w:t xml:space="preserve"> females</w:t>
      </w:r>
      <w:r w:rsidR="007A22E7" w:rsidRPr="007A22E7">
        <w:rPr>
          <w:vertAlign w:val="superscript"/>
        </w:rPr>
        <w:fldChar w:fldCharType="begin"/>
      </w:r>
      <w:r w:rsidR="007A22E7" w:rsidRPr="007A22E7">
        <w:rPr>
          <w:vertAlign w:val="superscript"/>
        </w:rPr>
        <w:instrText xml:space="preserve"> NOTEREF _Ref416260234 \h  \* MERGEFORMAT </w:instrText>
      </w:r>
      <w:r w:rsidR="007A22E7" w:rsidRPr="007A22E7">
        <w:rPr>
          <w:vertAlign w:val="superscript"/>
        </w:rPr>
      </w:r>
      <w:r w:rsidR="007A22E7" w:rsidRPr="007A22E7">
        <w:rPr>
          <w:vertAlign w:val="superscript"/>
        </w:rPr>
        <w:fldChar w:fldCharType="separate"/>
      </w:r>
      <w:r w:rsidR="0030403C">
        <w:rPr>
          <w:vertAlign w:val="superscript"/>
        </w:rPr>
        <w:t>20</w:t>
      </w:r>
      <w:r w:rsidR="007A22E7" w:rsidRPr="007A22E7">
        <w:rPr>
          <w:vertAlign w:val="superscript"/>
        </w:rPr>
        <w:fldChar w:fldCharType="end"/>
      </w:r>
      <w:r w:rsidRPr="007A22E7">
        <w:t xml:space="preserve"> dying at these doses. The NOAEL for F</w:t>
      </w:r>
      <w:r w:rsidRPr="007A22E7">
        <w:rPr>
          <w:vertAlign w:val="subscript"/>
        </w:rPr>
        <w:t>1</w:t>
      </w:r>
      <w:r w:rsidRPr="007A22E7">
        <w:t xml:space="preserve"> developmental toxicity was the MD1 (50 µg/kg/day). Increased postnatal pup mortality in rats has been previously reported in similar fentanyl studies (PI documents for other</w:t>
      </w:r>
      <w:r>
        <w:t xml:space="preserve"> fentanyl products</w:t>
      </w:r>
      <w:r w:rsidRPr="00F1174B">
        <w:t>).</w:t>
      </w:r>
    </w:p>
    <w:p w:rsidR="007D4337" w:rsidRDefault="007D4337" w:rsidP="005A11E0">
      <w:pPr>
        <w:pStyle w:val="Heading5"/>
      </w:pPr>
      <w:r w:rsidRPr="00DE7CDB">
        <w:lastRenderedPageBreak/>
        <w:t>Relative exposure</w:t>
      </w:r>
      <w:r>
        <w:t xml:space="preserve"> </w:t>
      </w:r>
      <w:r w:rsidR="007E4FA2">
        <w:t>–</w:t>
      </w:r>
      <w:r>
        <w:t xml:space="preserve"> fentanyl</w:t>
      </w:r>
    </w:p>
    <w:p w:rsidR="007E4FA2" w:rsidRPr="007E4FA2" w:rsidRDefault="007E4FA2" w:rsidP="005A11E0">
      <w:pPr>
        <w:pStyle w:val="TableTitle"/>
      </w:pPr>
      <w:r>
        <w:t xml:space="preserve">Table </w:t>
      </w:r>
      <w:r w:rsidR="0018579F">
        <w:t>4: Exposure ratios in animals</w:t>
      </w:r>
    </w:p>
    <w:tbl>
      <w:tblPr>
        <w:tblStyle w:val="TableTGAblue1"/>
        <w:tblW w:w="8364" w:type="dxa"/>
        <w:tblInd w:w="108" w:type="dxa"/>
        <w:tblLayout w:type="fixed"/>
        <w:tblLook w:val="01E0" w:firstRow="1" w:lastRow="1" w:firstColumn="1" w:lastColumn="1" w:noHBand="0" w:noVBand="0"/>
      </w:tblPr>
      <w:tblGrid>
        <w:gridCol w:w="1418"/>
        <w:gridCol w:w="1701"/>
        <w:gridCol w:w="1417"/>
        <w:gridCol w:w="1560"/>
        <w:gridCol w:w="1134"/>
        <w:gridCol w:w="1134"/>
      </w:tblGrid>
      <w:tr w:rsidR="007D4337" w:rsidRPr="00921F44" w:rsidTr="005A11E0">
        <w:trPr>
          <w:cnfStyle w:val="100000000000" w:firstRow="1" w:lastRow="0" w:firstColumn="0" w:lastColumn="0" w:oddVBand="0" w:evenVBand="0" w:oddHBand="0" w:evenHBand="0" w:firstRowFirstColumn="0" w:firstRowLastColumn="0" w:lastRowFirstColumn="0" w:lastRowLastColumn="0"/>
        </w:trPr>
        <w:tc>
          <w:tcPr>
            <w:tcW w:w="1418" w:type="dxa"/>
          </w:tcPr>
          <w:p w:rsidR="007D4337" w:rsidRPr="006707F1" w:rsidRDefault="007D4337" w:rsidP="005A11E0">
            <w:pPr>
              <w:rPr>
                <w:sz w:val="20"/>
                <w:szCs w:val="20"/>
              </w:rPr>
            </w:pPr>
            <w:r w:rsidRPr="006707F1">
              <w:rPr>
                <w:sz w:val="20"/>
                <w:szCs w:val="20"/>
              </w:rPr>
              <w:t>Species</w:t>
            </w:r>
          </w:p>
        </w:tc>
        <w:tc>
          <w:tcPr>
            <w:tcW w:w="1701" w:type="dxa"/>
          </w:tcPr>
          <w:p w:rsidR="007D4337" w:rsidRPr="006707F1" w:rsidRDefault="007D4337" w:rsidP="005A11E0">
            <w:pPr>
              <w:rPr>
                <w:sz w:val="20"/>
                <w:szCs w:val="20"/>
              </w:rPr>
            </w:pPr>
            <w:r w:rsidRPr="006707F1">
              <w:rPr>
                <w:sz w:val="20"/>
                <w:szCs w:val="20"/>
              </w:rPr>
              <w:t>Study</w:t>
            </w:r>
          </w:p>
        </w:tc>
        <w:tc>
          <w:tcPr>
            <w:tcW w:w="1417" w:type="dxa"/>
          </w:tcPr>
          <w:p w:rsidR="007D4337" w:rsidRPr="006707F1" w:rsidRDefault="007D4337" w:rsidP="005A11E0">
            <w:pPr>
              <w:rPr>
                <w:sz w:val="20"/>
                <w:szCs w:val="20"/>
              </w:rPr>
            </w:pPr>
            <w:r w:rsidRPr="006707F1">
              <w:rPr>
                <w:sz w:val="20"/>
                <w:szCs w:val="20"/>
              </w:rPr>
              <w:t>Dose</w:t>
            </w:r>
            <w:r w:rsidR="005A11E0" w:rsidRPr="006707F1">
              <w:rPr>
                <w:sz w:val="20"/>
                <w:szCs w:val="20"/>
              </w:rPr>
              <w:t xml:space="preserve"> </w:t>
            </w:r>
            <w:r w:rsidRPr="006707F1">
              <w:rPr>
                <w:sz w:val="20"/>
                <w:szCs w:val="20"/>
              </w:rPr>
              <w:t>(µg/kg/day)</w:t>
            </w:r>
          </w:p>
        </w:tc>
        <w:tc>
          <w:tcPr>
            <w:tcW w:w="1560" w:type="dxa"/>
          </w:tcPr>
          <w:p w:rsidR="007D4337" w:rsidRPr="006707F1" w:rsidRDefault="007D4337" w:rsidP="005A11E0">
            <w:pPr>
              <w:rPr>
                <w:sz w:val="20"/>
                <w:szCs w:val="20"/>
              </w:rPr>
            </w:pPr>
            <w:r w:rsidRPr="006707F1">
              <w:rPr>
                <w:sz w:val="20"/>
                <w:szCs w:val="20"/>
              </w:rPr>
              <w:t>AUC</w:t>
            </w:r>
            <w:r w:rsidRPr="006707F1">
              <w:rPr>
                <w:sz w:val="20"/>
                <w:szCs w:val="20"/>
                <w:vertAlign w:val="subscript"/>
              </w:rPr>
              <w:t>0–24</w:t>
            </w:r>
            <w:r w:rsidRPr="006707F1">
              <w:rPr>
                <w:w w:val="50"/>
                <w:sz w:val="20"/>
                <w:szCs w:val="20"/>
                <w:vertAlign w:val="subscript"/>
              </w:rPr>
              <w:t> </w:t>
            </w:r>
            <w:r w:rsidRPr="006707F1">
              <w:rPr>
                <w:sz w:val="20"/>
                <w:szCs w:val="20"/>
                <w:vertAlign w:val="subscript"/>
              </w:rPr>
              <w:t>h</w:t>
            </w:r>
            <w:r w:rsidRPr="006707F1">
              <w:rPr>
                <w:sz w:val="20"/>
                <w:szCs w:val="20"/>
              </w:rPr>
              <w:t>*</w:t>
            </w:r>
            <w:r w:rsidR="005A11E0" w:rsidRPr="006707F1">
              <w:rPr>
                <w:sz w:val="20"/>
                <w:szCs w:val="20"/>
              </w:rPr>
              <w:t xml:space="preserve"> </w:t>
            </w:r>
            <w:r w:rsidRPr="006707F1">
              <w:rPr>
                <w:sz w:val="20"/>
                <w:szCs w:val="20"/>
              </w:rPr>
              <w:t>(</w:t>
            </w:r>
            <w:proofErr w:type="spellStart"/>
            <w:r w:rsidRPr="006707F1">
              <w:rPr>
                <w:sz w:val="20"/>
                <w:szCs w:val="20"/>
              </w:rPr>
              <w:t>ng∙h</w:t>
            </w:r>
            <w:proofErr w:type="spellEnd"/>
            <w:r w:rsidRPr="006707F1">
              <w:rPr>
                <w:sz w:val="20"/>
                <w:szCs w:val="20"/>
              </w:rPr>
              <w:t>/mL)</w:t>
            </w:r>
          </w:p>
        </w:tc>
        <w:tc>
          <w:tcPr>
            <w:tcW w:w="1134" w:type="dxa"/>
          </w:tcPr>
          <w:p w:rsidR="007D4337" w:rsidRPr="006707F1" w:rsidRDefault="007D4337" w:rsidP="005A11E0">
            <w:pPr>
              <w:rPr>
                <w:sz w:val="20"/>
                <w:szCs w:val="20"/>
              </w:rPr>
            </w:pPr>
            <w:r w:rsidRPr="006707F1">
              <w:rPr>
                <w:sz w:val="20"/>
                <w:szCs w:val="20"/>
              </w:rPr>
              <w:t>Exposure ratio</w:t>
            </w:r>
            <w:r w:rsidRPr="006707F1">
              <w:rPr>
                <w:sz w:val="20"/>
                <w:szCs w:val="20"/>
                <w:vertAlign w:val="superscript"/>
              </w:rPr>
              <w:t>$</w:t>
            </w:r>
          </w:p>
        </w:tc>
        <w:tc>
          <w:tcPr>
            <w:tcW w:w="1134" w:type="dxa"/>
          </w:tcPr>
          <w:p w:rsidR="007D4337" w:rsidRPr="006707F1" w:rsidRDefault="007D4337" w:rsidP="005A11E0">
            <w:pPr>
              <w:rPr>
                <w:sz w:val="20"/>
                <w:szCs w:val="20"/>
              </w:rPr>
            </w:pPr>
            <w:r w:rsidRPr="006707F1">
              <w:rPr>
                <w:sz w:val="20"/>
                <w:szCs w:val="20"/>
              </w:rPr>
              <w:t>Exposure ratio^</w:t>
            </w:r>
          </w:p>
        </w:tc>
      </w:tr>
      <w:tr w:rsidR="007D4337" w:rsidRPr="007068A9" w:rsidTr="005A11E0">
        <w:trPr>
          <w:trHeight w:val="227"/>
        </w:trPr>
        <w:tc>
          <w:tcPr>
            <w:tcW w:w="1418" w:type="dxa"/>
            <w:vMerge w:val="restart"/>
          </w:tcPr>
          <w:p w:rsidR="007D4337" w:rsidRPr="006707F1" w:rsidRDefault="007D4337" w:rsidP="005A11E0">
            <w:pPr>
              <w:rPr>
                <w:sz w:val="20"/>
                <w:szCs w:val="20"/>
              </w:rPr>
            </w:pPr>
            <w:r w:rsidRPr="006707F1">
              <w:rPr>
                <w:sz w:val="20"/>
                <w:szCs w:val="20"/>
              </w:rPr>
              <w:t>Rat</w:t>
            </w:r>
            <w:r w:rsidR="005A11E0" w:rsidRPr="006707F1">
              <w:rPr>
                <w:sz w:val="20"/>
                <w:szCs w:val="20"/>
              </w:rPr>
              <w:t xml:space="preserve"> </w:t>
            </w:r>
            <w:r w:rsidRPr="006707F1">
              <w:rPr>
                <w:sz w:val="20"/>
                <w:szCs w:val="20"/>
              </w:rPr>
              <w:t>(SD)</w:t>
            </w:r>
          </w:p>
        </w:tc>
        <w:tc>
          <w:tcPr>
            <w:tcW w:w="1701" w:type="dxa"/>
            <w:vMerge w:val="restart"/>
          </w:tcPr>
          <w:p w:rsidR="007D4337" w:rsidRPr="006707F1" w:rsidRDefault="005A11E0" w:rsidP="005A11E0">
            <w:pPr>
              <w:rPr>
                <w:sz w:val="20"/>
                <w:szCs w:val="20"/>
              </w:rPr>
            </w:pPr>
            <w:proofErr w:type="spellStart"/>
            <w:r w:rsidRPr="006707F1">
              <w:rPr>
                <w:sz w:val="20"/>
                <w:szCs w:val="20"/>
              </w:rPr>
              <w:t>Embryofetal</w:t>
            </w:r>
            <w:proofErr w:type="spellEnd"/>
            <w:r w:rsidRPr="006707F1">
              <w:rPr>
                <w:sz w:val="20"/>
                <w:szCs w:val="20"/>
              </w:rPr>
              <w:t xml:space="preserve"> development</w:t>
            </w:r>
          </w:p>
        </w:tc>
        <w:tc>
          <w:tcPr>
            <w:tcW w:w="1417" w:type="dxa"/>
          </w:tcPr>
          <w:p w:rsidR="007D4337" w:rsidRPr="006707F1" w:rsidRDefault="007D4337" w:rsidP="005A11E0">
            <w:pPr>
              <w:rPr>
                <w:sz w:val="20"/>
                <w:szCs w:val="20"/>
              </w:rPr>
            </w:pPr>
            <w:r w:rsidRPr="006707F1">
              <w:rPr>
                <w:sz w:val="20"/>
                <w:szCs w:val="20"/>
              </w:rPr>
              <w:t>25</w:t>
            </w:r>
          </w:p>
        </w:tc>
        <w:tc>
          <w:tcPr>
            <w:tcW w:w="1560" w:type="dxa"/>
          </w:tcPr>
          <w:p w:rsidR="007D4337" w:rsidRPr="006707F1" w:rsidRDefault="007D4337" w:rsidP="005A11E0">
            <w:pPr>
              <w:rPr>
                <w:sz w:val="20"/>
                <w:szCs w:val="20"/>
              </w:rPr>
            </w:pPr>
            <w:r w:rsidRPr="006707F1">
              <w:rPr>
                <w:sz w:val="20"/>
                <w:szCs w:val="20"/>
              </w:rPr>
              <w:t>5.53</w:t>
            </w:r>
          </w:p>
        </w:tc>
        <w:tc>
          <w:tcPr>
            <w:tcW w:w="1134" w:type="dxa"/>
          </w:tcPr>
          <w:p w:rsidR="007D4337" w:rsidRPr="006707F1" w:rsidRDefault="007D4337" w:rsidP="005A11E0">
            <w:pPr>
              <w:rPr>
                <w:sz w:val="20"/>
                <w:szCs w:val="20"/>
              </w:rPr>
            </w:pPr>
            <w:r w:rsidRPr="006707F1">
              <w:rPr>
                <w:sz w:val="20"/>
                <w:szCs w:val="20"/>
              </w:rPr>
              <w:t>0.5</w:t>
            </w:r>
          </w:p>
        </w:tc>
        <w:tc>
          <w:tcPr>
            <w:tcW w:w="1134" w:type="dxa"/>
          </w:tcPr>
          <w:p w:rsidR="007D4337" w:rsidRPr="006707F1" w:rsidRDefault="007D4337" w:rsidP="005A11E0">
            <w:pPr>
              <w:rPr>
                <w:sz w:val="20"/>
                <w:szCs w:val="20"/>
              </w:rPr>
            </w:pPr>
            <w:r w:rsidRPr="006707F1">
              <w:rPr>
                <w:sz w:val="20"/>
                <w:szCs w:val="20"/>
              </w:rPr>
              <w:t>0.1</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50</w:t>
            </w:r>
          </w:p>
        </w:tc>
        <w:tc>
          <w:tcPr>
            <w:tcW w:w="1560" w:type="dxa"/>
          </w:tcPr>
          <w:p w:rsidR="007D4337" w:rsidRPr="006707F1" w:rsidRDefault="007D4337" w:rsidP="005A11E0">
            <w:pPr>
              <w:rPr>
                <w:sz w:val="20"/>
                <w:szCs w:val="20"/>
              </w:rPr>
            </w:pPr>
            <w:r w:rsidRPr="006707F1">
              <w:rPr>
                <w:sz w:val="20"/>
                <w:szCs w:val="20"/>
              </w:rPr>
              <w:t>13.2</w:t>
            </w:r>
          </w:p>
        </w:tc>
        <w:tc>
          <w:tcPr>
            <w:tcW w:w="1134" w:type="dxa"/>
          </w:tcPr>
          <w:p w:rsidR="007D4337" w:rsidRPr="006707F1" w:rsidRDefault="007D4337" w:rsidP="005A11E0">
            <w:pPr>
              <w:rPr>
                <w:sz w:val="20"/>
                <w:szCs w:val="20"/>
              </w:rPr>
            </w:pPr>
            <w:r w:rsidRPr="006707F1">
              <w:rPr>
                <w:sz w:val="20"/>
                <w:szCs w:val="20"/>
              </w:rPr>
              <w:t>1.1</w:t>
            </w:r>
          </w:p>
        </w:tc>
        <w:tc>
          <w:tcPr>
            <w:tcW w:w="1134" w:type="dxa"/>
          </w:tcPr>
          <w:p w:rsidR="007D4337" w:rsidRPr="006707F1" w:rsidRDefault="007D4337" w:rsidP="005A11E0">
            <w:pPr>
              <w:rPr>
                <w:sz w:val="20"/>
                <w:szCs w:val="20"/>
              </w:rPr>
            </w:pPr>
            <w:r w:rsidRPr="006707F1">
              <w:rPr>
                <w:sz w:val="20"/>
                <w:szCs w:val="20"/>
              </w:rPr>
              <w:t>0.2</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100</w:t>
            </w:r>
          </w:p>
        </w:tc>
        <w:tc>
          <w:tcPr>
            <w:tcW w:w="1560" w:type="dxa"/>
          </w:tcPr>
          <w:p w:rsidR="007D4337" w:rsidRPr="006707F1" w:rsidRDefault="007D4337" w:rsidP="005A11E0">
            <w:pPr>
              <w:rPr>
                <w:sz w:val="20"/>
                <w:szCs w:val="20"/>
              </w:rPr>
            </w:pPr>
            <w:r w:rsidRPr="006707F1">
              <w:rPr>
                <w:sz w:val="20"/>
                <w:szCs w:val="20"/>
              </w:rPr>
              <w:t>32.8</w:t>
            </w:r>
          </w:p>
        </w:tc>
        <w:tc>
          <w:tcPr>
            <w:tcW w:w="1134" w:type="dxa"/>
          </w:tcPr>
          <w:p w:rsidR="007D4337" w:rsidRPr="006707F1" w:rsidRDefault="007D4337" w:rsidP="005A11E0">
            <w:pPr>
              <w:rPr>
                <w:sz w:val="20"/>
                <w:szCs w:val="20"/>
              </w:rPr>
            </w:pPr>
            <w:r w:rsidRPr="006707F1">
              <w:rPr>
                <w:sz w:val="20"/>
                <w:szCs w:val="20"/>
              </w:rPr>
              <w:t>2.7</w:t>
            </w:r>
          </w:p>
        </w:tc>
        <w:tc>
          <w:tcPr>
            <w:tcW w:w="1134" w:type="dxa"/>
          </w:tcPr>
          <w:p w:rsidR="007D4337" w:rsidRPr="006707F1" w:rsidRDefault="007D4337" w:rsidP="005A11E0">
            <w:pPr>
              <w:rPr>
                <w:sz w:val="20"/>
                <w:szCs w:val="20"/>
              </w:rPr>
            </w:pPr>
            <w:r w:rsidRPr="006707F1">
              <w:rPr>
                <w:sz w:val="20"/>
                <w:szCs w:val="20"/>
              </w:rPr>
              <w:t>0.5</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val="restart"/>
          </w:tcPr>
          <w:p w:rsidR="007D4337" w:rsidRPr="006707F1" w:rsidRDefault="007D4337" w:rsidP="005A11E0">
            <w:pPr>
              <w:rPr>
                <w:sz w:val="20"/>
                <w:szCs w:val="20"/>
              </w:rPr>
            </w:pPr>
            <w:r w:rsidRPr="006707F1">
              <w:rPr>
                <w:sz w:val="20"/>
                <w:szCs w:val="20"/>
              </w:rPr>
              <w:t>Pre-/postnatal development</w:t>
            </w:r>
          </w:p>
        </w:tc>
        <w:tc>
          <w:tcPr>
            <w:tcW w:w="1417" w:type="dxa"/>
          </w:tcPr>
          <w:p w:rsidR="007D4337" w:rsidRPr="006707F1" w:rsidRDefault="007D4337" w:rsidP="005A11E0">
            <w:pPr>
              <w:rPr>
                <w:sz w:val="20"/>
                <w:szCs w:val="20"/>
              </w:rPr>
            </w:pPr>
            <w:r w:rsidRPr="006707F1">
              <w:rPr>
                <w:sz w:val="20"/>
                <w:szCs w:val="20"/>
              </w:rPr>
              <w:t>25</w:t>
            </w:r>
          </w:p>
        </w:tc>
        <w:tc>
          <w:tcPr>
            <w:tcW w:w="1560" w:type="dxa"/>
          </w:tcPr>
          <w:p w:rsidR="007D4337" w:rsidRPr="006707F1" w:rsidRDefault="007D4337" w:rsidP="005A11E0">
            <w:pPr>
              <w:rPr>
                <w:sz w:val="20"/>
                <w:szCs w:val="20"/>
              </w:rPr>
            </w:pPr>
            <w:r w:rsidRPr="006707F1">
              <w:rPr>
                <w:sz w:val="20"/>
                <w:szCs w:val="20"/>
              </w:rPr>
              <w:t>5.41</w:t>
            </w:r>
          </w:p>
        </w:tc>
        <w:tc>
          <w:tcPr>
            <w:tcW w:w="1134" w:type="dxa"/>
          </w:tcPr>
          <w:p w:rsidR="007D4337" w:rsidRPr="006707F1" w:rsidRDefault="007D4337" w:rsidP="005A11E0">
            <w:pPr>
              <w:rPr>
                <w:sz w:val="20"/>
                <w:szCs w:val="20"/>
              </w:rPr>
            </w:pPr>
            <w:r w:rsidRPr="006707F1">
              <w:rPr>
                <w:sz w:val="20"/>
                <w:szCs w:val="20"/>
              </w:rPr>
              <w:t>0.4</w:t>
            </w:r>
          </w:p>
        </w:tc>
        <w:tc>
          <w:tcPr>
            <w:tcW w:w="1134" w:type="dxa"/>
          </w:tcPr>
          <w:p w:rsidR="007D4337" w:rsidRPr="006707F1" w:rsidRDefault="007D4337" w:rsidP="005A11E0">
            <w:pPr>
              <w:rPr>
                <w:sz w:val="20"/>
                <w:szCs w:val="20"/>
              </w:rPr>
            </w:pPr>
            <w:r w:rsidRPr="006707F1">
              <w:rPr>
                <w:sz w:val="20"/>
                <w:szCs w:val="20"/>
              </w:rPr>
              <w:t>0.1</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50</w:t>
            </w:r>
          </w:p>
        </w:tc>
        <w:tc>
          <w:tcPr>
            <w:tcW w:w="1560" w:type="dxa"/>
          </w:tcPr>
          <w:p w:rsidR="007D4337" w:rsidRPr="006707F1" w:rsidRDefault="007D4337" w:rsidP="005A11E0">
            <w:pPr>
              <w:rPr>
                <w:sz w:val="20"/>
                <w:szCs w:val="20"/>
              </w:rPr>
            </w:pPr>
            <w:r w:rsidRPr="006707F1">
              <w:rPr>
                <w:sz w:val="20"/>
                <w:szCs w:val="20"/>
              </w:rPr>
              <w:t>11.4</w:t>
            </w:r>
          </w:p>
        </w:tc>
        <w:tc>
          <w:tcPr>
            <w:tcW w:w="1134" w:type="dxa"/>
          </w:tcPr>
          <w:p w:rsidR="007D4337" w:rsidRPr="006707F1" w:rsidRDefault="007D4337" w:rsidP="005A11E0">
            <w:pPr>
              <w:rPr>
                <w:sz w:val="20"/>
                <w:szCs w:val="20"/>
              </w:rPr>
            </w:pPr>
            <w:r w:rsidRPr="006707F1">
              <w:rPr>
                <w:sz w:val="20"/>
                <w:szCs w:val="20"/>
              </w:rPr>
              <w:t>0.9</w:t>
            </w:r>
          </w:p>
        </w:tc>
        <w:tc>
          <w:tcPr>
            <w:tcW w:w="1134" w:type="dxa"/>
          </w:tcPr>
          <w:p w:rsidR="007D4337" w:rsidRPr="006707F1" w:rsidRDefault="007D4337" w:rsidP="005A11E0">
            <w:pPr>
              <w:rPr>
                <w:sz w:val="20"/>
                <w:szCs w:val="20"/>
              </w:rPr>
            </w:pPr>
            <w:r w:rsidRPr="006707F1">
              <w:rPr>
                <w:sz w:val="20"/>
                <w:szCs w:val="20"/>
              </w:rPr>
              <w:t>0.2</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100</w:t>
            </w:r>
          </w:p>
        </w:tc>
        <w:tc>
          <w:tcPr>
            <w:tcW w:w="1560" w:type="dxa"/>
          </w:tcPr>
          <w:p w:rsidR="007D4337" w:rsidRPr="006707F1" w:rsidRDefault="007D4337" w:rsidP="005A11E0">
            <w:pPr>
              <w:rPr>
                <w:sz w:val="20"/>
                <w:szCs w:val="20"/>
              </w:rPr>
            </w:pPr>
            <w:r w:rsidRPr="006707F1">
              <w:rPr>
                <w:sz w:val="20"/>
                <w:szCs w:val="20"/>
              </w:rPr>
              <w:t>29.1</w:t>
            </w:r>
          </w:p>
        </w:tc>
        <w:tc>
          <w:tcPr>
            <w:tcW w:w="1134" w:type="dxa"/>
          </w:tcPr>
          <w:p w:rsidR="007D4337" w:rsidRPr="006707F1" w:rsidRDefault="007D4337" w:rsidP="005A11E0">
            <w:pPr>
              <w:rPr>
                <w:sz w:val="20"/>
                <w:szCs w:val="20"/>
              </w:rPr>
            </w:pPr>
            <w:r w:rsidRPr="006707F1">
              <w:rPr>
                <w:sz w:val="20"/>
                <w:szCs w:val="20"/>
              </w:rPr>
              <w:t>2.4</w:t>
            </w:r>
          </w:p>
        </w:tc>
        <w:tc>
          <w:tcPr>
            <w:tcW w:w="1134" w:type="dxa"/>
          </w:tcPr>
          <w:p w:rsidR="007D4337" w:rsidRPr="006707F1" w:rsidRDefault="007D4337" w:rsidP="005A11E0">
            <w:pPr>
              <w:rPr>
                <w:sz w:val="20"/>
                <w:szCs w:val="20"/>
              </w:rPr>
            </w:pPr>
            <w:r w:rsidRPr="006707F1">
              <w:rPr>
                <w:sz w:val="20"/>
                <w:szCs w:val="20"/>
              </w:rPr>
              <w:t>0.5</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400</w:t>
            </w:r>
          </w:p>
        </w:tc>
        <w:tc>
          <w:tcPr>
            <w:tcW w:w="1560" w:type="dxa"/>
          </w:tcPr>
          <w:p w:rsidR="007D4337" w:rsidRPr="006707F1" w:rsidRDefault="007D4337" w:rsidP="005A11E0">
            <w:pPr>
              <w:rPr>
                <w:sz w:val="20"/>
                <w:szCs w:val="20"/>
              </w:rPr>
            </w:pPr>
            <w:r w:rsidRPr="006707F1">
              <w:rPr>
                <w:sz w:val="20"/>
                <w:szCs w:val="20"/>
              </w:rPr>
              <w:t>140.6</w:t>
            </w:r>
          </w:p>
        </w:tc>
        <w:tc>
          <w:tcPr>
            <w:tcW w:w="1134" w:type="dxa"/>
          </w:tcPr>
          <w:p w:rsidR="007D4337" w:rsidRPr="006707F1" w:rsidRDefault="007D4337" w:rsidP="005A11E0">
            <w:pPr>
              <w:rPr>
                <w:sz w:val="20"/>
                <w:szCs w:val="20"/>
              </w:rPr>
            </w:pPr>
            <w:r w:rsidRPr="006707F1">
              <w:rPr>
                <w:sz w:val="20"/>
                <w:szCs w:val="20"/>
              </w:rPr>
              <w:t>11</w:t>
            </w:r>
          </w:p>
        </w:tc>
        <w:tc>
          <w:tcPr>
            <w:tcW w:w="1134" w:type="dxa"/>
          </w:tcPr>
          <w:p w:rsidR="007D4337" w:rsidRPr="006707F1" w:rsidRDefault="007D4337" w:rsidP="005A11E0">
            <w:pPr>
              <w:rPr>
                <w:sz w:val="20"/>
                <w:szCs w:val="20"/>
              </w:rPr>
            </w:pPr>
            <w:r w:rsidRPr="006707F1">
              <w:rPr>
                <w:sz w:val="20"/>
                <w:szCs w:val="20"/>
              </w:rPr>
              <w:t>2.3</w:t>
            </w:r>
          </w:p>
        </w:tc>
      </w:tr>
      <w:tr w:rsidR="007D4337" w:rsidRPr="007068A9" w:rsidTr="005A11E0">
        <w:trPr>
          <w:trHeight w:val="227"/>
        </w:trPr>
        <w:tc>
          <w:tcPr>
            <w:tcW w:w="1418" w:type="dxa"/>
            <w:vMerge w:val="restart"/>
          </w:tcPr>
          <w:p w:rsidR="007D4337" w:rsidRPr="006707F1" w:rsidRDefault="007D4337" w:rsidP="005A11E0">
            <w:pPr>
              <w:rPr>
                <w:sz w:val="20"/>
                <w:szCs w:val="20"/>
              </w:rPr>
            </w:pPr>
            <w:r w:rsidRPr="006707F1">
              <w:rPr>
                <w:sz w:val="20"/>
                <w:szCs w:val="20"/>
              </w:rPr>
              <w:t>Rabbit</w:t>
            </w:r>
            <w:r w:rsidR="005A11E0" w:rsidRPr="006707F1">
              <w:rPr>
                <w:sz w:val="20"/>
                <w:szCs w:val="20"/>
              </w:rPr>
              <w:t xml:space="preserve"> </w:t>
            </w:r>
            <w:r w:rsidRPr="006707F1">
              <w:rPr>
                <w:sz w:val="20"/>
                <w:szCs w:val="20"/>
              </w:rPr>
              <w:t>(NZW)</w:t>
            </w:r>
          </w:p>
        </w:tc>
        <w:tc>
          <w:tcPr>
            <w:tcW w:w="1701" w:type="dxa"/>
            <w:vMerge w:val="restart"/>
          </w:tcPr>
          <w:p w:rsidR="007D4337" w:rsidRPr="006707F1" w:rsidRDefault="007D4337" w:rsidP="005A11E0">
            <w:pPr>
              <w:rPr>
                <w:sz w:val="20"/>
                <w:szCs w:val="20"/>
              </w:rPr>
            </w:pPr>
            <w:r w:rsidRPr="006707F1">
              <w:rPr>
                <w:sz w:val="20"/>
                <w:szCs w:val="20"/>
              </w:rPr>
              <w:t>Embryofetal development</w:t>
            </w:r>
          </w:p>
        </w:tc>
        <w:tc>
          <w:tcPr>
            <w:tcW w:w="1417" w:type="dxa"/>
          </w:tcPr>
          <w:p w:rsidR="007D4337" w:rsidRPr="006707F1" w:rsidRDefault="007D4337" w:rsidP="005A11E0">
            <w:pPr>
              <w:rPr>
                <w:sz w:val="20"/>
                <w:szCs w:val="20"/>
              </w:rPr>
            </w:pPr>
            <w:r w:rsidRPr="006707F1">
              <w:rPr>
                <w:sz w:val="20"/>
                <w:szCs w:val="20"/>
              </w:rPr>
              <w:t>50</w:t>
            </w:r>
          </w:p>
        </w:tc>
        <w:tc>
          <w:tcPr>
            <w:tcW w:w="1560" w:type="dxa"/>
          </w:tcPr>
          <w:p w:rsidR="007D4337" w:rsidRPr="006707F1" w:rsidRDefault="007D4337" w:rsidP="005A11E0">
            <w:pPr>
              <w:rPr>
                <w:sz w:val="20"/>
                <w:szCs w:val="20"/>
              </w:rPr>
            </w:pPr>
            <w:r w:rsidRPr="006707F1">
              <w:rPr>
                <w:sz w:val="20"/>
                <w:szCs w:val="20"/>
              </w:rPr>
              <w:t>11.5</w:t>
            </w:r>
          </w:p>
        </w:tc>
        <w:tc>
          <w:tcPr>
            <w:tcW w:w="1134" w:type="dxa"/>
          </w:tcPr>
          <w:p w:rsidR="007D4337" w:rsidRPr="006707F1" w:rsidRDefault="007D4337" w:rsidP="005A11E0">
            <w:pPr>
              <w:rPr>
                <w:sz w:val="20"/>
                <w:szCs w:val="20"/>
              </w:rPr>
            </w:pPr>
            <w:r w:rsidRPr="006707F1">
              <w:rPr>
                <w:sz w:val="20"/>
                <w:szCs w:val="20"/>
              </w:rPr>
              <w:t>0.9</w:t>
            </w:r>
          </w:p>
        </w:tc>
        <w:tc>
          <w:tcPr>
            <w:tcW w:w="1134" w:type="dxa"/>
          </w:tcPr>
          <w:p w:rsidR="007D4337" w:rsidRPr="006707F1" w:rsidRDefault="007D4337" w:rsidP="005A11E0">
            <w:pPr>
              <w:rPr>
                <w:sz w:val="20"/>
                <w:szCs w:val="20"/>
              </w:rPr>
            </w:pPr>
            <w:r w:rsidRPr="006707F1">
              <w:rPr>
                <w:sz w:val="20"/>
                <w:szCs w:val="20"/>
              </w:rPr>
              <w:t>0.2</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100</w:t>
            </w:r>
          </w:p>
        </w:tc>
        <w:tc>
          <w:tcPr>
            <w:tcW w:w="1560" w:type="dxa"/>
          </w:tcPr>
          <w:p w:rsidR="007D4337" w:rsidRPr="006707F1" w:rsidRDefault="007D4337" w:rsidP="005A11E0">
            <w:pPr>
              <w:rPr>
                <w:sz w:val="20"/>
                <w:szCs w:val="20"/>
              </w:rPr>
            </w:pPr>
            <w:r w:rsidRPr="006707F1">
              <w:rPr>
                <w:sz w:val="20"/>
                <w:szCs w:val="20"/>
              </w:rPr>
              <w:t>23.1</w:t>
            </w:r>
          </w:p>
        </w:tc>
        <w:tc>
          <w:tcPr>
            <w:tcW w:w="1134" w:type="dxa"/>
          </w:tcPr>
          <w:p w:rsidR="007D4337" w:rsidRPr="006707F1" w:rsidRDefault="007D4337" w:rsidP="005A11E0">
            <w:pPr>
              <w:rPr>
                <w:sz w:val="20"/>
                <w:szCs w:val="20"/>
              </w:rPr>
            </w:pPr>
            <w:r w:rsidRPr="006707F1">
              <w:rPr>
                <w:sz w:val="20"/>
                <w:szCs w:val="20"/>
              </w:rPr>
              <w:t>1.9</w:t>
            </w:r>
          </w:p>
        </w:tc>
        <w:tc>
          <w:tcPr>
            <w:tcW w:w="1134" w:type="dxa"/>
          </w:tcPr>
          <w:p w:rsidR="007D4337" w:rsidRPr="006707F1" w:rsidRDefault="007D4337" w:rsidP="005A11E0">
            <w:pPr>
              <w:rPr>
                <w:sz w:val="20"/>
                <w:szCs w:val="20"/>
              </w:rPr>
            </w:pPr>
            <w:r w:rsidRPr="006707F1">
              <w:rPr>
                <w:sz w:val="20"/>
                <w:szCs w:val="20"/>
              </w:rPr>
              <w:t>0.4</w:t>
            </w:r>
          </w:p>
        </w:tc>
      </w:tr>
      <w:tr w:rsidR="007D4337" w:rsidRPr="007068A9" w:rsidTr="005A11E0">
        <w:trPr>
          <w:trHeight w:val="227"/>
        </w:trPr>
        <w:tc>
          <w:tcPr>
            <w:tcW w:w="1418" w:type="dxa"/>
            <w:vMerge/>
          </w:tcPr>
          <w:p w:rsidR="007D4337" w:rsidRPr="006707F1" w:rsidRDefault="007D4337" w:rsidP="005A11E0">
            <w:pPr>
              <w:rPr>
                <w:sz w:val="20"/>
                <w:szCs w:val="20"/>
              </w:rPr>
            </w:pPr>
          </w:p>
        </w:tc>
        <w:tc>
          <w:tcPr>
            <w:tcW w:w="1701" w:type="dxa"/>
            <w:vMerge/>
          </w:tcPr>
          <w:p w:rsidR="007D4337" w:rsidRPr="006707F1" w:rsidRDefault="007D4337" w:rsidP="005A11E0">
            <w:pPr>
              <w:rPr>
                <w:sz w:val="20"/>
                <w:szCs w:val="20"/>
              </w:rPr>
            </w:pPr>
          </w:p>
        </w:tc>
        <w:tc>
          <w:tcPr>
            <w:tcW w:w="1417" w:type="dxa"/>
          </w:tcPr>
          <w:p w:rsidR="007D4337" w:rsidRPr="006707F1" w:rsidRDefault="007D4337" w:rsidP="005A11E0">
            <w:pPr>
              <w:rPr>
                <w:sz w:val="20"/>
                <w:szCs w:val="20"/>
              </w:rPr>
            </w:pPr>
            <w:r w:rsidRPr="006707F1">
              <w:rPr>
                <w:sz w:val="20"/>
                <w:szCs w:val="20"/>
              </w:rPr>
              <w:t>250</w:t>
            </w:r>
          </w:p>
        </w:tc>
        <w:tc>
          <w:tcPr>
            <w:tcW w:w="1560" w:type="dxa"/>
          </w:tcPr>
          <w:p w:rsidR="007D4337" w:rsidRPr="006707F1" w:rsidRDefault="007D4337" w:rsidP="005A11E0">
            <w:pPr>
              <w:rPr>
                <w:sz w:val="20"/>
                <w:szCs w:val="20"/>
              </w:rPr>
            </w:pPr>
            <w:r w:rsidRPr="006707F1">
              <w:rPr>
                <w:sz w:val="20"/>
                <w:szCs w:val="20"/>
              </w:rPr>
              <w:t>63.7</w:t>
            </w:r>
          </w:p>
        </w:tc>
        <w:tc>
          <w:tcPr>
            <w:tcW w:w="1134" w:type="dxa"/>
          </w:tcPr>
          <w:p w:rsidR="007D4337" w:rsidRPr="006707F1" w:rsidRDefault="007D4337" w:rsidP="005A11E0">
            <w:pPr>
              <w:rPr>
                <w:sz w:val="20"/>
                <w:szCs w:val="20"/>
              </w:rPr>
            </w:pPr>
            <w:r w:rsidRPr="006707F1">
              <w:rPr>
                <w:sz w:val="20"/>
                <w:szCs w:val="20"/>
              </w:rPr>
              <w:t>5.2</w:t>
            </w:r>
          </w:p>
        </w:tc>
        <w:tc>
          <w:tcPr>
            <w:tcW w:w="1134" w:type="dxa"/>
          </w:tcPr>
          <w:p w:rsidR="007D4337" w:rsidRPr="006707F1" w:rsidRDefault="007D4337" w:rsidP="005A11E0">
            <w:pPr>
              <w:rPr>
                <w:sz w:val="20"/>
                <w:szCs w:val="20"/>
              </w:rPr>
            </w:pPr>
            <w:r w:rsidRPr="006707F1">
              <w:rPr>
                <w:sz w:val="20"/>
                <w:szCs w:val="20"/>
              </w:rPr>
              <w:t>1.0</w:t>
            </w:r>
          </w:p>
        </w:tc>
      </w:tr>
      <w:tr w:rsidR="007D4337" w:rsidRPr="007068A9" w:rsidTr="005A11E0">
        <w:trPr>
          <w:trHeight w:val="227"/>
        </w:trPr>
        <w:tc>
          <w:tcPr>
            <w:tcW w:w="1418" w:type="dxa"/>
          </w:tcPr>
          <w:p w:rsidR="007D4337" w:rsidRPr="006707F1" w:rsidRDefault="007D4337" w:rsidP="005A11E0">
            <w:pPr>
              <w:rPr>
                <w:sz w:val="20"/>
                <w:szCs w:val="20"/>
              </w:rPr>
            </w:pPr>
            <w:r w:rsidRPr="006707F1">
              <w:rPr>
                <w:sz w:val="20"/>
                <w:szCs w:val="20"/>
              </w:rPr>
              <w:t>Human</w:t>
            </w:r>
            <w:r w:rsidR="005A11E0" w:rsidRPr="006707F1">
              <w:rPr>
                <w:sz w:val="20"/>
                <w:szCs w:val="20"/>
              </w:rPr>
              <w:t xml:space="preserve"> </w:t>
            </w:r>
            <w:r w:rsidRPr="006707F1">
              <w:rPr>
                <w:sz w:val="20"/>
                <w:szCs w:val="20"/>
              </w:rPr>
              <w:t>(healthy volunteers)</w:t>
            </w:r>
          </w:p>
        </w:tc>
        <w:tc>
          <w:tcPr>
            <w:tcW w:w="1701" w:type="dxa"/>
          </w:tcPr>
          <w:p w:rsidR="007D4337" w:rsidRPr="006707F1" w:rsidRDefault="007D4337" w:rsidP="005A11E0">
            <w:pPr>
              <w:rPr>
                <w:sz w:val="20"/>
                <w:szCs w:val="20"/>
              </w:rPr>
            </w:pPr>
            <w:r w:rsidRPr="006707F1">
              <w:rPr>
                <w:sz w:val="20"/>
                <w:szCs w:val="20"/>
              </w:rPr>
              <w:t>steady state</w:t>
            </w:r>
          </w:p>
        </w:tc>
        <w:tc>
          <w:tcPr>
            <w:tcW w:w="1417" w:type="dxa"/>
          </w:tcPr>
          <w:p w:rsidR="007D4337" w:rsidRPr="006707F1" w:rsidRDefault="007D4337" w:rsidP="005A11E0">
            <w:pPr>
              <w:rPr>
                <w:sz w:val="20"/>
                <w:szCs w:val="20"/>
              </w:rPr>
            </w:pPr>
            <w:r w:rsidRPr="006707F1">
              <w:rPr>
                <w:sz w:val="20"/>
                <w:szCs w:val="20"/>
              </w:rPr>
              <w:t>[800 mg]</w:t>
            </w:r>
          </w:p>
        </w:tc>
        <w:tc>
          <w:tcPr>
            <w:tcW w:w="1560" w:type="dxa"/>
          </w:tcPr>
          <w:p w:rsidR="007D4337" w:rsidRPr="006707F1" w:rsidRDefault="007D4337" w:rsidP="005A11E0">
            <w:pPr>
              <w:rPr>
                <w:sz w:val="20"/>
                <w:szCs w:val="20"/>
              </w:rPr>
            </w:pPr>
            <w:r w:rsidRPr="006707F1">
              <w:rPr>
                <w:sz w:val="20"/>
                <w:szCs w:val="20"/>
              </w:rPr>
              <w:t>12.24 for single dose/60.72 for multiple doses</w:t>
            </w:r>
          </w:p>
        </w:tc>
        <w:tc>
          <w:tcPr>
            <w:tcW w:w="1134" w:type="dxa"/>
          </w:tcPr>
          <w:p w:rsidR="007D4337" w:rsidRPr="006707F1" w:rsidRDefault="007D4337" w:rsidP="005A11E0">
            <w:pPr>
              <w:rPr>
                <w:sz w:val="20"/>
                <w:szCs w:val="20"/>
              </w:rPr>
            </w:pPr>
            <w:r w:rsidRPr="006707F1">
              <w:rPr>
                <w:sz w:val="20"/>
                <w:szCs w:val="20"/>
              </w:rPr>
              <w:t>-</w:t>
            </w:r>
          </w:p>
        </w:tc>
        <w:tc>
          <w:tcPr>
            <w:tcW w:w="1134" w:type="dxa"/>
          </w:tcPr>
          <w:p w:rsidR="007D4337" w:rsidRPr="006707F1" w:rsidRDefault="007D4337" w:rsidP="005A11E0">
            <w:pPr>
              <w:rPr>
                <w:sz w:val="20"/>
                <w:szCs w:val="20"/>
              </w:rPr>
            </w:pPr>
            <w:r w:rsidRPr="006707F1">
              <w:rPr>
                <w:sz w:val="20"/>
                <w:szCs w:val="20"/>
              </w:rPr>
              <w:t>-</w:t>
            </w:r>
          </w:p>
        </w:tc>
      </w:tr>
    </w:tbl>
    <w:p w:rsidR="007D4337" w:rsidRPr="005A11E0" w:rsidRDefault="007D4337" w:rsidP="00C8495E">
      <w:pPr>
        <w:pStyle w:val="TableDescription"/>
      </w:pPr>
      <w:r w:rsidRPr="005A11E0">
        <w:t>* AUC0-24h for</w:t>
      </w:r>
      <w:r w:rsidR="00C8495E">
        <w:t xml:space="preserve"> animals and AUC0-∞ for humans;</w:t>
      </w:r>
      <w:r w:rsidRPr="005A11E0">
        <w:t xml:space="preserve"> $ ER based on 8 x AUC normalised to 100 µg dose (12.24 (8 x 1.53) </w:t>
      </w:r>
      <w:proofErr w:type="spellStart"/>
      <w:r w:rsidRPr="005A11E0">
        <w:t>ng.h</w:t>
      </w:r>
      <w:proofErr w:type="spellEnd"/>
      <w:r w:rsidRPr="005A11E0">
        <w:t xml:space="preserve">/mL) (pooled data from Studies 11, 18, 1026, 1027, 1028, 1029, 1037 and 1043); ^ ER based on AUC (scaled to an 800 µg dose) following administration in humans every 6 h over a 24 h period (60.72 (4 x 2 x 7.59 </w:t>
      </w:r>
      <w:proofErr w:type="spellStart"/>
      <w:r w:rsidRPr="005A11E0">
        <w:t>ng.h</w:t>
      </w:r>
      <w:proofErr w:type="spellEnd"/>
      <w:r w:rsidRPr="005A11E0">
        <w:t>/mL)) (Study C25608/1029/PK/US)</w:t>
      </w:r>
    </w:p>
    <w:p w:rsidR="007D4337" w:rsidRPr="00127619" w:rsidRDefault="007D4337" w:rsidP="00127A68">
      <w:r>
        <w:t>The ERs achieved at the HD in the pre</w:t>
      </w:r>
      <w:r w:rsidR="00395141">
        <w:t xml:space="preserve"> and </w:t>
      </w:r>
      <w:r>
        <w:t xml:space="preserve">postnatal development </w:t>
      </w:r>
      <w:proofErr w:type="gramStart"/>
      <w:r>
        <w:t>study</w:t>
      </w:r>
      <w:r w:rsidRPr="005413E4">
        <w:t xml:space="preserve"> </w:t>
      </w:r>
      <w:r>
        <w:t>were</w:t>
      </w:r>
      <w:proofErr w:type="gramEnd"/>
      <w:r>
        <w:t xml:space="preserve"> acceptable (but this was a lethal dose). Other ERs achieved were low-adequate but were limited by fatal respiratory depression, as well as </w:t>
      </w:r>
      <w:r w:rsidRPr="00127619">
        <w:t>reductions in body weight gain.</w:t>
      </w:r>
      <w:r>
        <w:t xml:space="preserve"> At the NOAEL for pup developmental toxicity </w:t>
      </w:r>
      <w:r>
        <w:rPr>
          <w:kern w:val="2"/>
          <w:szCs w:val="20"/>
        </w:rPr>
        <w:t xml:space="preserve">(50 µg/kg/day), the ERs were </w:t>
      </w:r>
      <w:r w:rsidR="00395141">
        <w:rPr>
          <w:kern w:val="2"/>
          <w:szCs w:val="20"/>
        </w:rPr>
        <w:t>approximately</w:t>
      </w:r>
      <w:r>
        <w:rPr>
          <w:kern w:val="2"/>
          <w:szCs w:val="20"/>
        </w:rPr>
        <w:t xml:space="preserve"> 1 and 0.2 based on a single human dose or multiple doses, respectively.</w:t>
      </w:r>
    </w:p>
    <w:p w:rsidR="007D4337" w:rsidRPr="003F0E0D" w:rsidRDefault="007D4337" w:rsidP="005A11E0">
      <w:r w:rsidRPr="003F0E0D">
        <w:t>Substantial excretion of fentanyl, and to a lesser extent, norfentanyl, in milk was demonstrated in lactating rats (</w:t>
      </w:r>
      <w:r w:rsidR="00395141">
        <w:t>postnatal day (</w:t>
      </w:r>
      <w:r w:rsidRPr="003F0E0D">
        <w:t>PND</w:t>
      </w:r>
      <w:r w:rsidR="00395141">
        <w:t xml:space="preserve">) </w:t>
      </w:r>
      <w:r w:rsidRPr="003F0E0D">
        <w:t>12) following SC administration of fentanyl at 25</w:t>
      </w:r>
      <w:r w:rsidR="00395141">
        <w:t xml:space="preserve"> to </w:t>
      </w:r>
      <w:r w:rsidRPr="003F0E0D">
        <w:t>50 µg/kg/day. Milk:</w:t>
      </w:r>
      <w:r w:rsidR="00395141">
        <w:t xml:space="preserve"> </w:t>
      </w:r>
      <w:r w:rsidRPr="003F0E0D">
        <w:t>plasma ratios were about 6 for fentanyl and about 2-3 for norfentanyl. No studies on placental transfer of fentanyl were submitted, however, in published studies, fentanyl has been reported to cross the placental barrier in both rabbits</w:t>
      </w:r>
      <w:r w:rsidR="00E61C8A" w:rsidRPr="00F041B6">
        <w:rPr>
          <w:rStyle w:val="FootnoteReference"/>
        </w:rPr>
        <w:footnoteReference w:id="21"/>
      </w:r>
      <w:r w:rsidRPr="00F041B6">
        <w:t xml:space="preserve"> and sheep</w:t>
      </w:r>
      <w:r w:rsidR="00E61C8A" w:rsidRPr="00F041B6">
        <w:rPr>
          <w:rStyle w:val="FootnoteReference"/>
        </w:rPr>
        <w:footnoteReference w:id="22"/>
      </w:r>
      <w:r w:rsidRPr="00F041B6">
        <w:t>. The concentrations of fentanyl in umbilical vein perfusate in rabbits were approxim</w:t>
      </w:r>
      <w:r w:rsidRPr="003F0E0D">
        <w:t xml:space="preserve">ately 25% of those in maternal arterial blood and fetal plasma levels in sheep were approximately 40% of those in maternal </w:t>
      </w:r>
      <w:r w:rsidR="001053E1">
        <w:t>*</w:t>
      </w:r>
      <w:r w:rsidRPr="003F0E0D">
        <w:t>plasma.</w:t>
      </w:r>
    </w:p>
    <w:p w:rsidR="007D4337" w:rsidRPr="003F0E0D" w:rsidRDefault="007D4337" w:rsidP="00EC464E">
      <w:pPr>
        <w:pStyle w:val="Heading5"/>
      </w:pPr>
      <w:r w:rsidRPr="003F0E0D">
        <w:lastRenderedPageBreak/>
        <w:t xml:space="preserve">Pregnancy </w:t>
      </w:r>
      <w:r w:rsidRPr="00EC464E">
        <w:t>classification</w:t>
      </w:r>
    </w:p>
    <w:p w:rsidR="007D4337" w:rsidRPr="00DD0BF5" w:rsidRDefault="007D4337" w:rsidP="005A11E0">
      <w:pPr>
        <w:rPr>
          <w:szCs w:val="20"/>
        </w:rPr>
      </w:pPr>
      <w:r w:rsidRPr="003F0E0D">
        <w:t xml:space="preserve">The sponsor has proposed </w:t>
      </w:r>
      <w:r w:rsidRPr="007A22E7">
        <w:t>Pregnancy Category C</w:t>
      </w:r>
      <w:r w:rsidR="007A22E7" w:rsidRPr="007A22E7">
        <w:rPr>
          <w:rStyle w:val="FootnoteReference"/>
          <w:kern w:val="2"/>
        </w:rPr>
        <w:footnoteReference w:id="23"/>
      </w:r>
      <w:r w:rsidRPr="007A22E7">
        <w:t xml:space="preserve"> which is the category</w:t>
      </w:r>
      <w:r w:rsidRPr="003F0E0D">
        <w:t xml:space="preserve"> for all other fentanyl </w:t>
      </w:r>
      <w:r w:rsidRPr="00DD0BF5">
        <w:rPr>
          <w:szCs w:val="20"/>
        </w:rPr>
        <w:t>formulations</w:t>
      </w:r>
      <w:r>
        <w:rPr>
          <w:szCs w:val="20"/>
        </w:rPr>
        <w:t>, and is acceptable</w:t>
      </w:r>
      <w:r w:rsidRPr="00DD0BF5">
        <w:rPr>
          <w:szCs w:val="20"/>
        </w:rPr>
        <w:t>.</w:t>
      </w:r>
    </w:p>
    <w:p w:rsidR="007D4337" w:rsidRDefault="007D4337" w:rsidP="005A11E0">
      <w:pPr>
        <w:pStyle w:val="Heading4"/>
      </w:pPr>
      <w:r>
        <w:t>Local tolerance</w:t>
      </w:r>
    </w:p>
    <w:p w:rsidR="007D4337" w:rsidRPr="00B6507C" w:rsidRDefault="007D4337" w:rsidP="005A11E0">
      <w:r w:rsidRPr="00B6507C">
        <w:t xml:space="preserve">While the excipients in the </w:t>
      </w:r>
      <w:r w:rsidRPr="00395141">
        <w:t>Fentora</w:t>
      </w:r>
      <w:r w:rsidRPr="00B6507C">
        <w:t xml:space="preserve"> formulation would not be expected to elicit local irritation in the buccal cavity, no specific nonclinical local tolerance studies with the </w:t>
      </w:r>
      <w:r w:rsidRPr="00395141">
        <w:t>Fentora</w:t>
      </w:r>
      <w:r w:rsidRPr="00B6507C">
        <w:t xml:space="preserve"> formulation</w:t>
      </w:r>
      <w:r w:rsidRPr="00913870">
        <w:t xml:space="preserve"> </w:t>
      </w:r>
      <w:r w:rsidRPr="00B6507C">
        <w:t xml:space="preserve">were submitted. The </w:t>
      </w:r>
      <w:r w:rsidR="00395141">
        <w:t>sponsor’s n</w:t>
      </w:r>
      <w:r w:rsidRPr="00B6507C">
        <w:t xml:space="preserve">onclinical </w:t>
      </w:r>
      <w:r w:rsidR="00395141">
        <w:t>e</w:t>
      </w:r>
      <w:r w:rsidRPr="00B6507C">
        <w:t xml:space="preserve">xpert noted that a visual assessment of local buccal tolerance was made in the pharmacokinetic study in dogs (Study RD/FC/97/007) and that no visual irritation was observed for any of the </w:t>
      </w:r>
      <w:r>
        <w:t xml:space="preserve">6 </w:t>
      </w:r>
      <w:r w:rsidRPr="00B6507C">
        <w:t xml:space="preserve">test formulations in any dog. The study was a pharmacokinetic investigation </w:t>
      </w:r>
      <w:r>
        <w:t xml:space="preserve">and the </w:t>
      </w:r>
      <w:r w:rsidRPr="00B6507C">
        <w:t>submitted</w:t>
      </w:r>
      <w:r>
        <w:t xml:space="preserve"> results made </w:t>
      </w:r>
      <w:r w:rsidRPr="00B6507C">
        <w:t xml:space="preserve">no mention of </w:t>
      </w:r>
      <w:r>
        <w:t xml:space="preserve">the results of </w:t>
      </w:r>
      <w:r w:rsidRPr="00B6507C">
        <w:t>visual assessment of the buccal cavity</w:t>
      </w:r>
      <w:r>
        <w:t>, although the protocol stated ‘Effects on the oral mucosal tissue (colour change, obvious irritation) will be determined by visual examination</w:t>
      </w:r>
      <w:r w:rsidRPr="00B6507C">
        <w:t>.</w:t>
      </w:r>
      <w:r>
        <w:t>’</w:t>
      </w:r>
      <w:r w:rsidRPr="00B6507C">
        <w:t xml:space="preserve"> There was certainly no histological examination of the buccal mucosa and the formulations used in the study were not </w:t>
      </w:r>
      <w:r>
        <w:t>specifically</w:t>
      </w:r>
      <w:r w:rsidRPr="00B6507C">
        <w:t xml:space="preserve"> relevant to the effervescent tablet. Given the limited nonclinical local tolerance </w:t>
      </w:r>
      <w:r>
        <w:t>evaluation of the product as required by the relevant guideline</w:t>
      </w:r>
      <w:r w:rsidR="007A22E7">
        <w:rPr>
          <w:rStyle w:val="FootnoteReference"/>
        </w:rPr>
        <w:footnoteReference w:id="24"/>
      </w:r>
      <w:r w:rsidRPr="00B6507C">
        <w:t xml:space="preserve">, it is important that adequate </w:t>
      </w:r>
      <w:r>
        <w:t xml:space="preserve">clinical monitoring of the buccal cavity during clinical development of </w:t>
      </w:r>
      <w:proofErr w:type="spellStart"/>
      <w:r w:rsidRPr="00395141">
        <w:t>Fentora</w:t>
      </w:r>
      <w:proofErr w:type="spellEnd"/>
      <w:r w:rsidR="0018579F">
        <w:t xml:space="preserve"> has been conducted.</w:t>
      </w:r>
    </w:p>
    <w:p w:rsidR="007D4337" w:rsidRDefault="007D4337" w:rsidP="005A11E0">
      <w:pPr>
        <w:pStyle w:val="Heading4"/>
      </w:pPr>
      <w:r>
        <w:t>Impurities</w:t>
      </w:r>
    </w:p>
    <w:p w:rsidR="007D4337" w:rsidRDefault="007D4337" w:rsidP="005A11E0">
      <w:r>
        <w:t xml:space="preserve">The </w:t>
      </w:r>
      <w:r w:rsidR="00395141">
        <w:t>sponsor’s q</w:t>
      </w:r>
      <w:r>
        <w:t xml:space="preserve">uality </w:t>
      </w:r>
      <w:r w:rsidR="00395141">
        <w:t>e</w:t>
      </w:r>
      <w:r>
        <w:t>xpert noted that the potential known and unknown impurities in fentanyl citrate comply with the</w:t>
      </w:r>
      <w:r w:rsidR="00395141">
        <w:t xml:space="preserve"> </w:t>
      </w:r>
      <w:r>
        <w:t>Ph</w:t>
      </w:r>
      <w:r w:rsidR="00441EC2">
        <w:t>.</w:t>
      </w:r>
      <w:r>
        <w:t>Eur according to the Certificate of Suitability No. R1-CEP 2005-104, with the additional requirement that any unspecified impurity not mentioned in the Ph</w:t>
      </w:r>
      <w:r w:rsidR="007A22E7">
        <w:t xml:space="preserve"> </w:t>
      </w:r>
      <w:r>
        <w:t>Eur is limited to not more than 0</w:t>
      </w:r>
      <w:r w:rsidRPr="007A22E7">
        <w:t xml:space="preserve">.1%. </w:t>
      </w:r>
      <w:r w:rsidR="007A22E7" w:rsidRPr="007A22E7">
        <w:t xml:space="preserve">Final stage solvents </w:t>
      </w:r>
      <w:r w:rsidRPr="007A22E7">
        <w:t>are each limited to not more than 0.5% and the catalyst is limited to not more than 50 p</w:t>
      </w:r>
      <w:r w:rsidR="007A22E7" w:rsidRPr="007A22E7">
        <w:t>arts per million (p</w:t>
      </w:r>
      <w:r w:rsidRPr="007A22E7">
        <w:t>pm</w:t>
      </w:r>
      <w:r w:rsidR="007A22E7" w:rsidRPr="007A22E7">
        <w:t>)</w:t>
      </w:r>
      <w:r w:rsidRPr="007A22E7">
        <w:t>.</w:t>
      </w:r>
    </w:p>
    <w:p w:rsidR="007D4337" w:rsidRPr="00395141" w:rsidRDefault="007D4337" w:rsidP="005A11E0">
      <w:pPr>
        <w:pStyle w:val="Heading4"/>
      </w:pPr>
      <w:r w:rsidRPr="00D14021">
        <w:t>Paediatric use</w:t>
      </w:r>
    </w:p>
    <w:p w:rsidR="007D4337" w:rsidRPr="00B55408" w:rsidRDefault="007D4337" w:rsidP="005A11E0">
      <w:r w:rsidRPr="00B55408">
        <w:t>Fentanyl is not proposed for paediatric use and no specific juvenile animal studies were submitted.</w:t>
      </w:r>
    </w:p>
    <w:p w:rsidR="008E7846" w:rsidRDefault="008E7846" w:rsidP="005A11E0">
      <w:pPr>
        <w:pStyle w:val="Heading3"/>
      </w:pPr>
      <w:bookmarkStart w:id="60" w:name="_Toc247691515"/>
      <w:bookmarkStart w:id="61" w:name="_Toc314842499"/>
      <w:bookmarkStart w:id="62" w:name="_Toc420586660"/>
      <w:r>
        <w:t>Nonclinical summary and conclusions</w:t>
      </w:r>
      <w:bookmarkEnd w:id="60"/>
      <w:bookmarkEnd w:id="61"/>
      <w:bookmarkEnd w:id="62"/>
    </w:p>
    <w:p w:rsidR="007D4337" w:rsidRDefault="007D4337" w:rsidP="00EC464E">
      <w:pPr>
        <w:pStyle w:val="ListBullet"/>
      </w:pPr>
      <w:bookmarkStart w:id="63" w:name="_Toc196046462"/>
      <w:bookmarkStart w:id="64" w:name="_Toc247691516"/>
      <w:bookmarkStart w:id="65" w:name="_Toc314842500"/>
      <w:bookmarkStart w:id="66" w:name="_Toc163441353"/>
      <w:bookmarkStart w:id="67" w:name="_Toc163441348"/>
      <w:r>
        <w:t>The main newly submitted studies were core safety pharmacology, carcinogenicity (including range-finding) and reproductive toxicity studies, all using the SC route except for the mouse carcinogenicity study. All studies were GLP</w:t>
      </w:r>
      <w:r w:rsidR="00532F7B">
        <w:t xml:space="preserve"> </w:t>
      </w:r>
      <w:r>
        <w:t xml:space="preserve">compliant and adequately conducted. Carcinogenicity studies and a full package of reproductive toxicity studies were not </w:t>
      </w:r>
      <w:r w:rsidRPr="00EC464E">
        <w:t>required</w:t>
      </w:r>
      <w:r>
        <w:t xml:space="preserve"> for the proposed indication but the studies were not conducted </w:t>
      </w:r>
      <w:r w:rsidRPr="005C0B33">
        <w:t>sp</w:t>
      </w:r>
      <w:r w:rsidR="0018579F">
        <w:t>ecifically for this application</w:t>
      </w:r>
    </w:p>
    <w:p w:rsidR="007D4337" w:rsidRPr="005C0B33" w:rsidRDefault="007D4337" w:rsidP="005A11E0">
      <w:pPr>
        <w:pStyle w:val="ListBullet"/>
      </w:pPr>
      <w:r>
        <w:t>The safety pharmacology studies did not reveal any unknown activities of fentanyl. Respiratory depression, bradycardia and CNS find</w:t>
      </w:r>
      <w:r w:rsidR="0018579F">
        <w:t>ings were the main observations</w:t>
      </w:r>
    </w:p>
    <w:p w:rsidR="007D4337" w:rsidRPr="00DA7DCD" w:rsidRDefault="007D4337" w:rsidP="005A11E0">
      <w:pPr>
        <w:pStyle w:val="ListBullet"/>
      </w:pPr>
      <w:r w:rsidRPr="005C0B33">
        <w:lastRenderedPageBreak/>
        <w:t>No pharmacokinetic data in nonclinical species were generated for the effervescent buccal tablet formulation.</w:t>
      </w:r>
      <w:r>
        <w:t xml:space="preserve"> AUC and C</w:t>
      </w:r>
      <w:r w:rsidRPr="00285F4D">
        <w:rPr>
          <w:vertAlign w:val="subscript"/>
        </w:rPr>
        <w:t>max</w:t>
      </w:r>
      <w:r>
        <w:t xml:space="preserve"> values of fentanyl at the maximum clinical dose of </w:t>
      </w:r>
      <w:r w:rsidRPr="00532F7B">
        <w:t>Fentora</w:t>
      </w:r>
      <w:r>
        <w:t xml:space="preserve"> were </w:t>
      </w:r>
      <w:r w:rsidRPr="00DA7DCD">
        <w:t xml:space="preserve">below those at the maximum clinical dose of </w:t>
      </w:r>
      <w:proofErr w:type="spellStart"/>
      <w:r w:rsidRPr="00532F7B">
        <w:t>Actiq</w:t>
      </w:r>
      <w:proofErr w:type="spellEnd"/>
      <w:r w:rsidRPr="00DA7DCD">
        <w:rPr>
          <w:b/>
          <w:smallCaps/>
          <w:position w:val="5"/>
          <w:sz w:val="13"/>
          <w:szCs w:val="13"/>
        </w:rPr>
        <w:t>®</w:t>
      </w:r>
    </w:p>
    <w:p w:rsidR="007D4337" w:rsidRPr="00DA7DCD" w:rsidRDefault="00532F7B" w:rsidP="005A11E0">
      <w:pPr>
        <w:pStyle w:val="ListBullet"/>
      </w:pPr>
      <w:r>
        <w:t xml:space="preserve">The 3 </w:t>
      </w:r>
      <w:r w:rsidR="007D4337" w:rsidRPr="00DA7DCD">
        <w:t>month range-finding study for the rat carcinogenicity study revealed granulomatous inflammation in the lungs, likely to be due to a secondary effect (feed aspiration) due to sedation, and testicular degeneration and aspermia in males (possi</w:t>
      </w:r>
      <w:r w:rsidR="0018579F">
        <w:t>bly also secondary to sedation)</w:t>
      </w:r>
    </w:p>
    <w:p w:rsidR="007D4337" w:rsidRPr="00285F4D" w:rsidRDefault="007D4337" w:rsidP="005A11E0">
      <w:pPr>
        <w:pStyle w:val="ListBullet"/>
      </w:pPr>
      <w:r w:rsidRPr="00DA7DCD">
        <w:t xml:space="preserve">Genotoxicity studies (a reverse mutation study, a forward mutation study in mouse </w:t>
      </w:r>
      <w:r w:rsidRPr="00285F4D">
        <w:t>lymphoma L5178Y cells</w:t>
      </w:r>
      <w:r w:rsidR="00441EC2">
        <w:t xml:space="preserve"> and</w:t>
      </w:r>
      <w:r w:rsidRPr="00285F4D">
        <w:t xml:space="preserve"> a mouse micronucleus assay) had been submitted previously and all were negative</w:t>
      </w:r>
    </w:p>
    <w:p w:rsidR="007D4337" w:rsidRPr="00DA7DCD" w:rsidRDefault="00532F7B" w:rsidP="005A11E0">
      <w:pPr>
        <w:pStyle w:val="ListBullet"/>
      </w:pPr>
      <w:r>
        <w:t xml:space="preserve">Carcinogenicity studies (2 </w:t>
      </w:r>
      <w:r w:rsidR="007D4337" w:rsidRPr="00DA7DCD">
        <w:t xml:space="preserve">year study in rats </w:t>
      </w:r>
      <w:r w:rsidR="007D4337">
        <w:t xml:space="preserve">with doses up to 50 µg/kg/day SC in males and 100 µg/kg/day SC in females, </w:t>
      </w:r>
      <w:r w:rsidR="007D4337" w:rsidRPr="00DA7DCD">
        <w:t>and 6-month study in transgenic Tg.AC mice</w:t>
      </w:r>
      <w:r w:rsidR="007D4337">
        <w:t xml:space="preserve"> with dermal doses </w:t>
      </w:r>
      <w:proofErr w:type="gramStart"/>
      <w:r w:rsidR="007D4337">
        <w:t>up to 50 µg/day</w:t>
      </w:r>
      <w:proofErr w:type="gramEnd"/>
      <w:r w:rsidR="007D4337" w:rsidRPr="00DA7DCD">
        <w:t>) did not reveal any carcinogenic potential of fentanyl. Some histological changes (including mineralisation and 1 case of necrosis)</w:t>
      </w:r>
      <w:r w:rsidR="007D4337" w:rsidRPr="00D33985">
        <w:t xml:space="preserve"> </w:t>
      </w:r>
      <w:r w:rsidR="007D4337" w:rsidRPr="00DA7DCD">
        <w:t xml:space="preserve">were observed </w:t>
      </w:r>
      <w:r w:rsidR="007D4337">
        <w:t>at</w:t>
      </w:r>
      <w:r w:rsidR="007D4337" w:rsidRPr="00DA7DCD">
        <w:t xml:space="preserve"> low incidence and severity in the brain in rats</w:t>
      </w:r>
      <w:r w:rsidR="007D4337">
        <w:t xml:space="preserve"> given ≥50 µg/kg/day, and are not considered of relevance to the proposed patient population</w:t>
      </w:r>
      <w:r w:rsidR="007D4337" w:rsidRPr="00DA7DCD">
        <w:t>.</w:t>
      </w:r>
      <w:r w:rsidR="007D4337">
        <w:t xml:space="preserve"> Exposure ratios at the HD were about 3 in mice and 2</w:t>
      </w:r>
      <w:r>
        <w:t xml:space="preserve"> to </w:t>
      </w:r>
      <w:r w:rsidR="007D4337">
        <w:t>3 in rats</w:t>
      </w:r>
      <w:r w:rsidR="0018579F">
        <w:t xml:space="preserve"> (based on a single daily dose)</w:t>
      </w:r>
    </w:p>
    <w:p w:rsidR="007D4337" w:rsidRPr="00EA26F0" w:rsidRDefault="007D4337" w:rsidP="005A11E0">
      <w:pPr>
        <w:pStyle w:val="ListBullet"/>
      </w:pPr>
      <w:r w:rsidRPr="00EA26F0">
        <w:t xml:space="preserve">A full </w:t>
      </w:r>
      <w:r>
        <w:t>suite</w:t>
      </w:r>
      <w:r w:rsidRPr="00EA26F0">
        <w:t xml:space="preserve"> of reproductive toxicity studies was submitted</w:t>
      </w:r>
      <w:r>
        <w:t xml:space="preserve">. In a fertility and embryofetal development study in rats, male (but not female) fertility </w:t>
      </w:r>
      <w:r w:rsidRPr="00EA26F0">
        <w:t>was impaired</w:t>
      </w:r>
      <w:r>
        <w:t>,</w:t>
      </w:r>
      <w:r w:rsidRPr="00EA26F0">
        <w:t xml:space="preserve"> with most findings </w:t>
      </w:r>
      <w:r>
        <w:t xml:space="preserve">(including reduced sperm motility and concentration, increased abnormal sperm, and reduced fertility index and viable fetuses) </w:t>
      </w:r>
      <w:r w:rsidRPr="00EA26F0">
        <w:t xml:space="preserve">at the HD </w:t>
      </w:r>
      <w:r>
        <w:t xml:space="preserve">(300 µg/kg/day SC), but this dose was highly toxic (associated with mortalities). Exposure ratio at the NOAEL was about 3 (based on a single daily dose). There were no adverse findings in rat or rabbit embryofetal development studies. In a </w:t>
      </w:r>
      <w:r w:rsidRPr="00EA26F0">
        <w:t>pre</w:t>
      </w:r>
      <w:r w:rsidR="00532F7B">
        <w:t xml:space="preserve"> and </w:t>
      </w:r>
      <w:r w:rsidRPr="00EA26F0">
        <w:t>postnatal development study</w:t>
      </w:r>
      <w:r>
        <w:t xml:space="preserve"> in rats, growth/development of F</w:t>
      </w:r>
      <w:r w:rsidRPr="0073250D">
        <w:rPr>
          <w:vertAlign w:val="subscript"/>
        </w:rPr>
        <w:t>1</w:t>
      </w:r>
      <w:r>
        <w:t xml:space="preserve"> pups was impaired at the higher, toxic doses (100, 400 µg/kg/day); the exposure ratio at the NOAEL was about 1</w:t>
      </w:r>
      <w:r w:rsidR="0018579F">
        <w:t xml:space="preserve"> (based on a single daily dose)</w:t>
      </w:r>
    </w:p>
    <w:p w:rsidR="007D4337" w:rsidRPr="0094212B" w:rsidRDefault="007D4337" w:rsidP="005A11E0">
      <w:pPr>
        <w:pStyle w:val="ListBullet"/>
      </w:pPr>
      <w:r w:rsidRPr="0094212B">
        <w:t xml:space="preserve">No </w:t>
      </w:r>
      <w:r>
        <w:t>local tolerance study</w:t>
      </w:r>
      <w:r w:rsidRPr="0094212B">
        <w:t xml:space="preserve"> </w:t>
      </w:r>
      <w:r>
        <w:t>was</w:t>
      </w:r>
      <w:r w:rsidRPr="0094212B">
        <w:t xml:space="preserve"> conducted </w:t>
      </w:r>
      <w:r>
        <w:t xml:space="preserve">with the buccal tablet </w:t>
      </w:r>
      <w:r w:rsidRPr="0094212B">
        <w:t>in nonclinical species.</w:t>
      </w:r>
    </w:p>
    <w:p w:rsidR="007D4337" w:rsidRPr="00532F7B" w:rsidRDefault="00532F7B" w:rsidP="00EC464E">
      <w:pPr>
        <w:pStyle w:val="Heading3"/>
      </w:pPr>
      <w:bookmarkStart w:id="68" w:name="_Toc294861479"/>
      <w:bookmarkStart w:id="69" w:name="_Toc295290862"/>
      <w:bookmarkStart w:id="70" w:name="_Toc388625733"/>
      <w:bookmarkStart w:id="71" w:name="_Toc420586661"/>
      <w:r>
        <w:t xml:space="preserve">Nonclinical </w:t>
      </w:r>
      <w:r w:rsidRPr="00EC464E">
        <w:t>conclusions</w:t>
      </w:r>
      <w:r w:rsidRPr="00C16928">
        <w:t xml:space="preserve"> </w:t>
      </w:r>
      <w:r>
        <w:t>a</w:t>
      </w:r>
      <w:r w:rsidRPr="00C16928">
        <w:t xml:space="preserve">nd </w:t>
      </w:r>
      <w:r>
        <w:t>r</w:t>
      </w:r>
      <w:r w:rsidRPr="00BA4C2A">
        <w:t>ecommendation</w:t>
      </w:r>
      <w:bookmarkEnd w:id="68"/>
      <w:bookmarkEnd w:id="69"/>
      <w:bookmarkEnd w:id="70"/>
      <w:bookmarkEnd w:id="71"/>
    </w:p>
    <w:p w:rsidR="007D4337" w:rsidRPr="00BA4C2A" w:rsidRDefault="007D4337" w:rsidP="005A11E0">
      <w:pPr>
        <w:pStyle w:val="ListBullet"/>
      </w:pPr>
      <w:r w:rsidRPr="00BA4C2A">
        <w:t xml:space="preserve">This </w:t>
      </w:r>
      <w:r>
        <w:t xml:space="preserve">nonclinical </w:t>
      </w:r>
      <w:r w:rsidRPr="00BA4C2A">
        <w:t xml:space="preserve">evaluation did not raise any issues of concern regarding the use of </w:t>
      </w:r>
      <w:r w:rsidRPr="00532F7B">
        <w:t>Fentora</w:t>
      </w:r>
      <w:r>
        <w:t xml:space="preserve"> </w:t>
      </w:r>
      <w:r w:rsidRPr="00BA4C2A">
        <w:t>for the proposed indication</w:t>
      </w:r>
      <w:r>
        <w:t xml:space="preserve"> and there no </w:t>
      </w:r>
      <w:r w:rsidRPr="00BA4C2A">
        <w:t xml:space="preserve">nonclinical objections to </w:t>
      </w:r>
      <w:r>
        <w:t xml:space="preserve">the </w:t>
      </w:r>
      <w:r w:rsidRPr="00BA4C2A">
        <w:t xml:space="preserve">registration of </w:t>
      </w:r>
      <w:r w:rsidRPr="00532F7B">
        <w:t>Fentora</w:t>
      </w:r>
      <w:r w:rsidR="0018579F">
        <w:t xml:space="preserve"> for the proposed indication</w:t>
      </w:r>
    </w:p>
    <w:p w:rsidR="007D4337" w:rsidRPr="00BA4C2A" w:rsidRDefault="007D4337" w:rsidP="005A11E0">
      <w:pPr>
        <w:pStyle w:val="ListBullet"/>
      </w:pPr>
      <w:r w:rsidRPr="00BA4C2A">
        <w:t xml:space="preserve">Given the limited nonclinical local tolerance data, it is important that adequate clinical monitoring of the buccal cavity during clinical development of </w:t>
      </w:r>
      <w:proofErr w:type="spellStart"/>
      <w:r w:rsidRPr="00532F7B">
        <w:t>Fentora</w:t>
      </w:r>
      <w:proofErr w:type="spellEnd"/>
      <w:r w:rsidR="0018579F">
        <w:t xml:space="preserve"> has been conducted</w:t>
      </w:r>
    </w:p>
    <w:p w:rsidR="007D4337" w:rsidRPr="00BA4C2A" w:rsidRDefault="00532F7B" w:rsidP="005A11E0">
      <w:pPr>
        <w:pStyle w:val="ListBullet"/>
      </w:pPr>
      <w:r>
        <w:t>The nonclinical evaluator recommended amendments to t</w:t>
      </w:r>
      <w:r w:rsidR="007D4337" w:rsidRPr="00BA4C2A">
        <w:t xml:space="preserve">he draft Product Information </w:t>
      </w:r>
      <w:r w:rsidR="007D4337">
        <w:t xml:space="preserve">document </w:t>
      </w:r>
      <w:r>
        <w:t>but the details of these are b</w:t>
      </w:r>
      <w:r w:rsidR="0018579F">
        <w:t>eyond the scope of this AusPAR.</w:t>
      </w:r>
    </w:p>
    <w:p w:rsidR="008E7846" w:rsidRPr="00254787" w:rsidRDefault="008E7846" w:rsidP="00EC464E">
      <w:pPr>
        <w:pStyle w:val="Heading2"/>
      </w:pPr>
      <w:bookmarkStart w:id="72" w:name="_Toc420586662"/>
      <w:r>
        <w:t xml:space="preserve">IV. </w:t>
      </w:r>
      <w:r w:rsidRPr="00EC464E">
        <w:t>Clinical</w:t>
      </w:r>
      <w:bookmarkEnd w:id="63"/>
      <w:r>
        <w:t xml:space="preserve"> </w:t>
      </w:r>
      <w:r w:rsidR="003A7F6C">
        <w:t>f</w:t>
      </w:r>
      <w:r>
        <w:t>indings</w:t>
      </w:r>
      <w:bookmarkEnd w:id="64"/>
      <w:bookmarkEnd w:id="65"/>
      <w:bookmarkEnd w:id="72"/>
    </w:p>
    <w:p w:rsidR="00C80137" w:rsidRDefault="00C80137" w:rsidP="005A11E0">
      <w:bookmarkStart w:id="73"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5A11E0">
      <w:pPr>
        <w:pStyle w:val="Heading3"/>
      </w:pPr>
      <w:bookmarkStart w:id="74" w:name="_Toc247691517"/>
      <w:bookmarkStart w:id="75" w:name="_Toc314842501"/>
      <w:bookmarkStart w:id="76" w:name="_Toc420586663"/>
      <w:r w:rsidRPr="00254787">
        <w:t>Introduction</w:t>
      </w:r>
      <w:bookmarkEnd w:id="73"/>
      <w:bookmarkEnd w:id="74"/>
      <w:bookmarkEnd w:id="75"/>
      <w:bookmarkEnd w:id="76"/>
    </w:p>
    <w:p w:rsidR="00153C4C" w:rsidRDefault="00153C4C" w:rsidP="005A11E0">
      <w:r>
        <w:t xml:space="preserve">The major clinical pharmacology studies and the efficacy and safety studies were all conducted using </w:t>
      </w:r>
      <w:r w:rsidR="001053E1">
        <w:t xml:space="preserve">the </w:t>
      </w:r>
      <w:r>
        <w:t>Generation III</w:t>
      </w:r>
      <w:r w:rsidR="001053E1">
        <w:t xml:space="preserve"> formulation</w:t>
      </w:r>
      <w:r>
        <w:t xml:space="preserve">. The only difference between Generation </w:t>
      </w:r>
      <w:r>
        <w:lastRenderedPageBreak/>
        <w:t>III and the Commercial formulation is that the colorant was removed from the Commercial formulation. No bioequivalence studies were conducted as the full pharmacology program and efficacy and safety studies were conducted using Generation III and the change to Commercial formulation is not expected to make any difference to its performance.</w:t>
      </w:r>
    </w:p>
    <w:p w:rsidR="00605AD4" w:rsidRDefault="00605AD4" w:rsidP="005A11E0">
      <w:pPr>
        <w:pStyle w:val="Heading4"/>
      </w:pPr>
      <w:bookmarkStart w:id="77" w:name="_Toc196046464"/>
      <w:bookmarkStart w:id="78" w:name="_Toc247691518"/>
      <w:bookmarkStart w:id="79" w:name="_Toc314842502"/>
      <w:r w:rsidRPr="001053E1">
        <w:t>Clinical</w:t>
      </w:r>
      <w:r w:rsidRPr="00605AD4">
        <w:t xml:space="preserve"> </w:t>
      </w:r>
      <w:r w:rsidR="0018579F">
        <w:t>r</w:t>
      </w:r>
      <w:r w:rsidRPr="00605AD4">
        <w:t>ationale</w:t>
      </w:r>
    </w:p>
    <w:p w:rsidR="00153C4C" w:rsidRDefault="00153C4C" w:rsidP="005A11E0">
      <w:r>
        <w:t>The ability to achieve a rapid analgesic effect is important in the management of pain for patients with cancer who, despite continuous background analgesia often experience recurrent episodes of acute transitory pain otherwise known as BTP. Opioid analgesics are standard treatment for patients with cancer pain and there are a number of marketed opioid drugs in a range of formulations used for the management of both background pain and BTP. However, the effectiveness of currently available products used in the management of BTP is limited by their mode of administration, lag time to adequate analgesia and long duration of action.</w:t>
      </w:r>
    </w:p>
    <w:p w:rsidR="00153C4C" w:rsidRDefault="00153C4C" w:rsidP="005A11E0">
      <w:r>
        <w:t>The prevalence of BTP is high, with 64% to 89% of patients with chronic cancer pain experiencing such events. BTP is usually severe and achieves peak intensity in 3 to 5 minutes and the median duration is 30 minutes. Patients with BTP are usually treated with short acting or normal release opioid analgesics. In contrast, background pain is continuous throughout the day (≥12 hours/day) and is managed with around the clock (ATC) medication, usually in the form of long acting or sustained release opioid formulations.</w:t>
      </w:r>
    </w:p>
    <w:p w:rsidR="00153C4C" w:rsidRDefault="00153C4C" w:rsidP="005A11E0">
      <w:r>
        <w:t>For patients taking opioids as their ATC medication, it is recommended that they also take opioids for BTP. The method of determining the most effective dose of an opioid remains an inexact science, with little correlation between the dose of daily ATC opioid and the opioid dose needed for BTP. Episodes of BTP vary in cause, severity and duration and thus, medication to manage BTP should be titrated individually in a fashion similar to that used for opioid medications given for continuous background pain.</w:t>
      </w:r>
    </w:p>
    <w:p w:rsidR="00153C4C" w:rsidRDefault="00153C4C" w:rsidP="005A11E0">
      <w:r>
        <w:t>Fentanyl is suited for the management of BTP for the following reasons: greater potency than morphine, shorter duration of action, lack of ceiling effect on analgesia, analgesic effects related to blood levels and rapid buccal absorption avoiding extensive first pass metabolism. FEBT was developed using proprietary technology for efficient delivery with the aim of enhanced rate and extent of absorption.</w:t>
      </w:r>
    </w:p>
    <w:p w:rsidR="00605AD4" w:rsidRPr="001053E1" w:rsidRDefault="00605AD4" w:rsidP="005A11E0">
      <w:pPr>
        <w:pStyle w:val="Heading4"/>
      </w:pPr>
      <w:r w:rsidRPr="00605AD4">
        <w:t>Guidance</w:t>
      </w:r>
    </w:p>
    <w:p w:rsidR="00153C4C" w:rsidRDefault="00153C4C" w:rsidP="005A11E0">
      <w:r>
        <w:t xml:space="preserve">The TGA has </w:t>
      </w:r>
      <w:r w:rsidRPr="00BA6803">
        <w:t xml:space="preserve">adopted </w:t>
      </w:r>
      <w:r>
        <w:t>the</w:t>
      </w:r>
      <w:r w:rsidRPr="00BA6803">
        <w:t xml:space="preserve"> EU Guidance </w:t>
      </w:r>
      <w:r w:rsidRPr="001053E1">
        <w:rPr>
          <w:i/>
        </w:rPr>
        <w:t>Note for Guidance on Clinical Investigation of Medicinal Products for Treatment of Nociceptive Pain</w:t>
      </w:r>
      <w:r w:rsidR="001053E1">
        <w:rPr>
          <w:rStyle w:val="FootnoteReference"/>
        </w:rPr>
        <w:footnoteReference w:id="25"/>
      </w:r>
      <w:r w:rsidRPr="00BA6803">
        <w:t>. This is a general guide for all types of nociceptive pain and does not provide specific guidance for breakthrough cancer pain. It is noted that no specific pain scale is recommended and no specific endpoints are recommended.</w:t>
      </w:r>
    </w:p>
    <w:p w:rsidR="00605AD4" w:rsidRPr="001053E1" w:rsidRDefault="00605AD4" w:rsidP="005A11E0">
      <w:pPr>
        <w:pStyle w:val="Heading4"/>
      </w:pPr>
      <w:r w:rsidRPr="00605AD4">
        <w:t>Contents of the clinical dossier</w:t>
      </w:r>
    </w:p>
    <w:p w:rsidR="00153C4C" w:rsidRDefault="00153C4C" w:rsidP="00EC464E">
      <w:r>
        <w:t>The objective of the initial drug development program was to develop a buccal dosage form of fentanyl citrate using effervescence in the tablet to facilitate absorption transmucosally in order to achieve therapeutically effective blood levels with lower doses of fentanyl than those in Actiq</w:t>
      </w:r>
      <w:r w:rsidRPr="003D2C87">
        <w:rPr>
          <w:vertAlign w:val="superscript"/>
        </w:rPr>
        <w:t>®</w:t>
      </w:r>
      <w:r>
        <w:t>, an oral transmucosal fentanyl citrate drug product, which is approved in a number of countries worldwide. The fentanyl buccal tablet was designed to disintegrate in the buccal cavity at approximately the same rate as Actiq</w:t>
      </w:r>
      <w:r w:rsidRPr="003D2C87">
        <w:rPr>
          <w:vertAlign w:val="superscript"/>
        </w:rPr>
        <w:t>®</w:t>
      </w:r>
      <w:r>
        <w:t xml:space="preserve">. However, due to the differences in PK profiles observed between the fentanyl effervescent buccal tablet </w:t>
      </w:r>
      <w:r>
        <w:lastRenderedPageBreak/>
        <w:t>(FEBT) and Actiq</w:t>
      </w:r>
      <w:r w:rsidRPr="003D2C87">
        <w:rPr>
          <w:vertAlign w:val="superscript"/>
        </w:rPr>
        <w:t>®</w:t>
      </w:r>
      <w:r>
        <w:t xml:space="preserve"> it was decided that clinical efficacy and safety studies should be conducted and the objective was no longer to show bioequivalence. As a result a number of studies with the earlier formulations were included in the submission for completeness but have not been evaluated as part of this report.</w:t>
      </w:r>
    </w:p>
    <w:p w:rsidR="00153C4C" w:rsidRDefault="00153C4C" w:rsidP="005A11E0">
      <w:r>
        <w:t>The submission contained the following clinical information:</w:t>
      </w:r>
    </w:p>
    <w:p w:rsidR="00153C4C" w:rsidRDefault="00153C4C" w:rsidP="00EC464E">
      <w:pPr>
        <w:pStyle w:val="ListBullet"/>
      </w:pPr>
      <w:r>
        <w:t xml:space="preserve">16 clinical pharmacology studies, including 15 that provided pharmacokinetic data and 1 that provided </w:t>
      </w:r>
      <w:proofErr w:type="spellStart"/>
      <w:r w:rsidRPr="00EC464E">
        <w:t>pharmacodynamic</w:t>
      </w:r>
      <w:proofErr w:type="spellEnd"/>
      <w:r>
        <w:t xml:space="preserve"> data</w:t>
      </w:r>
    </w:p>
    <w:p w:rsidR="00153C4C" w:rsidRDefault="00153C4C" w:rsidP="005A11E0">
      <w:pPr>
        <w:pStyle w:val="ListBullet"/>
      </w:pPr>
      <w:r>
        <w:t>2 pivotal efficacy/safety studies</w:t>
      </w:r>
    </w:p>
    <w:p w:rsidR="00153C4C" w:rsidRDefault="00153C4C" w:rsidP="005A11E0">
      <w:pPr>
        <w:pStyle w:val="ListBullet"/>
      </w:pPr>
      <w:r>
        <w:t xml:space="preserve">2 other </w:t>
      </w:r>
      <w:r w:rsidRPr="006A08A1">
        <w:t>efficacy/safe</w:t>
      </w:r>
      <w:r>
        <w:t>ty studies</w:t>
      </w:r>
    </w:p>
    <w:p w:rsidR="00153C4C" w:rsidRPr="006A08A1" w:rsidRDefault="00153C4C" w:rsidP="005A11E0">
      <w:pPr>
        <w:pStyle w:val="ListBullet"/>
      </w:pPr>
      <w:r>
        <w:t>7 studies of efficacy/safety in other indications which are not the indication being sought in this submission. These studies have been reviewed for safety but not evaluated for efficacy</w:t>
      </w:r>
    </w:p>
    <w:p w:rsidR="00153C4C" w:rsidRPr="006A08A1" w:rsidRDefault="00153C4C" w:rsidP="005A11E0">
      <w:pPr>
        <w:pStyle w:val="ListBullet"/>
      </w:pPr>
      <w:r>
        <w:t>14</w:t>
      </w:r>
      <w:r w:rsidRPr="006A08A1">
        <w:t xml:space="preserve"> </w:t>
      </w:r>
      <w:r>
        <w:t>(</w:t>
      </w:r>
      <w:r w:rsidRPr="006A08A1">
        <w:t>other</w:t>
      </w:r>
      <w:r w:rsidR="001053E1">
        <w:t xml:space="preserve"> including </w:t>
      </w:r>
      <w:r>
        <w:t xml:space="preserve">13 </w:t>
      </w:r>
      <w:r w:rsidRPr="006A08A1">
        <w:t>P</w:t>
      </w:r>
      <w:r w:rsidR="001053E1">
        <w:t>eriodic Safety Update Reports (P</w:t>
      </w:r>
      <w:r w:rsidRPr="006A08A1">
        <w:t>SURs</w:t>
      </w:r>
      <w:r w:rsidR="001053E1">
        <w:t>) and</w:t>
      </w:r>
      <w:r>
        <w:t xml:space="preserve"> 1 drug utilisation study)</w:t>
      </w:r>
    </w:p>
    <w:p w:rsidR="00605AD4" w:rsidRPr="001053E1" w:rsidRDefault="00605AD4" w:rsidP="005A11E0">
      <w:pPr>
        <w:pStyle w:val="Heading4"/>
      </w:pPr>
      <w:r w:rsidRPr="00605AD4">
        <w:t>Paediatric data</w:t>
      </w:r>
    </w:p>
    <w:p w:rsidR="00153C4C" w:rsidRDefault="00153C4C" w:rsidP="005A11E0">
      <w:r>
        <w:t xml:space="preserve">The submission did not include paediatric data. No information </w:t>
      </w:r>
      <w:r w:rsidR="001053E1">
        <w:t>was</w:t>
      </w:r>
      <w:r>
        <w:t xml:space="preserve"> provided 1 on </w:t>
      </w:r>
      <w:r w:rsidR="0018579F">
        <w:t>paediatric data.</w:t>
      </w:r>
    </w:p>
    <w:p w:rsidR="00605AD4" w:rsidRPr="00B9246E" w:rsidRDefault="00605AD4" w:rsidP="005A11E0">
      <w:pPr>
        <w:pStyle w:val="Heading4"/>
      </w:pPr>
      <w:r w:rsidRPr="00605AD4">
        <w:t>Good clinical practice</w:t>
      </w:r>
    </w:p>
    <w:p w:rsidR="00153C4C" w:rsidRDefault="00153C4C" w:rsidP="005A11E0">
      <w:r w:rsidRPr="003D2C87">
        <w:t>Th</w:t>
      </w:r>
      <w:r>
        <w:t>e</w:t>
      </w:r>
      <w:r w:rsidRPr="003D2C87">
        <w:t xml:space="preserve"> study </w:t>
      </w:r>
      <w:r>
        <w:t xml:space="preserve">reports state that all studies </w:t>
      </w:r>
      <w:r w:rsidRPr="003D2C87">
        <w:t>w</w:t>
      </w:r>
      <w:r>
        <w:t>ere</w:t>
      </w:r>
      <w:r w:rsidRPr="003D2C87">
        <w:t xml:space="preserve"> conducted in full accordance with the Good Clinical Practice:</w:t>
      </w:r>
      <w:r>
        <w:t xml:space="preserve"> </w:t>
      </w:r>
      <w:r w:rsidRPr="003D2C87">
        <w:t>Consolidated Guideline approved by the International Conference on Harmoni</w:t>
      </w:r>
      <w:r>
        <w:t>s</w:t>
      </w:r>
      <w:r w:rsidRPr="003D2C87">
        <w:t>ation</w:t>
      </w:r>
      <w:r>
        <w:t xml:space="preserve"> </w:t>
      </w:r>
      <w:r w:rsidRPr="003D2C87">
        <w:t>(ICH) and any applicable national and local laws and regulations (</w:t>
      </w:r>
      <w:r w:rsidR="00B9246E">
        <w:t>for example</w:t>
      </w:r>
      <w:r w:rsidRPr="003D2C87">
        <w:t xml:space="preserve"> </w:t>
      </w:r>
      <w:r>
        <w:t xml:space="preserve">in USA - </w:t>
      </w:r>
      <w:r w:rsidRPr="003D2C87">
        <w:t>Title 21, Code of</w:t>
      </w:r>
      <w:r>
        <w:t xml:space="preserve"> </w:t>
      </w:r>
      <w:r w:rsidRPr="003D2C87">
        <w:t>Federal Regulations [21 CFR] Parts 50, 54, 56, 312, and 314). Before the stud</w:t>
      </w:r>
      <w:r>
        <w:t>ies</w:t>
      </w:r>
      <w:r w:rsidRPr="003D2C87">
        <w:t xml:space="preserve"> w</w:t>
      </w:r>
      <w:r>
        <w:t>ere</w:t>
      </w:r>
      <w:r w:rsidRPr="003D2C87">
        <w:t xml:space="preserve"> initiated, the protocol was submitted to the Institutional Review</w:t>
      </w:r>
      <w:r>
        <w:t xml:space="preserve"> </w:t>
      </w:r>
      <w:r w:rsidRPr="003D2C87">
        <w:t>Board (IRB) according t</w:t>
      </w:r>
      <w:r>
        <w:t>o national or local regulations and w</w:t>
      </w:r>
      <w:r w:rsidRPr="003D2C87">
        <w:t>ritten informed consent was obtained from each subject before any procedures or</w:t>
      </w:r>
      <w:r>
        <w:t xml:space="preserve"> </w:t>
      </w:r>
      <w:r w:rsidRPr="003D2C87">
        <w:t>assessments were done and after the aims, methods, anticipated benefits and potential</w:t>
      </w:r>
      <w:r>
        <w:t xml:space="preserve"> </w:t>
      </w:r>
      <w:r w:rsidRPr="003D2C87">
        <w:t>hazards were explained.</w:t>
      </w:r>
    </w:p>
    <w:p w:rsidR="008E7846" w:rsidRPr="00B9246E" w:rsidRDefault="008E7846" w:rsidP="005A11E0">
      <w:pPr>
        <w:pStyle w:val="Heading3"/>
      </w:pPr>
      <w:bookmarkStart w:id="80" w:name="_Toc420586664"/>
      <w:r w:rsidRPr="00254787">
        <w:t>Pharmacokinetics</w:t>
      </w:r>
      <w:bookmarkEnd w:id="66"/>
      <w:bookmarkEnd w:id="77"/>
      <w:bookmarkEnd w:id="78"/>
      <w:bookmarkEnd w:id="79"/>
      <w:bookmarkEnd w:id="80"/>
    </w:p>
    <w:p w:rsidR="00605AD4" w:rsidRDefault="00605AD4" w:rsidP="005A11E0">
      <w:pPr>
        <w:pStyle w:val="Heading4"/>
      </w:pPr>
      <w:r>
        <w:t>Studies provid</w:t>
      </w:r>
      <w:r w:rsidR="0018579F">
        <w:t>ing pharmacokinetic data</w:t>
      </w:r>
    </w:p>
    <w:p w:rsidR="00153C4C" w:rsidRDefault="00B9246E" w:rsidP="005A11E0">
      <w:r>
        <w:t xml:space="preserve">Table 5 </w:t>
      </w:r>
      <w:r w:rsidR="00153C4C">
        <w:t>shows the studies relating to each pharmacokinetic topic.</w:t>
      </w:r>
    </w:p>
    <w:p w:rsidR="00153C4C" w:rsidRDefault="00153C4C" w:rsidP="00EC464E">
      <w:pPr>
        <w:pStyle w:val="TableTitle"/>
        <w:pageBreakBefore/>
      </w:pPr>
      <w:bookmarkStart w:id="81" w:name="_Ref272426277"/>
      <w:bookmarkStart w:id="82" w:name="_Toc383947266"/>
      <w:proofErr w:type="gramStart"/>
      <w:r>
        <w:lastRenderedPageBreak/>
        <w:t>Table</w:t>
      </w:r>
      <w:bookmarkEnd w:id="81"/>
      <w:r w:rsidR="00B9246E">
        <w:t xml:space="preserve"> 5:</w:t>
      </w:r>
      <w:r w:rsidR="00281C4E">
        <w:t xml:space="preserve"> </w:t>
      </w:r>
      <w:r>
        <w:t>Submitted pharmacokinetic studies.</w:t>
      </w:r>
      <w:bookmarkEnd w:id="82"/>
      <w:proofErr w:type="gramEnd"/>
    </w:p>
    <w:tbl>
      <w:tblPr>
        <w:tblStyle w:val="TableTGAblue"/>
        <w:tblW w:w="8505" w:type="dxa"/>
        <w:tblLayout w:type="fixed"/>
        <w:tblLook w:val="04A0" w:firstRow="1" w:lastRow="0" w:firstColumn="1" w:lastColumn="0" w:noHBand="0" w:noVBand="1"/>
      </w:tblPr>
      <w:tblGrid>
        <w:gridCol w:w="1843"/>
        <w:gridCol w:w="3402"/>
        <w:gridCol w:w="1843"/>
        <w:gridCol w:w="1417"/>
      </w:tblGrid>
      <w:tr w:rsidR="00B9246E" w:rsidRPr="00B9246E" w:rsidTr="005A11E0">
        <w:trPr>
          <w:cnfStyle w:val="100000000000" w:firstRow="1" w:lastRow="0" w:firstColumn="0" w:lastColumn="0" w:oddVBand="0" w:evenVBand="0" w:oddHBand="0" w:evenHBand="0" w:firstRowFirstColumn="0" w:firstRowLastColumn="0" w:lastRowFirstColumn="0" w:lastRowLastColumn="0"/>
        </w:trPr>
        <w:tc>
          <w:tcPr>
            <w:tcW w:w="1843" w:type="dxa"/>
          </w:tcPr>
          <w:p w:rsidR="00B9246E" w:rsidRPr="00DB0A11" w:rsidRDefault="00B9246E" w:rsidP="005A11E0">
            <w:r w:rsidRPr="00DB0A11">
              <w:t>PK topic</w:t>
            </w:r>
          </w:p>
        </w:tc>
        <w:tc>
          <w:tcPr>
            <w:tcW w:w="3402" w:type="dxa"/>
          </w:tcPr>
          <w:p w:rsidR="00B9246E" w:rsidRPr="00DB0A11" w:rsidRDefault="00B9246E" w:rsidP="005A11E0">
            <w:r w:rsidRPr="00DB0A11">
              <w:t>Subtopic</w:t>
            </w:r>
          </w:p>
        </w:tc>
        <w:tc>
          <w:tcPr>
            <w:tcW w:w="1843" w:type="dxa"/>
          </w:tcPr>
          <w:p w:rsidR="00B9246E" w:rsidRPr="00DB0A11" w:rsidRDefault="00B9246E" w:rsidP="005A11E0">
            <w:r w:rsidRPr="00DB0A11">
              <w:t>Study ID</w:t>
            </w:r>
          </w:p>
        </w:tc>
        <w:tc>
          <w:tcPr>
            <w:tcW w:w="1417" w:type="dxa"/>
          </w:tcPr>
          <w:p w:rsidR="00B9246E" w:rsidRPr="00DB0A11" w:rsidRDefault="00B9246E" w:rsidP="005A11E0">
            <w:r w:rsidRPr="00DB0A11">
              <w:t>Primary aim</w:t>
            </w:r>
          </w:p>
        </w:tc>
      </w:tr>
      <w:tr w:rsidR="00B9246E" w:rsidRPr="00B9246E" w:rsidTr="005A11E0">
        <w:tc>
          <w:tcPr>
            <w:tcW w:w="1843" w:type="dxa"/>
            <w:vMerge w:val="restart"/>
          </w:tcPr>
          <w:p w:rsidR="00B9246E" w:rsidRPr="00DB0A11" w:rsidRDefault="00B9246E" w:rsidP="005A11E0">
            <w:r w:rsidRPr="00DB0A11">
              <w:t>PK in healthy adults</w:t>
            </w:r>
          </w:p>
        </w:tc>
        <w:tc>
          <w:tcPr>
            <w:tcW w:w="3402" w:type="dxa"/>
          </w:tcPr>
          <w:p w:rsidR="00B9246E" w:rsidRPr="00DB0A11" w:rsidRDefault="005A11E0" w:rsidP="005A11E0">
            <w:r>
              <w:t xml:space="preserve">General PK </w:t>
            </w:r>
            <w:r w:rsidR="00B9246E" w:rsidRPr="00DB0A11">
              <w:t>- Single dose</w:t>
            </w:r>
          </w:p>
        </w:tc>
        <w:tc>
          <w:tcPr>
            <w:tcW w:w="1843" w:type="dxa"/>
          </w:tcPr>
          <w:p w:rsidR="00B9246E" w:rsidRPr="00DB0A11" w:rsidRDefault="00B9246E" w:rsidP="005A11E0">
            <w:r w:rsidRPr="00DB0A11">
              <w:t>1029</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5A11E0" w:rsidRDefault="005A11E0" w:rsidP="005A11E0">
            <w:r w:rsidRPr="005A11E0">
              <w:t xml:space="preserve"> </w:t>
            </w:r>
            <w:r>
              <w:t xml:space="preserve">- </w:t>
            </w:r>
            <w:r w:rsidR="00B9246E" w:rsidRPr="005A11E0">
              <w:t>Multi-dose</w:t>
            </w:r>
          </w:p>
        </w:tc>
        <w:tc>
          <w:tcPr>
            <w:tcW w:w="1843" w:type="dxa"/>
          </w:tcPr>
          <w:p w:rsidR="00B9246E" w:rsidRPr="00DB0A11" w:rsidRDefault="00B9246E" w:rsidP="005A11E0">
            <w:r w:rsidRPr="00DB0A11">
              <w:t>1029</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099-20</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Dose proportionality (single dose)</w:t>
            </w:r>
          </w:p>
        </w:tc>
        <w:tc>
          <w:tcPr>
            <w:tcW w:w="1843" w:type="dxa"/>
          </w:tcPr>
          <w:p w:rsidR="00B9246E" w:rsidRPr="00DB0A11" w:rsidRDefault="00B9246E" w:rsidP="005A11E0">
            <w:r w:rsidRPr="00DB0A11">
              <w:t>099-18</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1027</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1037</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1052</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099-19</w:t>
            </w:r>
          </w:p>
        </w:tc>
        <w:tc>
          <w:tcPr>
            <w:tcW w:w="1417" w:type="dxa"/>
          </w:tcPr>
          <w:p w:rsidR="00B9246E" w:rsidRPr="00DB0A11" w:rsidRDefault="00B9246E" w:rsidP="005A11E0">
            <w:r w:rsidRPr="00DB0A11">
              <w:t>PK Japanese</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tc>
        <w:tc>
          <w:tcPr>
            <w:tcW w:w="1843" w:type="dxa"/>
          </w:tcPr>
          <w:p w:rsidR="00B9246E" w:rsidRPr="00DB0A11" w:rsidRDefault="00B9246E" w:rsidP="005A11E0">
            <w:r w:rsidRPr="00DB0A11">
              <w:t>1054</w:t>
            </w:r>
          </w:p>
        </w:tc>
        <w:tc>
          <w:tcPr>
            <w:tcW w:w="1417" w:type="dxa"/>
          </w:tcPr>
          <w:p w:rsidR="00B9246E" w:rsidRPr="00DB0A11" w:rsidRDefault="00B9246E" w:rsidP="005A11E0">
            <w:r w:rsidRPr="00DB0A11">
              <w:t>PK Japanese</w:t>
            </w:r>
          </w:p>
        </w:tc>
      </w:tr>
      <w:tr w:rsidR="00B9246E" w:rsidRPr="00B9246E" w:rsidTr="005A11E0">
        <w:tc>
          <w:tcPr>
            <w:tcW w:w="1843" w:type="dxa"/>
            <w:vMerge/>
          </w:tcPr>
          <w:p w:rsidR="00B9246E" w:rsidRPr="00DB0A11" w:rsidRDefault="00B9246E" w:rsidP="005A11E0"/>
        </w:tc>
        <w:tc>
          <w:tcPr>
            <w:tcW w:w="3402" w:type="dxa"/>
          </w:tcPr>
          <w:p w:rsidR="00B9246E" w:rsidRPr="00DB0A11" w:rsidRDefault="000854E0" w:rsidP="005A11E0">
            <w:r>
              <w:t>Bioavailability</w:t>
            </w:r>
          </w:p>
        </w:tc>
        <w:tc>
          <w:tcPr>
            <w:tcW w:w="1843" w:type="dxa"/>
          </w:tcPr>
          <w:p w:rsidR="00B9246E" w:rsidRPr="00DB0A11" w:rsidRDefault="00B9246E" w:rsidP="005A11E0"/>
        </w:tc>
        <w:tc>
          <w:tcPr>
            <w:tcW w:w="1417" w:type="dxa"/>
          </w:tcPr>
          <w:p w:rsidR="00B9246E" w:rsidRPr="00DB0A11" w:rsidRDefault="00B9246E" w:rsidP="005A11E0"/>
        </w:tc>
      </w:tr>
      <w:tr w:rsidR="00B9246E" w:rsidRPr="00B9246E" w:rsidTr="005A11E0">
        <w:tc>
          <w:tcPr>
            <w:tcW w:w="1843" w:type="dxa"/>
            <w:vMerge/>
          </w:tcPr>
          <w:p w:rsidR="00B9246E" w:rsidRPr="00DB0A11" w:rsidRDefault="00B9246E" w:rsidP="005A11E0"/>
        </w:tc>
        <w:tc>
          <w:tcPr>
            <w:tcW w:w="3402" w:type="dxa"/>
          </w:tcPr>
          <w:p w:rsidR="00B9246E" w:rsidRPr="00DB0A11" w:rsidRDefault="000854E0" w:rsidP="005A11E0">
            <w:r>
              <w:t>absolute and relative</w:t>
            </w:r>
          </w:p>
        </w:tc>
        <w:tc>
          <w:tcPr>
            <w:tcW w:w="1843" w:type="dxa"/>
          </w:tcPr>
          <w:p w:rsidR="00B9246E" w:rsidRPr="00DB0A11" w:rsidRDefault="00B9246E" w:rsidP="005A11E0">
            <w:r w:rsidRPr="00DB0A11">
              <w:t>1028</w:t>
            </w:r>
          </w:p>
        </w:tc>
        <w:tc>
          <w:tcPr>
            <w:tcW w:w="1417" w:type="dxa"/>
          </w:tcPr>
          <w:p w:rsidR="00B9246E" w:rsidRPr="00DB0A11" w:rsidRDefault="00B9246E" w:rsidP="005A11E0">
            <w:r w:rsidRPr="00DB0A11">
              <w:t>BA</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comparison of strengths</w:t>
            </w:r>
          </w:p>
        </w:tc>
        <w:tc>
          <w:tcPr>
            <w:tcW w:w="1843" w:type="dxa"/>
          </w:tcPr>
          <w:p w:rsidR="00B9246E" w:rsidRPr="00DB0A11" w:rsidRDefault="00B9246E" w:rsidP="005A11E0">
            <w:r w:rsidRPr="00DB0A11">
              <w:t>099-21</w:t>
            </w:r>
          </w:p>
        </w:tc>
        <w:tc>
          <w:tcPr>
            <w:tcW w:w="1417" w:type="dxa"/>
          </w:tcPr>
          <w:p w:rsidR="00B9246E" w:rsidRPr="00DB0A11" w:rsidRDefault="00B9246E" w:rsidP="005A11E0">
            <w:r w:rsidRPr="00DB0A11">
              <w:t>BA</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Bioequivalence</w:t>
            </w:r>
          </w:p>
        </w:tc>
        <w:tc>
          <w:tcPr>
            <w:tcW w:w="1843" w:type="dxa"/>
          </w:tcPr>
          <w:p w:rsidR="00B9246E" w:rsidRPr="00DB0A11" w:rsidRDefault="00B9246E" w:rsidP="005A11E0"/>
        </w:tc>
        <w:tc>
          <w:tcPr>
            <w:tcW w:w="1417" w:type="dxa"/>
          </w:tcPr>
          <w:p w:rsidR="00B9246E" w:rsidRPr="00DB0A11" w:rsidRDefault="00B9246E" w:rsidP="005A11E0"/>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Different strengths</w:t>
            </w:r>
          </w:p>
        </w:tc>
        <w:tc>
          <w:tcPr>
            <w:tcW w:w="1843" w:type="dxa"/>
          </w:tcPr>
          <w:p w:rsidR="00B9246E" w:rsidRPr="00DB0A11" w:rsidRDefault="00B9246E" w:rsidP="005A11E0">
            <w:r w:rsidRPr="00DB0A11">
              <w:t>1026</w:t>
            </w:r>
          </w:p>
        </w:tc>
        <w:tc>
          <w:tcPr>
            <w:tcW w:w="1417" w:type="dxa"/>
          </w:tcPr>
          <w:p w:rsidR="00B9246E" w:rsidRPr="00DB0A11" w:rsidRDefault="00B9246E" w:rsidP="005A11E0">
            <w:r w:rsidRPr="00DB0A11">
              <w:t>BE</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Buccal vs sublingual</w:t>
            </w:r>
          </w:p>
        </w:tc>
        <w:tc>
          <w:tcPr>
            <w:tcW w:w="1843" w:type="dxa"/>
          </w:tcPr>
          <w:p w:rsidR="00B9246E" w:rsidRPr="00DB0A11" w:rsidRDefault="00B9246E" w:rsidP="005A11E0">
            <w:r w:rsidRPr="00DB0A11">
              <w:t>1043</w:t>
            </w:r>
          </w:p>
        </w:tc>
        <w:tc>
          <w:tcPr>
            <w:tcW w:w="1417" w:type="dxa"/>
          </w:tcPr>
          <w:p w:rsidR="00B9246E" w:rsidRPr="00DB0A11" w:rsidRDefault="00B9246E" w:rsidP="005A11E0">
            <w:r w:rsidRPr="00DB0A11">
              <w:t>BE</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Oravescent vs Actiq</w:t>
            </w:r>
          </w:p>
        </w:tc>
        <w:tc>
          <w:tcPr>
            <w:tcW w:w="1843" w:type="dxa"/>
          </w:tcPr>
          <w:p w:rsidR="00B9246E" w:rsidRPr="00DB0A11" w:rsidRDefault="00B9246E" w:rsidP="005A11E0">
            <w:r w:rsidRPr="00DB0A11">
              <w:t>099-11</w:t>
            </w:r>
          </w:p>
        </w:tc>
        <w:tc>
          <w:tcPr>
            <w:tcW w:w="1417" w:type="dxa"/>
          </w:tcPr>
          <w:p w:rsidR="00B9246E" w:rsidRPr="00DB0A11" w:rsidRDefault="00B9246E" w:rsidP="005A11E0">
            <w:r w:rsidRPr="00DB0A11">
              <w:t>BE</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Different strengths</w:t>
            </w:r>
          </w:p>
        </w:tc>
        <w:tc>
          <w:tcPr>
            <w:tcW w:w="1843" w:type="dxa"/>
          </w:tcPr>
          <w:p w:rsidR="00B9246E" w:rsidRPr="00DB0A11" w:rsidRDefault="00B9246E" w:rsidP="005A11E0">
            <w:r w:rsidRPr="00DB0A11">
              <w:t>1053</w:t>
            </w:r>
          </w:p>
        </w:tc>
        <w:tc>
          <w:tcPr>
            <w:tcW w:w="1417" w:type="dxa"/>
          </w:tcPr>
          <w:p w:rsidR="00B9246E" w:rsidRPr="00DB0A11" w:rsidRDefault="00B9246E" w:rsidP="005A11E0">
            <w:r w:rsidRPr="00DB0A11">
              <w:t>BE</w:t>
            </w:r>
          </w:p>
        </w:tc>
      </w:tr>
      <w:tr w:rsidR="00B9246E" w:rsidRPr="00B9246E" w:rsidTr="005A11E0">
        <w:tc>
          <w:tcPr>
            <w:tcW w:w="1843" w:type="dxa"/>
            <w:vMerge w:val="restart"/>
          </w:tcPr>
          <w:p w:rsidR="00B9246E" w:rsidRPr="00DB0A11" w:rsidRDefault="00B9246E" w:rsidP="005A11E0">
            <w:r w:rsidRPr="00DB0A11">
              <w:t>PK in special populations</w:t>
            </w:r>
          </w:p>
        </w:tc>
        <w:tc>
          <w:tcPr>
            <w:tcW w:w="3402" w:type="dxa"/>
          </w:tcPr>
          <w:p w:rsidR="00B9246E" w:rsidRPr="00DB0A11" w:rsidRDefault="00B9246E" w:rsidP="005A11E0">
            <w:r w:rsidRPr="00DB0A11">
              <w:t>Target population §</w:t>
            </w:r>
            <w:r w:rsidRPr="00DB0A11">
              <w:tab/>
              <w:t>- Single dose</w:t>
            </w:r>
          </w:p>
        </w:tc>
        <w:tc>
          <w:tcPr>
            <w:tcW w:w="1843" w:type="dxa"/>
          </w:tcPr>
          <w:p w:rsidR="00B9246E" w:rsidRPr="00DB0A11" w:rsidRDefault="00B9246E" w:rsidP="005A11E0">
            <w:r w:rsidRPr="00DB0A11">
              <w:t>099-16</w:t>
            </w:r>
          </w:p>
        </w:tc>
        <w:tc>
          <w:tcPr>
            <w:tcW w:w="1417" w:type="dxa"/>
          </w:tcPr>
          <w:p w:rsidR="00B9246E" w:rsidRPr="00DB0A11" w:rsidRDefault="00B9246E" w:rsidP="005A11E0">
            <w:r w:rsidRPr="00DB0A11">
              <w:t>PK</w:t>
            </w:r>
          </w:p>
        </w:tc>
      </w:tr>
      <w:tr w:rsidR="00B9246E" w:rsidRPr="00B9246E" w:rsidTr="005A11E0">
        <w:tc>
          <w:tcPr>
            <w:tcW w:w="1843" w:type="dxa"/>
            <w:vMerge/>
          </w:tcPr>
          <w:p w:rsidR="00B9246E" w:rsidRPr="00DB0A11" w:rsidRDefault="00B9246E" w:rsidP="005A11E0"/>
        </w:tc>
        <w:tc>
          <w:tcPr>
            <w:tcW w:w="3402" w:type="dxa"/>
          </w:tcPr>
          <w:p w:rsidR="00B9246E" w:rsidRPr="00DB0A11" w:rsidRDefault="00B9246E" w:rsidP="005A11E0">
            <w:r w:rsidRPr="00DB0A11">
              <w:t>- Multi-dose</w:t>
            </w:r>
          </w:p>
        </w:tc>
        <w:tc>
          <w:tcPr>
            <w:tcW w:w="1843" w:type="dxa"/>
          </w:tcPr>
          <w:p w:rsidR="00B9246E" w:rsidRPr="00DB0A11" w:rsidRDefault="00B9246E" w:rsidP="005A11E0"/>
        </w:tc>
        <w:tc>
          <w:tcPr>
            <w:tcW w:w="1417" w:type="dxa"/>
          </w:tcPr>
          <w:p w:rsidR="00B9246E" w:rsidRPr="00DB0A11" w:rsidRDefault="00B9246E" w:rsidP="005A11E0"/>
        </w:tc>
      </w:tr>
    </w:tbl>
    <w:p w:rsidR="00153C4C" w:rsidRPr="00B9246E" w:rsidRDefault="00153C4C" w:rsidP="00EC464E">
      <w:pPr>
        <w:pStyle w:val="TableDescription"/>
      </w:pPr>
      <w:r w:rsidRPr="00B9246E">
        <w:t>§ Subjects who would be eligible to receive the drug if approved for the proposed indication.</w:t>
      </w:r>
      <w:r w:rsidR="00C16BC4">
        <w:t xml:space="preserve"> </w:t>
      </w:r>
      <w:r w:rsidR="00B9246E">
        <w:t>BE=</w:t>
      </w:r>
      <w:r w:rsidR="00B9246E" w:rsidRPr="00EC464E">
        <w:t>Bioequivalence</w:t>
      </w:r>
      <w:r w:rsidR="00B9246E">
        <w:t>; BA=Bioavailability</w:t>
      </w:r>
    </w:p>
    <w:p w:rsidR="00153C4C" w:rsidRPr="00B9246E" w:rsidRDefault="00153C4C" w:rsidP="000854E0">
      <w:r w:rsidRPr="00B9246E">
        <w:t>None of the pharmacokinetic studies had deficiencies that excluded their results from consideration.</w:t>
      </w:r>
    </w:p>
    <w:p w:rsidR="00605AD4" w:rsidRDefault="00605AD4" w:rsidP="00D77325">
      <w:pPr>
        <w:pStyle w:val="Heading4"/>
      </w:pPr>
      <w:r>
        <w:lastRenderedPageBreak/>
        <w:t>Evaluator’s conclusions on pharmacokinetics</w:t>
      </w:r>
    </w:p>
    <w:p w:rsidR="00153C4C" w:rsidRDefault="00153C4C" w:rsidP="00D77325">
      <w:r>
        <w:t>The PK studies for FEBT were consistent with the known information for fentanyl. The submission contained the necessary studies to document those aspects of the PK of FEBT that were expected to be unique given its novel formulation.</w:t>
      </w:r>
    </w:p>
    <w:p w:rsidR="00153C4C" w:rsidRDefault="00153C4C" w:rsidP="00D77325">
      <w:r>
        <w:t>Fentanyl formulated as FEBT is readily absorbed, with an absolute bioavailability of 65% following buccal administration. The absorption profile is largely the result of initial rapid absorption from the buccal mucosa, with peak plasma concentration attained at approximately 50 minutes in the fasted state. The mean PK profile based on the pooled data demonstrates that within 25 minutes, plasma concentrations reach approximately 80% of the C</w:t>
      </w:r>
      <w:r w:rsidRPr="00BE3E69">
        <w:rPr>
          <w:vertAlign w:val="subscript"/>
        </w:rPr>
        <w:t>max</w:t>
      </w:r>
      <w:r>
        <w:t xml:space="preserve"> and are maintained through 2 to 3 hours after the start of administration. Approximately 50% of the total dose administered is absorbed across the buccal mucosa and rapidly becomes systemically available. The remaining half of the total dose is swallowed and undergoes more prolonged absorption from the gastrointestinal tract. Following absorption, fentanyl formulated as FEBT exhibits an apparent bioexponential or triexponential decline from peak plasma concentration. The metabolism and excretion are as expected for fentanyl.</w:t>
      </w:r>
    </w:p>
    <w:p w:rsidR="00153C4C" w:rsidRDefault="00153C4C" w:rsidP="00D77325">
      <w:r>
        <w:t xml:space="preserve">Multiple studies were conducted to demonstrate that fentanyl formulated as FEBT exhibits linear pharmacokinetics. Dose proportionality was not found in all the studies, which is explained in some of the study reports as being due to low numbers and in others to be due to decreased absorption due to taking multiple tablets to achieve the highest doses. There appears to be dose proportionality at doses from 100 to 800 µg and likely up to 1000 µg. Above this dose </w:t>
      </w:r>
      <w:r w:rsidR="00B9246E">
        <w:t xml:space="preserve">(1000 µg) </w:t>
      </w:r>
      <w:r>
        <w:t>the largest study demonstrated dose proportionality up to 1300 µg. The lack of dose proportionality, if it exists, is unlikely to create problems as the results approximate dose proportionality and all patients should be individually titrated to the effective dose.</w:t>
      </w:r>
    </w:p>
    <w:p w:rsidR="00153C4C" w:rsidRDefault="00153C4C" w:rsidP="00D77325">
      <w:r>
        <w:t>The rate and extent of fentanyl absorption of FEBT are not affected by the dwell time and there is no difference in the PK profile between buccal and sublingual placement of the tablet.</w:t>
      </w:r>
    </w:p>
    <w:p w:rsidR="008E7846" w:rsidRDefault="008E7846" w:rsidP="00D77325">
      <w:pPr>
        <w:pStyle w:val="Heading3"/>
      </w:pPr>
      <w:bookmarkStart w:id="83" w:name="_Toc196046481"/>
      <w:bookmarkStart w:id="84" w:name="_Toc247691520"/>
      <w:bookmarkStart w:id="85" w:name="_Toc314842503"/>
      <w:bookmarkStart w:id="86" w:name="_Toc420586665"/>
      <w:r w:rsidRPr="00254787">
        <w:t>Pharmacodynamics</w:t>
      </w:r>
      <w:bookmarkEnd w:id="67"/>
      <w:bookmarkEnd w:id="83"/>
      <w:bookmarkEnd w:id="84"/>
      <w:bookmarkEnd w:id="85"/>
      <w:bookmarkEnd w:id="86"/>
    </w:p>
    <w:p w:rsidR="00605AD4" w:rsidRPr="00B9246E" w:rsidRDefault="00605AD4" w:rsidP="00D77325">
      <w:pPr>
        <w:pStyle w:val="Heading4"/>
      </w:pPr>
      <w:r>
        <w:t>Studies providing pharmacodynamic data</w:t>
      </w:r>
    </w:p>
    <w:p w:rsidR="00153C4C" w:rsidRDefault="00B9246E" w:rsidP="00D77325">
      <w:r>
        <w:t>Table 6</w:t>
      </w:r>
      <w:r w:rsidR="00153C4C">
        <w:t xml:space="preserve"> shows the studies relating to each pharmacodynamic </w:t>
      </w:r>
      <w:r w:rsidR="002A170B">
        <w:t xml:space="preserve">(PD) </w:t>
      </w:r>
      <w:r w:rsidR="00153C4C">
        <w:t>topic.</w:t>
      </w:r>
    </w:p>
    <w:p w:rsidR="00153C4C" w:rsidRDefault="00153C4C" w:rsidP="00D77325">
      <w:pPr>
        <w:pStyle w:val="TableTitle"/>
      </w:pPr>
      <w:bookmarkStart w:id="87" w:name="_Ref269985397"/>
      <w:bookmarkStart w:id="88" w:name="_Toc383947267"/>
      <w:r>
        <w:t xml:space="preserve">Table </w:t>
      </w:r>
      <w:r w:rsidR="00B9246E">
        <w:t>6:</w:t>
      </w:r>
      <w:bookmarkEnd w:id="87"/>
      <w:r w:rsidR="00281C4E">
        <w:t xml:space="preserve"> </w:t>
      </w:r>
      <w:r>
        <w:t xml:space="preserve">Submitted </w:t>
      </w:r>
      <w:r w:rsidR="00435510">
        <w:t>PD</w:t>
      </w:r>
      <w:r>
        <w:t xml:space="preserve"> studies.</w:t>
      </w:r>
      <w:bookmarkEnd w:id="88"/>
    </w:p>
    <w:tbl>
      <w:tblPr>
        <w:tblStyle w:val="TableTGAblue"/>
        <w:tblW w:w="8080" w:type="dxa"/>
        <w:tblLayout w:type="fixed"/>
        <w:tblLook w:val="04A0" w:firstRow="1" w:lastRow="0" w:firstColumn="1" w:lastColumn="0" w:noHBand="0" w:noVBand="1"/>
      </w:tblPr>
      <w:tblGrid>
        <w:gridCol w:w="2127"/>
        <w:gridCol w:w="2835"/>
        <w:gridCol w:w="1525"/>
        <w:gridCol w:w="1593"/>
      </w:tblGrid>
      <w:tr w:rsidR="00B9246E" w:rsidTr="00D77325">
        <w:trPr>
          <w:cnfStyle w:val="100000000000" w:firstRow="1" w:lastRow="0" w:firstColumn="0" w:lastColumn="0" w:oddVBand="0" w:evenVBand="0" w:oddHBand="0" w:evenHBand="0" w:firstRowFirstColumn="0" w:firstRowLastColumn="0" w:lastRowFirstColumn="0" w:lastRowLastColumn="0"/>
        </w:trPr>
        <w:tc>
          <w:tcPr>
            <w:tcW w:w="2127" w:type="dxa"/>
          </w:tcPr>
          <w:p w:rsidR="00B9246E" w:rsidRPr="00B9246E" w:rsidRDefault="00B9246E" w:rsidP="00D77325">
            <w:r w:rsidRPr="00B9246E">
              <w:t>PD Topic</w:t>
            </w:r>
          </w:p>
        </w:tc>
        <w:tc>
          <w:tcPr>
            <w:tcW w:w="2835" w:type="dxa"/>
          </w:tcPr>
          <w:p w:rsidR="00B9246E" w:rsidRPr="00B9246E" w:rsidRDefault="00B9246E" w:rsidP="00D77325">
            <w:r w:rsidRPr="00B9246E">
              <w:t>Subtopic</w:t>
            </w:r>
          </w:p>
        </w:tc>
        <w:tc>
          <w:tcPr>
            <w:tcW w:w="1525" w:type="dxa"/>
          </w:tcPr>
          <w:p w:rsidR="00B9246E" w:rsidRPr="00B9246E" w:rsidRDefault="00B9246E" w:rsidP="00D77325">
            <w:r w:rsidRPr="00B9246E">
              <w:t>Study ID</w:t>
            </w:r>
          </w:p>
        </w:tc>
        <w:tc>
          <w:tcPr>
            <w:tcW w:w="1593" w:type="dxa"/>
          </w:tcPr>
          <w:p w:rsidR="00B9246E" w:rsidRPr="00B9246E" w:rsidRDefault="00B9246E" w:rsidP="00D77325">
            <w:r w:rsidRPr="00B9246E">
              <w:t>Primary aim</w:t>
            </w:r>
          </w:p>
        </w:tc>
      </w:tr>
      <w:tr w:rsidR="00B9246E" w:rsidTr="00D77325">
        <w:trPr>
          <w:trHeight w:val="479"/>
        </w:trPr>
        <w:tc>
          <w:tcPr>
            <w:tcW w:w="2127" w:type="dxa"/>
          </w:tcPr>
          <w:p w:rsidR="00B9246E" w:rsidRPr="007A7D84" w:rsidRDefault="00B9246E" w:rsidP="00D77325">
            <w:r w:rsidRPr="007A7D84">
              <w:t>Primary Pharmacology</w:t>
            </w:r>
          </w:p>
        </w:tc>
        <w:tc>
          <w:tcPr>
            <w:tcW w:w="2835" w:type="dxa"/>
          </w:tcPr>
          <w:p w:rsidR="00B9246E" w:rsidRPr="000800CC" w:rsidRDefault="00B9246E" w:rsidP="00D77325">
            <w:r w:rsidRPr="000800CC">
              <w:t xml:space="preserve">Effect on </w:t>
            </w:r>
            <w:r>
              <w:t>analgesic potency</w:t>
            </w:r>
          </w:p>
        </w:tc>
        <w:tc>
          <w:tcPr>
            <w:tcW w:w="1525" w:type="dxa"/>
          </w:tcPr>
          <w:p w:rsidR="00B9246E" w:rsidRPr="000800CC" w:rsidRDefault="00B9246E" w:rsidP="00D77325">
            <w:r>
              <w:t>1046</w:t>
            </w:r>
          </w:p>
        </w:tc>
        <w:tc>
          <w:tcPr>
            <w:tcW w:w="1593" w:type="dxa"/>
          </w:tcPr>
          <w:p w:rsidR="00B9246E" w:rsidRPr="000800CC" w:rsidRDefault="00B9246E" w:rsidP="00D77325">
            <w:r>
              <w:t>PD</w:t>
            </w:r>
          </w:p>
        </w:tc>
      </w:tr>
    </w:tbl>
    <w:p w:rsidR="00153C4C" w:rsidRDefault="00153C4C" w:rsidP="00D77325">
      <w:r>
        <w:t>None of the pharmacodynamic studies had deficiencies that excluded their results from consideration.</w:t>
      </w:r>
    </w:p>
    <w:p w:rsidR="00605AD4" w:rsidRPr="00B9246E" w:rsidRDefault="00605AD4" w:rsidP="00D77325">
      <w:pPr>
        <w:pStyle w:val="Heading4"/>
      </w:pPr>
      <w:r>
        <w:t>Evaluator’s conclusions on pharmacodynamics</w:t>
      </w:r>
    </w:p>
    <w:p w:rsidR="00153C4C" w:rsidRDefault="00153C4C" w:rsidP="00D77325">
      <w:r>
        <w:t>Only one PD study (</w:t>
      </w:r>
      <w:r w:rsidRPr="00B9246E">
        <w:t>Study 1046</w:t>
      </w:r>
      <w:r>
        <w:t xml:space="preserve">) of FEBT was submitted. Analgesic efficacy was tested in healthy volunteers with thermally induced hyperalgesia. </w:t>
      </w:r>
      <w:r w:rsidRPr="00871643">
        <w:t xml:space="preserve">The primary </w:t>
      </w:r>
      <w:r>
        <w:t>PD</w:t>
      </w:r>
      <w:r w:rsidRPr="00871643">
        <w:t xml:space="preserve"> variable was the SPID</w:t>
      </w:r>
      <w:r w:rsidRPr="00871643">
        <w:rPr>
          <w:vertAlign w:val="subscript"/>
        </w:rPr>
        <w:t>60</w:t>
      </w:r>
      <w:r w:rsidRPr="00871643">
        <w:t xml:space="preserve"> (sum of pain intensity scores</w:t>
      </w:r>
      <w:r>
        <w:t xml:space="preserve"> </w:t>
      </w:r>
      <w:r w:rsidRPr="00871643">
        <w:t xml:space="preserve">averaged for each temperature at each time point over the </w:t>
      </w:r>
      <w:r w:rsidR="002A170B">
        <w:t>first</w:t>
      </w:r>
      <w:r w:rsidRPr="00871643">
        <w:t xml:space="preserve"> hour). The criteria for</w:t>
      </w:r>
      <w:r>
        <w:t xml:space="preserve"> </w:t>
      </w:r>
      <w:r w:rsidRPr="00871643">
        <w:t>significance were not met for this variable.</w:t>
      </w:r>
      <w:r>
        <w:t xml:space="preserve"> </w:t>
      </w:r>
      <w:r w:rsidRPr="00871643">
        <w:t xml:space="preserve">The study </w:t>
      </w:r>
      <w:r w:rsidRPr="00871643">
        <w:lastRenderedPageBreak/>
        <w:t>utili</w:t>
      </w:r>
      <w:r>
        <w:t>s</w:t>
      </w:r>
      <w:r w:rsidRPr="00871643">
        <w:t>ed an</w:t>
      </w:r>
      <w:r>
        <w:t xml:space="preserve"> </w:t>
      </w:r>
      <w:r w:rsidRPr="00871643">
        <w:t>experimental pain model in healthy subjects rather than in patients with chronic pain.</w:t>
      </w:r>
      <w:r>
        <w:t xml:space="preserve"> </w:t>
      </w:r>
      <w:r w:rsidRPr="00871643">
        <w:t>There was no significant difference from placebo following the 43°C and 46°C thermal</w:t>
      </w:r>
      <w:r>
        <w:t xml:space="preserve"> </w:t>
      </w:r>
      <w:r w:rsidRPr="00871643">
        <w:t>applications, which resulted in a lack of significant effect when averaging the responses</w:t>
      </w:r>
      <w:r>
        <w:t xml:space="preserve"> </w:t>
      </w:r>
      <w:r w:rsidRPr="00871643">
        <w:t>from all 3 temperatures.</w:t>
      </w:r>
      <w:r w:rsidR="002A170B">
        <w:t xml:space="preserve"> </w:t>
      </w:r>
      <w:r w:rsidR="002A170B" w:rsidRPr="002902B8">
        <w:t>Pain intensity differe</w:t>
      </w:r>
      <w:r w:rsidR="002A170B" w:rsidRPr="002A170B">
        <w:t>nce (</w:t>
      </w:r>
      <w:r w:rsidRPr="002A170B">
        <w:t>PID</w:t>
      </w:r>
      <w:r w:rsidR="002A170B" w:rsidRPr="002A170B">
        <w:t>)</w:t>
      </w:r>
      <w:r w:rsidRPr="00C60E4E">
        <w:t xml:space="preserve"> and pupil diameter measurements 60 minutes following the 49°C</w:t>
      </w:r>
      <w:r>
        <w:t xml:space="preserve"> </w:t>
      </w:r>
      <w:r w:rsidRPr="00C60E4E">
        <w:t>thermal application showed comparable relative potency</w:t>
      </w:r>
      <w:r w:rsidR="0018579F">
        <w:t>.</w:t>
      </w:r>
    </w:p>
    <w:p w:rsidR="00153C4C" w:rsidRDefault="00153C4C" w:rsidP="00D77325">
      <w:r w:rsidRPr="00871643">
        <w:t>The implications of the results of this study are limited</w:t>
      </w:r>
      <w:r>
        <w:t xml:space="preserve"> and it is noted that there is no discussion of the PD in the </w:t>
      </w:r>
      <w:r w:rsidR="002A170B">
        <w:t>sponsor’s s</w:t>
      </w:r>
      <w:r>
        <w:t>ummaries</w:t>
      </w:r>
      <w:r w:rsidRPr="00871643">
        <w:t>. Additionally, the results of this study are limited to the studied</w:t>
      </w:r>
      <w:r>
        <w:t xml:space="preserve"> </w:t>
      </w:r>
      <w:r w:rsidRPr="00871643">
        <w:t>dose range and cannot be extrapolated to higher doses.</w:t>
      </w:r>
      <w:r>
        <w:t xml:space="preserve"> The results of the efficacy studies found that </w:t>
      </w:r>
      <w:r w:rsidR="002A170B">
        <w:t xml:space="preserve">the </w:t>
      </w:r>
      <w:r>
        <w:t>efficacy of FEBT was not influenced by age, sex, race, weight or BTP pathophysiology.</w:t>
      </w:r>
    </w:p>
    <w:p w:rsidR="008E7846" w:rsidRPr="002A170B" w:rsidRDefault="00605AD4" w:rsidP="00D77325">
      <w:pPr>
        <w:pStyle w:val="Heading3"/>
      </w:pPr>
      <w:bookmarkStart w:id="89" w:name="_Toc420586666"/>
      <w:r>
        <w:t>Dosage selection for the pivotal studies</w:t>
      </w:r>
      <w:bookmarkEnd w:id="89"/>
    </w:p>
    <w:p w:rsidR="00153C4C" w:rsidRDefault="00153C4C" w:rsidP="00D77325">
      <w:r>
        <w:t>In selecting FEBT dose strengths for the clinical efficacy studi</w:t>
      </w:r>
      <w:r w:rsidRPr="002A170B">
        <w:t>es, results from Study 099-011 indicated that lower doses of FEBT (</w:t>
      </w:r>
      <w:r w:rsidR="002A170B" w:rsidRPr="002A170B">
        <w:t xml:space="preserve">approximately </w:t>
      </w:r>
      <w:r w:rsidRPr="002A170B">
        <w:t>50%) were required to achieve a similar effect to the of the oral transmucosal fentanyl lozenge (Actiq</w:t>
      </w:r>
      <w:r w:rsidRPr="002A170B">
        <w:rPr>
          <w:vertAlign w:val="superscript"/>
        </w:rPr>
        <w:t>®</w:t>
      </w:r>
      <w:r w:rsidRPr="002A170B">
        <w:t>). Results from Study 1028 indicated that the dose of fentanyl from FEBT should be approximately 70% of that in a</w:t>
      </w:r>
      <w:r>
        <w:t>n Actiq unit in order to obtain comparable plasma concentrations rather than the 50% predicted from the earlier study. No standard dose was selected for the efficacy studies and all patients were individually titrated from a starting dose of 100</w:t>
      </w:r>
      <w:r w:rsidR="002A170B">
        <w:t xml:space="preserve"> </w:t>
      </w:r>
      <w:r>
        <w:t>µg to an individual effective dose. The effective dose was then used in the pivotal studies for the double blind comparison to placebo. No patient received more than 800 µg.</w:t>
      </w:r>
    </w:p>
    <w:p w:rsidR="008E7846" w:rsidRPr="002A170B" w:rsidRDefault="008E7846" w:rsidP="00D77325">
      <w:pPr>
        <w:pStyle w:val="Heading3"/>
      </w:pPr>
      <w:bookmarkStart w:id="90" w:name="_Toc163441372"/>
      <w:bookmarkStart w:id="91" w:name="_Toc196046485"/>
      <w:bookmarkStart w:id="92" w:name="_Toc247691521"/>
      <w:bookmarkStart w:id="93" w:name="_Toc314842504"/>
      <w:bookmarkStart w:id="94" w:name="_Toc420586667"/>
      <w:r w:rsidRPr="00254787">
        <w:t>Efficacy</w:t>
      </w:r>
      <w:bookmarkEnd w:id="90"/>
      <w:bookmarkEnd w:id="91"/>
      <w:bookmarkEnd w:id="92"/>
      <w:bookmarkEnd w:id="93"/>
      <w:bookmarkEnd w:id="94"/>
    </w:p>
    <w:p w:rsidR="00605AD4" w:rsidRDefault="00605AD4" w:rsidP="00D77325">
      <w:pPr>
        <w:pStyle w:val="Heading4"/>
      </w:pPr>
      <w:bookmarkStart w:id="95" w:name="_Toc184439992"/>
      <w:bookmarkStart w:id="96" w:name="_Toc184440279"/>
      <w:bookmarkStart w:id="97" w:name="_Toc184444657"/>
      <w:bookmarkStart w:id="98" w:name="_Toc196046487"/>
      <w:r w:rsidRPr="007A22E7">
        <w:t>Studies providing efficacy data</w:t>
      </w:r>
    </w:p>
    <w:p w:rsidR="002A170B" w:rsidRDefault="002A170B" w:rsidP="00D77325">
      <w:r>
        <w:t>Two pivotal efficacy</w:t>
      </w:r>
      <w:r w:rsidR="007A22E7">
        <w:t>/safety</w:t>
      </w:r>
      <w:r>
        <w:t xml:space="preserve"> studies </w:t>
      </w:r>
      <w:r w:rsidR="007A22E7">
        <w:t>and two other efficacy/safety studies were submitted. See Attachment 2 for further details.</w:t>
      </w:r>
    </w:p>
    <w:p w:rsidR="008E7846" w:rsidRDefault="00605AD4" w:rsidP="00D77325">
      <w:pPr>
        <w:pStyle w:val="Heading4"/>
      </w:pPr>
      <w:r>
        <w:t>Evaluator’s conclusions on efficacy</w:t>
      </w:r>
    </w:p>
    <w:p w:rsidR="008764ED" w:rsidRDefault="008764ED" w:rsidP="00D77325">
      <w:r>
        <w:t>The efficacy is based on two pivotal studies (placebo controlled) and two open label studies. The two pivotal studies were of moderate size but similar design. The inclusion criteria were similar with the patients enrolled being typical of opioid tolerant adult men and women with cancer related background pain and BTP. They all were using ATC opioid therapy for their background pain and additional opioid therapy as rescue medication for their BTP. Both trials used a within patient control design which is necessary to minimise the risk of patients being treated with placebo.</w:t>
      </w:r>
    </w:p>
    <w:p w:rsidR="008764ED" w:rsidRDefault="008764ED" w:rsidP="00D77325">
      <w:r>
        <w:t>The efficacy results from both pivotal studies showed a consistent positive effect for FEBT compared to placebo across the standard measures of pain (pain intensity, pain relief and use of rescue medication)</w:t>
      </w:r>
      <w:r w:rsidRPr="00592CBC">
        <w:t xml:space="preserve"> </w:t>
      </w:r>
      <w:r>
        <w:t>and time points (15, 30, 45, and 60 minutes). At both the 30 and 60 minute time points a patient was twice as likely to achieve at least a 33% or 50% decrease in pain intensity with FEBT compared to placebo.</w:t>
      </w:r>
    </w:p>
    <w:p w:rsidR="008764ED" w:rsidRDefault="008764ED" w:rsidP="00D77325">
      <w:r>
        <w:t>No active comparator trials have been conducted which is disappointing as a comparison to oral transmucosal fentanyl would have been useful to clinicians but the final decision will probably rest with patient preference.</w:t>
      </w:r>
    </w:p>
    <w:p w:rsidR="008764ED" w:rsidRDefault="008764ED" w:rsidP="00D77325">
      <w:r>
        <w:t xml:space="preserve">All studies included a dose titration period and the comparison between starting doses of 100 µg and 200 µg indicated that a starting dose of the lower dose (100 µg) was the most </w:t>
      </w:r>
      <w:r>
        <w:lastRenderedPageBreak/>
        <w:t>appropriate. If patients could not determine an effective dose they did not continue in the studies.</w:t>
      </w:r>
    </w:p>
    <w:p w:rsidR="008764ED" w:rsidRDefault="008764ED" w:rsidP="00D77325">
      <w:r>
        <w:t>The non-pivotal studies, which were open label non comparative studies provided some long term data demonstrating that the efficacy is maintained for up to 12 months.</w:t>
      </w:r>
    </w:p>
    <w:p w:rsidR="008E7846" w:rsidRPr="002E238E" w:rsidRDefault="008E7846" w:rsidP="00D77325">
      <w:pPr>
        <w:pStyle w:val="Heading3"/>
      </w:pPr>
      <w:bookmarkStart w:id="99" w:name="_Toc163441378"/>
      <w:bookmarkStart w:id="100" w:name="_Toc196046495"/>
      <w:bookmarkStart w:id="101" w:name="_Toc247691522"/>
      <w:bookmarkStart w:id="102" w:name="_Toc314842505"/>
      <w:bookmarkStart w:id="103" w:name="_Toc420586668"/>
      <w:bookmarkEnd w:id="95"/>
      <w:bookmarkEnd w:id="96"/>
      <w:bookmarkEnd w:id="97"/>
      <w:bookmarkEnd w:id="98"/>
      <w:r w:rsidRPr="002E238E">
        <w:t>Safety</w:t>
      </w:r>
      <w:bookmarkEnd w:id="99"/>
      <w:bookmarkEnd w:id="100"/>
      <w:bookmarkEnd w:id="101"/>
      <w:bookmarkEnd w:id="102"/>
      <w:bookmarkEnd w:id="103"/>
    </w:p>
    <w:p w:rsidR="00605AD4" w:rsidRPr="00605AD4" w:rsidRDefault="00435510" w:rsidP="00D77325">
      <w:pPr>
        <w:pStyle w:val="Heading4"/>
      </w:pPr>
      <w:bookmarkStart w:id="104" w:name="_Toc247691524"/>
      <w:bookmarkStart w:id="105" w:name="_Toc314842508"/>
      <w:bookmarkStart w:id="106" w:name="_Toc196046504"/>
      <w:bookmarkStart w:id="107" w:name="_Toc163441390"/>
      <w:r>
        <w:t>Patient exposure - s</w:t>
      </w:r>
      <w:r w:rsidR="00605AD4" w:rsidRPr="00605AD4">
        <w:t>tudies providing safety data</w:t>
      </w:r>
    </w:p>
    <w:p w:rsidR="008764ED" w:rsidRDefault="008764ED" w:rsidP="00D77325">
      <w:r>
        <w:t>The primary safety analysis set is made up of the following studies:</w:t>
      </w:r>
    </w:p>
    <w:p w:rsidR="008764ED" w:rsidRPr="00435510" w:rsidRDefault="008764ED" w:rsidP="00EC464E">
      <w:pPr>
        <w:pStyle w:val="ListBullet"/>
      </w:pPr>
      <w:r>
        <w:t xml:space="preserve">Pivotal double blind, </w:t>
      </w:r>
      <w:r w:rsidRPr="00EC464E">
        <w:t>placebo</w:t>
      </w:r>
      <w:r>
        <w:t xml:space="preserve"> controlled studies</w:t>
      </w:r>
      <w:r w:rsidR="00281C4E">
        <w:t xml:space="preserve"> </w:t>
      </w:r>
      <w:r>
        <w:t>-</w:t>
      </w:r>
      <w:r w:rsidRPr="00435510">
        <w:t xml:space="preserve"> Studies 099-14 and 3039</w:t>
      </w:r>
    </w:p>
    <w:p w:rsidR="008764ED" w:rsidRPr="00435510" w:rsidRDefault="008764ED" w:rsidP="00D77325">
      <w:pPr>
        <w:pStyle w:val="ListBullet"/>
      </w:pPr>
      <w:r w:rsidRPr="00435510">
        <w:t>Open label study – Study 099-15</w:t>
      </w:r>
    </w:p>
    <w:p w:rsidR="008764ED" w:rsidRDefault="008764ED" w:rsidP="00D77325">
      <w:r w:rsidRPr="00435510">
        <w:t xml:space="preserve">An additional study (4027) was included in the submission. It is included in the </w:t>
      </w:r>
      <w:r w:rsidR="002A170B" w:rsidRPr="00435510">
        <w:t xml:space="preserve">sponsor’s </w:t>
      </w:r>
      <w:r w:rsidRPr="00435510">
        <w:t xml:space="preserve">Summary of Clinical Safety but the data for this trial was not integrated with the other data. It is presented separately as </w:t>
      </w:r>
      <w:r w:rsidR="00881D57" w:rsidRPr="00435510">
        <w:t>‘</w:t>
      </w:r>
      <w:r w:rsidRPr="00435510">
        <w:t>supportive safety data</w:t>
      </w:r>
      <w:r w:rsidR="00881D57" w:rsidRPr="00435510">
        <w:t>’</w:t>
      </w:r>
      <w:r w:rsidRPr="00435510">
        <w:t>.</w:t>
      </w:r>
      <w:r w:rsidR="00435510">
        <w:t xml:space="preserve"> </w:t>
      </w:r>
      <w:r>
        <w:t>Data from the studies in non-cancer pain is only referenced where relevant.</w:t>
      </w:r>
    </w:p>
    <w:p w:rsidR="008764ED" w:rsidRDefault="008764ED" w:rsidP="00D77325">
      <w:pPr>
        <w:pStyle w:val="TableTitle"/>
      </w:pPr>
      <w:bookmarkStart w:id="108" w:name="_Toc383947284"/>
      <w:proofErr w:type="gramStart"/>
      <w:r>
        <w:t xml:space="preserve">Table </w:t>
      </w:r>
      <w:r w:rsidR="00435510">
        <w:t>7:</w:t>
      </w:r>
      <w:r w:rsidR="00C16BC4">
        <w:t xml:space="preserve"> </w:t>
      </w:r>
      <w:r>
        <w:t>Exposure to FEBT and comparators in clinical studies.</w:t>
      </w:r>
      <w:bookmarkEnd w:id="108"/>
      <w:proofErr w:type="gramEnd"/>
    </w:p>
    <w:tbl>
      <w:tblPr>
        <w:tblStyle w:val="TableTGAblue"/>
        <w:tblW w:w="8364" w:type="dxa"/>
        <w:tblLayout w:type="fixed"/>
        <w:tblLook w:val="04A0" w:firstRow="1" w:lastRow="0" w:firstColumn="1" w:lastColumn="0" w:noHBand="0" w:noVBand="1"/>
      </w:tblPr>
      <w:tblGrid>
        <w:gridCol w:w="2127"/>
        <w:gridCol w:w="1275"/>
        <w:gridCol w:w="1242"/>
        <w:gridCol w:w="2268"/>
        <w:gridCol w:w="1452"/>
      </w:tblGrid>
      <w:tr w:rsidR="008764ED" w:rsidTr="00D77325">
        <w:trPr>
          <w:cnfStyle w:val="100000000000" w:firstRow="1" w:lastRow="0" w:firstColumn="0" w:lastColumn="0" w:oddVBand="0" w:evenVBand="0" w:oddHBand="0" w:evenHBand="0" w:firstRowFirstColumn="0" w:firstRowLastColumn="0" w:lastRowFirstColumn="0" w:lastRowLastColumn="0"/>
          <w:trHeight w:val="113"/>
        </w:trPr>
        <w:tc>
          <w:tcPr>
            <w:tcW w:w="2127" w:type="dxa"/>
          </w:tcPr>
          <w:p w:rsidR="008764ED" w:rsidRPr="00DB0A11" w:rsidRDefault="008764ED" w:rsidP="00D77325">
            <w:pPr>
              <w:ind w:left="0"/>
            </w:pPr>
            <w:r w:rsidRPr="00DB0A11">
              <w:t>Study type</w:t>
            </w:r>
            <w:r w:rsidR="00EC464E">
              <w:t xml:space="preserve"> </w:t>
            </w:r>
            <w:r w:rsidRPr="00DB0A11">
              <w:t>/</w:t>
            </w:r>
            <w:r w:rsidR="00EC464E">
              <w:t xml:space="preserve"> </w:t>
            </w:r>
            <w:r w:rsidRPr="00DB0A11">
              <w:t>Indication</w:t>
            </w:r>
          </w:p>
        </w:tc>
        <w:tc>
          <w:tcPr>
            <w:tcW w:w="1275" w:type="dxa"/>
          </w:tcPr>
          <w:p w:rsidR="008764ED" w:rsidRPr="00DB0A11" w:rsidRDefault="008764ED" w:rsidP="00D77325">
            <w:pPr>
              <w:ind w:left="0"/>
            </w:pPr>
            <w:r w:rsidRPr="00DB0A11">
              <w:t>FEBT</w:t>
            </w: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r w:rsidRPr="00DB0A11">
              <w:t>Total</w:t>
            </w:r>
            <w:r w:rsidR="00D77325">
              <w:t xml:space="preserve"> </w:t>
            </w:r>
            <w:r w:rsidRPr="00DB0A11">
              <w:t>FEBT</w:t>
            </w:r>
          </w:p>
        </w:tc>
      </w:tr>
      <w:tr w:rsidR="008764ED" w:rsidTr="00D77325">
        <w:trPr>
          <w:trHeight w:val="57"/>
        </w:trPr>
        <w:tc>
          <w:tcPr>
            <w:tcW w:w="2127" w:type="dxa"/>
            <w:tcBorders>
              <w:bottom w:val="single" w:sz="8" w:space="0" w:color="000000" w:themeColor="text1"/>
            </w:tcBorders>
          </w:tcPr>
          <w:p w:rsidR="008764ED" w:rsidRPr="00DB0A11" w:rsidRDefault="008764ED" w:rsidP="00D77325">
            <w:pPr>
              <w:ind w:left="0"/>
            </w:pPr>
            <w:r w:rsidRPr="00DB0A11">
              <w:t>Clinical pharmacology</w:t>
            </w:r>
            <w:r w:rsidR="00D77325">
              <w:t xml:space="preserve"> </w:t>
            </w:r>
            <w:r w:rsidRPr="00DB0A11">
              <w:t>Single dose</w:t>
            </w:r>
            <w:r w:rsidR="00D77325">
              <w:t xml:space="preserve"> </w:t>
            </w:r>
            <w:r w:rsidRPr="00DB0A11">
              <w:t>Multiple dose</w:t>
            </w:r>
          </w:p>
        </w:tc>
        <w:tc>
          <w:tcPr>
            <w:tcW w:w="1275" w:type="dxa"/>
            <w:tcBorders>
              <w:bottom w:val="single" w:sz="8" w:space="0" w:color="000000" w:themeColor="text1"/>
            </w:tcBorders>
          </w:tcPr>
          <w:p w:rsidR="008764ED" w:rsidRPr="00DB0A11" w:rsidRDefault="008764ED" w:rsidP="00D77325">
            <w:pPr>
              <w:spacing w:before="360"/>
              <w:ind w:left="0"/>
            </w:pPr>
            <w:r w:rsidRPr="00DB0A11">
              <w:t>596</w:t>
            </w:r>
            <w:r w:rsidR="00D77325">
              <w:br/>
            </w:r>
            <w:r w:rsidRPr="00DB0A11">
              <w:t>35</w:t>
            </w:r>
          </w:p>
        </w:tc>
        <w:tc>
          <w:tcPr>
            <w:tcW w:w="1242" w:type="dxa"/>
            <w:tcBorders>
              <w:bottom w:val="single" w:sz="8" w:space="0" w:color="000000" w:themeColor="text1"/>
            </w:tcBorders>
          </w:tcPr>
          <w:p w:rsidR="008764ED" w:rsidRPr="00DB0A11" w:rsidRDefault="008764ED" w:rsidP="00D77325">
            <w:pPr>
              <w:ind w:left="0"/>
            </w:pPr>
          </w:p>
        </w:tc>
        <w:tc>
          <w:tcPr>
            <w:tcW w:w="2268" w:type="dxa"/>
            <w:tcBorders>
              <w:bottom w:val="single" w:sz="8" w:space="0" w:color="000000" w:themeColor="text1"/>
            </w:tcBorders>
          </w:tcPr>
          <w:p w:rsidR="008764ED" w:rsidRPr="00DB0A11" w:rsidRDefault="008764ED" w:rsidP="00D77325">
            <w:pPr>
              <w:ind w:left="0"/>
            </w:pPr>
          </w:p>
        </w:tc>
        <w:tc>
          <w:tcPr>
            <w:tcW w:w="1452" w:type="dxa"/>
            <w:tcBorders>
              <w:bottom w:val="single" w:sz="8" w:space="0" w:color="000000" w:themeColor="text1"/>
            </w:tcBorders>
          </w:tcPr>
          <w:p w:rsidR="008764ED" w:rsidRPr="00DB0A11" w:rsidRDefault="008764ED" w:rsidP="00D77325">
            <w:pPr>
              <w:spacing w:before="360"/>
              <w:ind w:left="0"/>
            </w:pPr>
            <w:r w:rsidRPr="00DB0A11">
              <w:t>596</w:t>
            </w:r>
            <w:r w:rsidR="00D77325">
              <w:br/>
            </w:r>
            <w:r w:rsidRPr="00DB0A11">
              <w:t>35</w:t>
            </w:r>
          </w:p>
        </w:tc>
      </w:tr>
      <w:tr w:rsidR="008764ED" w:rsidTr="00D77325">
        <w:trPr>
          <w:trHeight w:val="113"/>
        </w:trPr>
        <w:tc>
          <w:tcPr>
            <w:tcW w:w="2127" w:type="dxa"/>
            <w:shd w:val="clear" w:color="auto" w:fill="C6D4E9"/>
          </w:tcPr>
          <w:p w:rsidR="008764ED" w:rsidRPr="00DB0A11" w:rsidRDefault="008764ED" w:rsidP="00D77325">
            <w:pPr>
              <w:ind w:left="0"/>
            </w:pPr>
          </w:p>
        </w:tc>
        <w:tc>
          <w:tcPr>
            <w:tcW w:w="2517" w:type="dxa"/>
            <w:gridSpan w:val="2"/>
            <w:shd w:val="clear" w:color="auto" w:fill="C6D4E9"/>
          </w:tcPr>
          <w:p w:rsidR="008764ED" w:rsidRPr="00DB0A11" w:rsidRDefault="008764ED" w:rsidP="00D77325">
            <w:pPr>
              <w:ind w:left="0"/>
            </w:pPr>
            <w:r w:rsidRPr="00DB0A11">
              <w:t>Controlled studies</w:t>
            </w:r>
          </w:p>
        </w:tc>
        <w:tc>
          <w:tcPr>
            <w:tcW w:w="2268" w:type="dxa"/>
            <w:shd w:val="clear" w:color="auto" w:fill="C6D4E9"/>
          </w:tcPr>
          <w:p w:rsidR="008764ED" w:rsidRPr="00DB0A11" w:rsidRDefault="008764ED" w:rsidP="00D77325">
            <w:pPr>
              <w:ind w:left="0"/>
            </w:pPr>
            <w:r w:rsidRPr="00DB0A11">
              <w:t>Uncontrolled studies</w:t>
            </w:r>
          </w:p>
        </w:tc>
        <w:tc>
          <w:tcPr>
            <w:tcW w:w="1452" w:type="dxa"/>
            <w:shd w:val="clear" w:color="auto" w:fill="C6D4E9"/>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Indication BTP</w:t>
            </w:r>
          </w:p>
        </w:tc>
        <w:tc>
          <w:tcPr>
            <w:tcW w:w="1275" w:type="dxa"/>
          </w:tcPr>
          <w:p w:rsidR="008764ED" w:rsidRPr="00DB0A11" w:rsidRDefault="008764ED" w:rsidP="00D77325">
            <w:pPr>
              <w:ind w:left="0"/>
            </w:pPr>
            <w:r w:rsidRPr="00DB0A11">
              <w:t>FEBT</w:t>
            </w:r>
          </w:p>
        </w:tc>
        <w:tc>
          <w:tcPr>
            <w:tcW w:w="1242" w:type="dxa"/>
          </w:tcPr>
          <w:p w:rsidR="008764ED" w:rsidRPr="00DB0A11" w:rsidRDefault="008764ED" w:rsidP="00D77325">
            <w:pPr>
              <w:ind w:left="0"/>
            </w:pPr>
            <w:r w:rsidRPr="00DB0A11">
              <w:t>Placebo</w:t>
            </w:r>
          </w:p>
        </w:tc>
        <w:tc>
          <w:tcPr>
            <w:tcW w:w="2268" w:type="dxa"/>
          </w:tcPr>
          <w:p w:rsidR="008764ED" w:rsidRPr="00DB0A11" w:rsidRDefault="008764ED" w:rsidP="00D77325">
            <w:pPr>
              <w:ind w:left="0"/>
            </w:pPr>
            <w:r w:rsidRPr="00DB0A11">
              <w:t>FEBT</w:t>
            </w: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Pivotal</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099-14</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titration</w:t>
            </w:r>
          </w:p>
        </w:tc>
        <w:tc>
          <w:tcPr>
            <w:tcW w:w="1275" w:type="dxa"/>
          </w:tcPr>
          <w:p w:rsidR="008764ED" w:rsidRPr="00DB0A11" w:rsidRDefault="008764ED" w:rsidP="00D77325">
            <w:pPr>
              <w:ind w:left="0"/>
            </w:pPr>
            <w:r w:rsidRPr="00DB0A11">
              <w:t>123</w:t>
            </w:r>
          </w:p>
        </w:tc>
        <w:tc>
          <w:tcPr>
            <w:tcW w:w="1242" w:type="dxa"/>
          </w:tcPr>
          <w:p w:rsidR="008764ED" w:rsidRPr="00DB0A11" w:rsidRDefault="008764ED" w:rsidP="00D77325">
            <w:pPr>
              <w:ind w:left="0"/>
            </w:pPr>
            <w:r w:rsidRPr="00DB0A11">
              <w:t>123</w:t>
            </w:r>
          </w:p>
        </w:tc>
        <w:tc>
          <w:tcPr>
            <w:tcW w:w="2268" w:type="dxa"/>
          </w:tcPr>
          <w:p w:rsidR="008764ED" w:rsidRPr="00DB0A11" w:rsidRDefault="008764ED" w:rsidP="00D77325">
            <w:pPr>
              <w:ind w:left="0"/>
            </w:pPr>
          </w:p>
        </w:tc>
        <w:tc>
          <w:tcPr>
            <w:tcW w:w="1452" w:type="dxa"/>
          </w:tcPr>
          <w:p w:rsidR="008764ED" w:rsidRPr="00DB0A11" w:rsidRDefault="008764ED" w:rsidP="00D77325">
            <w:pPr>
              <w:ind w:left="0"/>
            </w:pPr>
            <w:r w:rsidRPr="00DB0A11">
              <w:t>123</w:t>
            </w:r>
          </w:p>
        </w:tc>
      </w:tr>
      <w:tr w:rsidR="008764ED" w:rsidTr="00D77325">
        <w:trPr>
          <w:trHeight w:val="113"/>
        </w:trPr>
        <w:tc>
          <w:tcPr>
            <w:tcW w:w="2127" w:type="dxa"/>
          </w:tcPr>
          <w:p w:rsidR="008764ED" w:rsidRPr="00DB0A11" w:rsidRDefault="008764ED" w:rsidP="00D77325">
            <w:pPr>
              <w:ind w:left="0"/>
            </w:pPr>
            <w:r w:rsidRPr="00DB0A11">
              <w:t>post titration</w:t>
            </w:r>
          </w:p>
        </w:tc>
        <w:tc>
          <w:tcPr>
            <w:tcW w:w="1275" w:type="dxa"/>
          </w:tcPr>
          <w:p w:rsidR="008764ED" w:rsidRPr="00DB0A11" w:rsidRDefault="008764ED" w:rsidP="00D77325">
            <w:pPr>
              <w:ind w:left="0"/>
            </w:pPr>
            <w:r w:rsidRPr="00DB0A11">
              <w:t>77</w:t>
            </w:r>
          </w:p>
        </w:tc>
        <w:tc>
          <w:tcPr>
            <w:tcW w:w="1242" w:type="dxa"/>
          </w:tcPr>
          <w:p w:rsidR="008764ED" w:rsidRPr="00DB0A11" w:rsidRDefault="008764ED" w:rsidP="00D77325">
            <w:pPr>
              <w:ind w:left="0"/>
            </w:pPr>
            <w:r w:rsidRPr="00DB0A11">
              <w:t>77</w:t>
            </w:r>
          </w:p>
        </w:tc>
        <w:tc>
          <w:tcPr>
            <w:tcW w:w="2268" w:type="dxa"/>
          </w:tcPr>
          <w:p w:rsidR="008764ED" w:rsidRPr="00DB0A11" w:rsidRDefault="008764ED" w:rsidP="00D77325">
            <w:pPr>
              <w:ind w:left="0"/>
            </w:pPr>
          </w:p>
        </w:tc>
        <w:tc>
          <w:tcPr>
            <w:tcW w:w="1452" w:type="dxa"/>
          </w:tcPr>
          <w:p w:rsidR="008764ED" w:rsidRPr="00DB0A11" w:rsidRDefault="008764ED" w:rsidP="00D77325">
            <w:pPr>
              <w:ind w:left="0"/>
            </w:pPr>
            <w:r w:rsidRPr="00DB0A11">
              <w:t>77</w:t>
            </w:r>
          </w:p>
        </w:tc>
      </w:tr>
      <w:tr w:rsidR="008764ED" w:rsidTr="00D77325">
        <w:trPr>
          <w:trHeight w:val="113"/>
        </w:trPr>
        <w:tc>
          <w:tcPr>
            <w:tcW w:w="2127" w:type="dxa"/>
          </w:tcPr>
          <w:p w:rsidR="008764ED" w:rsidRPr="00DB0A11" w:rsidRDefault="008764ED" w:rsidP="00D77325">
            <w:pPr>
              <w:ind w:left="0"/>
            </w:pPr>
            <w:r w:rsidRPr="00DB0A11">
              <w:t>3039</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titration</w:t>
            </w:r>
          </w:p>
        </w:tc>
        <w:tc>
          <w:tcPr>
            <w:tcW w:w="1275" w:type="dxa"/>
          </w:tcPr>
          <w:p w:rsidR="008764ED" w:rsidRPr="00DB0A11" w:rsidRDefault="008764ED" w:rsidP="00D77325">
            <w:pPr>
              <w:ind w:left="0"/>
            </w:pPr>
            <w:r w:rsidRPr="00DB0A11">
              <w:t>125</w:t>
            </w:r>
          </w:p>
        </w:tc>
        <w:tc>
          <w:tcPr>
            <w:tcW w:w="1242" w:type="dxa"/>
          </w:tcPr>
          <w:p w:rsidR="008764ED" w:rsidRPr="00DB0A11" w:rsidRDefault="008764ED" w:rsidP="00D77325">
            <w:pPr>
              <w:ind w:left="0"/>
            </w:pPr>
            <w:r w:rsidRPr="00DB0A11">
              <w:t>125</w:t>
            </w:r>
          </w:p>
        </w:tc>
        <w:tc>
          <w:tcPr>
            <w:tcW w:w="2268" w:type="dxa"/>
          </w:tcPr>
          <w:p w:rsidR="008764ED" w:rsidRPr="00DB0A11" w:rsidRDefault="008764ED" w:rsidP="00D77325">
            <w:pPr>
              <w:ind w:left="0"/>
            </w:pPr>
          </w:p>
        </w:tc>
        <w:tc>
          <w:tcPr>
            <w:tcW w:w="1452" w:type="dxa"/>
          </w:tcPr>
          <w:p w:rsidR="008764ED" w:rsidRPr="00DB0A11" w:rsidRDefault="008764ED" w:rsidP="00D77325">
            <w:pPr>
              <w:ind w:left="0"/>
            </w:pPr>
            <w:r w:rsidRPr="00DB0A11">
              <w:t>125</w:t>
            </w:r>
          </w:p>
        </w:tc>
      </w:tr>
      <w:tr w:rsidR="008764ED" w:rsidTr="00D77325">
        <w:trPr>
          <w:trHeight w:val="113"/>
        </w:trPr>
        <w:tc>
          <w:tcPr>
            <w:tcW w:w="2127" w:type="dxa"/>
          </w:tcPr>
          <w:p w:rsidR="008764ED" w:rsidRPr="00DB0A11" w:rsidRDefault="008764ED" w:rsidP="00D77325">
            <w:pPr>
              <w:ind w:left="0"/>
            </w:pPr>
            <w:r w:rsidRPr="00DB0A11">
              <w:t>post titration</w:t>
            </w:r>
          </w:p>
        </w:tc>
        <w:tc>
          <w:tcPr>
            <w:tcW w:w="1275" w:type="dxa"/>
          </w:tcPr>
          <w:p w:rsidR="008764ED" w:rsidRPr="00DB0A11" w:rsidRDefault="008764ED" w:rsidP="00D77325">
            <w:pPr>
              <w:ind w:left="0"/>
            </w:pPr>
            <w:r w:rsidRPr="00DB0A11">
              <w:t>86</w:t>
            </w:r>
          </w:p>
        </w:tc>
        <w:tc>
          <w:tcPr>
            <w:tcW w:w="1242" w:type="dxa"/>
          </w:tcPr>
          <w:p w:rsidR="008764ED" w:rsidRPr="00DB0A11" w:rsidRDefault="008764ED" w:rsidP="00D77325">
            <w:pPr>
              <w:ind w:left="0"/>
            </w:pPr>
            <w:r w:rsidRPr="00DB0A11">
              <w:t>86</w:t>
            </w:r>
          </w:p>
        </w:tc>
        <w:tc>
          <w:tcPr>
            <w:tcW w:w="2268" w:type="dxa"/>
          </w:tcPr>
          <w:p w:rsidR="008764ED" w:rsidRPr="00DB0A11" w:rsidRDefault="008764ED" w:rsidP="00D77325">
            <w:pPr>
              <w:ind w:left="0"/>
            </w:pPr>
          </w:p>
        </w:tc>
        <w:tc>
          <w:tcPr>
            <w:tcW w:w="1452" w:type="dxa"/>
          </w:tcPr>
          <w:p w:rsidR="008764ED" w:rsidRPr="00DB0A11" w:rsidRDefault="008764ED" w:rsidP="00D77325">
            <w:pPr>
              <w:ind w:left="0"/>
            </w:pPr>
            <w:r w:rsidRPr="00DB0A11">
              <w:t>86</w:t>
            </w:r>
          </w:p>
        </w:tc>
      </w:tr>
      <w:tr w:rsidR="008764ED" w:rsidTr="00D77325">
        <w:trPr>
          <w:trHeight w:val="113"/>
        </w:trPr>
        <w:tc>
          <w:tcPr>
            <w:tcW w:w="2127" w:type="dxa"/>
          </w:tcPr>
          <w:p w:rsidR="008764ED" w:rsidRPr="00DB0A11" w:rsidRDefault="008764ED" w:rsidP="00D77325">
            <w:pPr>
              <w:ind w:left="0"/>
            </w:pPr>
            <w:r w:rsidRPr="00DB0A11">
              <w:t>Other</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099-15</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titration</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r w:rsidRPr="00DB0A11">
              <w:t>115</w:t>
            </w:r>
          </w:p>
        </w:tc>
        <w:tc>
          <w:tcPr>
            <w:tcW w:w="1452" w:type="dxa"/>
          </w:tcPr>
          <w:p w:rsidR="008764ED" w:rsidRPr="00DB0A11" w:rsidRDefault="008764ED" w:rsidP="00D77325">
            <w:pPr>
              <w:ind w:left="0"/>
            </w:pPr>
            <w:r w:rsidRPr="00DB0A11">
              <w:t>115</w:t>
            </w:r>
          </w:p>
        </w:tc>
      </w:tr>
      <w:tr w:rsidR="008764ED" w:rsidTr="00D77325">
        <w:trPr>
          <w:trHeight w:val="113"/>
        </w:trPr>
        <w:tc>
          <w:tcPr>
            <w:tcW w:w="2127" w:type="dxa"/>
          </w:tcPr>
          <w:p w:rsidR="008764ED" w:rsidRPr="00DB0A11" w:rsidRDefault="008764ED" w:rsidP="00D77325">
            <w:pPr>
              <w:ind w:left="0"/>
            </w:pPr>
            <w:r w:rsidRPr="00DB0A11">
              <w:lastRenderedPageBreak/>
              <w:t>post titration</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r w:rsidRPr="00DB0A11">
              <w:t>197</w:t>
            </w:r>
          </w:p>
        </w:tc>
        <w:tc>
          <w:tcPr>
            <w:tcW w:w="1452" w:type="dxa"/>
          </w:tcPr>
          <w:p w:rsidR="008764ED" w:rsidRPr="00DB0A11" w:rsidRDefault="008764ED" w:rsidP="00D77325">
            <w:pPr>
              <w:ind w:left="0"/>
            </w:pPr>
            <w:r w:rsidRPr="00DB0A11">
              <w:t>197</w:t>
            </w:r>
          </w:p>
        </w:tc>
      </w:tr>
      <w:tr w:rsidR="008764ED" w:rsidTr="00D77325">
        <w:trPr>
          <w:trHeight w:val="113"/>
        </w:trPr>
        <w:tc>
          <w:tcPr>
            <w:tcW w:w="2127" w:type="dxa"/>
          </w:tcPr>
          <w:p w:rsidR="008764ED" w:rsidRPr="00DB0A11" w:rsidRDefault="008764ED" w:rsidP="00D77325">
            <w:pPr>
              <w:ind w:left="0"/>
            </w:pPr>
            <w:r w:rsidRPr="00DB0A11">
              <w:t>4027</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titration</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r w:rsidRPr="00DB0A11">
              <w:t>312</w:t>
            </w:r>
          </w:p>
        </w:tc>
        <w:tc>
          <w:tcPr>
            <w:tcW w:w="1452" w:type="dxa"/>
          </w:tcPr>
          <w:p w:rsidR="008764ED" w:rsidRPr="00DB0A11" w:rsidRDefault="008764ED" w:rsidP="00D77325">
            <w:pPr>
              <w:ind w:left="0"/>
            </w:pPr>
            <w:r w:rsidRPr="00DB0A11">
              <w:t>312</w:t>
            </w:r>
          </w:p>
        </w:tc>
      </w:tr>
      <w:tr w:rsidR="008764ED" w:rsidTr="00D77325">
        <w:trPr>
          <w:trHeight w:val="113"/>
        </w:trPr>
        <w:tc>
          <w:tcPr>
            <w:tcW w:w="2127" w:type="dxa"/>
          </w:tcPr>
          <w:p w:rsidR="008764ED" w:rsidRPr="00DB0A11" w:rsidRDefault="008764ED" w:rsidP="00D77325">
            <w:pPr>
              <w:ind w:left="0"/>
            </w:pPr>
            <w:r w:rsidRPr="00DB0A11">
              <w:t>post titration</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r w:rsidRPr="00DB0A11">
              <w:t>223</w:t>
            </w:r>
          </w:p>
        </w:tc>
        <w:tc>
          <w:tcPr>
            <w:tcW w:w="1452" w:type="dxa"/>
          </w:tcPr>
          <w:p w:rsidR="008764ED" w:rsidRPr="00DB0A11" w:rsidRDefault="008764ED" w:rsidP="00D77325">
            <w:pPr>
              <w:ind w:left="0"/>
            </w:pPr>
            <w:r w:rsidRPr="00DB0A11">
              <w:t>223</w:t>
            </w:r>
          </w:p>
        </w:tc>
      </w:tr>
      <w:tr w:rsidR="008764ED" w:rsidTr="00D77325">
        <w:trPr>
          <w:trHeight w:val="113"/>
        </w:trPr>
        <w:tc>
          <w:tcPr>
            <w:tcW w:w="2127" w:type="dxa"/>
          </w:tcPr>
          <w:p w:rsidR="008764ED" w:rsidRPr="00DB0A11" w:rsidRDefault="008764ED" w:rsidP="00D77325">
            <w:pPr>
              <w:ind w:left="0"/>
            </w:pPr>
            <w:r w:rsidRPr="00DB0A11">
              <w:t>TOTAL</w:t>
            </w:r>
          </w:p>
        </w:tc>
        <w:tc>
          <w:tcPr>
            <w:tcW w:w="1275" w:type="dxa"/>
          </w:tcPr>
          <w:p w:rsidR="008764ED" w:rsidRPr="00DB0A11" w:rsidRDefault="008764ED" w:rsidP="00D77325">
            <w:pPr>
              <w:ind w:left="0"/>
            </w:pPr>
          </w:p>
        </w:tc>
        <w:tc>
          <w:tcPr>
            <w:tcW w:w="1242" w:type="dxa"/>
          </w:tcPr>
          <w:p w:rsidR="008764ED" w:rsidRPr="00DB0A11" w:rsidRDefault="008764ED" w:rsidP="00D77325">
            <w:pPr>
              <w:ind w:left="0"/>
            </w:pPr>
          </w:p>
        </w:tc>
        <w:tc>
          <w:tcPr>
            <w:tcW w:w="2268" w:type="dxa"/>
          </w:tcPr>
          <w:p w:rsidR="008764ED" w:rsidRPr="00DB0A11" w:rsidRDefault="008764ED" w:rsidP="00D77325">
            <w:pPr>
              <w:ind w:left="0"/>
            </w:pPr>
          </w:p>
        </w:tc>
        <w:tc>
          <w:tcPr>
            <w:tcW w:w="1452" w:type="dxa"/>
          </w:tcPr>
          <w:p w:rsidR="008764ED" w:rsidRPr="00DB0A11" w:rsidRDefault="008764ED" w:rsidP="00D77325">
            <w:pPr>
              <w:ind w:left="0"/>
            </w:pPr>
          </w:p>
        </w:tc>
      </w:tr>
      <w:tr w:rsidR="008764ED" w:rsidTr="00D77325">
        <w:trPr>
          <w:trHeight w:val="113"/>
        </w:trPr>
        <w:tc>
          <w:tcPr>
            <w:tcW w:w="2127" w:type="dxa"/>
          </w:tcPr>
          <w:p w:rsidR="008764ED" w:rsidRPr="00DB0A11" w:rsidRDefault="008764ED" w:rsidP="00D77325">
            <w:pPr>
              <w:ind w:left="0"/>
            </w:pPr>
            <w:r w:rsidRPr="00DB0A11">
              <w:t>titration</w:t>
            </w:r>
          </w:p>
        </w:tc>
        <w:tc>
          <w:tcPr>
            <w:tcW w:w="1275" w:type="dxa"/>
          </w:tcPr>
          <w:p w:rsidR="008764ED" w:rsidRPr="00DB0A11" w:rsidRDefault="008764ED" w:rsidP="00D77325">
            <w:pPr>
              <w:ind w:left="0"/>
            </w:pPr>
            <w:r w:rsidRPr="00DB0A11">
              <w:t>248</w:t>
            </w:r>
          </w:p>
        </w:tc>
        <w:tc>
          <w:tcPr>
            <w:tcW w:w="1242" w:type="dxa"/>
          </w:tcPr>
          <w:p w:rsidR="008764ED" w:rsidRPr="00DB0A11" w:rsidRDefault="008764ED" w:rsidP="00D77325">
            <w:pPr>
              <w:ind w:left="0"/>
            </w:pPr>
            <w:r w:rsidRPr="00DB0A11">
              <w:t>248</w:t>
            </w:r>
          </w:p>
        </w:tc>
        <w:tc>
          <w:tcPr>
            <w:tcW w:w="2268" w:type="dxa"/>
          </w:tcPr>
          <w:p w:rsidR="008764ED" w:rsidRPr="00DB0A11" w:rsidRDefault="008764ED" w:rsidP="00D77325">
            <w:pPr>
              <w:ind w:left="0"/>
            </w:pPr>
            <w:r w:rsidRPr="00DB0A11">
              <w:t>670</w:t>
            </w:r>
          </w:p>
        </w:tc>
        <w:tc>
          <w:tcPr>
            <w:tcW w:w="1452" w:type="dxa"/>
          </w:tcPr>
          <w:p w:rsidR="008764ED" w:rsidRPr="00DB0A11" w:rsidRDefault="008764ED" w:rsidP="00D77325">
            <w:pPr>
              <w:ind w:left="0"/>
            </w:pPr>
            <w:r w:rsidRPr="00DB0A11">
              <w:t>1306</w:t>
            </w:r>
          </w:p>
        </w:tc>
      </w:tr>
      <w:tr w:rsidR="008764ED" w:rsidTr="00D77325">
        <w:trPr>
          <w:trHeight w:val="113"/>
        </w:trPr>
        <w:tc>
          <w:tcPr>
            <w:tcW w:w="2127" w:type="dxa"/>
          </w:tcPr>
          <w:p w:rsidR="008764ED" w:rsidRPr="00DB0A11" w:rsidRDefault="008764ED" w:rsidP="00D77325">
            <w:pPr>
              <w:ind w:left="0"/>
            </w:pPr>
            <w:r w:rsidRPr="00DB0A11">
              <w:t>post titration</w:t>
            </w:r>
          </w:p>
        </w:tc>
        <w:tc>
          <w:tcPr>
            <w:tcW w:w="1275" w:type="dxa"/>
          </w:tcPr>
          <w:p w:rsidR="008764ED" w:rsidRPr="00DB0A11" w:rsidRDefault="008764ED" w:rsidP="00D77325">
            <w:pPr>
              <w:ind w:left="0"/>
            </w:pPr>
            <w:r w:rsidRPr="00DB0A11">
              <w:t>163</w:t>
            </w:r>
          </w:p>
        </w:tc>
        <w:tc>
          <w:tcPr>
            <w:tcW w:w="1242" w:type="dxa"/>
          </w:tcPr>
          <w:p w:rsidR="008764ED" w:rsidRPr="00DB0A11" w:rsidRDefault="008764ED" w:rsidP="00D77325">
            <w:pPr>
              <w:ind w:left="0"/>
            </w:pPr>
            <w:r w:rsidRPr="00DB0A11">
              <w:t>163</w:t>
            </w:r>
          </w:p>
        </w:tc>
        <w:tc>
          <w:tcPr>
            <w:tcW w:w="2268" w:type="dxa"/>
          </w:tcPr>
          <w:p w:rsidR="008764ED" w:rsidRPr="00DB0A11" w:rsidRDefault="008764ED" w:rsidP="00D77325">
            <w:pPr>
              <w:ind w:left="0"/>
            </w:pPr>
            <w:r w:rsidRPr="00DB0A11">
              <w:t>462</w:t>
            </w:r>
          </w:p>
        </w:tc>
        <w:tc>
          <w:tcPr>
            <w:tcW w:w="1452" w:type="dxa"/>
          </w:tcPr>
          <w:p w:rsidR="008764ED" w:rsidRPr="00DB0A11" w:rsidRDefault="008764ED" w:rsidP="00D77325">
            <w:pPr>
              <w:ind w:left="0"/>
            </w:pPr>
            <w:r w:rsidRPr="00DB0A11">
              <w:t>1214</w:t>
            </w:r>
          </w:p>
        </w:tc>
      </w:tr>
    </w:tbl>
    <w:p w:rsidR="008764ED" w:rsidRDefault="008764ED" w:rsidP="00CC5843">
      <w:pPr>
        <w:pStyle w:val="TableTitle"/>
      </w:pPr>
      <w:bookmarkStart w:id="109" w:name="_Ref272765193"/>
      <w:bookmarkStart w:id="110" w:name="_Toc269112508"/>
      <w:bookmarkStart w:id="111" w:name="_Toc383947285"/>
      <w:r>
        <w:t xml:space="preserve">Table </w:t>
      </w:r>
      <w:r w:rsidR="00435510">
        <w:t>8:</w:t>
      </w:r>
      <w:bookmarkEnd w:id="109"/>
      <w:r w:rsidR="00435510">
        <w:t xml:space="preserve"> </w:t>
      </w:r>
      <w:r>
        <w:t>Exposure to FEBT in clinical Studies 099-14, 3039 and 099-15 according to dose</w:t>
      </w:r>
      <w:bookmarkEnd w:id="110"/>
      <w:bookmarkEnd w:id="111"/>
    </w:p>
    <w:tbl>
      <w:tblPr>
        <w:tblStyle w:val="TableTGAblue"/>
        <w:tblW w:w="0" w:type="auto"/>
        <w:tblLook w:val="04A0" w:firstRow="1" w:lastRow="0" w:firstColumn="1" w:lastColumn="0" w:noHBand="0" w:noVBand="1"/>
      </w:tblPr>
      <w:tblGrid>
        <w:gridCol w:w="3936"/>
        <w:gridCol w:w="3118"/>
      </w:tblGrid>
      <w:tr w:rsidR="008764ED" w:rsidRPr="00EE0533" w:rsidTr="00EC464E">
        <w:trPr>
          <w:cnfStyle w:val="100000000000" w:firstRow="1" w:lastRow="0" w:firstColumn="0" w:lastColumn="0" w:oddVBand="0" w:evenVBand="0" w:oddHBand="0" w:evenHBand="0" w:firstRowFirstColumn="0" w:firstRowLastColumn="0" w:lastRowFirstColumn="0" w:lastRowLastColumn="0"/>
        </w:trPr>
        <w:tc>
          <w:tcPr>
            <w:tcW w:w="3936" w:type="dxa"/>
          </w:tcPr>
          <w:p w:rsidR="008764ED" w:rsidRPr="00435510" w:rsidRDefault="008764ED" w:rsidP="00CC5843">
            <w:r w:rsidRPr="00435510">
              <w:t>Var</w:t>
            </w:r>
            <w:r w:rsidRPr="00435510">
              <w:rPr>
                <w:spacing w:val="-2"/>
              </w:rPr>
              <w:t>i</w:t>
            </w:r>
            <w:r w:rsidRPr="00435510">
              <w:t>able</w:t>
            </w:r>
            <w:r w:rsidRPr="00435510">
              <w:rPr>
                <w:spacing w:val="1"/>
              </w:rPr>
              <w:t xml:space="preserve"> C</w:t>
            </w:r>
            <w:r w:rsidRPr="00435510">
              <w:t>a</w:t>
            </w:r>
            <w:r w:rsidRPr="00435510">
              <w:rPr>
                <w:spacing w:val="1"/>
              </w:rPr>
              <w:t>t</w:t>
            </w:r>
            <w:r w:rsidRPr="00435510">
              <w:rPr>
                <w:spacing w:val="-1"/>
              </w:rPr>
              <w:t>e</w:t>
            </w:r>
            <w:r w:rsidRPr="00435510">
              <w:rPr>
                <w:spacing w:val="1"/>
              </w:rPr>
              <w:t>go</w:t>
            </w:r>
            <w:r w:rsidRPr="00435510">
              <w:rPr>
                <w:spacing w:val="-1"/>
              </w:rPr>
              <w:t>r</w:t>
            </w:r>
            <w:r w:rsidRPr="00435510">
              <w:t>y</w:t>
            </w:r>
          </w:p>
        </w:tc>
        <w:tc>
          <w:tcPr>
            <w:tcW w:w="3118" w:type="dxa"/>
          </w:tcPr>
          <w:p w:rsidR="008764ED" w:rsidRPr="00435510" w:rsidRDefault="008764ED" w:rsidP="00CC5843">
            <w:r w:rsidRPr="00435510">
              <w:t>Number</w:t>
            </w:r>
            <w:r w:rsidRPr="00435510">
              <w:rPr>
                <w:spacing w:val="-1"/>
              </w:rPr>
              <w:t xml:space="preserve"> </w:t>
            </w:r>
            <w:r w:rsidRPr="00435510">
              <w:t>(</w:t>
            </w:r>
            <w:r w:rsidRPr="00435510">
              <w:rPr>
                <w:spacing w:val="-3"/>
              </w:rPr>
              <w:t>%</w:t>
            </w:r>
            <w:r w:rsidRPr="00435510">
              <w:t>)</w:t>
            </w:r>
            <w:r w:rsidRPr="00435510">
              <w:rPr>
                <w:spacing w:val="1"/>
              </w:rPr>
              <w:t xml:space="preserve"> </w:t>
            </w:r>
            <w:r w:rsidRPr="00435510">
              <w:t>of patie</w:t>
            </w:r>
            <w:r w:rsidRPr="00435510">
              <w:rPr>
                <w:spacing w:val="-1"/>
              </w:rPr>
              <w:t>n</w:t>
            </w:r>
            <w:r w:rsidRPr="00435510">
              <w:t>ts</w:t>
            </w:r>
            <w:r w:rsidR="00CC5843">
              <w:t xml:space="preserve"> </w:t>
            </w:r>
            <w:r w:rsidRPr="00435510">
              <w:rPr>
                <w:spacing w:val="1"/>
              </w:rPr>
              <w:t>(N</w:t>
            </w:r>
            <w:r w:rsidRPr="00435510">
              <w:rPr>
                <w:spacing w:val="-1"/>
              </w:rPr>
              <w:t>=</w:t>
            </w:r>
            <w:r w:rsidRPr="00435510">
              <w:t>3</w:t>
            </w:r>
            <w:r w:rsidRPr="00435510">
              <w:rPr>
                <w:spacing w:val="1"/>
              </w:rPr>
              <w:t>5</w:t>
            </w:r>
            <w:r w:rsidRPr="00435510">
              <w:t>8)</w:t>
            </w:r>
          </w:p>
        </w:tc>
      </w:tr>
      <w:tr w:rsidR="008764ED" w:rsidRPr="00EE0533" w:rsidTr="00EC464E">
        <w:tc>
          <w:tcPr>
            <w:tcW w:w="3936" w:type="dxa"/>
          </w:tcPr>
          <w:p w:rsidR="008764ED" w:rsidRPr="00714502" w:rsidRDefault="008764ED" w:rsidP="00CC5843">
            <w:r w:rsidRPr="00714502">
              <w:t>Succes</w:t>
            </w:r>
            <w:r w:rsidRPr="00714502">
              <w:rPr>
                <w:spacing w:val="-1"/>
              </w:rPr>
              <w:t>sf</w:t>
            </w:r>
            <w:r w:rsidRPr="00714502">
              <w:t>ul</w:t>
            </w:r>
            <w:r w:rsidRPr="00714502">
              <w:rPr>
                <w:spacing w:val="1"/>
              </w:rPr>
              <w:t xml:space="preserve"> </w:t>
            </w:r>
            <w:r w:rsidRPr="00714502">
              <w:t>do</w:t>
            </w:r>
            <w:r w:rsidRPr="00714502">
              <w:rPr>
                <w:spacing w:val="-1"/>
              </w:rPr>
              <w:t>s</w:t>
            </w:r>
            <w:r w:rsidRPr="00714502">
              <w:t>e (</w:t>
            </w:r>
            <w:r>
              <w:rPr>
                <w:spacing w:val="-2"/>
              </w:rPr>
              <w:t>µ</w:t>
            </w:r>
            <w:r w:rsidRPr="00714502">
              <w:t>g)</w:t>
            </w:r>
          </w:p>
        </w:tc>
        <w:tc>
          <w:tcPr>
            <w:tcW w:w="3118" w:type="dxa"/>
          </w:tcPr>
          <w:p w:rsidR="008764ED" w:rsidRPr="00EE0533" w:rsidRDefault="008764ED" w:rsidP="00CC5843"/>
        </w:tc>
      </w:tr>
      <w:tr w:rsidR="008764ED" w:rsidRPr="00EE0533" w:rsidTr="00EC464E">
        <w:tc>
          <w:tcPr>
            <w:tcW w:w="3936" w:type="dxa"/>
          </w:tcPr>
          <w:p w:rsidR="008764ED" w:rsidRPr="00714502" w:rsidRDefault="008764ED" w:rsidP="00CC5843">
            <w:r w:rsidRPr="00EE0533">
              <w:rPr>
                <w:spacing w:val="1"/>
              </w:rPr>
              <w:t>N</w:t>
            </w:r>
            <w:r w:rsidRPr="00EE0533">
              <w:t>o</w:t>
            </w:r>
            <w:r w:rsidRPr="00EE0533">
              <w:rPr>
                <w:spacing w:val="1"/>
              </w:rPr>
              <w:t>n</w:t>
            </w:r>
            <w:r w:rsidRPr="00EE0533">
              <w:t>e</w:t>
            </w:r>
          </w:p>
        </w:tc>
        <w:tc>
          <w:tcPr>
            <w:tcW w:w="3118" w:type="dxa"/>
          </w:tcPr>
          <w:p w:rsidR="008764ED" w:rsidRPr="00EE0533" w:rsidRDefault="008764ED" w:rsidP="00CC5843">
            <w:r w:rsidRPr="00EE0533">
              <w:rPr>
                <w:spacing w:val="1"/>
              </w:rPr>
              <w:t>1</w:t>
            </w:r>
            <w:r w:rsidRPr="00EE0533">
              <w:t xml:space="preserve">13 </w:t>
            </w:r>
            <w:r w:rsidRPr="00EE0533">
              <w:rPr>
                <w:spacing w:val="-1"/>
              </w:rPr>
              <w:t>(</w:t>
            </w:r>
            <w:r w:rsidRPr="00EE0533">
              <w:rPr>
                <w:spacing w:val="1"/>
              </w:rPr>
              <w:t>3</w:t>
            </w:r>
            <w:r w:rsidRPr="00EE0533">
              <w:t>2)</w:t>
            </w:r>
          </w:p>
        </w:tc>
      </w:tr>
      <w:tr w:rsidR="008764ED" w:rsidRPr="00EE0533" w:rsidTr="00EC464E">
        <w:tc>
          <w:tcPr>
            <w:tcW w:w="3936" w:type="dxa"/>
          </w:tcPr>
          <w:p w:rsidR="008764ED" w:rsidRPr="00EE0533" w:rsidRDefault="008764ED" w:rsidP="00CC5843">
            <w:r w:rsidRPr="00EE0533">
              <w:rPr>
                <w:spacing w:val="1"/>
              </w:rPr>
              <w:t>1</w:t>
            </w:r>
            <w:r w:rsidRPr="00EE0533">
              <w:t>00</w:t>
            </w:r>
          </w:p>
        </w:tc>
        <w:tc>
          <w:tcPr>
            <w:tcW w:w="3118" w:type="dxa"/>
          </w:tcPr>
          <w:p w:rsidR="008764ED" w:rsidRPr="00EE0533" w:rsidRDefault="008764ED" w:rsidP="00CC5843">
            <w:r w:rsidRPr="00EE0533">
              <w:rPr>
                <w:spacing w:val="1"/>
              </w:rPr>
              <w:t>2</w:t>
            </w:r>
            <w:r w:rsidRPr="00EE0533">
              <w:t>3 (</w:t>
            </w:r>
            <w:r w:rsidRPr="00EE0533">
              <w:rPr>
                <w:spacing w:val="1"/>
              </w:rPr>
              <w:t>6</w:t>
            </w:r>
            <w:r w:rsidRPr="00EE0533">
              <w:t>)</w:t>
            </w:r>
          </w:p>
        </w:tc>
      </w:tr>
      <w:tr w:rsidR="008764ED" w:rsidRPr="00EE0533" w:rsidTr="00EC464E">
        <w:tc>
          <w:tcPr>
            <w:tcW w:w="3936" w:type="dxa"/>
          </w:tcPr>
          <w:p w:rsidR="008764ED" w:rsidRPr="00EE0533" w:rsidRDefault="008764ED" w:rsidP="00CC5843">
            <w:r w:rsidRPr="00EE0533">
              <w:rPr>
                <w:spacing w:val="1"/>
              </w:rPr>
              <w:t>2</w:t>
            </w:r>
            <w:r w:rsidRPr="00EE0533">
              <w:t>00</w:t>
            </w:r>
          </w:p>
        </w:tc>
        <w:tc>
          <w:tcPr>
            <w:tcW w:w="3118" w:type="dxa"/>
          </w:tcPr>
          <w:p w:rsidR="008764ED" w:rsidRPr="00EE0533" w:rsidRDefault="008764ED" w:rsidP="00CC5843">
            <w:r w:rsidRPr="00EE0533">
              <w:rPr>
                <w:spacing w:val="1"/>
              </w:rPr>
              <w:t>3</w:t>
            </w:r>
            <w:r w:rsidRPr="00EE0533">
              <w:t>3 (</w:t>
            </w:r>
            <w:r w:rsidRPr="00EE0533">
              <w:rPr>
                <w:spacing w:val="1"/>
              </w:rPr>
              <w:t>9</w:t>
            </w:r>
            <w:r w:rsidRPr="00EE0533">
              <w:t>)</w:t>
            </w:r>
          </w:p>
        </w:tc>
      </w:tr>
      <w:tr w:rsidR="008764ED" w:rsidRPr="00EE0533" w:rsidTr="00EC464E">
        <w:tc>
          <w:tcPr>
            <w:tcW w:w="3936" w:type="dxa"/>
          </w:tcPr>
          <w:p w:rsidR="008764ED" w:rsidRPr="00EE0533" w:rsidRDefault="008764ED" w:rsidP="00CC5843">
            <w:r w:rsidRPr="00EE0533">
              <w:rPr>
                <w:spacing w:val="1"/>
              </w:rPr>
              <w:t>4</w:t>
            </w:r>
            <w:r w:rsidRPr="00EE0533">
              <w:t>00</w:t>
            </w:r>
          </w:p>
        </w:tc>
        <w:tc>
          <w:tcPr>
            <w:tcW w:w="3118" w:type="dxa"/>
          </w:tcPr>
          <w:p w:rsidR="008764ED" w:rsidRPr="00EE0533" w:rsidRDefault="008764ED" w:rsidP="00CC5843">
            <w:r w:rsidRPr="00EE0533">
              <w:rPr>
                <w:spacing w:val="1"/>
              </w:rPr>
              <w:t>5</w:t>
            </w:r>
            <w:r w:rsidRPr="00EE0533">
              <w:t xml:space="preserve">4 </w:t>
            </w:r>
            <w:r w:rsidRPr="00EE0533">
              <w:rPr>
                <w:spacing w:val="-1"/>
              </w:rPr>
              <w:t>(</w:t>
            </w:r>
            <w:r w:rsidRPr="00EE0533">
              <w:t>1</w:t>
            </w:r>
            <w:r w:rsidRPr="00EE0533">
              <w:rPr>
                <w:spacing w:val="1"/>
              </w:rPr>
              <w:t>5)</w:t>
            </w:r>
          </w:p>
        </w:tc>
      </w:tr>
      <w:tr w:rsidR="008764ED" w:rsidRPr="00EE0533" w:rsidTr="00EC464E">
        <w:tc>
          <w:tcPr>
            <w:tcW w:w="3936" w:type="dxa"/>
          </w:tcPr>
          <w:p w:rsidR="008764ED" w:rsidRPr="00EE0533" w:rsidRDefault="008764ED" w:rsidP="00CC5843">
            <w:pPr>
              <w:rPr>
                <w:spacing w:val="1"/>
              </w:rPr>
            </w:pPr>
            <w:r w:rsidRPr="00EE0533">
              <w:rPr>
                <w:spacing w:val="1"/>
              </w:rPr>
              <w:t>6</w:t>
            </w:r>
            <w:r w:rsidRPr="00EE0533">
              <w:t>00</w:t>
            </w:r>
          </w:p>
        </w:tc>
        <w:tc>
          <w:tcPr>
            <w:tcW w:w="3118" w:type="dxa"/>
          </w:tcPr>
          <w:p w:rsidR="008764ED" w:rsidRPr="00EE0533" w:rsidRDefault="008764ED" w:rsidP="00CC5843">
            <w:pPr>
              <w:rPr>
                <w:spacing w:val="1"/>
              </w:rPr>
            </w:pPr>
            <w:r w:rsidRPr="00EE0533">
              <w:rPr>
                <w:spacing w:val="1"/>
              </w:rPr>
              <w:t>5</w:t>
            </w:r>
            <w:r w:rsidRPr="00EE0533">
              <w:t xml:space="preserve">9 </w:t>
            </w:r>
            <w:r w:rsidRPr="00EE0533">
              <w:rPr>
                <w:spacing w:val="-1"/>
              </w:rPr>
              <w:t>(</w:t>
            </w:r>
            <w:r w:rsidRPr="00EE0533">
              <w:t>1</w:t>
            </w:r>
            <w:r w:rsidRPr="00EE0533">
              <w:rPr>
                <w:spacing w:val="1"/>
              </w:rPr>
              <w:t>6)</w:t>
            </w:r>
          </w:p>
        </w:tc>
      </w:tr>
      <w:tr w:rsidR="008764ED" w:rsidRPr="00EE0533" w:rsidTr="00EC464E">
        <w:tc>
          <w:tcPr>
            <w:tcW w:w="3936" w:type="dxa"/>
          </w:tcPr>
          <w:p w:rsidR="008764ED" w:rsidRPr="00EE0533" w:rsidRDefault="008764ED" w:rsidP="00CC5843">
            <w:r w:rsidRPr="00EE0533">
              <w:rPr>
                <w:spacing w:val="1"/>
              </w:rPr>
              <w:t>8</w:t>
            </w:r>
            <w:r w:rsidRPr="00EE0533">
              <w:t>00</w:t>
            </w:r>
          </w:p>
        </w:tc>
        <w:tc>
          <w:tcPr>
            <w:tcW w:w="3118" w:type="dxa"/>
          </w:tcPr>
          <w:p w:rsidR="008764ED" w:rsidRPr="00EE0533" w:rsidRDefault="008764ED" w:rsidP="00CC5843">
            <w:r w:rsidRPr="00EE0533">
              <w:rPr>
                <w:spacing w:val="1"/>
              </w:rPr>
              <w:t>7</w:t>
            </w:r>
            <w:r w:rsidRPr="00EE0533">
              <w:t xml:space="preserve">6 </w:t>
            </w:r>
            <w:r w:rsidRPr="00EE0533">
              <w:rPr>
                <w:spacing w:val="-1"/>
              </w:rPr>
              <w:t>(</w:t>
            </w:r>
            <w:r w:rsidRPr="00EE0533">
              <w:t>2</w:t>
            </w:r>
            <w:r w:rsidRPr="00EE0533">
              <w:rPr>
                <w:spacing w:val="1"/>
              </w:rPr>
              <w:t>1)</w:t>
            </w:r>
          </w:p>
        </w:tc>
      </w:tr>
      <w:tr w:rsidR="008764ED" w:rsidRPr="00EE0533" w:rsidTr="00EC464E">
        <w:tc>
          <w:tcPr>
            <w:tcW w:w="3936" w:type="dxa"/>
          </w:tcPr>
          <w:p w:rsidR="008764ED" w:rsidRPr="00EE0533" w:rsidRDefault="008764ED" w:rsidP="00CC5843">
            <w:pPr>
              <w:rPr>
                <w:spacing w:val="1"/>
              </w:rPr>
            </w:pPr>
            <w:r w:rsidRPr="00EE0533">
              <w:t>Maxi</w:t>
            </w:r>
            <w:r w:rsidRPr="00EE0533">
              <w:rPr>
                <w:spacing w:val="-2"/>
              </w:rPr>
              <w:t>m</w:t>
            </w:r>
            <w:r w:rsidRPr="00EE0533">
              <w:rPr>
                <w:spacing w:val="2"/>
              </w:rPr>
              <w:t>u</w:t>
            </w:r>
            <w:r w:rsidRPr="00EE0533">
              <w:t>m</w:t>
            </w:r>
            <w:r w:rsidRPr="00EE0533">
              <w:rPr>
                <w:spacing w:val="-2"/>
              </w:rPr>
              <w:t xml:space="preserve"> </w:t>
            </w:r>
            <w:r w:rsidRPr="00EE0533">
              <w:t>dose</w:t>
            </w:r>
            <w:r w:rsidRPr="00EE0533">
              <w:rPr>
                <w:spacing w:val="1"/>
              </w:rPr>
              <w:t xml:space="preserve"> </w:t>
            </w:r>
            <w:r w:rsidRPr="00EE0533">
              <w:t>(</w:t>
            </w:r>
            <w:r>
              <w:rPr>
                <w:spacing w:val="-2"/>
              </w:rPr>
              <w:t>µ</w:t>
            </w:r>
            <w:r w:rsidRPr="00EE0533">
              <w:t>g)</w:t>
            </w:r>
          </w:p>
        </w:tc>
        <w:tc>
          <w:tcPr>
            <w:tcW w:w="3118" w:type="dxa"/>
          </w:tcPr>
          <w:p w:rsidR="008764ED" w:rsidRPr="00EE0533" w:rsidRDefault="008764ED" w:rsidP="00CC5843">
            <w:pPr>
              <w:rPr>
                <w:spacing w:val="1"/>
              </w:rPr>
            </w:pPr>
          </w:p>
        </w:tc>
      </w:tr>
      <w:tr w:rsidR="008764ED" w:rsidRPr="00EE0533" w:rsidTr="00EC464E">
        <w:tc>
          <w:tcPr>
            <w:tcW w:w="3936" w:type="dxa"/>
          </w:tcPr>
          <w:p w:rsidR="008764ED" w:rsidRPr="00881C08" w:rsidRDefault="008764ED" w:rsidP="00CC5843">
            <w:pPr>
              <w:rPr>
                <w:spacing w:val="1"/>
              </w:rPr>
            </w:pPr>
            <w:r w:rsidRPr="00EE0533">
              <w:rPr>
                <w:spacing w:val="1"/>
              </w:rPr>
              <w:t>1</w:t>
            </w:r>
            <w:r w:rsidRPr="00881C08">
              <w:rPr>
                <w:spacing w:val="1"/>
              </w:rPr>
              <w:t>00</w:t>
            </w:r>
          </w:p>
        </w:tc>
        <w:tc>
          <w:tcPr>
            <w:tcW w:w="3118" w:type="dxa"/>
          </w:tcPr>
          <w:p w:rsidR="008764ED" w:rsidRPr="00EE0533" w:rsidRDefault="008764ED" w:rsidP="00CC5843">
            <w:r w:rsidRPr="00EE0533">
              <w:rPr>
                <w:spacing w:val="1"/>
              </w:rPr>
              <w:t>3</w:t>
            </w:r>
            <w:r w:rsidRPr="00EE0533">
              <w:t xml:space="preserve">8 </w:t>
            </w:r>
            <w:r w:rsidRPr="00EE0533">
              <w:rPr>
                <w:spacing w:val="-1"/>
              </w:rPr>
              <w:t>(</w:t>
            </w:r>
            <w:r w:rsidRPr="00EE0533">
              <w:t>1</w:t>
            </w:r>
            <w:r w:rsidRPr="00EE0533">
              <w:rPr>
                <w:spacing w:val="1"/>
              </w:rPr>
              <w:t>1)</w:t>
            </w:r>
          </w:p>
        </w:tc>
      </w:tr>
      <w:tr w:rsidR="008764ED" w:rsidRPr="00EE0533" w:rsidTr="00EC464E">
        <w:tc>
          <w:tcPr>
            <w:tcW w:w="3936" w:type="dxa"/>
          </w:tcPr>
          <w:p w:rsidR="008764ED" w:rsidRPr="00EE0533" w:rsidRDefault="008764ED" w:rsidP="00CC5843">
            <w:pPr>
              <w:rPr>
                <w:spacing w:val="1"/>
              </w:rPr>
            </w:pPr>
            <w:r w:rsidRPr="00EE0533">
              <w:rPr>
                <w:spacing w:val="1"/>
              </w:rPr>
              <w:t>2</w:t>
            </w:r>
            <w:r w:rsidRPr="00881C08">
              <w:rPr>
                <w:spacing w:val="1"/>
              </w:rPr>
              <w:t>00</w:t>
            </w:r>
          </w:p>
        </w:tc>
        <w:tc>
          <w:tcPr>
            <w:tcW w:w="3118" w:type="dxa"/>
          </w:tcPr>
          <w:p w:rsidR="008764ED" w:rsidRPr="00EE0533" w:rsidRDefault="008764ED" w:rsidP="00CC5843">
            <w:pPr>
              <w:rPr>
                <w:spacing w:val="1"/>
              </w:rPr>
            </w:pPr>
            <w:r w:rsidRPr="00EE0533">
              <w:rPr>
                <w:spacing w:val="1"/>
              </w:rPr>
              <w:t>3</w:t>
            </w:r>
            <w:r w:rsidRPr="00EE0533">
              <w:t>3 (</w:t>
            </w:r>
            <w:r w:rsidRPr="00EE0533">
              <w:rPr>
                <w:spacing w:val="1"/>
              </w:rPr>
              <w:t>9</w:t>
            </w:r>
            <w:r w:rsidRPr="00EE0533">
              <w:t>)</w:t>
            </w:r>
          </w:p>
        </w:tc>
      </w:tr>
      <w:tr w:rsidR="008764ED" w:rsidRPr="00EE0533" w:rsidTr="00EC464E">
        <w:tc>
          <w:tcPr>
            <w:tcW w:w="3936" w:type="dxa"/>
          </w:tcPr>
          <w:p w:rsidR="008764ED" w:rsidRPr="00881C08" w:rsidRDefault="008764ED" w:rsidP="00CC5843">
            <w:pPr>
              <w:rPr>
                <w:spacing w:val="1"/>
              </w:rPr>
            </w:pPr>
            <w:r w:rsidRPr="00EE0533">
              <w:rPr>
                <w:spacing w:val="1"/>
              </w:rPr>
              <w:t>4</w:t>
            </w:r>
            <w:r w:rsidRPr="00881C08">
              <w:rPr>
                <w:spacing w:val="1"/>
              </w:rPr>
              <w:t>00</w:t>
            </w:r>
          </w:p>
        </w:tc>
        <w:tc>
          <w:tcPr>
            <w:tcW w:w="3118" w:type="dxa"/>
          </w:tcPr>
          <w:p w:rsidR="008764ED" w:rsidRPr="00EE0533" w:rsidRDefault="008764ED" w:rsidP="00CC5843">
            <w:r w:rsidRPr="00EE0533">
              <w:rPr>
                <w:spacing w:val="1"/>
              </w:rPr>
              <w:t>6</w:t>
            </w:r>
            <w:r w:rsidRPr="00EE0533">
              <w:t xml:space="preserve">2 </w:t>
            </w:r>
            <w:r w:rsidRPr="00EE0533">
              <w:rPr>
                <w:spacing w:val="-1"/>
              </w:rPr>
              <w:t>(</w:t>
            </w:r>
            <w:r w:rsidRPr="00EE0533">
              <w:t>1</w:t>
            </w:r>
            <w:r w:rsidRPr="00EE0533">
              <w:rPr>
                <w:spacing w:val="1"/>
              </w:rPr>
              <w:t>7)</w:t>
            </w:r>
          </w:p>
        </w:tc>
      </w:tr>
      <w:tr w:rsidR="008764ED" w:rsidRPr="00EE0533" w:rsidTr="00EC464E">
        <w:tc>
          <w:tcPr>
            <w:tcW w:w="3936" w:type="dxa"/>
          </w:tcPr>
          <w:p w:rsidR="008764ED" w:rsidRPr="00EE0533" w:rsidRDefault="008764ED" w:rsidP="00CC5843">
            <w:pPr>
              <w:rPr>
                <w:spacing w:val="1"/>
              </w:rPr>
            </w:pPr>
            <w:r w:rsidRPr="00EE0533">
              <w:rPr>
                <w:spacing w:val="1"/>
              </w:rPr>
              <w:t>6</w:t>
            </w:r>
            <w:r w:rsidRPr="00881C08">
              <w:rPr>
                <w:spacing w:val="1"/>
              </w:rPr>
              <w:t>00</w:t>
            </w:r>
          </w:p>
        </w:tc>
        <w:tc>
          <w:tcPr>
            <w:tcW w:w="3118" w:type="dxa"/>
          </w:tcPr>
          <w:p w:rsidR="008764ED" w:rsidRPr="00EE0533" w:rsidRDefault="008764ED" w:rsidP="00CC5843">
            <w:pPr>
              <w:rPr>
                <w:spacing w:val="1"/>
              </w:rPr>
            </w:pPr>
            <w:r w:rsidRPr="00EE0533">
              <w:rPr>
                <w:spacing w:val="1"/>
              </w:rPr>
              <w:t>5</w:t>
            </w:r>
            <w:r w:rsidRPr="00EE0533">
              <w:t xml:space="preserve">7 </w:t>
            </w:r>
            <w:r w:rsidRPr="00EE0533">
              <w:rPr>
                <w:spacing w:val="-1"/>
              </w:rPr>
              <w:t>(</w:t>
            </w:r>
            <w:r w:rsidRPr="00EE0533">
              <w:t>1</w:t>
            </w:r>
            <w:r w:rsidRPr="00EE0533">
              <w:rPr>
                <w:spacing w:val="1"/>
              </w:rPr>
              <w:t>6)</w:t>
            </w:r>
          </w:p>
        </w:tc>
      </w:tr>
      <w:tr w:rsidR="008764ED" w:rsidRPr="00EE0533" w:rsidTr="00EC464E">
        <w:tc>
          <w:tcPr>
            <w:tcW w:w="3936" w:type="dxa"/>
          </w:tcPr>
          <w:p w:rsidR="008764ED" w:rsidRPr="00881C08" w:rsidRDefault="008764ED" w:rsidP="00CC5843">
            <w:pPr>
              <w:rPr>
                <w:spacing w:val="1"/>
              </w:rPr>
            </w:pPr>
            <w:r w:rsidRPr="00EE0533">
              <w:rPr>
                <w:spacing w:val="1"/>
              </w:rPr>
              <w:t>8</w:t>
            </w:r>
            <w:r w:rsidRPr="00881C08">
              <w:rPr>
                <w:spacing w:val="1"/>
              </w:rPr>
              <w:t>00</w:t>
            </w:r>
          </w:p>
        </w:tc>
        <w:tc>
          <w:tcPr>
            <w:tcW w:w="3118" w:type="dxa"/>
          </w:tcPr>
          <w:p w:rsidR="008764ED" w:rsidRPr="00EE0533" w:rsidRDefault="008764ED" w:rsidP="00CC5843">
            <w:pPr>
              <w:rPr>
                <w:sz w:val="13"/>
                <w:szCs w:val="13"/>
              </w:rPr>
            </w:pPr>
            <w:r>
              <w:t>1</w:t>
            </w:r>
            <w:r w:rsidRPr="00EE0533">
              <w:t xml:space="preserve">68 </w:t>
            </w:r>
            <w:r w:rsidRPr="00EE0533">
              <w:rPr>
                <w:spacing w:val="-1"/>
              </w:rPr>
              <w:t>(</w:t>
            </w:r>
            <w:r w:rsidRPr="00EE0533">
              <w:rPr>
                <w:spacing w:val="1"/>
              </w:rPr>
              <w:t>4</w:t>
            </w:r>
            <w:r>
              <w:t>7)</w:t>
            </w:r>
          </w:p>
        </w:tc>
      </w:tr>
      <w:tr w:rsidR="008764ED" w:rsidRPr="00EE0533" w:rsidTr="00EC464E">
        <w:tc>
          <w:tcPr>
            <w:tcW w:w="3936" w:type="dxa"/>
          </w:tcPr>
          <w:p w:rsidR="008764ED" w:rsidRPr="00EE0533" w:rsidRDefault="008764ED" w:rsidP="00CC5843">
            <w:pPr>
              <w:rPr>
                <w:spacing w:val="1"/>
              </w:rPr>
            </w:pPr>
            <w:r w:rsidRPr="00EE0533">
              <w:rPr>
                <w:spacing w:val="1"/>
              </w:rPr>
              <w:t>Av</w:t>
            </w:r>
            <w:r w:rsidRPr="00EE0533">
              <w:rPr>
                <w:spacing w:val="-1"/>
              </w:rPr>
              <w:t>e</w:t>
            </w:r>
            <w:r w:rsidRPr="00EE0533">
              <w:rPr>
                <w:spacing w:val="1"/>
              </w:rPr>
              <w:t>r</w:t>
            </w:r>
            <w:r w:rsidRPr="00EE0533">
              <w:rPr>
                <w:spacing w:val="-1"/>
              </w:rPr>
              <w:t>a</w:t>
            </w:r>
            <w:r w:rsidRPr="00EE0533">
              <w:rPr>
                <w:spacing w:val="1"/>
              </w:rPr>
              <w:t>g</w:t>
            </w:r>
            <w:r w:rsidRPr="00EE0533">
              <w:t>e</w:t>
            </w:r>
            <w:r w:rsidRPr="00EE0533">
              <w:rPr>
                <w:spacing w:val="-1"/>
              </w:rPr>
              <w:t xml:space="preserve"> </w:t>
            </w:r>
            <w:r w:rsidRPr="00EE0533">
              <w:rPr>
                <w:spacing w:val="1"/>
              </w:rPr>
              <w:t>do</w:t>
            </w:r>
            <w:r w:rsidRPr="00EE0533">
              <w:t>se</w:t>
            </w:r>
            <w:r w:rsidRPr="00EE0533">
              <w:rPr>
                <w:spacing w:val="-2"/>
              </w:rPr>
              <w:t xml:space="preserve"> </w:t>
            </w:r>
            <w:r w:rsidRPr="00EE0533">
              <w:rPr>
                <w:spacing w:val="1"/>
              </w:rPr>
              <w:t>p</w:t>
            </w:r>
            <w:r w:rsidRPr="00EE0533">
              <w:t xml:space="preserve">er </w:t>
            </w:r>
            <w:r w:rsidRPr="00EE0533">
              <w:rPr>
                <w:spacing w:val="-1"/>
              </w:rPr>
              <w:t>B</w:t>
            </w:r>
            <w:r w:rsidRPr="00EE0533">
              <w:t>TP</w:t>
            </w:r>
            <w:r w:rsidRPr="00EE0533">
              <w:rPr>
                <w:spacing w:val="1"/>
              </w:rPr>
              <w:t xml:space="preserve"> </w:t>
            </w:r>
            <w:r w:rsidRPr="00EE0533">
              <w:rPr>
                <w:spacing w:val="-1"/>
              </w:rPr>
              <w:t>e</w:t>
            </w:r>
            <w:r w:rsidRPr="00EE0533">
              <w:rPr>
                <w:spacing w:val="1"/>
              </w:rPr>
              <w:t>p</w:t>
            </w:r>
            <w:r w:rsidRPr="00EE0533">
              <w:rPr>
                <w:spacing w:val="-1"/>
              </w:rPr>
              <w:t>i</w:t>
            </w:r>
            <w:r w:rsidRPr="00EE0533">
              <w:t>s</w:t>
            </w:r>
            <w:r w:rsidRPr="00EE0533">
              <w:rPr>
                <w:spacing w:val="-1"/>
              </w:rPr>
              <w:t>o</w:t>
            </w:r>
            <w:r w:rsidRPr="00EE0533">
              <w:rPr>
                <w:spacing w:val="1"/>
              </w:rPr>
              <w:t>d</w:t>
            </w:r>
            <w:r w:rsidRPr="00EE0533">
              <w:t>e</w:t>
            </w:r>
            <w:r w:rsidRPr="00EE0533">
              <w:rPr>
                <w:spacing w:val="-1"/>
              </w:rPr>
              <w:t xml:space="preserve"> </w:t>
            </w:r>
            <w:r w:rsidRPr="00EE0533">
              <w:rPr>
                <w:spacing w:val="1"/>
              </w:rPr>
              <w:t>(</w:t>
            </w:r>
            <w:r>
              <w:rPr>
                <w:spacing w:val="-2"/>
              </w:rPr>
              <w:t>µ</w:t>
            </w:r>
            <w:r w:rsidRPr="00EE0533">
              <w:rPr>
                <w:spacing w:val="1"/>
              </w:rPr>
              <w:t>g</w:t>
            </w:r>
            <w:r w:rsidRPr="00EE0533">
              <w:t>)</w:t>
            </w:r>
            <w:r w:rsidRPr="00EE0533">
              <w:rPr>
                <w:position w:val="9"/>
                <w:sz w:val="13"/>
                <w:szCs w:val="13"/>
              </w:rPr>
              <w:t>a</w:t>
            </w:r>
          </w:p>
        </w:tc>
        <w:tc>
          <w:tcPr>
            <w:tcW w:w="3118" w:type="dxa"/>
          </w:tcPr>
          <w:p w:rsidR="008764ED" w:rsidRDefault="008764ED" w:rsidP="00CC5843"/>
        </w:tc>
      </w:tr>
      <w:tr w:rsidR="008764ED" w:rsidRPr="00EE0533" w:rsidTr="00EC464E">
        <w:tc>
          <w:tcPr>
            <w:tcW w:w="3936" w:type="dxa"/>
          </w:tcPr>
          <w:p w:rsidR="008764ED" w:rsidRPr="00EE0533" w:rsidRDefault="008764ED" w:rsidP="00CC5843">
            <w:pPr>
              <w:rPr>
                <w:spacing w:val="1"/>
              </w:rPr>
            </w:pPr>
            <w:r w:rsidRPr="00EE0533">
              <w:rPr>
                <w:spacing w:val="1"/>
              </w:rPr>
              <w:t>&lt;2</w:t>
            </w:r>
            <w:r w:rsidRPr="00881C08">
              <w:rPr>
                <w:spacing w:val="1"/>
              </w:rPr>
              <w:t>00</w:t>
            </w:r>
          </w:p>
        </w:tc>
        <w:tc>
          <w:tcPr>
            <w:tcW w:w="3118" w:type="dxa"/>
          </w:tcPr>
          <w:p w:rsidR="008764ED" w:rsidRDefault="008764ED" w:rsidP="00CC5843">
            <w:r w:rsidRPr="00EE0533">
              <w:rPr>
                <w:spacing w:val="1"/>
              </w:rPr>
              <w:t>4</w:t>
            </w:r>
            <w:r w:rsidRPr="00EE0533">
              <w:t xml:space="preserve">9 </w:t>
            </w:r>
            <w:r w:rsidRPr="00EE0533">
              <w:rPr>
                <w:spacing w:val="-1"/>
              </w:rPr>
              <w:t>(</w:t>
            </w:r>
            <w:r w:rsidRPr="00EE0533">
              <w:t>1</w:t>
            </w:r>
            <w:r w:rsidRPr="00EE0533">
              <w:rPr>
                <w:spacing w:val="1"/>
              </w:rPr>
              <w:t>4)</w:t>
            </w:r>
          </w:p>
        </w:tc>
      </w:tr>
      <w:tr w:rsidR="008764ED" w:rsidRPr="00EE0533" w:rsidTr="00EC464E">
        <w:tc>
          <w:tcPr>
            <w:tcW w:w="3936" w:type="dxa"/>
          </w:tcPr>
          <w:p w:rsidR="008764ED" w:rsidRPr="00881C08" w:rsidRDefault="008764ED" w:rsidP="00CC5843">
            <w:pPr>
              <w:rPr>
                <w:spacing w:val="1"/>
              </w:rPr>
            </w:pPr>
            <w:r w:rsidRPr="00EE0533">
              <w:rPr>
                <w:spacing w:val="1"/>
              </w:rPr>
              <w:lastRenderedPageBreak/>
              <w:t>≥</w:t>
            </w:r>
            <w:r w:rsidRPr="00881C08">
              <w:rPr>
                <w:spacing w:val="1"/>
              </w:rPr>
              <w:t>20</w:t>
            </w:r>
            <w:r w:rsidRPr="00EE0533">
              <w:rPr>
                <w:spacing w:val="1"/>
              </w:rPr>
              <w:t>0-</w:t>
            </w:r>
            <w:r w:rsidRPr="00881C08">
              <w:rPr>
                <w:spacing w:val="1"/>
              </w:rPr>
              <w:t>&lt;</w:t>
            </w:r>
            <w:r w:rsidRPr="00EE0533">
              <w:rPr>
                <w:spacing w:val="1"/>
              </w:rPr>
              <w:t>4</w:t>
            </w:r>
            <w:r w:rsidRPr="00881C08">
              <w:rPr>
                <w:spacing w:val="1"/>
              </w:rPr>
              <w:t>00</w:t>
            </w:r>
          </w:p>
        </w:tc>
        <w:tc>
          <w:tcPr>
            <w:tcW w:w="3118" w:type="dxa"/>
          </w:tcPr>
          <w:p w:rsidR="008764ED" w:rsidRPr="00EE0533" w:rsidRDefault="008764ED" w:rsidP="00CC5843">
            <w:r w:rsidRPr="00EE0533">
              <w:rPr>
                <w:spacing w:val="1"/>
              </w:rPr>
              <w:t>9</w:t>
            </w:r>
            <w:r w:rsidRPr="00EE0533">
              <w:t>1 (2</w:t>
            </w:r>
            <w:r w:rsidRPr="00EE0533">
              <w:rPr>
                <w:spacing w:val="1"/>
              </w:rPr>
              <w:t>5</w:t>
            </w:r>
            <w:r w:rsidRPr="00EE0533">
              <w:t>)</w:t>
            </w:r>
          </w:p>
        </w:tc>
      </w:tr>
      <w:tr w:rsidR="008764ED" w:rsidRPr="00EE0533" w:rsidTr="00EC464E">
        <w:tc>
          <w:tcPr>
            <w:tcW w:w="3936" w:type="dxa"/>
          </w:tcPr>
          <w:p w:rsidR="008764ED" w:rsidRPr="00881C08" w:rsidRDefault="008764ED" w:rsidP="00CC5843">
            <w:pPr>
              <w:rPr>
                <w:spacing w:val="1"/>
              </w:rPr>
            </w:pPr>
            <w:r w:rsidRPr="00EE0533">
              <w:rPr>
                <w:spacing w:val="1"/>
              </w:rPr>
              <w:t>≥</w:t>
            </w:r>
            <w:r w:rsidRPr="00881C08">
              <w:rPr>
                <w:spacing w:val="1"/>
              </w:rPr>
              <w:t>40</w:t>
            </w:r>
            <w:r w:rsidRPr="00EE0533">
              <w:rPr>
                <w:spacing w:val="1"/>
              </w:rPr>
              <w:t>0-</w:t>
            </w:r>
            <w:r w:rsidRPr="00881C08">
              <w:rPr>
                <w:spacing w:val="1"/>
              </w:rPr>
              <w:t>&lt;</w:t>
            </w:r>
            <w:r w:rsidRPr="00EE0533">
              <w:rPr>
                <w:spacing w:val="1"/>
              </w:rPr>
              <w:t>6</w:t>
            </w:r>
            <w:r w:rsidRPr="00881C08">
              <w:rPr>
                <w:spacing w:val="1"/>
              </w:rPr>
              <w:t>00</w:t>
            </w:r>
          </w:p>
        </w:tc>
        <w:tc>
          <w:tcPr>
            <w:tcW w:w="3118" w:type="dxa"/>
          </w:tcPr>
          <w:p w:rsidR="008764ED" w:rsidRPr="00EE0533" w:rsidRDefault="008764ED" w:rsidP="00CC5843">
            <w:r w:rsidRPr="00EE0533">
              <w:rPr>
                <w:spacing w:val="1"/>
              </w:rPr>
              <w:t>1</w:t>
            </w:r>
            <w:r w:rsidRPr="00EE0533">
              <w:t>00 (</w:t>
            </w:r>
            <w:r w:rsidRPr="00EE0533">
              <w:rPr>
                <w:spacing w:val="1"/>
              </w:rPr>
              <w:t>2</w:t>
            </w:r>
            <w:r w:rsidRPr="00EE0533">
              <w:t>8)</w:t>
            </w:r>
          </w:p>
        </w:tc>
      </w:tr>
      <w:tr w:rsidR="008764ED" w:rsidRPr="00EE0533" w:rsidTr="00EC464E">
        <w:tc>
          <w:tcPr>
            <w:tcW w:w="3936" w:type="dxa"/>
          </w:tcPr>
          <w:p w:rsidR="008764ED" w:rsidRPr="00EE0533" w:rsidRDefault="008764ED" w:rsidP="00CC5843">
            <w:pPr>
              <w:rPr>
                <w:spacing w:val="1"/>
              </w:rPr>
            </w:pPr>
            <w:r w:rsidRPr="00EE0533">
              <w:rPr>
                <w:spacing w:val="1"/>
              </w:rPr>
              <w:t>≥</w:t>
            </w:r>
            <w:r w:rsidRPr="00881C08">
              <w:rPr>
                <w:spacing w:val="1"/>
              </w:rPr>
              <w:t>60</w:t>
            </w:r>
            <w:r w:rsidRPr="00EE0533">
              <w:rPr>
                <w:spacing w:val="1"/>
              </w:rPr>
              <w:t>0-</w:t>
            </w:r>
            <w:r w:rsidRPr="00881C08">
              <w:rPr>
                <w:spacing w:val="1"/>
              </w:rPr>
              <w:t>&lt;</w:t>
            </w:r>
            <w:r w:rsidRPr="00EE0533">
              <w:rPr>
                <w:spacing w:val="1"/>
              </w:rPr>
              <w:t>8</w:t>
            </w:r>
            <w:r w:rsidRPr="00881C08">
              <w:rPr>
                <w:spacing w:val="1"/>
              </w:rPr>
              <w:t>00</w:t>
            </w:r>
          </w:p>
        </w:tc>
        <w:tc>
          <w:tcPr>
            <w:tcW w:w="3118" w:type="dxa"/>
          </w:tcPr>
          <w:p w:rsidR="008764ED" w:rsidRPr="00EE0533" w:rsidRDefault="008764ED" w:rsidP="00CC5843">
            <w:pPr>
              <w:rPr>
                <w:spacing w:val="1"/>
              </w:rPr>
            </w:pPr>
            <w:r w:rsidRPr="00EE0533">
              <w:rPr>
                <w:spacing w:val="1"/>
              </w:rPr>
              <w:t>7</w:t>
            </w:r>
            <w:r w:rsidRPr="00EE0533">
              <w:t>9 (2</w:t>
            </w:r>
            <w:r w:rsidRPr="00EE0533">
              <w:rPr>
                <w:spacing w:val="1"/>
              </w:rPr>
              <w:t>2</w:t>
            </w:r>
            <w:r w:rsidRPr="00EE0533">
              <w:t>)</w:t>
            </w:r>
          </w:p>
        </w:tc>
      </w:tr>
      <w:tr w:rsidR="008764ED" w:rsidRPr="00EE0533" w:rsidTr="00EC464E">
        <w:tc>
          <w:tcPr>
            <w:tcW w:w="3936" w:type="dxa"/>
          </w:tcPr>
          <w:p w:rsidR="008764ED" w:rsidRPr="00EE0533" w:rsidRDefault="008764ED" w:rsidP="00CC5843">
            <w:pPr>
              <w:rPr>
                <w:spacing w:val="1"/>
              </w:rPr>
            </w:pPr>
            <w:r w:rsidRPr="00EE0533">
              <w:rPr>
                <w:spacing w:val="1"/>
              </w:rPr>
              <w:t>≥</w:t>
            </w:r>
            <w:r w:rsidRPr="00881C08">
              <w:rPr>
                <w:spacing w:val="1"/>
              </w:rPr>
              <w:t>800</w:t>
            </w:r>
          </w:p>
        </w:tc>
        <w:tc>
          <w:tcPr>
            <w:tcW w:w="3118" w:type="dxa"/>
          </w:tcPr>
          <w:p w:rsidR="008764ED" w:rsidRPr="00EE0533" w:rsidRDefault="008764ED" w:rsidP="00CC5843">
            <w:r w:rsidRPr="00EE0533">
              <w:rPr>
                <w:spacing w:val="1"/>
              </w:rPr>
              <w:t>1</w:t>
            </w:r>
            <w:r w:rsidRPr="00EE0533">
              <w:t>8 (</w:t>
            </w:r>
            <w:r w:rsidRPr="00EE0533">
              <w:rPr>
                <w:spacing w:val="1"/>
              </w:rPr>
              <w:t>5</w:t>
            </w:r>
            <w:r w:rsidRPr="00EE0533">
              <w:t>)</w:t>
            </w:r>
          </w:p>
        </w:tc>
      </w:tr>
      <w:tr w:rsidR="008764ED" w:rsidRPr="00EE0533" w:rsidTr="00EC464E">
        <w:tc>
          <w:tcPr>
            <w:tcW w:w="3936" w:type="dxa"/>
          </w:tcPr>
          <w:p w:rsidR="008764ED" w:rsidRPr="00881C08" w:rsidRDefault="008764ED" w:rsidP="00CC5843">
            <w:pPr>
              <w:rPr>
                <w:spacing w:val="1"/>
              </w:rPr>
            </w:pPr>
            <w:r w:rsidRPr="00881C08">
              <w:rPr>
                <w:spacing w:val="1"/>
              </w:rPr>
              <w:t>Mi</w:t>
            </w:r>
            <w:r w:rsidRPr="00EE0533">
              <w:rPr>
                <w:spacing w:val="1"/>
              </w:rPr>
              <w:t>ss</w:t>
            </w:r>
            <w:r w:rsidRPr="00881C08">
              <w:rPr>
                <w:spacing w:val="1"/>
              </w:rPr>
              <w:t>i</w:t>
            </w:r>
            <w:r w:rsidRPr="00EE0533">
              <w:rPr>
                <w:spacing w:val="1"/>
              </w:rPr>
              <w:t>n</w:t>
            </w:r>
            <w:r w:rsidRPr="00881C08">
              <w:rPr>
                <w:spacing w:val="1"/>
              </w:rPr>
              <w:t>g</w:t>
            </w:r>
          </w:p>
        </w:tc>
        <w:tc>
          <w:tcPr>
            <w:tcW w:w="3118" w:type="dxa"/>
          </w:tcPr>
          <w:p w:rsidR="008764ED" w:rsidRPr="00EE0533" w:rsidRDefault="008764ED" w:rsidP="00CC5843">
            <w:pPr>
              <w:rPr>
                <w:sz w:val="13"/>
                <w:szCs w:val="13"/>
              </w:rPr>
            </w:pPr>
            <w:r w:rsidRPr="00EE0533">
              <w:rPr>
                <w:spacing w:val="1"/>
              </w:rPr>
              <w:t>2</w:t>
            </w:r>
            <w:r w:rsidRPr="00EE0533">
              <w:t xml:space="preserve">1 </w:t>
            </w:r>
            <w:r w:rsidRPr="00EE0533">
              <w:rPr>
                <w:spacing w:val="-1"/>
              </w:rPr>
              <w:t>(</w:t>
            </w:r>
            <w:r w:rsidRPr="00EE0533">
              <w:rPr>
                <w:spacing w:val="1"/>
              </w:rPr>
              <w:t>6</w:t>
            </w:r>
            <w:r w:rsidRPr="00EE0533">
              <w:t>)</w:t>
            </w:r>
          </w:p>
        </w:tc>
      </w:tr>
      <w:tr w:rsidR="008764ED" w:rsidRPr="00EE0533" w:rsidTr="00EC464E">
        <w:tc>
          <w:tcPr>
            <w:tcW w:w="3936" w:type="dxa"/>
          </w:tcPr>
          <w:p w:rsidR="008764ED" w:rsidRPr="00EE0533" w:rsidRDefault="008764ED" w:rsidP="00CC5843">
            <w:r w:rsidRPr="00EE0533">
              <w:t>Av</w:t>
            </w:r>
            <w:r w:rsidRPr="00EE0533">
              <w:rPr>
                <w:spacing w:val="-1"/>
              </w:rPr>
              <w:t>e</w:t>
            </w:r>
            <w:r w:rsidRPr="00EE0533">
              <w:rPr>
                <w:spacing w:val="1"/>
              </w:rPr>
              <w:t>r</w:t>
            </w:r>
            <w:r w:rsidRPr="00EE0533">
              <w:rPr>
                <w:spacing w:val="-1"/>
              </w:rPr>
              <w:t>a</w:t>
            </w:r>
            <w:r w:rsidRPr="00EE0533">
              <w:rPr>
                <w:spacing w:val="1"/>
              </w:rPr>
              <w:t>g</w:t>
            </w:r>
            <w:r w:rsidRPr="00EE0533">
              <w:t>e daily</w:t>
            </w:r>
            <w:r w:rsidRPr="00EE0533">
              <w:rPr>
                <w:spacing w:val="1"/>
              </w:rPr>
              <w:t xml:space="preserve"> </w:t>
            </w:r>
            <w:r w:rsidRPr="00EE0533">
              <w:t>do</w:t>
            </w:r>
            <w:r w:rsidRPr="00EE0533">
              <w:rPr>
                <w:spacing w:val="-1"/>
              </w:rPr>
              <w:t>s</w:t>
            </w:r>
            <w:r w:rsidRPr="00EE0533">
              <w:t>e</w:t>
            </w:r>
            <w:r w:rsidRPr="00EE0533">
              <w:rPr>
                <w:spacing w:val="1"/>
              </w:rPr>
              <w:t xml:space="preserve"> </w:t>
            </w:r>
            <w:r w:rsidRPr="00EE0533">
              <w:t>(</w:t>
            </w:r>
            <w:r>
              <w:rPr>
                <w:spacing w:val="-2"/>
              </w:rPr>
              <w:t>µ</w:t>
            </w:r>
            <w:r w:rsidRPr="00EE0533">
              <w:t>g</w:t>
            </w:r>
            <w:r w:rsidRPr="00EE0533">
              <w:rPr>
                <w:spacing w:val="1"/>
              </w:rPr>
              <w:t>)</w:t>
            </w:r>
            <w:r w:rsidRPr="00EE0533">
              <w:rPr>
                <w:position w:val="9"/>
                <w:sz w:val="13"/>
                <w:szCs w:val="13"/>
              </w:rPr>
              <w:t>a</w:t>
            </w:r>
          </w:p>
        </w:tc>
        <w:tc>
          <w:tcPr>
            <w:tcW w:w="3118" w:type="dxa"/>
          </w:tcPr>
          <w:p w:rsidR="008764ED" w:rsidRPr="00EE0533" w:rsidRDefault="008764ED" w:rsidP="00CC5843">
            <w:r w:rsidRPr="00EE0533">
              <w:rPr>
                <w:spacing w:val="1"/>
              </w:rPr>
              <w:t>2</w:t>
            </w:r>
            <w:r w:rsidRPr="00EE0533">
              <w:t xml:space="preserve">06 </w:t>
            </w:r>
            <w:r w:rsidRPr="00EE0533">
              <w:rPr>
                <w:spacing w:val="-1"/>
              </w:rPr>
              <w:t>(</w:t>
            </w:r>
            <w:r w:rsidRPr="00EE0533">
              <w:rPr>
                <w:spacing w:val="1"/>
              </w:rPr>
              <w:t>5</w:t>
            </w:r>
            <w:r w:rsidRPr="00EE0533">
              <w:t>8)</w:t>
            </w:r>
          </w:p>
        </w:tc>
      </w:tr>
      <w:tr w:rsidR="008764ED" w:rsidRPr="00EE0533" w:rsidTr="00EC464E">
        <w:tc>
          <w:tcPr>
            <w:tcW w:w="3936" w:type="dxa"/>
          </w:tcPr>
          <w:p w:rsidR="008764ED" w:rsidRPr="00881C08" w:rsidRDefault="008764ED" w:rsidP="00CC5843">
            <w:pPr>
              <w:rPr>
                <w:spacing w:val="1"/>
              </w:rPr>
            </w:pPr>
            <w:r w:rsidRPr="00EE0533">
              <w:rPr>
                <w:spacing w:val="1"/>
              </w:rPr>
              <w:t>≤</w:t>
            </w:r>
            <w:r w:rsidRPr="00881C08">
              <w:rPr>
                <w:spacing w:val="1"/>
              </w:rPr>
              <w:t>800 µg</w:t>
            </w:r>
          </w:p>
        </w:tc>
        <w:tc>
          <w:tcPr>
            <w:tcW w:w="3118" w:type="dxa"/>
          </w:tcPr>
          <w:p w:rsidR="008764ED" w:rsidRPr="00EE0533" w:rsidRDefault="008764ED" w:rsidP="00CC5843"/>
        </w:tc>
      </w:tr>
      <w:tr w:rsidR="008764ED" w:rsidRPr="00EE0533" w:rsidTr="00EC464E">
        <w:tc>
          <w:tcPr>
            <w:tcW w:w="3936" w:type="dxa"/>
          </w:tcPr>
          <w:p w:rsidR="008764ED" w:rsidRPr="00881C08" w:rsidRDefault="008764ED" w:rsidP="00CC5843">
            <w:pPr>
              <w:rPr>
                <w:spacing w:val="1"/>
              </w:rPr>
            </w:pPr>
            <w:r w:rsidRPr="00881C08">
              <w:rPr>
                <w:spacing w:val="1"/>
              </w:rPr>
              <w:t>&gt;</w:t>
            </w:r>
            <w:r w:rsidRPr="00EE0533">
              <w:rPr>
                <w:spacing w:val="1"/>
              </w:rPr>
              <w:t>8</w:t>
            </w:r>
            <w:r w:rsidRPr="00881C08">
              <w:rPr>
                <w:spacing w:val="1"/>
              </w:rPr>
              <w:t>00</w:t>
            </w:r>
            <w:r w:rsidRPr="00EE0533">
              <w:rPr>
                <w:spacing w:val="1"/>
              </w:rPr>
              <w:t>-</w:t>
            </w:r>
            <w:r w:rsidRPr="00881C08">
              <w:rPr>
                <w:spacing w:val="1"/>
              </w:rPr>
              <w:t>≤</w:t>
            </w:r>
            <w:r w:rsidRPr="00EE0533">
              <w:rPr>
                <w:spacing w:val="1"/>
              </w:rPr>
              <w:t>1</w:t>
            </w:r>
            <w:r w:rsidRPr="00881C08">
              <w:rPr>
                <w:spacing w:val="1"/>
              </w:rPr>
              <w:t>600 µg</w:t>
            </w:r>
          </w:p>
        </w:tc>
        <w:tc>
          <w:tcPr>
            <w:tcW w:w="3118" w:type="dxa"/>
          </w:tcPr>
          <w:p w:rsidR="008764ED" w:rsidRPr="00EE0533" w:rsidRDefault="008764ED" w:rsidP="00CC5843">
            <w:r w:rsidRPr="00EE0533">
              <w:rPr>
                <w:spacing w:val="1"/>
              </w:rPr>
              <w:t>5</w:t>
            </w:r>
            <w:r w:rsidRPr="00EE0533">
              <w:t xml:space="preserve">4 </w:t>
            </w:r>
            <w:r w:rsidRPr="00EE0533">
              <w:rPr>
                <w:spacing w:val="-1"/>
              </w:rPr>
              <w:t>(1</w:t>
            </w:r>
            <w:r w:rsidRPr="00EE0533">
              <w:rPr>
                <w:spacing w:val="1"/>
              </w:rPr>
              <w:t>5)</w:t>
            </w:r>
          </w:p>
        </w:tc>
      </w:tr>
      <w:tr w:rsidR="008764ED" w:rsidRPr="00EE0533" w:rsidTr="00EC464E">
        <w:tc>
          <w:tcPr>
            <w:tcW w:w="3936" w:type="dxa"/>
          </w:tcPr>
          <w:p w:rsidR="008764ED" w:rsidRPr="00881C08" w:rsidRDefault="008764ED" w:rsidP="00CC5843">
            <w:pPr>
              <w:rPr>
                <w:spacing w:val="1"/>
              </w:rPr>
            </w:pPr>
            <w:r w:rsidRPr="00881C08">
              <w:rPr>
                <w:spacing w:val="1"/>
              </w:rPr>
              <w:t>&gt;</w:t>
            </w:r>
            <w:r w:rsidRPr="00EE0533">
              <w:rPr>
                <w:spacing w:val="1"/>
              </w:rPr>
              <w:t>1</w:t>
            </w:r>
            <w:r w:rsidRPr="00881C08">
              <w:rPr>
                <w:spacing w:val="1"/>
              </w:rPr>
              <w:t>60</w:t>
            </w:r>
            <w:r w:rsidRPr="00EE0533">
              <w:rPr>
                <w:spacing w:val="1"/>
              </w:rPr>
              <w:t>0</w:t>
            </w:r>
            <w:r w:rsidRPr="00881C08">
              <w:rPr>
                <w:spacing w:val="1"/>
              </w:rPr>
              <w:t>-</w:t>
            </w:r>
            <w:r w:rsidRPr="00EE0533">
              <w:rPr>
                <w:spacing w:val="1"/>
              </w:rPr>
              <w:t>≤</w:t>
            </w:r>
            <w:r w:rsidRPr="00881C08">
              <w:rPr>
                <w:spacing w:val="1"/>
              </w:rPr>
              <w:t>24</w:t>
            </w:r>
            <w:r w:rsidRPr="00EE0533">
              <w:rPr>
                <w:spacing w:val="1"/>
              </w:rPr>
              <w:t>0</w:t>
            </w:r>
            <w:r w:rsidRPr="00881C08">
              <w:rPr>
                <w:spacing w:val="1"/>
              </w:rPr>
              <w:t>0 µg</w:t>
            </w:r>
          </w:p>
        </w:tc>
        <w:tc>
          <w:tcPr>
            <w:tcW w:w="3118" w:type="dxa"/>
          </w:tcPr>
          <w:p w:rsidR="008764ED" w:rsidRPr="00EE0533" w:rsidRDefault="008764ED" w:rsidP="00CC5843">
            <w:r w:rsidRPr="00EE0533">
              <w:rPr>
                <w:spacing w:val="1"/>
              </w:rPr>
              <w:t>2</w:t>
            </w:r>
            <w:r w:rsidRPr="00EE0533">
              <w:t>7 (</w:t>
            </w:r>
            <w:r w:rsidRPr="00EE0533">
              <w:rPr>
                <w:spacing w:val="1"/>
              </w:rPr>
              <w:t>8</w:t>
            </w:r>
            <w:r w:rsidRPr="00EE0533">
              <w:t>)</w:t>
            </w:r>
          </w:p>
        </w:tc>
      </w:tr>
      <w:tr w:rsidR="008764ED" w:rsidRPr="00EE0533" w:rsidTr="00EC464E">
        <w:tc>
          <w:tcPr>
            <w:tcW w:w="3936" w:type="dxa"/>
          </w:tcPr>
          <w:p w:rsidR="008764ED" w:rsidRPr="00881C08" w:rsidRDefault="008764ED" w:rsidP="00CC5843">
            <w:pPr>
              <w:rPr>
                <w:spacing w:val="1"/>
              </w:rPr>
            </w:pPr>
            <w:r w:rsidRPr="00881C08">
              <w:rPr>
                <w:spacing w:val="1"/>
              </w:rPr>
              <w:t>&gt;</w:t>
            </w:r>
            <w:r w:rsidRPr="00EE0533">
              <w:rPr>
                <w:spacing w:val="1"/>
              </w:rPr>
              <w:t>2</w:t>
            </w:r>
            <w:r w:rsidRPr="00881C08">
              <w:rPr>
                <w:spacing w:val="1"/>
              </w:rPr>
              <w:t>40</w:t>
            </w:r>
            <w:r w:rsidRPr="00EE0533">
              <w:rPr>
                <w:spacing w:val="1"/>
              </w:rPr>
              <w:t>0</w:t>
            </w:r>
            <w:r w:rsidRPr="00881C08">
              <w:rPr>
                <w:spacing w:val="1"/>
              </w:rPr>
              <w:t>-</w:t>
            </w:r>
            <w:r w:rsidRPr="00EE0533">
              <w:rPr>
                <w:spacing w:val="1"/>
              </w:rPr>
              <w:t>≤</w:t>
            </w:r>
            <w:r w:rsidRPr="00881C08">
              <w:rPr>
                <w:spacing w:val="1"/>
              </w:rPr>
              <w:t>32</w:t>
            </w:r>
            <w:r w:rsidRPr="00EE0533">
              <w:rPr>
                <w:spacing w:val="1"/>
              </w:rPr>
              <w:t>0</w:t>
            </w:r>
            <w:r w:rsidRPr="00881C08">
              <w:rPr>
                <w:spacing w:val="1"/>
              </w:rPr>
              <w:t>0 µg</w:t>
            </w:r>
          </w:p>
        </w:tc>
        <w:tc>
          <w:tcPr>
            <w:tcW w:w="3118" w:type="dxa"/>
          </w:tcPr>
          <w:p w:rsidR="008764ED" w:rsidRPr="00EE0533" w:rsidRDefault="008764ED" w:rsidP="00CC5843">
            <w:pPr>
              <w:rPr>
                <w:spacing w:val="1"/>
              </w:rPr>
            </w:pPr>
            <w:r w:rsidRPr="00EE0533">
              <w:rPr>
                <w:spacing w:val="1"/>
              </w:rPr>
              <w:t>4</w:t>
            </w:r>
            <w:r w:rsidRPr="00EE0533">
              <w:t xml:space="preserve">7 </w:t>
            </w:r>
            <w:r w:rsidRPr="00EE0533">
              <w:rPr>
                <w:spacing w:val="-1"/>
              </w:rPr>
              <w:t>(</w:t>
            </w:r>
            <w:r w:rsidRPr="00EE0533">
              <w:t>1</w:t>
            </w:r>
            <w:r w:rsidRPr="00EE0533">
              <w:rPr>
                <w:spacing w:val="1"/>
              </w:rPr>
              <w:t>3)</w:t>
            </w:r>
          </w:p>
        </w:tc>
      </w:tr>
      <w:tr w:rsidR="008764ED" w:rsidRPr="00EE0533" w:rsidTr="00EC464E">
        <w:tc>
          <w:tcPr>
            <w:tcW w:w="3936" w:type="dxa"/>
          </w:tcPr>
          <w:p w:rsidR="008764ED" w:rsidRPr="00881C08" w:rsidRDefault="008764ED" w:rsidP="00CC5843">
            <w:pPr>
              <w:rPr>
                <w:spacing w:val="1"/>
              </w:rPr>
            </w:pPr>
            <w:r w:rsidRPr="00EE0533">
              <w:rPr>
                <w:spacing w:val="1"/>
              </w:rPr>
              <w:t>&gt;3</w:t>
            </w:r>
            <w:r w:rsidRPr="00EE0533">
              <w:t>200</w:t>
            </w:r>
            <w:r w:rsidRPr="00EE0533">
              <w:rPr>
                <w:spacing w:val="1"/>
              </w:rPr>
              <w:t xml:space="preserve"> </w:t>
            </w:r>
            <w:r>
              <w:rPr>
                <w:spacing w:val="-2"/>
              </w:rPr>
              <w:t>µ</w:t>
            </w:r>
            <w:r w:rsidRPr="00EE0533">
              <w:t>g</w:t>
            </w:r>
          </w:p>
        </w:tc>
        <w:tc>
          <w:tcPr>
            <w:tcW w:w="3118" w:type="dxa"/>
          </w:tcPr>
          <w:p w:rsidR="008764ED" w:rsidRPr="00EE0533" w:rsidRDefault="008764ED" w:rsidP="00CC5843">
            <w:pPr>
              <w:rPr>
                <w:spacing w:val="1"/>
              </w:rPr>
            </w:pPr>
            <w:r w:rsidRPr="00EE0533">
              <w:rPr>
                <w:spacing w:val="1"/>
              </w:rPr>
              <w:t>2</w:t>
            </w:r>
            <w:r w:rsidRPr="00EE0533">
              <w:t xml:space="preserve">1 </w:t>
            </w:r>
            <w:r w:rsidRPr="00EE0533">
              <w:rPr>
                <w:spacing w:val="-1"/>
              </w:rPr>
              <w:t>(</w:t>
            </w:r>
            <w:r w:rsidRPr="00EE0533">
              <w:rPr>
                <w:spacing w:val="1"/>
              </w:rPr>
              <w:t>6</w:t>
            </w:r>
            <w:r w:rsidRPr="00EE0533">
              <w:t>)</w:t>
            </w:r>
          </w:p>
        </w:tc>
      </w:tr>
      <w:tr w:rsidR="008764ED" w:rsidRPr="00EE0533" w:rsidTr="00EC464E">
        <w:tc>
          <w:tcPr>
            <w:tcW w:w="3936" w:type="dxa"/>
          </w:tcPr>
          <w:p w:rsidR="008764ED" w:rsidRPr="00EE0533" w:rsidRDefault="008764ED" w:rsidP="00CC5843">
            <w:r w:rsidRPr="00EE0533">
              <w:t>Missing</w:t>
            </w:r>
          </w:p>
        </w:tc>
        <w:tc>
          <w:tcPr>
            <w:tcW w:w="3118" w:type="dxa"/>
          </w:tcPr>
          <w:p w:rsidR="008764ED" w:rsidRPr="00EE0533" w:rsidRDefault="008764ED" w:rsidP="00CC5843">
            <w:r w:rsidRPr="00EE0533">
              <w:t>3 (&lt;1)</w:t>
            </w:r>
          </w:p>
        </w:tc>
      </w:tr>
    </w:tbl>
    <w:p w:rsidR="008764ED" w:rsidRDefault="008764ED" w:rsidP="00EC464E">
      <w:pPr>
        <w:pStyle w:val="TableDescription"/>
      </w:pPr>
      <w:proofErr w:type="gramStart"/>
      <w:r w:rsidRPr="00881C08">
        <w:t>a</w:t>
      </w:r>
      <w:proofErr w:type="gramEnd"/>
      <w:r w:rsidRPr="00881C08">
        <w:t xml:space="preserve"> The average dose per BTP episode and the average daily dose were calculated for the titration and</w:t>
      </w:r>
      <w:r w:rsidR="00435510">
        <w:t xml:space="preserve"> </w:t>
      </w:r>
      <w:r w:rsidRPr="00881C08">
        <w:t>post</w:t>
      </w:r>
      <w:r>
        <w:t xml:space="preserve"> </w:t>
      </w:r>
      <w:r w:rsidRPr="00881C08">
        <w:t xml:space="preserve">titration periods </w:t>
      </w:r>
      <w:r w:rsidRPr="00EC464E">
        <w:t>combined</w:t>
      </w:r>
      <w:r w:rsidRPr="00881C08">
        <w:t>.</w:t>
      </w:r>
      <w:r w:rsidR="00435510">
        <w:t xml:space="preserve"> </w:t>
      </w:r>
      <w:r w:rsidRPr="00881C08">
        <w:t>BTP=breakthrough pain.</w:t>
      </w:r>
    </w:p>
    <w:p w:rsidR="008764ED" w:rsidRPr="00446C96" w:rsidRDefault="008764ED" w:rsidP="00EC464E">
      <w:pPr>
        <w:pStyle w:val="TableTitle"/>
      </w:pPr>
      <w:bookmarkStart w:id="112" w:name="_Toc383947286"/>
      <w:r>
        <w:t xml:space="preserve">Table </w:t>
      </w:r>
      <w:r w:rsidR="00435510">
        <w:t xml:space="preserve">9: </w:t>
      </w:r>
      <w:r w:rsidRPr="00446C96">
        <w:t xml:space="preserve">Average Study Drug Dose per Breakthrough Pain Episode by Weeks or Months of </w:t>
      </w:r>
      <w:r w:rsidRPr="00EC464E">
        <w:t>Exposure</w:t>
      </w:r>
      <w:r w:rsidRPr="00446C96">
        <w:t xml:space="preserve"> in Patients with Cancer and Breakthrough Pain (Studies 099-14, 3039, 099-15)</w:t>
      </w:r>
      <w:bookmarkEnd w:id="112"/>
    </w:p>
    <w:tbl>
      <w:tblPr>
        <w:tblStyle w:val="TableTGAblue"/>
        <w:tblW w:w="9039" w:type="dxa"/>
        <w:tblLayout w:type="fixed"/>
        <w:tblLook w:val="0000" w:firstRow="0" w:lastRow="0" w:firstColumn="0" w:lastColumn="0" w:noHBand="0" w:noVBand="0"/>
      </w:tblPr>
      <w:tblGrid>
        <w:gridCol w:w="1384"/>
        <w:gridCol w:w="992"/>
        <w:gridCol w:w="1134"/>
        <w:gridCol w:w="1134"/>
        <w:gridCol w:w="1134"/>
        <w:gridCol w:w="1134"/>
        <w:gridCol w:w="993"/>
        <w:gridCol w:w="1134"/>
      </w:tblGrid>
      <w:tr w:rsidR="00CC5843" w:rsidRPr="00CC5843" w:rsidTr="00EC464E">
        <w:trPr>
          <w:trHeight w:hRule="exact" w:val="510"/>
          <w:tblHeader/>
        </w:trPr>
        <w:tc>
          <w:tcPr>
            <w:tcW w:w="1384" w:type="dxa"/>
            <w:vMerge w:val="restart"/>
            <w:shd w:val="clear" w:color="auto" w:fill="006DA7"/>
          </w:tcPr>
          <w:p w:rsidR="008764ED" w:rsidRPr="00EC464E" w:rsidRDefault="008764ED" w:rsidP="00EC464E">
            <w:pPr>
              <w:ind w:left="0" w:right="0"/>
              <w:rPr>
                <w:b/>
                <w:color w:val="FFFFFF" w:themeColor="background1"/>
                <w:sz w:val="20"/>
                <w:szCs w:val="20"/>
              </w:rPr>
            </w:pPr>
            <w:r w:rsidRPr="00EC464E">
              <w:rPr>
                <w:b/>
                <w:color w:val="FFFFFF" w:themeColor="background1"/>
                <w:sz w:val="20"/>
                <w:szCs w:val="20"/>
              </w:rPr>
              <w:t>Length</w:t>
            </w:r>
            <w:r w:rsidRPr="00EC464E">
              <w:rPr>
                <w:b/>
                <w:color w:val="FFFFFF" w:themeColor="background1"/>
                <w:spacing w:val="-1"/>
                <w:sz w:val="20"/>
                <w:szCs w:val="20"/>
              </w:rPr>
              <w:t xml:space="preserve"> </w:t>
            </w:r>
            <w:r w:rsidRPr="00EC464E">
              <w:rPr>
                <w:b/>
                <w:color w:val="FFFFFF" w:themeColor="background1"/>
                <w:sz w:val="20"/>
                <w:szCs w:val="20"/>
              </w:rPr>
              <w:t>of exposure</w:t>
            </w:r>
          </w:p>
        </w:tc>
        <w:tc>
          <w:tcPr>
            <w:tcW w:w="7655" w:type="dxa"/>
            <w:gridSpan w:val="7"/>
            <w:shd w:val="clear" w:color="auto" w:fill="006DA7"/>
          </w:tcPr>
          <w:p w:rsidR="008764ED" w:rsidRPr="00EC464E" w:rsidRDefault="008764ED" w:rsidP="00EC464E">
            <w:pPr>
              <w:ind w:left="0" w:right="0"/>
              <w:rPr>
                <w:b/>
                <w:color w:val="FFFFFF" w:themeColor="background1"/>
                <w:sz w:val="20"/>
                <w:szCs w:val="20"/>
              </w:rPr>
            </w:pPr>
            <w:r w:rsidRPr="00EC464E">
              <w:rPr>
                <w:b/>
                <w:color w:val="FFFFFF" w:themeColor="background1"/>
                <w:sz w:val="20"/>
                <w:szCs w:val="20"/>
              </w:rPr>
              <w:t>Number</w:t>
            </w:r>
            <w:r w:rsidRPr="00EC464E">
              <w:rPr>
                <w:b/>
                <w:color w:val="FFFFFF" w:themeColor="background1"/>
                <w:spacing w:val="-1"/>
                <w:sz w:val="20"/>
                <w:szCs w:val="20"/>
              </w:rPr>
              <w:t xml:space="preserve"> </w:t>
            </w:r>
            <w:r w:rsidRPr="00EC464E">
              <w:rPr>
                <w:b/>
                <w:color w:val="FFFFFF" w:themeColor="background1"/>
                <w:sz w:val="20"/>
                <w:szCs w:val="20"/>
              </w:rPr>
              <w:t>(</w:t>
            </w:r>
            <w:r w:rsidRPr="00EC464E">
              <w:rPr>
                <w:b/>
                <w:color w:val="FFFFFF" w:themeColor="background1"/>
                <w:spacing w:val="-3"/>
                <w:sz w:val="20"/>
                <w:szCs w:val="20"/>
              </w:rPr>
              <w:t>%</w:t>
            </w:r>
            <w:r w:rsidRPr="00EC464E">
              <w:rPr>
                <w:b/>
                <w:color w:val="FFFFFF" w:themeColor="background1"/>
                <w:sz w:val="20"/>
                <w:szCs w:val="20"/>
              </w:rPr>
              <w:t>)</w:t>
            </w:r>
            <w:r w:rsidRPr="00EC464E">
              <w:rPr>
                <w:b/>
                <w:color w:val="FFFFFF" w:themeColor="background1"/>
                <w:spacing w:val="1"/>
                <w:sz w:val="20"/>
                <w:szCs w:val="20"/>
              </w:rPr>
              <w:t xml:space="preserve"> </w:t>
            </w:r>
            <w:r w:rsidRPr="00EC464E">
              <w:rPr>
                <w:b/>
                <w:color w:val="FFFFFF" w:themeColor="background1"/>
                <w:sz w:val="20"/>
                <w:szCs w:val="20"/>
              </w:rPr>
              <w:t>of patie</w:t>
            </w:r>
            <w:r w:rsidRPr="00EC464E">
              <w:rPr>
                <w:b/>
                <w:color w:val="FFFFFF" w:themeColor="background1"/>
                <w:spacing w:val="-1"/>
                <w:sz w:val="20"/>
                <w:szCs w:val="20"/>
              </w:rPr>
              <w:t>n</w:t>
            </w:r>
            <w:r w:rsidRPr="00EC464E">
              <w:rPr>
                <w:b/>
                <w:color w:val="FFFFFF" w:themeColor="background1"/>
                <w:sz w:val="20"/>
                <w:szCs w:val="20"/>
              </w:rPr>
              <w:t>ts by</w:t>
            </w:r>
            <w:r w:rsidRPr="00EC464E">
              <w:rPr>
                <w:b/>
                <w:color w:val="FFFFFF" w:themeColor="background1"/>
                <w:spacing w:val="-1"/>
                <w:sz w:val="20"/>
                <w:szCs w:val="20"/>
              </w:rPr>
              <w:t xml:space="preserve"> </w:t>
            </w:r>
            <w:r w:rsidRPr="00EC464E">
              <w:rPr>
                <w:b/>
                <w:color w:val="FFFFFF" w:themeColor="background1"/>
                <w:sz w:val="20"/>
                <w:szCs w:val="20"/>
              </w:rPr>
              <w:t>average</w:t>
            </w:r>
            <w:r w:rsidRPr="00EC464E">
              <w:rPr>
                <w:b/>
                <w:color w:val="FFFFFF" w:themeColor="background1"/>
                <w:spacing w:val="-1"/>
                <w:sz w:val="20"/>
                <w:szCs w:val="20"/>
              </w:rPr>
              <w:t xml:space="preserve"> </w:t>
            </w:r>
            <w:r w:rsidRPr="00EC464E">
              <w:rPr>
                <w:b/>
                <w:color w:val="FFFFFF" w:themeColor="background1"/>
                <w:sz w:val="20"/>
                <w:szCs w:val="20"/>
              </w:rPr>
              <w:t xml:space="preserve">dose per BTP </w:t>
            </w:r>
            <w:r w:rsidRPr="00EC464E">
              <w:rPr>
                <w:b/>
                <w:color w:val="FFFFFF" w:themeColor="background1"/>
                <w:spacing w:val="-1"/>
                <w:sz w:val="20"/>
                <w:szCs w:val="20"/>
              </w:rPr>
              <w:t>ep</w:t>
            </w:r>
            <w:r w:rsidRPr="00EC464E">
              <w:rPr>
                <w:b/>
                <w:color w:val="FFFFFF" w:themeColor="background1"/>
                <w:sz w:val="20"/>
                <w:szCs w:val="20"/>
              </w:rPr>
              <w:t>isode</w:t>
            </w:r>
            <w:r w:rsidRPr="00EC464E">
              <w:rPr>
                <w:b/>
                <w:color w:val="FFFFFF" w:themeColor="background1"/>
                <w:spacing w:val="-1"/>
                <w:sz w:val="20"/>
                <w:szCs w:val="20"/>
              </w:rPr>
              <w:t xml:space="preserve"> </w:t>
            </w:r>
            <w:r w:rsidRPr="00EC464E">
              <w:rPr>
                <w:b/>
                <w:color w:val="FFFFFF" w:themeColor="background1"/>
                <w:sz w:val="20"/>
                <w:szCs w:val="20"/>
              </w:rPr>
              <w:t>(m</w:t>
            </w:r>
            <w:r w:rsidRPr="00EC464E">
              <w:rPr>
                <w:b/>
                <w:color w:val="FFFFFF" w:themeColor="background1"/>
                <w:spacing w:val="-1"/>
                <w:sz w:val="20"/>
                <w:szCs w:val="20"/>
              </w:rPr>
              <w:t>c</w:t>
            </w:r>
            <w:r w:rsidRPr="00EC464E">
              <w:rPr>
                <w:b/>
                <w:color w:val="FFFFFF" w:themeColor="background1"/>
                <w:spacing w:val="1"/>
                <w:sz w:val="20"/>
                <w:szCs w:val="20"/>
              </w:rPr>
              <w:t>g</w:t>
            </w:r>
            <w:r w:rsidRPr="00EC464E">
              <w:rPr>
                <w:b/>
                <w:color w:val="FFFFFF" w:themeColor="background1"/>
                <w:sz w:val="20"/>
                <w:szCs w:val="20"/>
              </w:rPr>
              <w:t>)</w:t>
            </w:r>
          </w:p>
        </w:tc>
      </w:tr>
      <w:tr w:rsidR="00CC5843" w:rsidRPr="00CC5843" w:rsidTr="00EC464E">
        <w:trPr>
          <w:trHeight w:hRule="exact" w:val="1254"/>
          <w:tblHeader/>
        </w:trPr>
        <w:tc>
          <w:tcPr>
            <w:tcW w:w="1384" w:type="dxa"/>
            <w:vMerge/>
            <w:shd w:val="clear" w:color="auto" w:fill="006DA7"/>
          </w:tcPr>
          <w:p w:rsidR="008764ED" w:rsidRPr="00EC464E" w:rsidRDefault="008764ED" w:rsidP="00EC464E">
            <w:pPr>
              <w:ind w:left="0" w:right="0"/>
              <w:rPr>
                <w:b/>
                <w:color w:val="FFFFFF" w:themeColor="background1"/>
                <w:spacing w:val="1"/>
                <w:sz w:val="20"/>
                <w:szCs w:val="20"/>
              </w:rPr>
            </w:pPr>
          </w:p>
        </w:tc>
        <w:tc>
          <w:tcPr>
            <w:tcW w:w="992"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z w:val="20"/>
                <w:szCs w:val="20"/>
              </w:rPr>
              <w:t>&lt;</w:t>
            </w:r>
            <w:r w:rsidRPr="00EC464E">
              <w:rPr>
                <w:b/>
                <w:color w:val="FFFFFF" w:themeColor="background1"/>
                <w:spacing w:val="1"/>
                <w:sz w:val="20"/>
                <w:szCs w:val="20"/>
              </w:rPr>
              <w:t>2</w:t>
            </w:r>
            <w:r w:rsidRPr="00EC464E">
              <w:rPr>
                <w:b/>
                <w:color w:val="FFFFFF" w:themeColor="background1"/>
                <w:sz w:val="20"/>
                <w:szCs w:val="20"/>
              </w:rPr>
              <w:t>00</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4</w:t>
            </w:r>
            <w:r w:rsidRPr="00EC464E">
              <w:rPr>
                <w:b/>
                <w:color w:val="FFFFFF" w:themeColor="background1"/>
                <w:spacing w:val="1"/>
                <w:sz w:val="20"/>
                <w:szCs w:val="20"/>
              </w:rPr>
              <w:t>9)</w:t>
            </w:r>
          </w:p>
        </w:tc>
        <w:tc>
          <w:tcPr>
            <w:tcW w:w="1134"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pacing w:val="1"/>
                <w:sz w:val="20"/>
                <w:szCs w:val="20"/>
              </w:rPr>
              <w:t>≥</w:t>
            </w:r>
            <w:r w:rsidRPr="00EC464E">
              <w:rPr>
                <w:b/>
                <w:color w:val="FFFFFF" w:themeColor="background1"/>
                <w:sz w:val="20"/>
                <w:szCs w:val="20"/>
              </w:rPr>
              <w:t>20</w:t>
            </w:r>
            <w:r w:rsidRPr="00EC464E">
              <w:rPr>
                <w:b/>
                <w:color w:val="FFFFFF" w:themeColor="background1"/>
                <w:spacing w:val="1"/>
                <w:sz w:val="20"/>
                <w:szCs w:val="20"/>
              </w:rPr>
              <w:t>0-</w:t>
            </w:r>
            <w:r w:rsidRPr="00EC464E">
              <w:rPr>
                <w:b/>
                <w:color w:val="FFFFFF" w:themeColor="background1"/>
                <w:spacing w:val="-1"/>
                <w:sz w:val="20"/>
                <w:szCs w:val="20"/>
              </w:rPr>
              <w:t>&lt;</w:t>
            </w:r>
            <w:r w:rsidRPr="00EC464E">
              <w:rPr>
                <w:b/>
                <w:color w:val="FFFFFF" w:themeColor="background1"/>
                <w:spacing w:val="1"/>
                <w:sz w:val="20"/>
                <w:szCs w:val="20"/>
              </w:rPr>
              <w:t>4</w:t>
            </w:r>
            <w:r w:rsidRPr="00EC464E">
              <w:rPr>
                <w:b/>
                <w:color w:val="FFFFFF" w:themeColor="background1"/>
                <w:sz w:val="20"/>
                <w:szCs w:val="20"/>
              </w:rPr>
              <w:t>00</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9</w:t>
            </w:r>
            <w:r w:rsidRPr="00EC464E">
              <w:rPr>
                <w:b/>
                <w:color w:val="FFFFFF" w:themeColor="background1"/>
                <w:spacing w:val="1"/>
                <w:sz w:val="20"/>
                <w:szCs w:val="20"/>
              </w:rPr>
              <w:t>1)</w:t>
            </w:r>
          </w:p>
        </w:tc>
        <w:tc>
          <w:tcPr>
            <w:tcW w:w="1134"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pacing w:val="1"/>
                <w:sz w:val="20"/>
                <w:szCs w:val="20"/>
              </w:rPr>
              <w:t>≥</w:t>
            </w:r>
            <w:r w:rsidRPr="00EC464E">
              <w:rPr>
                <w:b/>
                <w:color w:val="FFFFFF" w:themeColor="background1"/>
                <w:sz w:val="20"/>
                <w:szCs w:val="20"/>
              </w:rPr>
              <w:t>40</w:t>
            </w:r>
            <w:r w:rsidRPr="00EC464E">
              <w:rPr>
                <w:b/>
                <w:color w:val="FFFFFF" w:themeColor="background1"/>
                <w:spacing w:val="1"/>
                <w:sz w:val="20"/>
                <w:szCs w:val="20"/>
              </w:rPr>
              <w:t>0-</w:t>
            </w:r>
            <w:r w:rsidRPr="00EC464E">
              <w:rPr>
                <w:b/>
                <w:color w:val="FFFFFF" w:themeColor="background1"/>
                <w:spacing w:val="-1"/>
                <w:sz w:val="20"/>
                <w:szCs w:val="20"/>
              </w:rPr>
              <w:t>&lt;</w:t>
            </w:r>
            <w:r w:rsidRPr="00EC464E">
              <w:rPr>
                <w:b/>
                <w:color w:val="FFFFFF" w:themeColor="background1"/>
                <w:spacing w:val="1"/>
                <w:sz w:val="20"/>
                <w:szCs w:val="20"/>
              </w:rPr>
              <w:t>6</w:t>
            </w:r>
            <w:r w:rsidRPr="00EC464E">
              <w:rPr>
                <w:b/>
                <w:color w:val="FFFFFF" w:themeColor="background1"/>
                <w:sz w:val="20"/>
                <w:szCs w:val="20"/>
              </w:rPr>
              <w:t>00</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1</w:t>
            </w:r>
            <w:r w:rsidRPr="00EC464E">
              <w:rPr>
                <w:b/>
                <w:color w:val="FFFFFF" w:themeColor="background1"/>
                <w:spacing w:val="1"/>
                <w:sz w:val="20"/>
                <w:szCs w:val="20"/>
              </w:rPr>
              <w:t>0</w:t>
            </w:r>
            <w:r w:rsidRPr="00EC464E">
              <w:rPr>
                <w:b/>
                <w:color w:val="FFFFFF" w:themeColor="background1"/>
                <w:sz w:val="20"/>
                <w:szCs w:val="20"/>
              </w:rPr>
              <w:t>0)</w:t>
            </w:r>
          </w:p>
        </w:tc>
        <w:tc>
          <w:tcPr>
            <w:tcW w:w="1134"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pacing w:val="1"/>
                <w:sz w:val="20"/>
                <w:szCs w:val="20"/>
              </w:rPr>
              <w:t>≥</w:t>
            </w:r>
            <w:r w:rsidRPr="00EC464E">
              <w:rPr>
                <w:b/>
                <w:color w:val="FFFFFF" w:themeColor="background1"/>
                <w:sz w:val="20"/>
                <w:szCs w:val="20"/>
              </w:rPr>
              <w:t>60</w:t>
            </w:r>
            <w:r w:rsidRPr="00EC464E">
              <w:rPr>
                <w:b/>
                <w:color w:val="FFFFFF" w:themeColor="background1"/>
                <w:spacing w:val="1"/>
                <w:sz w:val="20"/>
                <w:szCs w:val="20"/>
              </w:rPr>
              <w:t>0-</w:t>
            </w:r>
            <w:r w:rsidRPr="00EC464E">
              <w:rPr>
                <w:b/>
                <w:color w:val="FFFFFF" w:themeColor="background1"/>
                <w:spacing w:val="-1"/>
                <w:sz w:val="20"/>
                <w:szCs w:val="20"/>
              </w:rPr>
              <w:t>&lt;</w:t>
            </w:r>
            <w:r w:rsidRPr="00EC464E">
              <w:rPr>
                <w:b/>
                <w:color w:val="FFFFFF" w:themeColor="background1"/>
                <w:spacing w:val="1"/>
                <w:sz w:val="20"/>
                <w:szCs w:val="20"/>
              </w:rPr>
              <w:t>8</w:t>
            </w:r>
            <w:r w:rsidRPr="00EC464E">
              <w:rPr>
                <w:b/>
                <w:color w:val="FFFFFF" w:themeColor="background1"/>
                <w:sz w:val="20"/>
                <w:szCs w:val="20"/>
              </w:rPr>
              <w:t>00</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7</w:t>
            </w:r>
            <w:r w:rsidRPr="00EC464E">
              <w:rPr>
                <w:b/>
                <w:color w:val="FFFFFF" w:themeColor="background1"/>
                <w:spacing w:val="1"/>
                <w:sz w:val="20"/>
                <w:szCs w:val="20"/>
              </w:rPr>
              <w:t>9)</w:t>
            </w:r>
          </w:p>
        </w:tc>
        <w:tc>
          <w:tcPr>
            <w:tcW w:w="1134"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pacing w:val="1"/>
                <w:sz w:val="20"/>
                <w:szCs w:val="20"/>
              </w:rPr>
              <w:t>≥</w:t>
            </w:r>
            <w:r w:rsidRPr="00EC464E">
              <w:rPr>
                <w:b/>
                <w:color w:val="FFFFFF" w:themeColor="background1"/>
                <w:sz w:val="20"/>
                <w:szCs w:val="20"/>
              </w:rPr>
              <w:t>800</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1</w:t>
            </w:r>
            <w:r w:rsidRPr="00EC464E">
              <w:rPr>
                <w:b/>
                <w:color w:val="FFFFFF" w:themeColor="background1"/>
                <w:spacing w:val="1"/>
                <w:sz w:val="20"/>
                <w:szCs w:val="20"/>
              </w:rPr>
              <w:t>8)</w:t>
            </w:r>
          </w:p>
        </w:tc>
        <w:tc>
          <w:tcPr>
            <w:tcW w:w="993" w:type="dxa"/>
            <w:shd w:val="clear" w:color="auto" w:fill="006DA7"/>
          </w:tcPr>
          <w:p w:rsidR="008764ED" w:rsidRPr="00EC464E" w:rsidRDefault="008764ED" w:rsidP="00EC464E">
            <w:pPr>
              <w:ind w:left="0" w:right="0"/>
              <w:rPr>
                <w:b/>
                <w:color w:val="FFFFFF" w:themeColor="background1"/>
                <w:spacing w:val="1"/>
                <w:sz w:val="20"/>
                <w:szCs w:val="20"/>
              </w:rPr>
            </w:pPr>
            <w:proofErr w:type="spellStart"/>
            <w:r w:rsidRPr="00EC464E">
              <w:rPr>
                <w:b/>
                <w:color w:val="FFFFFF" w:themeColor="background1"/>
                <w:sz w:val="20"/>
                <w:szCs w:val="20"/>
              </w:rPr>
              <w:t>Missin</w:t>
            </w:r>
            <w:r w:rsidRPr="00EC464E">
              <w:rPr>
                <w:b/>
                <w:color w:val="FFFFFF" w:themeColor="background1"/>
                <w:spacing w:val="1"/>
                <w:sz w:val="20"/>
                <w:szCs w:val="20"/>
              </w:rPr>
              <w:t>g</w:t>
            </w:r>
            <w:r w:rsidRPr="00EC464E">
              <w:rPr>
                <w:b/>
                <w:color w:val="FFFFFF" w:themeColor="background1"/>
                <w:spacing w:val="1"/>
                <w:sz w:val="20"/>
                <w:szCs w:val="20"/>
                <w:vertAlign w:val="superscript"/>
              </w:rPr>
              <w:t>a</w:t>
            </w:r>
            <w:proofErr w:type="spellEnd"/>
            <w:r w:rsidR="00CC5843" w:rsidRPr="00EC464E">
              <w:rPr>
                <w:b/>
                <w:color w:val="FFFFFF" w:themeColor="background1"/>
                <w:spacing w:val="1"/>
                <w:sz w:val="20"/>
                <w:szCs w:val="20"/>
                <w:vertAlign w:val="superscript"/>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2</w:t>
            </w:r>
            <w:r w:rsidRPr="00EC464E">
              <w:rPr>
                <w:b/>
                <w:color w:val="FFFFFF" w:themeColor="background1"/>
                <w:spacing w:val="1"/>
                <w:sz w:val="20"/>
                <w:szCs w:val="20"/>
              </w:rPr>
              <w:t>1)</w:t>
            </w:r>
          </w:p>
        </w:tc>
        <w:tc>
          <w:tcPr>
            <w:tcW w:w="1134" w:type="dxa"/>
            <w:shd w:val="clear" w:color="auto" w:fill="006DA7"/>
          </w:tcPr>
          <w:p w:rsidR="008764ED" w:rsidRPr="00EC464E" w:rsidRDefault="008764ED" w:rsidP="00EC464E">
            <w:pPr>
              <w:ind w:left="0" w:right="0"/>
              <w:rPr>
                <w:b/>
                <w:color w:val="FFFFFF" w:themeColor="background1"/>
                <w:spacing w:val="1"/>
                <w:sz w:val="20"/>
                <w:szCs w:val="20"/>
              </w:rPr>
            </w:pPr>
            <w:r w:rsidRPr="00EC464E">
              <w:rPr>
                <w:b/>
                <w:color w:val="FFFFFF" w:themeColor="background1"/>
                <w:sz w:val="20"/>
                <w:szCs w:val="20"/>
              </w:rPr>
              <w:t>Total</w:t>
            </w:r>
            <w:r w:rsidR="00CC5843" w:rsidRPr="00EC464E">
              <w:rPr>
                <w:b/>
                <w:color w:val="FFFFFF" w:themeColor="background1"/>
                <w:sz w:val="20"/>
                <w:szCs w:val="20"/>
              </w:rPr>
              <w:t xml:space="preserve"> </w:t>
            </w:r>
            <w:r w:rsidRPr="00EC464E">
              <w:rPr>
                <w:b/>
                <w:color w:val="FFFFFF" w:themeColor="background1"/>
                <w:spacing w:val="1"/>
                <w:sz w:val="20"/>
                <w:szCs w:val="20"/>
              </w:rPr>
              <w:t>(N</w:t>
            </w:r>
            <w:r w:rsidRPr="00EC464E">
              <w:rPr>
                <w:b/>
                <w:color w:val="FFFFFF" w:themeColor="background1"/>
                <w:spacing w:val="-1"/>
                <w:sz w:val="20"/>
                <w:szCs w:val="20"/>
              </w:rPr>
              <w:t>=</w:t>
            </w:r>
            <w:r w:rsidRPr="00EC464E">
              <w:rPr>
                <w:b/>
                <w:color w:val="FFFFFF" w:themeColor="background1"/>
                <w:sz w:val="20"/>
                <w:szCs w:val="20"/>
              </w:rPr>
              <w:t>3</w:t>
            </w:r>
            <w:r w:rsidRPr="00EC464E">
              <w:rPr>
                <w:b/>
                <w:color w:val="FFFFFF" w:themeColor="background1"/>
                <w:spacing w:val="1"/>
                <w:sz w:val="20"/>
                <w:szCs w:val="20"/>
              </w:rPr>
              <w:t>5</w:t>
            </w:r>
            <w:r w:rsidRPr="00EC464E">
              <w:rPr>
                <w:b/>
                <w:color w:val="FFFFFF" w:themeColor="background1"/>
                <w:sz w:val="20"/>
                <w:szCs w:val="20"/>
              </w:rPr>
              <w:t>8)</w:t>
            </w:r>
          </w:p>
        </w:tc>
      </w:tr>
      <w:tr w:rsidR="008764ED" w:rsidRPr="00CC5843" w:rsidTr="00EC464E">
        <w:trPr>
          <w:trHeight w:val="227"/>
        </w:trPr>
        <w:tc>
          <w:tcPr>
            <w:tcW w:w="1384" w:type="dxa"/>
          </w:tcPr>
          <w:p w:rsidR="008764ED" w:rsidRPr="00CC5843" w:rsidRDefault="008764ED" w:rsidP="00EC464E">
            <w:pPr>
              <w:ind w:left="0" w:right="0"/>
              <w:rPr>
                <w:sz w:val="20"/>
                <w:szCs w:val="20"/>
              </w:rPr>
            </w:pPr>
            <w:r w:rsidRPr="00CC5843">
              <w:rPr>
                <w:spacing w:val="1"/>
                <w:sz w:val="20"/>
                <w:szCs w:val="20"/>
              </w:rPr>
              <w:t>≥</w:t>
            </w:r>
            <w:r w:rsidRPr="00CC5843">
              <w:rPr>
                <w:sz w:val="20"/>
                <w:szCs w:val="20"/>
              </w:rPr>
              <w:t>1</w:t>
            </w:r>
            <w:r w:rsidRPr="00CC5843">
              <w:rPr>
                <w:spacing w:val="-1"/>
                <w:sz w:val="20"/>
                <w:szCs w:val="20"/>
              </w:rPr>
              <w:t xml:space="preserve"> </w:t>
            </w:r>
            <w:r w:rsidRPr="00CC5843">
              <w:rPr>
                <w:spacing w:val="1"/>
                <w:sz w:val="20"/>
                <w:szCs w:val="20"/>
              </w:rPr>
              <w:t>day</w:t>
            </w:r>
          </w:p>
        </w:tc>
        <w:tc>
          <w:tcPr>
            <w:tcW w:w="992" w:type="dxa"/>
          </w:tcPr>
          <w:p w:rsidR="008764ED" w:rsidRPr="00CC5843" w:rsidRDefault="008764ED" w:rsidP="00EC464E">
            <w:pPr>
              <w:ind w:left="0" w:right="0"/>
              <w:rPr>
                <w:sz w:val="20"/>
                <w:szCs w:val="20"/>
              </w:rPr>
            </w:pPr>
            <w:r w:rsidRPr="00CC5843">
              <w:rPr>
                <w:spacing w:val="1"/>
                <w:sz w:val="20"/>
                <w:szCs w:val="20"/>
              </w:rPr>
              <w:t>4</w:t>
            </w:r>
            <w:r w:rsidRPr="00CC5843">
              <w:rPr>
                <w:sz w:val="20"/>
                <w:szCs w:val="20"/>
              </w:rPr>
              <w:t xml:space="preserve">9 </w:t>
            </w:r>
            <w:r w:rsidRPr="00CC5843">
              <w:rPr>
                <w:spacing w:val="-1"/>
                <w:sz w:val="20"/>
                <w:szCs w:val="20"/>
              </w:rPr>
              <w:t>(</w:t>
            </w:r>
            <w:r w:rsidRPr="00CC5843">
              <w:rPr>
                <w:sz w:val="20"/>
                <w:szCs w:val="20"/>
              </w:rPr>
              <w:t>1</w:t>
            </w:r>
            <w:r w:rsidRPr="00CC5843">
              <w:rPr>
                <w:spacing w:val="1"/>
                <w:sz w:val="20"/>
                <w:szCs w:val="20"/>
              </w:rPr>
              <w:t>0</w:t>
            </w:r>
            <w:r w:rsidRPr="00CC5843">
              <w:rPr>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9</w:t>
            </w:r>
            <w:r w:rsidRPr="00CC5843">
              <w:rPr>
                <w:sz w:val="20"/>
                <w:szCs w:val="20"/>
              </w:rPr>
              <w:t xml:space="preserve">1 </w:t>
            </w:r>
            <w:r w:rsidRPr="00CC5843">
              <w:rPr>
                <w:spacing w:val="-1"/>
                <w:sz w:val="20"/>
                <w:szCs w:val="20"/>
              </w:rPr>
              <w:t>(</w:t>
            </w:r>
            <w:r w:rsidRPr="00CC5843">
              <w:rPr>
                <w:sz w:val="20"/>
                <w:szCs w:val="20"/>
              </w:rPr>
              <w:t>1</w:t>
            </w:r>
            <w:r w:rsidRPr="00CC5843">
              <w:rPr>
                <w:spacing w:val="1"/>
                <w:sz w:val="20"/>
                <w:szCs w:val="20"/>
              </w:rPr>
              <w:t>0</w:t>
            </w:r>
            <w:r w:rsidRPr="00CC5843">
              <w:rPr>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00 </w:t>
            </w:r>
            <w:r w:rsidRPr="00CC5843">
              <w:rPr>
                <w:spacing w:val="-1"/>
                <w:sz w:val="20"/>
                <w:szCs w:val="20"/>
              </w:rPr>
              <w:t>(</w:t>
            </w:r>
            <w:r w:rsidRPr="00CC5843">
              <w:rPr>
                <w:spacing w:val="1"/>
                <w:sz w:val="20"/>
                <w:szCs w:val="20"/>
              </w:rPr>
              <w:t>1</w:t>
            </w:r>
            <w:r w:rsidRPr="00CC5843">
              <w:rPr>
                <w:sz w:val="20"/>
                <w:szCs w:val="20"/>
              </w:rPr>
              <w:t>0</w:t>
            </w:r>
            <w:r w:rsidRPr="00CC5843">
              <w:rPr>
                <w:spacing w:val="1"/>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7</w:t>
            </w:r>
            <w:r w:rsidRPr="00CC5843">
              <w:rPr>
                <w:sz w:val="20"/>
                <w:szCs w:val="20"/>
              </w:rPr>
              <w:t xml:space="preserve">9 </w:t>
            </w:r>
            <w:r w:rsidRPr="00CC5843">
              <w:rPr>
                <w:spacing w:val="-1"/>
                <w:sz w:val="20"/>
                <w:szCs w:val="20"/>
              </w:rPr>
              <w:t>(</w:t>
            </w:r>
            <w:r w:rsidRPr="00CC5843">
              <w:rPr>
                <w:sz w:val="20"/>
                <w:szCs w:val="20"/>
              </w:rPr>
              <w:t>1</w:t>
            </w:r>
            <w:r w:rsidRPr="00CC5843">
              <w:rPr>
                <w:spacing w:val="1"/>
                <w:sz w:val="20"/>
                <w:szCs w:val="20"/>
              </w:rPr>
              <w:t>0</w:t>
            </w:r>
            <w:r w:rsidRPr="00CC5843">
              <w:rPr>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8 </w:t>
            </w:r>
            <w:r w:rsidRPr="00CC5843">
              <w:rPr>
                <w:spacing w:val="-1"/>
                <w:sz w:val="20"/>
                <w:szCs w:val="20"/>
              </w:rPr>
              <w:t>(</w:t>
            </w:r>
            <w:r w:rsidRPr="00CC5843">
              <w:rPr>
                <w:sz w:val="20"/>
                <w:szCs w:val="20"/>
              </w:rPr>
              <w:t>1</w:t>
            </w:r>
            <w:r w:rsidRPr="00CC5843">
              <w:rPr>
                <w:spacing w:val="1"/>
                <w:sz w:val="20"/>
                <w:szCs w:val="20"/>
              </w:rPr>
              <w:t>0</w:t>
            </w:r>
            <w:r w:rsidRPr="00CC5843">
              <w:rPr>
                <w:sz w:val="20"/>
                <w:szCs w:val="20"/>
              </w:rPr>
              <w:t>0)</w:t>
            </w:r>
          </w:p>
        </w:tc>
        <w:tc>
          <w:tcPr>
            <w:tcW w:w="993" w:type="dxa"/>
          </w:tcPr>
          <w:p w:rsidR="008764ED" w:rsidRPr="00CC5843" w:rsidRDefault="008764ED" w:rsidP="00EC464E">
            <w:pPr>
              <w:ind w:left="0" w:right="0"/>
              <w:rPr>
                <w:sz w:val="20"/>
                <w:szCs w:val="20"/>
              </w:rPr>
            </w:pPr>
            <w:r w:rsidRPr="00CC5843">
              <w:rPr>
                <w:spacing w:val="1"/>
                <w:sz w:val="20"/>
                <w:szCs w:val="20"/>
              </w:rPr>
              <w:t>2</w:t>
            </w:r>
            <w:r w:rsidRPr="00CC5843">
              <w:rPr>
                <w:sz w:val="20"/>
                <w:szCs w:val="20"/>
              </w:rPr>
              <w:t xml:space="preserve">1 </w:t>
            </w:r>
            <w:r w:rsidRPr="00CC5843">
              <w:rPr>
                <w:spacing w:val="-1"/>
                <w:sz w:val="20"/>
                <w:szCs w:val="20"/>
              </w:rPr>
              <w:t>(</w:t>
            </w:r>
            <w:r w:rsidRPr="00CC5843">
              <w:rPr>
                <w:sz w:val="20"/>
                <w:szCs w:val="20"/>
              </w:rPr>
              <w:t>1</w:t>
            </w:r>
            <w:r w:rsidRPr="00CC5843">
              <w:rPr>
                <w:spacing w:val="1"/>
                <w:sz w:val="20"/>
                <w:szCs w:val="20"/>
              </w:rPr>
              <w:t>0</w:t>
            </w:r>
            <w:r w:rsidRPr="00CC5843">
              <w:rPr>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3</w:t>
            </w:r>
            <w:r w:rsidRPr="00CC5843">
              <w:rPr>
                <w:sz w:val="20"/>
                <w:szCs w:val="20"/>
              </w:rPr>
              <w:t xml:space="preserve">58 </w:t>
            </w:r>
            <w:r w:rsidRPr="00CC5843">
              <w:rPr>
                <w:spacing w:val="-1"/>
                <w:sz w:val="20"/>
                <w:szCs w:val="20"/>
              </w:rPr>
              <w:t>(</w:t>
            </w:r>
            <w:r w:rsidRPr="00CC5843">
              <w:rPr>
                <w:spacing w:val="1"/>
                <w:sz w:val="20"/>
                <w:szCs w:val="20"/>
              </w:rPr>
              <w:t>1</w:t>
            </w:r>
            <w:r w:rsidRPr="00CC5843">
              <w:rPr>
                <w:sz w:val="20"/>
                <w:szCs w:val="20"/>
              </w:rPr>
              <w:t>0</w:t>
            </w:r>
            <w:r w:rsidRPr="00CC5843">
              <w:rPr>
                <w:spacing w:val="1"/>
                <w:sz w:val="20"/>
                <w:szCs w:val="20"/>
              </w:rPr>
              <w:t>0)</w:t>
            </w:r>
          </w:p>
        </w:tc>
      </w:tr>
      <w:tr w:rsidR="008764ED" w:rsidRPr="00CC5843" w:rsidTr="00EC464E">
        <w:trPr>
          <w:trHeight w:val="227"/>
        </w:trPr>
        <w:tc>
          <w:tcPr>
            <w:tcW w:w="1384" w:type="dxa"/>
          </w:tcPr>
          <w:p w:rsidR="008764ED" w:rsidRPr="00CC5843" w:rsidRDefault="008764ED" w:rsidP="00EC464E">
            <w:pPr>
              <w:ind w:left="0" w:right="0"/>
              <w:rPr>
                <w:sz w:val="20"/>
                <w:szCs w:val="20"/>
              </w:rPr>
            </w:pPr>
            <w:r w:rsidRPr="00CC5843">
              <w:rPr>
                <w:spacing w:val="1"/>
                <w:sz w:val="20"/>
                <w:szCs w:val="20"/>
              </w:rPr>
              <w:t>≥</w:t>
            </w:r>
            <w:r w:rsidRPr="00CC5843">
              <w:rPr>
                <w:sz w:val="20"/>
                <w:szCs w:val="20"/>
              </w:rPr>
              <w:t>1</w:t>
            </w:r>
            <w:r w:rsidRPr="00CC5843">
              <w:rPr>
                <w:spacing w:val="-1"/>
                <w:sz w:val="20"/>
                <w:szCs w:val="20"/>
              </w:rPr>
              <w:t xml:space="preserve"> </w:t>
            </w:r>
            <w:r w:rsidRPr="00CC5843">
              <w:rPr>
                <w:spacing w:val="1"/>
                <w:sz w:val="20"/>
                <w:szCs w:val="20"/>
              </w:rPr>
              <w:t>we</w:t>
            </w:r>
            <w:r w:rsidRPr="00CC5843">
              <w:rPr>
                <w:spacing w:val="-1"/>
                <w:sz w:val="20"/>
                <w:szCs w:val="20"/>
              </w:rPr>
              <w:t>e</w:t>
            </w:r>
            <w:r w:rsidRPr="00CC5843">
              <w:rPr>
                <w:sz w:val="20"/>
                <w:szCs w:val="20"/>
              </w:rPr>
              <w:t>k</w:t>
            </w:r>
          </w:p>
        </w:tc>
        <w:tc>
          <w:tcPr>
            <w:tcW w:w="992" w:type="dxa"/>
          </w:tcPr>
          <w:p w:rsidR="008764ED" w:rsidRPr="00CC5843" w:rsidRDefault="008764ED" w:rsidP="00EC464E">
            <w:pPr>
              <w:ind w:left="0" w:right="0"/>
              <w:rPr>
                <w:sz w:val="20"/>
                <w:szCs w:val="20"/>
              </w:rPr>
            </w:pPr>
            <w:r w:rsidRPr="00CC5843">
              <w:rPr>
                <w:spacing w:val="1"/>
                <w:sz w:val="20"/>
                <w:szCs w:val="20"/>
              </w:rPr>
              <w:t>2</w:t>
            </w:r>
            <w:r w:rsidRPr="00CC5843">
              <w:rPr>
                <w:sz w:val="20"/>
                <w:szCs w:val="20"/>
              </w:rPr>
              <w:t xml:space="preserve">7 </w:t>
            </w:r>
            <w:r w:rsidRPr="00CC5843">
              <w:rPr>
                <w:spacing w:val="-1"/>
                <w:sz w:val="20"/>
                <w:szCs w:val="20"/>
              </w:rPr>
              <w:t>(5</w:t>
            </w:r>
            <w:r w:rsidRPr="00CC5843">
              <w:rPr>
                <w:spacing w:val="1"/>
                <w:sz w:val="20"/>
                <w:szCs w:val="20"/>
              </w:rPr>
              <w:t>5)</w:t>
            </w:r>
          </w:p>
        </w:tc>
        <w:tc>
          <w:tcPr>
            <w:tcW w:w="1134" w:type="dxa"/>
          </w:tcPr>
          <w:p w:rsidR="008764ED" w:rsidRPr="00CC5843" w:rsidRDefault="008764ED" w:rsidP="00EC464E">
            <w:pPr>
              <w:ind w:left="0" w:right="0"/>
              <w:rPr>
                <w:sz w:val="20"/>
                <w:szCs w:val="20"/>
              </w:rPr>
            </w:pPr>
            <w:r w:rsidRPr="00CC5843">
              <w:rPr>
                <w:spacing w:val="1"/>
                <w:sz w:val="20"/>
                <w:szCs w:val="20"/>
              </w:rPr>
              <w:t>6</w:t>
            </w:r>
            <w:r w:rsidRPr="00CC5843">
              <w:rPr>
                <w:sz w:val="20"/>
                <w:szCs w:val="20"/>
              </w:rPr>
              <w:t xml:space="preserve">9 </w:t>
            </w:r>
            <w:r w:rsidRPr="00CC5843">
              <w:rPr>
                <w:spacing w:val="-1"/>
                <w:sz w:val="20"/>
                <w:szCs w:val="20"/>
              </w:rPr>
              <w:t>(7</w:t>
            </w:r>
            <w:r w:rsidRPr="00CC5843">
              <w:rPr>
                <w:spacing w:val="1"/>
                <w:sz w:val="20"/>
                <w:szCs w:val="20"/>
              </w:rPr>
              <w:t>6)</w:t>
            </w:r>
          </w:p>
        </w:tc>
        <w:tc>
          <w:tcPr>
            <w:tcW w:w="1134" w:type="dxa"/>
          </w:tcPr>
          <w:p w:rsidR="008764ED" w:rsidRPr="00CC5843" w:rsidRDefault="008764ED" w:rsidP="00EC464E">
            <w:pPr>
              <w:ind w:left="0" w:right="0"/>
              <w:rPr>
                <w:sz w:val="20"/>
                <w:szCs w:val="20"/>
              </w:rPr>
            </w:pPr>
            <w:r w:rsidRPr="00CC5843">
              <w:rPr>
                <w:spacing w:val="1"/>
                <w:sz w:val="20"/>
                <w:szCs w:val="20"/>
              </w:rPr>
              <w:t>7</w:t>
            </w:r>
            <w:r w:rsidRPr="00CC5843">
              <w:rPr>
                <w:sz w:val="20"/>
                <w:szCs w:val="20"/>
              </w:rPr>
              <w:t xml:space="preserve">5 </w:t>
            </w:r>
            <w:r w:rsidRPr="00CC5843">
              <w:rPr>
                <w:spacing w:val="-1"/>
                <w:sz w:val="20"/>
                <w:szCs w:val="20"/>
              </w:rPr>
              <w:t>(7</w:t>
            </w:r>
            <w:r w:rsidRPr="00CC5843">
              <w:rPr>
                <w:spacing w:val="1"/>
                <w:sz w:val="20"/>
                <w:szCs w:val="20"/>
              </w:rPr>
              <w:t>5)</w:t>
            </w:r>
          </w:p>
        </w:tc>
        <w:tc>
          <w:tcPr>
            <w:tcW w:w="1134" w:type="dxa"/>
          </w:tcPr>
          <w:p w:rsidR="008764ED" w:rsidRPr="00CC5843" w:rsidRDefault="008764ED" w:rsidP="00EC464E">
            <w:pPr>
              <w:ind w:left="0" w:right="0"/>
              <w:rPr>
                <w:sz w:val="20"/>
                <w:szCs w:val="20"/>
              </w:rPr>
            </w:pPr>
            <w:r w:rsidRPr="00CC5843">
              <w:rPr>
                <w:spacing w:val="1"/>
                <w:sz w:val="20"/>
                <w:szCs w:val="20"/>
              </w:rPr>
              <w:t>7</w:t>
            </w:r>
            <w:r w:rsidRPr="00CC5843">
              <w:rPr>
                <w:sz w:val="20"/>
                <w:szCs w:val="20"/>
              </w:rPr>
              <w:t xml:space="preserve">9 </w:t>
            </w:r>
            <w:r w:rsidRPr="00CC5843">
              <w:rPr>
                <w:spacing w:val="-1"/>
                <w:sz w:val="20"/>
                <w:szCs w:val="20"/>
              </w:rPr>
              <w:t>(1</w:t>
            </w:r>
            <w:r w:rsidRPr="00CC5843">
              <w:rPr>
                <w:spacing w:val="1"/>
                <w:sz w:val="20"/>
                <w:szCs w:val="20"/>
              </w:rPr>
              <w:t>0</w:t>
            </w:r>
            <w:r w:rsidRPr="00CC5843">
              <w:rPr>
                <w:spacing w:val="-1"/>
                <w:sz w:val="20"/>
                <w:szCs w:val="20"/>
              </w:rPr>
              <w:t>0</w:t>
            </w:r>
            <w:r w:rsidRPr="00CC5843">
              <w:rPr>
                <w:sz w:val="20"/>
                <w:szCs w:val="20"/>
              </w:rPr>
              <w:t>)</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7 </w:t>
            </w:r>
            <w:r w:rsidRPr="00CC5843">
              <w:rPr>
                <w:spacing w:val="-1"/>
                <w:sz w:val="20"/>
                <w:szCs w:val="20"/>
              </w:rPr>
              <w:t>(9</w:t>
            </w:r>
            <w:r w:rsidRPr="00CC5843">
              <w:rPr>
                <w:spacing w:val="1"/>
                <w:sz w:val="20"/>
                <w:szCs w:val="20"/>
              </w:rPr>
              <w:t>4)</w:t>
            </w:r>
          </w:p>
        </w:tc>
        <w:tc>
          <w:tcPr>
            <w:tcW w:w="993" w:type="dxa"/>
          </w:tcPr>
          <w:p w:rsidR="008764ED" w:rsidRPr="00CC5843" w:rsidRDefault="008764ED" w:rsidP="00EC464E">
            <w:pPr>
              <w:ind w:left="0" w:right="0"/>
              <w:rPr>
                <w:sz w:val="20"/>
                <w:szCs w:val="20"/>
              </w:rPr>
            </w:pPr>
            <w:r w:rsidRPr="00CC5843">
              <w:rPr>
                <w:sz w:val="20"/>
                <w:szCs w:val="20"/>
              </w:rPr>
              <w:t xml:space="preserve">4 </w:t>
            </w:r>
            <w:r w:rsidRPr="00CC5843">
              <w:rPr>
                <w:spacing w:val="1"/>
                <w:sz w:val="20"/>
                <w:szCs w:val="20"/>
              </w:rPr>
              <w:t>(</w:t>
            </w:r>
            <w:r w:rsidRPr="00CC5843">
              <w:rPr>
                <w:spacing w:val="-1"/>
                <w:sz w:val="20"/>
                <w:szCs w:val="20"/>
              </w:rPr>
              <w:t>1</w:t>
            </w:r>
            <w:r w:rsidRPr="00CC5843">
              <w:rPr>
                <w:spacing w:val="1"/>
                <w:sz w:val="20"/>
                <w:szCs w:val="20"/>
              </w:rPr>
              <w:t>9)</w:t>
            </w:r>
          </w:p>
        </w:tc>
        <w:tc>
          <w:tcPr>
            <w:tcW w:w="1134" w:type="dxa"/>
          </w:tcPr>
          <w:p w:rsidR="008764ED" w:rsidRPr="00CC5843" w:rsidRDefault="008764ED" w:rsidP="00EC464E">
            <w:pPr>
              <w:ind w:left="0" w:right="0"/>
              <w:rPr>
                <w:sz w:val="20"/>
                <w:szCs w:val="20"/>
              </w:rPr>
            </w:pPr>
            <w:r w:rsidRPr="00CC5843">
              <w:rPr>
                <w:spacing w:val="1"/>
                <w:sz w:val="20"/>
                <w:szCs w:val="20"/>
              </w:rPr>
              <w:t>2</w:t>
            </w:r>
            <w:r w:rsidRPr="00CC5843">
              <w:rPr>
                <w:spacing w:val="-1"/>
                <w:sz w:val="20"/>
                <w:szCs w:val="20"/>
              </w:rPr>
              <w:t>7</w:t>
            </w:r>
            <w:r w:rsidRPr="00CC5843">
              <w:rPr>
                <w:sz w:val="20"/>
                <w:szCs w:val="20"/>
              </w:rPr>
              <w:t xml:space="preserve">1 </w:t>
            </w:r>
            <w:r w:rsidRPr="00CC5843">
              <w:rPr>
                <w:spacing w:val="-1"/>
                <w:sz w:val="20"/>
                <w:szCs w:val="20"/>
              </w:rPr>
              <w:t>(</w:t>
            </w:r>
            <w:r w:rsidRPr="00CC5843">
              <w:rPr>
                <w:spacing w:val="1"/>
                <w:sz w:val="20"/>
                <w:szCs w:val="20"/>
              </w:rPr>
              <w:t>7</w:t>
            </w:r>
            <w:r w:rsidRPr="00CC5843">
              <w:rPr>
                <w:spacing w:val="-1"/>
                <w:sz w:val="20"/>
                <w:szCs w:val="20"/>
              </w:rPr>
              <w:t>6</w:t>
            </w:r>
            <w:r w:rsidRPr="00CC5843">
              <w:rPr>
                <w:sz w:val="20"/>
                <w:szCs w:val="20"/>
              </w:rPr>
              <w:t>)</w:t>
            </w:r>
          </w:p>
        </w:tc>
      </w:tr>
      <w:tr w:rsidR="008764ED" w:rsidRPr="00CC5843" w:rsidTr="00EC464E">
        <w:trPr>
          <w:trHeight w:val="227"/>
        </w:trPr>
        <w:tc>
          <w:tcPr>
            <w:tcW w:w="1384" w:type="dxa"/>
          </w:tcPr>
          <w:p w:rsidR="008764ED" w:rsidRPr="00CC5843" w:rsidRDefault="008764ED" w:rsidP="00EC464E">
            <w:pPr>
              <w:ind w:left="0" w:right="0"/>
              <w:rPr>
                <w:sz w:val="20"/>
                <w:szCs w:val="20"/>
              </w:rPr>
            </w:pPr>
            <w:r w:rsidRPr="00CC5843">
              <w:rPr>
                <w:spacing w:val="1"/>
                <w:sz w:val="20"/>
                <w:szCs w:val="20"/>
              </w:rPr>
              <w:t>≥</w:t>
            </w:r>
            <w:r w:rsidRPr="00CC5843">
              <w:rPr>
                <w:sz w:val="20"/>
                <w:szCs w:val="20"/>
              </w:rPr>
              <w:t>2</w:t>
            </w:r>
            <w:r w:rsidRPr="00CC5843">
              <w:rPr>
                <w:spacing w:val="-1"/>
                <w:sz w:val="20"/>
                <w:szCs w:val="20"/>
              </w:rPr>
              <w:t xml:space="preserve"> </w:t>
            </w:r>
            <w:r w:rsidRPr="00CC5843">
              <w:rPr>
                <w:spacing w:val="1"/>
                <w:sz w:val="20"/>
                <w:szCs w:val="20"/>
              </w:rPr>
              <w:t>we</w:t>
            </w:r>
            <w:r w:rsidRPr="00CC5843">
              <w:rPr>
                <w:spacing w:val="-1"/>
                <w:sz w:val="20"/>
                <w:szCs w:val="20"/>
              </w:rPr>
              <w:t>e</w:t>
            </w:r>
            <w:r w:rsidRPr="00CC5843">
              <w:rPr>
                <w:spacing w:val="1"/>
                <w:sz w:val="20"/>
                <w:szCs w:val="20"/>
              </w:rPr>
              <w:t>ks</w:t>
            </w:r>
          </w:p>
        </w:tc>
        <w:tc>
          <w:tcPr>
            <w:tcW w:w="992"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9 </w:t>
            </w:r>
            <w:r w:rsidRPr="00CC5843">
              <w:rPr>
                <w:spacing w:val="-1"/>
                <w:sz w:val="20"/>
                <w:szCs w:val="20"/>
              </w:rPr>
              <w:t>(3</w:t>
            </w:r>
            <w:r w:rsidRPr="00CC5843">
              <w:rPr>
                <w:spacing w:val="1"/>
                <w:sz w:val="20"/>
                <w:szCs w:val="20"/>
              </w:rPr>
              <w:t>9)</w:t>
            </w:r>
          </w:p>
        </w:tc>
        <w:tc>
          <w:tcPr>
            <w:tcW w:w="1134" w:type="dxa"/>
          </w:tcPr>
          <w:p w:rsidR="008764ED" w:rsidRPr="00CC5843" w:rsidRDefault="008764ED" w:rsidP="00EC464E">
            <w:pPr>
              <w:ind w:left="0" w:right="0"/>
              <w:rPr>
                <w:sz w:val="20"/>
                <w:szCs w:val="20"/>
              </w:rPr>
            </w:pPr>
            <w:r w:rsidRPr="00CC5843">
              <w:rPr>
                <w:spacing w:val="1"/>
                <w:sz w:val="20"/>
                <w:szCs w:val="20"/>
              </w:rPr>
              <w:t>5</w:t>
            </w:r>
            <w:r w:rsidRPr="00CC5843">
              <w:rPr>
                <w:sz w:val="20"/>
                <w:szCs w:val="20"/>
              </w:rPr>
              <w:t xml:space="preserve">4 </w:t>
            </w:r>
            <w:r w:rsidRPr="00CC5843">
              <w:rPr>
                <w:spacing w:val="-1"/>
                <w:sz w:val="20"/>
                <w:szCs w:val="20"/>
              </w:rPr>
              <w:t>(5</w:t>
            </w:r>
            <w:r w:rsidRPr="00CC5843">
              <w:rPr>
                <w:spacing w:val="1"/>
                <w:sz w:val="20"/>
                <w:szCs w:val="20"/>
              </w:rPr>
              <w:t>9)</w:t>
            </w:r>
          </w:p>
        </w:tc>
        <w:tc>
          <w:tcPr>
            <w:tcW w:w="1134" w:type="dxa"/>
          </w:tcPr>
          <w:p w:rsidR="008764ED" w:rsidRPr="00CC5843" w:rsidRDefault="008764ED" w:rsidP="00EC464E">
            <w:pPr>
              <w:ind w:left="0" w:right="0"/>
              <w:rPr>
                <w:sz w:val="20"/>
                <w:szCs w:val="20"/>
              </w:rPr>
            </w:pPr>
            <w:r w:rsidRPr="00CC5843">
              <w:rPr>
                <w:spacing w:val="1"/>
                <w:sz w:val="20"/>
                <w:szCs w:val="20"/>
              </w:rPr>
              <w:t>6</w:t>
            </w:r>
            <w:r w:rsidRPr="00CC5843">
              <w:rPr>
                <w:sz w:val="20"/>
                <w:szCs w:val="20"/>
              </w:rPr>
              <w:t xml:space="preserve">3 </w:t>
            </w:r>
            <w:r w:rsidRPr="00CC5843">
              <w:rPr>
                <w:spacing w:val="-1"/>
                <w:sz w:val="20"/>
                <w:szCs w:val="20"/>
              </w:rPr>
              <w:t>(6</w:t>
            </w:r>
            <w:r w:rsidRPr="00CC5843">
              <w:rPr>
                <w:spacing w:val="1"/>
                <w:sz w:val="20"/>
                <w:szCs w:val="20"/>
              </w:rPr>
              <w:t>3)</w:t>
            </w:r>
          </w:p>
        </w:tc>
        <w:tc>
          <w:tcPr>
            <w:tcW w:w="1134" w:type="dxa"/>
          </w:tcPr>
          <w:p w:rsidR="008764ED" w:rsidRPr="00CC5843" w:rsidRDefault="008764ED" w:rsidP="00EC464E">
            <w:pPr>
              <w:ind w:left="0" w:right="0"/>
              <w:rPr>
                <w:sz w:val="20"/>
                <w:szCs w:val="20"/>
              </w:rPr>
            </w:pPr>
            <w:r w:rsidRPr="00CC5843">
              <w:rPr>
                <w:spacing w:val="1"/>
                <w:sz w:val="20"/>
                <w:szCs w:val="20"/>
              </w:rPr>
              <w:t>7</w:t>
            </w:r>
            <w:r w:rsidRPr="00CC5843">
              <w:rPr>
                <w:sz w:val="20"/>
                <w:szCs w:val="20"/>
              </w:rPr>
              <w:t xml:space="preserve">4 </w:t>
            </w:r>
            <w:r w:rsidRPr="00CC5843">
              <w:rPr>
                <w:spacing w:val="-1"/>
                <w:sz w:val="20"/>
                <w:szCs w:val="20"/>
              </w:rPr>
              <w:t>(9</w:t>
            </w:r>
            <w:r w:rsidRPr="00CC5843">
              <w:rPr>
                <w:spacing w:val="1"/>
                <w:sz w:val="20"/>
                <w:szCs w:val="20"/>
              </w:rPr>
              <w:t>4)</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6 </w:t>
            </w:r>
            <w:r w:rsidRPr="00CC5843">
              <w:rPr>
                <w:spacing w:val="-1"/>
                <w:sz w:val="20"/>
                <w:szCs w:val="20"/>
              </w:rPr>
              <w:t>(8</w:t>
            </w:r>
            <w:r w:rsidRPr="00CC5843">
              <w:rPr>
                <w:spacing w:val="1"/>
                <w:sz w:val="20"/>
                <w:szCs w:val="20"/>
              </w:rPr>
              <w:t>9)</w:t>
            </w:r>
          </w:p>
        </w:tc>
        <w:tc>
          <w:tcPr>
            <w:tcW w:w="993" w:type="dxa"/>
          </w:tcPr>
          <w:p w:rsidR="008764ED" w:rsidRPr="00CC5843" w:rsidRDefault="008764ED" w:rsidP="00EC464E">
            <w:pPr>
              <w:ind w:left="0" w:right="0"/>
              <w:rPr>
                <w:sz w:val="20"/>
                <w:szCs w:val="20"/>
              </w:rPr>
            </w:pPr>
            <w:r w:rsidRPr="00CC5843">
              <w:rPr>
                <w:sz w:val="20"/>
                <w:szCs w:val="20"/>
              </w:rPr>
              <w:t xml:space="preserve">2 </w:t>
            </w:r>
            <w:r w:rsidRPr="00CC5843">
              <w:rPr>
                <w:spacing w:val="1"/>
                <w:sz w:val="20"/>
                <w:szCs w:val="20"/>
              </w:rPr>
              <w:t>(</w:t>
            </w:r>
            <w:r w:rsidRPr="00CC5843">
              <w:rPr>
                <w:spacing w:val="-1"/>
                <w:sz w:val="20"/>
                <w:szCs w:val="20"/>
              </w:rPr>
              <w:t>1</w:t>
            </w:r>
            <w:r w:rsidRPr="00CC5843">
              <w:rPr>
                <w:spacing w:val="1"/>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2</w:t>
            </w:r>
            <w:r w:rsidRPr="00CC5843">
              <w:rPr>
                <w:spacing w:val="-1"/>
                <w:sz w:val="20"/>
                <w:szCs w:val="20"/>
              </w:rPr>
              <w:t>2</w:t>
            </w:r>
            <w:r w:rsidRPr="00CC5843">
              <w:rPr>
                <w:sz w:val="20"/>
                <w:szCs w:val="20"/>
              </w:rPr>
              <w:t xml:space="preserve">8 </w:t>
            </w:r>
            <w:r w:rsidRPr="00CC5843">
              <w:rPr>
                <w:spacing w:val="-1"/>
                <w:sz w:val="20"/>
                <w:szCs w:val="20"/>
              </w:rPr>
              <w:t>(</w:t>
            </w:r>
            <w:r w:rsidRPr="00CC5843">
              <w:rPr>
                <w:spacing w:val="1"/>
                <w:sz w:val="20"/>
                <w:szCs w:val="20"/>
              </w:rPr>
              <w:t>6</w:t>
            </w:r>
            <w:r w:rsidRPr="00CC5843">
              <w:rPr>
                <w:spacing w:val="-1"/>
                <w:sz w:val="20"/>
                <w:szCs w:val="20"/>
              </w:rPr>
              <w:t>4</w:t>
            </w:r>
            <w:r w:rsidRPr="00CC5843">
              <w:rPr>
                <w:sz w:val="20"/>
                <w:szCs w:val="20"/>
              </w:rPr>
              <w:t>)</w:t>
            </w:r>
          </w:p>
        </w:tc>
      </w:tr>
      <w:tr w:rsidR="008764ED" w:rsidRPr="00CC5843" w:rsidTr="00EC464E">
        <w:trPr>
          <w:trHeight w:val="227"/>
        </w:trPr>
        <w:tc>
          <w:tcPr>
            <w:tcW w:w="1384" w:type="dxa"/>
          </w:tcPr>
          <w:p w:rsidR="008764ED" w:rsidRPr="00CC5843" w:rsidRDefault="008764ED" w:rsidP="00EC464E">
            <w:pPr>
              <w:ind w:left="0" w:right="0"/>
              <w:rPr>
                <w:sz w:val="20"/>
                <w:szCs w:val="20"/>
              </w:rPr>
            </w:pPr>
            <w:r w:rsidRPr="00CC5843">
              <w:rPr>
                <w:spacing w:val="1"/>
                <w:sz w:val="20"/>
                <w:szCs w:val="20"/>
              </w:rPr>
              <w:t>≥</w:t>
            </w:r>
            <w:r w:rsidRPr="00CC5843">
              <w:rPr>
                <w:sz w:val="20"/>
                <w:szCs w:val="20"/>
              </w:rPr>
              <w:t>1</w:t>
            </w:r>
            <w:r w:rsidRPr="00CC5843">
              <w:rPr>
                <w:spacing w:val="-1"/>
                <w:sz w:val="20"/>
                <w:szCs w:val="20"/>
              </w:rPr>
              <w:t xml:space="preserve"> </w:t>
            </w:r>
            <w:r w:rsidRPr="00CC5843">
              <w:rPr>
                <w:spacing w:val="-2"/>
                <w:sz w:val="20"/>
                <w:szCs w:val="20"/>
              </w:rPr>
              <w:t>m</w:t>
            </w:r>
            <w:r w:rsidRPr="00CC5843">
              <w:rPr>
                <w:spacing w:val="1"/>
                <w:sz w:val="20"/>
                <w:szCs w:val="20"/>
              </w:rPr>
              <w:t>on</w:t>
            </w:r>
            <w:r w:rsidRPr="00CC5843">
              <w:rPr>
                <w:sz w:val="20"/>
                <w:szCs w:val="20"/>
              </w:rPr>
              <w:t>th</w:t>
            </w:r>
          </w:p>
        </w:tc>
        <w:tc>
          <w:tcPr>
            <w:tcW w:w="992"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7 </w:t>
            </w:r>
            <w:r w:rsidRPr="00CC5843">
              <w:rPr>
                <w:spacing w:val="-1"/>
                <w:sz w:val="20"/>
                <w:szCs w:val="20"/>
              </w:rPr>
              <w:t>(</w:t>
            </w:r>
            <w:r w:rsidRPr="00CC5843">
              <w:rPr>
                <w:sz w:val="20"/>
                <w:szCs w:val="20"/>
              </w:rPr>
              <w:t>3</w:t>
            </w:r>
            <w:r w:rsidRPr="00CC5843">
              <w:rPr>
                <w:spacing w:val="1"/>
                <w:sz w:val="20"/>
                <w:szCs w:val="20"/>
              </w:rPr>
              <w:t>5)</w:t>
            </w:r>
          </w:p>
        </w:tc>
        <w:tc>
          <w:tcPr>
            <w:tcW w:w="1134" w:type="dxa"/>
          </w:tcPr>
          <w:p w:rsidR="008764ED" w:rsidRPr="00CC5843" w:rsidRDefault="008764ED" w:rsidP="00EC464E">
            <w:pPr>
              <w:ind w:left="0" w:right="0"/>
              <w:rPr>
                <w:sz w:val="20"/>
                <w:szCs w:val="20"/>
              </w:rPr>
            </w:pPr>
            <w:r w:rsidRPr="00CC5843">
              <w:rPr>
                <w:spacing w:val="1"/>
                <w:sz w:val="20"/>
                <w:szCs w:val="20"/>
              </w:rPr>
              <w:t>3</w:t>
            </w:r>
            <w:r w:rsidRPr="00CC5843">
              <w:rPr>
                <w:sz w:val="20"/>
                <w:szCs w:val="20"/>
              </w:rPr>
              <w:t xml:space="preserve">5 </w:t>
            </w:r>
            <w:r w:rsidRPr="00CC5843">
              <w:rPr>
                <w:spacing w:val="-1"/>
                <w:sz w:val="20"/>
                <w:szCs w:val="20"/>
              </w:rPr>
              <w:t>(</w:t>
            </w:r>
            <w:r w:rsidRPr="00CC5843">
              <w:rPr>
                <w:sz w:val="20"/>
                <w:szCs w:val="20"/>
              </w:rPr>
              <w:t>3</w:t>
            </w:r>
            <w:r w:rsidRPr="00CC5843">
              <w:rPr>
                <w:spacing w:val="1"/>
                <w:sz w:val="20"/>
                <w:szCs w:val="20"/>
              </w:rPr>
              <w:t>8)</w:t>
            </w:r>
          </w:p>
        </w:tc>
        <w:tc>
          <w:tcPr>
            <w:tcW w:w="1134" w:type="dxa"/>
          </w:tcPr>
          <w:p w:rsidR="008764ED" w:rsidRPr="00CC5843" w:rsidRDefault="008764ED" w:rsidP="00EC464E">
            <w:pPr>
              <w:ind w:left="0" w:right="0"/>
              <w:rPr>
                <w:sz w:val="20"/>
                <w:szCs w:val="20"/>
              </w:rPr>
            </w:pPr>
            <w:r w:rsidRPr="00CC5843">
              <w:rPr>
                <w:spacing w:val="1"/>
                <w:sz w:val="20"/>
                <w:szCs w:val="20"/>
              </w:rPr>
              <w:t>5</w:t>
            </w:r>
            <w:r w:rsidRPr="00CC5843">
              <w:rPr>
                <w:sz w:val="20"/>
                <w:szCs w:val="20"/>
              </w:rPr>
              <w:t xml:space="preserve">3 </w:t>
            </w:r>
            <w:r w:rsidRPr="00CC5843">
              <w:rPr>
                <w:spacing w:val="-1"/>
                <w:sz w:val="20"/>
                <w:szCs w:val="20"/>
              </w:rPr>
              <w:t>(</w:t>
            </w:r>
            <w:r w:rsidRPr="00CC5843">
              <w:rPr>
                <w:sz w:val="20"/>
                <w:szCs w:val="20"/>
              </w:rPr>
              <w:t>5</w:t>
            </w:r>
            <w:r w:rsidRPr="00CC5843">
              <w:rPr>
                <w:spacing w:val="1"/>
                <w:sz w:val="20"/>
                <w:szCs w:val="20"/>
              </w:rPr>
              <w:t>3)</w:t>
            </w:r>
          </w:p>
        </w:tc>
        <w:tc>
          <w:tcPr>
            <w:tcW w:w="1134" w:type="dxa"/>
          </w:tcPr>
          <w:p w:rsidR="008764ED" w:rsidRPr="00CC5843" w:rsidRDefault="008764ED" w:rsidP="00EC464E">
            <w:pPr>
              <w:ind w:left="0" w:right="0"/>
              <w:rPr>
                <w:sz w:val="20"/>
                <w:szCs w:val="20"/>
              </w:rPr>
            </w:pPr>
            <w:r w:rsidRPr="00CC5843">
              <w:rPr>
                <w:spacing w:val="1"/>
                <w:sz w:val="20"/>
                <w:szCs w:val="20"/>
              </w:rPr>
              <w:t>6</w:t>
            </w:r>
            <w:r w:rsidRPr="00CC5843">
              <w:rPr>
                <w:sz w:val="20"/>
                <w:szCs w:val="20"/>
              </w:rPr>
              <w:t xml:space="preserve">7 </w:t>
            </w:r>
            <w:r w:rsidRPr="00CC5843">
              <w:rPr>
                <w:spacing w:val="-1"/>
                <w:sz w:val="20"/>
                <w:szCs w:val="20"/>
              </w:rPr>
              <w:t>(</w:t>
            </w:r>
            <w:r w:rsidRPr="00CC5843">
              <w:rPr>
                <w:sz w:val="20"/>
                <w:szCs w:val="20"/>
              </w:rPr>
              <w:t>8</w:t>
            </w:r>
            <w:r w:rsidRPr="00CC5843">
              <w:rPr>
                <w:spacing w:val="1"/>
                <w:sz w:val="20"/>
                <w:szCs w:val="20"/>
              </w:rPr>
              <w:t>5)</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6 </w:t>
            </w:r>
            <w:r w:rsidRPr="00CC5843">
              <w:rPr>
                <w:spacing w:val="-1"/>
                <w:sz w:val="20"/>
                <w:szCs w:val="20"/>
              </w:rPr>
              <w:t>(</w:t>
            </w:r>
            <w:r w:rsidRPr="00CC5843">
              <w:rPr>
                <w:sz w:val="20"/>
                <w:szCs w:val="20"/>
              </w:rPr>
              <w:t>8</w:t>
            </w:r>
            <w:r w:rsidRPr="00CC5843">
              <w:rPr>
                <w:spacing w:val="1"/>
                <w:sz w:val="20"/>
                <w:szCs w:val="20"/>
              </w:rPr>
              <w:t>9)</w:t>
            </w:r>
          </w:p>
        </w:tc>
        <w:tc>
          <w:tcPr>
            <w:tcW w:w="993" w:type="dxa"/>
          </w:tcPr>
          <w:p w:rsidR="008764ED" w:rsidRPr="00CC5843" w:rsidRDefault="008764ED" w:rsidP="00EC464E">
            <w:pPr>
              <w:ind w:left="0" w:right="0"/>
              <w:rPr>
                <w:sz w:val="20"/>
                <w:szCs w:val="20"/>
              </w:rPr>
            </w:pPr>
            <w:r w:rsidRPr="00CC5843">
              <w:rPr>
                <w:sz w:val="20"/>
                <w:szCs w:val="20"/>
              </w:rPr>
              <w:t xml:space="preserve">1 </w:t>
            </w:r>
            <w:r w:rsidRPr="00CC5843">
              <w:rPr>
                <w:spacing w:val="1"/>
                <w:sz w:val="20"/>
                <w:szCs w:val="20"/>
              </w:rPr>
              <w:t>(</w:t>
            </w:r>
            <w:r w:rsidRPr="00CC5843">
              <w:rPr>
                <w:sz w:val="20"/>
                <w:szCs w:val="20"/>
              </w:rPr>
              <w:t>5)</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89 </w:t>
            </w:r>
            <w:r w:rsidRPr="00CC5843">
              <w:rPr>
                <w:spacing w:val="-1"/>
                <w:sz w:val="20"/>
                <w:szCs w:val="20"/>
              </w:rPr>
              <w:t>(</w:t>
            </w:r>
            <w:r w:rsidRPr="00CC5843">
              <w:rPr>
                <w:spacing w:val="1"/>
                <w:sz w:val="20"/>
                <w:szCs w:val="20"/>
              </w:rPr>
              <w:t>5</w:t>
            </w:r>
            <w:r w:rsidRPr="00CC5843">
              <w:rPr>
                <w:sz w:val="20"/>
                <w:szCs w:val="20"/>
              </w:rPr>
              <w:t>3)</w:t>
            </w:r>
          </w:p>
        </w:tc>
      </w:tr>
      <w:tr w:rsidR="008764ED" w:rsidRPr="00CC5843" w:rsidTr="00EC464E">
        <w:trPr>
          <w:trHeight w:val="227"/>
        </w:trPr>
        <w:tc>
          <w:tcPr>
            <w:tcW w:w="1384" w:type="dxa"/>
          </w:tcPr>
          <w:p w:rsidR="008764ED" w:rsidRPr="00CC5843" w:rsidRDefault="008764ED" w:rsidP="00EC464E">
            <w:pPr>
              <w:ind w:left="0" w:right="0"/>
              <w:rPr>
                <w:sz w:val="20"/>
                <w:szCs w:val="20"/>
              </w:rPr>
            </w:pPr>
            <w:r w:rsidRPr="00CC5843">
              <w:rPr>
                <w:spacing w:val="1"/>
                <w:sz w:val="20"/>
                <w:szCs w:val="20"/>
              </w:rPr>
              <w:t>≥</w:t>
            </w:r>
            <w:r w:rsidRPr="00CC5843">
              <w:rPr>
                <w:sz w:val="20"/>
                <w:szCs w:val="20"/>
              </w:rPr>
              <w:t>3</w:t>
            </w:r>
            <w:r w:rsidRPr="00CC5843">
              <w:rPr>
                <w:spacing w:val="-1"/>
                <w:sz w:val="20"/>
                <w:szCs w:val="20"/>
              </w:rPr>
              <w:t xml:space="preserve">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hs</w:t>
            </w:r>
          </w:p>
        </w:tc>
        <w:tc>
          <w:tcPr>
            <w:tcW w:w="992" w:type="dxa"/>
          </w:tcPr>
          <w:p w:rsidR="008764ED" w:rsidRPr="00CC5843" w:rsidRDefault="008764ED" w:rsidP="00EC464E">
            <w:pPr>
              <w:ind w:left="0" w:right="0"/>
              <w:rPr>
                <w:sz w:val="20"/>
                <w:szCs w:val="20"/>
              </w:rPr>
            </w:pPr>
            <w:r w:rsidRPr="00CC5843">
              <w:rPr>
                <w:sz w:val="20"/>
                <w:szCs w:val="20"/>
              </w:rPr>
              <w:t xml:space="preserve">7 </w:t>
            </w:r>
            <w:r w:rsidRPr="00CC5843">
              <w:rPr>
                <w:spacing w:val="1"/>
                <w:sz w:val="20"/>
                <w:szCs w:val="20"/>
              </w:rPr>
              <w:t>(</w:t>
            </w:r>
            <w:r w:rsidRPr="00CC5843">
              <w:rPr>
                <w:sz w:val="20"/>
                <w:szCs w:val="20"/>
              </w:rPr>
              <w:t>1</w:t>
            </w:r>
            <w:r w:rsidRPr="00CC5843">
              <w:rPr>
                <w:spacing w:val="1"/>
                <w:sz w:val="20"/>
                <w:szCs w:val="20"/>
              </w:rPr>
              <w:t>4)</w:t>
            </w:r>
          </w:p>
        </w:tc>
        <w:tc>
          <w:tcPr>
            <w:tcW w:w="1134" w:type="dxa"/>
          </w:tcPr>
          <w:p w:rsidR="008764ED" w:rsidRPr="00CC5843" w:rsidRDefault="008764ED" w:rsidP="00EC464E">
            <w:pPr>
              <w:ind w:left="0" w:right="0"/>
              <w:rPr>
                <w:sz w:val="20"/>
                <w:szCs w:val="20"/>
              </w:rPr>
            </w:pPr>
            <w:r w:rsidRPr="00CC5843">
              <w:rPr>
                <w:spacing w:val="1"/>
                <w:sz w:val="20"/>
                <w:szCs w:val="20"/>
              </w:rPr>
              <w:t>2</w:t>
            </w:r>
            <w:r w:rsidRPr="00CC5843">
              <w:rPr>
                <w:sz w:val="20"/>
                <w:szCs w:val="20"/>
              </w:rPr>
              <w:t xml:space="preserve">4 </w:t>
            </w:r>
            <w:r w:rsidRPr="00CC5843">
              <w:rPr>
                <w:spacing w:val="-1"/>
                <w:sz w:val="20"/>
                <w:szCs w:val="20"/>
              </w:rPr>
              <w:t>(</w:t>
            </w:r>
            <w:r w:rsidRPr="00CC5843">
              <w:rPr>
                <w:sz w:val="20"/>
                <w:szCs w:val="20"/>
              </w:rPr>
              <w:t>2</w:t>
            </w:r>
            <w:r w:rsidRPr="00CC5843">
              <w:rPr>
                <w:spacing w:val="1"/>
                <w:sz w:val="20"/>
                <w:szCs w:val="20"/>
              </w:rPr>
              <w:t>6)</w:t>
            </w:r>
          </w:p>
        </w:tc>
        <w:tc>
          <w:tcPr>
            <w:tcW w:w="1134" w:type="dxa"/>
          </w:tcPr>
          <w:p w:rsidR="008764ED" w:rsidRPr="00CC5843" w:rsidRDefault="008764ED" w:rsidP="00EC464E">
            <w:pPr>
              <w:ind w:left="0" w:right="0"/>
              <w:rPr>
                <w:sz w:val="20"/>
                <w:szCs w:val="20"/>
              </w:rPr>
            </w:pPr>
            <w:r w:rsidRPr="00CC5843">
              <w:rPr>
                <w:spacing w:val="1"/>
                <w:sz w:val="20"/>
                <w:szCs w:val="20"/>
              </w:rPr>
              <w:t>3</w:t>
            </w:r>
            <w:r w:rsidRPr="00CC5843">
              <w:rPr>
                <w:sz w:val="20"/>
                <w:szCs w:val="20"/>
              </w:rPr>
              <w:t xml:space="preserve">8 </w:t>
            </w:r>
            <w:r w:rsidRPr="00CC5843">
              <w:rPr>
                <w:spacing w:val="-1"/>
                <w:sz w:val="20"/>
                <w:szCs w:val="20"/>
              </w:rPr>
              <w:t>(</w:t>
            </w:r>
            <w:r w:rsidRPr="00CC5843">
              <w:rPr>
                <w:sz w:val="20"/>
                <w:szCs w:val="20"/>
              </w:rPr>
              <w:t>3</w:t>
            </w:r>
            <w:r w:rsidRPr="00CC5843">
              <w:rPr>
                <w:spacing w:val="1"/>
                <w:sz w:val="20"/>
                <w:szCs w:val="20"/>
              </w:rPr>
              <w:t>8)</w:t>
            </w:r>
          </w:p>
        </w:tc>
        <w:tc>
          <w:tcPr>
            <w:tcW w:w="1134" w:type="dxa"/>
          </w:tcPr>
          <w:p w:rsidR="008764ED" w:rsidRPr="00CC5843" w:rsidRDefault="008764ED" w:rsidP="00EC464E">
            <w:pPr>
              <w:ind w:left="0" w:right="0"/>
              <w:rPr>
                <w:sz w:val="20"/>
                <w:szCs w:val="20"/>
              </w:rPr>
            </w:pPr>
            <w:r w:rsidRPr="00CC5843">
              <w:rPr>
                <w:spacing w:val="1"/>
                <w:sz w:val="20"/>
                <w:szCs w:val="20"/>
              </w:rPr>
              <w:t>5</w:t>
            </w:r>
            <w:r w:rsidRPr="00CC5843">
              <w:rPr>
                <w:sz w:val="20"/>
                <w:szCs w:val="20"/>
              </w:rPr>
              <w:t xml:space="preserve">3 </w:t>
            </w:r>
            <w:r w:rsidRPr="00CC5843">
              <w:rPr>
                <w:spacing w:val="-1"/>
                <w:sz w:val="20"/>
                <w:szCs w:val="20"/>
              </w:rPr>
              <w:t>(</w:t>
            </w:r>
            <w:r w:rsidRPr="00CC5843">
              <w:rPr>
                <w:sz w:val="20"/>
                <w:szCs w:val="20"/>
              </w:rPr>
              <w:t>6</w:t>
            </w:r>
            <w:r w:rsidRPr="00CC5843">
              <w:rPr>
                <w:spacing w:val="1"/>
                <w:sz w:val="20"/>
                <w:szCs w:val="20"/>
              </w:rPr>
              <w:t>7)</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2 </w:t>
            </w:r>
            <w:r w:rsidRPr="00CC5843">
              <w:rPr>
                <w:spacing w:val="-1"/>
                <w:sz w:val="20"/>
                <w:szCs w:val="20"/>
              </w:rPr>
              <w:t>(</w:t>
            </w:r>
            <w:r w:rsidRPr="00CC5843">
              <w:rPr>
                <w:sz w:val="20"/>
                <w:szCs w:val="20"/>
              </w:rPr>
              <w:t>6</w:t>
            </w:r>
            <w:r w:rsidRPr="00CC5843">
              <w:rPr>
                <w:spacing w:val="1"/>
                <w:sz w:val="20"/>
                <w:szCs w:val="20"/>
              </w:rPr>
              <w:t>7)</w:t>
            </w:r>
          </w:p>
        </w:tc>
        <w:tc>
          <w:tcPr>
            <w:tcW w:w="993" w:type="dxa"/>
          </w:tcPr>
          <w:p w:rsidR="008764ED" w:rsidRPr="00CC5843" w:rsidRDefault="008764ED" w:rsidP="00EC464E">
            <w:pPr>
              <w:ind w:left="0" w:right="0"/>
              <w:rPr>
                <w:sz w:val="20"/>
                <w:szCs w:val="20"/>
              </w:rPr>
            </w:pPr>
            <w:r w:rsidRPr="00CC5843">
              <w:rPr>
                <w:sz w:val="20"/>
                <w:szCs w:val="20"/>
              </w:rPr>
              <w:t>0</w:t>
            </w:r>
          </w:p>
        </w:tc>
        <w:tc>
          <w:tcPr>
            <w:tcW w:w="1134" w:type="dxa"/>
          </w:tcPr>
          <w:p w:rsidR="008764ED" w:rsidRPr="00CC5843" w:rsidRDefault="008764ED" w:rsidP="00EC464E">
            <w:pPr>
              <w:ind w:left="0" w:right="0"/>
              <w:rPr>
                <w:sz w:val="20"/>
                <w:szCs w:val="20"/>
              </w:rPr>
            </w:pPr>
            <w:r w:rsidRPr="00CC5843">
              <w:rPr>
                <w:spacing w:val="1"/>
                <w:sz w:val="20"/>
                <w:szCs w:val="20"/>
              </w:rPr>
              <w:t>1</w:t>
            </w:r>
            <w:r w:rsidRPr="00CC5843">
              <w:rPr>
                <w:sz w:val="20"/>
                <w:szCs w:val="20"/>
              </w:rPr>
              <w:t xml:space="preserve">34 </w:t>
            </w:r>
            <w:r w:rsidRPr="00CC5843">
              <w:rPr>
                <w:spacing w:val="-1"/>
                <w:sz w:val="20"/>
                <w:szCs w:val="20"/>
              </w:rPr>
              <w:t>(</w:t>
            </w:r>
            <w:r w:rsidRPr="00CC5843">
              <w:rPr>
                <w:spacing w:val="1"/>
                <w:sz w:val="20"/>
                <w:szCs w:val="20"/>
              </w:rPr>
              <w:t>3</w:t>
            </w:r>
            <w:r w:rsidRPr="00CC5843">
              <w:rPr>
                <w:sz w:val="20"/>
                <w:szCs w:val="20"/>
              </w:rPr>
              <w:t>7)</w:t>
            </w:r>
          </w:p>
        </w:tc>
      </w:tr>
      <w:tr w:rsidR="008764ED" w:rsidRPr="00CC5843" w:rsidTr="00EC464E">
        <w:trPr>
          <w:trHeight w:val="227"/>
        </w:trPr>
        <w:tc>
          <w:tcPr>
            <w:tcW w:w="1384" w:type="dxa"/>
          </w:tcPr>
          <w:p w:rsidR="008764ED" w:rsidRPr="00CC5843" w:rsidRDefault="008764ED" w:rsidP="00CC5843">
            <w:pPr>
              <w:ind w:left="0"/>
              <w:rPr>
                <w:sz w:val="20"/>
                <w:szCs w:val="20"/>
              </w:rPr>
            </w:pPr>
            <w:r w:rsidRPr="00CC5843">
              <w:rPr>
                <w:spacing w:val="1"/>
                <w:sz w:val="20"/>
                <w:szCs w:val="20"/>
              </w:rPr>
              <w:t>≥</w:t>
            </w:r>
            <w:r w:rsidRPr="00CC5843">
              <w:rPr>
                <w:sz w:val="20"/>
                <w:szCs w:val="20"/>
              </w:rPr>
              <w:t>6</w:t>
            </w:r>
            <w:r w:rsidRPr="00CC5843">
              <w:rPr>
                <w:spacing w:val="-1"/>
                <w:sz w:val="20"/>
                <w:szCs w:val="20"/>
              </w:rPr>
              <w:t xml:space="preserve">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hs</w:t>
            </w:r>
          </w:p>
        </w:tc>
        <w:tc>
          <w:tcPr>
            <w:tcW w:w="992" w:type="dxa"/>
          </w:tcPr>
          <w:p w:rsidR="008764ED" w:rsidRPr="00CC5843" w:rsidRDefault="008764ED" w:rsidP="00CC5843">
            <w:pPr>
              <w:ind w:left="0"/>
              <w:rPr>
                <w:sz w:val="20"/>
                <w:szCs w:val="20"/>
              </w:rPr>
            </w:pPr>
            <w:r w:rsidRPr="00CC5843">
              <w:rPr>
                <w:sz w:val="20"/>
                <w:szCs w:val="20"/>
              </w:rPr>
              <w:t xml:space="preserve">3 </w:t>
            </w:r>
            <w:r w:rsidRPr="00CC5843">
              <w:rPr>
                <w:spacing w:val="1"/>
                <w:sz w:val="20"/>
                <w:szCs w:val="20"/>
              </w:rPr>
              <w:t>(</w:t>
            </w:r>
            <w:r w:rsidRPr="00CC5843">
              <w:rPr>
                <w:sz w:val="20"/>
                <w:szCs w:val="20"/>
              </w:rPr>
              <w:t>6)</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5 </w:t>
            </w:r>
            <w:r w:rsidRPr="00CC5843">
              <w:rPr>
                <w:spacing w:val="-1"/>
                <w:sz w:val="20"/>
                <w:szCs w:val="20"/>
              </w:rPr>
              <w:t>(</w:t>
            </w:r>
            <w:r w:rsidRPr="00CC5843">
              <w:rPr>
                <w:sz w:val="20"/>
                <w:szCs w:val="20"/>
              </w:rPr>
              <w:t>1</w:t>
            </w:r>
            <w:r w:rsidRPr="00CC5843">
              <w:rPr>
                <w:spacing w:val="1"/>
                <w:sz w:val="20"/>
                <w:szCs w:val="20"/>
              </w:rPr>
              <w:t>6)</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8 </w:t>
            </w:r>
            <w:r w:rsidRPr="00CC5843">
              <w:rPr>
                <w:spacing w:val="-1"/>
                <w:sz w:val="20"/>
                <w:szCs w:val="20"/>
              </w:rPr>
              <w:t>(</w:t>
            </w:r>
            <w:r w:rsidRPr="00CC5843">
              <w:rPr>
                <w:sz w:val="20"/>
                <w:szCs w:val="20"/>
              </w:rPr>
              <w:t>1</w:t>
            </w:r>
            <w:r w:rsidRPr="00CC5843">
              <w:rPr>
                <w:spacing w:val="1"/>
                <w:sz w:val="20"/>
                <w:szCs w:val="20"/>
              </w:rPr>
              <w:t>8)</w:t>
            </w:r>
          </w:p>
        </w:tc>
        <w:tc>
          <w:tcPr>
            <w:tcW w:w="1134" w:type="dxa"/>
          </w:tcPr>
          <w:p w:rsidR="008764ED" w:rsidRPr="00CC5843" w:rsidRDefault="008764ED" w:rsidP="00CC5843">
            <w:pPr>
              <w:ind w:left="0"/>
              <w:rPr>
                <w:sz w:val="20"/>
                <w:szCs w:val="20"/>
              </w:rPr>
            </w:pPr>
            <w:r w:rsidRPr="00CC5843">
              <w:rPr>
                <w:spacing w:val="1"/>
                <w:sz w:val="20"/>
                <w:szCs w:val="20"/>
              </w:rPr>
              <w:t>3</w:t>
            </w:r>
            <w:r w:rsidRPr="00CC5843">
              <w:rPr>
                <w:sz w:val="20"/>
                <w:szCs w:val="20"/>
              </w:rPr>
              <w:t xml:space="preserve">3 </w:t>
            </w:r>
            <w:r w:rsidRPr="00CC5843">
              <w:rPr>
                <w:spacing w:val="-1"/>
                <w:sz w:val="20"/>
                <w:szCs w:val="20"/>
              </w:rPr>
              <w:t>(</w:t>
            </w:r>
            <w:r w:rsidRPr="00CC5843">
              <w:rPr>
                <w:sz w:val="20"/>
                <w:szCs w:val="20"/>
              </w:rPr>
              <w:t>4</w:t>
            </w:r>
            <w:r w:rsidRPr="00CC5843">
              <w:rPr>
                <w:spacing w:val="1"/>
                <w:sz w:val="20"/>
                <w:szCs w:val="20"/>
              </w:rPr>
              <w:t>2)</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1 </w:t>
            </w:r>
            <w:r w:rsidRPr="00CC5843">
              <w:rPr>
                <w:spacing w:val="-1"/>
                <w:sz w:val="20"/>
                <w:szCs w:val="20"/>
              </w:rPr>
              <w:t>(</w:t>
            </w:r>
            <w:r w:rsidRPr="00CC5843">
              <w:rPr>
                <w:sz w:val="20"/>
                <w:szCs w:val="20"/>
              </w:rPr>
              <w:t>6</w:t>
            </w:r>
            <w:r w:rsidRPr="00CC5843">
              <w:rPr>
                <w:spacing w:val="1"/>
                <w:sz w:val="20"/>
                <w:szCs w:val="20"/>
              </w:rPr>
              <w:t>1)</w:t>
            </w:r>
          </w:p>
        </w:tc>
        <w:tc>
          <w:tcPr>
            <w:tcW w:w="993" w:type="dxa"/>
          </w:tcPr>
          <w:p w:rsidR="008764ED" w:rsidRPr="00CC5843" w:rsidRDefault="008764ED" w:rsidP="00CC5843">
            <w:pPr>
              <w:ind w:left="0"/>
              <w:rPr>
                <w:sz w:val="20"/>
                <w:szCs w:val="20"/>
              </w:rPr>
            </w:pPr>
            <w:r w:rsidRPr="00CC5843">
              <w:rPr>
                <w:sz w:val="20"/>
                <w:szCs w:val="20"/>
              </w:rPr>
              <w:t>0</w:t>
            </w:r>
          </w:p>
        </w:tc>
        <w:tc>
          <w:tcPr>
            <w:tcW w:w="1134" w:type="dxa"/>
          </w:tcPr>
          <w:p w:rsidR="008764ED" w:rsidRPr="00CC5843" w:rsidRDefault="008764ED" w:rsidP="00CC5843">
            <w:pPr>
              <w:ind w:left="0"/>
              <w:rPr>
                <w:sz w:val="20"/>
                <w:szCs w:val="20"/>
              </w:rPr>
            </w:pPr>
            <w:r w:rsidRPr="00CC5843">
              <w:rPr>
                <w:spacing w:val="1"/>
                <w:sz w:val="20"/>
                <w:szCs w:val="20"/>
              </w:rPr>
              <w:t>8</w:t>
            </w:r>
            <w:r w:rsidRPr="00CC5843">
              <w:rPr>
                <w:sz w:val="20"/>
                <w:szCs w:val="20"/>
              </w:rPr>
              <w:t xml:space="preserve">0 </w:t>
            </w:r>
            <w:r w:rsidRPr="00CC5843">
              <w:rPr>
                <w:spacing w:val="-1"/>
                <w:sz w:val="20"/>
                <w:szCs w:val="20"/>
              </w:rPr>
              <w:t>(</w:t>
            </w:r>
            <w:r w:rsidRPr="00CC5843">
              <w:rPr>
                <w:sz w:val="20"/>
                <w:szCs w:val="20"/>
              </w:rPr>
              <w:t>2</w:t>
            </w:r>
            <w:r w:rsidRPr="00CC5843">
              <w:rPr>
                <w:spacing w:val="1"/>
                <w:sz w:val="20"/>
                <w:szCs w:val="20"/>
              </w:rPr>
              <w:t>2)</w:t>
            </w:r>
          </w:p>
        </w:tc>
      </w:tr>
      <w:tr w:rsidR="008764ED" w:rsidRPr="00CC5843" w:rsidTr="00EC464E">
        <w:trPr>
          <w:trHeight w:val="227"/>
        </w:trPr>
        <w:tc>
          <w:tcPr>
            <w:tcW w:w="1384" w:type="dxa"/>
          </w:tcPr>
          <w:p w:rsidR="008764ED" w:rsidRPr="00CC5843" w:rsidRDefault="008764ED" w:rsidP="00CC5843">
            <w:pPr>
              <w:ind w:left="0"/>
              <w:rPr>
                <w:sz w:val="20"/>
                <w:szCs w:val="20"/>
              </w:rPr>
            </w:pPr>
            <w:r w:rsidRPr="00CC5843">
              <w:rPr>
                <w:spacing w:val="1"/>
                <w:sz w:val="20"/>
                <w:szCs w:val="20"/>
              </w:rPr>
              <w:t>≥</w:t>
            </w:r>
            <w:r w:rsidRPr="00CC5843">
              <w:rPr>
                <w:sz w:val="20"/>
                <w:szCs w:val="20"/>
              </w:rPr>
              <w:t>9</w:t>
            </w:r>
            <w:r w:rsidRPr="00CC5843">
              <w:rPr>
                <w:spacing w:val="-1"/>
                <w:sz w:val="20"/>
                <w:szCs w:val="20"/>
              </w:rPr>
              <w:t xml:space="preserve">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hs</w:t>
            </w:r>
          </w:p>
        </w:tc>
        <w:tc>
          <w:tcPr>
            <w:tcW w:w="992" w:type="dxa"/>
          </w:tcPr>
          <w:p w:rsidR="008764ED" w:rsidRPr="00CC5843" w:rsidRDefault="008764ED" w:rsidP="00CC5843">
            <w:pPr>
              <w:ind w:left="0"/>
              <w:rPr>
                <w:sz w:val="20"/>
                <w:szCs w:val="20"/>
              </w:rPr>
            </w:pPr>
            <w:r w:rsidRPr="00CC5843">
              <w:rPr>
                <w:sz w:val="20"/>
                <w:szCs w:val="20"/>
              </w:rPr>
              <w:t xml:space="preserve">2 </w:t>
            </w:r>
            <w:r w:rsidRPr="00CC5843">
              <w:rPr>
                <w:spacing w:val="1"/>
                <w:sz w:val="20"/>
                <w:szCs w:val="20"/>
              </w:rPr>
              <w:t>(</w:t>
            </w:r>
            <w:r w:rsidRPr="00CC5843">
              <w:rPr>
                <w:sz w:val="20"/>
                <w:szCs w:val="20"/>
              </w:rPr>
              <w:t>4)</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2 </w:t>
            </w:r>
            <w:r w:rsidRPr="00CC5843">
              <w:rPr>
                <w:spacing w:val="-1"/>
                <w:sz w:val="20"/>
                <w:szCs w:val="20"/>
              </w:rPr>
              <w:t>(</w:t>
            </w:r>
            <w:r w:rsidRPr="00CC5843">
              <w:rPr>
                <w:sz w:val="20"/>
                <w:szCs w:val="20"/>
              </w:rPr>
              <w:t>1</w:t>
            </w:r>
            <w:r w:rsidRPr="00CC5843">
              <w:rPr>
                <w:spacing w:val="1"/>
                <w:sz w:val="20"/>
                <w:szCs w:val="20"/>
              </w:rPr>
              <w:t>3)</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2 </w:t>
            </w:r>
            <w:r w:rsidRPr="00CC5843">
              <w:rPr>
                <w:spacing w:val="-1"/>
                <w:sz w:val="20"/>
                <w:szCs w:val="20"/>
              </w:rPr>
              <w:t>(</w:t>
            </w:r>
            <w:r w:rsidRPr="00CC5843">
              <w:rPr>
                <w:sz w:val="20"/>
                <w:szCs w:val="20"/>
              </w:rPr>
              <w:t>1</w:t>
            </w:r>
            <w:r w:rsidRPr="00CC5843">
              <w:rPr>
                <w:spacing w:val="1"/>
                <w:sz w:val="20"/>
                <w:szCs w:val="20"/>
              </w:rPr>
              <w:t>2)</w:t>
            </w:r>
          </w:p>
        </w:tc>
        <w:tc>
          <w:tcPr>
            <w:tcW w:w="1134" w:type="dxa"/>
          </w:tcPr>
          <w:p w:rsidR="008764ED" w:rsidRPr="00CC5843" w:rsidRDefault="008764ED" w:rsidP="00CC5843">
            <w:pPr>
              <w:ind w:left="0"/>
              <w:rPr>
                <w:sz w:val="20"/>
                <w:szCs w:val="20"/>
              </w:rPr>
            </w:pPr>
            <w:r w:rsidRPr="00CC5843">
              <w:rPr>
                <w:spacing w:val="1"/>
                <w:sz w:val="20"/>
                <w:szCs w:val="20"/>
              </w:rPr>
              <w:t>2</w:t>
            </w:r>
            <w:r w:rsidRPr="00CC5843">
              <w:rPr>
                <w:sz w:val="20"/>
                <w:szCs w:val="20"/>
              </w:rPr>
              <w:t xml:space="preserve">0 </w:t>
            </w:r>
            <w:r w:rsidRPr="00CC5843">
              <w:rPr>
                <w:spacing w:val="-1"/>
                <w:sz w:val="20"/>
                <w:szCs w:val="20"/>
              </w:rPr>
              <w:t>(</w:t>
            </w:r>
            <w:r w:rsidRPr="00CC5843">
              <w:rPr>
                <w:sz w:val="20"/>
                <w:szCs w:val="20"/>
              </w:rPr>
              <w:t>2</w:t>
            </w:r>
            <w:r w:rsidRPr="00CC5843">
              <w:rPr>
                <w:spacing w:val="1"/>
                <w:sz w:val="20"/>
                <w:szCs w:val="20"/>
              </w:rPr>
              <w:t>5)</w:t>
            </w:r>
          </w:p>
        </w:tc>
        <w:tc>
          <w:tcPr>
            <w:tcW w:w="1134" w:type="dxa"/>
          </w:tcPr>
          <w:p w:rsidR="008764ED" w:rsidRPr="00CC5843" w:rsidRDefault="008764ED" w:rsidP="00CC5843">
            <w:pPr>
              <w:ind w:left="0"/>
              <w:rPr>
                <w:sz w:val="20"/>
                <w:szCs w:val="20"/>
              </w:rPr>
            </w:pPr>
            <w:r w:rsidRPr="00CC5843">
              <w:rPr>
                <w:sz w:val="20"/>
                <w:szCs w:val="20"/>
              </w:rPr>
              <w:t xml:space="preserve">8 </w:t>
            </w:r>
            <w:r w:rsidRPr="00CC5843">
              <w:rPr>
                <w:spacing w:val="1"/>
                <w:sz w:val="20"/>
                <w:szCs w:val="20"/>
              </w:rPr>
              <w:t>(</w:t>
            </w:r>
            <w:r w:rsidRPr="00CC5843">
              <w:rPr>
                <w:sz w:val="20"/>
                <w:szCs w:val="20"/>
              </w:rPr>
              <w:t>4</w:t>
            </w:r>
            <w:r w:rsidRPr="00CC5843">
              <w:rPr>
                <w:spacing w:val="1"/>
                <w:sz w:val="20"/>
                <w:szCs w:val="20"/>
              </w:rPr>
              <w:t>4)</w:t>
            </w:r>
          </w:p>
        </w:tc>
        <w:tc>
          <w:tcPr>
            <w:tcW w:w="993" w:type="dxa"/>
          </w:tcPr>
          <w:p w:rsidR="008764ED" w:rsidRPr="00CC5843" w:rsidRDefault="008764ED" w:rsidP="00CC5843">
            <w:pPr>
              <w:ind w:left="0"/>
              <w:rPr>
                <w:sz w:val="20"/>
                <w:szCs w:val="20"/>
              </w:rPr>
            </w:pPr>
            <w:r w:rsidRPr="00CC5843">
              <w:rPr>
                <w:sz w:val="20"/>
                <w:szCs w:val="20"/>
              </w:rPr>
              <w:t>0</w:t>
            </w:r>
          </w:p>
        </w:tc>
        <w:tc>
          <w:tcPr>
            <w:tcW w:w="1134" w:type="dxa"/>
          </w:tcPr>
          <w:p w:rsidR="008764ED" w:rsidRPr="00CC5843" w:rsidRDefault="008764ED" w:rsidP="00CC5843">
            <w:pPr>
              <w:ind w:left="0"/>
              <w:rPr>
                <w:sz w:val="20"/>
                <w:szCs w:val="20"/>
              </w:rPr>
            </w:pPr>
            <w:r w:rsidRPr="00CC5843">
              <w:rPr>
                <w:spacing w:val="1"/>
                <w:sz w:val="20"/>
                <w:szCs w:val="20"/>
              </w:rPr>
              <w:t>5</w:t>
            </w:r>
            <w:r w:rsidRPr="00CC5843">
              <w:rPr>
                <w:sz w:val="20"/>
                <w:szCs w:val="20"/>
              </w:rPr>
              <w:t xml:space="preserve">4 </w:t>
            </w:r>
            <w:r w:rsidRPr="00CC5843">
              <w:rPr>
                <w:spacing w:val="-1"/>
                <w:sz w:val="20"/>
                <w:szCs w:val="20"/>
              </w:rPr>
              <w:t>(</w:t>
            </w:r>
            <w:r w:rsidRPr="00CC5843">
              <w:rPr>
                <w:sz w:val="20"/>
                <w:szCs w:val="20"/>
              </w:rPr>
              <w:t>1</w:t>
            </w:r>
            <w:r w:rsidRPr="00CC5843">
              <w:rPr>
                <w:spacing w:val="1"/>
                <w:sz w:val="20"/>
                <w:szCs w:val="20"/>
              </w:rPr>
              <w:t>5)</w:t>
            </w:r>
          </w:p>
        </w:tc>
      </w:tr>
      <w:tr w:rsidR="008764ED" w:rsidRPr="00CC5843" w:rsidTr="00EC464E">
        <w:trPr>
          <w:trHeight w:val="227"/>
        </w:trPr>
        <w:tc>
          <w:tcPr>
            <w:tcW w:w="1384" w:type="dxa"/>
          </w:tcPr>
          <w:p w:rsidR="008764ED" w:rsidRPr="00CC5843" w:rsidRDefault="008764ED" w:rsidP="00CC5843">
            <w:pPr>
              <w:ind w:left="0"/>
              <w:rPr>
                <w:sz w:val="20"/>
                <w:szCs w:val="20"/>
              </w:rPr>
            </w:pPr>
            <w:r w:rsidRPr="00CC5843">
              <w:rPr>
                <w:spacing w:val="1"/>
                <w:sz w:val="20"/>
                <w:szCs w:val="20"/>
              </w:rPr>
              <w:lastRenderedPageBreak/>
              <w:t>≥</w:t>
            </w:r>
            <w:r w:rsidRPr="00CC5843">
              <w:rPr>
                <w:spacing w:val="-1"/>
                <w:sz w:val="20"/>
                <w:szCs w:val="20"/>
              </w:rPr>
              <w:t>1</w:t>
            </w:r>
            <w:r w:rsidRPr="00CC5843">
              <w:rPr>
                <w:sz w:val="20"/>
                <w:szCs w:val="20"/>
              </w:rPr>
              <w:t xml:space="preserve">2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hs</w:t>
            </w:r>
            <w:r w:rsidR="004D5419" w:rsidRPr="00CC5843">
              <w:rPr>
                <w:spacing w:val="1"/>
                <w:sz w:val="20"/>
                <w:szCs w:val="20"/>
              </w:rPr>
              <w:t>*</w:t>
            </w:r>
          </w:p>
        </w:tc>
        <w:tc>
          <w:tcPr>
            <w:tcW w:w="992" w:type="dxa"/>
          </w:tcPr>
          <w:p w:rsidR="008764ED" w:rsidRPr="00CC5843" w:rsidRDefault="008764ED" w:rsidP="00CC5843">
            <w:pPr>
              <w:ind w:left="0"/>
              <w:rPr>
                <w:sz w:val="20"/>
                <w:szCs w:val="20"/>
              </w:rPr>
            </w:pPr>
            <w:r w:rsidRPr="00CC5843">
              <w:rPr>
                <w:sz w:val="20"/>
                <w:szCs w:val="20"/>
              </w:rPr>
              <w:t xml:space="preserve">2 </w:t>
            </w:r>
            <w:r w:rsidRPr="00CC5843">
              <w:rPr>
                <w:spacing w:val="1"/>
                <w:sz w:val="20"/>
                <w:szCs w:val="20"/>
              </w:rPr>
              <w:t>(</w:t>
            </w:r>
            <w:r w:rsidRPr="00CC5843">
              <w:rPr>
                <w:spacing w:val="-1"/>
                <w:sz w:val="20"/>
                <w:szCs w:val="20"/>
              </w:rPr>
              <w:t>4</w:t>
            </w:r>
            <w:r w:rsidRPr="00CC5843">
              <w:rPr>
                <w:sz w:val="20"/>
                <w:szCs w:val="20"/>
              </w:rPr>
              <w:t>)</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0 </w:t>
            </w:r>
            <w:r w:rsidRPr="00CC5843">
              <w:rPr>
                <w:spacing w:val="-1"/>
                <w:sz w:val="20"/>
                <w:szCs w:val="20"/>
              </w:rPr>
              <w:t>(1</w:t>
            </w:r>
            <w:r w:rsidRPr="00CC5843">
              <w:rPr>
                <w:spacing w:val="1"/>
                <w:sz w:val="20"/>
                <w:szCs w:val="20"/>
              </w:rPr>
              <w:t>1)</w:t>
            </w:r>
          </w:p>
        </w:tc>
        <w:tc>
          <w:tcPr>
            <w:tcW w:w="1134" w:type="dxa"/>
          </w:tcPr>
          <w:p w:rsidR="008764ED" w:rsidRPr="00CC5843" w:rsidRDefault="008764ED" w:rsidP="00CC5843">
            <w:pPr>
              <w:ind w:left="0"/>
              <w:rPr>
                <w:sz w:val="20"/>
                <w:szCs w:val="20"/>
              </w:rPr>
            </w:pPr>
            <w:r w:rsidRPr="00CC5843">
              <w:rPr>
                <w:sz w:val="20"/>
                <w:szCs w:val="20"/>
              </w:rPr>
              <w:t xml:space="preserve">8 </w:t>
            </w:r>
            <w:r w:rsidRPr="00CC5843">
              <w:rPr>
                <w:spacing w:val="1"/>
                <w:sz w:val="20"/>
                <w:szCs w:val="20"/>
              </w:rPr>
              <w:t>(</w:t>
            </w:r>
            <w:r w:rsidRPr="00CC5843">
              <w:rPr>
                <w:spacing w:val="-1"/>
                <w:sz w:val="20"/>
                <w:szCs w:val="20"/>
              </w:rPr>
              <w:t>8</w:t>
            </w:r>
            <w:r w:rsidRPr="00CC5843">
              <w:rPr>
                <w:sz w:val="20"/>
                <w:szCs w:val="20"/>
              </w:rPr>
              <w:t>)</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 xml:space="preserve">4 </w:t>
            </w:r>
            <w:r w:rsidRPr="00CC5843">
              <w:rPr>
                <w:spacing w:val="-1"/>
                <w:sz w:val="20"/>
                <w:szCs w:val="20"/>
              </w:rPr>
              <w:t>(1</w:t>
            </w:r>
            <w:r w:rsidRPr="00CC5843">
              <w:rPr>
                <w:spacing w:val="1"/>
                <w:sz w:val="20"/>
                <w:szCs w:val="20"/>
              </w:rPr>
              <w:t>8)</w:t>
            </w:r>
          </w:p>
        </w:tc>
        <w:tc>
          <w:tcPr>
            <w:tcW w:w="1134" w:type="dxa"/>
          </w:tcPr>
          <w:p w:rsidR="008764ED" w:rsidRPr="00CC5843" w:rsidRDefault="008764ED" w:rsidP="00CC5843">
            <w:pPr>
              <w:ind w:left="0"/>
              <w:rPr>
                <w:sz w:val="20"/>
                <w:szCs w:val="20"/>
              </w:rPr>
            </w:pPr>
            <w:r w:rsidRPr="00CC5843">
              <w:rPr>
                <w:sz w:val="20"/>
                <w:szCs w:val="20"/>
              </w:rPr>
              <w:t xml:space="preserve">5 </w:t>
            </w:r>
            <w:r w:rsidRPr="00CC5843">
              <w:rPr>
                <w:spacing w:val="1"/>
                <w:sz w:val="20"/>
                <w:szCs w:val="20"/>
              </w:rPr>
              <w:t>(</w:t>
            </w:r>
            <w:r w:rsidRPr="00CC5843">
              <w:rPr>
                <w:spacing w:val="-1"/>
                <w:sz w:val="20"/>
                <w:szCs w:val="20"/>
              </w:rPr>
              <w:t>2</w:t>
            </w:r>
            <w:r w:rsidRPr="00CC5843">
              <w:rPr>
                <w:spacing w:val="1"/>
                <w:sz w:val="20"/>
                <w:szCs w:val="20"/>
              </w:rPr>
              <w:t>8)</w:t>
            </w:r>
          </w:p>
        </w:tc>
        <w:tc>
          <w:tcPr>
            <w:tcW w:w="993" w:type="dxa"/>
          </w:tcPr>
          <w:p w:rsidR="008764ED" w:rsidRPr="00CC5843" w:rsidRDefault="008764ED" w:rsidP="00CC5843">
            <w:pPr>
              <w:ind w:left="0"/>
              <w:rPr>
                <w:sz w:val="20"/>
                <w:szCs w:val="20"/>
              </w:rPr>
            </w:pPr>
            <w:r w:rsidRPr="00CC5843">
              <w:rPr>
                <w:sz w:val="20"/>
                <w:szCs w:val="20"/>
              </w:rPr>
              <w:t>0</w:t>
            </w:r>
          </w:p>
        </w:tc>
        <w:tc>
          <w:tcPr>
            <w:tcW w:w="1134" w:type="dxa"/>
          </w:tcPr>
          <w:p w:rsidR="008764ED" w:rsidRPr="00CC5843" w:rsidRDefault="008764ED" w:rsidP="00CC5843">
            <w:pPr>
              <w:ind w:left="0"/>
              <w:rPr>
                <w:sz w:val="20"/>
                <w:szCs w:val="20"/>
              </w:rPr>
            </w:pPr>
            <w:r w:rsidRPr="00CC5843">
              <w:rPr>
                <w:spacing w:val="1"/>
                <w:sz w:val="20"/>
                <w:szCs w:val="20"/>
              </w:rPr>
              <w:t>3</w:t>
            </w:r>
            <w:r w:rsidRPr="00CC5843">
              <w:rPr>
                <w:sz w:val="20"/>
                <w:szCs w:val="20"/>
              </w:rPr>
              <w:t xml:space="preserve">9 </w:t>
            </w:r>
            <w:r w:rsidRPr="00CC5843">
              <w:rPr>
                <w:spacing w:val="-1"/>
                <w:sz w:val="20"/>
                <w:szCs w:val="20"/>
              </w:rPr>
              <w:t>(1</w:t>
            </w:r>
            <w:r w:rsidRPr="00CC5843">
              <w:rPr>
                <w:spacing w:val="1"/>
                <w:sz w:val="20"/>
                <w:szCs w:val="20"/>
              </w:rPr>
              <w:t>1)</w:t>
            </w:r>
          </w:p>
        </w:tc>
      </w:tr>
      <w:tr w:rsidR="008764ED" w:rsidRPr="00CC5843" w:rsidTr="00EC464E">
        <w:trPr>
          <w:trHeight w:val="227"/>
        </w:trPr>
        <w:tc>
          <w:tcPr>
            <w:tcW w:w="1384" w:type="dxa"/>
          </w:tcPr>
          <w:p w:rsidR="008764ED" w:rsidRPr="00CC5843" w:rsidRDefault="008764ED" w:rsidP="00CC5843">
            <w:pPr>
              <w:ind w:left="0"/>
              <w:rPr>
                <w:sz w:val="20"/>
                <w:szCs w:val="20"/>
              </w:rPr>
            </w:pPr>
            <w:r w:rsidRPr="00CC5843">
              <w:rPr>
                <w:spacing w:val="1"/>
                <w:sz w:val="20"/>
                <w:szCs w:val="20"/>
              </w:rPr>
              <w:t>≥</w:t>
            </w:r>
            <w:r w:rsidRPr="00CC5843">
              <w:rPr>
                <w:spacing w:val="-1"/>
                <w:sz w:val="20"/>
                <w:szCs w:val="20"/>
              </w:rPr>
              <w:t>1</w:t>
            </w:r>
            <w:r w:rsidRPr="00CC5843">
              <w:rPr>
                <w:sz w:val="20"/>
                <w:szCs w:val="20"/>
              </w:rPr>
              <w:t xml:space="preserve">5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hs</w:t>
            </w:r>
          </w:p>
        </w:tc>
        <w:tc>
          <w:tcPr>
            <w:tcW w:w="992" w:type="dxa"/>
          </w:tcPr>
          <w:p w:rsidR="008764ED" w:rsidRPr="00CC5843" w:rsidRDefault="008764ED" w:rsidP="00CC5843">
            <w:pPr>
              <w:ind w:left="0"/>
              <w:rPr>
                <w:sz w:val="20"/>
                <w:szCs w:val="20"/>
              </w:rPr>
            </w:pPr>
            <w:r w:rsidRPr="00CC5843">
              <w:rPr>
                <w:sz w:val="20"/>
                <w:szCs w:val="20"/>
              </w:rPr>
              <w:t xml:space="preserve">1 </w:t>
            </w:r>
            <w:r w:rsidRPr="00CC5843">
              <w:rPr>
                <w:spacing w:val="1"/>
                <w:sz w:val="20"/>
                <w:szCs w:val="20"/>
              </w:rPr>
              <w:t>(</w:t>
            </w:r>
            <w:r w:rsidRPr="00CC5843">
              <w:rPr>
                <w:spacing w:val="-1"/>
                <w:sz w:val="20"/>
                <w:szCs w:val="20"/>
              </w:rPr>
              <w:t>2</w:t>
            </w:r>
            <w:r w:rsidRPr="00CC5843">
              <w:rPr>
                <w:sz w:val="20"/>
                <w:szCs w:val="20"/>
              </w:rPr>
              <w:t>)</w:t>
            </w:r>
          </w:p>
        </w:tc>
        <w:tc>
          <w:tcPr>
            <w:tcW w:w="1134" w:type="dxa"/>
          </w:tcPr>
          <w:p w:rsidR="008764ED" w:rsidRPr="00CC5843" w:rsidRDefault="008764ED" w:rsidP="00CC5843">
            <w:pPr>
              <w:ind w:left="0"/>
              <w:rPr>
                <w:sz w:val="20"/>
                <w:szCs w:val="20"/>
              </w:rPr>
            </w:pPr>
            <w:r w:rsidRPr="00CC5843">
              <w:rPr>
                <w:sz w:val="20"/>
                <w:szCs w:val="20"/>
              </w:rPr>
              <w:t xml:space="preserve">6 </w:t>
            </w:r>
            <w:r w:rsidRPr="00CC5843">
              <w:rPr>
                <w:spacing w:val="1"/>
                <w:sz w:val="20"/>
                <w:szCs w:val="20"/>
              </w:rPr>
              <w:t>(</w:t>
            </w:r>
            <w:r w:rsidRPr="00CC5843">
              <w:rPr>
                <w:spacing w:val="-1"/>
                <w:sz w:val="20"/>
                <w:szCs w:val="20"/>
              </w:rPr>
              <w:t>7</w:t>
            </w:r>
            <w:r w:rsidRPr="00CC5843">
              <w:rPr>
                <w:sz w:val="20"/>
                <w:szCs w:val="20"/>
              </w:rPr>
              <w:t>)</w:t>
            </w:r>
          </w:p>
        </w:tc>
        <w:tc>
          <w:tcPr>
            <w:tcW w:w="1134" w:type="dxa"/>
          </w:tcPr>
          <w:p w:rsidR="008764ED" w:rsidRPr="00CC5843" w:rsidRDefault="008764ED" w:rsidP="00CC5843">
            <w:pPr>
              <w:ind w:left="0"/>
              <w:rPr>
                <w:sz w:val="20"/>
                <w:szCs w:val="20"/>
              </w:rPr>
            </w:pPr>
            <w:r w:rsidRPr="00CC5843">
              <w:rPr>
                <w:sz w:val="20"/>
                <w:szCs w:val="20"/>
              </w:rPr>
              <w:t xml:space="preserve">4 </w:t>
            </w:r>
            <w:r w:rsidRPr="00CC5843">
              <w:rPr>
                <w:spacing w:val="1"/>
                <w:sz w:val="20"/>
                <w:szCs w:val="20"/>
              </w:rPr>
              <w:t>(</w:t>
            </w:r>
            <w:r w:rsidRPr="00CC5843">
              <w:rPr>
                <w:spacing w:val="-1"/>
                <w:sz w:val="20"/>
                <w:szCs w:val="20"/>
              </w:rPr>
              <w:t>4</w:t>
            </w:r>
            <w:r w:rsidRPr="00CC5843">
              <w:rPr>
                <w:sz w:val="20"/>
                <w:szCs w:val="20"/>
              </w:rPr>
              <w:t>)</w:t>
            </w:r>
          </w:p>
        </w:tc>
        <w:tc>
          <w:tcPr>
            <w:tcW w:w="1134" w:type="dxa"/>
          </w:tcPr>
          <w:p w:rsidR="008764ED" w:rsidRPr="00CC5843" w:rsidRDefault="008764ED" w:rsidP="00CC5843">
            <w:pPr>
              <w:ind w:left="0"/>
              <w:rPr>
                <w:sz w:val="20"/>
                <w:szCs w:val="20"/>
              </w:rPr>
            </w:pPr>
            <w:r w:rsidRPr="00CC5843">
              <w:rPr>
                <w:sz w:val="20"/>
                <w:szCs w:val="20"/>
              </w:rPr>
              <w:t xml:space="preserve">8 </w:t>
            </w:r>
            <w:r w:rsidRPr="00CC5843">
              <w:rPr>
                <w:spacing w:val="1"/>
                <w:sz w:val="20"/>
                <w:szCs w:val="20"/>
              </w:rPr>
              <w:t>(</w:t>
            </w:r>
            <w:r w:rsidRPr="00CC5843">
              <w:rPr>
                <w:spacing w:val="-1"/>
                <w:sz w:val="20"/>
                <w:szCs w:val="20"/>
              </w:rPr>
              <w:t>1</w:t>
            </w:r>
            <w:r w:rsidRPr="00CC5843">
              <w:rPr>
                <w:spacing w:val="1"/>
                <w:sz w:val="20"/>
                <w:szCs w:val="20"/>
              </w:rPr>
              <w:t>0)</w:t>
            </w:r>
          </w:p>
        </w:tc>
        <w:tc>
          <w:tcPr>
            <w:tcW w:w="1134" w:type="dxa"/>
          </w:tcPr>
          <w:p w:rsidR="008764ED" w:rsidRPr="00CC5843" w:rsidRDefault="008764ED" w:rsidP="00CC5843">
            <w:pPr>
              <w:ind w:left="0"/>
              <w:rPr>
                <w:sz w:val="20"/>
                <w:szCs w:val="20"/>
              </w:rPr>
            </w:pPr>
            <w:r w:rsidRPr="00CC5843">
              <w:rPr>
                <w:sz w:val="20"/>
                <w:szCs w:val="20"/>
              </w:rPr>
              <w:t xml:space="preserve">2 </w:t>
            </w:r>
            <w:r w:rsidRPr="00CC5843">
              <w:rPr>
                <w:spacing w:val="1"/>
                <w:sz w:val="20"/>
                <w:szCs w:val="20"/>
              </w:rPr>
              <w:t>(</w:t>
            </w:r>
            <w:r w:rsidRPr="00CC5843">
              <w:rPr>
                <w:spacing w:val="-1"/>
                <w:sz w:val="20"/>
                <w:szCs w:val="20"/>
              </w:rPr>
              <w:t>1</w:t>
            </w:r>
            <w:r w:rsidRPr="00CC5843">
              <w:rPr>
                <w:spacing w:val="1"/>
                <w:sz w:val="20"/>
                <w:szCs w:val="20"/>
              </w:rPr>
              <w:t>1)</w:t>
            </w:r>
          </w:p>
        </w:tc>
        <w:tc>
          <w:tcPr>
            <w:tcW w:w="993" w:type="dxa"/>
          </w:tcPr>
          <w:p w:rsidR="008764ED" w:rsidRPr="00CC5843" w:rsidRDefault="008764ED" w:rsidP="00CC5843">
            <w:pPr>
              <w:ind w:left="0"/>
              <w:rPr>
                <w:sz w:val="20"/>
                <w:szCs w:val="20"/>
              </w:rPr>
            </w:pPr>
            <w:r w:rsidRPr="00CC5843">
              <w:rPr>
                <w:sz w:val="20"/>
                <w:szCs w:val="20"/>
              </w:rPr>
              <w:t>0</w:t>
            </w:r>
          </w:p>
        </w:tc>
        <w:tc>
          <w:tcPr>
            <w:tcW w:w="1134" w:type="dxa"/>
          </w:tcPr>
          <w:p w:rsidR="008764ED" w:rsidRPr="00CC5843" w:rsidRDefault="008764ED" w:rsidP="00CC5843">
            <w:pPr>
              <w:ind w:left="0"/>
              <w:rPr>
                <w:sz w:val="20"/>
                <w:szCs w:val="20"/>
              </w:rPr>
            </w:pPr>
            <w:r w:rsidRPr="00CC5843">
              <w:rPr>
                <w:spacing w:val="1"/>
                <w:sz w:val="20"/>
                <w:szCs w:val="20"/>
              </w:rPr>
              <w:t>2</w:t>
            </w:r>
            <w:r w:rsidRPr="00CC5843">
              <w:rPr>
                <w:sz w:val="20"/>
                <w:szCs w:val="20"/>
              </w:rPr>
              <w:t xml:space="preserve">1 </w:t>
            </w:r>
            <w:r w:rsidRPr="00CC5843">
              <w:rPr>
                <w:spacing w:val="-1"/>
                <w:sz w:val="20"/>
                <w:szCs w:val="20"/>
              </w:rPr>
              <w:t>(</w:t>
            </w:r>
            <w:r w:rsidRPr="00CC5843">
              <w:rPr>
                <w:spacing w:val="1"/>
                <w:sz w:val="20"/>
                <w:szCs w:val="20"/>
              </w:rPr>
              <w:t>6)</w:t>
            </w:r>
          </w:p>
        </w:tc>
      </w:tr>
      <w:tr w:rsidR="008764ED" w:rsidRPr="00CC5843" w:rsidTr="00EC464E">
        <w:trPr>
          <w:trHeight w:val="227"/>
        </w:trPr>
        <w:tc>
          <w:tcPr>
            <w:tcW w:w="1384" w:type="dxa"/>
          </w:tcPr>
          <w:p w:rsidR="008764ED" w:rsidRPr="00CC5843" w:rsidRDefault="008764ED" w:rsidP="00CC5843">
            <w:pPr>
              <w:ind w:left="0"/>
              <w:rPr>
                <w:sz w:val="20"/>
                <w:szCs w:val="20"/>
              </w:rPr>
            </w:pPr>
            <w:r w:rsidRPr="00CC5843">
              <w:rPr>
                <w:spacing w:val="1"/>
                <w:sz w:val="20"/>
                <w:szCs w:val="20"/>
              </w:rPr>
              <w:t>≥</w:t>
            </w:r>
            <w:r w:rsidRPr="00CC5843">
              <w:rPr>
                <w:sz w:val="20"/>
                <w:szCs w:val="20"/>
              </w:rPr>
              <w:t xml:space="preserve">18 </w:t>
            </w:r>
            <w:r w:rsidRPr="00CC5843">
              <w:rPr>
                <w:spacing w:val="-2"/>
                <w:sz w:val="20"/>
                <w:szCs w:val="20"/>
              </w:rPr>
              <w:t>m</w:t>
            </w:r>
            <w:r w:rsidRPr="00CC5843">
              <w:rPr>
                <w:spacing w:val="1"/>
                <w:sz w:val="20"/>
                <w:szCs w:val="20"/>
              </w:rPr>
              <w:t>on</w:t>
            </w:r>
            <w:r w:rsidRPr="00CC5843">
              <w:rPr>
                <w:sz w:val="20"/>
                <w:szCs w:val="20"/>
              </w:rPr>
              <w:t>t</w:t>
            </w:r>
            <w:r w:rsidRPr="00CC5843">
              <w:rPr>
                <w:spacing w:val="1"/>
                <w:sz w:val="20"/>
                <w:szCs w:val="20"/>
              </w:rPr>
              <w:t>h</w:t>
            </w:r>
            <w:r w:rsidRPr="00CC5843">
              <w:rPr>
                <w:sz w:val="20"/>
                <w:szCs w:val="20"/>
              </w:rPr>
              <w:t>s</w:t>
            </w:r>
          </w:p>
        </w:tc>
        <w:tc>
          <w:tcPr>
            <w:tcW w:w="992" w:type="dxa"/>
          </w:tcPr>
          <w:p w:rsidR="008764ED" w:rsidRPr="00CC5843" w:rsidRDefault="008764ED" w:rsidP="00CC5843">
            <w:pPr>
              <w:ind w:left="0"/>
              <w:rPr>
                <w:sz w:val="20"/>
                <w:szCs w:val="20"/>
              </w:rPr>
            </w:pPr>
            <w:r w:rsidRPr="00CC5843">
              <w:rPr>
                <w:sz w:val="20"/>
                <w:szCs w:val="20"/>
              </w:rPr>
              <w:t xml:space="preserve">1 </w:t>
            </w:r>
            <w:r w:rsidRPr="00CC5843">
              <w:rPr>
                <w:spacing w:val="1"/>
                <w:sz w:val="20"/>
                <w:szCs w:val="20"/>
              </w:rPr>
              <w:t>(</w:t>
            </w:r>
            <w:r w:rsidRPr="00CC5843">
              <w:rPr>
                <w:sz w:val="20"/>
                <w:szCs w:val="20"/>
              </w:rPr>
              <w:t>2)</w:t>
            </w:r>
          </w:p>
        </w:tc>
        <w:tc>
          <w:tcPr>
            <w:tcW w:w="1134" w:type="dxa"/>
          </w:tcPr>
          <w:p w:rsidR="008764ED" w:rsidRPr="00CC5843" w:rsidRDefault="008764ED" w:rsidP="00CC5843">
            <w:pPr>
              <w:ind w:left="0"/>
              <w:rPr>
                <w:sz w:val="20"/>
                <w:szCs w:val="20"/>
              </w:rPr>
            </w:pPr>
            <w:r w:rsidRPr="00CC5843">
              <w:rPr>
                <w:sz w:val="20"/>
                <w:szCs w:val="20"/>
              </w:rPr>
              <w:t xml:space="preserve">1 </w:t>
            </w:r>
            <w:r w:rsidRPr="00CC5843">
              <w:rPr>
                <w:spacing w:val="1"/>
                <w:sz w:val="20"/>
                <w:szCs w:val="20"/>
              </w:rPr>
              <w:t>(</w:t>
            </w:r>
            <w:r w:rsidRPr="00CC5843">
              <w:rPr>
                <w:sz w:val="20"/>
                <w:szCs w:val="20"/>
              </w:rPr>
              <w:t>1)</w:t>
            </w:r>
          </w:p>
        </w:tc>
        <w:tc>
          <w:tcPr>
            <w:tcW w:w="1134" w:type="dxa"/>
          </w:tcPr>
          <w:p w:rsidR="008764ED" w:rsidRPr="00CC5843" w:rsidRDefault="008764ED" w:rsidP="00CC5843">
            <w:pPr>
              <w:ind w:left="0"/>
              <w:rPr>
                <w:sz w:val="20"/>
                <w:szCs w:val="20"/>
              </w:rPr>
            </w:pPr>
            <w:r w:rsidRPr="00CC5843">
              <w:rPr>
                <w:sz w:val="20"/>
                <w:szCs w:val="20"/>
              </w:rPr>
              <w:t xml:space="preserve">3 </w:t>
            </w:r>
            <w:r w:rsidRPr="00CC5843">
              <w:rPr>
                <w:spacing w:val="1"/>
                <w:sz w:val="20"/>
                <w:szCs w:val="20"/>
              </w:rPr>
              <w:t>(</w:t>
            </w:r>
            <w:r w:rsidRPr="00CC5843">
              <w:rPr>
                <w:sz w:val="20"/>
                <w:szCs w:val="20"/>
              </w:rPr>
              <w:t>3)</w:t>
            </w:r>
          </w:p>
        </w:tc>
        <w:tc>
          <w:tcPr>
            <w:tcW w:w="1134" w:type="dxa"/>
          </w:tcPr>
          <w:p w:rsidR="008764ED" w:rsidRPr="00CC5843" w:rsidRDefault="008764ED" w:rsidP="00CC5843">
            <w:pPr>
              <w:ind w:left="0"/>
              <w:rPr>
                <w:sz w:val="20"/>
                <w:szCs w:val="20"/>
              </w:rPr>
            </w:pPr>
            <w:r w:rsidRPr="00CC5843">
              <w:rPr>
                <w:sz w:val="20"/>
                <w:szCs w:val="20"/>
              </w:rPr>
              <w:t xml:space="preserve">4 </w:t>
            </w:r>
            <w:r w:rsidRPr="00CC5843">
              <w:rPr>
                <w:spacing w:val="1"/>
                <w:sz w:val="20"/>
                <w:szCs w:val="20"/>
              </w:rPr>
              <w:t>(</w:t>
            </w:r>
            <w:r w:rsidRPr="00CC5843">
              <w:rPr>
                <w:sz w:val="20"/>
                <w:szCs w:val="20"/>
              </w:rPr>
              <w:t>5)</w:t>
            </w:r>
          </w:p>
        </w:tc>
        <w:tc>
          <w:tcPr>
            <w:tcW w:w="1134" w:type="dxa"/>
          </w:tcPr>
          <w:p w:rsidR="008764ED" w:rsidRPr="00CC5843" w:rsidRDefault="008764ED" w:rsidP="00CC5843">
            <w:pPr>
              <w:ind w:left="0"/>
              <w:rPr>
                <w:sz w:val="20"/>
                <w:szCs w:val="20"/>
              </w:rPr>
            </w:pPr>
            <w:r w:rsidRPr="00CC5843">
              <w:rPr>
                <w:sz w:val="20"/>
                <w:szCs w:val="20"/>
              </w:rPr>
              <w:t xml:space="preserve">1 </w:t>
            </w:r>
            <w:r w:rsidRPr="00CC5843">
              <w:rPr>
                <w:spacing w:val="1"/>
                <w:sz w:val="20"/>
                <w:szCs w:val="20"/>
              </w:rPr>
              <w:t>(</w:t>
            </w:r>
            <w:r w:rsidRPr="00CC5843">
              <w:rPr>
                <w:sz w:val="20"/>
                <w:szCs w:val="20"/>
              </w:rPr>
              <w:t>6)</w:t>
            </w:r>
          </w:p>
        </w:tc>
        <w:tc>
          <w:tcPr>
            <w:tcW w:w="993" w:type="dxa"/>
          </w:tcPr>
          <w:p w:rsidR="008764ED" w:rsidRPr="00CC5843" w:rsidRDefault="008764ED" w:rsidP="00CC5843">
            <w:pPr>
              <w:ind w:left="0"/>
              <w:rPr>
                <w:sz w:val="20"/>
                <w:szCs w:val="20"/>
              </w:rPr>
            </w:pPr>
            <w:r w:rsidRPr="00CC5843">
              <w:rPr>
                <w:sz w:val="20"/>
                <w:szCs w:val="20"/>
              </w:rPr>
              <w:t>0</w:t>
            </w:r>
          </w:p>
        </w:tc>
        <w:tc>
          <w:tcPr>
            <w:tcW w:w="1134" w:type="dxa"/>
          </w:tcPr>
          <w:p w:rsidR="008764ED" w:rsidRPr="00CC5843" w:rsidRDefault="008764ED" w:rsidP="00CC5843">
            <w:pPr>
              <w:ind w:left="0"/>
              <w:rPr>
                <w:sz w:val="20"/>
                <w:szCs w:val="20"/>
              </w:rPr>
            </w:pPr>
            <w:r w:rsidRPr="00CC5843">
              <w:rPr>
                <w:spacing w:val="1"/>
                <w:sz w:val="20"/>
                <w:szCs w:val="20"/>
              </w:rPr>
              <w:t>1</w:t>
            </w:r>
            <w:r w:rsidRPr="00CC5843">
              <w:rPr>
                <w:sz w:val="20"/>
                <w:szCs w:val="20"/>
              </w:rPr>
              <w:t>0 (</w:t>
            </w:r>
            <w:r w:rsidRPr="00CC5843">
              <w:rPr>
                <w:spacing w:val="1"/>
                <w:sz w:val="20"/>
                <w:szCs w:val="20"/>
              </w:rPr>
              <w:t>3</w:t>
            </w:r>
            <w:r w:rsidRPr="00CC5843">
              <w:rPr>
                <w:sz w:val="20"/>
                <w:szCs w:val="20"/>
              </w:rPr>
              <w:t>)</w:t>
            </w:r>
          </w:p>
        </w:tc>
      </w:tr>
    </w:tbl>
    <w:p w:rsidR="008764ED" w:rsidRDefault="008764ED" w:rsidP="000E433B">
      <w:pPr>
        <w:pStyle w:val="TableDescription"/>
      </w:pPr>
      <w:proofErr w:type="spellStart"/>
      <w:proofErr w:type="gramStart"/>
      <w:r w:rsidRPr="007F7755">
        <w:t>a</w:t>
      </w:r>
      <w:proofErr w:type="spellEnd"/>
      <w:proofErr w:type="gramEnd"/>
      <w:r w:rsidRPr="007F7755">
        <w:t xml:space="preserve"> Average dose per day cannot be calculated due to incomplete diary data.</w:t>
      </w:r>
      <w:r>
        <w:t xml:space="preserve"> </w:t>
      </w:r>
      <w:r w:rsidRPr="007F7755">
        <w:t>BTP=breakthrough pain.</w:t>
      </w:r>
    </w:p>
    <w:p w:rsidR="008764ED" w:rsidRDefault="008764ED" w:rsidP="00DB0A11">
      <w:pPr>
        <w:pStyle w:val="TableTitle"/>
      </w:pPr>
      <w:bookmarkStart w:id="113" w:name="_Toc383947287"/>
      <w:r>
        <w:t>Table</w:t>
      </w:r>
      <w:r w:rsidR="00281C4E">
        <w:t xml:space="preserve"> </w:t>
      </w:r>
      <w:r w:rsidR="00435510">
        <w:t xml:space="preserve">10: </w:t>
      </w:r>
      <w:r>
        <w:t>Extent of exposure to the study drug in Study 4027</w:t>
      </w:r>
      <w:bookmarkEnd w:id="113"/>
    </w:p>
    <w:tbl>
      <w:tblPr>
        <w:tblStyle w:val="TableTGAblue"/>
        <w:tblW w:w="9039" w:type="dxa"/>
        <w:tblLayout w:type="fixed"/>
        <w:tblLook w:val="0000" w:firstRow="0" w:lastRow="0" w:firstColumn="0" w:lastColumn="0" w:noHBand="0" w:noVBand="0"/>
      </w:tblPr>
      <w:tblGrid>
        <w:gridCol w:w="1384"/>
        <w:gridCol w:w="1276"/>
        <w:gridCol w:w="1276"/>
        <w:gridCol w:w="1134"/>
        <w:gridCol w:w="1202"/>
        <w:gridCol w:w="73"/>
        <w:gridCol w:w="1418"/>
        <w:gridCol w:w="142"/>
        <w:gridCol w:w="1134"/>
      </w:tblGrid>
      <w:tr w:rsidR="003533AE" w:rsidRPr="003533AE" w:rsidTr="000E433B">
        <w:trPr>
          <w:trHeight w:val="20"/>
          <w:tblHeader/>
        </w:trPr>
        <w:tc>
          <w:tcPr>
            <w:tcW w:w="1384" w:type="dxa"/>
            <w:vMerge w:val="restart"/>
            <w:shd w:val="clear" w:color="auto" w:fill="006DA7"/>
          </w:tcPr>
          <w:p w:rsidR="008764ED" w:rsidRPr="000E433B" w:rsidRDefault="008764ED" w:rsidP="000E433B">
            <w:pPr>
              <w:ind w:left="0" w:right="0"/>
              <w:rPr>
                <w:b/>
                <w:color w:val="FFFFFF" w:themeColor="background1"/>
                <w:sz w:val="20"/>
                <w:szCs w:val="20"/>
              </w:rPr>
            </w:pPr>
            <w:r w:rsidRPr="000E433B">
              <w:rPr>
                <w:b/>
                <w:color w:val="FFFFFF" w:themeColor="background1"/>
                <w:sz w:val="20"/>
                <w:szCs w:val="20"/>
              </w:rPr>
              <w:t>Var</w:t>
            </w:r>
            <w:r w:rsidRPr="000E433B">
              <w:rPr>
                <w:b/>
                <w:color w:val="FFFFFF" w:themeColor="background1"/>
                <w:spacing w:val="-2"/>
                <w:sz w:val="20"/>
                <w:szCs w:val="20"/>
              </w:rPr>
              <w:t>i</w:t>
            </w:r>
            <w:r w:rsidRPr="000E433B">
              <w:rPr>
                <w:b/>
                <w:color w:val="FFFFFF" w:themeColor="background1"/>
                <w:sz w:val="20"/>
                <w:szCs w:val="20"/>
              </w:rPr>
              <w:t>able</w:t>
            </w:r>
          </w:p>
        </w:tc>
        <w:tc>
          <w:tcPr>
            <w:tcW w:w="3686" w:type="dxa"/>
            <w:gridSpan w:val="3"/>
            <w:shd w:val="clear" w:color="auto" w:fill="006DA7"/>
          </w:tcPr>
          <w:p w:rsidR="008764ED" w:rsidRPr="000E433B" w:rsidRDefault="008764ED" w:rsidP="000E433B">
            <w:pPr>
              <w:ind w:left="41" w:right="0"/>
              <w:rPr>
                <w:b/>
                <w:color w:val="FFFFFF" w:themeColor="background1"/>
                <w:sz w:val="20"/>
                <w:szCs w:val="20"/>
              </w:rPr>
            </w:pPr>
            <w:r w:rsidRPr="000E433B">
              <w:rPr>
                <w:b/>
                <w:color w:val="FFFFFF" w:themeColor="background1"/>
                <w:sz w:val="20"/>
                <w:szCs w:val="20"/>
              </w:rPr>
              <w:t>Titration period</w:t>
            </w:r>
          </w:p>
        </w:tc>
        <w:tc>
          <w:tcPr>
            <w:tcW w:w="1275" w:type="dxa"/>
            <w:gridSpan w:val="2"/>
            <w:shd w:val="clear" w:color="auto" w:fill="006DA7"/>
          </w:tcPr>
          <w:p w:rsidR="008764ED" w:rsidRPr="000E433B" w:rsidRDefault="008764ED" w:rsidP="000E433B">
            <w:pPr>
              <w:ind w:left="74" w:right="0"/>
              <w:rPr>
                <w:b/>
                <w:color w:val="FFFFFF" w:themeColor="background1"/>
                <w:sz w:val="20"/>
                <w:szCs w:val="20"/>
              </w:rPr>
            </w:pPr>
            <w:r w:rsidRPr="000E433B">
              <w:rPr>
                <w:b/>
                <w:color w:val="FFFFFF" w:themeColor="background1"/>
                <w:sz w:val="20"/>
                <w:szCs w:val="20"/>
              </w:rPr>
              <w:t>Treatm</w:t>
            </w:r>
            <w:r w:rsidRPr="000E433B">
              <w:rPr>
                <w:b/>
                <w:color w:val="FFFFFF" w:themeColor="background1"/>
                <w:spacing w:val="-1"/>
                <w:sz w:val="20"/>
                <w:szCs w:val="20"/>
              </w:rPr>
              <w:t>e</w:t>
            </w:r>
            <w:r w:rsidRPr="000E433B">
              <w:rPr>
                <w:b/>
                <w:color w:val="FFFFFF" w:themeColor="background1"/>
                <w:sz w:val="20"/>
                <w:szCs w:val="20"/>
              </w:rPr>
              <w:t>nt period</w:t>
            </w:r>
          </w:p>
        </w:tc>
        <w:tc>
          <w:tcPr>
            <w:tcW w:w="1560" w:type="dxa"/>
            <w:gridSpan w:val="2"/>
            <w:shd w:val="clear" w:color="auto" w:fill="006DA7"/>
          </w:tcPr>
          <w:p w:rsidR="008764ED" w:rsidRPr="000E433B" w:rsidRDefault="008764ED" w:rsidP="000E433B">
            <w:pPr>
              <w:ind w:left="0" w:right="0"/>
              <w:rPr>
                <w:b/>
                <w:color w:val="FFFFFF" w:themeColor="background1"/>
                <w:sz w:val="20"/>
                <w:szCs w:val="20"/>
              </w:rPr>
            </w:pPr>
            <w:r w:rsidRPr="000E433B">
              <w:rPr>
                <w:b/>
                <w:color w:val="FFFFFF" w:themeColor="background1"/>
                <w:spacing w:val="1"/>
                <w:sz w:val="20"/>
                <w:szCs w:val="20"/>
              </w:rPr>
              <w:t>C</w:t>
            </w:r>
            <w:r w:rsidRPr="000E433B">
              <w:rPr>
                <w:b/>
                <w:color w:val="FFFFFF" w:themeColor="background1"/>
                <w:sz w:val="20"/>
                <w:szCs w:val="20"/>
              </w:rPr>
              <w:t>o</w:t>
            </w:r>
            <w:r w:rsidRPr="000E433B">
              <w:rPr>
                <w:b/>
                <w:color w:val="FFFFFF" w:themeColor="background1"/>
                <w:spacing w:val="1"/>
                <w:sz w:val="20"/>
                <w:szCs w:val="20"/>
              </w:rPr>
              <w:t>nt</w:t>
            </w:r>
            <w:r w:rsidRPr="000E433B">
              <w:rPr>
                <w:b/>
                <w:color w:val="FFFFFF" w:themeColor="background1"/>
                <w:sz w:val="20"/>
                <w:szCs w:val="20"/>
              </w:rPr>
              <w:t>in</w:t>
            </w:r>
            <w:r w:rsidRPr="000E433B">
              <w:rPr>
                <w:b/>
                <w:color w:val="FFFFFF" w:themeColor="background1"/>
                <w:spacing w:val="-1"/>
                <w:sz w:val="20"/>
                <w:szCs w:val="20"/>
              </w:rPr>
              <w:t>u</w:t>
            </w:r>
            <w:r w:rsidRPr="000E433B">
              <w:rPr>
                <w:b/>
                <w:color w:val="FFFFFF" w:themeColor="background1"/>
                <w:sz w:val="20"/>
                <w:szCs w:val="20"/>
              </w:rPr>
              <w:t>a</w:t>
            </w:r>
            <w:r w:rsidRPr="000E433B">
              <w:rPr>
                <w:b/>
                <w:color w:val="FFFFFF" w:themeColor="background1"/>
                <w:spacing w:val="1"/>
                <w:sz w:val="20"/>
                <w:szCs w:val="20"/>
              </w:rPr>
              <w:t>t</w:t>
            </w:r>
            <w:r w:rsidRPr="000E433B">
              <w:rPr>
                <w:b/>
                <w:color w:val="FFFFFF" w:themeColor="background1"/>
                <w:sz w:val="20"/>
                <w:szCs w:val="20"/>
              </w:rPr>
              <w:t>i</w:t>
            </w:r>
            <w:r w:rsidRPr="000E433B">
              <w:rPr>
                <w:b/>
                <w:color w:val="FFFFFF" w:themeColor="background1"/>
                <w:spacing w:val="1"/>
                <w:sz w:val="20"/>
                <w:szCs w:val="20"/>
              </w:rPr>
              <w:t>on</w:t>
            </w:r>
            <w:r w:rsidRPr="000E433B">
              <w:rPr>
                <w:b/>
                <w:color w:val="FFFFFF" w:themeColor="background1"/>
                <w:sz w:val="20"/>
                <w:szCs w:val="20"/>
              </w:rPr>
              <w:t xml:space="preserve"> period</w:t>
            </w:r>
          </w:p>
        </w:tc>
        <w:tc>
          <w:tcPr>
            <w:tcW w:w="1134" w:type="dxa"/>
            <w:shd w:val="clear" w:color="auto" w:fill="006DA7"/>
          </w:tcPr>
          <w:p w:rsidR="008764ED" w:rsidRPr="000E433B" w:rsidRDefault="008764ED" w:rsidP="000E433B">
            <w:pPr>
              <w:ind w:left="0" w:right="0"/>
              <w:rPr>
                <w:b/>
                <w:color w:val="FFFFFF" w:themeColor="background1"/>
                <w:sz w:val="20"/>
                <w:szCs w:val="20"/>
              </w:rPr>
            </w:pPr>
            <w:r w:rsidRPr="000E433B">
              <w:rPr>
                <w:b/>
                <w:color w:val="FFFFFF" w:themeColor="background1"/>
                <w:sz w:val="20"/>
                <w:szCs w:val="20"/>
              </w:rPr>
              <w:t>All periods</w:t>
            </w:r>
          </w:p>
        </w:tc>
      </w:tr>
      <w:tr w:rsidR="003533AE" w:rsidRPr="003533AE" w:rsidTr="000E433B">
        <w:trPr>
          <w:trHeight w:val="20"/>
          <w:tblHeader/>
        </w:trPr>
        <w:tc>
          <w:tcPr>
            <w:tcW w:w="1384" w:type="dxa"/>
            <w:vMerge/>
            <w:tcBorders>
              <w:bottom w:val="single" w:sz="8" w:space="0" w:color="000000" w:themeColor="text1"/>
            </w:tcBorders>
            <w:shd w:val="clear" w:color="auto" w:fill="006DA7"/>
          </w:tcPr>
          <w:p w:rsidR="008764ED" w:rsidRPr="000E433B" w:rsidRDefault="008764ED" w:rsidP="000E433B">
            <w:pPr>
              <w:ind w:left="0" w:right="0"/>
              <w:rPr>
                <w:b/>
                <w:color w:val="FFFFFF" w:themeColor="background1"/>
                <w:spacing w:val="1"/>
                <w:sz w:val="20"/>
                <w:szCs w:val="20"/>
              </w:rPr>
            </w:pPr>
          </w:p>
        </w:tc>
        <w:tc>
          <w:tcPr>
            <w:tcW w:w="1276" w:type="dxa"/>
            <w:tcBorders>
              <w:bottom w:val="single" w:sz="8" w:space="0" w:color="000000" w:themeColor="text1"/>
            </w:tcBorders>
            <w:shd w:val="clear" w:color="auto" w:fill="006DA7"/>
          </w:tcPr>
          <w:p w:rsidR="008764ED" w:rsidRPr="000E433B" w:rsidRDefault="008764ED" w:rsidP="000E433B">
            <w:pPr>
              <w:ind w:left="41" w:right="0"/>
              <w:rPr>
                <w:b/>
                <w:color w:val="FFFFFF" w:themeColor="background1"/>
                <w:spacing w:val="1"/>
                <w:sz w:val="20"/>
                <w:szCs w:val="20"/>
              </w:rPr>
            </w:pPr>
            <w:r w:rsidRPr="000E433B">
              <w:rPr>
                <w:b/>
                <w:color w:val="FFFFFF" w:themeColor="background1"/>
                <w:spacing w:val="1"/>
                <w:sz w:val="20"/>
                <w:szCs w:val="20"/>
              </w:rPr>
              <w:t>1</w:t>
            </w:r>
            <w:r w:rsidRPr="000E433B">
              <w:rPr>
                <w:b/>
                <w:color w:val="FFFFFF" w:themeColor="background1"/>
                <w:sz w:val="20"/>
                <w:szCs w:val="20"/>
              </w:rPr>
              <w:t xml:space="preserve">00 </w:t>
            </w:r>
            <w:r w:rsidRPr="000E433B">
              <w:rPr>
                <w:b/>
                <w:color w:val="FFFFFF" w:themeColor="background1"/>
                <w:spacing w:val="1"/>
                <w:sz w:val="20"/>
                <w:szCs w:val="20"/>
              </w:rPr>
              <w:t>µg</w:t>
            </w:r>
            <w:r w:rsidR="00CC5843" w:rsidRPr="000E433B">
              <w:rPr>
                <w:b/>
                <w:color w:val="FFFFFF" w:themeColor="background1"/>
                <w:spacing w:val="1"/>
                <w:sz w:val="20"/>
                <w:szCs w:val="20"/>
              </w:rPr>
              <w:t xml:space="preserve"> </w:t>
            </w:r>
            <w:r w:rsidRPr="000E433B">
              <w:rPr>
                <w:b/>
                <w:color w:val="FFFFFF" w:themeColor="background1"/>
                <w:spacing w:val="1"/>
                <w:sz w:val="20"/>
                <w:szCs w:val="20"/>
              </w:rPr>
              <w:t>(N</w:t>
            </w:r>
            <w:r w:rsidRPr="000E433B">
              <w:rPr>
                <w:b/>
                <w:color w:val="FFFFFF" w:themeColor="background1"/>
                <w:spacing w:val="-1"/>
                <w:sz w:val="20"/>
                <w:szCs w:val="20"/>
              </w:rPr>
              <w:t>=</w:t>
            </w:r>
            <w:r w:rsidRPr="000E433B">
              <w:rPr>
                <w:b/>
                <w:color w:val="FFFFFF" w:themeColor="background1"/>
                <w:sz w:val="20"/>
                <w:szCs w:val="20"/>
              </w:rPr>
              <w:t>1</w:t>
            </w:r>
            <w:r w:rsidRPr="000E433B">
              <w:rPr>
                <w:b/>
                <w:color w:val="FFFFFF" w:themeColor="background1"/>
                <w:spacing w:val="1"/>
                <w:sz w:val="20"/>
                <w:szCs w:val="20"/>
              </w:rPr>
              <w:t>4</w:t>
            </w:r>
            <w:r w:rsidRPr="000E433B">
              <w:rPr>
                <w:b/>
                <w:color w:val="FFFFFF" w:themeColor="background1"/>
                <w:sz w:val="20"/>
                <w:szCs w:val="20"/>
              </w:rPr>
              <w:t>5)</w:t>
            </w:r>
          </w:p>
        </w:tc>
        <w:tc>
          <w:tcPr>
            <w:tcW w:w="1276" w:type="dxa"/>
            <w:tcBorders>
              <w:bottom w:val="single" w:sz="8" w:space="0" w:color="000000" w:themeColor="text1"/>
            </w:tcBorders>
            <w:shd w:val="clear" w:color="auto" w:fill="006DA7"/>
          </w:tcPr>
          <w:p w:rsidR="008764ED" w:rsidRPr="000E433B" w:rsidRDefault="008764ED" w:rsidP="000E433B">
            <w:pPr>
              <w:ind w:left="41" w:right="0"/>
              <w:rPr>
                <w:b/>
                <w:color w:val="FFFFFF" w:themeColor="background1"/>
                <w:spacing w:val="1"/>
                <w:sz w:val="20"/>
                <w:szCs w:val="20"/>
              </w:rPr>
            </w:pPr>
            <w:r w:rsidRPr="000E433B">
              <w:rPr>
                <w:b/>
                <w:color w:val="FFFFFF" w:themeColor="background1"/>
                <w:spacing w:val="1"/>
                <w:sz w:val="20"/>
                <w:szCs w:val="20"/>
              </w:rPr>
              <w:t>2</w:t>
            </w:r>
            <w:r w:rsidRPr="000E433B">
              <w:rPr>
                <w:b/>
                <w:color w:val="FFFFFF" w:themeColor="background1"/>
                <w:sz w:val="20"/>
                <w:szCs w:val="20"/>
              </w:rPr>
              <w:t xml:space="preserve">00 </w:t>
            </w:r>
            <w:r w:rsidRPr="000E433B">
              <w:rPr>
                <w:b/>
                <w:color w:val="FFFFFF" w:themeColor="background1"/>
                <w:spacing w:val="1"/>
                <w:sz w:val="20"/>
                <w:szCs w:val="20"/>
              </w:rPr>
              <w:t>µg</w:t>
            </w:r>
            <w:r w:rsidR="00CC5843" w:rsidRPr="000E433B">
              <w:rPr>
                <w:b/>
                <w:color w:val="FFFFFF" w:themeColor="background1"/>
                <w:spacing w:val="1"/>
                <w:sz w:val="20"/>
                <w:szCs w:val="20"/>
              </w:rPr>
              <w:t xml:space="preserve"> </w:t>
            </w:r>
            <w:r w:rsidRPr="000E433B">
              <w:rPr>
                <w:b/>
                <w:color w:val="FFFFFF" w:themeColor="background1"/>
                <w:spacing w:val="1"/>
                <w:sz w:val="20"/>
                <w:szCs w:val="20"/>
              </w:rPr>
              <w:t>(N</w:t>
            </w:r>
            <w:r w:rsidRPr="000E433B">
              <w:rPr>
                <w:b/>
                <w:color w:val="FFFFFF" w:themeColor="background1"/>
                <w:spacing w:val="-1"/>
                <w:sz w:val="20"/>
                <w:szCs w:val="20"/>
              </w:rPr>
              <w:t>=</w:t>
            </w:r>
            <w:r w:rsidRPr="000E433B">
              <w:rPr>
                <w:b/>
                <w:color w:val="FFFFFF" w:themeColor="background1"/>
                <w:sz w:val="20"/>
                <w:szCs w:val="20"/>
              </w:rPr>
              <w:t>1</w:t>
            </w:r>
            <w:r w:rsidRPr="000E433B">
              <w:rPr>
                <w:b/>
                <w:color w:val="FFFFFF" w:themeColor="background1"/>
                <w:spacing w:val="1"/>
                <w:sz w:val="20"/>
                <w:szCs w:val="20"/>
              </w:rPr>
              <w:t>6</w:t>
            </w:r>
            <w:r w:rsidRPr="000E433B">
              <w:rPr>
                <w:b/>
                <w:color w:val="FFFFFF" w:themeColor="background1"/>
                <w:sz w:val="20"/>
                <w:szCs w:val="20"/>
              </w:rPr>
              <w:t>7)</w:t>
            </w:r>
          </w:p>
        </w:tc>
        <w:tc>
          <w:tcPr>
            <w:tcW w:w="1134" w:type="dxa"/>
            <w:tcBorders>
              <w:bottom w:val="single" w:sz="8" w:space="0" w:color="000000" w:themeColor="text1"/>
            </w:tcBorders>
            <w:shd w:val="clear" w:color="auto" w:fill="006DA7"/>
          </w:tcPr>
          <w:p w:rsidR="008764ED" w:rsidRPr="000E433B" w:rsidRDefault="008764ED" w:rsidP="000E433B">
            <w:pPr>
              <w:ind w:left="41" w:right="0"/>
              <w:rPr>
                <w:b/>
                <w:color w:val="FFFFFF" w:themeColor="background1"/>
                <w:spacing w:val="1"/>
                <w:sz w:val="20"/>
                <w:szCs w:val="20"/>
              </w:rPr>
            </w:pPr>
            <w:r w:rsidRPr="000E433B">
              <w:rPr>
                <w:b/>
                <w:color w:val="FFFFFF" w:themeColor="background1"/>
                <w:sz w:val="20"/>
                <w:szCs w:val="20"/>
              </w:rPr>
              <w:t>Total</w:t>
            </w:r>
            <w:r w:rsidR="00CC5843" w:rsidRPr="000E433B">
              <w:rPr>
                <w:b/>
                <w:color w:val="FFFFFF" w:themeColor="background1"/>
                <w:sz w:val="20"/>
                <w:szCs w:val="20"/>
              </w:rPr>
              <w:t xml:space="preserve"> </w:t>
            </w:r>
            <w:r w:rsidRPr="000E433B">
              <w:rPr>
                <w:b/>
                <w:color w:val="FFFFFF" w:themeColor="background1"/>
                <w:spacing w:val="1"/>
                <w:sz w:val="20"/>
                <w:szCs w:val="20"/>
              </w:rPr>
              <w:t>(N</w:t>
            </w:r>
            <w:r w:rsidRPr="000E433B">
              <w:rPr>
                <w:b/>
                <w:color w:val="FFFFFF" w:themeColor="background1"/>
                <w:spacing w:val="-1"/>
                <w:sz w:val="20"/>
                <w:szCs w:val="20"/>
              </w:rPr>
              <w:t>=</w:t>
            </w:r>
            <w:r w:rsidRPr="000E433B">
              <w:rPr>
                <w:b/>
                <w:color w:val="FFFFFF" w:themeColor="background1"/>
                <w:sz w:val="20"/>
                <w:szCs w:val="20"/>
              </w:rPr>
              <w:t>3</w:t>
            </w:r>
            <w:r w:rsidRPr="000E433B">
              <w:rPr>
                <w:b/>
                <w:color w:val="FFFFFF" w:themeColor="background1"/>
                <w:spacing w:val="1"/>
                <w:sz w:val="20"/>
                <w:szCs w:val="20"/>
              </w:rPr>
              <w:t>1</w:t>
            </w:r>
            <w:r w:rsidRPr="000E433B">
              <w:rPr>
                <w:b/>
                <w:color w:val="FFFFFF" w:themeColor="background1"/>
                <w:sz w:val="20"/>
                <w:szCs w:val="20"/>
              </w:rPr>
              <w:t>2)</w:t>
            </w:r>
          </w:p>
        </w:tc>
        <w:tc>
          <w:tcPr>
            <w:tcW w:w="1275" w:type="dxa"/>
            <w:gridSpan w:val="2"/>
            <w:tcBorders>
              <w:bottom w:val="single" w:sz="8" w:space="0" w:color="000000" w:themeColor="text1"/>
            </w:tcBorders>
            <w:shd w:val="clear" w:color="auto" w:fill="006DA7"/>
          </w:tcPr>
          <w:p w:rsidR="008764ED" w:rsidRPr="000E433B" w:rsidRDefault="008764ED" w:rsidP="000E433B">
            <w:pPr>
              <w:ind w:left="74" w:right="0"/>
              <w:rPr>
                <w:b/>
                <w:color w:val="FFFFFF" w:themeColor="background1"/>
                <w:spacing w:val="1"/>
                <w:sz w:val="20"/>
                <w:szCs w:val="20"/>
              </w:rPr>
            </w:pPr>
            <w:r w:rsidRPr="000E433B">
              <w:rPr>
                <w:b/>
                <w:color w:val="FFFFFF" w:themeColor="background1"/>
                <w:sz w:val="20"/>
                <w:szCs w:val="20"/>
              </w:rPr>
              <w:t>O</w:t>
            </w:r>
            <w:r w:rsidRPr="000E433B">
              <w:rPr>
                <w:b/>
                <w:color w:val="FFFFFF" w:themeColor="background1"/>
                <w:spacing w:val="1"/>
                <w:sz w:val="20"/>
                <w:szCs w:val="20"/>
              </w:rPr>
              <w:t>v</w:t>
            </w:r>
            <w:r w:rsidRPr="000E433B">
              <w:rPr>
                <w:b/>
                <w:color w:val="FFFFFF" w:themeColor="background1"/>
                <w:sz w:val="20"/>
                <w:szCs w:val="20"/>
              </w:rPr>
              <w:t>er</w:t>
            </w:r>
            <w:r w:rsidRPr="000E433B">
              <w:rPr>
                <w:b/>
                <w:color w:val="FFFFFF" w:themeColor="background1"/>
                <w:spacing w:val="1"/>
                <w:sz w:val="20"/>
                <w:szCs w:val="20"/>
              </w:rPr>
              <w:t>a</w:t>
            </w:r>
            <w:r w:rsidRPr="000E433B">
              <w:rPr>
                <w:b/>
                <w:color w:val="FFFFFF" w:themeColor="background1"/>
                <w:sz w:val="20"/>
                <w:szCs w:val="20"/>
              </w:rPr>
              <w:t>ll</w:t>
            </w:r>
            <w:r w:rsidR="00CC5843" w:rsidRPr="000E433B">
              <w:rPr>
                <w:b/>
                <w:color w:val="FFFFFF" w:themeColor="background1"/>
                <w:sz w:val="20"/>
                <w:szCs w:val="20"/>
              </w:rPr>
              <w:t xml:space="preserve"> </w:t>
            </w:r>
            <w:r w:rsidRPr="000E433B">
              <w:rPr>
                <w:b/>
                <w:color w:val="FFFFFF" w:themeColor="background1"/>
                <w:sz w:val="20"/>
                <w:szCs w:val="20"/>
              </w:rPr>
              <w:t>(N</w:t>
            </w:r>
            <w:r w:rsidRPr="000E433B">
              <w:rPr>
                <w:b/>
                <w:color w:val="FFFFFF" w:themeColor="background1"/>
                <w:spacing w:val="-1"/>
                <w:sz w:val="20"/>
                <w:szCs w:val="20"/>
              </w:rPr>
              <w:t>=</w:t>
            </w:r>
            <w:r w:rsidRPr="000E433B">
              <w:rPr>
                <w:b/>
                <w:color w:val="FFFFFF" w:themeColor="background1"/>
                <w:sz w:val="20"/>
                <w:szCs w:val="20"/>
              </w:rPr>
              <w:t>223)</w:t>
            </w:r>
          </w:p>
        </w:tc>
        <w:tc>
          <w:tcPr>
            <w:tcW w:w="1560" w:type="dxa"/>
            <w:gridSpan w:val="2"/>
            <w:tcBorders>
              <w:bottom w:val="single" w:sz="8" w:space="0" w:color="000000" w:themeColor="text1"/>
            </w:tcBorders>
            <w:shd w:val="clear" w:color="auto" w:fill="006DA7"/>
          </w:tcPr>
          <w:p w:rsidR="008764ED" w:rsidRPr="000E433B" w:rsidRDefault="008764ED" w:rsidP="000E433B">
            <w:pPr>
              <w:ind w:left="0" w:right="0"/>
              <w:rPr>
                <w:b/>
                <w:color w:val="FFFFFF" w:themeColor="background1"/>
                <w:spacing w:val="1"/>
                <w:sz w:val="20"/>
                <w:szCs w:val="20"/>
              </w:rPr>
            </w:pPr>
            <w:r w:rsidRPr="000E433B">
              <w:rPr>
                <w:b/>
                <w:color w:val="FFFFFF" w:themeColor="background1"/>
                <w:sz w:val="20"/>
                <w:szCs w:val="20"/>
              </w:rPr>
              <w:t>O</w:t>
            </w:r>
            <w:r w:rsidRPr="000E433B">
              <w:rPr>
                <w:b/>
                <w:color w:val="FFFFFF" w:themeColor="background1"/>
                <w:spacing w:val="1"/>
                <w:sz w:val="20"/>
                <w:szCs w:val="20"/>
              </w:rPr>
              <w:t>v</w:t>
            </w:r>
            <w:r w:rsidRPr="000E433B">
              <w:rPr>
                <w:b/>
                <w:color w:val="FFFFFF" w:themeColor="background1"/>
                <w:sz w:val="20"/>
                <w:szCs w:val="20"/>
              </w:rPr>
              <w:t>er</w:t>
            </w:r>
            <w:r w:rsidRPr="000E433B">
              <w:rPr>
                <w:b/>
                <w:color w:val="FFFFFF" w:themeColor="background1"/>
                <w:spacing w:val="1"/>
                <w:sz w:val="20"/>
                <w:szCs w:val="20"/>
              </w:rPr>
              <w:t>a</w:t>
            </w:r>
            <w:r w:rsidRPr="000E433B">
              <w:rPr>
                <w:b/>
                <w:color w:val="FFFFFF" w:themeColor="background1"/>
                <w:sz w:val="20"/>
                <w:szCs w:val="20"/>
              </w:rPr>
              <w:t>ll</w:t>
            </w:r>
            <w:r w:rsidR="00CC5843" w:rsidRPr="000E433B">
              <w:rPr>
                <w:b/>
                <w:color w:val="FFFFFF" w:themeColor="background1"/>
                <w:sz w:val="20"/>
                <w:szCs w:val="20"/>
              </w:rPr>
              <w:t xml:space="preserve"> </w:t>
            </w:r>
            <w:r w:rsidRPr="000E433B">
              <w:rPr>
                <w:b/>
                <w:color w:val="FFFFFF" w:themeColor="background1"/>
                <w:spacing w:val="1"/>
                <w:sz w:val="20"/>
                <w:szCs w:val="20"/>
              </w:rPr>
              <w:t>(N</w:t>
            </w:r>
            <w:r w:rsidRPr="000E433B">
              <w:rPr>
                <w:b/>
                <w:color w:val="FFFFFF" w:themeColor="background1"/>
                <w:spacing w:val="-1"/>
                <w:sz w:val="20"/>
                <w:szCs w:val="20"/>
              </w:rPr>
              <w:t>=</w:t>
            </w:r>
            <w:r w:rsidRPr="000E433B">
              <w:rPr>
                <w:b/>
                <w:color w:val="FFFFFF" w:themeColor="background1"/>
                <w:sz w:val="20"/>
                <w:szCs w:val="20"/>
              </w:rPr>
              <w:t>8</w:t>
            </w:r>
            <w:r w:rsidRPr="000E433B">
              <w:rPr>
                <w:b/>
                <w:color w:val="FFFFFF" w:themeColor="background1"/>
                <w:spacing w:val="1"/>
                <w:sz w:val="20"/>
                <w:szCs w:val="20"/>
              </w:rPr>
              <w:t>7)</w:t>
            </w:r>
          </w:p>
        </w:tc>
        <w:tc>
          <w:tcPr>
            <w:tcW w:w="1134" w:type="dxa"/>
            <w:tcBorders>
              <w:bottom w:val="single" w:sz="8" w:space="0" w:color="000000" w:themeColor="text1"/>
            </w:tcBorders>
            <w:shd w:val="clear" w:color="auto" w:fill="006DA7"/>
          </w:tcPr>
          <w:p w:rsidR="008764ED" w:rsidRPr="000E433B" w:rsidRDefault="008764ED" w:rsidP="000E433B">
            <w:pPr>
              <w:ind w:left="0" w:right="0"/>
              <w:rPr>
                <w:b/>
                <w:color w:val="FFFFFF" w:themeColor="background1"/>
                <w:spacing w:val="1"/>
                <w:sz w:val="20"/>
                <w:szCs w:val="20"/>
              </w:rPr>
            </w:pPr>
            <w:r w:rsidRPr="000E433B">
              <w:rPr>
                <w:b/>
                <w:color w:val="FFFFFF" w:themeColor="background1"/>
                <w:sz w:val="20"/>
                <w:szCs w:val="20"/>
              </w:rPr>
              <w:t>O</w:t>
            </w:r>
            <w:r w:rsidRPr="000E433B">
              <w:rPr>
                <w:b/>
                <w:color w:val="FFFFFF" w:themeColor="background1"/>
                <w:spacing w:val="1"/>
                <w:sz w:val="20"/>
                <w:szCs w:val="20"/>
              </w:rPr>
              <w:t>v</w:t>
            </w:r>
            <w:r w:rsidRPr="000E433B">
              <w:rPr>
                <w:b/>
                <w:color w:val="FFFFFF" w:themeColor="background1"/>
                <w:sz w:val="20"/>
                <w:szCs w:val="20"/>
              </w:rPr>
              <w:t>er</w:t>
            </w:r>
            <w:r w:rsidRPr="000E433B">
              <w:rPr>
                <w:b/>
                <w:color w:val="FFFFFF" w:themeColor="background1"/>
                <w:spacing w:val="1"/>
                <w:sz w:val="20"/>
                <w:szCs w:val="20"/>
              </w:rPr>
              <w:t>a</w:t>
            </w:r>
            <w:r w:rsidRPr="000E433B">
              <w:rPr>
                <w:b/>
                <w:color w:val="FFFFFF" w:themeColor="background1"/>
                <w:sz w:val="20"/>
                <w:szCs w:val="20"/>
              </w:rPr>
              <w:t>ll</w:t>
            </w:r>
            <w:r w:rsidR="000E433B">
              <w:rPr>
                <w:b/>
                <w:color w:val="FFFFFF" w:themeColor="background1"/>
                <w:sz w:val="20"/>
                <w:szCs w:val="20"/>
              </w:rPr>
              <w:t xml:space="preserve"> </w:t>
            </w:r>
            <w:r w:rsidRPr="000E433B">
              <w:rPr>
                <w:b/>
                <w:color w:val="FFFFFF" w:themeColor="background1"/>
                <w:sz w:val="20"/>
                <w:szCs w:val="20"/>
              </w:rPr>
              <w:t>(N</w:t>
            </w:r>
            <w:r w:rsidRPr="000E433B">
              <w:rPr>
                <w:b/>
                <w:color w:val="FFFFFF" w:themeColor="background1"/>
                <w:spacing w:val="-1"/>
                <w:sz w:val="20"/>
                <w:szCs w:val="20"/>
              </w:rPr>
              <w:t>=</w:t>
            </w:r>
            <w:r w:rsidRPr="000E433B">
              <w:rPr>
                <w:b/>
                <w:color w:val="FFFFFF" w:themeColor="background1"/>
                <w:sz w:val="20"/>
                <w:szCs w:val="20"/>
              </w:rPr>
              <w:t>223)</w:t>
            </w:r>
          </w:p>
        </w:tc>
      </w:tr>
      <w:tr w:rsidR="000E433B" w:rsidRPr="003533AE" w:rsidTr="00DC128C">
        <w:trPr>
          <w:trHeight w:val="20"/>
        </w:trPr>
        <w:tc>
          <w:tcPr>
            <w:tcW w:w="9039" w:type="dxa"/>
            <w:gridSpan w:val="9"/>
            <w:shd w:val="clear" w:color="auto" w:fill="C6D4E9"/>
          </w:tcPr>
          <w:p w:rsidR="000E433B" w:rsidRPr="003533AE" w:rsidRDefault="000E433B" w:rsidP="003533AE">
            <w:pPr>
              <w:ind w:left="0"/>
              <w:rPr>
                <w:spacing w:val="1"/>
                <w:sz w:val="20"/>
                <w:szCs w:val="20"/>
              </w:rPr>
            </w:pPr>
            <w:r w:rsidRPr="003533AE">
              <w:rPr>
                <w:spacing w:val="1"/>
                <w:sz w:val="20"/>
                <w:szCs w:val="20"/>
              </w:rPr>
              <w:t>Du</w:t>
            </w:r>
            <w:r w:rsidRPr="003533AE">
              <w:rPr>
                <w:spacing w:val="-1"/>
                <w:sz w:val="20"/>
                <w:szCs w:val="20"/>
              </w:rPr>
              <w:t>r</w:t>
            </w:r>
            <w:r w:rsidRPr="003533AE">
              <w:rPr>
                <w:spacing w:val="1"/>
                <w:sz w:val="20"/>
                <w:szCs w:val="20"/>
              </w:rPr>
              <w:t>at</w:t>
            </w:r>
            <w:r w:rsidRPr="003533AE">
              <w:rPr>
                <w:spacing w:val="-2"/>
                <w:sz w:val="20"/>
                <w:szCs w:val="20"/>
              </w:rPr>
              <w:t>i</w:t>
            </w:r>
            <w:r w:rsidRPr="003533AE">
              <w:rPr>
                <w:spacing w:val="1"/>
                <w:sz w:val="20"/>
                <w:szCs w:val="20"/>
              </w:rPr>
              <w:t>o</w:t>
            </w:r>
            <w:r w:rsidRPr="003533AE">
              <w:rPr>
                <w:sz w:val="20"/>
                <w:szCs w:val="20"/>
              </w:rPr>
              <w:t xml:space="preserve">n </w:t>
            </w:r>
            <w:r w:rsidRPr="003533AE">
              <w:rPr>
                <w:spacing w:val="1"/>
                <w:sz w:val="20"/>
                <w:szCs w:val="20"/>
              </w:rPr>
              <w:t>o</w:t>
            </w:r>
            <w:r w:rsidRPr="003533AE">
              <w:rPr>
                <w:sz w:val="20"/>
                <w:szCs w:val="20"/>
              </w:rPr>
              <w:t xml:space="preserve">f </w:t>
            </w:r>
            <w:r w:rsidRPr="003533AE">
              <w:rPr>
                <w:spacing w:val="1"/>
                <w:sz w:val="20"/>
                <w:szCs w:val="20"/>
              </w:rPr>
              <w:t>t</w:t>
            </w:r>
            <w:r w:rsidRPr="003533AE">
              <w:rPr>
                <w:spacing w:val="-1"/>
                <w:sz w:val="20"/>
                <w:szCs w:val="20"/>
              </w:rPr>
              <w:t>r</w:t>
            </w:r>
            <w:r w:rsidRPr="003533AE">
              <w:rPr>
                <w:spacing w:val="1"/>
                <w:sz w:val="20"/>
                <w:szCs w:val="20"/>
              </w:rPr>
              <w:t>eatm</w:t>
            </w:r>
            <w:r w:rsidRPr="003533AE">
              <w:rPr>
                <w:spacing w:val="-1"/>
                <w:sz w:val="20"/>
                <w:szCs w:val="20"/>
              </w:rPr>
              <w:t>e</w:t>
            </w:r>
            <w:r w:rsidRPr="003533AE">
              <w:rPr>
                <w:sz w:val="20"/>
                <w:szCs w:val="20"/>
              </w:rPr>
              <w:t>nt (d</w:t>
            </w:r>
            <w:r w:rsidRPr="003533AE">
              <w:rPr>
                <w:spacing w:val="-1"/>
                <w:sz w:val="20"/>
                <w:szCs w:val="20"/>
              </w:rPr>
              <w:t>a</w:t>
            </w:r>
            <w:r w:rsidRPr="003533AE">
              <w:rPr>
                <w:spacing w:val="1"/>
                <w:sz w:val="20"/>
                <w:szCs w:val="20"/>
              </w:rPr>
              <w:t>y</w:t>
            </w:r>
            <w:r w:rsidRPr="003533AE">
              <w:rPr>
                <w:spacing w:val="-1"/>
                <w:sz w:val="20"/>
                <w:szCs w:val="20"/>
              </w:rPr>
              <w:t>s</w:t>
            </w:r>
            <w:r w:rsidRPr="003533AE">
              <w:rPr>
                <w:sz w:val="20"/>
                <w:szCs w:val="20"/>
              </w:rPr>
              <w:t>)</w:t>
            </w:r>
          </w:p>
        </w:tc>
      </w:tr>
      <w:tr w:rsidR="008764ED" w:rsidRPr="003533AE" w:rsidTr="000E433B">
        <w:trPr>
          <w:trHeight w:val="20"/>
        </w:trPr>
        <w:tc>
          <w:tcPr>
            <w:tcW w:w="1384" w:type="dxa"/>
          </w:tcPr>
          <w:p w:rsidR="008764ED" w:rsidRPr="003533AE" w:rsidRDefault="00435510" w:rsidP="003533AE">
            <w:pPr>
              <w:ind w:left="0"/>
              <w:rPr>
                <w:sz w:val="20"/>
                <w:szCs w:val="20"/>
              </w:rPr>
            </w:pPr>
            <w:r w:rsidRPr="003533AE">
              <w:rPr>
                <w:sz w:val="20"/>
                <w:szCs w:val="20"/>
              </w:rPr>
              <w:t>N</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44</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62</w:t>
            </w:r>
          </w:p>
        </w:tc>
        <w:tc>
          <w:tcPr>
            <w:tcW w:w="1134" w:type="dxa"/>
          </w:tcPr>
          <w:p w:rsidR="008764ED" w:rsidRPr="003533AE" w:rsidRDefault="008764ED" w:rsidP="003533AE">
            <w:pPr>
              <w:ind w:left="41"/>
              <w:rPr>
                <w:sz w:val="20"/>
                <w:szCs w:val="20"/>
              </w:rPr>
            </w:pPr>
            <w:r w:rsidRPr="003533AE">
              <w:rPr>
                <w:spacing w:val="1"/>
                <w:sz w:val="20"/>
                <w:szCs w:val="20"/>
              </w:rPr>
              <w:t>3</w:t>
            </w:r>
            <w:r w:rsidRPr="003533AE">
              <w:rPr>
                <w:sz w:val="20"/>
                <w:szCs w:val="20"/>
              </w:rPr>
              <w:t>06</w:t>
            </w:r>
          </w:p>
        </w:tc>
        <w:tc>
          <w:tcPr>
            <w:tcW w:w="1275" w:type="dxa"/>
            <w:gridSpan w:val="2"/>
          </w:tcPr>
          <w:p w:rsidR="008764ED" w:rsidRPr="003533AE" w:rsidRDefault="008764ED" w:rsidP="003533AE">
            <w:pPr>
              <w:ind w:left="74"/>
              <w:rPr>
                <w:sz w:val="20"/>
                <w:szCs w:val="20"/>
              </w:rPr>
            </w:pPr>
            <w:r w:rsidRPr="003533AE">
              <w:rPr>
                <w:spacing w:val="1"/>
                <w:sz w:val="20"/>
                <w:szCs w:val="20"/>
              </w:rPr>
              <w:t>2</w:t>
            </w:r>
            <w:r w:rsidRPr="003533AE">
              <w:rPr>
                <w:sz w:val="20"/>
                <w:szCs w:val="20"/>
              </w:rPr>
              <w:t>19</w:t>
            </w:r>
          </w:p>
        </w:tc>
        <w:tc>
          <w:tcPr>
            <w:tcW w:w="1560" w:type="dxa"/>
            <w:gridSpan w:val="2"/>
          </w:tcPr>
          <w:p w:rsidR="008764ED" w:rsidRPr="003533AE" w:rsidRDefault="008764ED" w:rsidP="003533AE">
            <w:pPr>
              <w:ind w:left="0"/>
              <w:rPr>
                <w:sz w:val="20"/>
                <w:szCs w:val="20"/>
              </w:rPr>
            </w:pPr>
            <w:r w:rsidRPr="003533AE">
              <w:rPr>
                <w:spacing w:val="1"/>
                <w:sz w:val="20"/>
                <w:szCs w:val="20"/>
              </w:rPr>
              <w:t>8</w:t>
            </w:r>
            <w:r w:rsidRPr="003533AE">
              <w:rPr>
                <w:sz w:val="20"/>
                <w:szCs w:val="20"/>
              </w:rPr>
              <w:t>7</w:t>
            </w:r>
          </w:p>
        </w:tc>
        <w:tc>
          <w:tcPr>
            <w:tcW w:w="1134" w:type="dxa"/>
          </w:tcPr>
          <w:p w:rsidR="008764ED" w:rsidRPr="003533AE" w:rsidRDefault="008764ED" w:rsidP="003533AE">
            <w:pPr>
              <w:ind w:left="0"/>
              <w:rPr>
                <w:sz w:val="20"/>
                <w:szCs w:val="20"/>
              </w:rPr>
            </w:pPr>
            <w:r w:rsidRPr="003533AE">
              <w:rPr>
                <w:spacing w:val="1"/>
                <w:sz w:val="20"/>
                <w:szCs w:val="20"/>
              </w:rPr>
              <w:t>2</w:t>
            </w:r>
            <w:r w:rsidRPr="003533AE">
              <w:rPr>
                <w:sz w:val="20"/>
                <w:szCs w:val="20"/>
              </w:rPr>
              <w:t>23</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w:t>
            </w:r>
            <w:r w:rsidRPr="003533AE">
              <w:rPr>
                <w:spacing w:val="1"/>
                <w:sz w:val="20"/>
                <w:szCs w:val="20"/>
              </w:rPr>
              <w:t>ean</w:t>
            </w:r>
          </w:p>
        </w:tc>
        <w:tc>
          <w:tcPr>
            <w:tcW w:w="1276" w:type="dxa"/>
          </w:tcPr>
          <w:p w:rsidR="008764ED" w:rsidRPr="003533AE" w:rsidRDefault="008764ED" w:rsidP="003533AE">
            <w:pPr>
              <w:ind w:left="41"/>
              <w:rPr>
                <w:sz w:val="20"/>
                <w:szCs w:val="20"/>
              </w:rPr>
            </w:pPr>
            <w:r w:rsidRPr="003533AE">
              <w:rPr>
                <w:spacing w:val="1"/>
                <w:sz w:val="20"/>
                <w:szCs w:val="20"/>
              </w:rPr>
              <w:t>5</w:t>
            </w:r>
            <w:r w:rsidRPr="003533AE">
              <w:rPr>
                <w:spacing w:val="-1"/>
                <w:sz w:val="20"/>
                <w:szCs w:val="20"/>
              </w:rPr>
              <w:t>.</w:t>
            </w:r>
            <w:r w:rsidRPr="003533AE">
              <w:rPr>
                <w:sz w:val="20"/>
                <w:szCs w:val="20"/>
              </w:rPr>
              <w:t>5</w:t>
            </w:r>
          </w:p>
        </w:tc>
        <w:tc>
          <w:tcPr>
            <w:tcW w:w="1276" w:type="dxa"/>
          </w:tcPr>
          <w:p w:rsidR="008764ED" w:rsidRPr="003533AE" w:rsidRDefault="008764ED" w:rsidP="003533AE">
            <w:pPr>
              <w:ind w:left="41"/>
              <w:rPr>
                <w:sz w:val="20"/>
                <w:szCs w:val="20"/>
              </w:rPr>
            </w:pPr>
            <w:r w:rsidRPr="003533AE">
              <w:rPr>
                <w:spacing w:val="1"/>
                <w:sz w:val="20"/>
                <w:szCs w:val="20"/>
              </w:rPr>
              <w:t>5</w:t>
            </w:r>
            <w:r w:rsidRPr="003533AE">
              <w:rPr>
                <w:spacing w:val="-1"/>
                <w:sz w:val="20"/>
                <w:szCs w:val="20"/>
              </w:rPr>
              <w:t>.</w:t>
            </w:r>
            <w:r w:rsidRPr="003533AE">
              <w:rPr>
                <w:sz w:val="20"/>
                <w:szCs w:val="20"/>
              </w:rPr>
              <w:t>5</w:t>
            </w:r>
          </w:p>
        </w:tc>
        <w:tc>
          <w:tcPr>
            <w:tcW w:w="1134" w:type="dxa"/>
          </w:tcPr>
          <w:p w:rsidR="008764ED" w:rsidRPr="003533AE" w:rsidRDefault="008764ED" w:rsidP="003533AE">
            <w:pPr>
              <w:ind w:left="41"/>
              <w:rPr>
                <w:sz w:val="20"/>
                <w:szCs w:val="20"/>
              </w:rPr>
            </w:pPr>
            <w:r w:rsidRPr="003533AE">
              <w:rPr>
                <w:spacing w:val="1"/>
                <w:sz w:val="20"/>
                <w:szCs w:val="20"/>
              </w:rPr>
              <w:t>5</w:t>
            </w:r>
            <w:r w:rsidRPr="003533AE">
              <w:rPr>
                <w:spacing w:val="-1"/>
                <w:sz w:val="20"/>
                <w:szCs w:val="20"/>
              </w:rPr>
              <w:t>.</w:t>
            </w:r>
            <w:r w:rsidRPr="003533AE">
              <w:rPr>
                <w:sz w:val="20"/>
                <w:szCs w:val="20"/>
              </w:rPr>
              <w:t>5</w:t>
            </w:r>
          </w:p>
        </w:tc>
        <w:tc>
          <w:tcPr>
            <w:tcW w:w="1275" w:type="dxa"/>
            <w:gridSpan w:val="2"/>
          </w:tcPr>
          <w:p w:rsidR="008764ED" w:rsidRPr="003533AE" w:rsidRDefault="008764ED" w:rsidP="003533AE">
            <w:pPr>
              <w:ind w:left="74"/>
              <w:rPr>
                <w:sz w:val="20"/>
                <w:szCs w:val="20"/>
              </w:rPr>
            </w:pPr>
            <w:r w:rsidRPr="003533AE">
              <w:rPr>
                <w:spacing w:val="1"/>
                <w:sz w:val="20"/>
                <w:szCs w:val="20"/>
              </w:rPr>
              <w:t>4</w:t>
            </w:r>
            <w:r w:rsidRPr="003533AE">
              <w:rPr>
                <w:spacing w:val="-1"/>
                <w:sz w:val="20"/>
                <w:szCs w:val="20"/>
              </w:rPr>
              <w:t>.</w:t>
            </w:r>
            <w:r w:rsidRPr="003533AE">
              <w:rPr>
                <w:sz w:val="20"/>
                <w:szCs w:val="20"/>
              </w:rPr>
              <w:t>8</w:t>
            </w:r>
          </w:p>
        </w:tc>
        <w:tc>
          <w:tcPr>
            <w:tcW w:w="1560" w:type="dxa"/>
            <w:gridSpan w:val="2"/>
          </w:tcPr>
          <w:p w:rsidR="008764ED" w:rsidRPr="003533AE" w:rsidRDefault="008764ED" w:rsidP="003533AE">
            <w:pPr>
              <w:ind w:left="0"/>
              <w:rPr>
                <w:sz w:val="20"/>
                <w:szCs w:val="20"/>
              </w:rPr>
            </w:pPr>
            <w:r w:rsidRPr="003533AE">
              <w:rPr>
                <w:spacing w:val="1"/>
                <w:sz w:val="20"/>
                <w:szCs w:val="20"/>
              </w:rPr>
              <w:t>2</w:t>
            </w:r>
            <w:r w:rsidRPr="003533AE">
              <w:rPr>
                <w:sz w:val="20"/>
                <w:szCs w:val="20"/>
              </w:rPr>
              <w:t>0</w:t>
            </w:r>
            <w:r w:rsidRPr="003533AE">
              <w:rPr>
                <w:spacing w:val="1"/>
                <w:sz w:val="20"/>
                <w:szCs w:val="20"/>
              </w:rPr>
              <w:t>4</w:t>
            </w:r>
            <w:r w:rsidRPr="003533AE">
              <w:rPr>
                <w:spacing w:val="-1"/>
                <w:sz w:val="20"/>
                <w:szCs w:val="20"/>
              </w:rPr>
              <w:t>.</w:t>
            </w:r>
            <w:r w:rsidRPr="003533AE">
              <w:rPr>
                <w:sz w:val="20"/>
                <w:szCs w:val="20"/>
              </w:rPr>
              <w:t>2</w:t>
            </w:r>
          </w:p>
        </w:tc>
        <w:tc>
          <w:tcPr>
            <w:tcW w:w="1134" w:type="dxa"/>
          </w:tcPr>
          <w:p w:rsidR="008764ED" w:rsidRPr="003533AE" w:rsidRDefault="008764ED" w:rsidP="003533AE">
            <w:pPr>
              <w:ind w:left="0"/>
              <w:rPr>
                <w:sz w:val="20"/>
                <w:szCs w:val="20"/>
              </w:rPr>
            </w:pPr>
            <w:r w:rsidRPr="003533AE">
              <w:rPr>
                <w:spacing w:val="1"/>
                <w:sz w:val="20"/>
                <w:szCs w:val="20"/>
              </w:rPr>
              <w:t>9</w:t>
            </w:r>
            <w:r w:rsidRPr="003533AE">
              <w:rPr>
                <w:sz w:val="20"/>
                <w:szCs w:val="20"/>
              </w:rPr>
              <w:t>0</w:t>
            </w:r>
            <w:r w:rsidRPr="003533AE">
              <w:rPr>
                <w:spacing w:val="1"/>
                <w:sz w:val="20"/>
                <w:szCs w:val="20"/>
              </w:rPr>
              <w:t>.6</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pacing w:val="1"/>
                <w:sz w:val="20"/>
                <w:szCs w:val="20"/>
              </w:rPr>
              <w:t>SD</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pacing w:val="-1"/>
                <w:sz w:val="20"/>
                <w:szCs w:val="20"/>
              </w:rPr>
              <w:t>.</w:t>
            </w:r>
            <w:r w:rsidRPr="003533AE">
              <w:rPr>
                <w:spacing w:val="1"/>
                <w:sz w:val="20"/>
                <w:szCs w:val="20"/>
              </w:rPr>
              <w:t>02</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pacing w:val="-1"/>
                <w:sz w:val="20"/>
                <w:szCs w:val="20"/>
              </w:rPr>
              <w:t>.</w:t>
            </w:r>
            <w:r w:rsidRPr="003533AE">
              <w:rPr>
                <w:spacing w:val="1"/>
                <w:sz w:val="20"/>
                <w:szCs w:val="20"/>
              </w:rPr>
              <w:t>97</w:t>
            </w:r>
          </w:p>
        </w:tc>
        <w:tc>
          <w:tcPr>
            <w:tcW w:w="1134" w:type="dxa"/>
          </w:tcPr>
          <w:p w:rsidR="008764ED" w:rsidRPr="003533AE" w:rsidRDefault="008764ED" w:rsidP="003533AE">
            <w:pPr>
              <w:ind w:left="41"/>
              <w:rPr>
                <w:sz w:val="20"/>
                <w:szCs w:val="20"/>
              </w:rPr>
            </w:pPr>
            <w:r w:rsidRPr="003533AE">
              <w:rPr>
                <w:spacing w:val="1"/>
                <w:sz w:val="20"/>
                <w:szCs w:val="20"/>
              </w:rPr>
              <w:t>1</w:t>
            </w:r>
            <w:r w:rsidRPr="003533AE">
              <w:rPr>
                <w:spacing w:val="-1"/>
                <w:sz w:val="20"/>
                <w:szCs w:val="20"/>
              </w:rPr>
              <w:t>.</w:t>
            </w:r>
            <w:r w:rsidRPr="003533AE">
              <w:rPr>
                <w:spacing w:val="1"/>
                <w:sz w:val="20"/>
                <w:szCs w:val="20"/>
              </w:rPr>
              <w:t>99</w:t>
            </w:r>
          </w:p>
        </w:tc>
        <w:tc>
          <w:tcPr>
            <w:tcW w:w="1275" w:type="dxa"/>
            <w:gridSpan w:val="2"/>
          </w:tcPr>
          <w:p w:rsidR="008764ED" w:rsidRPr="003533AE" w:rsidRDefault="008764ED" w:rsidP="003533AE">
            <w:pPr>
              <w:ind w:left="74"/>
              <w:rPr>
                <w:sz w:val="20"/>
                <w:szCs w:val="20"/>
              </w:rPr>
            </w:pPr>
            <w:r w:rsidRPr="003533AE">
              <w:rPr>
                <w:spacing w:val="1"/>
                <w:sz w:val="20"/>
                <w:szCs w:val="20"/>
              </w:rPr>
              <w:t>1</w:t>
            </w:r>
            <w:r w:rsidRPr="003533AE">
              <w:rPr>
                <w:spacing w:val="-1"/>
                <w:sz w:val="20"/>
                <w:szCs w:val="20"/>
              </w:rPr>
              <w:t>.</w:t>
            </w:r>
            <w:r w:rsidRPr="003533AE">
              <w:rPr>
                <w:spacing w:val="1"/>
                <w:sz w:val="20"/>
                <w:szCs w:val="20"/>
              </w:rPr>
              <w:t>89</w:t>
            </w:r>
          </w:p>
        </w:tc>
        <w:tc>
          <w:tcPr>
            <w:tcW w:w="1560" w:type="dxa"/>
            <w:gridSpan w:val="2"/>
          </w:tcPr>
          <w:p w:rsidR="008764ED" w:rsidRPr="003533AE" w:rsidRDefault="008764ED" w:rsidP="003533AE">
            <w:pPr>
              <w:ind w:left="0"/>
              <w:rPr>
                <w:sz w:val="20"/>
                <w:szCs w:val="20"/>
              </w:rPr>
            </w:pPr>
            <w:r w:rsidRPr="003533AE">
              <w:rPr>
                <w:spacing w:val="1"/>
                <w:sz w:val="20"/>
                <w:szCs w:val="20"/>
              </w:rPr>
              <w:t>1</w:t>
            </w:r>
            <w:r w:rsidRPr="003533AE">
              <w:rPr>
                <w:sz w:val="20"/>
                <w:szCs w:val="20"/>
              </w:rPr>
              <w:t>9</w:t>
            </w:r>
            <w:r w:rsidRPr="003533AE">
              <w:rPr>
                <w:spacing w:val="1"/>
                <w:sz w:val="20"/>
                <w:szCs w:val="20"/>
              </w:rPr>
              <w:t>8</w:t>
            </w:r>
            <w:r w:rsidRPr="003533AE">
              <w:rPr>
                <w:spacing w:val="-1"/>
                <w:sz w:val="20"/>
                <w:szCs w:val="20"/>
              </w:rPr>
              <w:t>.</w:t>
            </w:r>
            <w:r w:rsidRPr="003533AE">
              <w:rPr>
                <w:sz w:val="20"/>
                <w:szCs w:val="20"/>
              </w:rPr>
              <w:t>66</w:t>
            </w:r>
          </w:p>
        </w:tc>
        <w:tc>
          <w:tcPr>
            <w:tcW w:w="1134" w:type="dxa"/>
          </w:tcPr>
          <w:p w:rsidR="008764ED" w:rsidRPr="003533AE" w:rsidRDefault="008764ED" w:rsidP="003533AE">
            <w:pPr>
              <w:ind w:left="0"/>
              <w:rPr>
                <w:sz w:val="20"/>
                <w:szCs w:val="20"/>
              </w:rPr>
            </w:pPr>
            <w:r w:rsidRPr="003533AE">
              <w:rPr>
                <w:spacing w:val="1"/>
                <w:sz w:val="20"/>
                <w:szCs w:val="20"/>
              </w:rPr>
              <w:t>1</w:t>
            </w:r>
            <w:r w:rsidRPr="003533AE">
              <w:rPr>
                <w:sz w:val="20"/>
                <w:szCs w:val="20"/>
              </w:rPr>
              <w:t>5</w:t>
            </w:r>
            <w:r w:rsidRPr="003533AE">
              <w:rPr>
                <w:spacing w:val="1"/>
                <w:sz w:val="20"/>
                <w:szCs w:val="20"/>
              </w:rPr>
              <w:t>8</w:t>
            </w:r>
            <w:r w:rsidRPr="003533AE">
              <w:rPr>
                <w:spacing w:val="-1"/>
                <w:sz w:val="20"/>
                <w:szCs w:val="20"/>
              </w:rPr>
              <w:t>.</w:t>
            </w:r>
            <w:r w:rsidRPr="003533AE">
              <w:rPr>
                <w:sz w:val="20"/>
                <w:szCs w:val="20"/>
              </w:rPr>
              <w:t>26</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pacing w:val="1"/>
                <w:sz w:val="20"/>
                <w:szCs w:val="20"/>
              </w:rPr>
              <w:t>S</w:t>
            </w:r>
            <w:r w:rsidRPr="003533AE">
              <w:rPr>
                <w:sz w:val="20"/>
                <w:szCs w:val="20"/>
              </w:rPr>
              <w:t xml:space="preserve">E </w:t>
            </w:r>
            <w:r w:rsidRPr="003533AE">
              <w:rPr>
                <w:spacing w:val="1"/>
                <w:sz w:val="20"/>
                <w:szCs w:val="20"/>
              </w:rPr>
              <w:t>o</w:t>
            </w:r>
            <w:r w:rsidRPr="003533AE">
              <w:rPr>
                <w:sz w:val="20"/>
                <w:szCs w:val="20"/>
              </w:rPr>
              <w:t>f</w:t>
            </w:r>
            <w:r w:rsidRPr="003533AE">
              <w:rPr>
                <w:spacing w:val="1"/>
                <w:sz w:val="20"/>
                <w:szCs w:val="20"/>
              </w:rPr>
              <w:t xml:space="preserve"> </w:t>
            </w:r>
            <w:r w:rsidRPr="003533AE">
              <w:rPr>
                <w:spacing w:val="-2"/>
                <w:sz w:val="20"/>
                <w:szCs w:val="20"/>
              </w:rPr>
              <w:t>m</w:t>
            </w:r>
            <w:r w:rsidRPr="003533AE">
              <w:rPr>
                <w:spacing w:val="1"/>
                <w:sz w:val="20"/>
                <w:szCs w:val="20"/>
              </w:rPr>
              <w:t>ean</w:t>
            </w:r>
          </w:p>
        </w:tc>
        <w:tc>
          <w:tcPr>
            <w:tcW w:w="1276" w:type="dxa"/>
          </w:tcPr>
          <w:p w:rsidR="008764ED" w:rsidRPr="003533AE" w:rsidRDefault="008764ED" w:rsidP="003533AE">
            <w:pPr>
              <w:ind w:left="41"/>
              <w:rPr>
                <w:sz w:val="20"/>
                <w:szCs w:val="20"/>
              </w:rPr>
            </w:pPr>
            <w:r w:rsidRPr="003533AE">
              <w:rPr>
                <w:spacing w:val="1"/>
                <w:sz w:val="20"/>
                <w:szCs w:val="20"/>
              </w:rPr>
              <w:t>0</w:t>
            </w:r>
            <w:r w:rsidRPr="003533AE">
              <w:rPr>
                <w:spacing w:val="-1"/>
                <w:sz w:val="20"/>
                <w:szCs w:val="20"/>
              </w:rPr>
              <w:t>.</w:t>
            </w:r>
            <w:r w:rsidRPr="003533AE">
              <w:rPr>
                <w:spacing w:val="1"/>
                <w:sz w:val="20"/>
                <w:szCs w:val="20"/>
              </w:rPr>
              <w:t>17</w:t>
            </w:r>
          </w:p>
        </w:tc>
        <w:tc>
          <w:tcPr>
            <w:tcW w:w="1276" w:type="dxa"/>
          </w:tcPr>
          <w:p w:rsidR="008764ED" w:rsidRPr="003533AE" w:rsidRDefault="008764ED" w:rsidP="003533AE">
            <w:pPr>
              <w:ind w:left="41"/>
              <w:rPr>
                <w:sz w:val="20"/>
                <w:szCs w:val="20"/>
              </w:rPr>
            </w:pPr>
            <w:r w:rsidRPr="003533AE">
              <w:rPr>
                <w:spacing w:val="1"/>
                <w:sz w:val="20"/>
                <w:szCs w:val="20"/>
              </w:rPr>
              <w:t>0</w:t>
            </w:r>
            <w:r w:rsidRPr="003533AE">
              <w:rPr>
                <w:spacing w:val="-1"/>
                <w:sz w:val="20"/>
                <w:szCs w:val="20"/>
              </w:rPr>
              <w:t>.</w:t>
            </w:r>
            <w:r w:rsidRPr="003533AE">
              <w:rPr>
                <w:spacing w:val="1"/>
                <w:sz w:val="20"/>
                <w:szCs w:val="20"/>
              </w:rPr>
              <w:t>15</w:t>
            </w:r>
          </w:p>
        </w:tc>
        <w:tc>
          <w:tcPr>
            <w:tcW w:w="1134" w:type="dxa"/>
          </w:tcPr>
          <w:p w:rsidR="008764ED" w:rsidRPr="003533AE" w:rsidRDefault="008764ED" w:rsidP="003533AE">
            <w:pPr>
              <w:ind w:left="41"/>
              <w:rPr>
                <w:sz w:val="20"/>
                <w:szCs w:val="20"/>
              </w:rPr>
            </w:pPr>
            <w:r w:rsidRPr="003533AE">
              <w:rPr>
                <w:spacing w:val="1"/>
                <w:sz w:val="20"/>
                <w:szCs w:val="20"/>
              </w:rPr>
              <w:t>0</w:t>
            </w:r>
            <w:r w:rsidRPr="003533AE">
              <w:rPr>
                <w:spacing w:val="-1"/>
                <w:sz w:val="20"/>
                <w:szCs w:val="20"/>
              </w:rPr>
              <w:t>.</w:t>
            </w:r>
            <w:r w:rsidRPr="003533AE">
              <w:rPr>
                <w:spacing w:val="1"/>
                <w:sz w:val="20"/>
                <w:szCs w:val="20"/>
              </w:rPr>
              <w:t>11</w:t>
            </w:r>
          </w:p>
        </w:tc>
        <w:tc>
          <w:tcPr>
            <w:tcW w:w="1275" w:type="dxa"/>
            <w:gridSpan w:val="2"/>
          </w:tcPr>
          <w:p w:rsidR="008764ED" w:rsidRPr="003533AE" w:rsidRDefault="008764ED" w:rsidP="003533AE">
            <w:pPr>
              <w:ind w:left="74"/>
              <w:rPr>
                <w:sz w:val="20"/>
                <w:szCs w:val="20"/>
              </w:rPr>
            </w:pPr>
            <w:r w:rsidRPr="003533AE">
              <w:rPr>
                <w:spacing w:val="1"/>
                <w:sz w:val="20"/>
                <w:szCs w:val="20"/>
              </w:rPr>
              <w:t>0</w:t>
            </w:r>
            <w:r w:rsidRPr="003533AE">
              <w:rPr>
                <w:spacing w:val="-1"/>
                <w:sz w:val="20"/>
                <w:szCs w:val="20"/>
              </w:rPr>
              <w:t>.</w:t>
            </w:r>
            <w:r w:rsidRPr="003533AE">
              <w:rPr>
                <w:spacing w:val="1"/>
                <w:sz w:val="20"/>
                <w:szCs w:val="20"/>
              </w:rPr>
              <w:t>13</w:t>
            </w:r>
          </w:p>
        </w:tc>
        <w:tc>
          <w:tcPr>
            <w:tcW w:w="1560" w:type="dxa"/>
            <w:gridSpan w:val="2"/>
          </w:tcPr>
          <w:p w:rsidR="008764ED" w:rsidRPr="003533AE" w:rsidRDefault="008764ED" w:rsidP="003533AE">
            <w:pPr>
              <w:ind w:left="0"/>
              <w:rPr>
                <w:sz w:val="20"/>
                <w:szCs w:val="20"/>
              </w:rPr>
            </w:pPr>
            <w:r w:rsidRPr="003533AE">
              <w:rPr>
                <w:spacing w:val="1"/>
                <w:sz w:val="20"/>
                <w:szCs w:val="20"/>
              </w:rPr>
              <w:t>2</w:t>
            </w:r>
            <w:r w:rsidRPr="003533AE">
              <w:rPr>
                <w:sz w:val="20"/>
                <w:szCs w:val="20"/>
              </w:rPr>
              <w:t>1</w:t>
            </w:r>
            <w:r w:rsidRPr="003533AE">
              <w:rPr>
                <w:spacing w:val="1"/>
                <w:sz w:val="20"/>
                <w:szCs w:val="20"/>
              </w:rPr>
              <w:t>.</w:t>
            </w:r>
            <w:r w:rsidRPr="003533AE">
              <w:rPr>
                <w:sz w:val="20"/>
                <w:szCs w:val="20"/>
              </w:rPr>
              <w:t>30</w:t>
            </w:r>
          </w:p>
        </w:tc>
        <w:tc>
          <w:tcPr>
            <w:tcW w:w="1134" w:type="dxa"/>
          </w:tcPr>
          <w:p w:rsidR="008764ED" w:rsidRPr="003533AE" w:rsidRDefault="008764ED" w:rsidP="003533AE">
            <w:pPr>
              <w:ind w:left="0"/>
              <w:rPr>
                <w:sz w:val="20"/>
                <w:szCs w:val="20"/>
              </w:rPr>
            </w:pPr>
            <w:r w:rsidRPr="003533AE">
              <w:rPr>
                <w:spacing w:val="1"/>
                <w:sz w:val="20"/>
                <w:szCs w:val="20"/>
              </w:rPr>
              <w:t>1</w:t>
            </w:r>
            <w:r w:rsidRPr="003533AE">
              <w:rPr>
                <w:sz w:val="20"/>
                <w:szCs w:val="20"/>
              </w:rPr>
              <w:t>0</w:t>
            </w:r>
            <w:r w:rsidRPr="003533AE">
              <w:rPr>
                <w:spacing w:val="1"/>
                <w:sz w:val="20"/>
                <w:szCs w:val="20"/>
              </w:rPr>
              <w:t>.</w:t>
            </w:r>
            <w:r w:rsidRPr="003533AE">
              <w:rPr>
                <w:sz w:val="20"/>
                <w:szCs w:val="20"/>
              </w:rPr>
              <w:t>60</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Me</w:t>
            </w:r>
            <w:r w:rsidRPr="003533AE">
              <w:rPr>
                <w:spacing w:val="1"/>
                <w:sz w:val="20"/>
                <w:szCs w:val="20"/>
              </w:rPr>
              <w:t>d</w:t>
            </w:r>
            <w:r w:rsidRPr="003533AE">
              <w:rPr>
                <w:sz w:val="20"/>
                <w:szCs w:val="20"/>
              </w:rPr>
              <w:t>i</w:t>
            </w:r>
            <w:r w:rsidRPr="003533AE">
              <w:rPr>
                <w:spacing w:val="1"/>
                <w:sz w:val="20"/>
                <w:szCs w:val="20"/>
              </w:rPr>
              <w:t>an</w:t>
            </w:r>
          </w:p>
        </w:tc>
        <w:tc>
          <w:tcPr>
            <w:tcW w:w="1276" w:type="dxa"/>
          </w:tcPr>
          <w:p w:rsidR="008764ED" w:rsidRPr="003533AE" w:rsidRDefault="008764ED" w:rsidP="003533AE">
            <w:pPr>
              <w:ind w:left="41"/>
              <w:rPr>
                <w:sz w:val="20"/>
                <w:szCs w:val="20"/>
              </w:rPr>
            </w:pPr>
            <w:r w:rsidRPr="003533AE">
              <w:rPr>
                <w:spacing w:val="1"/>
                <w:sz w:val="20"/>
                <w:szCs w:val="20"/>
              </w:rPr>
              <w:t>6</w:t>
            </w:r>
            <w:r w:rsidRPr="003533AE">
              <w:rPr>
                <w:spacing w:val="-1"/>
                <w:sz w:val="20"/>
                <w:szCs w:val="20"/>
              </w:rPr>
              <w:t>.</w:t>
            </w:r>
            <w:r w:rsidRPr="003533AE">
              <w:rPr>
                <w:sz w:val="20"/>
                <w:szCs w:val="20"/>
              </w:rPr>
              <w:t>5</w:t>
            </w:r>
          </w:p>
        </w:tc>
        <w:tc>
          <w:tcPr>
            <w:tcW w:w="1276" w:type="dxa"/>
          </w:tcPr>
          <w:p w:rsidR="008764ED" w:rsidRPr="003533AE" w:rsidRDefault="008764ED" w:rsidP="003533AE">
            <w:pPr>
              <w:ind w:left="41"/>
              <w:rPr>
                <w:sz w:val="20"/>
                <w:szCs w:val="20"/>
              </w:rPr>
            </w:pPr>
            <w:r w:rsidRPr="003533AE">
              <w:rPr>
                <w:spacing w:val="1"/>
                <w:sz w:val="20"/>
                <w:szCs w:val="20"/>
              </w:rPr>
              <w:t>6</w:t>
            </w:r>
            <w:r w:rsidRPr="003533AE">
              <w:rPr>
                <w:spacing w:val="-1"/>
                <w:sz w:val="20"/>
                <w:szCs w:val="20"/>
              </w:rPr>
              <w:t>.</w:t>
            </w:r>
            <w:r w:rsidRPr="003533AE">
              <w:rPr>
                <w:sz w:val="20"/>
                <w:szCs w:val="20"/>
              </w:rPr>
              <w:t>0</w:t>
            </w:r>
          </w:p>
        </w:tc>
        <w:tc>
          <w:tcPr>
            <w:tcW w:w="1134" w:type="dxa"/>
          </w:tcPr>
          <w:p w:rsidR="008764ED" w:rsidRPr="003533AE" w:rsidRDefault="008764ED" w:rsidP="003533AE">
            <w:pPr>
              <w:ind w:left="41"/>
              <w:rPr>
                <w:sz w:val="20"/>
                <w:szCs w:val="20"/>
              </w:rPr>
            </w:pPr>
            <w:r w:rsidRPr="003533AE">
              <w:rPr>
                <w:spacing w:val="1"/>
                <w:sz w:val="20"/>
                <w:szCs w:val="20"/>
              </w:rPr>
              <w:t>6</w:t>
            </w:r>
            <w:r w:rsidRPr="003533AE">
              <w:rPr>
                <w:spacing w:val="-1"/>
                <w:sz w:val="20"/>
                <w:szCs w:val="20"/>
              </w:rPr>
              <w:t>.</w:t>
            </w:r>
            <w:r w:rsidRPr="003533AE">
              <w:rPr>
                <w:sz w:val="20"/>
                <w:szCs w:val="20"/>
              </w:rPr>
              <w:t>0</w:t>
            </w:r>
          </w:p>
        </w:tc>
        <w:tc>
          <w:tcPr>
            <w:tcW w:w="1275" w:type="dxa"/>
            <w:gridSpan w:val="2"/>
          </w:tcPr>
          <w:p w:rsidR="008764ED" w:rsidRPr="003533AE" w:rsidRDefault="008764ED" w:rsidP="003533AE">
            <w:pPr>
              <w:ind w:left="74"/>
              <w:rPr>
                <w:sz w:val="20"/>
                <w:szCs w:val="20"/>
              </w:rPr>
            </w:pPr>
            <w:r w:rsidRPr="003533AE">
              <w:rPr>
                <w:spacing w:val="1"/>
                <w:sz w:val="20"/>
                <w:szCs w:val="20"/>
              </w:rPr>
              <w:t>4</w:t>
            </w:r>
            <w:r w:rsidRPr="003533AE">
              <w:rPr>
                <w:spacing w:val="-1"/>
                <w:sz w:val="20"/>
                <w:szCs w:val="20"/>
              </w:rPr>
              <w:t>.</w:t>
            </w:r>
            <w:r w:rsidRPr="003533AE">
              <w:rPr>
                <w:sz w:val="20"/>
                <w:szCs w:val="20"/>
              </w:rPr>
              <w:t>0</w:t>
            </w:r>
          </w:p>
        </w:tc>
        <w:tc>
          <w:tcPr>
            <w:tcW w:w="1560" w:type="dxa"/>
            <w:gridSpan w:val="2"/>
          </w:tcPr>
          <w:p w:rsidR="008764ED" w:rsidRPr="003533AE" w:rsidRDefault="008764ED" w:rsidP="003533AE">
            <w:pPr>
              <w:ind w:left="0"/>
              <w:rPr>
                <w:sz w:val="20"/>
                <w:szCs w:val="20"/>
              </w:rPr>
            </w:pPr>
            <w:r w:rsidRPr="003533AE">
              <w:rPr>
                <w:spacing w:val="1"/>
                <w:sz w:val="20"/>
                <w:szCs w:val="20"/>
              </w:rPr>
              <w:t>1</w:t>
            </w:r>
            <w:r w:rsidRPr="003533AE">
              <w:rPr>
                <w:spacing w:val="-1"/>
                <w:sz w:val="20"/>
                <w:szCs w:val="20"/>
              </w:rPr>
              <w:t>1</w:t>
            </w:r>
            <w:r w:rsidRPr="003533AE">
              <w:rPr>
                <w:spacing w:val="1"/>
                <w:sz w:val="20"/>
                <w:szCs w:val="20"/>
              </w:rPr>
              <w:t>5</w:t>
            </w:r>
            <w:r w:rsidRPr="003533AE">
              <w:rPr>
                <w:spacing w:val="-1"/>
                <w:sz w:val="20"/>
                <w:szCs w:val="20"/>
              </w:rPr>
              <w:t>.</w:t>
            </w:r>
            <w:r w:rsidRPr="003533AE">
              <w:rPr>
                <w:sz w:val="20"/>
                <w:szCs w:val="20"/>
              </w:rPr>
              <w:t>0</w:t>
            </w:r>
          </w:p>
        </w:tc>
        <w:tc>
          <w:tcPr>
            <w:tcW w:w="1134" w:type="dxa"/>
          </w:tcPr>
          <w:p w:rsidR="008764ED" w:rsidRPr="003533AE" w:rsidRDefault="008764ED" w:rsidP="003533AE">
            <w:pPr>
              <w:ind w:left="0"/>
              <w:rPr>
                <w:sz w:val="20"/>
                <w:szCs w:val="20"/>
              </w:rPr>
            </w:pPr>
            <w:r w:rsidRPr="003533AE">
              <w:rPr>
                <w:spacing w:val="1"/>
                <w:sz w:val="20"/>
                <w:szCs w:val="20"/>
              </w:rPr>
              <w:t>1</w:t>
            </w:r>
            <w:r w:rsidRPr="003533AE">
              <w:rPr>
                <w:spacing w:val="-1"/>
                <w:sz w:val="20"/>
                <w:szCs w:val="20"/>
              </w:rPr>
              <w:t>4</w:t>
            </w:r>
            <w:r w:rsidRPr="003533AE">
              <w:rPr>
                <w:spacing w:val="1"/>
                <w:sz w:val="20"/>
                <w:szCs w:val="20"/>
              </w:rPr>
              <w:t>.0</w:t>
            </w:r>
          </w:p>
        </w:tc>
      </w:tr>
      <w:tr w:rsidR="008764ED" w:rsidRPr="003533AE" w:rsidTr="000E433B">
        <w:trPr>
          <w:trHeight w:val="20"/>
        </w:trPr>
        <w:tc>
          <w:tcPr>
            <w:tcW w:w="1384" w:type="dxa"/>
            <w:tcBorders>
              <w:bottom w:val="single" w:sz="8" w:space="0" w:color="000000" w:themeColor="text1"/>
            </w:tcBorders>
          </w:tcPr>
          <w:p w:rsidR="008764ED" w:rsidRPr="003533AE" w:rsidRDefault="008764ED" w:rsidP="003533AE">
            <w:pPr>
              <w:ind w:left="0"/>
              <w:rPr>
                <w:sz w:val="20"/>
                <w:szCs w:val="20"/>
              </w:rPr>
            </w:pPr>
            <w:r w:rsidRPr="003533AE">
              <w:rPr>
                <w:position w:val="-1"/>
                <w:sz w:val="20"/>
                <w:szCs w:val="20"/>
              </w:rPr>
              <w:t>Mi</w:t>
            </w:r>
            <w:r w:rsidRPr="003533AE">
              <w:rPr>
                <w:spacing w:val="1"/>
                <w:position w:val="-1"/>
                <w:sz w:val="20"/>
                <w:szCs w:val="20"/>
              </w:rPr>
              <w:t>n</w:t>
            </w:r>
            <w:r w:rsidRPr="003533AE">
              <w:rPr>
                <w:position w:val="-1"/>
                <w:sz w:val="20"/>
                <w:szCs w:val="20"/>
              </w:rPr>
              <w:t>,</w:t>
            </w:r>
            <w:r w:rsidRPr="003533AE">
              <w:rPr>
                <w:spacing w:val="1"/>
                <w:position w:val="-1"/>
                <w:sz w:val="20"/>
                <w:szCs w:val="20"/>
              </w:rPr>
              <w:t xml:space="preserve"> </w:t>
            </w:r>
            <w:r w:rsidRPr="003533AE">
              <w:rPr>
                <w:spacing w:val="-2"/>
                <w:position w:val="-1"/>
                <w:sz w:val="20"/>
                <w:szCs w:val="20"/>
              </w:rPr>
              <w:t>m</w:t>
            </w:r>
            <w:r w:rsidRPr="003533AE">
              <w:rPr>
                <w:position w:val="-1"/>
                <w:sz w:val="20"/>
                <w:szCs w:val="20"/>
              </w:rPr>
              <w:t>ax</w:t>
            </w:r>
          </w:p>
        </w:tc>
        <w:tc>
          <w:tcPr>
            <w:tcW w:w="1276" w:type="dxa"/>
            <w:tcBorders>
              <w:bottom w:val="single" w:sz="8" w:space="0" w:color="000000" w:themeColor="text1"/>
            </w:tcBorders>
          </w:tcPr>
          <w:p w:rsidR="008764ED" w:rsidRPr="003533AE" w:rsidRDefault="008764ED" w:rsidP="003533AE">
            <w:pPr>
              <w:ind w:left="41"/>
              <w:rPr>
                <w:sz w:val="20"/>
                <w:szCs w:val="20"/>
              </w:rPr>
            </w:pPr>
            <w:r w:rsidRPr="003533AE">
              <w:rPr>
                <w:spacing w:val="1"/>
                <w:position w:val="-1"/>
                <w:sz w:val="20"/>
                <w:szCs w:val="20"/>
              </w:rPr>
              <w:t>1</w:t>
            </w:r>
            <w:r w:rsidRPr="003533AE">
              <w:rPr>
                <w:position w:val="-1"/>
                <w:sz w:val="20"/>
                <w:szCs w:val="20"/>
              </w:rPr>
              <w:t>, 10</w:t>
            </w:r>
          </w:p>
        </w:tc>
        <w:tc>
          <w:tcPr>
            <w:tcW w:w="1276" w:type="dxa"/>
            <w:tcBorders>
              <w:bottom w:val="single" w:sz="8" w:space="0" w:color="000000" w:themeColor="text1"/>
            </w:tcBorders>
          </w:tcPr>
          <w:p w:rsidR="008764ED" w:rsidRPr="003533AE" w:rsidRDefault="008764ED" w:rsidP="003533AE">
            <w:pPr>
              <w:ind w:left="41"/>
              <w:rPr>
                <w:sz w:val="20"/>
                <w:szCs w:val="20"/>
              </w:rPr>
            </w:pPr>
            <w:r w:rsidRPr="003533AE">
              <w:rPr>
                <w:spacing w:val="1"/>
                <w:position w:val="-1"/>
                <w:sz w:val="20"/>
                <w:szCs w:val="20"/>
              </w:rPr>
              <w:t>1</w:t>
            </w:r>
            <w:r w:rsidRPr="003533AE">
              <w:rPr>
                <w:position w:val="-1"/>
                <w:sz w:val="20"/>
                <w:szCs w:val="20"/>
              </w:rPr>
              <w:t>, 12</w:t>
            </w:r>
          </w:p>
        </w:tc>
        <w:tc>
          <w:tcPr>
            <w:tcW w:w="1134" w:type="dxa"/>
            <w:tcBorders>
              <w:bottom w:val="single" w:sz="8" w:space="0" w:color="000000" w:themeColor="text1"/>
            </w:tcBorders>
          </w:tcPr>
          <w:p w:rsidR="008764ED" w:rsidRPr="003533AE" w:rsidRDefault="008764ED" w:rsidP="003533AE">
            <w:pPr>
              <w:ind w:left="41"/>
              <w:rPr>
                <w:sz w:val="20"/>
                <w:szCs w:val="20"/>
              </w:rPr>
            </w:pPr>
            <w:r w:rsidRPr="003533AE">
              <w:rPr>
                <w:spacing w:val="1"/>
                <w:position w:val="-1"/>
                <w:sz w:val="20"/>
                <w:szCs w:val="20"/>
              </w:rPr>
              <w:t>1</w:t>
            </w:r>
            <w:r w:rsidRPr="003533AE">
              <w:rPr>
                <w:position w:val="-1"/>
                <w:sz w:val="20"/>
                <w:szCs w:val="20"/>
              </w:rPr>
              <w:t>, 12</w:t>
            </w:r>
          </w:p>
        </w:tc>
        <w:tc>
          <w:tcPr>
            <w:tcW w:w="1275" w:type="dxa"/>
            <w:gridSpan w:val="2"/>
            <w:tcBorders>
              <w:bottom w:val="single" w:sz="8" w:space="0" w:color="000000" w:themeColor="text1"/>
            </w:tcBorders>
          </w:tcPr>
          <w:p w:rsidR="008764ED" w:rsidRPr="003533AE" w:rsidRDefault="008764ED" w:rsidP="003533AE">
            <w:pPr>
              <w:ind w:left="74"/>
              <w:rPr>
                <w:sz w:val="20"/>
                <w:szCs w:val="20"/>
              </w:rPr>
            </w:pPr>
            <w:r w:rsidRPr="003533AE">
              <w:rPr>
                <w:spacing w:val="1"/>
                <w:position w:val="-1"/>
                <w:sz w:val="20"/>
                <w:szCs w:val="20"/>
              </w:rPr>
              <w:t>1</w:t>
            </w:r>
            <w:r w:rsidRPr="003533AE">
              <w:rPr>
                <w:position w:val="-1"/>
                <w:sz w:val="20"/>
                <w:szCs w:val="20"/>
              </w:rPr>
              <w:t>, 12</w:t>
            </w:r>
          </w:p>
        </w:tc>
        <w:tc>
          <w:tcPr>
            <w:tcW w:w="1560" w:type="dxa"/>
            <w:gridSpan w:val="2"/>
            <w:tcBorders>
              <w:bottom w:val="single" w:sz="8" w:space="0" w:color="000000" w:themeColor="text1"/>
            </w:tcBorders>
          </w:tcPr>
          <w:p w:rsidR="008764ED" w:rsidRPr="003533AE" w:rsidRDefault="008764ED" w:rsidP="003533AE">
            <w:pPr>
              <w:ind w:left="0"/>
              <w:rPr>
                <w:sz w:val="20"/>
                <w:szCs w:val="20"/>
              </w:rPr>
            </w:pPr>
            <w:r w:rsidRPr="003533AE">
              <w:rPr>
                <w:spacing w:val="1"/>
                <w:position w:val="-1"/>
                <w:sz w:val="20"/>
                <w:szCs w:val="20"/>
              </w:rPr>
              <w:t>1</w:t>
            </w:r>
            <w:r w:rsidRPr="003533AE">
              <w:rPr>
                <w:position w:val="-1"/>
                <w:sz w:val="20"/>
                <w:szCs w:val="20"/>
              </w:rPr>
              <w:t>, 6</w:t>
            </w:r>
            <w:r w:rsidRPr="003533AE">
              <w:rPr>
                <w:spacing w:val="1"/>
                <w:position w:val="-1"/>
                <w:sz w:val="20"/>
                <w:szCs w:val="20"/>
              </w:rPr>
              <w:t>8</w:t>
            </w:r>
            <w:r w:rsidRPr="003533AE">
              <w:rPr>
                <w:position w:val="-1"/>
                <w:sz w:val="20"/>
                <w:szCs w:val="20"/>
              </w:rPr>
              <w:t>4</w:t>
            </w:r>
          </w:p>
        </w:tc>
        <w:tc>
          <w:tcPr>
            <w:tcW w:w="1134" w:type="dxa"/>
            <w:tcBorders>
              <w:bottom w:val="single" w:sz="8" w:space="0" w:color="000000" w:themeColor="text1"/>
            </w:tcBorders>
          </w:tcPr>
          <w:p w:rsidR="008764ED" w:rsidRPr="003533AE" w:rsidRDefault="008764ED" w:rsidP="003533AE">
            <w:pPr>
              <w:ind w:left="0"/>
              <w:rPr>
                <w:sz w:val="20"/>
                <w:szCs w:val="20"/>
              </w:rPr>
            </w:pPr>
            <w:r w:rsidRPr="003533AE">
              <w:rPr>
                <w:spacing w:val="1"/>
                <w:position w:val="-1"/>
                <w:sz w:val="20"/>
                <w:szCs w:val="20"/>
              </w:rPr>
              <w:t>1</w:t>
            </w:r>
            <w:r w:rsidRPr="003533AE">
              <w:rPr>
                <w:position w:val="-1"/>
                <w:sz w:val="20"/>
                <w:szCs w:val="20"/>
              </w:rPr>
              <w:t>, 6</w:t>
            </w:r>
            <w:r w:rsidRPr="003533AE">
              <w:rPr>
                <w:spacing w:val="1"/>
                <w:position w:val="-1"/>
                <w:sz w:val="20"/>
                <w:szCs w:val="20"/>
              </w:rPr>
              <w:t>8</w:t>
            </w:r>
            <w:r w:rsidRPr="003533AE">
              <w:rPr>
                <w:position w:val="-1"/>
                <w:sz w:val="20"/>
                <w:szCs w:val="20"/>
              </w:rPr>
              <w:t>8</w:t>
            </w:r>
          </w:p>
        </w:tc>
      </w:tr>
      <w:tr w:rsidR="008764ED" w:rsidRPr="003533AE" w:rsidTr="000E433B">
        <w:trPr>
          <w:trHeight w:val="20"/>
        </w:trPr>
        <w:tc>
          <w:tcPr>
            <w:tcW w:w="9039" w:type="dxa"/>
            <w:gridSpan w:val="9"/>
            <w:shd w:val="clear" w:color="auto" w:fill="C6D4E9"/>
          </w:tcPr>
          <w:p w:rsidR="008764ED" w:rsidRPr="003533AE" w:rsidRDefault="008764ED" w:rsidP="003533AE">
            <w:pPr>
              <w:ind w:left="0"/>
              <w:rPr>
                <w:sz w:val="20"/>
                <w:szCs w:val="20"/>
              </w:rPr>
            </w:pPr>
            <w:r w:rsidRPr="003533AE">
              <w:rPr>
                <w:sz w:val="20"/>
                <w:szCs w:val="20"/>
              </w:rPr>
              <w:t>T</w:t>
            </w:r>
            <w:r w:rsidRPr="003533AE">
              <w:rPr>
                <w:spacing w:val="1"/>
                <w:sz w:val="20"/>
                <w:szCs w:val="20"/>
              </w:rPr>
              <w:t>o</w:t>
            </w:r>
            <w:r w:rsidRPr="003533AE">
              <w:rPr>
                <w:sz w:val="20"/>
                <w:szCs w:val="20"/>
              </w:rPr>
              <w:t>t</w:t>
            </w:r>
            <w:r w:rsidRPr="003533AE">
              <w:rPr>
                <w:spacing w:val="1"/>
                <w:sz w:val="20"/>
                <w:szCs w:val="20"/>
              </w:rPr>
              <w:t>a</w:t>
            </w:r>
            <w:r w:rsidRPr="003533AE">
              <w:rPr>
                <w:sz w:val="20"/>
                <w:szCs w:val="20"/>
              </w:rPr>
              <w:t>l d</w:t>
            </w:r>
            <w:r w:rsidRPr="003533AE">
              <w:rPr>
                <w:spacing w:val="1"/>
                <w:sz w:val="20"/>
                <w:szCs w:val="20"/>
              </w:rPr>
              <w:t>o</w:t>
            </w:r>
            <w:r w:rsidRPr="003533AE">
              <w:rPr>
                <w:sz w:val="20"/>
                <w:szCs w:val="20"/>
              </w:rPr>
              <w:t>se</w:t>
            </w:r>
            <w:r w:rsidRPr="003533AE">
              <w:rPr>
                <w:spacing w:val="-1"/>
                <w:sz w:val="20"/>
                <w:szCs w:val="20"/>
              </w:rPr>
              <w:t xml:space="preserve"> </w:t>
            </w:r>
            <w:r w:rsidRPr="003533AE">
              <w:rPr>
                <w:spacing w:val="1"/>
                <w:sz w:val="20"/>
                <w:szCs w:val="20"/>
              </w:rPr>
              <w:t>(</w:t>
            </w:r>
            <w:r w:rsidRPr="003533AE">
              <w:rPr>
                <w:spacing w:val="-1"/>
                <w:sz w:val="20"/>
                <w:szCs w:val="20"/>
              </w:rPr>
              <w:t>m</w:t>
            </w:r>
            <w:r w:rsidRPr="003533AE">
              <w:rPr>
                <w:sz w:val="20"/>
                <w:szCs w:val="20"/>
              </w:rPr>
              <w:t>c</w:t>
            </w:r>
            <w:r w:rsidRPr="003533AE">
              <w:rPr>
                <w:spacing w:val="1"/>
                <w:sz w:val="20"/>
                <w:szCs w:val="20"/>
              </w:rPr>
              <w:t>g</w:t>
            </w: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n</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44</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6</w:t>
            </w:r>
            <w:r w:rsidR="00974CED" w:rsidRPr="003533AE">
              <w:rPr>
                <w:sz w:val="20"/>
                <w:szCs w:val="20"/>
              </w:rPr>
              <w:t>*</w:t>
            </w:r>
            <w:r w:rsidRPr="003533AE">
              <w:rPr>
                <w:sz w:val="20"/>
                <w:szCs w:val="20"/>
              </w:rPr>
              <w:t>7</w:t>
            </w:r>
          </w:p>
        </w:tc>
        <w:tc>
          <w:tcPr>
            <w:tcW w:w="1134" w:type="dxa"/>
          </w:tcPr>
          <w:p w:rsidR="008764ED" w:rsidRPr="003533AE" w:rsidRDefault="008764ED" w:rsidP="003533AE">
            <w:pPr>
              <w:ind w:left="41"/>
              <w:rPr>
                <w:sz w:val="20"/>
                <w:szCs w:val="20"/>
              </w:rPr>
            </w:pPr>
            <w:r w:rsidRPr="003533AE">
              <w:rPr>
                <w:spacing w:val="1"/>
                <w:sz w:val="20"/>
                <w:szCs w:val="20"/>
              </w:rPr>
              <w:t>3</w:t>
            </w:r>
            <w:r w:rsidRPr="003533AE">
              <w:rPr>
                <w:sz w:val="20"/>
                <w:szCs w:val="20"/>
              </w:rPr>
              <w:t>11</w:t>
            </w:r>
          </w:p>
        </w:tc>
        <w:tc>
          <w:tcPr>
            <w:tcW w:w="1202" w:type="dxa"/>
          </w:tcPr>
          <w:p w:rsidR="008764ED" w:rsidRPr="003533AE" w:rsidRDefault="008764ED" w:rsidP="003533AE">
            <w:pPr>
              <w:ind w:left="74"/>
              <w:rPr>
                <w:sz w:val="20"/>
                <w:szCs w:val="20"/>
              </w:rPr>
            </w:pPr>
            <w:r w:rsidRPr="003533AE">
              <w:rPr>
                <w:spacing w:val="1"/>
                <w:sz w:val="20"/>
                <w:szCs w:val="20"/>
              </w:rPr>
              <w:t>2</w:t>
            </w:r>
            <w:r w:rsidRPr="003533AE">
              <w:rPr>
                <w:sz w:val="20"/>
                <w:szCs w:val="20"/>
              </w:rPr>
              <w:t>22</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Mean</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99</w:t>
            </w:r>
            <w:r w:rsidRPr="003533AE">
              <w:rPr>
                <w:spacing w:val="1"/>
                <w:sz w:val="20"/>
                <w:szCs w:val="20"/>
              </w:rPr>
              <w:t>5</w:t>
            </w:r>
            <w:r w:rsidRPr="003533AE">
              <w:rPr>
                <w:sz w:val="20"/>
                <w:szCs w:val="20"/>
              </w:rPr>
              <w:t>.8</w:t>
            </w:r>
          </w:p>
        </w:tc>
        <w:tc>
          <w:tcPr>
            <w:tcW w:w="1276" w:type="dxa"/>
          </w:tcPr>
          <w:p w:rsidR="008764ED" w:rsidRPr="003533AE" w:rsidRDefault="008764ED" w:rsidP="003533AE">
            <w:pPr>
              <w:ind w:left="41"/>
              <w:rPr>
                <w:sz w:val="20"/>
                <w:szCs w:val="20"/>
              </w:rPr>
            </w:pPr>
            <w:r w:rsidRPr="003533AE">
              <w:rPr>
                <w:spacing w:val="1"/>
                <w:sz w:val="20"/>
                <w:szCs w:val="20"/>
              </w:rPr>
              <w:t>3</w:t>
            </w:r>
            <w:r w:rsidRPr="003533AE">
              <w:rPr>
                <w:sz w:val="20"/>
                <w:szCs w:val="20"/>
              </w:rPr>
              <w:t>62</w:t>
            </w:r>
            <w:r w:rsidRPr="003533AE">
              <w:rPr>
                <w:spacing w:val="1"/>
                <w:sz w:val="20"/>
                <w:szCs w:val="20"/>
              </w:rPr>
              <w:t>0</w:t>
            </w:r>
            <w:r w:rsidRPr="003533AE">
              <w:rPr>
                <w:sz w:val="20"/>
                <w:szCs w:val="20"/>
              </w:rPr>
              <w:t>.4</w:t>
            </w:r>
          </w:p>
        </w:tc>
        <w:tc>
          <w:tcPr>
            <w:tcW w:w="1134" w:type="dxa"/>
          </w:tcPr>
          <w:p w:rsidR="008764ED" w:rsidRPr="003533AE" w:rsidRDefault="008764ED" w:rsidP="003533AE">
            <w:pPr>
              <w:ind w:left="41"/>
              <w:rPr>
                <w:sz w:val="20"/>
                <w:szCs w:val="20"/>
              </w:rPr>
            </w:pPr>
            <w:r w:rsidRPr="003533AE">
              <w:rPr>
                <w:spacing w:val="1"/>
                <w:sz w:val="20"/>
                <w:szCs w:val="20"/>
              </w:rPr>
              <w:t>3</w:t>
            </w:r>
            <w:r w:rsidRPr="003533AE">
              <w:rPr>
                <w:spacing w:val="-1"/>
                <w:sz w:val="20"/>
                <w:szCs w:val="20"/>
              </w:rPr>
              <w:t>3</w:t>
            </w:r>
            <w:r w:rsidRPr="003533AE">
              <w:rPr>
                <w:sz w:val="20"/>
                <w:szCs w:val="20"/>
              </w:rPr>
              <w:t>3</w:t>
            </w:r>
            <w:r w:rsidRPr="003533AE">
              <w:rPr>
                <w:spacing w:val="1"/>
                <w:sz w:val="20"/>
                <w:szCs w:val="20"/>
              </w:rPr>
              <w:t>1</w:t>
            </w:r>
            <w:r w:rsidRPr="003533AE">
              <w:rPr>
                <w:sz w:val="20"/>
                <w:szCs w:val="20"/>
              </w:rPr>
              <w:t>.2</w:t>
            </w:r>
          </w:p>
        </w:tc>
        <w:tc>
          <w:tcPr>
            <w:tcW w:w="1202" w:type="dxa"/>
          </w:tcPr>
          <w:p w:rsidR="008764ED" w:rsidRPr="003533AE" w:rsidRDefault="008764ED" w:rsidP="003533AE">
            <w:pPr>
              <w:ind w:left="74"/>
              <w:rPr>
                <w:sz w:val="20"/>
                <w:szCs w:val="20"/>
              </w:rPr>
            </w:pPr>
            <w:r w:rsidRPr="003533AE">
              <w:rPr>
                <w:spacing w:val="1"/>
                <w:sz w:val="20"/>
                <w:szCs w:val="20"/>
              </w:rPr>
              <w:t>2</w:t>
            </w:r>
            <w:r w:rsidRPr="003533AE">
              <w:rPr>
                <w:sz w:val="20"/>
                <w:szCs w:val="20"/>
              </w:rPr>
              <w:t>55</w:t>
            </w:r>
            <w:r w:rsidRPr="003533AE">
              <w:rPr>
                <w:spacing w:val="1"/>
                <w:sz w:val="20"/>
                <w:szCs w:val="20"/>
              </w:rPr>
              <w:t>2</w:t>
            </w:r>
            <w:r w:rsidRPr="003533AE">
              <w:rPr>
                <w:sz w:val="20"/>
                <w:szCs w:val="20"/>
              </w:rPr>
              <w:t>.7</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SD</w:t>
            </w:r>
          </w:p>
        </w:tc>
        <w:tc>
          <w:tcPr>
            <w:tcW w:w="1276" w:type="dxa"/>
          </w:tcPr>
          <w:p w:rsidR="008764ED" w:rsidRPr="003533AE" w:rsidRDefault="008764ED" w:rsidP="003533AE">
            <w:pPr>
              <w:ind w:left="41"/>
              <w:rPr>
                <w:sz w:val="20"/>
                <w:szCs w:val="20"/>
              </w:rPr>
            </w:pPr>
            <w:r w:rsidRPr="003533AE">
              <w:rPr>
                <w:spacing w:val="1"/>
                <w:sz w:val="20"/>
                <w:szCs w:val="20"/>
              </w:rPr>
              <w:t>3</w:t>
            </w:r>
            <w:r w:rsidRPr="003533AE">
              <w:rPr>
                <w:sz w:val="20"/>
                <w:szCs w:val="20"/>
              </w:rPr>
              <w:t>20</w:t>
            </w:r>
            <w:r w:rsidRPr="003533AE">
              <w:rPr>
                <w:spacing w:val="1"/>
                <w:sz w:val="20"/>
                <w:szCs w:val="20"/>
              </w:rPr>
              <w:t>7</w:t>
            </w:r>
            <w:r w:rsidRPr="003533AE">
              <w:rPr>
                <w:sz w:val="20"/>
                <w:szCs w:val="20"/>
              </w:rPr>
              <w:t>.</w:t>
            </w:r>
            <w:r w:rsidRPr="003533AE">
              <w:rPr>
                <w:spacing w:val="1"/>
                <w:sz w:val="20"/>
                <w:szCs w:val="20"/>
              </w:rPr>
              <w:t>7</w:t>
            </w:r>
            <w:r w:rsidRPr="003533AE">
              <w:rPr>
                <w:sz w:val="20"/>
                <w:szCs w:val="20"/>
              </w:rPr>
              <w:t>7</w:t>
            </w:r>
          </w:p>
        </w:tc>
        <w:tc>
          <w:tcPr>
            <w:tcW w:w="1276" w:type="dxa"/>
          </w:tcPr>
          <w:p w:rsidR="008764ED" w:rsidRPr="003533AE" w:rsidRDefault="008764ED" w:rsidP="003533AE">
            <w:pPr>
              <w:ind w:left="41"/>
              <w:rPr>
                <w:sz w:val="20"/>
                <w:szCs w:val="20"/>
              </w:rPr>
            </w:pPr>
            <w:r w:rsidRPr="003533AE">
              <w:rPr>
                <w:spacing w:val="1"/>
                <w:sz w:val="20"/>
                <w:szCs w:val="20"/>
              </w:rPr>
              <w:t>3</w:t>
            </w:r>
            <w:r w:rsidRPr="003533AE">
              <w:rPr>
                <w:sz w:val="20"/>
                <w:szCs w:val="20"/>
              </w:rPr>
              <w:t>10</w:t>
            </w:r>
            <w:r w:rsidRPr="003533AE">
              <w:rPr>
                <w:spacing w:val="1"/>
                <w:sz w:val="20"/>
                <w:szCs w:val="20"/>
              </w:rPr>
              <w:t>7</w:t>
            </w:r>
            <w:r w:rsidRPr="003533AE">
              <w:rPr>
                <w:sz w:val="20"/>
                <w:szCs w:val="20"/>
              </w:rPr>
              <w:t>.</w:t>
            </w:r>
            <w:r w:rsidRPr="003533AE">
              <w:rPr>
                <w:spacing w:val="1"/>
                <w:sz w:val="20"/>
                <w:szCs w:val="20"/>
              </w:rPr>
              <w:t>7</w:t>
            </w:r>
            <w:r w:rsidRPr="003533AE">
              <w:rPr>
                <w:sz w:val="20"/>
                <w:szCs w:val="20"/>
              </w:rPr>
              <w:t>5</w:t>
            </w:r>
          </w:p>
        </w:tc>
        <w:tc>
          <w:tcPr>
            <w:tcW w:w="1134" w:type="dxa"/>
          </w:tcPr>
          <w:p w:rsidR="008764ED" w:rsidRPr="003533AE" w:rsidRDefault="008764ED" w:rsidP="003533AE">
            <w:pPr>
              <w:ind w:left="41"/>
              <w:rPr>
                <w:sz w:val="20"/>
                <w:szCs w:val="20"/>
              </w:rPr>
            </w:pPr>
            <w:r w:rsidRPr="003533AE">
              <w:rPr>
                <w:spacing w:val="1"/>
                <w:sz w:val="20"/>
                <w:szCs w:val="20"/>
              </w:rPr>
              <w:t>3</w:t>
            </w:r>
            <w:r w:rsidRPr="003533AE">
              <w:rPr>
                <w:sz w:val="20"/>
                <w:szCs w:val="20"/>
              </w:rPr>
              <w:t>16</w:t>
            </w:r>
            <w:r w:rsidRPr="003533AE">
              <w:rPr>
                <w:spacing w:val="1"/>
                <w:sz w:val="20"/>
                <w:szCs w:val="20"/>
              </w:rPr>
              <w:t>4</w:t>
            </w:r>
            <w:r w:rsidRPr="003533AE">
              <w:rPr>
                <w:sz w:val="20"/>
                <w:szCs w:val="20"/>
              </w:rPr>
              <w:t>.</w:t>
            </w:r>
            <w:r w:rsidRPr="003533AE">
              <w:rPr>
                <w:spacing w:val="1"/>
                <w:sz w:val="20"/>
                <w:szCs w:val="20"/>
              </w:rPr>
              <w:t>7</w:t>
            </w:r>
            <w:r w:rsidRPr="003533AE">
              <w:rPr>
                <w:sz w:val="20"/>
                <w:szCs w:val="20"/>
              </w:rPr>
              <w:t>5</w:t>
            </w:r>
          </w:p>
        </w:tc>
        <w:tc>
          <w:tcPr>
            <w:tcW w:w="1202" w:type="dxa"/>
          </w:tcPr>
          <w:p w:rsidR="008764ED" w:rsidRPr="003533AE" w:rsidRDefault="008764ED" w:rsidP="003533AE">
            <w:pPr>
              <w:ind w:left="74"/>
              <w:rPr>
                <w:sz w:val="20"/>
                <w:szCs w:val="20"/>
              </w:rPr>
            </w:pPr>
            <w:r w:rsidRPr="003533AE">
              <w:rPr>
                <w:spacing w:val="1"/>
                <w:sz w:val="20"/>
                <w:szCs w:val="20"/>
              </w:rPr>
              <w:t>1</w:t>
            </w:r>
            <w:r w:rsidRPr="003533AE">
              <w:rPr>
                <w:sz w:val="20"/>
                <w:szCs w:val="20"/>
              </w:rPr>
              <w:t>91</w:t>
            </w:r>
            <w:r w:rsidRPr="003533AE">
              <w:rPr>
                <w:spacing w:val="1"/>
                <w:sz w:val="20"/>
                <w:szCs w:val="20"/>
              </w:rPr>
              <w:t>8</w:t>
            </w:r>
            <w:r w:rsidRPr="003533AE">
              <w:rPr>
                <w:sz w:val="20"/>
                <w:szCs w:val="20"/>
              </w:rPr>
              <w:t>.</w:t>
            </w:r>
            <w:r w:rsidRPr="003533AE">
              <w:rPr>
                <w:spacing w:val="1"/>
                <w:sz w:val="20"/>
                <w:szCs w:val="20"/>
              </w:rPr>
              <w:t>6</w:t>
            </w:r>
            <w:r w:rsidRPr="003533AE">
              <w:rPr>
                <w:sz w:val="20"/>
                <w:szCs w:val="20"/>
              </w:rPr>
              <w:t>5</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pacing w:val="1"/>
                <w:sz w:val="20"/>
                <w:szCs w:val="20"/>
              </w:rPr>
              <w:t>S</w:t>
            </w:r>
            <w:r w:rsidRPr="003533AE">
              <w:rPr>
                <w:sz w:val="20"/>
                <w:szCs w:val="20"/>
              </w:rPr>
              <w:t xml:space="preserve">E </w:t>
            </w:r>
            <w:r w:rsidRPr="003533AE">
              <w:rPr>
                <w:spacing w:val="1"/>
                <w:sz w:val="20"/>
                <w:szCs w:val="20"/>
              </w:rPr>
              <w:t>o</w:t>
            </w:r>
            <w:r w:rsidRPr="003533AE">
              <w:rPr>
                <w:sz w:val="20"/>
                <w:szCs w:val="20"/>
              </w:rPr>
              <w:t>f</w:t>
            </w:r>
            <w:r w:rsidRPr="003533AE">
              <w:rPr>
                <w:spacing w:val="1"/>
                <w:sz w:val="20"/>
                <w:szCs w:val="20"/>
              </w:rPr>
              <w:t xml:space="preserve"> </w:t>
            </w:r>
            <w:r w:rsidRPr="003533AE">
              <w:rPr>
                <w:spacing w:val="-2"/>
                <w:sz w:val="20"/>
                <w:szCs w:val="20"/>
              </w:rPr>
              <w:t>m</w:t>
            </w:r>
            <w:r w:rsidRPr="003533AE">
              <w:rPr>
                <w:spacing w:val="1"/>
                <w:sz w:val="20"/>
                <w:szCs w:val="20"/>
              </w:rPr>
              <w:t>ean</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6</w:t>
            </w:r>
            <w:r w:rsidRPr="003533AE">
              <w:rPr>
                <w:spacing w:val="1"/>
                <w:sz w:val="20"/>
                <w:szCs w:val="20"/>
              </w:rPr>
              <w:t>7</w:t>
            </w:r>
            <w:r w:rsidRPr="003533AE">
              <w:rPr>
                <w:spacing w:val="-1"/>
                <w:sz w:val="20"/>
                <w:szCs w:val="20"/>
              </w:rPr>
              <w:t>.</w:t>
            </w:r>
            <w:r w:rsidRPr="003533AE">
              <w:rPr>
                <w:sz w:val="20"/>
                <w:szCs w:val="20"/>
              </w:rPr>
              <w:t>31</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4</w:t>
            </w:r>
            <w:r w:rsidRPr="003533AE">
              <w:rPr>
                <w:spacing w:val="1"/>
                <w:sz w:val="20"/>
                <w:szCs w:val="20"/>
              </w:rPr>
              <w:t>0</w:t>
            </w:r>
            <w:r w:rsidRPr="003533AE">
              <w:rPr>
                <w:spacing w:val="-1"/>
                <w:sz w:val="20"/>
                <w:szCs w:val="20"/>
              </w:rPr>
              <w:t>.</w:t>
            </w:r>
            <w:r w:rsidRPr="003533AE">
              <w:rPr>
                <w:sz w:val="20"/>
                <w:szCs w:val="20"/>
              </w:rPr>
              <w:t>49</w:t>
            </w:r>
          </w:p>
        </w:tc>
        <w:tc>
          <w:tcPr>
            <w:tcW w:w="1134" w:type="dxa"/>
          </w:tcPr>
          <w:p w:rsidR="008764ED" w:rsidRPr="003533AE" w:rsidRDefault="008764ED" w:rsidP="003533AE">
            <w:pPr>
              <w:ind w:left="41"/>
              <w:rPr>
                <w:sz w:val="20"/>
                <w:szCs w:val="20"/>
              </w:rPr>
            </w:pPr>
            <w:r w:rsidRPr="003533AE">
              <w:rPr>
                <w:spacing w:val="1"/>
                <w:sz w:val="20"/>
                <w:szCs w:val="20"/>
              </w:rPr>
              <w:t>1</w:t>
            </w:r>
            <w:r w:rsidRPr="003533AE">
              <w:rPr>
                <w:sz w:val="20"/>
                <w:szCs w:val="20"/>
              </w:rPr>
              <w:t>7</w:t>
            </w:r>
            <w:r w:rsidRPr="003533AE">
              <w:rPr>
                <w:spacing w:val="1"/>
                <w:sz w:val="20"/>
                <w:szCs w:val="20"/>
              </w:rPr>
              <w:t>9</w:t>
            </w:r>
            <w:r w:rsidRPr="003533AE">
              <w:rPr>
                <w:spacing w:val="-1"/>
                <w:sz w:val="20"/>
                <w:szCs w:val="20"/>
              </w:rPr>
              <w:t>.</w:t>
            </w:r>
            <w:r w:rsidRPr="003533AE">
              <w:rPr>
                <w:sz w:val="20"/>
                <w:szCs w:val="20"/>
              </w:rPr>
              <w:t>46</w:t>
            </w:r>
          </w:p>
        </w:tc>
        <w:tc>
          <w:tcPr>
            <w:tcW w:w="1202" w:type="dxa"/>
          </w:tcPr>
          <w:p w:rsidR="008764ED" w:rsidRPr="003533AE" w:rsidRDefault="008764ED" w:rsidP="003533AE">
            <w:pPr>
              <w:ind w:left="74"/>
              <w:rPr>
                <w:sz w:val="20"/>
                <w:szCs w:val="20"/>
              </w:rPr>
            </w:pPr>
            <w:r w:rsidRPr="003533AE">
              <w:rPr>
                <w:spacing w:val="1"/>
                <w:sz w:val="20"/>
                <w:szCs w:val="20"/>
              </w:rPr>
              <w:t>1</w:t>
            </w:r>
            <w:r w:rsidRPr="003533AE">
              <w:rPr>
                <w:sz w:val="20"/>
                <w:szCs w:val="20"/>
              </w:rPr>
              <w:t>2</w:t>
            </w:r>
            <w:r w:rsidRPr="003533AE">
              <w:rPr>
                <w:spacing w:val="1"/>
                <w:sz w:val="20"/>
                <w:szCs w:val="20"/>
              </w:rPr>
              <w:t>8</w:t>
            </w:r>
            <w:r w:rsidRPr="003533AE">
              <w:rPr>
                <w:spacing w:val="-1"/>
                <w:sz w:val="20"/>
                <w:szCs w:val="20"/>
              </w:rPr>
              <w:t>.</w:t>
            </w:r>
            <w:r w:rsidRPr="003533AE">
              <w:rPr>
                <w:sz w:val="20"/>
                <w:szCs w:val="20"/>
              </w:rPr>
              <w:t>77</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Me</w:t>
            </w:r>
            <w:r w:rsidRPr="003533AE">
              <w:rPr>
                <w:spacing w:val="1"/>
                <w:sz w:val="20"/>
                <w:szCs w:val="20"/>
              </w:rPr>
              <w:t>d</w:t>
            </w:r>
            <w:r w:rsidRPr="003533AE">
              <w:rPr>
                <w:sz w:val="20"/>
                <w:szCs w:val="20"/>
              </w:rPr>
              <w:t>i</w:t>
            </w:r>
            <w:r w:rsidRPr="003533AE">
              <w:rPr>
                <w:spacing w:val="1"/>
                <w:sz w:val="20"/>
                <w:szCs w:val="20"/>
              </w:rPr>
              <w:t>an</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95</w:t>
            </w:r>
            <w:r w:rsidRPr="003533AE">
              <w:rPr>
                <w:spacing w:val="1"/>
                <w:sz w:val="20"/>
                <w:szCs w:val="20"/>
              </w:rPr>
              <w:t>0</w:t>
            </w:r>
            <w:r w:rsidRPr="003533AE">
              <w:rPr>
                <w:spacing w:val="-1"/>
                <w:sz w:val="20"/>
                <w:szCs w:val="20"/>
              </w:rPr>
              <w:t>.</w:t>
            </w:r>
            <w:r w:rsidRPr="003533AE">
              <w:rPr>
                <w:sz w:val="20"/>
                <w:szCs w:val="20"/>
              </w:rPr>
              <w:t>0</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70</w:t>
            </w:r>
            <w:r w:rsidRPr="003533AE">
              <w:rPr>
                <w:spacing w:val="1"/>
                <w:sz w:val="20"/>
                <w:szCs w:val="20"/>
              </w:rPr>
              <w:t>0</w:t>
            </w:r>
            <w:r w:rsidRPr="003533AE">
              <w:rPr>
                <w:spacing w:val="-1"/>
                <w:sz w:val="20"/>
                <w:szCs w:val="20"/>
              </w:rPr>
              <w:t>.</w:t>
            </w:r>
            <w:r w:rsidRPr="003533AE">
              <w:rPr>
                <w:sz w:val="20"/>
                <w:szCs w:val="20"/>
              </w:rPr>
              <w:t>0</w:t>
            </w:r>
          </w:p>
        </w:tc>
        <w:tc>
          <w:tcPr>
            <w:tcW w:w="1134" w:type="dxa"/>
          </w:tcPr>
          <w:p w:rsidR="008764ED" w:rsidRPr="003533AE" w:rsidRDefault="008764ED" w:rsidP="003533AE">
            <w:pPr>
              <w:ind w:left="41"/>
              <w:rPr>
                <w:sz w:val="20"/>
                <w:szCs w:val="20"/>
              </w:rPr>
            </w:pPr>
            <w:r w:rsidRPr="003533AE">
              <w:rPr>
                <w:spacing w:val="1"/>
                <w:sz w:val="20"/>
                <w:szCs w:val="20"/>
              </w:rPr>
              <w:t>2</w:t>
            </w:r>
            <w:r w:rsidRPr="003533AE">
              <w:rPr>
                <w:sz w:val="20"/>
                <w:szCs w:val="20"/>
              </w:rPr>
              <w:t>40</w:t>
            </w:r>
            <w:r w:rsidRPr="003533AE">
              <w:rPr>
                <w:spacing w:val="1"/>
                <w:sz w:val="20"/>
                <w:szCs w:val="20"/>
              </w:rPr>
              <w:t>0</w:t>
            </w:r>
            <w:r w:rsidRPr="003533AE">
              <w:rPr>
                <w:spacing w:val="-1"/>
                <w:sz w:val="20"/>
                <w:szCs w:val="20"/>
              </w:rPr>
              <w:t>.</w:t>
            </w:r>
            <w:r w:rsidRPr="003533AE">
              <w:rPr>
                <w:sz w:val="20"/>
                <w:szCs w:val="20"/>
              </w:rPr>
              <w:t>0</w:t>
            </w:r>
          </w:p>
        </w:tc>
        <w:tc>
          <w:tcPr>
            <w:tcW w:w="1202" w:type="dxa"/>
          </w:tcPr>
          <w:p w:rsidR="008764ED" w:rsidRPr="003533AE" w:rsidRDefault="008764ED" w:rsidP="003533AE">
            <w:pPr>
              <w:ind w:left="74"/>
              <w:rPr>
                <w:sz w:val="20"/>
                <w:szCs w:val="20"/>
              </w:rPr>
            </w:pPr>
            <w:r w:rsidRPr="003533AE">
              <w:rPr>
                <w:spacing w:val="1"/>
                <w:sz w:val="20"/>
                <w:szCs w:val="20"/>
              </w:rPr>
              <w:t>1</w:t>
            </w:r>
            <w:r w:rsidRPr="003533AE">
              <w:rPr>
                <w:sz w:val="20"/>
                <w:szCs w:val="20"/>
              </w:rPr>
              <w:t>60</w:t>
            </w:r>
            <w:r w:rsidRPr="003533AE">
              <w:rPr>
                <w:spacing w:val="1"/>
                <w:sz w:val="20"/>
                <w:szCs w:val="20"/>
              </w:rPr>
              <w:t>0</w:t>
            </w:r>
            <w:r w:rsidRPr="003533AE">
              <w:rPr>
                <w:spacing w:val="-1"/>
                <w:sz w:val="20"/>
                <w:szCs w:val="20"/>
              </w:rPr>
              <w:t>.</w:t>
            </w:r>
            <w:r w:rsidRPr="003533AE">
              <w:rPr>
                <w:sz w:val="20"/>
                <w:szCs w:val="20"/>
              </w:rPr>
              <w:t>0</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Borders>
              <w:bottom w:val="single" w:sz="8" w:space="0" w:color="000000" w:themeColor="text1"/>
            </w:tcBorders>
          </w:tcPr>
          <w:p w:rsidR="008764ED" w:rsidRPr="003533AE" w:rsidRDefault="008764ED" w:rsidP="003533AE">
            <w:pPr>
              <w:ind w:left="0"/>
              <w:rPr>
                <w:sz w:val="20"/>
                <w:szCs w:val="20"/>
              </w:rPr>
            </w:pPr>
            <w:r w:rsidRPr="003533AE">
              <w:rPr>
                <w:sz w:val="20"/>
                <w:szCs w:val="20"/>
              </w:rPr>
              <w:t>Mi</w:t>
            </w:r>
            <w:r w:rsidRPr="003533AE">
              <w:rPr>
                <w:spacing w:val="1"/>
                <w:sz w:val="20"/>
                <w:szCs w:val="20"/>
              </w:rPr>
              <w:t>n</w:t>
            </w:r>
            <w:r w:rsidRPr="003533AE">
              <w:rPr>
                <w:sz w:val="20"/>
                <w:szCs w:val="20"/>
              </w:rPr>
              <w:t>,</w:t>
            </w:r>
            <w:r w:rsidRPr="003533AE">
              <w:rPr>
                <w:spacing w:val="1"/>
                <w:sz w:val="20"/>
                <w:szCs w:val="20"/>
              </w:rPr>
              <w:t xml:space="preserve"> </w:t>
            </w:r>
            <w:r w:rsidRPr="003533AE">
              <w:rPr>
                <w:spacing w:val="-2"/>
                <w:sz w:val="20"/>
                <w:szCs w:val="20"/>
              </w:rPr>
              <w:t>m</w:t>
            </w:r>
            <w:r w:rsidRPr="003533AE">
              <w:rPr>
                <w:sz w:val="20"/>
                <w:szCs w:val="20"/>
              </w:rPr>
              <w:t>ax</w:t>
            </w:r>
          </w:p>
        </w:tc>
        <w:tc>
          <w:tcPr>
            <w:tcW w:w="1276" w:type="dxa"/>
            <w:tcBorders>
              <w:bottom w:val="single" w:sz="8" w:space="0" w:color="000000" w:themeColor="text1"/>
            </w:tcBorders>
          </w:tcPr>
          <w:p w:rsidR="008764ED" w:rsidRPr="003533AE" w:rsidRDefault="008764ED" w:rsidP="003533AE">
            <w:pPr>
              <w:ind w:left="41"/>
              <w:rPr>
                <w:sz w:val="20"/>
                <w:szCs w:val="20"/>
              </w:rPr>
            </w:pPr>
            <w:r w:rsidRPr="003533AE">
              <w:rPr>
                <w:spacing w:val="1"/>
                <w:sz w:val="20"/>
                <w:szCs w:val="20"/>
              </w:rPr>
              <w:t>1</w:t>
            </w:r>
            <w:r w:rsidRPr="003533AE">
              <w:rPr>
                <w:spacing w:val="-1"/>
                <w:sz w:val="20"/>
                <w:szCs w:val="20"/>
              </w:rPr>
              <w:t>0</w:t>
            </w:r>
            <w:r w:rsidRPr="003533AE">
              <w:rPr>
                <w:spacing w:val="1"/>
                <w:sz w:val="20"/>
                <w:szCs w:val="20"/>
              </w:rPr>
              <w:t>0, 2</w:t>
            </w:r>
            <w:r w:rsidRPr="003533AE">
              <w:rPr>
                <w:sz w:val="20"/>
                <w:szCs w:val="20"/>
              </w:rPr>
              <w:t>0800</w:t>
            </w:r>
          </w:p>
        </w:tc>
        <w:tc>
          <w:tcPr>
            <w:tcW w:w="1276" w:type="dxa"/>
            <w:tcBorders>
              <w:bottom w:val="single" w:sz="8" w:space="0" w:color="000000" w:themeColor="text1"/>
            </w:tcBorders>
          </w:tcPr>
          <w:p w:rsidR="008764ED" w:rsidRPr="003533AE" w:rsidRDefault="008764ED" w:rsidP="003533AE">
            <w:pPr>
              <w:ind w:left="41"/>
              <w:rPr>
                <w:sz w:val="20"/>
                <w:szCs w:val="20"/>
              </w:rPr>
            </w:pPr>
            <w:r w:rsidRPr="003533AE">
              <w:rPr>
                <w:spacing w:val="1"/>
                <w:sz w:val="20"/>
                <w:szCs w:val="20"/>
              </w:rPr>
              <w:t>2</w:t>
            </w:r>
            <w:r w:rsidRPr="003533AE">
              <w:rPr>
                <w:sz w:val="20"/>
                <w:szCs w:val="20"/>
              </w:rPr>
              <w:t>0</w:t>
            </w:r>
            <w:r w:rsidRPr="003533AE">
              <w:rPr>
                <w:spacing w:val="1"/>
                <w:sz w:val="20"/>
                <w:szCs w:val="20"/>
              </w:rPr>
              <w:t>0, 1</w:t>
            </w:r>
            <w:r w:rsidRPr="003533AE">
              <w:rPr>
                <w:sz w:val="20"/>
                <w:szCs w:val="20"/>
              </w:rPr>
              <w:t>7000</w:t>
            </w:r>
          </w:p>
        </w:tc>
        <w:tc>
          <w:tcPr>
            <w:tcW w:w="1134" w:type="dxa"/>
            <w:tcBorders>
              <w:bottom w:val="single" w:sz="8" w:space="0" w:color="000000" w:themeColor="text1"/>
            </w:tcBorders>
          </w:tcPr>
          <w:p w:rsidR="008764ED" w:rsidRPr="003533AE" w:rsidRDefault="008764ED" w:rsidP="003533AE">
            <w:pPr>
              <w:ind w:left="41"/>
              <w:rPr>
                <w:sz w:val="20"/>
                <w:szCs w:val="20"/>
              </w:rPr>
            </w:pPr>
            <w:r w:rsidRPr="003533AE">
              <w:rPr>
                <w:spacing w:val="1"/>
                <w:sz w:val="20"/>
                <w:szCs w:val="20"/>
              </w:rPr>
              <w:t>1</w:t>
            </w:r>
            <w:r w:rsidRPr="003533AE">
              <w:rPr>
                <w:sz w:val="20"/>
                <w:szCs w:val="20"/>
              </w:rPr>
              <w:t>0</w:t>
            </w:r>
            <w:r w:rsidRPr="003533AE">
              <w:rPr>
                <w:spacing w:val="1"/>
                <w:sz w:val="20"/>
                <w:szCs w:val="20"/>
              </w:rPr>
              <w:t>0, 2</w:t>
            </w:r>
            <w:r w:rsidRPr="003533AE">
              <w:rPr>
                <w:sz w:val="20"/>
                <w:szCs w:val="20"/>
              </w:rPr>
              <w:t>0800</w:t>
            </w:r>
          </w:p>
        </w:tc>
        <w:tc>
          <w:tcPr>
            <w:tcW w:w="1202" w:type="dxa"/>
            <w:tcBorders>
              <w:bottom w:val="single" w:sz="8" w:space="0" w:color="000000" w:themeColor="text1"/>
            </w:tcBorders>
          </w:tcPr>
          <w:p w:rsidR="008764ED" w:rsidRPr="003533AE" w:rsidRDefault="008764ED" w:rsidP="003533AE">
            <w:pPr>
              <w:ind w:left="74"/>
              <w:rPr>
                <w:sz w:val="20"/>
                <w:szCs w:val="20"/>
              </w:rPr>
            </w:pPr>
            <w:r w:rsidRPr="003533AE">
              <w:rPr>
                <w:spacing w:val="1"/>
                <w:sz w:val="20"/>
                <w:szCs w:val="20"/>
              </w:rPr>
              <w:t>0, 1</w:t>
            </w:r>
            <w:r w:rsidRPr="003533AE">
              <w:rPr>
                <w:sz w:val="20"/>
                <w:szCs w:val="20"/>
              </w:rPr>
              <w:t>2000</w:t>
            </w:r>
          </w:p>
        </w:tc>
        <w:tc>
          <w:tcPr>
            <w:tcW w:w="1491" w:type="dxa"/>
            <w:gridSpan w:val="2"/>
            <w:tcBorders>
              <w:bottom w:val="single" w:sz="8" w:space="0" w:color="000000" w:themeColor="text1"/>
            </w:tcBorders>
          </w:tcPr>
          <w:p w:rsidR="008764ED" w:rsidRPr="003533AE" w:rsidRDefault="008764ED" w:rsidP="003533AE">
            <w:pPr>
              <w:ind w:left="0"/>
              <w:rPr>
                <w:sz w:val="20"/>
                <w:szCs w:val="20"/>
              </w:rPr>
            </w:pPr>
            <w:r w:rsidRPr="003533AE">
              <w:rPr>
                <w:sz w:val="20"/>
                <w:szCs w:val="20"/>
              </w:rPr>
              <w:t>—</w:t>
            </w:r>
          </w:p>
        </w:tc>
        <w:tc>
          <w:tcPr>
            <w:tcW w:w="1276" w:type="dxa"/>
            <w:gridSpan w:val="2"/>
            <w:tcBorders>
              <w:bottom w:val="single" w:sz="8" w:space="0" w:color="000000" w:themeColor="text1"/>
            </w:tcBorders>
          </w:tcPr>
          <w:p w:rsidR="008764ED" w:rsidRPr="003533AE" w:rsidRDefault="008764ED" w:rsidP="003533AE">
            <w:pPr>
              <w:ind w:left="0"/>
              <w:rPr>
                <w:sz w:val="20"/>
                <w:szCs w:val="20"/>
              </w:rPr>
            </w:pPr>
            <w:r w:rsidRPr="003533AE">
              <w:rPr>
                <w:sz w:val="20"/>
                <w:szCs w:val="20"/>
              </w:rPr>
              <w:t>—</w:t>
            </w:r>
          </w:p>
        </w:tc>
      </w:tr>
      <w:tr w:rsidR="000E433B" w:rsidRPr="003533AE" w:rsidTr="003D548D">
        <w:trPr>
          <w:trHeight w:val="20"/>
        </w:trPr>
        <w:tc>
          <w:tcPr>
            <w:tcW w:w="9039" w:type="dxa"/>
            <w:gridSpan w:val="9"/>
            <w:shd w:val="clear" w:color="auto" w:fill="C6D4E9"/>
          </w:tcPr>
          <w:p w:rsidR="000E433B" w:rsidRPr="003533AE" w:rsidRDefault="000E433B" w:rsidP="003533AE">
            <w:pPr>
              <w:ind w:left="0"/>
              <w:rPr>
                <w:sz w:val="20"/>
                <w:szCs w:val="20"/>
              </w:rPr>
            </w:pPr>
            <w:r w:rsidRPr="003533AE">
              <w:rPr>
                <w:sz w:val="20"/>
                <w:szCs w:val="20"/>
              </w:rPr>
              <w:lastRenderedPageBreak/>
              <w:t>Average dose per episode (µg)</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n</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44</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67</w:t>
            </w:r>
          </w:p>
        </w:tc>
        <w:tc>
          <w:tcPr>
            <w:tcW w:w="1134" w:type="dxa"/>
          </w:tcPr>
          <w:p w:rsidR="008764ED" w:rsidRPr="003533AE" w:rsidRDefault="008764ED" w:rsidP="003533AE">
            <w:pPr>
              <w:ind w:left="41"/>
              <w:rPr>
                <w:sz w:val="20"/>
                <w:szCs w:val="20"/>
              </w:rPr>
            </w:pPr>
            <w:r w:rsidRPr="003533AE">
              <w:rPr>
                <w:spacing w:val="1"/>
                <w:sz w:val="20"/>
                <w:szCs w:val="20"/>
              </w:rPr>
              <w:t>3</w:t>
            </w:r>
            <w:r w:rsidRPr="003533AE">
              <w:rPr>
                <w:sz w:val="20"/>
                <w:szCs w:val="20"/>
              </w:rPr>
              <w:t>11</w:t>
            </w:r>
          </w:p>
        </w:tc>
        <w:tc>
          <w:tcPr>
            <w:tcW w:w="1202" w:type="dxa"/>
          </w:tcPr>
          <w:p w:rsidR="008764ED" w:rsidRPr="003533AE" w:rsidRDefault="008764ED" w:rsidP="003533AE">
            <w:pPr>
              <w:ind w:left="74"/>
              <w:rPr>
                <w:sz w:val="20"/>
                <w:szCs w:val="20"/>
              </w:rPr>
            </w:pPr>
            <w:r w:rsidRPr="003533AE">
              <w:rPr>
                <w:spacing w:val="1"/>
                <w:sz w:val="20"/>
                <w:szCs w:val="20"/>
              </w:rPr>
              <w:t>2</w:t>
            </w:r>
            <w:r w:rsidRPr="003533AE">
              <w:rPr>
                <w:sz w:val="20"/>
                <w:szCs w:val="20"/>
              </w:rPr>
              <w:t>22</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w:t>
            </w:r>
            <w:r w:rsidRPr="003533AE">
              <w:rPr>
                <w:spacing w:val="1"/>
                <w:sz w:val="20"/>
                <w:szCs w:val="20"/>
              </w:rPr>
              <w:t>ean</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5</w:t>
            </w:r>
            <w:r w:rsidRPr="003533AE">
              <w:rPr>
                <w:spacing w:val="1"/>
                <w:sz w:val="20"/>
                <w:szCs w:val="20"/>
              </w:rPr>
              <w:t>0</w:t>
            </w:r>
            <w:r w:rsidRPr="003533AE">
              <w:rPr>
                <w:spacing w:val="-1"/>
                <w:sz w:val="20"/>
                <w:szCs w:val="20"/>
              </w:rPr>
              <w:t>.</w:t>
            </w:r>
            <w:r w:rsidRPr="003533AE">
              <w:rPr>
                <w:sz w:val="20"/>
                <w:szCs w:val="20"/>
              </w:rPr>
              <w:t>1</w:t>
            </w:r>
          </w:p>
        </w:tc>
        <w:tc>
          <w:tcPr>
            <w:tcW w:w="1276" w:type="dxa"/>
          </w:tcPr>
          <w:p w:rsidR="008764ED" w:rsidRPr="003533AE" w:rsidRDefault="008764ED" w:rsidP="003533AE">
            <w:pPr>
              <w:ind w:left="41"/>
              <w:rPr>
                <w:sz w:val="20"/>
                <w:szCs w:val="20"/>
              </w:rPr>
            </w:pPr>
            <w:r w:rsidRPr="003533AE">
              <w:rPr>
                <w:spacing w:val="1"/>
                <w:sz w:val="20"/>
                <w:szCs w:val="20"/>
              </w:rPr>
              <w:t>3</w:t>
            </w:r>
            <w:r w:rsidRPr="003533AE">
              <w:rPr>
                <w:sz w:val="20"/>
                <w:szCs w:val="20"/>
              </w:rPr>
              <w:t>3</w:t>
            </w:r>
            <w:r w:rsidRPr="003533AE">
              <w:rPr>
                <w:spacing w:val="1"/>
                <w:sz w:val="20"/>
                <w:szCs w:val="20"/>
              </w:rPr>
              <w:t>0</w:t>
            </w:r>
            <w:r w:rsidRPr="003533AE">
              <w:rPr>
                <w:spacing w:val="-1"/>
                <w:sz w:val="20"/>
                <w:szCs w:val="20"/>
              </w:rPr>
              <w:t>.</w:t>
            </w:r>
            <w:r w:rsidRPr="003533AE">
              <w:rPr>
                <w:sz w:val="20"/>
                <w:szCs w:val="20"/>
              </w:rPr>
              <w:t>3</w:t>
            </w:r>
          </w:p>
        </w:tc>
        <w:tc>
          <w:tcPr>
            <w:tcW w:w="1134" w:type="dxa"/>
          </w:tcPr>
          <w:p w:rsidR="008764ED" w:rsidRPr="003533AE" w:rsidRDefault="008764ED" w:rsidP="003533AE">
            <w:pPr>
              <w:ind w:left="41"/>
              <w:rPr>
                <w:sz w:val="20"/>
                <w:szCs w:val="20"/>
              </w:rPr>
            </w:pPr>
            <w:r w:rsidRPr="003533AE">
              <w:rPr>
                <w:spacing w:val="1"/>
                <w:sz w:val="20"/>
                <w:szCs w:val="20"/>
              </w:rPr>
              <w:t>2</w:t>
            </w:r>
            <w:r w:rsidRPr="003533AE">
              <w:rPr>
                <w:sz w:val="20"/>
                <w:szCs w:val="20"/>
              </w:rPr>
              <w:t>9</w:t>
            </w:r>
            <w:r w:rsidRPr="003533AE">
              <w:rPr>
                <w:spacing w:val="1"/>
                <w:sz w:val="20"/>
                <w:szCs w:val="20"/>
              </w:rPr>
              <w:t>3</w:t>
            </w:r>
            <w:r w:rsidRPr="003533AE">
              <w:rPr>
                <w:spacing w:val="-1"/>
                <w:sz w:val="20"/>
                <w:szCs w:val="20"/>
              </w:rPr>
              <w:t>.</w:t>
            </w:r>
            <w:r w:rsidRPr="003533AE">
              <w:rPr>
                <w:sz w:val="20"/>
                <w:szCs w:val="20"/>
              </w:rPr>
              <w:t>1</w:t>
            </w:r>
          </w:p>
        </w:tc>
        <w:tc>
          <w:tcPr>
            <w:tcW w:w="1202" w:type="dxa"/>
          </w:tcPr>
          <w:p w:rsidR="008764ED" w:rsidRPr="003533AE" w:rsidRDefault="008764ED" w:rsidP="003533AE">
            <w:pPr>
              <w:ind w:left="74"/>
              <w:rPr>
                <w:sz w:val="20"/>
                <w:szCs w:val="20"/>
              </w:rPr>
            </w:pPr>
            <w:r w:rsidRPr="003533AE">
              <w:rPr>
                <w:spacing w:val="1"/>
                <w:sz w:val="20"/>
                <w:szCs w:val="20"/>
              </w:rPr>
              <w:t>3</w:t>
            </w:r>
            <w:r w:rsidRPr="003533AE">
              <w:rPr>
                <w:sz w:val="20"/>
                <w:szCs w:val="20"/>
              </w:rPr>
              <w:t>0</w:t>
            </w:r>
            <w:r w:rsidRPr="003533AE">
              <w:rPr>
                <w:spacing w:val="1"/>
                <w:sz w:val="20"/>
                <w:szCs w:val="20"/>
              </w:rPr>
              <w:t>9</w:t>
            </w:r>
            <w:r w:rsidRPr="003533AE">
              <w:rPr>
                <w:spacing w:val="-1"/>
                <w:sz w:val="20"/>
                <w:szCs w:val="20"/>
              </w:rPr>
              <w:t>.</w:t>
            </w:r>
            <w:r w:rsidRPr="003533AE">
              <w:rPr>
                <w:sz w:val="20"/>
                <w:szCs w:val="20"/>
              </w:rPr>
              <w:t>5</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pacing w:val="1"/>
                <w:sz w:val="20"/>
                <w:szCs w:val="20"/>
              </w:rPr>
              <w:t>SD</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5</w:t>
            </w:r>
            <w:r w:rsidRPr="003533AE">
              <w:rPr>
                <w:spacing w:val="1"/>
                <w:sz w:val="20"/>
                <w:szCs w:val="20"/>
              </w:rPr>
              <w:t>2</w:t>
            </w:r>
            <w:r w:rsidRPr="003533AE">
              <w:rPr>
                <w:spacing w:val="-1"/>
                <w:sz w:val="20"/>
                <w:szCs w:val="20"/>
              </w:rPr>
              <w:t>.</w:t>
            </w:r>
            <w:r w:rsidRPr="003533AE">
              <w:rPr>
                <w:sz w:val="20"/>
                <w:szCs w:val="20"/>
              </w:rPr>
              <w:t>70</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5</w:t>
            </w:r>
            <w:r w:rsidRPr="003533AE">
              <w:rPr>
                <w:spacing w:val="1"/>
                <w:sz w:val="20"/>
                <w:szCs w:val="20"/>
              </w:rPr>
              <w:t>7</w:t>
            </w:r>
            <w:r w:rsidRPr="003533AE">
              <w:rPr>
                <w:spacing w:val="-1"/>
                <w:sz w:val="20"/>
                <w:szCs w:val="20"/>
              </w:rPr>
              <w:t>.</w:t>
            </w:r>
            <w:r w:rsidRPr="003533AE">
              <w:rPr>
                <w:sz w:val="20"/>
                <w:szCs w:val="20"/>
              </w:rPr>
              <w:t>04</w:t>
            </w:r>
          </w:p>
        </w:tc>
        <w:tc>
          <w:tcPr>
            <w:tcW w:w="1134" w:type="dxa"/>
          </w:tcPr>
          <w:p w:rsidR="008764ED" w:rsidRPr="003533AE" w:rsidRDefault="008764ED" w:rsidP="003533AE">
            <w:pPr>
              <w:ind w:left="41"/>
              <w:rPr>
                <w:sz w:val="20"/>
                <w:szCs w:val="20"/>
              </w:rPr>
            </w:pPr>
            <w:r w:rsidRPr="003533AE">
              <w:rPr>
                <w:spacing w:val="1"/>
                <w:sz w:val="20"/>
                <w:szCs w:val="20"/>
              </w:rPr>
              <w:t>1</w:t>
            </w:r>
            <w:r w:rsidRPr="003533AE">
              <w:rPr>
                <w:sz w:val="20"/>
                <w:szCs w:val="20"/>
              </w:rPr>
              <w:t>5</w:t>
            </w:r>
            <w:r w:rsidRPr="003533AE">
              <w:rPr>
                <w:spacing w:val="1"/>
                <w:sz w:val="20"/>
                <w:szCs w:val="20"/>
              </w:rPr>
              <w:t>9</w:t>
            </w:r>
            <w:r w:rsidRPr="003533AE">
              <w:rPr>
                <w:spacing w:val="-1"/>
                <w:sz w:val="20"/>
                <w:szCs w:val="20"/>
              </w:rPr>
              <w:t>.</w:t>
            </w:r>
            <w:r w:rsidRPr="003533AE">
              <w:rPr>
                <w:sz w:val="20"/>
                <w:szCs w:val="20"/>
              </w:rPr>
              <w:t>90</w:t>
            </w:r>
          </w:p>
        </w:tc>
        <w:tc>
          <w:tcPr>
            <w:tcW w:w="1202" w:type="dxa"/>
          </w:tcPr>
          <w:p w:rsidR="008764ED" w:rsidRPr="003533AE" w:rsidRDefault="008764ED" w:rsidP="003533AE">
            <w:pPr>
              <w:ind w:left="74"/>
              <w:rPr>
                <w:sz w:val="20"/>
                <w:szCs w:val="20"/>
              </w:rPr>
            </w:pPr>
            <w:r w:rsidRPr="003533AE">
              <w:rPr>
                <w:spacing w:val="1"/>
                <w:sz w:val="20"/>
                <w:szCs w:val="20"/>
              </w:rPr>
              <w:t>1</w:t>
            </w:r>
            <w:r w:rsidRPr="003533AE">
              <w:rPr>
                <w:sz w:val="20"/>
                <w:szCs w:val="20"/>
              </w:rPr>
              <w:t>9</w:t>
            </w:r>
            <w:r w:rsidRPr="003533AE">
              <w:rPr>
                <w:spacing w:val="1"/>
                <w:sz w:val="20"/>
                <w:szCs w:val="20"/>
              </w:rPr>
              <w:t>6</w:t>
            </w:r>
            <w:r w:rsidRPr="003533AE">
              <w:rPr>
                <w:spacing w:val="-1"/>
                <w:sz w:val="20"/>
                <w:szCs w:val="20"/>
              </w:rPr>
              <w:t>.</w:t>
            </w:r>
            <w:r w:rsidRPr="003533AE">
              <w:rPr>
                <w:sz w:val="20"/>
                <w:szCs w:val="20"/>
              </w:rPr>
              <w:t>00</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pacing w:val="1"/>
                <w:sz w:val="20"/>
                <w:szCs w:val="20"/>
              </w:rPr>
              <w:t>S</w:t>
            </w:r>
            <w:r w:rsidRPr="003533AE">
              <w:rPr>
                <w:sz w:val="20"/>
                <w:szCs w:val="20"/>
              </w:rPr>
              <w:t xml:space="preserve">E </w:t>
            </w:r>
            <w:r w:rsidRPr="003533AE">
              <w:rPr>
                <w:spacing w:val="1"/>
                <w:sz w:val="20"/>
                <w:szCs w:val="20"/>
              </w:rPr>
              <w:t>o</w:t>
            </w:r>
            <w:r w:rsidRPr="003533AE">
              <w:rPr>
                <w:sz w:val="20"/>
                <w:szCs w:val="20"/>
              </w:rPr>
              <w:t>f</w:t>
            </w:r>
            <w:r w:rsidRPr="003533AE">
              <w:rPr>
                <w:spacing w:val="1"/>
                <w:sz w:val="20"/>
                <w:szCs w:val="20"/>
              </w:rPr>
              <w:t xml:space="preserve"> </w:t>
            </w:r>
            <w:r w:rsidRPr="003533AE">
              <w:rPr>
                <w:spacing w:val="-2"/>
                <w:sz w:val="20"/>
                <w:szCs w:val="20"/>
              </w:rPr>
              <w:t>m</w:t>
            </w:r>
            <w:r w:rsidRPr="003533AE">
              <w:rPr>
                <w:spacing w:val="1"/>
                <w:sz w:val="20"/>
                <w:szCs w:val="20"/>
              </w:rPr>
              <w:t>ean</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2</w:t>
            </w:r>
            <w:r w:rsidRPr="003533AE">
              <w:rPr>
                <w:spacing w:val="1"/>
                <w:sz w:val="20"/>
                <w:szCs w:val="20"/>
              </w:rPr>
              <w:t>.</w:t>
            </w:r>
            <w:r w:rsidRPr="003533AE">
              <w:rPr>
                <w:sz w:val="20"/>
                <w:szCs w:val="20"/>
              </w:rPr>
              <w:t>73</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2</w:t>
            </w:r>
            <w:r w:rsidRPr="003533AE">
              <w:rPr>
                <w:spacing w:val="1"/>
                <w:sz w:val="20"/>
                <w:szCs w:val="20"/>
              </w:rPr>
              <w:t>.</w:t>
            </w:r>
            <w:r w:rsidRPr="003533AE">
              <w:rPr>
                <w:sz w:val="20"/>
                <w:szCs w:val="20"/>
              </w:rPr>
              <w:t>15</w:t>
            </w:r>
          </w:p>
        </w:tc>
        <w:tc>
          <w:tcPr>
            <w:tcW w:w="1134" w:type="dxa"/>
          </w:tcPr>
          <w:p w:rsidR="008764ED" w:rsidRPr="003533AE" w:rsidRDefault="008764ED" w:rsidP="003533AE">
            <w:pPr>
              <w:ind w:left="41"/>
              <w:rPr>
                <w:sz w:val="20"/>
                <w:szCs w:val="20"/>
              </w:rPr>
            </w:pPr>
            <w:r w:rsidRPr="003533AE">
              <w:rPr>
                <w:spacing w:val="1"/>
                <w:sz w:val="20"/>
                <w:szCs w:val="20"/>
              </w:rPr>
              <w:t>9</w:t>
            </w:r>
            <w:r w:rsidRPr="003533AE">
              <w:rPr>
                <w:spacing w:val="-1"/>
                <w:sz w:val="20"/>
                <w:szCs w:val="20"/>
              </w:rPr>
              <w:t>.</w:t>
            </w:r>
            <w:r w:rsidRPr="003533AE">
              <w:rPr>
                <w:spacing w:val="1"/>
                <w:sz w:val="20"/>
                <w:szCs w:val="20"/>
              </w:rPr>
              <w:t>07</w:t>
            </w:r>
          </w:p>
        </w:tc>
        <w:tc>
          <w:tcPr>
            <w:tcW w:w="1202" w:type="dxa"/>
          </w:tcPr>
          <w:p w:rsidR="008764ED" w:rsidRPr="003533AE" w:rsidRDefault="008764ED" w:rsidP="003533AE">
            <w:pPr>
              <w:ind w:left="74"/>
              <w:rPr>
                <w:sz w:val="20"/>
                <w:szCs w:val="20"/>
              </w:rPr>
            </w:pPr>
            <w:r w:rsidRPr="003533AE">
              <w:rPr>
                <w:spacing w:val="1"/>
                <w:sz w:val="20"/>
                <w:szCs w:val="20"/>
              </w:rPr>
              <w:t>1</w:t>
            </w:r>
            <w:r w:rsidRPr="003533AE">
              <w:rPr>
                <w:sz w:val="20"/>
                <w:szCs w:val="20"/>
              </w:rPr>
              <w:t>3</w:t>
            </w:r>
            <w:r w:rsidRPr="003533AE">
              <w:rPr>
                <w:spacing w:val="1"/>
                <w:sz w:val="20"/>
                <w:szCs w:val="20"/>
              </w:rPr>
              <w:t>.</w:t>
            </w:r>
            <w:r w:rsidRPr="003533AE">
              <w:rPr>
                <w:sz w:val="20"/>
                <w:szCs w:val="20"/>
              </w:rPr>
              <w:t>15</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Me</w:t>
            </w:r>
            <w:r w:rsidRPr="003533AE">
              <w:rPr>
                <w:spacing w:val="1"/>
                <w:sz w:val="20"/>
                <w:szCs w:val="20"/>
              </w:rPr>
              <w:t>d</w:t>
            </w:r>
            <w:r w:rsidRPr="003533AE">
              <w:rPr>
                <w:sz w:val="20"/>
                <w:szCs w:val="20"/>
              </w:rPr>
              <w:t>i</w:t>
            </w:r>
            <w:r w:rsidRPr="003533AE">
              <w:rPr>
                <w:spacing w:val="1"/>
                <w:sz w:val="20"/>
                <w:szCs w:val="20"/>
              </w:rPr>
              <w:t>an</w:t>
            </w:r>
          </w:p>
        </w:tc>
        <w:tc>
          <w:tcPr>
            <w:tcW w:w="1276" w:type="dxa"/>
          </w:tcPr>
          <w:p w:rsidR="008764ED" w:rsidRPr="003533AE" w:rsidRDefault="008764ED" w:rsidP="003533AE">
            <w:pPr>
              <w:ind w:left="41"/>
              <w:rPr>
                <w:sz w:val="20"/>
                <w:szCs w:val="20"/>
              </w:rPr>
            </w:pPr>
            <w:r w:rsidRPr="003533AE">
              <w:rPr>
                <w:spacing w:val="1"/>
                <w:sz w:val="20"/>
                <w:szCs w:val="20"/>
              </w:rPr>
              <w:t>2</w:t>
            </w:r>
            <w:r w:rsidRPr="003533AE">
              <w:rPr>
                <w:sz w:val="20"/>
                <w:szCs w:val="20"/>
              </w:rPr>
              <w:t>0</w:t>
            </w:r>
            <w:r w:rsidRPr="003533AE">
              <w:rPr>
                <w:spacing w:val="1"/>
                <w:sz w:val="20"/>
                <w:szCs w:val="20"/>
              </w:rPr>
              <w:t>0</w:t>
            </w:r>
            <w:r w:rsidRPr="003533AE">
              <w:rPr>
                <w:spacing w:val="-1"/>
                <w:sz w:val="20"/>
                <w:szCs w:val="20"/>
              </w:rPr>
              <w:t>.</w:t>
            </w:r>
            <w:r w:rsidRPr="003533AE">
              <w:rPr>
                <w:sz w:val="20"/>
                <w:szCs w:val="20"/>
              </w:rPr>
              <w:t>0</w:t>
            </w:r>
          </w:p>
        </w:tc>
        <w:tc>
          <w:tcPr>
            <w:tcW w:w="1276" w:type="dxa"/>
          </w:tcPr>
          <w:p w:rsidR="008764ED" w:rsidRPr="003533AE" w:rsidRDefault="008764ED" w:rsidP="003533AE">
            <w:pPr>
              <w:ind w:left="41"/>
              <w:rPr>
                <w:sz w:val="20"/>
                <w:szCs w:val="20"/>
              </w:rPr>
            </w:pPr>
            <w:r w:rsidRPr="003533AE">
              <w:rPr>
                <w:spacing w:val="1"/>
                <w:sz w:val="20"/>
                <w:szCs w:val="20"/>
              </w:rPr>
              <w:t>3</w:t>
            </w:r>
            <w:r w:rsidRPr="003533AE">
              <w:rPr>
                <w:sz w:val="20"/>
                <w:szCs w:val="20"/>
              </w:rPr>
              <w:t>0</w:t>
            </w:r>
            <w:r w:rsidRPr="003533AE">
              <w:rPr>
                <w:spacing w:val="1"/>
                <w:sz w:val="20"/>
                <w:szCs w:val="20"/>
              </w:rPr>
              <w:t>0</w:t>
            </w:r>
            <w:r w:rsidRPr="003533AE">
              <w:rPr>
                <w:spacing w:val="-1"/>
                <w:sz w:val="20"/>
                <w:szCs w:val="20"/>
              </w:rPr>
              <w:t>.</w:t>
            </w:r>
            <w:r w:rsidRPr="003533AE">
              <w:rPr>
                <w:sz w:val="20"/>
                <w:szCs w:val="20"/>
              </w:rPr>
              <w:t>0</w:t>
            </w:r>
          </w:p>
        </w:tc>
        <w:tc>
          <w:tcPr>
            <w:tcW w:w="1134" w:type="dxa"/>
          </w:tcPr>
          <w:p w:rsidR="008764ED" w:rsidRPr="003533AE" w:rsidRDefault="008764ED" w:rsidP="003533AE">
            <w:pPr>
              <w:ind w:left="41"/>
              <w:rPr>
                <w:sz w:val="20"/>
                <w:szCs w:val="20"/>
              </w:rPr>
            </w:pPr>
            <w:r w:rsidRPr="003533AE">
              <w:rPr>
                <w:spacing w:val="1"/>
                <w:sz w:val="20"/>
                <w:szCs w:val="20"/>
              </w:rPr>
              <w:t>2</w:t>
            </w:r>
            <w:r w:rsidRPr="003533AE">
              <w:rPr>
                <w:sz w:val="20"/>
                <w:szCs w:val="20"/>
              </w:rPr>
              <w:t>3</w:t>
            </w:r>
            <w:r w:rsidRPr="003533AE">
              <w:rPr>
                <w:spacing w:val="1"/>
                <w:sz w:val="20"/>
                <w:szCs w:val="20"/>
              </w:rPr>
              <w:t>0</w:t>
            </w:r>
            <w:r w:rsidRPr="003533AE">
              <w:rPr>
                <w:spacing w:val="-1"/>
                <w:sz w:val="20"/>
                <w:szCs w:val="20"/>
              </w:rPr>
              <w:t>.</w:t>
            </w:r>
            <w:r w:rsidRPr="003533AE">
              <w:rPr>
                <w:sz w:val="20"/>
                <w:szCs w:val="20"/>
              </w:rPr>
              <w:t>8</w:t>
            </w:r>
          </w:p>
        </w:tc>
        <w:tc>
          <w:tcPr>
            <w:tcW w:w="1202" w:type="dxa"/>
          </w:tcPr>
          <w:p w:rsidR="008764ED" w:rsidRPr="003533AE" w:rsidRDefault="008764ED" w:rsidP="003533AE">
            <w:pPr>
              <w:ind w:left="74"/>
              <w:rPr>
                <w:sz w:val="20"/>
                <w:szCs w:val="20"/>
              </w:rPr>
            </w:pPr>
            <w:r w:rsidRPr="003533AE">
              <w:rPr>
                <w:spacing w:val="1"/>
                <w:sz w:val="20"/>
                <w:szCs w:val="20"/>
              </w:rPr>
              <w:t>2</w:t>
            </w:r>
            <w:r w:rsidRPr="003533AE">
              <w:rPr>
                <w:sz w:val="20"/>
                <w:szCs w:val="20"/>
              </w:rPr>
              <w:t>0</w:t>
            </w:r>
            <w:r w:rsidRPr="003533AE">
              <w:rPr>
                <w:spacing w:val="1"/>
                <w:sz w:val="20"/>
                <w:szCs w:val="20"/>
              </w:rPr>
              <w:t>0</w:t>
            </w:r>
            <w:r w:rsidRPr="003533AE">
              <w:rPr>
                <w:spacing w:val="-1"/>
                <w:sz w:val="20"/>
                <w:szCs w:val="20"/>
              </w:rPr>
              <w:t>.</w:t>
            </w:r>
            <w:r w:rsidRPr="003533AE">
              <w:rPr>
                <w:sz w:val="20"/>
                <w:szCs w:val="20"/>
              </w:rPr>
              <w:t>0</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r w:rsidR="008764ED" w:rsidRPr="003533AE" w:rsidTr="000E433B">
        <w:trPr>
          <w:trHeight w:val="20"/>
        </w:trPr>
        <w:tc>
          <w:tcPr>
            <w:tcW w:w="1384" w:type="dxa"/>
          </w:tcPr>
          <w:p w:rsidR="008764ED" w:rsidRPr="003533AE" w:rsidRDefault="008764ED" w:rsidP="003533AE">
            <w:pPr>
              <w:ind w:left="0"/>
              <w:rPr>
                <w:sz w:val="20"/>
                <w:szCs w:val="20"/>
              </w:rPr>
            </w:pPr>
            <w:r w:rsidRPr="003533AE">
              <w:rPr>
                <w:sz w:val="20"/>
                <w:szCs w:val="20"/>
              </w:rPr>
              <w:t>Mi</w:t>
            </w:r>
            <w:r w:rsidRPr="003533AE">
              <w:rPr>
                <w:spacing w:val="1"/>
                <w:sz w:val="20"/>
                <w:szCs w:val="20"/>
              </w:rPr>
              <w:t>n</w:t>
            </w:r>
            <w:r w:rsidRPr="003533AE">
              <w:rPr>
                <w:sz w:val="20"/>
                <w:szCs w:val="20"/>
              </w:rPr>
              <w:t>,</w:t>
            </w:r>
            <w:r w:rsidRPr="003533AE">
              <w:rPr>
                <w:spacing w:val="1"/>
                <w:sz w:val="20"/>
                <w:szCs w:val="20"/>
              </w:rPr>
              <w:t xml:space="preserve"> </w:t>
            </w:r>
            <w:r w:rsidRPr="003533AE">
              <w:rPr>
                <w:spacing w:val="-2"/>
                <w:sz w:val="20"/>
                <w:szCs w:val="20"/>
              </w:rPr>
              <w:t>m</w:t>
            </w:r>
            <w:r w:rsidRPr="003533AE">
              <w:rPr>
                <w:sz w:val="20"/>
                <w:szCs w:val="20"/>
              </w:rPr>
              <w:t>ax</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0</w:t>
            </w:r>
            <w:r w:rsidRPr="003533AE">
              <w:rPr>
                <w:spacing w:val="1"/>
                <w:sz w:val="20"/>
                <w:szCs w:val="20"/>
              </w:rPr>
              <w:t>0</w:t>
            </w:r>
            <w:r w:rsidRPr="003533AE">
              <w:rPr>
                <w:sz w:val="20"/>
                <w:szCs w:val="20"/>
              </w:rPr>
              <w:t>, 743</w:t>
            </w:r>
          </w:p>
        </w:tc>
        <w:tc>
          <w:tcPr>
            <w:tcW w:w="1276" w:type="dxa"/>
          </w:tcPr>
          <w:p w:rsidR="008764ED" w:rsidRPr="003533AE" w:rsidRDefault="008764ED" w:rsidP="003533AE">
            <w:pPr>
              <w:ind w:left="41"/>
              <w:rPr>
                <w:sz w:val="20"/>
                <w:szCs w:val="20"/>
              </w:rPr>
            </w:pPr>
            <w:r w:rsidRPr="003533AE">
              <w:rPr>
                <w:spacing w:val="1"/>
                <w:sz w:val="20"/>
                <w:szCs w:val="20"/>
              </w:rPr>
              <w:t>1</w:t>
            </w:r>
            <w:r w:rsidRPr="003533AE">
              <w:rPr>
                <w:sz w:val="20"/>
                <w:szCs w:val="20"/>
              </w:rPr>
              <w:t>0</w:t>
            </w:r>
            <w:r w:rsidRPr="003533AE">
              <w:rPr>
                <w:spacing w:val="1"/>
                <w:sz w:val="20"/>
                <w:szCs w:val="20"/>
              </w:rPr>
              <w:t>0</w:t>
            </w:r>
            <w:r w:rsidRPr="003533AE">
              <w:rPr>
                <w:sz w:val="20"/>
                <w:szCs w:val="20"/>
              </w:rPr>
              <w:t>, 757</w:t>
            </w:r>
          </w:p>
        </w:tc>
        <w:tc>
          <w:tcPr>
            <w:tcW w:w="1134" w:type="dxa"/>
          </w:tcPr>
          <w:p w:rsidR="008764ED" w:rsidRPr="003533AE" w:rsidRDefault="008764ED" w:rsidP="003533AE">
            <w:pPr>
              <w:ind w:left="41"/>
              <w:rPr>
                <w:sz w:val="20"/>
                <w:szCs w:val="20"/>
              </w:rPr>
            </w:pPr>
            <w:r w:rsidRPr="003533AE">
              <w:rPr>
                <w:spacing w:val="1"/>
                <w:sz w:val="20"/>
                <w:szCs w:val="20"/>
              </w:rPr>
              <w:t>1</w:t>
            </w:r>
            <w:r w:rsidRPr="003533AE">
              <w:rPr>
                <w:sz w:val="20"/>
                <w:szCs w:val="20"/>
              </w:rPr>
              <w:t>0</w:t>
            </w:r>
            <w:r w:rsidRPr="003533AE">
              <w:rPr>
                <w:spacing w:val="1"/>
                <w:sz w:val="20"/>
                <w:szCs w:val="20"/>
              </w:rPr>
              <w:t>0</w:t>
            </w:r>
            <w:r w:rsidRPr="003533AE">
              <w:rPr>
                <w:sz w:val="20"/>
                <w:szCs w:val="20"/>
              </w:rPr>
              <w:t>, 757</w:t>
            </w:r>
          </w:p>
        </w:tc>
        <w:tc>
          <w:tcPr>
            <w:tcW w:w="1202" w:type="dxa"/>
          </w:tcPr>
          <w:p w:rsidR="008764ED" w:rsidRPr="003533AE" w:rsidRDefault="008764ED" w:rsidP="003533AE">
            <w:pPr>
              <w:ind w:left="74"/>
              <w:rPr>
                <w:sz w:val="20"/>
                <w:szCs w:val="20"/>
              </w:rPr>
            </w:pPr>
            <w:r w:rsidRPr="003533AE">
              <w:rPr>
                <w:spacing w:val="1"/>
                <w:sz w:val="20"/>
                <w:szCs w:val="20"/>
              </w:rPr>
              <w:t>0</w:t>
            </w:r>
            <w:r w:rsidRPr="003533AE">
              <w:rPr>
                <w:sz w:val="20"/>
                <w:szCs w:val="20"/>
              </w:rPr>
              <w:t>, 8</w:t>
            </w:r>
            <w:r w:rsidRPr="003533AE">
              <w:rPr>
                <w:spacing w:val="1"/>
                <w:sz w:val="20"/>
                <w:szCs w:val="20"/>
              </w:rPr>
              <w:t>0</w:t>
            </w:r>
            <w:r w:rsidRPr="003533AE">
              <w:rPr>
                <w:sz w:val="20"/>
                <w:szCs w:val="20"/>
              </w:rPr>
              <w:t>0</w:t>
            </w:r>
          </w:p>
        </w:tc>
        <w:tc>
          <w:tcPr>
            <w:tcW w:w="1491" w:type="dxa"/>
            <w:gridSpan w:val="2"/>
          </w:tcPr>
          <w:p w:rsidR="008764ED" w:rsidRPr="003533AE" w:rsidRDefault="008764ED" w:rsidP="003533AE">
            <w:pPr>
              <w:ind w:left="0"/>
              <w:rPr>
                <w:sz w:val="20"/>
                <w:szCs w:val="20"/>
              </w:rPr>
            </w:pPr>
            <w:r w:rsidRPr="003533AE">
              <w:rPr>
                <w:sz w:val="20"/>
                <w:szCs w:val="20"/>
              </w:rPr>
              <w:t>—</w:t>
            </w:r>
          </w:p>
        </w:tc>
        <w:tc>
          <w:tcPr>
            <w:tcW w:w="1276" w:type="dxa"/>
            <w:gridSpan w:val="2"/>
          </w:tcPr>
          <w:p w:rsidR="008764ED" w:rsidRPr="003533AE" w:rsidRDefault="008764ED" w:rsidP="003533AE">
            <w:pPr>
              <w:ind w:left="0"/>
              <w:rPr>
                <w:sz w:val="20"/>
                <w:szCs w:val="20"/>
              </w:rPr>
            </w:pPr>
            <w:r w:rsidRPr="003533AE">
              <w:rPr>
                <w:sz w:val="20"/>
                <w:szCs w:val="20"/>
              </w:rPr>
              <w:t>—</w:t>
            </w:r>
          </w:p>
        </w:tc>
      </w:tr>
    </w:tbl>
    <w:p w:rsidR="008764ED" w:rsidRDefault="008764ED" w:rsidP="000E433B">
      <w:pPr>
        <w:pStyle w:val="TableDescription"/>
      </w:pPr>
      <w:r w:rsidRPr="00E90452">
        <w:t>NOTES: The titration safety analysis set is presented by randomized treatment group.</w:t>
      </w:r>
      <w:r w:rsidR="00DB0A11">
        <w:t xml:space="preserve"> </w:t>
      </w:r>
      <w:r w:rsidRPr="00E90452">
        <w:t>The average dose per episode is the total dose divided by the number of episodes in the titration/treatment</w:t>
      </w:r>
      <w:r>
        <w:t xml:space="preserve"> </w:t>
      </w:r>
      <w:r w:rsidRPr="00E90452">
        <w:t>period.</w:t>
      </w:r>
      <w:r w:rsidR="00441EC2">
        <w:t xml:space="preserve"> </w:t>
      </w:r>
      <w:r w:rsidRPr="00E90452">
        <w:t>Max=maximum; min=minimum; n=number of patients with a response; SD=standard deviation;</w:t>
      </w:r>
      <w:r>
        <w:t xml:space="preserve"> </w:t>
      </w:r>
      <w:r w:rsidRPr="00E90452">
        <w:t>SE=standard error.</w:t>
      </w:r>
    </w:p>
    <w:p w:rsidR="00605AD4" w:rsidRDefault="00605AD4" w:rsidP="003533AE">
      <w:pPr>
        <w:pStyle w:val="Heading4"/>
      </w:pPr>
      <w:r w:rsidRPr="00605AD4">
        <w:t>Safety issues with the potential for major regulatory impact</w:t>
      </w:r>
    </w:p>
    <w:p w:rsidR="008764ED" w:rsidRPr="00AE67B2" w:rsidRDefault="008764ED" w:rsidP="003533AE">
      <w:pPr>
        <w:pStyle w:val="Heading5"/>
      </w:pPr>
      <w:bookmarkStart w:id="114" w:name="_Toc272414681"/>
      <w:bookmarkStart w:id="115" w:name="_Toc290846319"/>
      <w:bookmarkStart w:id="116" w:name="_Toc383947216"/>
      <w:r>
        <w:t>Overdose</w:t>
      </w:r>
      <w:bookmarkEnd w:id="114"/>
      <w:bookmarkEnd w:id="115"/>
      <w:bookmarkEnd w:id="116"/>
    </w:p>
    <w:p w:rsidR="008764ED" w:rsidRDefault="008764ED" w:rsidP="003533AE">
      <w:r>
        <w:t xml:space="preserve">There was one report of overdose in the studies in patients with cancer and BTP (in </w:t>
      </w:r>
      <w:r w:rsidRPr="004D5419">
        <w:t>Study 4027).</w:t>
      </w:r>
      <w:r>
        <w:t xml:space="preserve"> The overdose occurred during the titration phase of the study and it is unknown if the overdose was accidental or intentional. The patient was recorded as non-compliant with the study drug due to taking study drug more frequently than every 4 hours for 3 days. The patient was discontinued from the study because of the overdose and because of progression of cancer.</w:t>
      </w:r>
    </w:p>
    <w:p w:rsidR="008764ED" w:rsidRDefault="008764ED" w:rsidP="003533AE">
      <w:r>
        <w:t xml:space="preserve">In the non-cancer studies there were 12 cases of overdose reported. No event was fatal. Three events were intentional, occurring in the context of suicide attempts and in another the study drug was used in combination with alcohol. In three other cases the patients had medical factors (pneumonia, head trauma and drug interaction) that were considered to have contributed to the overdose. Four patients had overdoses that were considered accidental and for </w:t>
      </w:r>
      <w:r w:rsidR="004D5419">
        <w:t xml:space="preserve">one </w:t>
      </w:r>
      <w:r>
        <w:t xml:space="preserve">patient the exact circumstances were not known. A final case related to the </w:t>
      </w:r>
      <w:r w:rsidRPr="007A22E7">
        <w:t xml:space="preserve">overdose death of the </w:t>
      </w:r>
      <w:r w:rsidR="004D5419" w:rsidRPr="007A22E7">
        <w:t>partner</w:t>
      </w:r>
      <w:r w:rsidRPr="007A22E7">
        <w:t xml:space="preserve"> of a study participant. The patient reported that </w:t>
      </w:r>
      <w:r w:rsidR="004D5419" w:rsidRPr="007A22E7">
        <w:t>the partner</w:t>
      </w:r>
      <w:r w:rsidRPr="007A22E7">
        <w:t xml:space="preserve"> had taken </w:t>
      </w:r>
      <w:r w:rsidR="007A22E7" w:rsidRPr="007A22E7">
        <w:t>the patients</w:t>
      </w:r>
      <w:r w:rsidRPr="007A22E7">
        <w:t xml:space="preserve"> study drug (800 µg) as 12 to 18 tablets were missing and autopsy reported that the patient’s </w:t>
      </w:r>
      <w:r w:rsidR="004D5419" w:rsidRPr="007A22E7">
        <w:t>partner</w:t>
      </w:r>
      <w:r w:rsidRPr="007A22E7">
        <w:t xml:space="preserve"> died from fentanyl overdose.</w:t>
      </w:r>
    </w:p>
    <w:p w:rsidR="008764ED" w:rsidRPr="00943FE8" w:rsidRDefault="008764ED" w:rsidP="003533AE">
      <w:pPr>
        <w:pStyle w:val="Heading5"/>
      </w:pPr>
      <w:bookmarkStart w:id="117" w:name="_Toc383947217"/>
      <w:r>
        <w:t>Dependence, rebound phenomena, abuse, tolerance</w:t>
      </w:r>
      <w:bookmarkEnd w:id="117"/>
    </w:p>
    <w:p w:rsidR="008764ED" w:rsidRDefault="008764ED" w:rsidP="003533AE">
      <w:r>
        <w:t>Physical dependence is a known characteristic with fentanyl treatment, as with other opioids. The potential for developing dependence is difficult to assess in an opioid tolerant patient population. In the clinical program FEBT was used on an as needed basis by patients with an average of 1</w:t>
      </w:r>
      <w:r w:rsidR="004D5419">
        <w:t xml:space="preserve"> to </w:t>
      </w:r>
      <w:r>
        <w:t xml:space="preserve">4 BTP episodes per day and who were already taking ATC opioids. The short term studies allowed only </w:t>
      </w:r>
      <w:r w:rsidR="004D5419">
        <w:t>one</w:t>
      </w:r>
      <w:r>
        <w:t xml:space="preserve"> tablet per episode and in the long term study a maximum of </w:t>
      </w:r>
      <w:r w:rsidR="004D5419">
        <w:t>two</w:t>
      </w:r>
      <w:r>
        <w:t xml:space="preserve"> tablets was permitted per BTP episode. Consequently no specific evaluations have been made of the potential for withdrawal and/or rebound effects with FEBT.</w:t>
      </w:r>
    </w:p>
    <w:p w:rsidR="008764ED" w:rsidRDefault="008764ED" w:rsidP="003533AE">
      <w:r>
        <w:lastRenderedPageBreak/>
        <w:t>Fentanyl has a significant well documented abuse potential. FEBT may be attractive for abuse because of the rapid rise of fentanyl blood levels although the peak plasma concentration and the time to reach the peak are notably lower than after intravenous administration. Although the risk of extraction of fentanyl from the tablets is present, manipulation (</w:t>
      </w:r>
      <w:r w:rsidR="004D5419">
        <w:t>such as</w:t>
      </w:r>
      <w:r>
        <w:t xml:space="preserve"> crushing) of the tablet is not likely to substantially alter the absorption characteristics of the medication when administered buccally or orally. Although intranasal and intravenous administration of a crushed tablet is possible, the risk of such is not considered to be any greater for FEBT than for any other strong µ-opioid drugs such as oxycodone, hydromorphone or morphine.</w:t>
      </w:r>
    </w:p>
    <w:p w:rsidR="00605AD4" w:rsidRPr="00605AD4" w:rsidRDefault="00605AD4" w:rsidP="003533AE">
      <w:pPr>
        <w:pStyle w:val="Heading4"/>
      </w:pPr>
      <w:r w:rsidRPr="00605AD4">
        <w:t>Evaluator’s conclusions on safety</w:t>
      </w:r>
    </w:p>
    <w:p w:rsidR="008764ED" w:rsidRDefault="008764ED" w:rsidP="003533AE">
      <w:r>
        <w:t>The total patient numbers in the safety assessment is low but fentanyl is a well know substance and the new dosage form and route of administration is not significantly different to other approved products. There is some concern of the paucity of long term data</w:t>
      </w:r>
      <w:r w:rsidR="004D5419">
        <w:t>;</w:t>
      </w:r>
      <w:r>
        <w:t xml:space="preserve"> nearly half the patients r</w:t>
      </w:r>
      <w:r w:rsidR="004D5419">
        <w:t>eceived the drug for less than one</w:t>
      </w:r>
      <w:r>
        <w:t xml:space="preserve"> month but this may be representative of the patients likely to be prescribed the product.</w:t>
      </w:r>
    </w:p>
    <w:p w:rsidR="008764ED" w:rsidRDefault="008764ED" w:rsidP="003533AE">
      <w:r>
        <w:t>No new safety issues emerged in the clinical studies. The most common AEs reported with FEBT treatment were characteristic of fentanyl products, namely nausea, dizziness, constipation, fatigue, headache and vomiting. The incidence and types of adverse events did not appear to be dose related. Further the rapid absorption of FEBT did not appear to affect the type or severity of the AEs reported.</w:t>
      </w:r>
    </w:p>
    <w:p w:rsidR="008764ED" w:rsidRDefault="008764ED" w:rsidP="003533AE">
      <w:r>
        <w:t>Approximately 10% of patients experienced AEs that could be considered to be related to the tablet application site</w:t>
      </w:r>
      <w:r w:rsidR="004D5419">
        <w:t>; for example</w:t>
      </w:r>
      <w:r>
        <w:t>, application site pain, ulcer or burning. In the majority of patients these AEs were mild to moderate and resolved without treatment interruption. Women appeared to be at greater risk for application site events. Application site AEs could be reduced if the patient is advised to alternate the placement of the tablet in the right and left buccal mucosa or to administer the tablet sublingually.</w:t>
      </w:r>
    </w:p>
    <w:p w:rsidR="00605AD4" w:rsidRPr="00605AD4" w:rsidRDefault="00605AD4" w:rsidP="003533AE">
      <w:pPr>
        <w:pStyle w:val="Heading3"/>
        <w:rPr>
          <w:rFonts w:eastAsia="Cambria"/>
        </w:rPr>
      </w:pPr>
      <w:bookmarkStart w:id="118" w:name="_Toc420586669"/>
      <w:r w:rsidRPr="00605AD4">
        <w:rPr>
          <w:rFonts w:eastAsia="Cambria"/>
        </w:rPr>
        <w:t xml:space="preserve">First </w:t>
      </w:r>
      <w:r w:rsidR="003533AE">
        <w:rPr>
          <w:rFonts w:eastAsia="Cambria"/>
        </w:rPr>
        <w:t>r</w:t>
      </w:r>
      <w:r w:rsidRPr="00605AD4">
        <w:rPr>
          <w:rFonts w:eastAsia="Cambria"/>
        </w:rPr>
        <w:t xml:space="preserve">ound </w:t>
      </w:r>
      <w:r w:rsidR="003533AE">
        <w:rPr>
          <w:rFonts w:eastAsia="Cambria"/>
        </w:rPr>
        <w:t>b</w:t>
      </w:r>
      <w:r w:rsidRPr="00605AD4">
        <w:rPr>
          <w:rFonts w:eastAsia="Cambria"/>
        </w:rPr>
        <w:t>enefit-</w:t>
      </w:r>
      <w:r w:rsidR="003533AE">
        <w:rPr>
          <w:rFonts w:eastAsia="Cambria"/>
        </w:rPr>
        <w:t>r</w:t>
      </w:r>
      <w:r w:rsidRPr="00605AD4">
        <w:rPr>
          <w:rFonts w:eastAsia="Cambria"/>
        </w:rPr>
        <w:t xml:space="preserve">isk </w:t>
      </w:r>
      <w:r w:rsidR="003533AE">
        <w:rPr>
          <w:rFonts w:eastAsia="Cambria"/>
        </w:rPr>
        <w:t>a</w:t>
      </w:r>
      <w:r w:rsidRPr="00605AD4">
        <w:rPr>
          <w:rFonts w:eastAsia="Cambria"/>
        </w:rPr>
        <w:t>ssessment</w:t>
      </w:r>
      <w:bookmarkEnd w:id="118"/>
    </w:p>
    <w:p w:rsidR="00605AD4" w:rsidRDefault="00605AD4" w:rsidP="003533AE">
      <w:pPr>
        <w:pStyle w:val="Heading4"/>
      </w:pPr>
      <w:r w:rsidRPr="00605AD4">
        <w:t xml:space="preserve">First round assessment of </w:t>
      </w:r>
      <w:r w:rsidRPr="004D5419">
        <w:t>benefits</w:t>
      </w:r>
    </w:p>
    <w:p w:rsidR="008764ED" w:rsidRDefault="008764ED" w:rsidP="000E433B">
      <w:r>
        <w:t>The benefits of Fentora in the proposed usage are:</w:t>
      </w:r>
    </w:p>
    <w:p w:rsidR="008764ED" w:rsidRDefault="008764ED" w:rsidP="000E433B">
      <w:pPr>
        <w:pStyle w:val="ListBullet"/>
      </w:pPr>
      <w:r>
        <w:t>FEBT at a range of individually titrated doses (from 100</w:t>
      </w:r>
      <w:r w:rsidR="004D5419">
        <w:t xml:space="preserve"> to </w:t>
      </w:r>
      <w:r>
        <w:t xml:space="preserve">800 µg) was superior to placebo in relieving BTP in cancer </w:t>
      </w:r>
      <w:r w:rsidRPr="000E433B">
        <w:t>patients</w:t>
      </w:r>
      <w:r>
        <w:t xml:space="preserve"> on maintenance ATC opioid therapy as measured by a range of pain measures including pain intensity, pain relief, rescue medication used and global medication performance</w:t>
      </w:r>
      <w:r w:rsidR="004D5419">
        <w:t>.</w:t>
      </w:r>
    </w:p>
    <w:p w:rsidR="008764ED" w:rsidRDefault="008764ED" w:rsidP="003533AE">
      <w:pPr>
        <w:pStyle w:val="ListBullet"/>
      </w:pPr>
      <w:r>
        <w:t>Most patients were able to achieve a successful dose with a simple titration schedule starting at 100 µg</w:t>
      </w:r>
      <w:r w:rsidR="004D5419">
        <w:t>.</w:t>
      </w:r>
    </w:p>
    <w:p w:rsidR="00605AD4" w:rsidRDefault="00605AD4" w:rsidP="003533AE">
      <w:pPr>
        <w:pStyle w:val="Heading4"/>
      </w:pPr>
      <w:r w:rsidRPr="00605AD4">
        <w:t xml:space="preserve">First round </w:t>
      </w:r>
      <w:r w:rsidRPr="004D5419">
        <w:t>assessment</w:t>
      </w:r>
      <w:r w:rsidRPr="00605AD4">
        <w:t xml:space="preserve"> of risks</w:t>
      </w:r>
    </w:p>
    <w:p w:rsidR="008764ED" w:rsidRDefault="008764ED" w:rsidP="003533AE">
      <w:r>
        <w:t>The risks of Fentora in the proposed usage are:</w:t>
      </w:r>
    </w:p>
    <w:p w:rsidR="008764ED" w:rsidRDefault="008764ED" w:rsidP="003533AE">
      <w:pPr>
        <w:pStyle w:val="ListBullet"/>
      </w:pPr>
      <w:r>
        <w:t>Known AEs to fentanyl</w:t>
      </w:r>
      <w:r w:rsidR="004D5419">
        <w:t>;</w:t>
      </w:r>
      <w:r>
        <w:t xml:space="preserve"> nausea and vomiting, dizziness, constipation, fatigue and headache</w:t>
      </w:r>
    </w:p>
    <w:p w:rsidR="008764ED" w:rsidRDefault="008764ED" w:rsidP="003533AE">
      <w:pPr>
        <w:pStyle w:val="ListBullet"/>
      </w:pPr>
      <w:r>
        <w:t>Respiratory depression</w:t>
      </w:r>
    </w:p>
    <w:p w:rsidR="008764ED" w:rsidRDefault="008764ED" w:rsidP="003533AE">
      <w:pPr>
        <w:pStyle w:val="ListBullet"/>
      </w:pPr>
      <w:r>
        <w:t>Dependency and abuse</w:t>
      </w:r>
      <w:r w:rsidR="004D5419">
        <w:t>,</w:t>
      </w:r>
      <w:r>
        <w:t xml:space="preserve"> but less likely in the indication being sought</w:t>
      </w:r>
      <w:r w:rsidR="004D5419">
        <w:t>.</w:t>
      </w:r>
    </w:p>
    <w:p w:rsidR="00605AD4" w:rsidRDefault="00605AD4" w:rsidP="003533AE">
      <w:pPr>
        <w:pStyle w:val="Heading4"/>
      </w:pPr>
      <w:r w:rsidRPr="00605AD4">
        <w:lastRenderedPageBreak/>
        <w:t>First round assessment of benefit-risk balance</w:t>
      </w:r>
    </w:p>
    <w:p w:rsidR="008764ED" w:rsidRDefault="008764ED" w:rsidP="003533AE">
      <w:r>
        <w:t>The benefit-risk balance of Fentora, given the proposed usage, is favourable.</w:t>
      </w:r>
    </w:p>
    <w:p w:rsidR="00605AD4" w:rsidRPr="00605AD4" w:rsidRDefault="00605AD4" w:rsidP="003533AE">
      <w:pPr>
        <w:pStyle w:val="Heading3"/>
        <w:rPr>
          <w:rFonts w:eastAsia="Cambria"/>
        </w:rPr>
      </w:pPr>
      <w:bookmarkStart w:id="119" w:name="_Toc420586670"/>
      <w:r w:rsidRPr="00605AD4">
        <w:rPr>
          <w:rFonts w:eastAsia="Cambria"/>
        </w:rPr>
        <w:t xml:space="preserve">First </w:t>
      </w:r>
      <w:r w:rsidR="003533AE">
        <w:rPr>
          <w:rFonts w:eastAsia="Cambria"/>
        </w:rPr>
        <w:t>r</w:t>
      </w:r>
      <w:r w:rsidRPr="00605AD4">
        <w:rPr>
          <w:rFonts w:eastAsia="Cambria"/>
        </w:rPr>
        <w:t xml:space="preserve">ound </w:t>
      </w:r>
      <w:r w:rsidR="003533AE">
        <w:rPr>
          <w:rFonts w:eastAsia="Cambria"/>
        </w:rPr>
        <w:t>r</w:t>
      </w:r>
      <w:r w:rsidRPr="00605AD4">
        <w:rPr>
          <w:rFonts w:eastAsia="Cambria"/>
        </w:rPr>
        <w:t xml:space="preserve">ecommendation </w:t>
      </w:r>
      <w:r w:rsidR="003533AE">
        <w:rPr>
          <w:rFonts w:eastAsia="Cambria"/>
        </w:rPr>
        <w:t>r</w:t>
      </w:r>
      <w:r w:rsidRPr="00605AD4">
        <w:rPr>
          <w:rFonts w:eastAsia="Cambria"/>
        </w:rPr>
        <w:t xml:space="preserve">egarding </w:t>
      </w:r>
      <w:r w:rsidR="003533AE">
        <w:rPr>
          <w:rFonts w:eastAsia="Cambria"/>
        </w:rPr>
        <w:t>a</w:t>
      </w:r>
      <w:r w:rsidRPr="00605AD4">
        <w:rPr>
          <w:rFonts w:eastAsia="Cambria"/>
        </w:rPr>
        <w:t>uthorisation</w:t>
      </w:r>
      <w:bookmarkEnd w:id="119"/>
    </w:p>
    <w:p w:rsidR="008764ED" w:rsidRDefault="008764ED" w:rsidP="003533AE">
      <w:r>
        <w:t xml:space="preserve">Based on the clinical data submitted </w:t>
      </w:r>
      <w:r w:rsidR="004D5419">
        <w:t>i</w:t>
      </w:r>
      <w:r>
        <w:t>t is recommended that Fentora be approved.</w:t>
      </w:r>
    </w:p>
    <w:p w:rsidR="00605AD4" w:rsidRPr="00605AD4" w:rsidRDefault="00605AD4" w:rsidP="003533AE">
      <w:pPr>
        <w:pStyle w:val="Heading3"/>
        <w:rPr>
          <w:rFonts w:eastAsia="Cambria"/>
        </w:rPr>
      </w:pPr>
      <w:bookmarkStart w:id="120" w:name="_Toc420586671"/>
      <w:r w:rsidRPr="00605AD4">
        <w:rPr>
          <w:rFonts w:eastAsia="Cambria"/>
        </w:rPr>
        <w:t xml:space="preserve">Clinical </w:t>
      </w:r>
      <w:r w:rsidR="003533AE">
        <w:rPr>
          <w:rFonts w:eastAsia="Cambria"/>
        </w:rPr>
        <w:t>q</w:t>
      </w:r>
      <w:r w:rsidRPr="00605AD4">
        <w:rPr>
          <w:rFonts w:eastAsia="Cambria"/>
        </w:rPr>
        <w:t>uestions</w:t>
      </w:r>
      <w:bookmarkEnd w:id="120"/>
    </w:p>
    <w:p w:rsidR="00605AD4" w:rsidRPr="00605AD4" w:rsidRDefault="008764ED" w:rsidP="003533AE">
      <w:r>
        <w:t>No clinical questions were raised by the c</w:t>
      </w:r>
      <w:r w:rsidR="004D5419">
        <w:t>l</w:t>
      </w:r>
      <w:r>
        <w:t>inical evaluator.</w:t>
      </w:r>
    </w:p>
    <w:p w:rsidR="00605AD4" w:rsidRPr="00605AD4" w:rsidRDefault="00605AD4" w:rsidP="003533AE">
      <w:pPr>
        <w:pStyle w:val="Heading3"/>
        <w:rPr>
          <w:rFonts w:eastAsia="Cambria"/>
        </w:rPr>
      </w:pPr>
      <w:bookmarkStart w:id="121" w:name="_Toc420586672"/>
      <w:r w:rsidRPr="00605AD4">
        <w:rPr>
          <w:rFonts w:eastAsia="Cambria"/>
        </w:rPr>
        <w:t xml:space="preserve">Second </w:t>
      </w:r>
      <w:r w:rsidR="003533AE">
        <w:rPr>
          <w:rFonts w:eastAsia="Cambria"/>
        </w:rPr>
        <w:t>r</w:t>
      </w:r>
      <w:r w:rsidRPr="00605AD4">
        <w:rPr>
          <w:rFonts w:eastAsia="Cambria"/>
        </w:rPr>
        <w:t xml:space="preserve">ound </w:t>
      </w:r>
      <w:r w:rsidR="003533AE">
        <w:rPr>
          <w:rFonts w:eastAsia="Cambria"/>
        </w:rPr>
        <w:t>e</w:t>
      </w:r>
      <w:r w:rsidRPr="00605AD4">
        <w:rPr>
          <w:rFonts w:eastAsia="Cambria"/>
        </w:rPr>
        <w:t>valuation of clinical data submitted in response to questions</w:t>
      </w:r>
      <w:bookmarkEnd w:id="121"/>
    </w:p>
    <w:p w:rsidR="00605AD4" w:rsidRPr="00605AD4" w:rsidRDefault="008764ED" w:rsidP="003533AE">
      <w:r>
        <w:t>As there were no clinical questions raised by the clinical e</w:t>
      </w:r>
      <w:r w:rsidR="00FD28FA">
        <w:t>valuator, no second round clini</w:t>
      </w:r>
      <w:r>
        <w:t>ca</w:t>
      </w:r>
      <w:r w:rsidR="00FD28FA">
        <w:t>l</w:t>
      </w:r>
      <w:r>
        <w:t xml:space="preserve"> evaluation was conducted.</w:t>
      </w:r>
    </w:p>
    <w:p w:rsidR="008E7846" w:rsidRPr="00E41208" w:rsidRDefault="008E7846" w:rsidP="003533AE">
      <w:pPr>
        <w:pStyle w:val="Heading2"/>
      </w:pPr>
      <w:bookmarkStart w:id="122" w:name="_Toc420586673"/>
      <w:r w:rsidRPr="00E41208">
        <w:t xml:space="preserve">V. Pharmacovigilance </w:t>
      </w:r>
      <w:r>
        <w:t>f</w:t>
      </w:r>
      <w:r w:rsidRPr="00E41208">
        <w:t>indings</w:t>
      </w:r>
      <w:bookmarkEnd w:id="104"/>
      <w:bookmarkEnd w:id="105"/>
      <w:bookmarkEnd w:id="122"/>
    </w:p>
    <w:p w:rsidR="008E7846" w:rsidRDefault="00386150" w:rsidP="003533AE">
      <w:pPr>
        <w:pStyle w:val="Heading3"/>
        <w:rPr>
          <w:lang w:eastAsia="en-AU"/>
        </w:rPr>
      </w:pPr>
      <w:bookmarkStart w:id="123" w:name="_Toc247691526"/>
      <w:bookmarkStart w:id="124" w:name="_Toc314842509"/>
      <w:bookmarkStart w:id="125" w:name="_Toc420586674"/>
      <w:r>
        <w:rPr>
          <w:lang w:eastAsia="en-AU"/>
        </w:rPr>
        <w:t>Risk m</w:t>
      </w:r>
      <w:r w:rsidR="008E7846">
        <w:rPr>
          <w:lang w:eastAsia="en-AU"/>
        </w:rPr>
        <w:t xml:space="preserve">anagement </w:t>
      </w:r>
      <w:r>
        <w:rPr>
          <w:lang w:eastAsia="en-AU"/>
        </w:rPr>
        <w:t>p</w:t>
      </w:r>
      <w:r w:rsidR="008E7846">
        <w:rPr>
          <w:lang w:eastAsia="en-AU"/>
        </w:rPr>
        <w:t>lan</w:t>
      </w:r>
      <w:bookmarkEnd w:id="123"/>
      <w:bookmarkEnd w:id="124"/>
      <w:bookmarkEnd w:id="125"/>
    </w:p>
    <w:p w:rsidR="008E7846" w:rsidRDefault="008E7846" w:rsidP="003533AE">
      <w:pPr>
        <w:rPr>
          <w:lang w:eastAsia="en-AU"/>
        </w:rPr>
      </w:pPr>
      <w:r>
        <w:rPr>
          <w:lang w:eastAsia="en-AU"/>
        </w:rPr>
        <w:t>The sponsor submitted a Risk Management Plan</w:t>
      </w:r>
      <w:r w:rsidR="006F25B8">
        <w:rPr>
          <w:lang w:eastAsia="en-AU"/>
        </w:rPr>
        <w:t xml:space="preserve"> </w:t>
      </w:r>
      <w:r w:rsidR="005C73FA" w:rsidRPr="00BE4A7C">
        <w:t xml:space="preserve">EU-RMP Version 3.0 (dated 19 June 2014, </w:t>
      </w:r>
      <w:r w:rsidR="004D5419">
        <w:t>data lock point (</w:t>
      </w:r>
      <w:r w:rsidR="005C73FA" w:rsidRPr="00BE4A7C">
        <w:t>DLP</w:t>
      </w:r>
      <w:r w:rsidR="004D5419">
        <w:t>)</w:t>
      </w:r>
      <w:r w:rsidR="005C73FA" w:rsidRPr="00BE4A7C">
        <w:t xml:space="preserve"> 30 April 2014) and Australian Specific Annex Version 3 (dated September 2014)</w:t>
      </w:r>
      <w:r w:rsidRPr="006F25B8">
        <w:t xml:space="preserve"> </w:t>
      </w:r>
      <w:r>
        <w:rPr>
          <w:lang w:eastAsia="en-AU"/>
        </w:rPr>
        <w:t xml:space="preserve">which was </w:t>
      </w:r>
      <w:r w:rsidRPr="007A22E7">
        <w:rPr>
          <w:lang w:eastAsia="en-AU"/>
        </w:rPr>
        <w:t>reviewed by the TGA’s Office of Product Review (OPR).</w:t>
      </w:r>
    </w:p>
    <w:p w:rsidR="008E7846" w:rsidRDefault="003A7F6C" w:rsidP="003533AE">
      <w:pPr>
        <w:pStyle w:val="Heading4"/>
        <w:rPr>
          <w:lang w:eastAsia="en-AU"/>
        </w:rPr>
      </w:pPr>
      <w:r>
        <w:rPr>
          <w:lang w:eastAsia="en-AU"/>
        </w:rPr>
        <w:t>Safety s</w:t>
      </w:r>
      <w:r w:rsidR="008E7846">
        <w:rPr>
          <w:lang w:eastAsia="en-AU"/>
        </w:rPr>
        <w:t>pecification</w:t>
      </w:r>
    </w:p>
    <w:p w:rsidR="008E7846" w:rsidRDefault="008E7846" w:rsidP="003533AE">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C16BC4">
        <w:rPr>
          <w:lang w:eastAsia="en-AU"/>
        </w:rPr>
        <w:t>11</w:t>
      </w:r>
      <w:r>
        <w:rPr>
          <w:lang w:eastAsia="en-AU"/>
        </w:rPr>
        <w:t>.</w:t>
      </w:r>
    </w:p>
    <w:p w:rsidR="00C16BC4" w:rsidRPr="00CE67A2" w:rsidRDefault="00C16BC4" w:rsidP="000E433B">
      <w:pPr>
        <w:pStyle w:val="TableTitle"/>
      </w:pPr>
      <w:proofErr w:type="gramStart"/>
      <w:r w:rsidRPr="00CA6459">
        <w:lastRenderedPageBreak/>
        <w:t xml:space="preserve">Table </w:t>
      </w:r>
      <w:r>
        <w:t>11</w:t>
      </w:r>
      <w:r w:rsidRPr="00CA6459">
        <w:t>.</w:t>
      </w:r>
      <w:proofErr w:type="gramEnd"/>
      <w:r w:rsidRPr="00CA6459">
        <w:t xml:space="preserve"> </w:t>
      </w:r>
      <w:proofErr w:type="gramStart"/>
      <w:r w:rsidRPr="00CA6459">
        <w:t>Ongoing safety concerns provided by the sponsor in their RMP submission.</w:t>
      </w:r>
      <w:proofErr w:type="gramEnd"/>
    </w:p>
    <w:p w:rsidR="00C16BC4" w:rsidRDefault="00C16BC4" w:rsidP="003533AE">
      <w:pPr>
        <w:rPr>
          <w:noProof/>
          <w:lang w:eastAsia="en-AU"/>
        </w:rPr>
      </w:pPr>
      <w:r>
        <w:rPr>
          <w:noProof/>
          <w:lang w:eastAsia="en-AU"/>
        </w:rPr>
        <w:drawing>
          <wp:inline distT="0" distB="0" distL="0" distR="0" wp14:anchorId="349831D0" wp14:editId="4DBBCB82">
            <wp:extent cx="4615409" cy="4095750"/>
            <wp:effectExtent l="0" t="0" r="0" b="0"/>
            <wp:docPr id="6" name="Picture 6" descr="Table 11. Ongoing safety concerns provided by the sponsor in their RMP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cstate="print">
                      <a:lum bright="-20000" contrast="40000"/>
                      <a:extLst>
                        <a:ext uri="{28A0092B-C50C-407E-A947-70E740481C1C}">
                          <a14:useLocalDpi xmlns:a14="http://schemas.microsoft.com/office/drawing/2010/main" val="0"/>
                        </a:ext>
                      </a:extLst>
                    </a:blip>
                    <a:srcRect/>
                    <a:stretch>
                      <a:fillRect/>
                    </a:stretch>
                  </pic:blipFill>
                  <pic:spPr bwMode="auto">
                    <a:xfrm>
                      <a:off x="0" y="0"/>
                      <a:ext cx="4618254" cy="4098275"/>
                    </a:xfrm>
                    <a:prstGeom prst="rect">
                      <a:avLst/>
                    </a:prstGeom>
                    <a:noFill/>
                    <a:ln>
                      <a:noFill/>
                    </a:ln>
                  </pic:spPr>
                </pic:pic>
              </a:graphicData>
            </a:graphic>
          </wp:inline>
        </w:drawing>
      </w:r>
    </w:p>
    <w:p w:rsidR="008E7846" w:rsidRDefault="008E7846" w:rsidP="003533AE">
      <w:pPr>
        <w:pStyle w:val="Heading4"/>
        <w:rPr>
          <w:lang w:eastAsia="en-AU"/>
        </w:rPr>
      </w:pPr>
      <w:r>
        <w:rPr>
          <w:lang w:eastAsia="en-AU"/>
        </w:rPr>
        <w:t xml:space="preserve">Pharmacovigilance </w:t>
      </w:r>
      <w:r w:rsidR="003A7F6C">
        <w:rPr>
          <w:lang w:eastAsia="en-AU"/>
        </w:rPr>
        <w:t>p</w:t>
      </w:r>
      <w:r>
        <w:rPr>
          <w:lang w:eastAsia="en-AU"/>
        </w:rPr>
        <w:t>lan</w:t>
      </w:r>
    </w:p>
    <w:p w:rsidR="008E7846" w:rsidRDefault="00C16BC4" w:rsidP="003533AE">
      <w:pPr>
        <w:rPr>
          <w:lang w:eastAsia="en-AU"/>
        </w:rPr>
      </w:pPr>
      <w:r w:rsidRPr="006009E9">
        <w:t xml:space="preserve">The sponsor proposes routine pharmacovigilance activities </w:t>
      </w:r>
      <w:r>
        <w:t xml:space="preserve">for all ongoing safety concerns and additional </w:t>
      </w:r>
      <w:r w:rsidRPr="006009E9">
        <w:t xml:space="preserve">pharmacovigilance activities </w:t>
      </w:r>
      <w:r>
        <w:t>for some important identified risks.</w:t>
      </w:r>
    </w:p>
    <w:p w:rsidR="008E7846" w:rsidRDefault="008E7846" w:rsidP="003533AE">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C16BC4" w:rsidP="003533AE">
      <w:pPr>
        <w:rPr>
          <w:lang w:eastAsia="en-AU"/>
        </w:rPr>
      </w:pPr>
      <w:bookmarkStart w:id="126" w:name="_Toc247691527"/>
      <w:r w:rsidRPr="006009E9">
        <w:t xml:space="preserve">The sponsor proposes routine risk minimisation activities </w:t>
      </w:r>
      <w:r>
        <w:t xml:space="preserve">for all ongoing safety concerns and additional </w:t>
      </w:r>
      <w:r w:rsidRPr="006009E9">
        <w:t xml:space="preserve">risk minimisation activities </w:t>
      </w:r>
      <w:r>
        <w:t>for most important identified risks.</w:t>
      </w:r>
    </w:p>
    <w:p w:rsidR="006F25B8" w:rsidRDefault="006F25B8" w:rsidP="003533AE">
      <w:pPr>
        <w:pStyle w:val="Heading4"/>
        <w:rPr>
          <w:lang w:eastAsia="en-AU"/>
        </w:rPr>
      </w:pPr>
      <w:r w:rsidRPr="006F25B8">
        <w:rPr>
          <w:lang w:eastAsia="en-AU"/>
        </w:rPr>
        <w:t>Reconciliation of iss</w:t>
      </w:r>
      <w:r w:rsidR="0018579F">
        <w:rPr>
          <w:lang w:eastAsia="en-AU"/>
        </w:rPr>
        <w:t>ues outlined in the RMP report</w:t>
      </w:r>
    </w:p>
    <w:p w:rsidR="006F25B8" w:rsidRDefault="006F25B8" w:rsidP="003533AE">
      <w:pPr>
        <w:rPr>
          <w:lang w:eastAsia="en-AU"/>
        </w:rPr>
      </w:pPr>
      <w:r>
        <w:rPr>
          <w:lang w:eastAsia="en-AU"/>
        </w:rPr>
        <w:t xml:space="preserve">Table </w:t>
      </w:r>
      <w:r w:rsidR="004D5419">
        <w:rPr>
          <w:lang w:eastAsia="en-AU"/>
        </w:rPr>
        <w:t>1</w:t>
      </w:r>
      <w:r w:rsidR="00C16BC4">
        <w:rPr>
          <w:lang w:eastAsia="en-AU"/>
        </w:rPr>
        <w:t>2</w:t>
      </w:r>
      <w:r>
        <w:rPr>
          <w:lang w:eastAsia="en-AU"/>
        </w:rPr>
        <w:t xml:space="preserve"> summarises the first round evaluation of the RMP, the sponsor’s responses to issues raised by the </w:t>
      </w:r>
      <w:r w:rsidR="004D5419">
        <w:rPr>
          <w:lang w:eastAsia="en-AU"/>
        </w:rPr>
        <w:t>TGA</w:t>
      </w:r>
      <w:r>
        <w:rPr>
          <w:lang w:eastAsia="en-AU"/>
        </w:rPr>
        <w:t xml:space="preserve"> and the </w:t>
      </w:r>
      <w:r w:rsidR="004D5419">
        <w:rPr>
          <w:lang w:eastAsia="en-AU"/>
        </w:rPr>
        <w:t>TGA’s</w:t>
      </w:r>
      <w:r>
        <w:rPr>
          <w:lang w:eastAsia="en-AU"/>
        </w:rPr>
        <w:t xml:space="preserve"> evaluation of the sponsor’s responses.</w:t>
      </w:r>
    </w:p>
    <w:p w:rsidR="005C73FA" w:rsidRPr="00C31998" w:rsidRDefault="004D5419" w:rsidP="000E433B">
      <w:pPr>
        <w:pStyle w:val="TableTitle"/>
        <w:pageBreakBefore/>
      </w:pPr>
      <w:r>
        <w:lastRenderedPageBreak/>
        <w:t>Table 1</w:t>
      </w:r>
      <w:r w:rsidR="00C16BC4">
        <w:t>2</w:t>
      </w:r>
      <w:r>
        <w:t xml:space="preserve">: </w:t>
      </w:r>
      <w:r w:rsidR="005C73FA" w:rsidRPr="00C31998">
        <w:t xml:space="preserve">Reconciliation of issues outlined in the RMP </w:t>
      </w:r>
      <w:r w:rsidR="005C73FA">
        <w:t>Evaluation Report (Round 1)</w:t>
      </w:r>
    </w:p>
    <w:tbl>
      <w:tblPr>
        <w:tblStyle w:val="TableTGAblue"/>
        <w:tblW w:w="5000" w:type="pct"/>
        <w:tblLayout w:type="fixed"/>
        <w:tblLook w:val="04A0" w:firstRow="1" w:lastRow="0" w:firstColumn="1" w:lastColumn="0" w:noHBand="0" w:noVBand="1"/>
      </w:tblPr>
      <w:tblGrid>
        <w:gridCol w:w="2943"/>
        <w:gridCol w:w="3260"/>
        <w:gridCol w:w="2517"/>
      </w:tblGrid>
      <w:tr w:rsidR="005C73FA" w:rsidRPr="00541510" w:rsidTr="000E433B">
        <w:trPr>
          <w:cnfStyle w:val="100000000000" w:firstRow="1" w:lastRow="0" w:firstColumn="0" w:lastColumn="0" w:oddVBand="0" w:evenVBand="0" w:oddHBand="0" w:evenHBand="0" w:firstRowFirstColumn="0" w:firstRowLastColumn="0" w:lastRowFirstColumn="0" w:lastRowLastColumn="0"/>
        </w:trPr>
        <w:tc>
          <w:tcPr>
            <w:tcW w:w="1688" w:type="pct"/>
            <w:noWrap/>
          </w:tcPr>
          <w:p w:rsidR="005C73FA" w:rsidRPr="000E433B" w:rsidRDefault="005C73FA" w:rsidP="000E433B">
            <w:pPr>
              <w:ind w:left="0" w:right="0"/>
              <w:rPr>
                <w:sz w:val="20"/>
                <w:szCs w:val="20"/>
              </w:rPr>
            </w:pPr>
            <w:r w:rsidRPr="000E433B">
              <w:rPr>
                <w:sz w:val="20"/>
                <w:szCs w:val="20"/>
              </w:rPr>
              <w:t>Recommendation in RMP evaluation report</w:t>
            </w:r>
          </w:p>
        </w:tc>
        <w:tc>
          <w:tcPr>
            <w:tcW w:w="1869" w:type="pct"/>
            <w:noWrap/>
          </w:tcPr>
          <w:p w:rsidR="005C73FA" w:rsidRPr="000E433B" w:rsidRDefault="005C73FA" w:rsidP="000E433B">
            <w:pPr>
              <w:ind w:left="34" w:right="0"/>
              <w:rPr>
                <w:sz w:val="20"/>
                <w:szCs w:val="20"/>
              </w:rPr>
            </w:pPr>
            <w:r w:rsidRPr="000E433B">
              <w:rPr>
                <w:sz w:val="20"/>
                <w:szCs w:val="20"/>
              </w:rPr>
              <w:t>Sponsor’s response (or summary of the response)</w:t>
            </w:r>
          </w:p>
        </w:tc>
        <w:tc>
          <w:tcPr>
            <w:tcW w:w="1443" w:type="pct"/>
            <w:noWrap/>
          </w:tcPr>
          <w:p w:rsidR="005C73FA" w:rsidRPr="000E433B" w:rsidRDefault="005C73FA" w:rsidP="000E433B">
            <w:pPr>
              <w:ind w:left="54" w:right="0"/>
              <w:rPr>
                <w:sz w:val="20"/>
                <w:szCs w:val="20"/>
              </w:rPr>
            </w:pPr>
            <w:r w:rsidRPr="000E433B">
              <w:rPr>
                <w:sz w:val="20"/>
                <w:szCs w:val="20"/>
              </w:rPr>
              <w:t>OPR evaluator’s comment</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 xml:space="preserve">Safety considerations may be raised by the nonclinical and clinical evaluators through the consolidated request and/or the </w:t>
            </w:r>
            <w:r w:rsidR="00F15D41" w:rsidRPr="000E433B">
              <w:rPr>
                <w:rFonts w:cstheme="minorHAnsi"/>
                <w:sz w:val="20"/>
                <w:szCs w:val="20"/>
              </w:rPr>
              <w:t>n</w:t>
            </w:r>
            <w:r w:rsidRPr="000E433B">
              <w:rPr>
                <w:rFonts w:cstheme="minorHAnsi"/>
                <w:sz w:val="20"/>
                <w:szCs w:val="20"/>
              </w:rPr>
              <w:t xml:space="preserve">onclinical and </w:t>
            </w:r>
            <w:r w:rsidR="00F15D41" w:rsidRPr="000E433B">
              <w:rPr>
                <w:rFonts w:cstheme="minorHAnsi"/>
                <w:sz w:val="20"/>
                <w:szCs w:val="20"/>
              </w:rPr>
              <w:t>c</w:t>
            </w:r>
            <w:r w:rsidRPr="000E433B">
              <w:rPr>
                <w:rFonts w:cstheme="minorHAnsi"/>
                <w:sz w:val="20"/>
                <w:szCs w:val="20"/>
              </w:rPr>
              <w:t xml:space="preserve">linical </w:t>
            </w:r>
            <w:r w:rsidR="00F15D41" w:rsidRPr="000E433B">
              <w:rPr>
                <w:rFonts w:cstheme="minorHAnsi"/>
                <w:sz w:val="20"/>
                <w:szCs w:val="20"/>
              </w:rPr>
              <w:t>e</w:t>
            </w:r>
            <w:r w:rsidRPr="000E433B">
              <w:rPr>
                <w:rFonts w:cstheme="minorHAnsi"/>
                <w:sz w:val="20"/>
                <w:szCs w:val="20"/>
              </w:rPr>
              <w:t xml:space="preserve">valuation </w:t>
            </w:r>
            <w:r w:rsidR="00F15D41" w:rsidRPr="000E433B">
              <w:rPr>
                <w:rFonts w:cstheme="minorHAnsi"/>
                <w:sz w:val="20"/>
                <w:szCs w:val="20"/>
              </w:rPr>
              <w:t>r</w:t>
            </w:r>
            <w:r w:rsidRPr="000E433B">
              <w:rPr>
                <w:rFonts w:cstheme="minorHAnsi"/>
                <w:sz w:val="20"/>
                <w:szCs w:val="20"/>
              </w:rPr>
              <w:t>eports respectively.</w:t>
            </w:r>
            <w:r w:rsidR="00281C4E" w:rsidRPr="000E433B">
              <w:rPr>
                <w:rFonts w:cstheme="minorHAnsi"/>
                <w:sz w:val="20"/>
                <w:szCs w:val="20"/>
              </w:rPr>
              <w:t xml:space="preserve"> </w:t>
            </w:r>
            <w:r w:rsidRPr="000E433B">
              <w:rPr>
                <w:rFonts w:cstheme="minorHAnsi"/>
                <w:sz w:val="20"/>
                <w:szCs w:val="20"/>
              </w:rPr>
              <w:t>It is important to ensure that the information provided in response to these includes a consideration of the relevance for the Risk Management Plan, and any specific information needed to address this issue in the RMP.</w:t>
            </w:r>
            <w:r w:rsidR="00281C4E" w:rsidRPr="000E433B">
              <w:rPr>
                <w:rFonts w:cstheme="minorHAnsi"/>
                <w:sz w:val="20"/>
                <w:szCs w:val="20"/>
              </w:rPr>
              <w:t xml:space="preserve"> </w:t>
            </w:r>
            <w:r w:rsidRPr="000E433B">
              <w:rPr>
                <w:rFonts w:cstheme="minorHAnsi"/>
                <w:sz w:val="20"/>
                <w:szCs w:val="20"/>
              </w:rPr>
              <w:t>For any safety considerations so raised, please provide information that is relevant and necessary to address the issue in the RMP.</w:t>
            </w:r>
          </w:p>
        </w:tc>
        <w:tc>
          <w:tcPr>
            <w:tcW w:w="1869" w:type="pct"/>
            <w:noWrap/>
          </w:tcPr>
          <w:p w:rsidR="005C73FA" w:rsidRPr="000E433B" w:rsidRDefault="005C73FA" w:rsidP="000E433B">
            <w:pPr>
              <w:ind w:left="34" w:right="0"/>
              <w:rPr>
                <w:i/>
                <w:sz w:val="20"/>
                <w:szCs w:val="20"/>
              </w:rPr>
            </w:pPr>
            <w:r w:rsidRPr="000E433B">
              <w:rPr>
                <w:i/>
                <w:sz w:val="20"/>
                <w:szCs w:val="20"/>
              </w:rPr>
              <w:t>‘Please note that safety considerations have not been raised in the nonclinical and clinical section 31 request. The PCS have however requested changes that relate to safety to the PI, and subsequently CMI. These have been updated together with the OPR's recommendation below.’</w:t>
            </w:r>
          </w:p>
        </w:tc>
        <w:tc>
          <w:tcPr>
            <w:tcW w:w="1443" w:type="pct"/>
            <w:noWrap/>
          </w:tcPr>
          <w:p w:rsidR="005C73FA" w:rsidRPr="000E433B" w:rsidRDefault="005C73FA" w:rsidP="000E433B">
            <w:pPr>
              <w:ind w:left="54" w:right="0"/>
              <w:rPr>
                <w:sz w:val="20"/>
                <w:szCs w:val="20"/>
              </w:rPr>
            </w:pPr>
            <w:r w:rsidRPr="000E433B">
              <w:rPr>
                <w:sz w:val="20"/>
                <w:szCs w:val="20"/>
              </w:rPr>
              <w:t>The sponsor’s response has been noted.</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sponsor should make available the details of the planned survey of pharmacists, once available.</w:t>
            </w:r>
          </w:p>
        </w:tc>
        <w:tc>
          <w:tcPr>
            <w:tcW w:w="1869" w:type="pct"/>
            <w:noWrap/>
          </w:tcPr>
          <w:p w:rsidR="005C73FA" w:rsidRPr="000E433B" w:rsidRDefault="005C73FA" w:rsidP="000E433B">
            <w:pPr>
              <w:ind w:left="34" w:right="0"/>
              <w:rPr>
                <w:i/>
                <w:sz w:val="20"/>
                <w:szCs w:val="20"/>
              </w:rPr>
            </w:pPr>
            <w:r w:rsidRPr="000E433B">
              <w:rPr>
                <w:i/>
                <w:sz w:val="20"/>
                <w:szCs w:val="20"/>
              </w:rPr>
              <w:t>‘Confirmation is provided that the details of the planned survey of pharmacists will be made available to the TGA, once available.’</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sponsor should make available the final study report of the conducted PASS, once available.</w:t>
            </w:r>
          </w:p>
        </w:tc>
        <w:tc>
          <w:tcPr>
            <w:tcW w:w="1869" w:type="pct"/>
            <w:noWrap/>
          </w:tcPr>
          <w:p w:rsidR="005C73FA" w:rsidRPr="000E433B" w:rsidRDefault="005C73FA" w:rsidP="000E433B">
            <w:pPr>
              <w:ind w:left="34" w:right="0"/>
              <w:rPr>
                <w:i/>
                <w:sz w:val="20"/>
                <w:szCs w:val="20"/>
              </w:rPr>
            </w:pPr>
            <w:r w:rsidRPr="000E433B">
              <w:rPr>
                <w:i/>
                <w:sz w:val="20"/>
                <w:szCs w:val="20"/>
              </w:rPr>
              <w:t>‘Confirmation is provided that the final study report will be made available to the TGA, once available.’</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sponsor should add the planned Canadian Drug Utilisation Study to the pharmaco</w:t>
            </w:r>
            <w:r w:rsidR="00F15D41" w:rsidRPr="000E433B">
              <w:rPr>
                <w:rFonts w:cstheme="minorHAnsi"/>
                <w:sz w:val="20"/>
                <w:szCs w:val="20"/>
              </w:rPr>
              <w:t>vigilance plan.</w:t>
            </w:r>
          </w:p>
        </w:tc>
        <w:tc>
          <w:tcPr>
            <w:tcW w:w="1869" w:type="pct"/>
            <w:noWrap/>
          </w:tcPr>
          <w:p w:rsidR="005C73FA" w:rsidRPr="000E433B" w:rsidRDefault="005C73FA" w:rsidP="000E433B">
            <w:pPr>
              <w:ind w:left="34" w:right="0"/>
              <w:rPr>
                <w:i/>
                <w:sz w:val="20"/>
                <w:szCs w:val="20"/>
              </w:rPr>
            </w:pPr>
            <w:r w:rsidRPr="000E433B">
              <w:rPr>
                <w:i/>
                <w:sz w:val="20"/>
                <w:szCs w:val="20"/>
              </w:rPr>
              <w:t>‘Canadian Drug Utilisation Study is taken into consideration as part of additional pharmacovigilance obligation and is mentioned in the EU-RMP; however it is not included as specific obligation in Part III of the EU-RMP since it is not an EU requirement. Data on study results will be provided in the future EU-RMP, and therefore available to the TGA.’</w:t>
            </w:r>
          </w:p>
        </w:tc>
        <w:tc>
          <w:tcPr>
            <w:tcW w:w="1443" w:type="pct"/>
            <w:noWrap/>
          </w:tcPr>
          <w:p w:rsidR="005C73FA" w:rsidRPr="000E433B" w:rsidRDefault="005C73FA" w:rsidP="000E433B">
            <w:pPr>
              <w:ind w:left="54" w:right="0"/>
              <w:rPr>
                <w:sz w:val="20"/>
                <w:szCs w:val="20"/>
              </w:rPr>
            </w:pPr>
            <w:r w:rsidRPr="000E433B">
              <w:rPr>
                <w:sz w:val="20"/>
                <w:szCs w:val="20"/>
              </w:rPr>
              <w:t>The sponsor’s response has been noted.</w:t>
            </w:r>
          </w:p>
          <w:p w:rsidR="005C73FA" w:rsidRPr="000E433B" w:rsidRDefault="005C73FA" w:rsidP="000E433B">
            <w:pPr>
              <w:ind w:left="54" w:right="0"/>
              <w:rPr>
                <w:sz w:val="20"/>
                <w:szCs w:val="20"/>
              </w:rPr>
            </w:pPr>
            <w:r w:rsidRPr="000E433B">
              <w:rPr>
                <w:sz w:val="20"/>
                <w:szCs w:val="20"/>
              </w:rPr>
              <w:t>Whether an additional pharmacovigilance activity is a</w:t>
            </w:r>
            <w:r w:rsidR="00F15D41" w:rsidRPr="000E433B">
              <w:rPr>
                <w:sz w:val="20"/>
                <w:szCs w:val="20"/>
              </w:rPr>
              <w:t>n</w:t>
            </w:r>
            <w:r w:rsidRPr="000E433B">
              <w:rPr>
                <w:sz w:val="20"/>
                <w:szCs w:val="20"/>
              </w:rPr>
              <w:t xml:space="preserve"> EU requirement or not, is not considered relevant in the context of Australian regulation and will be evaluated on a case-by-case basis.</w:t>
            </w:r>
          </w:p>
          <w:p w:rsidR="005C73FA" w:rsidRPr="000E433B" w:rsidRDefault="005C73FA" w:rsidP="000E433B">
            <w:pPr>
              <w:ind w:left="54" w:right="0"/>
              <w:rPr>
                <w:sz w:val="20"/>
                <w:szCs w:val="20"/>
              </w:rPr>
            </w:pPr>
            <w:r w:rsidRPr="000E433B">
              <w:rPr>
                <w:sz w:val="20"/>
                <w:szCs w:val="20"/>
              </w:rPr>
              <w:t xml:space="preserve">Post-authorisation drug utilisation data is necessary in the context of this application. Normally, a local drug utilisation study would be required. However, a study in a jurisdiction with comparable demographics may be acceptable. It was noted that the sponsor is </w:t>
            </w:r>
            <w:r w:rsidRPr="000E433B">
              <w:rPr>
                <w:sz w:val="20"/>
                <w:szCs w:val="20"/>
              </w:rPr>
              <w:lastRenderedPageBreak/>
              <w:t>already conducting such a study and could add this to the pharmacovigilance plan in the ASA with negligible effort. However, if the sponsor insists on not adding the existing Canadian study to the pharmacovigilance plan, a proposed Australian drug utilisation study should be proposed.</w:t>
            </w:r>
          </w:p>
          <w:p w:rsidR="00F15D41" w:rsidRPr="000E433B" w:rsidRDefault="00F15D41" w:rsidP="000E433B">
            <w:pPr>
              <w:ind w:left="54" w:right="0"/>
              <w:rPr>
                <w:sz w:val="20"/>
                <w:szCs w:val="20"/>
              </w:rPr>
            </w:pPr>
            <w:r w:rsidRPr="000E433B">
              <w:rPr>
                <w:sz w:val="20"/>
                <w:szCs w:val="20"/>
              </w:rPr>
              <w:t>The recommendation remains: the sponsor should add the planned Canadian Drug Utilisation Study to the pharmacovigilance plan, update the ASA accordingly, and provide updates in PSURs, or, alternatively propose a Drug Utilisation Study to be conducted in Australia.</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lastRenderedPageBreak/>
              <w:t>The sponsor should commit to assigning the additional pharmacovigilance activities conducted outside Australia to the ASA.</w:t>
            </w:r>
          </w:p>
        </w:tc>
        <w:tc>
          <w:tcPr>
            <w:tcW w:w="1869" w:type="pct"/>
            <w:noWrap/>
          </w:tcPr>
          <w:p w:rsidR="005C73FA" w:rsidRPr="000E433B" w:rsidRDefault="005C73FA" w:rsidP="000E433B">
            <w:pPr>
              <w:ind w:left="34" w:right="0"/>
              <w:rPr>
                <w:i/>
                <w:sz w:val="20"/>
                <w:szCs w:val="20"/>
              </w:rPr>
            </w:pPr>
            <w:r w:rsidRPr="000E433B">
              <w:rPr>
                <w:i/>
                <w:sz w:val="20"/>
                <w:szCs w:val="20"/>
              </w:rPr>
              <w:t>‘The ASA has been updated to include the additional pharmacovigilance activities outside Australia, as noted in Table 3 of the Risk Management Plan Evaluation Report.’</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 xml:space="preserve">The sponsor should outline how they wish to assess local tolerability issues in patients taking </w:t>
            </w:r>
            <w:proofErr w:type="spellStart"/>
            <w:r w:rsidRPr="000E433B">
              <w:rPr>
                <w:rFonts w:cstheme="minorHAnsi"/>
                <w:sz w:val="20"/>
                <w:szCs w:val="20"/>
              </w:rPr>
              <w:t>Fentora</w:t>
            </w:r>
            <w:proofErr w:type="spellEnd"/>
            <w:r w:rsidRPr="000E433B">
              <w:rPr>
                <w:rFonts w:cstheme="minorHAnsi"/>
                <w:sz w:val="20"/>
                <w:szCs w:val="20"/>
              </w:rPr>
              <w:t>.</w:t>
            </w:r>
          </w:p>
        </w:tc>
        <w:tc>
          <w:tcPr>
            <w:tcW w:w="1869" w:type="pct"/>
            <w:noWrap/>
          </w:tcPr>
          <w:p w:rsidR="005C73FA" w:rsidRPr="000E433B" w:rsidRDefault="005C73FA" w:rsidP="000E433B">
            <w:pPr>
              <w:ind w:left="34" w:right="0"/>
              <w:rPr>
                <w:i/>
                <w:sz w:val="20"/>
                <w:szCs w:val="20"/>
              </w:rPr>
            </w:pPr>
            <w:r w:rsidRPr="000E433B">
              <w:rPr>
                <w:i/>
                <w:sz w:val="20"/>
                <w:szCs w:val="20"/>
              </w:rPr>
              <w:t>‘As indicated in the EU-RMP Part IV, the risk of local tolerbility [sic] is assessed via post-market monitoring. Potential increase in the relevant cases for this risk will be measured by the PRR (proportional reporting ratio) signal detection method. Results will be used to assess the need for further risk minimisation activities updates. To date, no signals have arised related to this risk, and therefore it is considered that routine risk minimisation measures are sufficient for this risk (please refer to the responses to Questions 15 and 28).’</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 in the context of this application.</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CMI document should include the patient information leaflet as an attachment.</w:t>
            </w:r>
          </w:p>
        </w:tc>
        <w:tc>
          <w:tcPr>
            <w:tcW w:w="1869" w:type="pct"/>
            <w:noWrap/>
          </w:tcPr>
          <w:p w:rsidR="005C73FA" w:rsidRPr="000E433B" w:rsidRDefault="005C73FA" w:rsidP="000E433B">
            <w:pPr>
              <w:ind w:left="34" w:right="0"/>
              <w:rPr>
                <w:i/>
                <w:sz w:val="20"/>
                <w:szCs w:val="20"/>
              </w:rPr>
            </w:pPr>
            <w:r w:rsidRPr="000E433B">
              <w:rPr>
                <w:i/>
                <w:sz w:val="20"/>
                <w:szCs w:val="20"/>
              </w:rPr>
              <w:t xml:space="preserve">‘We would like to provide clarification that the leaflet referred [sic] in the application is </w:t>
            </w:r>
            <w:r w:rsidRPr="000E433B">
              <w:rPr>
                <w:i/>
                <w:sz w:val="20"/>
                <w:szCs w:val="20"/>
              </w:rPr>
              <w:lastRenderedPageBreak/>
              <w:t xml:space="preserve">the CMI. </w:t>
            </w:r>
            <w:proofErr w:type="gramStart"/>
            <w:r w:rsidRPr="000E433B">
              <w:rPr>
                <w:i/>
                <w:sz w:val="20"/>
                <w:szCs w:val="20"/>
              </w:rPr>
              <w:t>A separate patient information leaflet ha</w:t>
            </w:r>
            <w:r w:rsidR="0026565F" w:rsidRPr="000E433B">
              <w:rPr>
                <w:i/>
                <w:sz w:val="20"/>
                <w:szCs w:val="20"/>
              </w:rPr>
              <w:t>ve</w:t>
            </w:r>
            <w:proofErr w:type="gramEnd"/>
            <w:r w:rsidR="0026565F" w:rsidRPr="000E433B">
              <w:rPr>
                <w:i/>
                <w:sz w:val="20"/>
                <w:szCs w:val="20"/>
              </w:rPr>
              <w:t xml:space="preserve"> </w:t>
            </w:r>
            <w:r w:rsidRPr="000E433B">
              <w:rPr>
                <w:i/>
                <w:sz w:val="20"/>
                <w:szCs w:val="20"/>
              </w:rPr>
              <w:t>not been developed.</w:t>
            </w:r>
          </w:p>
          <w:p w:rsidR="005C73FA" w:rsidRPr="000E433B" w:rsidRDefault="005C73FA" w:rsidP="000E433B">
            <w:pPr>
              <w:ind w:left="34" w:right="0"/>
              <w:rPr>
                <w:i/>
                <w:sz w:val="20"/>
                <w:szCs w:val="20"/>
              </w:rPr>
            </w:pPr>
            <w:r w:rsidRPr="000E433B">
              <w:rPr>
                <w:i/>
                <w:sz w:val="20"/>
                <w:szCs w:val="20"/>
              </w:rPr>
              <w:t>However, to address rule based and action based medication errors, it is proposed to include the 'Patient guide for FENTORA' as a leaflet as an attachment to the CMI. The document forms part of the patient educational material, and includes dosing and administration information in detail.</w:t>
            </w:r>
          </w:p>
          <w:p w:rsidR="005C73FA" w:rsidRPr="000E433B" w:rsidRDefault="005C73FA" w:rsidP="000E433B">
            <w:pPr>
              <w:ind w:left="34" w:right="0"/>
              <w:rPr>
                <w:i/>
                <w:sz w:val="20"/>
                <w:szCs w:val="20"/>
              </w:rPr>
            </w:pPr>
            <w:r w:rsidRPr="000E433B">
              <w:rPr>
                <w:i/>
                <w:sz w:val="20"/>
                <w:szCs w:val="20"/>
              </w:rPr>
              <w:t>Please find the draft CMI and Patient guide for FENTORA enclosed in Module 1.3.1.3.</w:t>
            </w:r>
            <w:r w:rsidR="00F15D41" w:rsidRPr="000E433B">
              <w:rPr>
                <w:i/>
                <w:sz w:val="20"/>
                <w:szCs w:val="20"/>
              </w:rPr>
              <w:t>’</w:t>
            </w:r>
          </w:p>
        </w:tc>
        <w:tc>
          <w:tcPr>
            <w:tcW w:w="1443" w:type="pct"/>
            <w:noWrap/>
          </w:tcPr>
          <w:p w:rsidR="005C73FA" w:rsidRPr="000E433B" w:rsidRDefault="005C73FA" w:rsidP="000E433B">
            <w:pPr>
              <w:ind w:left="54" w:right="0"/>
              <w:rPr>
                <w:sz w:val="20"/>
                <w:szCs w:val="20"/>
              </w:rPr>
            </w:pPr>
            <w:r w:rsidRPr="000E433B">
              <w:rPr>
                <w:sz w:val="20"/>
                <w:szCs w:val="20"/>
              </w:rPr>
              <w:lastRenderedPageBreak/>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lastRenderedPageBreak/>
              <w:t>The CMI should be contained as a package insert.</w:t>
            </w:r>
          </w:p>
        </w:tc>
        <w:tc>
          <w:tcPr>
            <w:tcW w:w="1869" w:type="pct"/>
            <w:noWrap/>
          </w:tcPr>
          <w:p w:rsidR="005C73FA" w:rsidRPr="000E433B" w:rsidRDefault="005C73FA" w:rsidP="000E433B">
            <w:pPr>
              <w:ind w:left="34" w:right="0"/>
              <w:rPr>
                <w:i/>
                <w:sz w:val="20"/>
                <w:szCs w:val="20"/>
              </w:rPr>
            </w:pPr>
            <w:r w:rsidRPr="000E433B">
              <w:rPr>
                <w:i/>
                <w:sz w:val="20"/>
                <w:szCs w:val="20"/>
              </w:rPr>
              <w:t>‘The CMI is intended to be included as a package insert.’</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A separate patient dosing card should be developed.</w:t>
            </w:r>
          </w:p>
        </w:tc>
        <w:tc>
          <w:tcPr>
            <w:tcW w:w="1869" w:type="pct"/>
            <w:noWrap/>
          </w:tcPr>
          <w:p w:rsidR="005C73FA" w:rsidRPr="000E433B" w:rsidRDefault="005C73FA" w:rsidP="000E433B">
            <w:pPr>
              <w:ind w:left="34" w:right="0"/>
              <w:rPr>
                <w:i/>
                <w:sz w:val="20"/>
                <w:szCs w:val="20"/>
              </w:rPr>
            </w:pPr>
            <w:r w:rsidRPr="000E433B">
              <w:rPr>
                <w:i/>
                <w:sz w:val="20"/>
                <w:szCs w:val="20"/>
              </w:rPr>
              <w:t>‘A separate patient dosing card is incorporated in the Patient guide for FENTORA leaflet insert immediately following the CMI. Please refer to the proposed leaflet in Module 1.3.1.3 and annex 3 of the ASA.’</w:t>
            </w:r>
          </w:p>
        </w:tc>
        <w:tc>
          <w:tcPr>
            <w:tcW w:w="1443" w:type="pct"/>
            <w:noWrap/>
          </w:tcPr>
          <w:p w:rsidR="005C73FA" w:rsidRPr="000E433B" w:rsidRDefault="005C73FA" w:rsidP="000E433B">
            <w:pPr>
              <w:ind w:left="54" w:right="0"/>
              <w:rPr>
                <w:sz w:val="20"/>
                <w:szCs w:val="20"/>
              </w:rPr>
            </w:pPr>
            <w:r w:rsidRPr="000E433B">
              <w:rPr>
                <w:sz w:val="20"/>
                <w:szCs w:val="20"/>
              </w:rPr>
              <w:t>It is noted that the flowchart contains the trade name ‘EFFENTORA’ rather than ‘FENTORA’ (the proposed trade name for Australia).</w:t>
            </w:r>
          </w:p>
          <w:p w:rsidR="005C73FA" w:rsidRPr="000E433B" w:rsidRDefault="005C73FA" w:rsidP="000E433B">
            <w:pPr>
              <w:ind w:left="54" w:right="0"/>
              <w:rPr>
                <w:sz w:val="20"/>
                <w:szCs w:val="20"/>
              </w:rPr>
            </w:pPr>
            <w:r w:rsidRPr="000E433B">
              <w:rPr>
                <w:sz w:val="20"/>
                <w:szCs w:val="20"/>
              </w:rPr>
              <w:t>The sponsor should amend this.</w:t>
            </w:r>
          </w:p>
          <w:p w:rsidR="005C73FA" w:rsidRPr="000E433B" w:rsidRDefault="005C73FA" w:rsidP="000E433B">
            <w:pPr>
              <w:ind w:left="54" w:right="0"/>
              <w:rPr>
                <w:sz w:val="20"/>
                <w:szCs w:val="20"/>
              </w:rPr>
            </w:pPr>
            <w:r w:rsidRPr="000E433B">
              <w:rPr>
                <w:sz w:val="20"/>
                <w:szCs w:val="20"/>
              </w:rPr>
              <w:t>The flowchart content is considered acceptable, subject to approval by the Delegate.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Tick-boxes should be present on the packaging (or an equivalent risk mitigation measure) to enable patients to record the number of tablets taken.</w:t>
            </w:r>
          </w:p>
        </w:tc>
        <w:tc>
          <w:tcPr>
            <w:tcW w:w="1869" w:type="pct"/>
            <w:noWrap/>
          </w:tcPr>
          <w:p w:rsidR="005C73FA" w:rsidRPr="000E433B" w:rsidRDefault="005C73FA" w:rsidP="000E433B">
            <w:pPr>
              <w:ind w:left="34" w:right="0"/>
              <w:rPr>
                <w:i/>
                <w:sz w:val="20"/>
                <w:szCs w:val="20"/>
              </w:rPr>
            </w:pPr>
            <w:r w:rsidRPr="000E433B">
              <w:rPr>
                <w:i/>
                <w:sz w:val="20"/>
                <w:szCs w:val="20"/>
              </w:rPr>
              <w:t>‘Due to the limited amount of space on the packaging, an equivalent tick-boxes table is proposed to be included in the Patient guide for FENTORA leaflet insert immediately following the</w:t>
            </w:r>
            <w:r w:rsidR="00281C4E" w:rsidRPr="000E433B">
              <w:rPr>
                <w:i/>
                <w:sz w:val="20"/>
                <w:szCs w:val="20"/>
              </w:rPr>
              <w:t xml:space="preserve"> </w:t>
            </w:r>
            <w:r w:rsidRPr="000E433B">
              <w:rPr>
                <w:i/>
                <w:sz w:val="20"/>
                <w:szCs w:val="20"/>
              </w:rPr>
              <w:t>CMI. This will also enable patient the flexibility to carry only the necessary number of tablets rather than the entire box of tablets. In addition as the smaller pack sizes of 4's will generally</w:t>
            </w:r>
            <w:r w:rsidR="00281C4E" w:rsidRPr="000E433B">
              <w:rPr>
                <w:i/>
                <w:sz w:val="20"/>
                <w:szCs w:val="20"/>
              </w:rPr>
              <w:t xml:space="preserve"> </w:t>
            </w:r>
            <w:r w:rsidRPr="000E433B">
              <w:rPr>
                <w:i/>
                <w:sz w:val="20"/>
                <w:szCs w:val="20"/>
              </w:rPr>
              <w:t>be used during the initial titration process and the large pack size of 30's used during</w:t>
            </w:r>
            <w:r w:rsidR="00281C4E" w:rsidRPr="000E433B">
              <w:rPr>
                <w:i/>
                <w:sz w:val="20"/>
                <w:szCs w:val="20"/>
              </w:rPr>
              <w:t xml:space="preserve"> </w:t>
            </w:r>
            <w:r w:rsidRPr="000E433B">
              <w:rPr>
                <w:i/>
                <w:sz w:val="20"/>
                <w:szCs w:val="20"/>
              </w:rPr>
              <w:t>maintenance dose, by including the tick-boxes table in the leaflet allows the patient to record the</w:t>
            </w:r>
            <w:r w:rsidR="00281C4E" w:rsidRPr="000E433B">
              <w:rPr>
                <w:i/>
                <w:sz w:val="20"/>
                <w:szCs w:val="20"/>
              </w:rPr>
              <w:t xml:space="preserve"> </w:t>
            </w:r>
            <w:r w:rsidRPr="000E433B">
              <w:rPr>
                <w:i/>
                <w:sz w:val="20"/>
                <w:szCs w:val="20"/>
              </w:rPr>
              <w:t>number of tablets taken in one location rather than on mu</w:t>
            </w:r>
            <w:r w:rsidR="0026565F" w:rsidRPr="000E433B">
              <w:rPr>
                <w:i/>
                <w:sz w:val="20"/>
                <w:szCs w:val="20"/>
              </w:rPr>
              <w:t>l</w:t>
            </w:r>
            <w:r w:rsidRPr="000E433B">
              <w:rPr>
                <w:i/>
                <w:sz w:val="20"/>
                <w:szCs w:val="20"/>
              </w:rPr>
              <w:t>tiple cartons, thereby increasing compliance.’</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lastRenderedPageBreak/>
              <w:t>The sponsor should advise whether Fentora is supplied in child-proof packaging, or provide a compelling justification.</w:t>
            </w:r>
          </w:p>
        </w:tc>
        <w:tc>
          <w:tcPr>
            <w:tcW w:w="1869" w:type="pct"/>
            <w:noWrap/>
          </w:tcPr>
          <w:p w:rsidR="005C73FA" w:rsidRPr="000E433B" w:rsidRDefault="005C73FA" w:rsidP="000E433B">
            <w:pPr>
              <w:ind w:left="34" w:right="0"/>
              <w:rPr>
                <w:i/>
                <w:sz w:val="20"/>
                <w:szCs w:val="20"/>
              </w:rPr>
            </w:pPr>
            <w:r w:rsidRPr="000E433B">
              <w:rPr>
                <w:i/>
                <w:sz w:val="20"/>
                <w:szCs w:val="20"/>
              </w:rPr>
              <w:t>‘</w:t>
            </w:r>
            <w:r w:rsidRPr="000E433B">
              <w:rPr>
                <w:rFonts w:hint="eastAsia"/>
                <w:i/>
                <w:sz w:val="20"/>
                <w:szCs w:val="20"/>
              </w:rPr>
              <w:t>We provide confirmation that Fentora is supplied in child‐proof packaging.</w:t>
            </w:r>
            <w:r w:rsidRPr="000E433B">
              <w:rPr>
                <w:i/>
                <w:sz w:val="20"/>
                <w:szCs w:val="20"/>
              </w:rPr>
              <w:t>’</w:t>
            </w:r>
          </w:p>
        </w:tc>
        <w:tc>
          <w:tcPr>
            <w:tcW w:w="1443" w:type="pct"/>
            <w:noWrap/>
          </w:tcPr>
          <w:p w:rsidR="005C73FA" w:rsidRPr="000E433B" w:rsidRDefault="005C73FA" w:rsidP="000E433B">
            <w:pPr>
              <w:ind w:left="54" w:right="0"/>
              <w:rPr>
                <w:rFonts w:cstheme="minorHAnsi"/>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 xml:space="preserve">In regard to the proposed routine risk minimisation activities, it is recommended to the Delegate that the draft consumer medicine information document be revised to accommodate the changes made to the product information document. </w:t>
            </w:r>
          </w:p>
        </w:tc>
        <w:tc>
          <w:tcPr>
            <w:tcW w:w="1869" w:type="pct"/>
            <w:noWrap/>
          </w:tcPr>
          <w:p w:rsidR="005C73FA" w:rsidRPr="000E433B" w:rsidRDefault="005C73FA" w:rsidP="000E433B">
            <w:pPr>
              <w:ind w:left="34" w:right="0"/>
              <w:rPr>
                <w:i/>
                <w:sz w:val="20"/>
                <w:szCs w:val="20"/>
              </w:rPr>
            </w:pPr>
            <w:r w:rsidRPr="000E433B">
              <w:rPr>
                <w:i/>
                <w:sz w:val="20"/>
                <w:szCs w:val="20"/>
              </w:rPr>
              <w:t>‘The draft CMI document is updated to align with the changes made to the PI document.’</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 subject to approval by the Delegate.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sponsor should commit to providing updates on the effectiveness measurement of additional risk minimisation activities in PSURs.</w:t>
            </w:r>
          </w:p>
        </w:tc>
        <w:tc>
          <w:tcPr>
            <w:tcW w:w="1869" w:type="pct"/>
            <w:noWrap/>
          </w:tcPr>
          <w:p w:rsidR="005C73FA" w:rsidRPr="000E433B" w:rsidRDefault="005C73FA" w:rsidP="000E433B">
            <w:pPr>
              <w:ind w:left="34" w:right="0"/>
              <w:rPr>
                <w:i/>
                <w:sz w:val="20"/>
                <w:szCs w:val="20"/>
              </w:rPr>
            </w:pPr>
            <w:r w:rsidRPr="000E433B">
              <w:rPr>
                <w:i/>
                <w:sz w:val="20"/>
                <w:szCs w:val="20"/>
              </w:rPr>
              <w:t>‘Orphan Australia commits to providing updates on the effectiveness measurement of additional risk minimisation activities in PSURs.’</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sponsor should provide the TGA with the following details of the Australian specific education materials for agreement, and update the ASA accordingly:</w:t>
            </w:r>
          </w:p>
          <w:p w:rsidR="005C73FA" w:rsidRPr="000E433B" w:rsidRDefault="005C73FA" w:rsidP="000E433B">
            <w:pPr>
              <w:ind w:left="0" w:right="0"/>
              <w:rPr>
                <w:sz w:val="20"/>
                <w:szCs w:val="20"/>
              </w:rPr>
            </w:pPr>
            <w:r w:rsidRPr="000E433B">
              <w:rPr>
                <w:sz w:val="20"/>
                <w:szCs w:val="20"/>
              </w:rPr>
              <w:t>All draft education materials (including a patient dosing card);</w:t>
            </w:r>
          </w:p>
          <w:p w:rsidR="005C73FA" w:rsidRPr="000E433B" w:rsidRDefault="005C73FA" w:rsidP="000E433B">
            <w:pPr>
              <w:ind w:left="0" w:right="0"/>
              <w:rPr>
                <w:rFonts w:cstheme="minorHAnsi"/>
                <w:sz w:val="20"/>
                <w:szCs w:val="20"/>
              </w:rPr>
            </w:pPr>
            <w:r w:rsidRPr="000E433B">
              <w:rPr>
                <w:sz w:val="20"/>
                <w:szCs w:val="20"/>
              </w:rPr>
              <w:t>A clear distribution plan.</w:t>
            </w:r>
          </w:p>
        </w:tc>
        <w:tc>
          <w:tcPr>
            <w:tcW w:w="1869" w:type="pct"/>
            <w:noWrap/>
          </w:tcPr>
          <w:p w:rsidR="005C73FA" w:rsidRPr="000E433B" w:rsidRDefault="005C73FA" w:rsidP="000E433B">
            <w:pPr>
              <w:ind w:left="34" w:right="0"/>
              <w:rPr>
                <w:i/>
                <w:sz w:val="20"/>
                <w:szCs w:val="20"/>
              </w:rPr>
            </w:pPr>
            <w:r w:rsidRPr="000E433B">
              <w:rPr>
                <w:i/>
                <w:sz w:val="20"/>
                <w:szCs w:val="20"/>
              </w:rPr>
              <w:t>‘Educational materials:</w:t>
            </w:r>
          </w:p>
          <w:p w:rsidR="005C73FA" w:rsidRPr="000E433B" w:rsidRDefault="005C73FA" w:rsidP="000E433B">
            <w:pPr>
              <w:ind w:left="34" w:right="0"/>
              <w:rPr>
                <w:i/>
                <w:sz w:val="20"/>
                <w:szCs w:val="20"/>
              </w:rPr>
            </w:pPr>
            <w:r w:rsidRPr="000E433B">
              <w:rPr>
                <w:i/>
                <w:sz w:val="20"/>
                <w:szCs w:val="20"/>
              </w:rPr>
              <w:t>The Australian specific draft education materials for healthcare professionals and patients have been developed based on the materials developed for EU. The patient dosing table is</w:t>
            </w:r>
            <w:r w:rsidR="00383ECD" w:rsidRPr="000E433B">
              <w:rPr>
                <w:i/>
                <w:sz w:val="20"/>
                <w:szCs w:val="20"/>
              </w:rPr>
              <w:t xml:space="preserve"> </w:t>
            </w:r>
            <w:r w:rsidRPr="000E433B">
              <w:rPr>
                <w:i/>
                <w:sz w:val="20"/>
                <w:szCs w:val="20"/>
              </w:rPr>
              <w:t>included in the Patient's guide for F</w:t>
            </w:r>
            <w:r w:rsidR="00383ECD" w:rsidRPr="000E433B">
              <w:rPr>
                <w:i/>
                <w:sz w:val="20"/>
                <w:szCs w:val="20"/>
              </w:rPr>
              <w:t>entora</w:t>
            </w:r>
            <w:r w:rsidRPr="000E433B">
              <w:rPr>
                <w:i/>
                <w:sz w:val="20"/>
                <w:szCs w:val="20"/>
              </w:rPr>
              <w:t xml:space="preserve"> which will be included as a leaflet in the product carton. The updated CMI and Patient's guide for </w:t>
            </w:r>
            <w:r w:rsidR="00383ECD" w:rsidRPr="000E433B">
              <w:rPr>
                <w:i/>
                <w:sz w:val="20"/>
                <w:szCs w:val="20"/>
              </w:rPr>
              <w:t>Fentora is also included</w:t>
            </w:r>
            <w:r w:rsidRPr="000E433B">
              <w:rPr>
                <w:i/>
                <w:sz w:val="20"/>
                <w:szCs w:val="20"/>
              </w:rPr>
              <w:t>.</w:t>
            </w:r>
          </w:p>
          <w:p w:rsidR="005C73FA" w:rsidRPr="000E433B" w:rsidRDefault="005C73FA" w:rsidP="000E433B">
            <w:pPr>
              <w:ind w:left="34" w:right="0"/>
              <w:rPr>
                <w:i/>
                <w:sz w:val="20"/>
                <w:szCs w:val="20"/>
              </w:rPr>
            </w:pPr>
            <w:r w:rsidRPr="000E433B">
              <w:rPr>
                <w:i/>
                <w:sz w:val="20"/>
                <w:szCs w:val="20"/>
              </w:rPr>
              <w:t>Distribution plan:</w:t>
            </w:r>
          </w:p>
          <w:p w:rsidR="005C73FA" w:rsidRPr="000E433B" w:rsidRDefault="005C73FA" w:rsidP="000E433B">
            <w:pPr>
              <w:ind w:left="34" w:right="0"/>
              <w:rPr>
                <w:i/>
                <w:sz w:val="20"/>
                <w:szCs w:val="20"/>
              </w:rPr>
            </w:pPr>
            <w:r w:rsidRPr="000E433B">
              <w:rPr>
                <w:i/>
                <w:sz w:val="20"/>
                <w:szCs w:val="20"/>
              </w:rPr>
              <w:t>-Educational materials will be distributed via the field representatives to the healthcare professionals, available in both hard copies and electronically via a QR code on the label.</w:t>
            </w:r>
          </w:p>
          <w:p w:rsidR="005C73FA" w:rsidRPr="000E433B" w:rsidRDefault="005C73FA" w:rsidP="000E433B">
            <w:pPr>
              <w:ind w:left="34" w:right="0"/>
              <w:rPr>
                <w:i/>
                <w:sz w:val="20"/>
                <w:szCs w:val="20"/>
              </w:rPr>
            </w:pPr>
            <w:r w:rsidRPr="000E433B">
              <w:rPr>
                <w:i/>
                <w:sz w:val="20"/>
                <w:szCs w:val="20"/>
              </w:rPr>
              <w:t>- Patients can access also access the educational materials through their healthcare professional or via the QR codes. The CMI and 'Patient's guide for F</w:t>
            </w:r>
            <w:r w:rsidR="00383ECD" w:rsidRPr="000E433B">
              <w:rPr>
                <w:i/>
                <w:sz w:val="20"/>
                <w:szCs w:val="20"/>
              </w:rPr>
              <w:t>entora</w:t>
            </w:r>
            <w:r w:rsidRPr="000E433B">
              <w:rPr>
                <w:i/>
                <w:sz w:val="20"/>
                <w:szCs w:val="20"/>
              </w:rPr>
              <w:t>' are contained in the product box as leaflets.</w:t>
            </w:r>
          </w:p>
          <w:p w:rsidR="005C73FA" w:rsidRPr="000E433B" w:rsidRDefault="005C73FA" w:rsidP="000E433B">
            <w:pPr>
              <w:ind w:left="34" w:right="0"/>
              <w:rPr>
                <w:i/>
                <w:sz w:val="20"/>
                <w:szCs w:val="20"/>
              </w:rPr>
            </w:pPr>
            <w:r w:rsidRPr="000E433B">
              <w:rPr>
                <w:i/>
                <w:sz w:val="20"/>
                <w:szCs w:val="20"/>
              </w:rPr>
              <w:t>Please note that QR code will be included on the product carton upon approval from the OPR of the above plan.</w:t>
            </w:r>
            <w:r w:rsidR="00383ECD" w:rsidRPr="000E433B">
              <w:rPr>
                <w:i/>
                <w:sz w:val="20"/>
                <w:szCs w:val="20"/>
              </w:rPr>
              <w:t>’</w:t>
            </w:r>
          </w:p>
        </w:tc>
        <w:tc>
          <w:tcPr>
            <w:tcW w:w="1443" w:type="pct"/>
            <w:noWrap/>
          </w:tcPr>
          <w:p w:rsidR="005C73FA" w:rsidRPr="000E433B" w:rsidRDefault="005C73FA" w:rsidP="000E433B">
            <w:pPr>
              <w:ind w:left="54" w:right="0"/>
              <w:rPr>
                <w:sz w:val="20"/>
                <w:szCs w:val="20"/>
              </w:rPr>
            </w:pPr>
            <w:r w:rsidRPr="000E433B">
              <w:rPr>
                <w:sz w:val="20"/>
                <w:szCs w:val="20"/>
              </w:rPr>
              <w:t xml:space="preserve">The sponsor’s response has been noted. </w:t>
            </w:r>
          </w:p>
          <w:p w:rsidR="005C73FA" w:rsidRPr="000E433B" w:rsidRDefault="005C73FA" w:rsidP="000E433B">
            <w:pPr>
              <w:ind w:left="54" w:right="0"/>
              <w:rPr>
                <w:sz w:val="20"/>
                <w:szCs w:val="20"/>
              </w:rPr>
            </w:pPr>
            <w:r w:rsidRPr="000E433B">
              <w:rPr>
                <w:sz w:val="20"/>
                <w:szCs w:val="20"/>
              </w:rPr>
              <w:t>The OPR evaluator has not been provided with the actual content to which the proposed QR code links. Notwithstanding any of the OPR evaluator comments regarding the content of the provided education materials, the sponsor is reminded that any education material must not be promotional in any way, or be considered to be advertising of a prescription medicine to the general public. The sponsor should ensure that any content to which the QR code links is in compliance with relevant legislation.</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lastRenderedPageBreak/>
              <w:t>Local tolerability issues may occur with the buccal/sublingual dosage form and should also be addressed by and assigned to the additional risk minimisation activities.</w:t>
            </w:r>
          </w:p>
        </w:tc>
        <w:tc>
          <w:tcPr>
            <w:tcW w:w="1869" w:type="pct"/>
            <w:noWrap/>
          </w:tcPr>
          <w:p w:rsidR="005C73FA" w:rsidRPr="000E433B" w:rsidRDefault="005C73FA" w:rsidP="000E433B">
            <w:pPr>
              <w:ind w:left="34" w:right="0"/>
              <w:rPr>
                <w:i/>
                <w:sz w:val="20"/>
                <w:szCs w:val="20"/>
              </w:rPr>
            </w:pPr>
            <w:r w:rsidRPr="000E433B">
              <w:rPr>
                <w:i/>
                <w:sz w:val="20"/>
                <w:szCs w:val="20"/>
              </w:rPr>
              <w:t>‘Orphan Australia is aware of local tolerability with the buc</w:t>
            </w:r>
            <w:r w:rsidR="00383ECD" w:rsidRPr="000E433B">
              <w:rPr>
                <w:i/>
                <w:sz w:val="20"/>
                <w:szCs w:val="20"/>
              </w:rPr>
              <w:t xml:space="preserve">cal/sublingual dosage forms. As </w:t>
            </w:r>
            <w:r w:rsidRPr="000E433B">
              <w:rPr>
                <w:i/>
                <w:sz w:val="20"/>
                <w:szCs w:val="20"/>
              </w:rPr>
              <w:t xml:space="preserve">per </w:t>
            </w:r>
            <w:r w:rsidR="00383ECD" w:rsidRPr="000E433B">
              <w:rPr>
                <w:i/>
                <w:sz w:val="20"/>
                <w:szCs w:val="20"/>
              </w:rPr>
              <w:t>TGA</w:t>
            </w:r>
            <w:r w:rsidRPr="000E433B">
              <w:rPr>
                <w:i/>
                <w:sz w:val="20"/>
                <w:szCs w:val="20"/>
              </w:rPr>
              <w:t>'s advice a precautionary statement regarding patients with mucositis and local</w:t>
            </w:r>
            <w:r w:rsidR="00383ECD" w:rsidRPr="000E433B">
              <w:rPr>
                <w:i/>
                <w:sz w:val="20"/>
                <w:szCs w:val="20"/>
              </w:rPr>
              <w:t xml:space="preserve"> </w:t>
            </w:r>
            <w:r w:rsidRPr="000E433B">
              <w:rPr>
                <w:i/>
                <w:sz w:val="20"/>
                <w:szCs w:val="20"/>
              </w:rPr>
              <w:t>toerability [sic] issues has been added to the 'Precautions' section in the PI.</w:t>
            </w:r>
          </w:p>
          <w:p w:rsidR="005C73FA" w:rsidRPr="000E433B" w:rsidRDefault="005C73FA" w:rsidP="000E433B">
            <w:pPr>
              <w:ind w:left="34" w:right="0"/>
              <w:rPr>
                <w:i/>
                <w:sz w:val="20"/>
                <w:szCs w:val="20"/>
              </w:rPr>
            </w:pPr>
            <w:r w:rsidRPr="000E433B">
              <w:rPr>
                <w:i/>
                <w:sz w:val="20"/>
                <w:szCs w:val="20"/>
              </w:rPr>
              <w:t>Based on post-marketing data no signals have arised for Fentora related to this risk.</w:t>
            </w:r>
          </w:p>
          <w:p w:rsidR="005C73FA" w:rsidRPr="000E433B" w:rsidRDefault="005C73FA" w:rsidP="000E433B">
            <w:pPr>
              <w:ind w:left="34" w:right="0"/>
              <w:rPr>
                <w:i/>
                <w:sz w:val="20"/>
                <w:szCs w:val="20"/>
              </w:rPr>
            </w:pPr>
            <w:r w:rsidRPr="000E433B">
              <w:rPr>
                <w:i/>
                <w:sz w:val="20"/>
                <w:szCs w:val="20"/>
              </w:rPr>
              <w:t>Therefore, it is considered that routine risk minimisation measures are sufficient for this risk and no additional risk min</w:t>
            </w:r>
            <w:r w:rsidR="00383ECD" w:rsidRPr="000E433B">
              <w:rPr>
                <w:i/>
                <w:sz w:val="20"/>
                <w:szCs w:val="20"/>
              </w:rPr>
              <w:t>i</w:t>
            </w:r>
            <w:r w:rsidRPr="000E433B">
              <w:rPr>
                <w:i/>
                <w:sz w:val="20"/>
                <w:szCs w:val="20"/>
              </w:rPr>
              <w:t>misation measures are warranted at this stage.’</w:t>
            </w:r>
          </w:p>
        </w:tc>
        <w:tc>
          <w:tcPr>
            <w:tcW w:w="1443" w:type="pct"/>
            <w:noWrap/>
          </w:tcPr>
          <w:p w:rsidR="005C73FA" w:rsidRPr="000E433B" w:rsidRDefault="005C73FA" w:rsidP="000E433B">
            <w:pPr>
              <w:ind w:left="54" w:right="0"/>
              <w:rPr>
                <w:sz w:val="20"/>
                <w:szCs w:val="20"/>
              </w:rPr>
            </w:pPr>
            <w:r w:rsidRPr="000E433B">
              <w:rPr>
                <w:sz w:val="20"/>
                <w:szCs w:val="20"/>
              </w:rPr>
              <w:t>This is considered acceptable in the context of this application.</w:t>
            </w:r>
          </w:p>
        </w:tc>
      </w:tr>
      <w:tr w:rsidR="005C73FA" w:rsidRPr="00541510" w:rsidTr="000E433B">
        <w:tc>
          <w:tcPr>
            <w:tcW w:w="1688" w:type="pct"/>
            <w:noWrap/>
          </w:tcPr>
          <w:p w:rsidR="005C73FA" w:rsidRPr="000E433B" w:rsidRDefault="005C73FA" w:rsidP="000E433B">
            <w:pPr>
              <w:ind w:left="0" w:right="0"/>
              <w:rPr>
                <w:rFonts w:cstheme="minorHAnsi"/>
                <w:sz w:val="20"/>
                <w:szCs w:val="20"/>
              </w:rPr>
            </w:pPr>
            <w:r w:rsidRPr="000E433B">
              <w:rPr>
                <w:rFonts w:cstheme="minorHAnsi"/>
                <w:sz w:val="20"/>
                <w:szCs w:val="20"/>
              </w:rPr>
              <w:t>The additional risk minimisation activity materials should be finalised before approval, and not developed post-approval. Furthermore, all materials shoul</w:t>
            </w:r>
            <w:r w:rsidR="00B143B7" w:rsidRPr="000E433B">
              <w:rPr>
                <w:rFonts w:cstheme="minorHAnsi"/>
                <w:sz w:val="20"/>
                <w:szCs w:val="20"/>
              </w:rPr>
              <w:t>d be annexed to an updated ASA.</w:t>
            </w:r>
          </w:p>
        </w:tc>
        <w:tc>
          <w:tcPr>
            <w:tcW w:w="1869" w:type="pct"/>
            <w:noWrap/>
          </w:tcPr>
          <w:p w:rsidR="005C73FA" w:rsidRPr="000E433B" w:rsidRDefault="005C73FA" w:rsidP="000E433B">
            <w:pPr>
              <w:ind w:left="34" w:right="0"/>
              <w:rPr>
                <w:i/>
                <w:sz w:val="20"/>
                <w:szCs w:val="20"/>
              </w:rPr>
            </w:pPr>
            <w:r w:rsidRPr="000E433B">
              <w:rPr>
                <w:i/>
                <w:sz w:val="20"/>
                <w:szCs w:val="20"/>
              </w:rPr>
              <w:t>‘Please find the updated ASA enclosed in Module 1.13.1’</w:t>
            </w:r>
          </w:p>
        </w:tc>
        <w:tc>
          <w:tcPr>
            <w:tcW w:w="1443" w:type="pct"/>
            <w:noWrap/>
          </w:tcPr>
          <w:p w:rsidR="005C73FA" w:rsidRPr="000E433B" w:rsidRDefault="005C73FA" w:rsidP="000E433B">
            <w:pPr>
              <w:ind w:left="54" w:right="0"/>
              <w:rPr>
                <w:sz w:val="20"/>
                <w:szCs w:val="20"/>
              </w:rPr>
            </w:pPr>
            <w:r w:rsidRPr="000E433B">
              <w:rPr>
                <w:sz w:val="20"/>
                <w:szCs w:val="20"/>
              </w:rPr>
              <w:t>The sponsor’s response has been noted. There are no definite objections to the provided materials.</w:t>
            </w:r>
          </w:p>
          <w:p w:rsidR="005C73FA" w:rsidRPr="000E433B" w:rsidRDefault="005C73FA" w:rsidP="000E433B">
            <w:pPr>
              <w:ind w:left="54" w:right="0"/>
              <w:rPr>
                <w:sz w:val="20"/>
                <w:szCs w:val="20"/>
              </w:rPr>
            </w:pPr>
            <w:r w:rsidRPr="000E433B">
              <w:rPr>
                <w:sz w:val="20"/>
                <w:szCs w:val="20"/>
              </w:rPr>
              <w:t>However, the sponsor should review the proposed materials for errors (including the use of trade names not proposed for Australia) and ensure internal consistency (</w:t>
            </w:r>
            <w:r w:rsidR="00383ECD" w:rsidRPr="000E433B">
              <w:rPr>
                <w:sz w:val="20"/>
                <w:szCs w:val="20"/>
              </w:rPr>
              <w:t>for example</w:t>
            </w:r>
            <w:r w:rsidRPr="000E433B">
              <w:rPr>
                <w:sz w:val="20"/>
                <w:szCs w:val="20"/>
              </w:rPr>
              <w:t xml:space="preserve">. the statement </w:t>
            </w:r>
            <w:r w:rsidRPr="000E433B">
              <w:rPr>
                <w:i/>
                <w:sz w:val="20"/>
                <w:szCs w:val="20"/>
              </w:rPr>
              <w:t xml:space="preserve">‘The educational material for patients shall consist of the following </w:t>
            </w:r>
            <w:r w:rsidRPr="000E433B">
              <w:rPr>
                <w:i/>
                <w:sz w:val="20"/>
                <w:szCs w:val="20"/>
                <w:u w:val="single"/>
              </w:rPr>
              <w:t>three</w:t>
            </w:r>
            <w:r w:rsidRPr="000E433B">
              <w:rPr>
                <w:i/>
                <w:sz w:val="20"/>
                <w:szCs w:val="20"/>
              </w:rPr>
              <w:t xml:space="preserve"> items’</w:t>
            </w:r>
            <w:r w:rsidRPr="000E433B">
              <w:rPr>
                <w:sz w:val="20"/>
                <w:szCs w:val="20"/>
              </w:rPr>
              <w:t xml:space="preserve"> is only followed by two items).</w:t>
            </w:r>
          </w:p>
        </w:tc>
      </w:tr>
    </w:tbl>
    <w:p w:rsidR="00383ECD" w:rsidRDefault="00383ECD" w:rsidP="000E433B">
      <w:pPr>
        <w:pStyle w:val="TableDescription"/>
        <w:rPr>
          <w:lang w:eastAsia="en-AU"/>
        </w:rPr>
      </w:pPr>
      <w:r>
        <w:rPr>
          <w:lang w:eastAsia="en-AU"/>
        </w:rPr>
        <w:t>CMI=consumer medicine information</w:t>
      </w:r>
    </w:p>
    <w:p w:rsidR="008E7846" w:rsidRDefault="008E7846" w:rsidP="005C4E39">
      <w:pPr>
        <w:pStyle w:val="Heading4"/>
        <w:rPr>
          <w:lang w:eastAsia="en-AU"/>
        </w:rPr>
      </w:pPr>
      <w:r>
        <w:rPr>
          <w:lang w:eastAsia="en-AU"/>
        </w:rPr>
        <w:t xml:space="preserve">Summary of </w:t>
      </w:r>
      <w:r w:rsidR="003A7F6C" w:rsidRPr="005C4E39">
        <w:t>r</w:t>
      </w:r>
      <w:r w:rsidRPr="005C4E39">
        <w:t>ecommendations</w:t>
      </w:r>
    </w:p>
    <w:p w:rsidR="005C73FA" w:rsidRPr="005C73FA" w:rsidRDefault="005C73FA" w:rsidP="00B143B7">
      <w:r w:rsidRPr="005C73FA">
        <w:t xml:space="preserve">It is considered that the sponsor’s response to the TGA s </w:t>
      </w:r>
      <w:r w:rsidR="00383ECD">
        <w:t>r</w:t>
      </w:r>
      <w:r w:rsidRPr="005C73FA">
        <w:t xml:space="preserve">equest </w:t>
      </w:r>
      <w:r w:rsidR="00383ECD">
        <w:t xml:space="preserve">for further information </w:t>
      </w:r>
      <w:r w:rsidRPr="005C73FA">
        <w:t>has adequately addressed most of the issues identified in the RMP evaluation report. There are outstanding issues.</w:t>
      </w:r>
    </w:p>
    <w:p w:rsidR="005C73FA" w:rsidRPr="004C7143" w:rsidRDefault="005C73FA" w:rsidP="00B143B7">
      <w:pPr>
        <w:pStyle w:val="Heading5"/>
      </w:pPr>
      <w:r w:rsidRPr="004C7143">
        <w:t>Summary of outstanding issues</w:t>
      </w:r>
    </w:p>
    <w:p w:rsidR="005C73FA" w:rsidRPr="00574D2A" w:rsidRDefault="005C73FA" w:rsidP="005C4E39">
      <w:pPr>
        <w:pStyle w:val="Heading6"/>
      </w:pPr>
      <w:r w:rsidRPr="00574D2A">
        <w:t xml:space="preserve">Recommendations in regard to </w:t>
      </w:r>
      <w:r>
        <w:t>content of the submission</w:t>
      </w:r>
    </w:p>
    <w:p w:rsidR="005C73FA" w:rsidRDefault="005C73FA" w:rsidP="00B143B7">
      <w:pPr>
        <w:pStyle w:val="Numberbullet0"/>
        <w:numPr>
          <w:ilvl w:val="0"/>
          <w:numId w:val="27"/>
        </w:numPr>
      </w:pPr>
      <w:r w:rsidRPr="005940AC">
        <w:t>The sponsor should review the proposed materials for errors (including the use of trade names not proposed for Australia</w:t>
      </w:r>
      <w:r>
        <w:t xml:space="preserve"> and ASA version labelling</w:t>
      </w:r>
      <w:r w:rsidRPr="005940AC">
        <w:t xml:space="preserve">) and ensure internal </w:t>
      </w:r>
      <w:r>
        <w:t xml:space="preserve">and external </w:t>
      </w:r>
      <w:r w:rsidRPr="005940AC">
        <w:t>consistency. It is noted that the dose titration flowchart contains the trade name ‘E</w:t>
      </w:r>
      <w:r w:rsidR="00383ECD">
        <w:t>ffentora</w:t>
      </w:r>
      <w:r w:rsidRPr="005940AC">
        <w:t>’ rather than ‘F</w:t>
      </w:r>
      <w:r w:rsidR="00383ECD">
        <w:t>entora</w:t>
      </w:r>
      <w:r w:rsidRPr="005940AC">
        <w:t>’ (the proposed trade name for Australia</w:t>
      </w:r>
      <w:r>
        <w:t>)</w:t>
      </w:r>
      <w:r w:rsidRPr="005940AC">
        <w:t>. The sponsor should amend this.</w:t>
      </w:r>
    </w:p>
    <w:p w:rsidR="005C73FA" w:rsidRPr="001507E2" w:rsidRDefault="005C73FA" w:rsidP="00B143B7">
      <w:pPr>
        <w:pStyle w:val="Heading6"/>
      </w:pPr>
      <w:r w:rsidRPr="004C7143">
        <w:lastRenderedPageBreak/>
        <w:t xml:space="preserve">Recommendations in regard to </w:t>
      </w:r>
      <w:r>
        <w:t>pharmacovigilance activities</w:t>
      </w:r>
    </w:p>
    <w:p w:rsidR="005C73FA" w:rsidRDefault="005C73FA" w:rsidP="00B143B7">
      <w:pPr>
        <w:pStyle w:val="Numberbullet0"/>
      </w:pPr>
      <w:r>
        <w:t>T</w:t>
      </w:r>
      <w:r w:rsidRPr="005940AC">
        <w:t>he sponsor should add the planned Canadian Drug Utilisation Study to the pharmacovigilance plan, update the ASA accordingly, and provide updates in PSURs, or, alternatively propose a Drug Utilisation Study to be conducted in Australia.</w:t>
      </w:r>
    </w:p>
    <w:p w:rsidR="005C73FA" w:rsidRPr="00574D2A" w:rsidRDefault="005C73FA" w:rsidP="00B143B7">
      <w:pPr>
        <w:pStyle w:val="Heading6"/>
      </w:pPr>
      <w:r w:rsidRPr="00574D2A">
        <w:t>Recommendations in regard to risk minimisation activities</w:t>
      </w:r>
    </w:p>
    <w:p w:rsidR="005C73FA" w:rsidRPr="006E2DE9" w:rsidRDefault="005C73FA" w:rsidP="00B143B7">
      <w:pPr>
        <w:pStyle w:val="Numberbullet0"/>
      </w:pPr>
      <w:r w:rsidRPr="006E2DE9">
        <w:t>The sponsor should ensure that any content to which the QR code links is in compliance with relevant legislation.</w:t>
      </w:r>
    </w:p>
    <w:p w:rsidR="005C73FA" w:rsidRPr="002321FA" w:rsidRDefault="005C73FA" w:rsidP="00B143B7">
      <w:pPr>
        <w:pStyle w:val="Numberbullet0"/>
      </w:pPr>
      <w:r w:rsidRPr="006E2DE9">
        <w:t>In the submitted RMP, the sponsor has not outlined how they plan to facilitate the systematic return of unused and used products (other than CMI pack inserts).</w:t>
      </w:r>
      <w:r>
        <w:t xml:space="preserve"> </w:t>
      </w:r>
      <w:r w:rsidRPr="006E2DE9">
        <w:t>Further details should be made available to outline how the sponsor proposes to facilitate the systematic return of unused and partially used products.</w:t>
      </w:r>
      <w:r>
        <w:t xml:space="preserve"> </w:t>
      </w:r>
      <w:r w:rsidRPr="006E2DE9">
        <w:t>This should be outlined in an amended ASA.</w:t>
      </w:r>
    </w:p>
    <w:p w:rsidR="005C73FA" w:rsidRPr="007C5855" w:rsidRDefault="005C4E39" w:rsidP="00B143B7">
      <w:pPr>
        <w:pStyle w:val="Heading5"/>
      </w:pPr>
      <w:r>
        <w:t>Key changes to the updated RMP</w:t>
      </w:r>
    </w:p>
    <w:p w:rsidR="005C73FA" w:rsidRDefault="005C73FA" w:rsidP="00B143B7">
      <w:r>
        <w:t xml:space="preserve">EU-RMP Version 3.0 (dated 19 June 2014, DLP 30 April </w:t>
      </w:r>
      <w:r w:rsidRPr="004F6DBF">
        <w:t>2014)</w:t>
      </w:r>
      <w:r>
        <w:t xml:space="preserve"> remains unchanged.</w:t>
      </w:r>
      <w:r w:rsidR="00383ECD">
        <w:t xml:space="preserve"> </w:t>
      </w:r>
      <w:r w:rsidRPr="004F6DBF">
        <w:t>Australian Specific Annex</w:t>
      </w:r>
      <w:r>
        <w:t xml:space="preserve"> Version 2.0 (dated June 2014)</w:t>
      </w:r>
      <w:r w:rsidR="00383ECD">
        <w:t xml:space="preserve"> </w:t>
      </w:r>
      <w:r>
        <w:t>has been superseded by:</w:t>
      </w:r>
      <w:r w:rsidR="00383ECD">
        <w:t xml:space="preserve"> </w:t>
      </w:r>
      <w:r w:rsidRPr="004F6DBF">
        <w:t>Australian Specific Annex V</w:t>
      </w:r>
      <w:r>
        <w:t xml:space="preserve">ersion 3 (dated September 2014) (but still labelled as </w:t>
      </w:r>
      <w:r w:rsidRPr="004F6DBF">
        <w:t>Australian Specific Annex</w:t>
      </w:r>
      <w:r>
        <w:t xml:space="preserve"> Version 2.0 (dated June 2014)).</w:t>
      </w:r>
    </w:p>
    <w:p w:rsidR="00383ECD" w:rsidRPr="00D13CC5" w:rsidRDefault="00383ECD" w:rsidP="00B143B7">
      <w:pPr>
        <w:pStyle w:val="TableTitle"/>
      </w:pPr>
      <w:r>
        <w:t>Table 1</w:t>
      </w:r>
      <w:r w:rsidR="00C16BC4">
        <w:t>3</w:t>
      </w:r>
      <w:r>
        <w:t>: Summary of key changes to ASA versions 2.0 and 3.0</w:t>
      </w:r>
    </w:p>
    <w:tbl>
      <w:tblPr>
        <w:tblStyle w:val="TableTGAblue"/>
        <w:tblW w:w="0" w:type="auto"/>
        <w:tblLook w:val="04A0" w:firstRow="1" w:lastRow="0" w:firstColumn="1" w:lastColumn="0" w:noHBand="0" w:noVBand="1"/>
      </w:tblPr>
      <w:tblGrid>
        <w:gridCol w:w="3510"/>
        <w:gridCol w:w="4287"/>
      </w:tblGrid>
      <w:tr w:rsidR="005C73FA" w:rsidRPr="00D13CC5" w:rsidTr="00B143B7">
        <w:trPr>
          <w:cnfStyle w:val="100000000000" w:firstRow="1" w:lastRow="0" w:firstColumn="0" w:lastColumn="0" w:oddVBand="0" w:evenVBand="0" w:oddHBand="0" w:evenHBand="0" w:firstRowFirstColumn="0" w:firstRowLastColumn="0" w:lastRowFirstColumn="0" w:lastRowLastColumn="0"/>
          <w:trHeight w:val="274"/>
        </w:trPr>
        <w:tc>
          <w:tcPr>
            <w:tcW w:w="7797" w:type="dxa"/>
            <w:gridSpan w:val="2"/>
          </w:tcPr>
          <w:p w:rsidR="005C73FA" w:rsidRPr="00441EC2" w:rsidRDefault="005C73FA" w:rsidP="00B143B7">
            <w:pPr>
              <w:ind w:left="0"/>
            </w:pPr>
            <w:r w:rsidRPr="00441EC2">
              <w:t>Summary of</w:t>
            </w:r>
            <w:r w:rsidR="00281C4E" w:rsidRPr="00441EC2">
              <w:t xml:space="preserve"> </w:t>
            </w:r>
            <w:r w:rsidRPr="00441EC2">
              <w:t>key changes between ASA Version 2.0 and ASA Version 3</w:t>
            </w:r>
          </w:p>
        </w:tc>
      </w:tr>
      <w:tr w:rsidR="005C73FA" w:rsidTr="00B143B7">
        <w:trPr>
          <w:trHeight w:val="270"/>
        </w:trPr>
        <w:tc>
          <w:tcPr>
            <w:tcW w:w="3510" w:type="dxa"/>
            <w:hideMark/>
          </w:tcPr>
          <w:p w:rsidR="005C73FA" w:rsidRPr="00B143B7" w:rsidRDefault="005C73FA" w:rsidP="00B143B7">
            <w:pPr>
              <w:ind w:left="0"/>
              <w:rPr>
                <w:b/>
              </w:rPr>
            </w:pPr>
            <w:r w:rsidRPr="00B143B7">
              <w:rPr>
                <w:b/>
              </w:rPr>
              <w:t>Safety specification</w:t>
            </w:r>
          </w:p>
        </w:tc>
        <w:tc>
          <w:tcPr>
            <w:tcW w:w="4287" w:type="dxa"/>
          </w:tcPr>
          <w:p w:rsidR="005C73FA" w:rsidRPr="00441EC2" w:rsidRDefault="005C73FA" w:rsidP="00B143B7">
            <w:pPr>
              <w:ind w:left="0"/>
              <w:rPr>
                <w:i/>
              </w:rPr>
            </w:pPr>
            <w:r w:rsidRPr="00B143B7">
              <w:t>No change</w:t>
            </w:r>
            <w:r w:rsidRPr="00441EC2">
              <w:rPr>
                <w:i/>
              </w:rPr>
              <w:t>.</w:t>
            </w:r>
          </w:p>
        </w:tc>
      </w:tr>
      <w:tr w:rsidR="005C73FA" w:rsidTr="00B143B7">
        <w:trPr>
          <w:trHeight w:val="524"/>
        </w:trPr>
        <w:tc>
          <w:tcPr>
            <w:tcW w:w="3510" w:type="dxa"/>
            <w:hideMark/>
          </w:tcPr>
          <w:p w:rsidR="005C73FA" w:rsidRPr="00B143B7" w:rsidRDefault="005C73FA" w:rsidP="00B143B7">
            <w:pPr>
              <w:ind w:left="0"/>
              <w:rPr>
                <w:b/>
              </w:rPr>
            </w:pPr>
            <w:r w:rsidRPr="00B143B7">
              <w:rPr>
                <w:b/>
              </w:rPr>
              <w:t>Pharmacovigilance activities</w:t>
            </w:r>
          </w:p>
        </w:tc>
        <w:tc>
          <w:tcPr>
            <w:tcW w:w="4287" w:type="dxa"/>
          </w:tcPr>
          <w:p w:rsidR="005C73FA" w:rsidRPr="00441EC2" w:rsidRDefault="005C73FA" w:rsidP="00B143B7">
            <w:pPr>
              <w:ind w:left="0"/>
            </w:pPr>
            <w:r w:rsidRPr="00441EC2">
              <w:t>PASS study (France) added.</w:t>
            </w:r>
          </w:p>
        </w:tc>
      </w:tr>
      <w:tr w:rsidR="005C73FA" w:rsidTr="00B143B7">
        <w:trPr>
          <w:trHeight w:val="524"/>
        </w:trPr>
        <w:tc>
          <w:tcPr>
            <w:tcW w:w="3510" w:type="dxa"/>
            <w:hideMark/>
          </w:tcPr>
          <w:p w:rsidR="005C73FA" w:rsidRPr="00B143B7" w:rsidRDefault="005C73FA" w:rsidP="00B143B7">
            <w:pPr>
              <w:ind w:left="0"/>
              <w:rPr>
                <w:b/>
              </w:rPr>
            </w:pPr>
            <w:r w:rsidRPr="00B143B7">
              <w:rPr>
                <w:b/>
              </w:rPr>
              <w:t>Risk minimisation activities</w:t>
            </w:r>
          </w:p>
        </w:tc>
        <w:tc>
          <w:tcPr>
            <w:tcW w:w="4287" w:type="dxa"/>
          </w:tcPr>
          <w:p w:rsidR="005C73FA" w:rsidRPr="00441EC2" w:rsidRDefault="005C73FA" w:rsidP="00B143B7">
            <w:pPr>
              <w:ind w:left="0"/>
            </w:pPr>
            <w:r w:rsidRPr="00441EC2">
              <w:t>Educational materials to HCPs and patients added.</w:t>
            </w:r>
          </w:p>
        </w:tc>
      </w:tr>
    </w:tbl>
    <w:p w:rsidR="005C73FA" w:rsidRPr="007C5855" w:rsidRDefault="005C73FA" w:rsidP="00B143B7">
      <w:pPr>
        <w:pStyle w:val="Heading5"/>
      </w:pPr>
      <w:r w:rsidRPr="007C5855">
        <w:t>Suggested wording</w:t>
      </w:r>
      <w:r w:rsidR="0018579F">
        <w:t xml:space="preserve"> for conditions of registration</w:t>
      </w:r>
    </w:p>
    <w:p w:rsidR="005C73FA" w:rsidRPr="00F77FF2" w:rsidRDefault="005C73FA" w:rsidP="00B143B7">
      <w:pPr>
        <w:pStyle w:val="Heading6"/>
      </w:pPr>
      <w:r w:rsidRPr="00F77FF2">
        <w:t>RMP</w:t>
      </w:r>
    </w:p>
    <w:p w:rsidR="005C73FA" w:rsidRPr="00A63185" w:rsidRDefault="005C73FA" w:rsidP="00B143B7">
      <w:r w:rsidRPr="00A63185">
        <w:t xml:space="preserve">Any changes </w:t>
      </w:r>
      <w:r>
        <w:t>to which the</w:t>
      </w:r>
      <w:r w:rsidRPr="00A63185">
        <w:t xml:space="preserve"> sponsor agreed become part of the </w:t>
      </w:r>
      <w:r>
        <w:t>risk management system</w:t>
      </w:r>
      <w:r w:rsidRPr="00A63185">
        <w:t>, whether they are included in the currently available version of the RMP document, or not included, inadvertently or otherwise.</w:t>
      </w:r>
    </w:p>
    <w:p w:rsidR="005C73FA" w:rsidRPr="00A63185" w:rsidRDefault="005C73FA" w:rsidP="00B143B7">
      <w:r>
        <w:t>The suggested wording</w:t>
      </w:r>
      <w:r w:rsidRPr="00A63185">
        <w:t xml:space="preserve"> is:</w:t>
      </w:r>
    </w:p>
    <w:p w:rsidR="005C73FA" w:rsidRDefault="005C73FA" w:rsidP="00383ECD">
      <w:pPr>
        <w:ind w:left="720"/>
      </w:pPr>
      <w:r w:rsidRPr="007C5855">
        <w:t>Implement</w:t>
      </w:r>
      <w:r>
        <w:t xml:space="preserve"> </w:t>
      </w:r>
      <w:r w:rsidRPr="002C7CA7">
        <w:t xml:space="preserve">EU-RMP Version 3.0 (dated 19 June 2014, DLP 30 April 2014) </w:t>
      </w:r>
      <w:r>
        <w:t xml:space="preserve">and </w:t>
      </w:r>
      <w:r w:rsidRPr="00AE59C6">
        <w:t>Australian Specific Annex V</w:t>
      </w:r>
      <w:r>
        <w:t>ersion 3 (dated September 2014)</w:t>
      </w:r>
      <w:r w:rsidR="00960E4B">
        <w:rPr>
          <w:rStyle w:val="FootnoteReference"/>
        </w:rPr>
        <w:footnoteReference w:id="26"/>
      </w:r>
      <w:r>
        <w:t xml:space="preserve">, and future updates, where approved by the TGA, as </w:t>
      </w:r>
      <w:r w:rsidR="00974CED">
        <w:t>a condition of registration.</w:t>
      </w:r>
    </w:p>
    <w:p w:rsidR="008E7846" w:rsidRPr="00792A32" w:rsidRDefault="008E7846" w:rsidP="005C4E39">
      <w:pPr>
        <w:pStyle w:val="Heading2"/>
        <w:pageBreakBefore/>
      </w:pPr>
      <w:bookmarkStart w:id="127" w:name="_Toc314842510"/>
      <w:bookmarkStart w:id="128" w:name="_Toc420586675"/>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6"/>
      <w:bookmarkEnd w:id="126"/>
      <w:bookmarkEnd w:id="127"/>
      <w:bookmarkEnd w:id="128"/>
    </w:p>
    <w:p w:rsidR="008E7846" w:rsidRDefault="008E7846" w:rsidP="00B143B7">
      <w:bookmarkStart w:id="12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B143B7">
      <w:pPr>
        <w:pStyle w:val="Heading3"/>
      </w:pPr>
      <w:bookmarkStart w:id="130" w:name="_Toc314842511"/>
      <w:bookmarkStart w:id="131" w:name="_Toc420586676"/>
      <w:r>
        <w:t>Quality</w:t>
      </w:r>
      <w:bookmarkEnd w:id="129"/>
      <w:bookmarkEnd w:id="130"/>
      <w:bookmarkEnd w:id="131"/>
    </w:p>
    <w:p w:rsidR="005B38FC" w:rsidRDefault="005B38FC" w:rsidP="00B143B7">
      <w:bookmarkStart w:id="132" w:name="_Toc314842512"/>
      <w:r>
        <w:t>The evaluator stated that:</w:t>
      </w:r>
    </w:p>
    <w:p w:rsidR="005B38FC" w:rsidRDefault="005B38FC" w:rsidP="00B143B7">
      <w:pPr>
        <w:pStyle w:val="ListBullet"/>
      </w:pPr>
      <w:r>
        <w:t>There are no objections to registration from a quality and biopharmaceutics perspective.</w:t>
      </w:r>
    </w:p>
    <w:p w:rsidR="008E7846" w:rsidRDefault="008E7846" w:rsidP="00B143B7">
      <w:pPr>
        <w:pStyle w:val="Heading3"/>
      </w:pPr>
      <w:bookmarkStart w:id="133" w:name="_Toc420586677"/>
      <w:r>
        <w:t>Nonclinical</w:t>
      </w:r>
      <w:bookmarkEnd w:id="132"/>
      <w:bookmarkEnd w:id="133"/>
    </w:p>
    <w:p w:rsidR="005B38FC" w:rsidRDefault="005B38FC" w:rsidP="00B143B7">
      <w:pPr>
        <w:pStyle w:val="ListBullet"/>
      </w:pPr>
      <w:r>
        <w:t>This evaluation did not raise any issues of concern regarding the use of F</w:t>
      </w:r>
      <w:r w:rsidR="00080107">
        <w:t>entora</w:t>
      </w:r>
      <w:r>
        <w:t xml:space="preserve"> for the proposed indication, and there no nonclinical objections to the registration of F</w:t>
      </w:r>
      <w:r w:rsidR="00080107">
        <w:t>entora</w:t>
      </w:r>
      <w:r>
        <w:t xml:space="preserve"> for the proposed indication.</w:t>
      </w:r>
    </w:p>
    <w:p w:rsidR="005B38FC" w:rsidRDefault="005B38FC" w:rsidP="00B143B7">
      <w:pPr>
        <w:pStyle w:val="ListBullet"/>
      </w:pPr>
      <w:r>
        <w:t xml:space="preserve">Given the limited nonclinical local tolerance data, it is important that adequate clinical monitoring of the buccal cavity during clinical development of </w:t>
      </w:r>
      <w:proofErr w:type="spellStart"/>
      <w:r>
        <w:t>F</w:t>
      </w:r>
      <w:r w:rsidR="00080107">
        <w:t>entora</w:t>
      </w:r>
      <w:proofErr w:type="spellEnd"/>
      <w:r w:rsidR="00080107">
        <w:t xml:space="preserve"> </w:t>
      </w:r>
      <w:r w:rsidR="0018579F">
        <w:t>has been conducted.</w:t>
      </w:r>
    </w:p>
    <w:p w:rsidR="005B38FC" w:rsidRDefault="00080107" w:rsidP="00B143B7">
      <w:pPr>
        <w:pStyle w:val="ListBullet"/>
      </w:pPr>
      <w:r>
        <w:t>The nonclinical evaluator also recommended amendments to t</w:t>
      </w:r>
      <w:r w:rsidR="005B38FC">
        <w:t>he draft Product Information</w:t>
      </w:r>
      <w:r>
        <w:t xml:space="preserve"> document.</w:t>
      </w:r>
    </w:p>
    <w:p w:rsidR="008E7846" w:rsidRDefault="005B38FC" w:rsidP="00B143B7">
      <w:r>
        <w:t xml:space="preserve">See </w:t>
      </w:r>
      <w:r w:rsidR="00080107">
        <w:t xml:space="preserve">also </w:t>
      </w:r>
      <w:proofErr w:type="gramStart"/>
      <w:r w:rsidRPr="005B38FC">
        <w:rPr>
          <w:i/>
        </w:rPr>
        <w:t>Nonclinical</w:t>
      </w:r>
      <w:proofErr w:type="gramEnd"/>
      <w:r w:rsidRPr="005B38FC">
        <w:rPr>
          <w:i/>
        </w:rPr>
        <w:t xml:space="preserve"> summary and conclusions</w:t>
      </w:r>
      <w:r>
        <w:t xml:space="preserve"> above for </w:t>
      </w:r>
      <w:r w:rsidR="00080107">
        <w:t xml:space="preserve">further </w:t>
      </w:r>
      <w:r>
        <w:t>details</w:t>
      </w:r>
      <w:r w:rsidR="00080107">
        <w:t xml:space="preserve"> of the nonclinical evaluation</w:t>
      </w:r>
      <w:r>
        <w:t>.</w:t>
      </w:r>
    </w:p>
    <w:p w:rsidR="008E7846" w:rsidRDefault="008E7846" w:rsidP="00B143B7">
      <w:pPr>
        <w:pStyle w:val="Heading3"/>
      </w:pPr>
      <w:bookmarkStart w:id="134" w:name="_Toc247691530"/>
      <w:bookmarkStart w:id="135" w:name="_Toc314842513"/>
      <w:bookmarkStart w:id="136" w:name="_Toc420586678"/>
      <w:r>
        <w:t>Clinical</w:t>
      </w:r>
      <w:bookmarkEnd w:id="134"/>
      <w:bookmarkEnd w:id="135"/>
      <w:bookmarkEnd w:id="136"/>
    </w:p>
    <w:p w:rsidR="005B38FC" w:rsidRPr="00080107" w:rsidRDefault="00080107" w:rsidP="00B143B7">
      <w:bookmarkStart w:id="137" w:name="_Toc314842514"/>
      <w:r>
        <w:t>The clinical evaluator noted that i</w:t>
      </w:r>
      <w:r w:rsidR="005B38FC" w:rsidRPr="00080107">
        <w:t>n the submission, several different names and abbreviations are used for the product intended to be marketed in Australia. Oravescent, which is used in many of the study reports, appears to be a trade name for the buccal effervescent fentanyl citrate tablet. It is also referred to as the fentanyl buccal tablet (FBT) and the fentanyl effervescent buccal tablet (FEBT) which are identical. In th</w:t>
      </w:r>
      <w:r>
        <w:t>e clinical</w:t>
      </w:r>
      <w:r w:rsidR="005B38FC" w:rsidRPr="00080107">
        <w:t xml:space="preserve"> evaluation report, the product is called Oravescent when that is used in the study reports and FEBT when no trade name is given.</w:t>
      </w:r>
    </w:p>
    <w:p w:rsidR="005B38FC" w:rsidRPr="00191CF3" w:rsidRDefault="005B38FC" w:rsidP="00B143B7">
      <w:pPr>
        <w:pStyle w:val="Heading4"/>
      </w:pPr>
      <w:r w:rsidRPr="00191CF3">
        <w:t>Pivotal</w:t>
      </w:r>
    </w:p>
    <w:p w:rsidR="005B38FC" w:rsidRPr="00114156" w:rsidRDefault="005B38FC" w:rsidP="00B143B7">
      <w:pPr>
        <w:pStyle w:val="Heading5"/>
      </w:pPr>
      <w:r w:rsidRPr="00114156">
        <w:t>Study 099-14</w:t>
      </w:r>
    </w:p>
    <w:p w:rsidR="005B38FC" w:rsidRDefault="00080107" w:rsidP="00B143B7">
      <w:r>
        <w:t>This was a do</w:t>
      </w:r>
      <w:r w:rsidR="005B38FC" w:rsidRPr="003F5ACA">
        <w:t>uble blind, randomised</w:t>
      </w:r>
      <w:r w:rsidR="005B38FC">
        <w:t>, placebo controlled study to determine the clinical efficacy of Oravescent fentanyl when used to relieve breakthrough pain (</w:t>
      </w:r>
      <w:r w:rsidR="005B38FC" w:rsidRPr="00080107">
        <w:t>BTP</w:t>
      </w:r>
      <w:r w:rsidR="005B38FC">
        <w:t>) in opioid tolerant patients with cancer who are receiving maintenance opioids.</w:t>
      </w:r>
    </w:p>
    <w:p w:rsidR="005B38FC" w:rsidRDefault="005B38FC" w:rsidP="00B143B7">
      <w:r>
        <w:t xml:space="preserve">For inclusion, </w:t>
      </w:r>
      <w:r w:rsidRPr="00987710">
        <w:t xml:space="preserve">male or female (non-childbearing potential) patients, at least 18 years old with a histologically documented diagnosis of a malignant solid tumour or a haematological malignancy causing cancer-related pain and </w:t>
      </w:r>
      <w:r w:rsidRPr="00C16BC4">
        <w:t xml:space="preserve">an </w:t>
      </w:r>
      <w:r w:rsidR="00C16BC4">
        <w:t>Eastern Cooperative Oncology group (</w:t>
      </w:r>
      <w:r w:rsidRPr="00C16BC4">
        <w:t>ECOG</w:t>
      </w:r>
      <w:r w:rsidR="00C16BC4">
        <w:t>)</w:t>
      </w:r>
      <w:r w:rsidRPr="00987710">
        <w:t xml:space="preserve"> status</w:t>
      </w:r>
      <w:r w:rsidR="00C16BC4">
        <w:rPr>
          <w:rStyle w:val="FootnoteReference"/>
        </w:rPr>
        <w:footnoteReference w:id="27"/>
      </w:r>
      <w:r w:rsidRPr="00987710">
        <w:t xml:space="preserve"> of ≤2; and who had been receiving 60</w:t>
      </w:r>
      <w:r w:rsidR="00080107">
        <w:t xml:space="preserve"> to </w:t>
      </w:r>
      <w:r w:rsidRPr="00987710">
        <w:t>100 mg of morphine/day or 50</w:t>
      </w:r>
      <w:r w:rsidR="00080107">
        <w:t xml:space="preserve"> to </w:t>
      </w:r>
      <w:r w:rsidRPr="00987710">
        <w:t xml:space="preserve">300 µg of transdermal fentanyl or an oral morphine equivalent </w:t>
      </w:r>
      <w:r w:rsidRPr="00987710">
        <w:lastRenderedPageBreak/>
        <w:t>dose for at least a week for cancer related pain and was experiencing on average, but not necessarily every day, 1</w:t>
      </w:r>
      <w:r w:rsidR="00080107">
        <w:t xml:space="preserve"> to </w:t>
      </w:r>
      <w:r w:rsidRPr="00987710">
        <w:t>4 episodes of BTP per day that were adequately controlled with a stable dose of standard rescue medication, typically a fast acting opioid</w:t>
      </w:r>
      <w:r>
        <w:t xml:space="preserve"> were eligible.</w:t>
      </w:r>
    </w:p>
    <w:p w:rsidR="005B38FC" w:rsidRDefault="005B38FC" w:rsidP="00B143B7">
      <w:r>
        <w:t>The study has an open-label dose titration component which enrolled 123 patients (mean age = 58 y</w:t>
      </w:r>
      <w:r w:rsidR="00080107">
        <w:t>ea</w:t>
      </w:r>
      <w:r>
        <w:t>rs, range 27 to 87 y</w:t>
      </w:r>
      <w:r w:rsidR="00080107">
        <w:t>ea</w:t>
      </w:r>
      <w:r>
        <w:t xml:space="preserve">rs.). In the open label phase of the study which lasted for 21 days, patients started titration with a single tablet of the lowest dosage strength of Oravescent fentanyl, 100µg, placed buccally to treat an episode of BTP. </w:t>
      </w:r>
      <w:r w:rsidRPr="00E2537B">
        <w:t>The patient treated each episode with an escalating dose until they achieved a successful dose which was defined as the dose strength that provided adequate analgesia (sufficient pain relief within 30 minutes after placing a single tablet of that dose strength in the buccal cavity for each of 2 consecutive episodes of BTP that occurred at least 4 hours apart) without unacceptable adverse events.</w:t>
      </w:r>
      <w:r>
        <w:t xml:space="preserve"> Two tablets each of 100</w:t>
      </w:r>
      <w:r w:rsidR="00080107">
        <w:t xml:space="preserve"> </w:t>
      </w:r>
      <w:r>
        <w:t>µg, 200</w:t>
      </w:r>
      <w:r w:rsidR="00080107">
        <w:t xml:space="preserve"> </w:t>
      </w:r>
      <w:r>
        <w:t>µg, 400</w:t>
      </w:r>
      <w:r w:rsidR="00080107">
        <w:t xml:space="preserve"> </w:t>
      </w:r>
      <w:r>
        <w:t>µg, 600</w:t>
      </w:r>
      <w:r w:rsidR="00080107">
        <w:t xml:space="preserve"> </w:t>
      </w:r>
      <w:r>
        <w:t>µg and 800</w:t>
      </w:r>
      <w:r w:rsidR="00080107">
        <w:t xml:space="preserve"> </w:t>
      </w:r>
      <w:r>
        <w:t>µg Oravescent fentanyl strengths were provided.</w:t>
      </w:r>
    </w:p>
    <w:p w:rsidR="005B38FC" w:rsidRPr="00962627" w:rsidRDefault="005B38FC" w:rsidP="00B143B7">
      <w:r>
        <w:t xml:space="preserve">Seventy two (72) patients were evaluable in the randomised double-blind treatment period of the study (up to 21 days). Patients received 10 blinded study drug treatments (7 Oravescent fentanyl tablets at the </w:t>
      </w:r>
      <w:r w:rsidRPr="00962627">
        <w:t>successful dose and 3 matching placebo tablets). During the double-blind treatment period of the study, patients served as their own controls by</w:t>
      </w:r>
      <w:r>
        <w:t xml:space="preserve"> the requirement to take all the 10 blinded study drug treatments. Patients were introduced to take </w:t>
      </w:r>
      <w:r w:rsidRPr="00962627">
        <w:t xml:space="preserve">only </w:t>
      </w:r>
      <w:r w:rsidR="00281C4E">
        <w:t>one</w:t>
      </w:r>
      <w:r w:rsidRPr="00962627">
        <w:t xml:space="preserve"> tablet of study drug for each BTP episode and not to administer additional study drug within 4 hours following any study drug administration. Patients were asked to refrain from using rescue medication for at least 30 minutes after study drug administration. All 10 doses were to be taken within a 21</w:t>
      </w:r>
      <w:r w:rsidR="00281C4E">
        <w:t xml:space="preserve"> </w:t>
      </w:r>
      <w:r w:rsidRPr="00962627">
        <w:t>day period.</w:t>
      </w:r>
    </w:p>
    <w:p w:rsidR="005B38FC" w:rsidRDefault="005B38FC" w:rsidP="00B143B7">
      <w:r w:rsidRPr="00962627">
        <w:t xml:space="preserve">The rescue medication was not specified but was described as the </w:t>
      </w:r>
      <w:r w:rsidR="00881D57">
        <w:t>‘</w:t>
      </w:r>
      <w:r w:rsidRPr="00962627">
        <w:t>patient’s standard rescue medication</w:t>
      </w:r>
      <w:r w:rsidR="00881D57">
        <w:t>’</w:t>
      </w:r>
      <w:r w:rsidRPr="00962627">
        <w:t>. The rescue medication used included oxycodone/acetaminophen (24%), hydrocodone/acetaminophen (21%), morphine (17%) and hydromorphone 11%).</w:t>
      </w:r>
    </w:p>
    <w:p w:rsidR="005B38FC" w:rsidRPr="00281C4E" w:rsidRDefault="005B38FC" w:rsidP="00B143B7">
      <w:r w:rsidRPr="00281C4E">
        <w:t xml:space="preserve">The </w:t>
      </w:r>
      <w:r w:rsidRPr="00281C4E">
        <w:rPr>
          <w:i/>
        </w:rPr>
        <w:t>primary efficacy outcome</w:t>
      </w:r>
      <w:r w:rsidRPr="00281C4E">
        <w:t xml:space="preserve"> was the SPID through 30 minutes after the start of administration of study drug used for an episode of BTP during the double blind period (SPID</w:t>
      </w:r>
      <w:r w:rsidRPr="00281C4E">
        <w:rPr>
          <w:sz w:val="16"/>
          <w:szCs w:val="16"/>
        </w:rPr>
        <w:t>30</w:t>
      </w:r>
      <w:r w:rsidRPr="00281C4E">
        <w:t>).</w:t>
      </w:r>
    </w:p>
    <w:p w:rsidR="005B38FC" w:rsidRPr="00281C4E" w:rsidRDefault="005B38FC" w:rsidP="00281C4E">
      <w:r w:rsidRPr="00281C4E">
        <w:t>SPID</w:t>
      </w:r>
      <w:r w:rsidRPr="00281C4E">
        <w:rPr>
          <w:sz w:val="16"/>
          <w:szCs w:val="16"/>
        </w:rPr>
        <w:t>30</w:t>
      </w:r>
      <w:r w:rsidRPr="00281C4E">
        <w:t xml:space="preserve"> was calculated as the sum of the PID at both 15 and 30 minutes after administration of study drug for each BTP episode as follows: SPID</w:t>
      </w:r>
      <w:r w:rsidRPr="00281C4E">
        <w:rPr>
          <w:sz w:val="16"/>
          <w:szCs w:val="16"/>
        </w:rPr>
        <w:t xml:space="preserve">30 </w:t>
      </w:r>
      <w:r w:rsidRPr="00281C4E">
        <w:t>= PID</w:t>
      </w:r>
      <w:r w:rsidRPr="00281C4E">
        <w:rPr>
          <w:sz w:val="16"/>
          <w:szCs w:val="16"/>
        </w:rPr>
        <w:t>15</w:t>
      </w:r>
      <w:r w:rsidRPr="00281C4E">
        <w:t>+PID</w:t>
      </w:r>
      <w:r w:rsidRPr="00281C4E">
        <w:rPr>
          <w:sz w:val="16"/>
          <w:szCs w:val="16"/>
        </w:rPr>
        <w:t>30</w:t>
      </w:r>
      <w:r w:rsidRPr="00281C4E">
        <w:t>.</w:t>
      </w:r>
    </w:p>
    <w:p w:rsidR="005B38FC" w:rsidRPr="00281C4E" w:rsidRDefault="005B38FC" w:rsidP="00B143B7">
      <w:r w:rsidRPr="00281C4E">
        <w:rPr>
          <w:i/>
        </w:rPr>
        <w:t>Other efficacy</w:t>
      </w:r>
      <w:r w:rsidRPr="00281C4E">
        <w:t xml:space="preserve"> outcomes included:</w:t>
      </w:r>
    </w:p>
    <w:p w:rsidR="005B38FC" w:rsidRPr="00962627" w:rsidRDefault="005B38FC" w:rsidP="00B143B7">
      <w:pPr>
        <w:pStyle w:val="ListBullet"/>
      </w:pPr>
      <w:r w:rsidRPr="00962627">
        <w:t>SPID at each additional time point</w:t>
      </w:r>
      <w:r w:rsidR="00281C4E">
        <w:t>:</w:t>
      </w:r>
      <w:r w:rsidRPr="00962627">
        <w:t xml:space="preserve"> SPID</w:t>
      </w:r>
      <w:r w:rsidRPr="00D51EBA">
        <w:rPr>
          <w:sz w:val="16"/>
          <w:szCs w:val="16"/>
        </w:rPr>
        <w:t>15</w:t>
      </w:r>
      <w:r w:rsidRPr="00962627">
        <w:t>, SPID</w:t>
      </w:r>
      <w:r w:rsidRPr="00D51EBA">
        <w:rPr>
          <w:sz w:val="16"/>
          <w:szCs w:val="16"/>
        </w:rPr>
        <w:t>45</w:t>
      </w:r>
      <w:r w:rsidRPr="00962627">
        <w:t xml:space="preserve"> and SPID</w:t>
      </w:r>
      <w:r w:rsidRPr="00D51EBA">
        <w:rPr>
          <w:sz w:val="16"/>
          <w:szCs w:val="16"/>
        </w:rPr>
        <w:t>60</w:t>
      </w:r>
    </w:p>
    <w:p w:rsidR="005B38FC" w:rsidRPr="00962627" w:rsidRDefault="005B38FC" w:rsidP="005C4E39">
      <w:pPr>
        <w:pStyle w:val="ListBullet"/>
      </w:pPr>
      <w:r w:rsidRPr="00962627">
        <w:t xml:space="preserve">Pain </w:t>
      </w:r>
      <w:r w:rsidRPr="005C4E39">
        <w:t>intensity</w:t>
      </w:r>
      <w:r w:rsidRPr="00962627">
        <w:t xml:space="preserve"> difference (PID) value at each time point</w:t>
      </w:r>
      <w:r w:rsidR="00281C4E">
        <w:t>:</w:t>
      </w:r>
      <w:r w:rsidRPr="00962627">
        <w:t>- PID</w:t>
      </w:r>
      <w:r w:rsidRPr="00D51EBA">
        <w:rPr>
          <w:sz w:val="16"/>
          <w:szCs w:val="16"/>
        </w:rPr>
        <w:t>15</w:t>
      </w:r>
      <w:r w:rsidRPr="00962627">
        <w:t>, PID</w:t>
      </w:r>
      <w:r w:rsidRPr="00D51EBA">
        <w:rPr>
          <w:sz w:val="16"/>
          <w:szCs w:val="16"/>
        </w:rPr>
        <w:t>30</w:t>
      </w:r>
      <w:r w:rsidRPr="00962627">
        <w:t>, PID</w:t>
      </w:r>
      <w:r w:rsidRPr="00D51EBA">
        <w:rPr>
          <w:sz w:val="16"/>
          <w:szCs w:val="16"/>
        </w:rPr>
        <w:t>45</w:t>
      </w:r>
      <w:r w:rsidRPr="00962627">
        <w:t>, PID</w:t>
      </w:r>
      <w:r w:rsidRPr="00D51EBA">
        <w:rPr>
          <w:sz w:val="16"/>
          <w:szCs w:val="16"/>
        </w:rPr>
        <w:t>60</w:t>
      </w:r>
    </w:p>
    <w:p w:rsidR="005B38FC" w:rsidRPr="00962627" w:rsidRDefault="005B38FC" w:rsidP="00B143B7">
      <w:pPr>
        <w:pStyle w:val="ListBullet"/>
      </w:pPr>
      <w:r w:rsidRPr="00962627">
        <w:t>Pain relief (PR) score at each time point</w:t>
      </w:r>
      <w:r w:rsidR="00281C4E">
        <w:t>:</w:t>
      </w:r>
      <w:r w:rsidRPr="00962627">
        <w:t xml:space="preserve"> PR</w:t>
      </w:r>
      <w:r w:rsidRPr="00D51EBA">
        <w:rPr>
          <w:sz w:val="16"/>
          <w:szCs w:val="16"/>
        </w:rPr>
        <w:t>15</w:t>
      </w:r>
      <w:r w:rsidRPr="00962627">
        <w:t>, PR</w:t>
      </w:r>
      <w:r w:rsidRPr="00D51EBA">
        <w:rPr>
          <w:sz w:val="16"/>
          <w:szCs w:val="16"/>
        </w:rPr>
        <w:t>30</w:t>
      </w:r>
      <w:r w:rsidRPr="00962627">
        <w:t>, PR</w:t>
      </w:r>
      <w:r w:rsidRPr="00D51EBA">
        <w:rPr>
          <w:sz w:val="16"/>
          <w:szCs w:val="16"/>
        </w:rPr>
        <w:t>45</w:t>
      </w:r>
      <w:r w:rsidRPr="00962627">
        <w:t>, PR</w:t>
      </w:r>
      <w:r w:rsidRPr="00D51EBA">
        <w:rPr>
          <w:sz w:val="16"/>
          <w:szCs w:val="16"/>
        </w:rPr>
        <w:t>60</w:t>
      </w:r>
    </w:p>
    <w:p w:rsidR="005B38FC" w:rsidRPr="00962627" w:rsidRDefault="005B38FC" w:rsidP="00B143B7">
      <w:pPr>
        <w:pStyle w:val="ListBullet"/>
      </w:pPr>
      <w:r w:rsidRPr="00962627">
        <w:t>Total PR (TOTPAR) value at each time point</w:t>
      </w:r>
      <w:r w:rsidR="00281C4E">
        <w:t>:</w:t>
      </w:r>
      <w:r w:rsidRPr="00962627">
        <w:t xml:space="preserve"> TOTPAR</w:t>
      </w:r>
      <w:r w:rsidRPr="00554768">
        <w:rPr>
          <w:sz w:val="16"/>
          <w:szCs w:val="16"/>
        </w:rPr>
        <w:t>15</w:t>
      </w:r>
      <w:r w:rsidRPr="00962627">
        <w:t>, TOTPAR</w:t>
      </w:r>
      <w:r w:rsidRPr="00554768">
        <w:rPr>
          <w:sz w:val="16"/>
          <w:szCs w:val="16"/>
        </w:rPr>
        <w:t>30</w:t>
      </w:r>
      <w:r w:rsidRPr="00962627">
        <w:t>, TOTPAR</w:t>
      </w:r>
      <w:r w:rsidRPr="00554768">
        <w:rPr>
          <w:sz w:val="16"/>
          <w:szCs w:val="16"/>
        </w:rPr>
        <w:t>45</w:t>
      </w:r>
      <w:r w:rsidRPr="00962627">
        <w:t>, TOTPAR</w:t>
      </w:r>
      <w:r w:rsidRPr="00554768">
        <w:rPr>
          <w:sz w:val="16"/>
          <w:szCs w:val="16"/>
        </w:rPr>
        <w:t>60</w:t>
      </w:r>
    </w:p>
    <w:p w:rsidR="005B38FC" w:rsidRPr="00962627" w:rsidRDefault="005B38FC" w:rsidP="00B143B7">
      <w:pPr>
        <w:pStyle w:val="ListBullet"/>
      </w:pPr>
      <w:r w:rsidRPr="00962627">
        <w:t xml:space="preserve">Global medication performance assessment </w:t>
      </w:r>
      <w:r>
        <w:t xml:space="preserve">at </w:t>
      </w:r>
      <w:r w:rsidRPr="00962627">
        <w:t>30 and 60 minutes after administration of study drug</w:t>
      </w:r>
    </w:p>
    <w:p w:rsidR="005B38FC" w:rsidRDefault="005B38FC" w:rsidP="00B143B7">
      <w:pPr>
        <w:pStyle w:val="ListBullet"/>
      </w:pPr>
      <w:r w:rsidRPr="00962627">
        <w:t>Proportion of BTP episodes for which rescue medication was used, time from start of administration of study drug to use of rescue medication and relative risk of requiring rescue medication</w:t>
      </w:r>
      <w:r>
        <w:t>.</w:t>
      </w:r>
    </w:p>
    <w:p w:rsidR="005B38FC" w:rsidRPr="00EF7EED" w:rsidRDefault="005B38FC" w:rsidP="00B143B7">
      <w:r w:rsidRPr="00281C4E">
        <w:rPr>
          <w:i/>
        </w:rPr>
        <w:t>Note</w:t>
      </w:r>
      <w:r w:rsidR="00281C4E">
        <w:rPr>
          <w:i/>
        </w:rPr>
        <w:t>:</w:t>
      </w:r>
      <w:r>
        <w:t xml:space="preserve"> The PID and SPID were based on patients’ visual analogue scales [1 (no pain) </w:t>
      </w:r>
      <w:r w:rsidR="00281C4E">
        <w:t xml:space="preserve">to </w:t>
      </w:r>
      <w:r>
        <w:t>10 (worst pain)] via patients’ pain intensity (PI) of each BTP episode before taking study drug and at 15, 30, 45 and 60 minutes after study drug administration.</w:t>
      </w:r>
      <w:r w:rsidR="00281C4E">
        <w:t xml:space="preserve"> </w:t>
      </w:r>
      <w:r>
        <w:t xml:space="preserve">A PID was calculated for each of the time points </w:t>
      </w:r>
      <w:r w:rsidRPr="00EF7EED">
        <w:t>after administration of study drug by subtracting the PI at 15, 30, 45, and 60 minutes after administration of study drug from the PI at 0 minutes (PID</w:t>
      </w:r>
      <w:r w:rsidRPr="00D472CB">
        <w:rPr>
          <w:sz w:val="16"/>
          <w:szCs w:val="16"/>
        </w:rPr>
        <w:t>15</w:t>
      </w:r>
      <w:r w:rsidRPr="00EF7EED">
        <w:t>, PID</w:t>
      </w:r>
      <w:r w:rsidRPr="00D472CB">
        <w:rPr>
          <w:sz w:val="16"/>
          <w:szCs w:val="16"/>
        </w:rPr>
        <w:t>30</w:t>
      </w:r>
      <w:r w:rsidRPr="00EF7EED">
        <w:t>, PID</w:t>
      </w:r>
      <w:r w:rsidRPr="00D472CB">
        <w:rPr>
          <w:sz w:val="16"/>
          <w:szCs w:val="16"/>
        </w:rPr>
        <w:t>45</w:t>
      </w:r>
      <w:r w:rsidRPr="00EF7EED">
        <w:t>, and PID</w:t>
      </w:r>
      <w:r w:rsidRPr="00D472CB">
        <w:rPr>
          <w:sz w:val="16"/>
          <w:szCs w:val="16"/>
        </w:rPr>
        <w:t>60</w:t>
      </w:r>
      <w:r w:rsidRPr="00EF7EED">
        <w:t>, respectively).</w:t>
      </w:r>
    </w:p>
    <w:p w:rsidR="005B38FC" w:rsidRPr="00EF7EED" w:rsidRDefault="005B38FC" w:rsidP="00B143B7">
      <w:r w:rsidRPr="00EF7EED">
        <w:lastRenderedPageBreak/>
        <w:t>Patients rated PR at 15, 30, 45, and 60 minutes after administration of study drug using a 5-point visual scale (0=none, 1=slight, 2=moderate, 3=lots, 4=complete).</w:t>
      </w:r>
    </w:p>
    <w:p w:rsidR="005B38FC" w:rsidRPr="00EF7EED" w:rsidRDefault="005B38FC" w:rsidP="00B143B7">
      <w:r w:rsidRPr="00EF7EED">
        <w:t>TOTPAR was derived from PR scores. TOTPAR was calculated for each episode as the sum of PR scores at each quarter-hour assessment of PR until 60 minutes after administration of study drug, as follows: TOTPARi=TOTPARi-</w:t>
      </w:r>
      <w:r w:rsidRPr="001F3EC2">
        <w:rPr>
          <w:sz w:val="16"/>
          <w:szCs w:val="16"/>
        </w:rPr>
        <w:t>15</w:t>
      </w:r>
      <w:r w:rsidRPr="00EF7EED">
        <w:t>+PRi, where i=</w:t>
      </w:r>
      <w:r w:rsidRPr="001F3EC2">
        <w:rPr>
          <w:sz w:val="16"/>
          <w:szCs w:val="16"/>
        </w:rPr>
        <w:t>30</w:t>
      </w:r>
      <w:r w:rsidRPr="00EF7EED">
        <w:t>, 45, and 60, and TOTPAR</w:t>
      </w:r>
      <w:r w:rsidRPr="001F3EC2">
        <w:rPr>
          <w:sz w:val="16"/>
          <w:szCs w:val="16"/>
        </w:rPr>
        <w:t>15</w:t>
      </w:r>
      <w:r w:rsidRPr="00EF7EED">
        <w:t>=PR</w:t>
      </w:r>
      <w:r w:rsidRPr="001F3EC2">
        <w:rPr>
          <w:sz w:val="16"/>
          <w:szCs w:val="16"/>
        </w:rPr>
        <w:t>15</w:t>
      </w:r>
      <w:r w:rsidRPr="00EF7EED">
        <w:t>.</w:t>
      </w:r>
    </w:p>
    <w:p w:rsidR="005B38FC" w:rsidRDefault="005B38FC" w:rsidP="00B143B7">
      <w:r w:rsidRPr="00EF7EED">
        <w:t>A patient global medication performance assessment (0=poor, 1=fair, 2=good, 3=very good, 4=excellent) was also made at 30 and 60 minutes after administration of study drug.</w:t>
      </w:r>
    </w:p>
    <w:p w:rsidR="005B38FC" w:rsidRDefault="005B38FC" w:rsidP="00B143B7">
      <w:r w:rsidRPr="00281C4E">
        <w:rPr>
          <w:i/>
        </w:rPr>
        <w:t>Analyses</w:t>
      </w:r>
      <w:r w:rsidR="00281C4E" w:rsidRPr="00281C4E">
        <w:t xml:space="preserve"> included: Intent-</w:t>
      </w:r>
      <w:r w:rsidRPr="00281C4E">
        <w:t>to</w:t>
      </w:r>
      <w:r w:rsidR="00281C4E" w:rsidRPr="00281C4E">
        <w:t>-</w:t>
      </w:r>
      <w:r w:rsidRPr="00281C4E">
        <w:t xml:space="preserve">treat (ITT), modified ITT and evaluate sets. For sample size, </w:t>
      </w:r>
      <w:r>
        <w:t>estimation was based on approximately 63 patients to evaluate efficacy during the double blind period. This would provide over 95% power to detect a treatment difference of 1.4 between study drug and placebo in the primary efficacy variable, SPID</w:t>
      </w:r>
      <w:r w:rsidRPr="00EF7EED">
        <w:rPr>
          <w:sz w:val="14"/>
        </w:rPr>
        <w:t>30</w:t>
      </w:r>
      <w:r>
        <w:t>, with a standard deviation of the within-patient difference not exceeding 3.00.</w:t>
      </w:r>
    </w:p>
    <w:p w:rsidR="005B38FC" w:rsidRDefault="005B38FC" w:rsidP="00B143B7">
      <w:r>
        <w:t xml:space="preserve">The primary efficacy outcome was tested using an </w:t>
      </w:r>
      <w:r w:rsidRPr="00AB6EB8">
        <w:t xml:space="preserve">analysis of variance (ANOVA) with treatment and centre as fixed effects and patient as a random effect. The statistical test was two-tailed using α=0.05. The consistency of treatment effects over different centres was evaluated by a separate ANOVA with treatment, centre, patient and treatment-by-centre as factors. If there was evidence of a treatment-by-centre interaction (p-value </w:t>
      </w:r>
      <w:r w:rsidR="00281C4E">
        <w:t>≤</w:t>
      </w:r>
      <w:r w:rsidRPr="00AB6EB8">
        <w:t>0.10), a descriptive summary of treatment differences for each centre was used to identify the nature of the interaction and the data were analysed as appropriate. In this case, the p-value reported was from a model with the interaction term included. The final model for the primary efficacy analysis was also the model for the secondary variables SPID and TOTPAR. No separate treatment by covariate interaction or treatment-by-centre interaction was tested for any of these secondary variables. A one-sample Wilcoxon signed rank test was used for the analyses of the secondary variables PID, PR score and global medication performance assessment. All statistical testing was two-tailed using α=0.05.</w:t>
      </w:r>
    </w:p>
    <w:p w:rsidR="005B38FC" w:rsidRPr="000564A5" w:rsidRDefault="005B38FC" w:rsidP="00B143B7">
      <w:pPr>
        <w:pStyle w:val="Heading5"/>
      </w:pPr>
      <w:r w:rsidRPr="000564A5">
        <w:t>Study C25608/3039/BP/US</w:t>
      </w:r>
    </w:p>
    <w:p w:rsidR="005B38FC" w:rsidRDefault="005B38FC" w:rsidP="00B143B7">
      <w:r>
        <w:t xml:space="preserve">Double blind, randomised, placebo controlled study to evaluate the efficacy, safety and tolerability of Oravescent fentanyl citrate in opioid tolerant patients with cancer and breakthrough pain. As in </w:t>
      </w:r>
      <w:r w:rsidRPr="000D00A9">
        <w:rPr>
          <w:i/>
        </w:rPr>
        <w:t>Study 099-14</w:t>
      </w:r>
      <w:r>
        <w:t xml:space="preserve">, there was an initial open label titration period and similar inclusion criteria: </w:t>
      </w:r>
      <w:r w:rsidRPr="00AB6EB8">
        <w:t xml:space="preserve">male and female (non-childbearing potential) </w:t>
      </w:r>
      <w:r>
        <w:t>patients,</w:t>
      </w:r>
      <w:r w:rsidRPr="00AB6EB8">
        <w:t xml:space="preserve"> aged 18 to 80 years who had histologically documented diagnosis of malignant solid tumour or a haematological malignancy causing cancer related pain. Patients had to be opioid tolerant with an average PI score, over the prior 24 hours, of &lt;7 (on 10 point scales) for their persistent cancer pain and were experiencing, on average 1 to 4 BTP episodes per day while taking ATC opioid therapy and obtained at least partial relief from rescue opioid therapy. Patients had a life expectancy of at least 2 months.</w:t>
      </w:r>
    </w:p>
    <w:p w:rsidR="005B38FC" w:rsidRDefault="005B38FC" w:rsidP="00B143B7">
      <w:r>
        <w:t>There were 129 patients (mean age 54.9 y</w:t>
      </w:r>
      <w:r w:rsidR="00281C4E">
        <w:t>ea</w:t>
      </w:r>
      <w:r>
        <w:t xml:space="preserve">rs, range 29 </w:t>
      </w:r>
      <w:r w:rsidR="00281C4E">
        <w:t>to</w:t>
      </w:r>
      <w:r>
        <w:t xml:space="preserve"> 79 y</w:t>
      </w:r>
      <w:r w:rsidR="00281C4E">
        <w:t>ea</w:t>
      </w:r>
      <w:r>
        <w:t>rs.) in the open label phase of the study and 75 patients completed the double blind treatment phase and as in Study 099-14, the patients were randomised to a sequence of 10 blinded study drug treatments (7 Oravescent fentanyl tablets at the successful dose and 3 matching placebo tablets in a prespecified sequence).</w:t>
      </w:r>
    </w:p>
    <w:p w:rsidR="005B38FC" w:rsidRDefault="005B38FC" w:rsidP="00B143B7">
      <w:r>
        <w:t>The analgesics used most commonly as rescue medication were</w:t>
      </w:r>
      <w:r w:rsidR="00281C4E">
        <w:t xml:space="preserve"> </w:t>
      </w:r>
      <w:r>
        <w:t xml:space="preserve">oxycodone/acetaminophen (31 patients, 25%), hydrocodone/acetaminophen </w:t>
      </w:r>
      <w:r w:rsidRPr="00CA546D">
        <w:t>(25 patients, 20%), and oxycodone (23 patients, 18%). At baseline, the mean oral morphine equivalent dose per day taken as ATC medication was 279.2 mg (range 60 to 3198 mg), and the mean oral morphine equivalent dose per day taken as rescue medication for BTP was 24.7 mg (range 4 to 480 mg) per episode.</w:t>
      </w:r>
    </w:p>
    <w:p w:rsidR="005B38FC" w:rsidRPr="00CA546D" w:rsidRDefault="005B38FC" w:rsidP="00B143B7">
      <w:r w:rsidRPr="00281C4E">
        <w:t xml:space="preserve">The </w:t>
      </w:r>
      <w:r w:rsidRPr="00281C4E">
        <w:rPr>
          <w:i/>
        </w:rPr>
        <w:t>primary efficacy outcome</w:t>
      </w:r>
      <w:r w:rsidRPr="00281C4E">
        <w:t xml:space="preserve"> was the SPID</w:t>
      </w:r>
      <w:r w:rsidRPr="00281C4E">
        <w:rPr>
          <w:sz w:val="16"/>
          <w:szCs w:val="16"/>
        </w:rPr>
        <w:t>60</w:t>
      </w:r>
      <w:r w:rsidRPr="00281C4E">
        <w:t xml:space="preserve"> for each BTP episode during the double-</w:t>
      </w:r>
      <w:r w:rsidRPr="00CA546D">
        <w:t>blind treatment period.</w:t>
      </w:r>
    </w:p>
    <w:p w:rsidR="005B38FC" w:rsidRPr="00CA546D" w:rsidRDefault="005B38FC" w:rsidP="00B143B7">
      <w:r w:rsidRPr="00CA546D">
        <w:lastRenderedPageBreak/>
        <w:t>The SPID</w:t>
      </w:r>
      <w:r w:rsidRPr="0005558B">
        <w:rPr>
          <w:sz w:val="16"/>
          <w:szCs w:val="16"/>
        </w:rPr>
        <w:t>60</w:t>
      </w:r>
      <w:r w:rsidRPr="00CA546D">
        <w:t xml:space="preserve"> was calculated using the data collected on the patient’s diary and was derived from the time-weighted sum of the PID scores recorded </w:t>
      </w:r>
      <w:r>
        <w:t xml:space="preserve">at </w:t>
      </w:r>
      <w:r w:rsidRPr="00CA546D">
        <w:t>5, 10, 15, 30, 45, and 60 minutes after th</w:t>
      </w:r>
      <w:r w:rsidR="00527411">
        <w:t>e administration of study drug.</w:t>
      </w:r>
    </w:p>
    <w:p w:rsidR="005B38FC" w:rsidRPr="00CA546D" w:rsidRDefault="005B38FC" w:rsidP="00B143B7">
      <w:r w:rsidRPr="00CA546D">
        <w:t>PI scores were assessed by the patient on an 11</w:t>
      </w:r>
      <w:r w:rsidR="00372BFF">
        <w:t xml:space="preserve"> </w:t>
      </w:r>
      <w:r w:rsidRPr="00CA546D">
        <w:t xml:space="preserve">point numerical rating scale </w:t>
      </w:r>
      <w:r w:rsidR="00372BFF">
        <w:t>(</w:t>
      </w:r>
      <w:r w:rsidRPr="00CA546D">
        <w:t>0=no pain to 10=worst pain</w:t>
      </w:r>
      <w:r w:rsidR="00372BFF">
        <w:t>)</w:t>
      </w:r>
      <w:r w:rsidRPr="00CA546D">
        <w:t xml:space="preserve"> immediately prior to the administration of study drug and </w:t>
      </w:r>
      <w:r>
        <w:t xml:space="preserve">at </w:t>
      </w:r>
      <w:r w:rsidRPr="00CA546D">
        <w:t>5, 10, 15, 30, 45 and 60 minutes after the administration of study drug for each episode of BTP and were recorded in the patient’s electronic diary.</w:t>
      </w:r>
    </w:p>
    <w:p w:rsidR="005B38FC" w:rsidRDefault="005B38FC" w:rsidP="00B143B7">
      <w:r w:rsidRPr="00CA546D">
        <w:t xml:space="preserve">The PID is the difference between the PI scores immediately prior to and </w:t>
      </w:r>
      <w:r>
        <w:t xml:space="preserve">at </w:t>
      </w:r>
      <w:r w:rsidRPr="00CA546D">
        <w:t>5, 10, 15, 30, 45 and 60 minutes after the administration of study drug.</w:t>
      </w:r>
    </w:p>
    <w:p w:rsidR="005B38FC" w:rsidRPr="00372BFF" w:rsidRDefault="005B38FC" w:rsidP="00EE3657">
      <w:pPr>
        <w:pStyle w:val="Heading6"/>
      </w:pPr>
      <w:r w:rsidRPr="00372BFF">
        <w:t>Other efficacy outcomes included:</w:t>
      </w:r>
    </w:p>
    <w:p w:rsidR="005B38FC" w:rsidRPr="00CA546D" w:rsidRDefault="005B38FC" w:rsidP="00EE3657">
      <w:pPr>
        <w:pStyle w:val="ListBullet"/>
      </w:pPr>
      <w:r w:rsidRPr="00CA546D">
        <w:t>Sum of the Pain Intensity Differences</w:t>
      </w:r>
      <w:r w:rsidR="00372BFF">
        <w:t xml:space="preserve">: </w:t>
      </w:r>
      <w:r w:rsidRPr="00CA546D">
        <w:t>The SPID</w:t>
      </w:r>
      <w:r w:rsidRPr="005169AC">
        <w:rPr>
          <w:sz w:val="16"/>
          <w:szCs w:val="16"/>
        </w:rPr>
        <w:t>30</w:t>
      </w:r>
      <w:r w:rsidRPr="00CA546D">
        <w:t>, SPID</w:t>
      </w:r>
      <w:r w:rsidRPr="005169AC">
        <w:rPr>
          <w:sz w:val="16"/>
          <w:szCs w:val="16"/>
        </w:rPr>
        <w:t>90</w:t>
      </w:r>
      <w:r w:rsidRPr="00CA546D">
        <w:t>, and SPID</w:t>
      </w:r>
      <w:r w:rsidRPr="005169AC">
        <w:rPr>
          <w:sz w:val="16"/>
          <w:szCs w:val="16"/>
        </w:rPr>
        <w:t>120</w:t>
      </w:r>
      <w:r w:rsidRPr="00CA546D">
        <w:t xml:space="preserve"> scores were calculated as the sum of the PID scores from 5 through 30 minutes, 5 through 90 minutes, and 5 through 120 minutes, respectively, after the administration of study drug</w:t>
      </w:r>
    </w:p>
    <w:p w:rsidR="005B38FC" w:rsidRPr="00CA546D" w:rsidRDefault="005B38FC" w:rsidP="00EE3657">
      <w:pPr>
        <w:pStyle w:val="ListBullet"/>
      </w:pPr>
      <w:r w:rsidRPr="00CA546D">
        <w:t>Pain Intensity Difference</w:t>
      </w:r>
      <w:r w:rsidR="00372BFF">
        <w:t xml:space="preserve">: </w:t>
      </w:r>
      <w:r w:rsidRPr="00CA546D">
        <w:t xml:space="preserve"> The PID was calculated for 5, 10, 15, 30, 45, 60, 90, and 120 minutes after the administration of study drug. The PID was calculated as the patients’ ratings of PI at each of these time points minus the rating of PI immediately before the administration of study drug</w:t>
      </w:r>
    </w:p>
    <w:p w:rsidR="005B38FC" w:rsidRPr="00CA546D" w:rsidRDefault="005B38FC" w:rsidP="00EE3657">
      <w:pPr>
        <w:pStyle w:val="ListBullet"/>
      </w:pPr>
      <w:r w:rsidRPr="00CA546D">
        <w:t>Pain Relief</w:t>
      </w:r>
      <w:r w:rsidR="00372BFF">
        <w:t>:</w:t>
      </w:r>
      <w:r w:rsidRPr="00CA546D">
        <w:t xml:space="preserve"> The PR scores </w:t>
      </w:r>
      <w:r>
        <w:t xml:space="preserve">at </w:t>
      </w:r>
      <w:r w:rsidRPr="00CA546D">
        <w:t>5, 10, 15, 30, 45, 60, 90, and 120 minutes after the administration of study drug were recorded on the patient’s diary. The PR scores were assessed using a 5</w:t>
      </w:r>
      <w:r w:rsidR="00372BFF">
        <w:t xml:space="preserve"> </w:t>
      </w:r>
      <w:r w:rsidRPr="00CA546D">
        <w:t>point Likert scale (0=none to 4=complete)</w:t>
      </w:r>
    </w:p>
    <w:p w:rsidR="005B38FC" w:rsidRPr="00CA546D" w:rsidRDefault="005B38FC" w:rsidP="00EE3657">
      <w:pPr>
        <w:pStyle w:val="ListBullet"/>
      </w:pPr>
      <w:r w:rsidRPr="00CA546D">
        <w:t xml:space="preserve">Total Pain Relief </w:t>
      </w:r>
      <w:r w:rsidR="00372BFF">
        <w:t>:</w:t>
      </w:r>
      <w:r w:rsidRPr="00CA546D">
        <w:t xml:space="preserve"> The TOTPAR</w:t>
      </w:r>
      <w:r w:rsidRPr="00872480">
        <w:rPr>
          <w:sz w:val="16"/>
          <w:szCs w:val="16"/>
        </w:rPr>
        <w:t>60</w:t>
      </w:r>
      <w:r w:rsidRPr="00CA546D">
        <w:t>, TOTPAR</w:t>
      </w:r>
      <w:r w:rsidRPr="00872480">
        <w:rPr>
          <w:sz w:val="16"/>
          <w:szCs w:val="16"/>
        </w:rPr>
        <w:t>90</w:t>
      </w:r>
      <w:r w:rsidRPr="00CA546D">
        <w:t>, and TOTPAR</w:t>
      </w:r>
      <w:r w:rsidRPr="00872480">
        <w:rPr>
          <w:sz w:val="16"/>
          <w:szCs w:val="16"/>
        </w:rPr>
        <w:t>120</w:t>
      </w:r>
      <w:r w:rsidRPr="00CA546D">
        <w:t xml:space="preserve"> scores were calculated as the sum of PR scores recorded 5 through 60 minutes, 5 through 90 minutes, and 5 through 120 minutes, respectively, after the administration of study drug</w:t>
      </w:r>
    </w:p>
    <w:p w:rsidR="005B38FC" w:rsidRPr="00CA546D" w:rsidRDefault="005B38FC" w:rsidP="00EE3657">
      <w:pPr>
        <w:pStyle w:val="ListBullet"/>
      </w:pPr>
      <w:r w:rsidRPr="00CA546D">
        <w:t>Time to Meaningful Pain Relief</w:t>
      </w:r>
      <w:r w:rsidR="00372BFF">
        <w:t>:</w:t>
      </w:r>
      <w:r w:rsidRPr="00CA546D">
        <w:t xml:space="preserve"> The time in minutes to when meaningful pain relief was achieved after the administration of study drug was recorded in the patient’s diary</w:t>
      </w:r>
    </w:p>
    <w:p w:rsidR="005B38FC" w:rsidRPr="00CA546D" w:rsidRDefault="005B38FC" w:rsidP="00EE3657">
      <w:pPr>
        <w:pStyle w:val="ListBullet"/>
      </w:pPr>
      <w:r w:rsidRPr="00CA546D">
        <w:t>Global Medication Performance Assessment</w:t>
      </w:r>
      <w:r w:rsidR="00372BFF">
        <w:t>:</w:t>
      </w:r>
      <w:r w:rsidRPr="00CA546D">
        <w:t xml:space="preserve"> The global medication performance assessment was recorded in the patient’s diary at 60 and 120 minutes after the administration of study drug (and immediately before the use of any rescue medication for any episode of BTP for which rescue medication was used). Patients rated how well each dose of study drug performed in controlling BTP using a 5</w:t>
      </w:r>
      <w:r w:rsidR="00372BFF">
        <w:t xml:space="preserve"> </w:t>
      </w:r>
      <w:r w:rsidRPr="00CA546D">
        <w:t>point sca</w:t>
      </w:r>
      <w:r w:rsidR="00527411">
        <w:t>le (0=poor through 4=excellent)</w:t>
      </w:r>
    </w:p>
    <w:p w:rsidR="005B38FC" w:rsidRDefault="005B38FC" w:rsidP="00EE3657">
      <w:pPr>
        <w:pStyle w:val="ListBullet"/>
      </w:pPr>
      <w:r w:rsidRPr="00CA546D">
        <w:t>Use of Standard Rescue Medication</w:t>
      </w:r>
      <w:r w:rsidR="00372BFF">
        <w:t>:</w:t>
      </w:r>
      <w:r w:rsidRPr="00CA546D">
        <w:t xml:space="preserve"> Any use of standard rescue medication after the administration of study drug was recorded in the patient’s diary.</w:t>
      </w:r>
    </w:p>
    <w:p w:rsidR="00080107" w:rsidRDefault="005B38FC" w:rsidP="00EE3657">
      <w:r>
        <w:t>The technical aspects of patients’ and efficacy ana</w:t>
      </w:r>
      <w:r w:rsidR="00080107">
        <w:t>lyses were as for Study 099-14.</w:t>
      </w:r>
    </w:p>
    <w:p w:rsidR="005B38FC" w:rsidRPr="005B587C" w:rsidRDefault="005B38FC" w:rsidP="00EE3657">
      <w:pPr>
        <w:pStyle w:val="Heading5"/>
      </w:pPr>
      <w:r w:rsidRPr="005B587C">
        <w:t>Other</w:t>
      </w:r>
    </w:p>
    <w:p w:rsidR="005B38FC" w:rsidRPr="005B587C" w:rsidRDefault="005B38FC" w:rsidP="00EE3657">
      <w:pPr>
        <w:pStyle w:val="Heading6"/>
      </w:pPr>
      <w:r w:rsidRPr="005B587C">
        <w:t>Study C25608/4027/BP/EU</w:t>
      </w:r>
    </w:p>
    <w:p w:rsidR="005B38FC" w:rsidRDefault="00372BFF" w:rsidP="00EE3657">
      <w:r>
        <w:t xml:space="preserve">This was a </w:t>
      </w:r>
      <w:r w:rsidR="005B38FC">
        <w:t>European multicentre open label study of breakthrough cancer pain. Assessment of fentanyl buccal tablets (FBT) titration and treatment in opioid tolerant patients.</w:t>
      </w:r>
    </w:p>
    <w:p w:rsidR="005B38FC" w:rsidRDefault="005B38FC" w:rsidP="00EE3657">
      <w:r>
        <w:t xml:space="preserve">The study included an open label titration period in which patients were randomised to receive a starting dose </w:t>
      </w:r>
      <w:r w:rsidRPr="00DC68BF">
        <w:t>of 100 µg (Group A) or 200 µg (Group B). Patients were then individually titrated to an effective FBT dose. Once the effective dose had been identified the patients entered an open label treatment period in which each patient</w:t>
      </w:r>
      <w:r>
        <w:t xml:space="preserve"> </w:t>
      </w:r>
      <w:r w:rsidRPr="00DC68BF">
        <w:t xml:space="preserve">treated 8 episodes of </w:t>
      </w:r>
      <w:r>
        <w:t>BTP</w:t>
      </w:r>
      <w:r w:rsidRPr="00DC68BF">
        <w:t>. Once patients completed the 8 episodes they had t</w:t>
      </w:r>
      <w:r>
        <w:t xml:space="preserve">he </w:t>
      </w:r>
      <w:r w:rsidRPr="00DC68BF">
        <w:t xml:space="preserve">option to continue </w:t>
      </w:r>
      <w:r w:rsidRPr="00DC68BF">
        <w:lastRenderedPageBreak/>
        <w:t>treatment in an open label continuation period which continued until the product became commercially available.</w:t>
      </w:r>
    </w:p>
    <w:p w:rsidR="005B38FC" w:rsidRDefault="00372BFF" w:rsidP="00EE3657">
      <w:r>
        <w:t xml:space="preserve">Some </w:t>
      </w:r>
      <w:r w:rsidR="005B38FC">
        <w:t>330 patients (G</w:t>
      </w:r>
      <w:r w:rsidR="00C16BC4">
        <w:t xml:space="preserve">roup </w:t>
      </w:r>
      <w:r w:rsidR="005B38FC">
        <w:t xml:space="preserve">A </w:t>
      </w:r>
      <w:r w:rsidR="00C16BC4">
        <w:t>(GpA</w:t>
      </w:r>
      <w:proofErr w:type="gramStart"/>
      <w:r w:rsidR="00C16BC4">
        <w:t>)</w:t>
      </w:r>
      <w:r w:rsidR="005B38FC">
        <w:t>=</w:t>
      </w:r>
      <w:proofErr w:type="gramEnd"/>
      <w:r w:rsidR="005B38FC">
        <w:t xml:space="preserve"> 156, mean age 59.5 </w:t>
      </w:r>
      <w:r w:rsidR="005B38FC" w:rsidRPr="00C16BC4">
        <w:t>y</w:t>
      </w:r>
      <w:r w:rsidRPr="00C16BC4">
        <w:t>ea</w:t>
      </w:r>
      <w:r w:rsidR="005B38FC" w:rsidRPr="00C16BC4">
        <w:t>rs, G</w:t>
      </w:r>
      <w:r w:rsidR="00C16BC4" w:rsidRPr="00C16BC4">
        <w:t xml:space="preserve">roup </w:t>
      </w:r>
      <w:r w:rsidR="005B38FC" w:rsidRPr="00C16BC4">
        <w:t xml:space="preserve">B </w:t>
      </w:r>
      <w:r w:rsidR="00C16BC4" w:rsidRPr="00C16BC4">
        <w:t>(GpB)</w:t>
      </w:r>
      <w:r w:rsidR="005B38FC" w:rsidRPr="00C16BC4">
        <w:t>= 174</w:t>
      </w:r>
      <w:r w:rsidR="005B38FC">
        <w:t>, mean age 60.1 y</w:t>
      </w:r>
      <w:r>
        <w:t>ea</w:t>
      </w:r>
      <w:r w:rsidR="005B38FC">
        <w:t>rs) were enrolled</w:t>
      </w:r>
      <w:r>
        <w:t>;</w:t>
      </w:r>
      <w:r w:rsidR="005B38FC">
        <w:t xml:space="preserve"> 218 patients completed the treatment phase and 166 patients entered the continuation phase. For enrolment, patients must have histologically documented diagnosis of cancer and experiencing up to 4 BTP episodes per 24 hours (on average) with a</w:t>
      </w:r>
      <w:r w:rsidR="005B38FC" w:rsidRPr="00076F91">
        <w:t xml:space="preserve"> stable background pain </w:t>
      </w:r>
      <w:r w:rsidR="005B38FC">
        <w:t xml:space="preserve">on </w:t>
      </w:r>
      <w:r w:rsidR="005B38FC" w:rsidRPr="00076F91">
        <w:t>opioid treatment of at least 60 mg of oral morphine/day or at least 25 µg of transdermal fentanyl/hour or at least 30 mg of oxycodone/day or at least 8 mg of hydromorphone/day or an equianalgesic dose of another opioid for a week or longer before administration of the first dose of study drug.</w:t>
      </w:r>
    </w:p>
    <w:p w:rsidR="005B38FC" w:rsidRDefault="005B38FC" w:rsidP="00EE3657">
      <w:r>
        <w:t xml:space="preserve">The </w:t>
      </w:r>
      <w:r w:rsidRPr="00202207">
        <w:rPr>
          <w:i/>
        </w:rPr>
        <w:t>primary efficacy outcome</w:t>
      </w:r>
      <w:r>
        <w:t xml:space="preserve"> was the percentage of patients reaching an effective FBT dose when titration was initiated by 100</w:t>
      </w:r>
      <w:r w:rsidR="00372BFF">
        <w:t xml:space="preserve"> </w:t>
      </w:r>
      <w:r>
        <w:t>µg (</w:t>
      </w:r>
      <w:proofErr w:type="gramStart"/>
      <w:r>
        <w:t>GpA</w:t>
      </w:r>
      <w:proofErr w:type="gramEnd"/>
      <w:r>
        <w:t>) compared to 200</w:t>
      </w:r>
      <w:r w:rsidR="00372BFF">
        <w:t xml:space="preserve"> </w:t>
      </w:r>
      <w:r>
        <w:t>µg (GpB).</w:t>
      </w:r>
    </w:p>
    <w:p w:rsidR="005B38FC" w:rsidRDefault="005B38FC" w:rsidP="005C4E39">
      <w:r w:rsidRPr="0053533B">
        <w:t>Other efficacy outcomes</w:t>
      </w:r>
      <w:r>
        <w:t xml:space="preserve"> included:</w:t>
      </w:r>
    </w:p>
    <w:p w:rsidR="005B38FC" w:rsidRDefault="005B38FC" w:rsidP="00EE3657">
      <w:pPr>
        <w:pStyle w:val="ListBullet"/>
      </w:pPr>
      <w:r>
        <w:t>Time to meaningful pain relief</w:t>
      </w:r>
    </w:p>
    <w:p w:rsidR="005B38FC" w:rsidRDefault="005B38FC" w:rsidP="00EE3657">
      <w:pPr>
        <w:pStyle w:val="ListBullet"/>
      </w:pPr>
      <w:r>
        <w:t>Use of standard rescue medication</w:t>
      </w:r>
    </w:p>
    <w:p w:rsidR="005B38FC" w:rsidRDefault="005B38FC" w:rsidP="00EE3657">
      <w:pPr>
        <w:pStyle w:val="ListBullet"/>
      </w:pPr>
      <w:r>
        <w:t>Medication performance enhancement</w:t>
      </w:r>
    </w:p>
    <w:p w:rsidR="005B38FC" w:rsidRDefault="005B38FC" w:rsidP="00EE3657">
      <w:pPr>
        <w:pStyle w:val="ListBullet"/>
      </w:pPr>
      <w:r>
        <w:t>Quality of life of the patient</w:t>
      </w:r>
    </w:p>
    <w:p w:rsidR="005B38FC" w:rsidRDefault="005B38FC" w:rsidP="00EE3657">
      <w:pPr>
        <w:pStyle w:val="ListBullet"/>
      </w:pPr>
      <w:r>
        <w:t>Global assessment by the patient</w:t>
      </w:r>
      <w:r w:rsidR="00527411">
        <w:t>.</w:t>
      </w:r>
    </w:p>
    <w:p w:rsidR="005B38FC" w:rsidRDefault="005B38FC" w:rsidP="00EE3657">
      <w:r>
        <w:t xml:space="preserve">Regarding </w:t>
      </w:r>
      <w:r w:rsidRPr="0053533B">
        <w:rPr>
          <w:i/>
        </w:rPr>
        <w:t>statistical methods</w:t>
      </w:r>
      <w:r>
        <w:t xml:space="preserve">, it is stated in the </w:t>
      </w:r>
      <w:r w:rsidR="00372BFF">
        <w:t xml:space="preserve">clinical evaluation report </w:t>
      </w:r>
      <w:r>
        <w:t xml:space="preserve">that given </w:t>
      </w:r>
      <w:r w:rsidRPr="00E277F6">
        <w:t>the titration success rate of 65% seen in previous studies, a total of 880 patients (440 per group) were needed to have 80% power to demonstrate the non-inferiority of starting with a 200 µg dose rather than a 100 µg dose (based on the large sample normal approximation test of proportions with a one sided 0.05 significance level).</w:t>
      </w:r>
    </w:p>
    <w:p w:rsidR="005B38FC" w:rsidRDefault="005B38FC" w:rsidP="00EE3657">
      <w:r w:rsidRPr="00E277F6">
        <w:t xml:space="preserve">The primary efficacy variable, namely achieving an effective dose, was </w:t>
      </w:r>
      <w:r w:rsidRPr="0053533B">
        <w:t>analysed</w:t>
      </w:r>
      <w:r w:rsidRPr="0053533B">
        <w:rPr>
          <w:i/>
        </w:rPr>
        <w:t xml:space="preserve"> </w:t>
      </w:r>
      <w:r w:rsidRPr="00E277F6">
        <w:t>by estimating the effective dose rate (</w:t>
      </w:r>
      <w:r w:rsidR="00372BFF">
        <w:t>that is,</w:t>
      </w:r>
      <w:r w:rsidRPr="00E277F6">
        <w:t xml:space="preserve"> number of patients reaching an effective dose divided by the total number of patients in the titration group) in each randomised titration group and comparing the confidence interval (CI) for the difference, calculated as 100 </w:t>
      </w:r>
      <w:r>
        <w:t>µ</w:t>
      </w:r>
      <w:r w:rsidRPr="00E277F6">
        <w:t xml:space="preserve">g </w:t>
      </w:r>
      <w:r w:rsidR="00372BFF">
        <w:t>to</w:t>
      </w:r>
      <w:r w:rsidRPr="00E277F6">
        <w:t xml:space="preserve"> 200 </w:t>
      </w:r>
      <w:r>
        <w:t>µ</w:t>
      </w:r>
      <w:r w:rsidRPr="00E277F6">
        <w:t>g, with the non-inferiority margin. In order to assess if non-inferiority was met (</w:t>
      </w:r>
      <w:r w:rsidR="00372BFF">
        <w:t>that is,</w:t>
      </w:r>
      <w:r w:rsidRPr="00E277F6">
        <w:t xml:space="preserve"> whether the null hypothesis was rejected), a two-sided 90% CI equivalent to a one-sided 95% CI was calculated. Non-inferiority was established if the upper bound of the two-sided CI was less than 8%. Kaplan-Meier analysis was used to estimate the distribution of time to meaningful pain relief overall (the total number of episodes) and average (taken to be the average time for each patient to achieve meaningful pain relief). Secondary efficacy data were summarised with descriptive statistics.</w:t>
      </w:r>
    </w:p>
    <w:p w:rsidR="005B38FC" w:rsidRPr="00281145" w:rsidRDefault="005B38FC" w:rsidP="00EE3657">
      <w:pPr>
        <w:pStyle w:val="Heading6"/>
      </w:pPr>
      <w:r w:rsidRPr="00281145">
        <w:t>Study 099-15</w:t>
      </w:r>
    </w:p>
    <w:p w:rsidR="005B38FC" w:rsidRDefault="00372BFF" w:rsidP="00EE3657">
      <w:r>
        <w:t>This was a m</w:t>
      </w:r>
      <w:r w:rsidR="005B38FC">
        <w:t>ulticentre, open label, long term study of Oravescent fentanyl citrate for the treatment of breakthrough pain in opioid tolerant cancer patients.</w:t>
      </w:r>
    </w:p>
    <w:p w:rsidR="005B38FC" w:rsidRDefault="00372BFF" w:rsidP="00EE3657">
      <w:r>
        <w:t xml:space="preserve">Some </w:t>
      </w:r>
      <w:r w:rsidR="005B38FC">
        <w:t>232 patients (mean age 55.3 y</w:t>
      </w:r>
      <w:r>
        <w:t>ea</w:t>
      </w:r>
      <w:r w:rsidR="005B38FC">
        <w:t>rs, range 24 to 95 y</w:t>
      </w:r>
      <w:r>
        <w:t>ea</w:t>
      </w:r>
      <w:r w:rsidR="005B38FC">
        <w:t>rs) entered the study. Of the 232 patients, 120 patients were from Studies 099-14 and 3039 post completion of the double blind phase while 112 patients were newly enrolled after completing the mandatory open label titration period to determine the individual effective dose. The newly enrolled patients had the same inclusion criteria as for those in Studies 099-14 and 3039. All patients were treated with their individual effective dose for 12 months (patients were dispensed sufficient quantity of the effective dose of Oravescent for 1 month’s treatment and then returned to the clinic monthly for assessment and new Oravescent supplies) after which, they could continue in the study for ongoing treatment until November 2006 when the product became commercially available in the USA. The mean duration of exposure overall was 158.4 days with a median of 99 days.</w:t>
      </w:r>
    </w:p>
    <w:p w:rsidR="005B38FC" w:rsidRDefault="005B38FC" w:rsidP="00EE3657">
      <w:r>
        <w:lastRenderedPageBreak/>
        <w:t xml:space="preserve">At baseline, the ATC opioids </w:t>
      </w:r>
      <w:r w:rsidRPr="00275DAF">
        <w:t>used most frequently (10% or more of patients) were transdermal fentanyl (38%), oxycodone (31%) and morphine (21%). The rescue medications used most frequently were hydrocodone/acetaminophen (24%), oxycodone (22%), morphine (15%), oxycodone/acetaminophen (14%) and hydromorphone (12%)</w:t>
      </w:r>
      <w:r>
        <w:t>.</w:t>
      </w:r>
    </w:p>
    <w:p w:rsidR="005B38FC" w:rsidRDefault="005B38FC" w:rsidP="00EE3657">
      <w:r>
        <w:t xml:space="preserve">The </w:t>
      </w:r>
      <w:r w:rsidRPr="00CD19FA">
        <w:rPr>
          <w:i/>
        </w:rPr>
        <w:t>primary objective</w:t>
      </w:r>
      <w:r>
        <w:t xml:space="preserve"> was to determine the tolerability and safety of Oravescent fentanyl when used long term to relieve pain (BTP) in opioid tolerant patients with cancer.</w:t>
      </w:r>
    </w:p>
    <w:p w:rsidR="005B38FC" w:rsidRDefault="005B38FC" w:rsidP="00EE3657">
      <w:r>
        <w:t xml:space="preserve">The </w:t>
      </w:r>
      <w:r w:rsidRPr="00CD19FA">
        <w:rPr>
          <w:i/>
        </w:rPr>
        <w:t>secondary objective</w:t>
      </w:r>
      <w:r>
        <w:t xml:space="preserve"> was to </w:t>
      </w:r>
      <w:r w:rsidRPr="00595596">
        <w:t>assess the effectiveness of Oravescent fentanyl and the development of incremental tolerance when used long term to treat BTP in opioid tolerant patients who were receiving maintenance opioids.</w:t>
      </w:r>
    </w:p>
    <w:p w:rsidR="005B38FC" w:rsidRDefault="005B38FC" w:rsidP="005C4E39">
      <w:r>
        <w:t xml:space="preserve">The </w:t>
      </w:r>
      <w:r w:rsidRPr="00281145">
        <w:t>efficacy outcomes</w:t>
      </w:r>
      <w:r>
        <w:t xml:space="preserve"> were based on:</w:t>
      </w:r>
    </w:p>
    <w:p w:rsidR="005B38FC" w:rsidRDefault="005B38FC" w:rsidP="00EE3657">
      <w:pPr>
        <w:pStyle w:val="ListBullet"/>
      </w:pPr>
      <w:r>
        <w:t>Global medication performance assessment</w:t>
      </w:r>
    </w:p>
    <w:p w:rsidR="005B38FC" w:rsidRDefault="005B38FC" w:rsidP="00EE3657">
      <w:pPr>
        <w:pStyle w:val="ListBullet"/>
      </w:pPr>
      <w:r>
        <w:t>Patient responses to study medication assessment questionnaires</w:t>
      </w:r>
      <w:r w:rsidR="00527411">
        <w:t>.</w:t>
      </w:r>
    </w:p>
    <w:p w:rsidR="005B38FC" w:rsidRPr="00B30E82" w:rsidRDefault="005B38FC" w:rsidP="00EE3657">
      <w:r>
        <w:t xml:space="preserve">The </w:t>
      </w:r>
      <w:r w:rsidRPr="00B30E82">
        <w:t>Global</w:t>
      </w:r>
      <w:r>
        <w:t xml:space="preserve"> </w:t>
      </w:r>
      <w:r w:rsidRPr="00B30E82">
        <w:t xml:space="preserve">Medication Performance Assessment </w:t>
      </w:r>
      <w:r>
        <w:t xml:space="preserve">was assessed on a 5 point scale </w:t>
      </w:r>
      <w:r w:rsidRPr="00B30E82">
        <w:t>(0=poor, 1=fair, 2=good, 3=very good, 4=excellent)</w:t>
      </w:r>
      <w:r>
        <w:t>. The patients completed the assessment only once per day.</w:t>
      </w:r>
    </w:p>
    <w:p w:rsidR="005B38FC" w:rsidRDefault="005B38FC" w:rsidP="00EE3657">
      <w:r>
        <w:t xml:space="preserve">For </w:t>
      </w:r>
      <w:r w:rsidRPr="00281145">
        <w:rPr>
          <w:i/>
        </w:rPr>
        <w:t>statistical methods</w:t>
      </w:r>
      <w:r>
        <w:t xml:space="preserve">, it is stated in the </w:t>
      </w:r>
      <w:r w:rsidR="00372BFF">
        <w:t>clinical evaluation report</w:t>
      </w:r>
      <w:r>
        <w:t xml:space="preserve"> that </w:t>
      </w:r>
      <w:r w:rsidRPr="0086600A">
        <w:t xml:space="preserve">medication performance assessment is a subjective measure of the effectiveness of the study drug for dealing with the patients’ pain. Patients assessed </w:t>
      </w:r>
      <w:r>
        <w:t xml:space="preserve">the </w:t>
      </w:r>
      <w:r w:rsidRPr="0086600A">
        <w:t>study drug performance daily during the long-term maintenance treatment period. Average patient responses for each visit were summarised using descriptive statistics. Patients’ responses to study medication assessment questionnaires were summarised using descriptive statistics for categorical response.</w:t>
      </w:r>
    </w:p>
    <w:p w:rsidR="005B38FC" w:rsidRPr="004651D7" w:rsidRDefault="005B38FC" w:rsidP="00EE3657">
      <w:pPr>
        <w:pStyle w:val="Heading4"/>
      </w:pPr>
      <w:r w:rsidRPr="004651D7">
        <w:t>Clinical evaluator’s overall conclusions on efficacy</w:t>
      </w:r>
    </w:p>
    <w:p w:rsidR="005B38FC" w:rsidRPr="0086600A" w:rsidRDefault="005B38FC" w:rsidP="00EE3657">
      <w:pPr>
        <w:pStyle w:val="ListBullet"/>
      </w:pPr>
      <w:r w:rsidRPr="0086600A">
        <w:t>The efficacy is based on two pivotal studies (placebo controlled) and two open label studies. The two pivotal studies were of moderate size but similar design. The inclusion criteria were similar with the patients enrolled being typical of opioid tolerant adult men and women with cancer related background pain and breakthrough pain (BTP). They all were using ATC opioid therapy for their background pain and additional opioid therapy as rescue medication for their BTP. Both trials used a within patient control design which is necessary to minimise the risk of pati</w:t>
      </w:r>
      <w:r w:rsidR="00527411">
        <w:t>ents being treated with placebo</w:t>
      </w:r>
    </w:p>
    <w:p w:rsidR="005B38FC" w:rsidRPr="0086600A" w:rsidRDefault="005B38FC" w:rsidP="00EE3657">
      <w:pPr>
        <w:pStyle w:val="ListBullet"/>
      </w:pPr>
      <w:r w:rsidRPr="0086600A">
        <w:t>The efficacy results from both pivotal studies showed a consistent positive effect for FEBT compared to placebo across the standard measures of pain (pain intensity, pain relief and use of rescue medication) and time points (15, 30, 45, and 60 minutes). At both the 30 and 60 minute time points a patient was twice as likely to achieve at least a 33% or 50% decrease in pain intensity</w:t>
      </w:r>
      <w:r w:rsidR="00527411">
        <w:t xml:space="preserve"> with FEBT compared to placebo</w:t>
      </w:r>
    </w:p>
    <w:p w:rsidR="005B38FC" w:rsidRPr="0086600A" w:rsidRDefault="005B38FC" w:rsidP="00EE3657">
      <w:pPr>
        <w:pStyle w:val="ListBullet"/>
      </w:pPr>
      <w:r w:rsidRPr="0086600A">
        <w:t>No active comparator trials have been conducted which is disappointing as a comparison to oral transmucosal fentanyl would have been useful to clinicians but the final decision will probab</w:t>
      </w:r>
      <w:r w:rsidR="00527411">
        <w:t>ly rest with patient preference</w:t>
      </w:r>
    </w:p>
    <w:p w:rsidR="005B38FC" w:rsidRPr="0086600A" w:rsidRDefault="005B38FC" w:rsidP="00EE3657">
      <w:pPr>
        <w:pStyle w:val="ListBullet"/>
      </w:pPr>
      <w:r w:rsidRPr="0086600A">
        <w:t xml:space="preserve">All studies included a dose titration period and the comparison between starting doses of 100 µg and 200 µg indicated that a starting dose of the lower dose (100 µg) was the most appropriate. If patients could not determine an effective dose they </w:t>
      </w:r>
      <w:r w:rsidR="00527411">
        <w:t>did not continue in the studies</w:t>
      </w:r>
    </w:p>
    <w:p w:rsidR="005B38FC" w:rsidRDefault="005B38FC" w:rsidP="00EE3657">
      <w:pPr>
        <w:pStyle w:val="ListBullet"/>
      </w:pPr>
      <w:r w:rsidRPr="0086600A">
        <w:t>The non-pivotal studies, which were open label</w:t>
      </w:r>
      <w:r w:rsidR="009E627E">
        <w:t xml:space="preserve"> and</w:t>
      </w:r>
      <w:r w:rsidRPr="0086600A">
        <w:t xml:space="preserve"> non</w:t>
      </w:r>
      <w:r w:rsidR="009E627E">
        <w:t>-</w:t>
      </w:r>
      <w:r w:rsidRPr="0086600A">
        <w:t>comparative studies provided some long term data demonstrating that the efficacy is maintained for up to 12 months.</w:t>
      </w:r>
    </w:p>
    <w:p w:rsidR="005B38FC" w:rsidRPr="00664D36" w:rsidRDefault="005B38FC" w:rsidP="00EE3657">
      <w:r w:rsidRPr="00664D36">
        <w:lastRenderedPageBreak/>
        <w:t>Regarding the over</w:t>
      </w:r>
      <w:r w:rsidR="009E627E">
        <w:t>all conclusions on safety, the clinical evaluator st</w:t>
      </w:r>
      <w:r w:rsidRPr="00664D36">
        <w:t>ated that:</w:t>
      </w:r>
    </w:p>
    <w:p w:rsidR="005B38FC" w:rsidRPr="0086600A" w:rsidRDefault="005B38FC" w:rsidP="00EE3657">
      <w:pPr>
        <w:pStyle w:val="ListBullet"/>
      </w:pPr>
      <w:r w:rsidRPr="0086600A">
        <w:t>The total patient numbers in the safety assessment is low but fentanyl is a well know substance and the new dosage form and route of administration is not significantly different to other approved products. There is some concern of the paucity of long term data</w:t>
      </w:r>
      <w:r w:rsidR="009E627E">
        <w:t>;</w:t>
      </w:r>
      <w:r w:rsidRPr="0086600A">
        <w:t xml:space="preserve"> nearly half the patients received the drug for less than </w:t>
      </w:r>
      <w:r w:rsidR="009E627E">
        <w:t>one</w:t>
      </w:r>
      <w:r w:rsidRPr="0086600A">
        <w:t xml:space="preserve"> month but this may be representative of the patients likely to be prescribed the pr</w:t>
      </w:r>
      <w:r w:rsidR="00527411">
        <w:t>oduct</w:t>
      </w:r>
    </w:p>
    <w:p w:rsidR="005B38FC" w:rsidRPr="0086600A" w:rsidRDefault="005B38FC" w:rsidP="00EE3657">
      <w:pPr>
        <w:pStyle w:val="ListBullet"/>
      </w:pPr>
      <w:r w:rsidRPr="0086600A">
        <w:t xml:space="preserve">No new safety issues emerged in the clinical studies. The most common AEs reported with FEBT treatment were characteristic of fentanyl products, namely nausea, dizziness, constipation, fatigue, headache and vomiting. The incidence and types of adverse events did not appear to be dose related. Further the rapid absorption of FEBT did not appear to affect the type </w:t>
      </w:r>
      <w:r w:rsidR="00527411">
        <w:t>or severity of the AEs reported</w:t>
      </w:r>
    </w:p>
    <w:p w:rsidR="005B38FC" w:rsidRDefault="005B38FC" w:rsidP="00EE3657">
      <w:pPr>
        <w:pStyle w:val="ListBullet"/>
      </w:pPr>
      <w:r w:rsidRPr="0086600A">
        <w:t xml:space="preserve">Approximately 10% of patients experienced AEs that could be considered to be related to the tablet application site, </w:t>
      </w:r>
      <w:r w:rsidR="009E627E">
        <w:t>for example</w:t>
      </w:r>
      <w:r w:rsidRPr="0086600A">
        <w:t xml:space="preserve"> application site pain, ulcer or burning. In the majority of patients these AEs were mild to moderate and resolved without treatment interruption. Women appeared to be at greater risk for application site events. Application site AEs could be reduced if the patient is advised to alternate the placement of the tablet in the right and left buccal mucosa or to adm</w:t>
      </w:r>
      <w:r w:rsidR="00527411">
        <w:t>inister the tablet sublingually.</w:t>
      </w:r>
    </w:p>
    <w:p w:rsidR="005B38FC" w:rsidRPr="00664D36" w:rsidRDefault="005B38FC" w:rsidP="00EE3657">
      <w:r w:rsidRPr="00664D36">
        <w:t xml:space="preserve">On postmarketing experience, the </w:t>
      </w:r>
      <w:r w:rsidR="009E627E">
        <w:t>clinical evaluator</w:t>
      </w:r>
      <w:r w:rsidRPr="00664D36">
        <w:t xml:space="preserve"> mentioned that:</w:t>
      </w:r>
    </w:p>
    <w:p w:rsidR="005B38FC" w:rsidRPr="0086600A" w:rsidRDefault="005B38FC" w:rsidP="00EE3657">
      <w:pPr>
        <w:pStyle w:val="ListBullet"/>
      </w:pPr>
      <w:r w:rsidRPr="0086600A">
        <w:t xml:space="preserve">FEBT was first registered in the USA in September 2006 and marketed from October 2006. As of September 2011 it was approved in 31 countries and marketed in 10 (USA, Austria, France, Germany, Ireland, Italy, the Netherlands, Poland, Spain and the United Kingdom). Cumulatively through 31 March 2011, worldwide post marketing usage of FEBT is estimated at </w:t>
      </w:r>
      <w:r w:rsidR="00527411">
        <w:t>18, 538 patient treatment years</w:t>
      </w:r>
    </w:p>
    <w:p w:rsidR="005B38FC" w:rsidRPr="0086600A" w:rsidRDefault="005B38FC" w:rsidP="00EE3657">
      <w:pPr>
        <w:pStyle w:val="ListBullet"/>
      </w:pPr>
      <w:r w:rsidRPr="0086600A">
        <w:t>13 PSURs were included in the submission covering the peri</w:t>
      </w:r>
      <w:r w:rsidR="00527411">
        <w:t>od September 2006 to April 2012</w:t>
      </w:r>
    </w:p>
    <w:p w:rsidR="005B38FC" w:rsidRPr="0086600A" w:rsidRDefault="005B38FC" w:rsidP="00EE3657">
      <w:pPr>
        <w:pStyle w:val="ListBullet"/>
      </w:pPr>
      <w:r w:rsidRPr="0086600A">
        <w:t>Spontaneous reports received have been consistent with the safety profile observed in the clinical trials. The following new AEs have been identified during the post marketing period: loss of consciousness, respir</w:t>
      </w:r>
      <w:r w:rsidR="00527411">
        <w:t>atory arrest and drug tolerance</w:t>
      </w:r>
    </w:p>
    <w:p w:rsidR="005B38FC" w:rsidRPr="0086600A" w:rsidRDefault="005B38FC" w:rsidP="00EE3657">
      <w:pPr>
        <w:pStyle w:val="ListBullet"/>
      </w:pPr>
      <w:r w:rsidRPr="0086600A">
        <w:t xml:space="preserve">The sponsor also submitted a Prescription Event Monitoring Report from the Drug Safety Research Trust, which operates in association with the University of Portsmouth. This drug utilisation study was conducted from March 2009 to June 2011 and included 551 evaluable patients who had been prescribed FEBT as part of normal practice by </w:t>
      </w:r>
      <w:r w:rsidR="009E627E">
        <w:t>General Practitioners (</w:t>
      </w:r>
      <w:r w:rsidRPr="0086600A">
        <w:t>GPs</w:t>
      </w:r>
      <w:r w:rsidR="009E627E">
        <w:t>)</w:t>
      </w:r>
      <w:r w:rsidRPr="0086600A">
        <w:t xml:space="preserve"> in England. Overall the prescribing was found to be in line with the approved S</w:t>
      </w:r>
      <w:r w:rsidR="009E627E">
        <w:t>ummary of Product Characteristics (S</w:t>
      </w:r>
      <w:r w:rsidRPr="0086600A">
        <w:t>mPC</w:t>
      </w:r>
      <w:r w:rsidR="009E627E">
        <w:t>)</w:t>
      </w:r>
      <w:r w:rsidRPr="0086600A">
        <w:t>. The median time from test dose to effective dose was 19.5 days. Where specified (n=201), the most frequent effective dose reported was 100 µg (n=66) as was the dose reported on initiation of maintenance regimen of fentanyl buccal tablets (n=72 of 200 responses). There were four reports of doses in excess of 800 µg for both the effective and maintenance dose; one report of 1,000 µg, two reports of 1,200 µg and one of 3,200 µg. There were no new safety events identified. There were no cases of respiratory failure reported during neither treatment nor obliterative bronchiolitis; however there was one case of respiratory depression reported. There were two cases of opioid withdrawal syndrome reported during treatment with fentanyl buccal tablets and four cases of overdose reported.</w:t>
      </w:r>
    </w:p>
    <w:p w:rsidR="005B38FC" w:rsidRDefault="005B38FC" w:rsidP="00EE3657">
      <w:r w:rsidRPr="00664D36">
        <w:rPr>
          <w:b/>
        </w:rPr>
        <w:t>Further details</w:t>
      </w:r>
      <w:r>
        <w:t xml:space="preserve"> on the </w:t>
      </w:r>
      <w:r w:rsidRPr="00664D36">
        <w:rPr>
          <w:b/>
        </w:rPr>
        <w:t>efficacy and safety</w:t>
      </w:r>
      <w:r>
        <w:t xml:space="preserve"> of the proposed new dosage form, route of administration and indication for fentanyl citrate (Fentora) are </w:t>
      </w:r>
      <w:r w:rsidR="009E627E">
        <w:t>described in Attachment 2 Extract from the Clinical Evaluation Report</w:t>
      </w:r>
      <w:r>
        <w:t>.</w:t>
      </w:r>
    </w:p>
    <w:p w:rsidR="007B6132" w:rsidRDefault="007B6132" w:rsidP="00EE3657">
      <w:pPr>
        <w:pStyle w:val="Heading4"/>
      </w:pPr>
      <w:r w:rsidRPr="007B6132">
        <w:lastRenderedPageBreak/>
        <w:t>Clinical evaluator’</w:t>
      </w:r>
      <w:r w:rsidR="00527411">
        <w:t>s recommendation</w:t>
      </w:r>
    </w:p>
    <w:p w:rsidR="005B38FC" w:rsidRPr="005B38FC" w:rsidRDefault="005B38FC" w:rsidP="00EE3657">
      <w:r w:rsidRPr="009E627E">
        <w:t>The clinical evaluator recommended approval.</w:t>
      </w:r>
    </w:p>
    <w:p w:rsidR="008E7846" w:rsidRDefault="00386150" w:rsidP="00EE3657">
      <w:pPr>
        <w:pStyle w:val="Heading3"/>
        <w:rPr>
          <w:lang w:eastAsia="en-AU"/>
        </w:rPr>
      </w:pPr>
      <w:bookmarkStart w:id="138" w:name="_Toc420586679"/>
      <w:r>
        <w:rPr>
          <w:lang w:eastAsia="en-AU"/>
        </w:rPr>
        <w:t>Risk m</w:t>
      </w:r>
      <w:r w:rsidR="008E7846">
        <w:rPr>
          <w:lang w:eastAsia="en-AU"/>
        </w:rPr>
        <w:t xml:space="preserve">anagement </w:t>
      </w:r>
      <w:r>
        <w:rPr>
          <w:lang w:eastAsia="en-AU"/>
        </w:rPr>
        <w:t>p</w:t>
      </w:r>
      <w:r w:rsidR="008E7846">
        <w:rPr>
          <w:lang w:eastAsia="en-AU"/>
        </w:rPr>
        <w:t>lan</w:t>
      </w:r>
      <w:bookmarkEnd w:id="137"/>
      <w:bookmarkEnd w:id="138"/>
    </w:p>
    <w:p w:rsidR="005B38FC" w:rsidRPr="005B38FC" w:rsidRDefault="005B38FC" w:rsidP="00EE3657">
      <w:pPr>
        <w:rPr>
          <w:lang w:eastAsia="en-AU"/>
        </w:rPr>
      </w:pPr>
      <w:r>
        <w:rPr>
          <w:lang w:eastAsia="en-AU"/>
        </w:rPr>
        <w:t xml:space="preserve">See </w:t>
      </w:r>
      <w:r w:rsidRPr="005B38FC">
        <w:rPr>
          <w:lang w:eastAsia="en-AU"/>
        </w:rPr>
        <w:t>Pharmacovigilance findings</w:t>
      </w:r>
      <w:r>
        <w:rPr>
          <w:lang w:eastAsia="en-AU"/>
        </w:rPr>
        <w:t xml:space="preserve"> above.</w:t>
      </w:r>
    </w:p>
    <w:p w:rsidR="008E7846" w:rsidRDefault="00AA0ED0" w:rsidP="00EE3657">
      <w:pPr>
        <w:pStyle w:val="Heading3"/>
      </w:pPr>
      <w:bookmarkStart w:id="139" w:name="_Toc247691531"/>
      <w:bookmarkStart w:id="140" w:name="_Toc314842515"/>
      <w:bookmarkStart w:id="141" w:name="_Toc196046505"/>
      <w:bookmarkStart w:id="142" w:name="_Toc196046949"/>
      <w:bookmarkStart w:id="143" w:name="_Toc420586680"/>
      <w:r>
        <w:t>Risk-benefit a</w:t>
      </w:r>
      <w:r w:rsidR="008E7846">
        <w:t>nalysis</w:t>
      </w:r>
      <w:bookmarkEnd w:id="139"/>
      <w:bookmarkEnd w:id="140"/>
      <w:bookmarkEnd w:id="143"/>
    </w:p>
    <w:p w:rsidR="00D23139" w:rsidRDefault="00527411" w:rsidP="006E1277">
      <w:pPr>
        <w:pStyle w:val="Heading4"/>
      </w:pPr>
      <w:r>
        <w:t>Delegate’s considerations</w:t>
      </w:r>
    </w:p>
    <w:p w:rsidR="005B38FC" w:rsidRDefault="005B38FC" w:rsidP="00EE3657">
      <w:r>
        <w:t>There is definitely a role for the buccal mucosa route of administration for fentanyl in the management of breakthrough pain in adults with cancer. Such patients are often weak and lethargic as they approach the end of life stage. The availability of a fentanyl formulation, that can be placed inside the cheek will provide for a simple route of analgesic administration, for a relatively pain free exit. None of the evaluators have raised objection to approval of the application.</w:t>
      </w:r>
    </w:p>
    <w:p w:rsidR="005B38FC" w:rsidRDefault="005B38FC" w:rsidP="00EE3657">
      <w:r>
        <w:t>The draft Product Information needs modifications as suggested by the evaluators.</w:t>
      </w:r>
      <w:r w:rsidR="009E627E">
        <w:t xml:space="preserve"> The details of these are however beyond the scope of this AusPAR.</w:t>
      </w:r>
    </w:p>
    <w:p w:rsidR="005C73FA" w:rsidRDefault="005C73FA" w:rsidP="00EE3657">
      <w:pPr>
        <w:pStyle w:val="Heading5"/>
      </w:pPr>
      <w:r>
        <w:t>Summary of issues</w:t>
      </w:r>
    </w:p>
    <w:p w:rsidR="005C73FA" w:rsidRDefault="005C73FA" w:rsidP="00CA52B0">
      <w:r w:rsidRPr="001E4EF1">
        <w:rPr>
          <w:rFonts w:cstheme="minorHAnsi"/>
        </w:rPr>
        <w:t>The PK studies for FEBT were consistent with the known information for fentanyl. The absolute and r</w:t>
      </w:r>
      <w:r w:rsidRPr="001E4EF1">
        <w:t xml:space="preserve">elative bio availabilities were assessed in </w:t>
      </w:r>
      <w:r w:rsidRPr="009E627E">
        <w:t xml:space="preserve">Study </w:t>
      </w:r>
      <w:r w:rsidRPr="009E627E">
        <w:rPr>
          <w:bCs/>
        </w:rPr>
        <w:t>C25608/1028/BA/US</w:t>
      </w:r>
      <w:r w:rsidRPr="001E4EF1">
        <w:rPr>
          <w:bCs/>
          <w:i/>
        </w:rPr>
        <w:t>.</w:t>
      </w:r>
      <w:r w:rsidRPr="001E4EF1">
        <w:rPr>
          <w:bCs/>
        </w:rPr>
        <w:t xml:space="preserve"> </w:t>
      </w:r>
      <w:r w:rsidRPr="001E4EF1">
        <w:t>The relative bioavailability of a single 400 μg</w:t>
      </w:r>
      <w:r w:rsidR="00281C4E">
        <w:t xml:space="preserve"> </w:t>
      </w:r>
      <w:r w:rsidRPr="001E4EF1">
        <w:t>transmucosal dose of Oravescent</w:t>
      </w:r>
      <w:r w:rsidR="00281C4E">
        <w:t xml:space="preserve"> </w:t>
      </w:r>
      <w:r w:rsidRPr="001E4EF1">
        <w:t>fentanyl (as citrate) was compared to a single 800 μg oral dose of Oravescent fentanyl (as citrate) and a single 800 μg transmucosal dose of Actiq fentanyl (as citrate) lozenge. The absolute bioavailability of these formulations was compared with an intravenous infusion of 400 μg fentanyl as assessed by AUC</w:t>
      </w:r>
      <w:r w:rsidRPr="001E4EF1">
        <w:rPr>
          <w:vertAlign w:val="subscript"/>
        </w:rPr>
        <w:t>0-∞</w:t>
      </w:r>
      <w:r w:rsidRPr="001E4EF1">
        <w:t>.</w:t>
      </w:r>
    </w:p>
    <w:p w:rsidR="005C73FA" w:rsidRPr="006E1277" w:rsidRDefault="005C73FA" w:rsidP="00CA52B0">
      <w:r w:rsidRPr="001E4EF1">
        <w:t xml:space="preserve">Two double blind, randomised, placebo controlled studies </w:t>
      </w:r>
      <w:r w:rsidRPr="009E627E">
        <w:t>(099-14 and C25608/3039/BP/US)</w:t>
      </w:r>
      <w:r w:rsidRPr="001E4EF1">
        <w:rPr>
          <w:i/>
        </w:rPr>
        <w:t xml:space="preserve"> </w:t>
      </w:r>
      <w:r w:rsidRPr="001E4EF1">
        <w:t>to determine the clinical efficacy, safety and tolerability of Oravescent fentanyl citrate when used to relieve breakthrough pain</w:t>
      </w:r>
      <w:r w:rsidRPr="009E627E">
        <w:t xml:space="preserve"> (BTP) in opioid tolerant patients with cancer and who, are already receiving maint</w:t>
      </w:r>
      <w:r w:rsidR="00CA52B0">
        <w:t>enance opioids, were submitted.</w:t>
      </w:r>
    </w:p>
    <w:p w:rsidR="005C73FA" w:rsidRPr="001E4EF1" w:rsidRDefault="005C73FA" w:rsidP="00CA52B0">
      <w:r w:rsidRPr="009E627E">
        <w:t>The efficacy results from both pivotal studies showed a consistent positive effect for fentanyl effervescent buccal tablet (FEBT) compared to placebo, ac</w:t>
      </w:r>
      <w:r w:rsidRPr="001E4EF1">
        <w:t xml:space="preserve">ross the standard measures of pain (pain intensity, pain relief and use of rescue medication) and time points (15, 30, 45, and 60 minutes). At both the 30 and 60 minute time points, a patient was twice as likely to achieve at least a 33% or 50% decrease in pain intensity with </w:t>
      </w:r>
      <w:r w:rsidR="00527411">
        <w:t>FEBT compared to placebo.</w:t>
      </w:r>
    </w:p>
    <w:p w:rsidR="005C73FA" w:rsidRPr="00966B6A" w:rsidRDefault="005C73FA" w:rsidP="00CA52B0">
      <w:r w:rsidRPr="001E4EF1">
        <w:t>There were also</w:t>
      </w:r>
      <w:r w:rsidRPr="001E4EF1">
        <w:rPr>
          <w:i/>
        </w:rPr>
        <w:t xml:space="preserve"> </w:t>
      </w:r>
      <w:r w:rsidRPr="009E627E">
        <w:t>two</w:t>
      </w:r>
      <w:r w:rsidRPr="001E4EF1">
        <w:rPr>
          <w:i/>
        </w:rPr>
        <w:t xml:space="preserve"> </w:t>
      </w:r>
      <w:r w:rsidRPr="001E4EF1">
        <w:t xml:space="preserve">non-pivotal studies </w:t>
      </w:r>
      <w:r w:rsidRPr="009E627E">
        <w:t>(C25608/4027/BP/EU and 099-15)</w:t>
      </w:r>
      <w:r w:rsidRPr="001E4EF1">
        <w:t>, which were open label and non-comparative. They provided some long term data demonstrating that the efficacy is maintained for up to 12 months.</w:t>
      </w:r>
    </w:p>
    <w:p w:rsidR="005C73FA" w:rsidRPr="00527411" w:rsidRDefault="005C73FA" w:rsidP="00CA52B0">
      <w:r>
        <w:t xml:space="preserve">No </w:t>
      </w:r>
      <w:r w:rsidRPr="001E4EF1">
        <w:t xml:space="preserve">new safety issues emerged from the clinical studies. The most common AEs reported with FEBT treatment were characteristic of fentanyl products, namely nausea, dizziness, constipation, fatigue, headache and vomiting. The incidence and types of </w:t>
      </w:r>
      <w:r w:rsidR="009E627E">
        <w:t>AEs</w:t>
      </w:r>
      <w:r w:rsidRPr="001E4EF1">
        <w:t xml:space="preserve"> did not appear to be dose related. Further, the rapid absorption of FEBT did not appear to affect the type or severity of the AEs reported</w:t>
      </w:r>
      <w:r w:rsidR="00527411">
        <w:t>.</w:t>
      </w:r>
    </w:p>
    <w:p w:rsidR="00D23139" w:rsidRDefault="009E627E" w:rsidP="00CA52B0">
      <w:pPr>
        <w:pStyle w:val="Heading5"/>
      </w:pPr>
      <w:r>
        <w:t>Delegate’s p</w:t>
      </w:r>
      <w:r w:rsidR="00D23139" w:rsidRPr="00D23139">
        <w:t>roposed action</w:t>
      </w:r>
    </w:p>
    <w:p w:rsidR="005B38FC" w:rsidRPr="009E627E" w:rsidRDefault="009E627E" w:rsidP="00CA52B0">
      <w:r w:rsidRPr="009E627E">
        <w:t>The Delegate had</w:t>
      </w:r>
      <w:r w:rsidR="005B38FC" w:rsidRPr="009E627E">
        <w:t xml:space="preserve"> no reason to say, at this time, that the application to</w:t>
      </w:r>
      <w:r w:rsidR="00281C4E" w:rsidRPr="009E627E">
        <w:t xml:space="preserve"> </w:t>
      </w:r>
      <w:r w:rsidR="005B38FC" w:rsidRPr="009E627E">
        <w:t xml:space="preserve">register a new dosage form and route of administration of Fentanyl Citrate (Fentora) should not be </w:t>
      </w:r>
      <w:r w:rsidR="005B38FC" w:rsidRPr="009E627E">
        <w:lastRenderedPageBreak/>
        <w:t>approved</w:t>
      </w:r>
      <w:r w:rsidR="00281C4E" w:rsidRPr="009E627E">
        <w:t xml:space="preserve"> </w:t>
      </w:r>
      <w:r w:rsidR="005B38FC" w:rsidRPr="009E627E">
        <w:t>subject to resolving issues, arising from the ACPM deliberations and finalisation of matters pertaining to the d</w:t>
      </w:r>
      <w:r w:rsidRPr="009E627E">
        <w:t xml:space="preserve">raft </w:t>
      </w:r>
      <w:r w:rsidR="005B38FC" w:rsidRPr="009E627E">
        <w:t>PI and RMP to the satisfaction of the TGA.</w:t>
      </w:r>
    </w:p>
    <w:p w:rsidR="00D23139" w:rsidRDefault="00D23139" w:rsidP="00CA52B0">
      <w:pPr>
        <w:pStyle w:val="Heading5"/>
      </w:pPr>
      <w:r w:rsidRPr="00D23139">
        <w:t>Request for ACPM advice</w:t>
      </w:r>
    </w:p>
    <w:p w:rsidR="005B38FC" w:rsidRPr="001E4EF1" w:rsidRDefault="005B38FC" w:rsidP="00CA52B0">
      <w:pPr>
        <w:pStyle w:val="Numberbullet0"/>
        <w:numPr>
          <w:ilvl w:val="0"/>
          <w:numId w:val="28"/>
        </w:numPr>
      </w:pPr>
      <w:r w:rsidRPr="001E4EF1">
        <w:t>In the consideration for approval, the committee is requested to provide advice on any issues that it thinks may be relevant, to a decision not to approve the application.</w:t>
      </w:r>
    </w:p>
    <w:p w:rsidR="00D23139" w:rsidRDefault="00527411" w:rsidP="00CA52B0">
      <w:pPr>
        <w:pStyle w:val="Heading4"/>
      </w:pPr>
      <w:r>
        <w:t xml:space="preserve">Response from </w:t>
      </w:r>
      <w:r w:rsidR="00CA52B0">
        <w:t>s</w:t>
      </w:r>
      <w:r>
        <w:t>ponsor</w:t>
      </w:r>
    </w:p>
    <w:p w:rsidR="00AE085C" w:rsidRDefault="00AE085C" w:rsidP="00CA52B0">
      <w:r>
        <w:t>The following appendices have been requested:</w:t>
      </w:r>
    </w:p>
    <w:p w:rsidR="00AE085C" w:rsidRPr="00CA52B0" w:rsidRDefault="00AE085C" w:rsidP="00CA52B0">
      <w:pPr>
        <w:pStyle w:val="Numberbullet0"/>
        <w:numPr>
          <w:ilvl w:val="0"/>
          <w:numId w:val="29"/>
        </w:numPr>
        <w:rPr>
          <w:b/>
        </w:rPr>
      </w:pPr>
      <w:r w:rsidRPr="00CA52B0">
        <w:rPr>
          <w:b/>
        </w:rPr>
        <w:t>A tabulation of any serious unexpected adverse drug reactions which are</w:t>
      </w:r>
      <w:r w:rsidR="00CA22FA" w:rsidRPr="00CA52B0">
        <w:rPr>
          <w:b/>
        </w:rPr>
        <w:t xml:space="preserve"> </w:t>
      </w:r>
      <w:r w:rsidRPr="00CA52B0">
        <w:rPr>
          <w:b/>
        </w:rPr>
        <w:t xml:space="preserve">not mentioned in the proposed Australian </w:t>
      </w:r>
      <w:r w:rsidR="00CA22FA" w:rsidRPr="00CA52B0">
        <w:rPr>
          <w:b/>
        </w:rPr>
        <w:t>PI</w:t>
      </w:r>
      <w:r w:rsidRPr="00CA52B0">
        <w:rPr>
          <w:b/>
        </w:rPr>
        <w:t xml:space="preserve"> and have</w:t>
      </w:r>
      <w:r w:rsidR="00CA22FA" w:rsidRPr="00CA52B0">
        <w:rPr>
          <w:b/>
        </w:rPr>
        <w:t xml:space="preserve"> </w:t>
      </w:r>
      <w:r w:rsidRPr="00CA52B0">
        <w:rPr>
          <w:b/>
        </w:rPr>
        <w:t>not been submitted previously.</w:t>
      </w:r>
    </w:p>
    <w:p w:rsidR="00CA22FA" w:rsidRPr="00974CED" w:rsidRDefault="00527411" w:rsidP="006E1277">
      <w:pPr>
        <w:rPr>
          <w:b/>
        </w:rPr>
      </w:pPr>
      <w:r>
        <w:t>Response</w:t>
      </w:r>
    </w:p>
    <w:p w:rsidR="00AE085C" w:rsidRDefault="00AE085C" w:rsidP="00CA52B0">
      <w:r>
        <w:t>There are no additional serious unexpected adverse reactions that</w:t>
      </w:r>
      <w:r w:rsidR="00CA22FA">
        <w:t xml:space="preserve"> </w:t>
      </w:r>
      <w:r>
        <w:t>have been reported. The information in the proposed Australian PI is accurate and up to date.</w:t>
      </w:r>
    </w:p>
    <w:p w:rsidR="00AE085C" w:rsidRPr="00CA52B0" w:rsidRDefault="00AE085C" w:rsidP="00CA52B0">
      <w:pPr>
        <w:pStyle w:val="Numberbullet0"/>
        <w:rPr>
          <w:b/>
        </w:rPr>
      </w:pPr>
      <w:r w:rsidRPr="00CA52B0">
        <w:rPr>
          <w:b/>
        </w:rPr>
        <w:t>The updated proposed Australian Product Information and the most up-to</w:t>
      </w:r>
      <w:r w:rsidR="00CA22FA" w:rsidRPr="00CA52B0">
        <w:rPr>
          <w:b/>
        </w:rPr>
        <w:t xml:space="preserve"> </w:t>
      </w:r>
      <w:r w:rsidRPr="00CA52B0">
        <w:rPr>
          <w:b/>
        </w:rPr>
        <w:t>date</w:t>
      </w:r>
      <w:r w:rsidR="00CA22FA" w:rsidRPr="00CA52B0">
        <w:rPr>
          <w:b/>
        </w:rPr>
        <w:t xml:space="preserve"> </w:t>
      </w:r>
      <w:r w:rsidRPr="00CA52B0">
        <w:rPr>
          <w:b/>
        </w:rPr>
        <w:t>Consumer Product Information.</w:t>
      </w:r>
    </w:p>
    <w:p w:rsidR="00CA22FA" w:rsidRDefault="00527411" w:rsidP="006E1277">
      <w:r>
        <w:t>Response</w:t>
      </w:r>
    </w:p>
    <w:p w:rsidR="00CA22FA" w:rsidRDefault="00AE085C" w:rsidP="00CA52B0">
      <w:r>
        <w:t>The P</w:t>
      </w:r>
      <w:r w:rsidR="00CA22FA">
        <w:t>I and CMI were attached</w:t>
      </w:r>
      <w:r w:rsidR="00527411">
        <w:t>.</w:t>
      </w:r>
    </w:p>
    <w:p w:rsidR="00AE085C" w:rsidRPr="00CA52B0" w:rsidRDefault="00AE085C" w:rsidP="00CA52B0">
      <w:pPr>
        <w:pStyle w:val="Numberbullet0"/>
        <w:rPr>
          <w:b/>
        </w:rPr>
      </w:pPr>
      <w:r w:rsidRPr="00CA52B0">
        <w:rPr>
          <w:b/>
        </w:rPr>
        <w:t>A statement of the current international regulatory status of the drug. This</w:t>
      </w:r>
      <w:r w:rsidR="00CA22FA" w:rsidRPr="00CA52B0">
        <w:rPr>
          <w:b/>
        </w:rPr>
        <w:t xml:space="preserve"> </w:t>
      </w:r>
      <w:r w:rsidRPr="00CA52B0">
        <w:rPr>
          <w:b/>
        </w:rPr>
        <w:t>should detail approvals (with indications), deferrals, withdrawals and</w:t>
      </w:r>
      <w:r w:rsidR="00CA22FA" w:rsidRPr="00CA52B0">
        <w:rPr>
          <w:b/>
        </w:rPr>
        <w:t xml:space="preserve"> </w:t>
      </w:r>
      <w:r w:rsidRPr="00CA52B0">
        <w:rPr>
          <w:b/>
        </w:rPr>
        <w:t>rejections (with reasons for these three).</w:t>
      </w:r>
    </w:p>
    <w:p w:rsidR="00CA22FA" w:rsidRDefault="00AE085C" w:rsidP="006E1277">
      <w:r>
        <w:t>Response</w:t>
      </w:r>
    </w:p>
    <w:p w:rsidR="00AE085C" w:rsidRDefault="00AE085C" w:rsidP="00CA52B0">
      <w:r>
        <w:t>The regulatory status information has not changed since the</w:t>
      </w:r>
      <w:r w:rsidR="00CA22FA">
        <w:t xml:space="preserve"> </w:t>
      </w:r>
      <w:r>
        <w:t xml:space="preserve">original submission of the </w:t>
      </w:r>
      <w:proofErr w:type="spellStart"/>
      <w:r>
        <w:t>F</w:t>
      </w:r>
      <w:r w:rsidR="00CA22FA">
        <w:t>entora</w:t>
      </w:r>
      <w:proofErr w:type="spellEnd"/>
      <w:r w:rsidR="00527411">
        <w:t xml:space="preserve"> dossier.</w:t>
      </w:r>
    </w:p>
    <w:p w:rsidR="00AE085C" w:rsidRPr="00CA52B0" w:rsidRDefault="00AE085C" w:rsidP="00CA52B0">
      <w:pPr>
        <w:pStyle w:val="Numberbullet0"/>
        <w:rPr>
          <w:b/>
        </w:rPr>
      </w:pPr>
      <w:r w:rsidRPr="00CA52B0">
        <w:rPr>
          <w:b/>
        </w:rPr>
        <w:t>Where available, the UK, US and Canadian Product Information documents</w:t>
      </w:r>
      <w:r w:rsidR="00CA22FA" w:rsidRPr="00CA52B0">
        <w:rPr>
          <w:b/>
        </w:rPr>
        <w:t xml:space="preserve"> </w:t>
      </w:r>
      <w:r w:rsidRPr="00CA52B0">
        <w:rPr>
          <w:b/>
        </w:rPr>
        <w:t>and an English translation of the Swedish Product Information.</w:t>
      </w:r>
    </w:p>
    <w:p w:rsidR="00CA22FA" w:rsidRDefault="00AE085C" w:rsidP="006E1277">
      <w:r>
        <w:t>Response</w:t>
      </w:r>
    </w:p>
    <w:p w:rsidR="00AE085C" w:rsidRDefault="00CA22FA" w:rsidP="00CA52B0">
      <w:r>
        <w:t>The documents were attached</w:t>
      </w:r>
      <w:r w:rsidR="00AE085C">
        <w:t>. A similar</w:t>
      </w:r>
      <w:r>
        <w:t xml:space="preserve"> </w:t>
      </w:r>
      <w:r w:rsidR="00AE085C">
        <w:t>application has not been lodged in Sweden, therefore, the Swedish Product</w:t>
      </w:r>
      <w:r>
        <w:t xml:space="preserve"> </w:t>
      </w:r>
      <w:r w:rsidR="00AE085C">
        <w:t>Information is not applicable and has not been included as part of the</w:t>
      </w:r>
      <w:r>
        <w:t xml:space="preserve"> </w:t>
      </w:r>
      <w:r w:rsidR="00AE085C">
        <w:t>response. A compar</w:t>
      </w:r>
      <w:r>
        <w:t>ison of the foreign PIs was</w:t>
      </w:r>
      <w:r w:rsidR="00AE085C">
        <w:t xml:space="preserve"> provided.</w:t>
      </w:r>
    </w:p>
    <w:p w:rsidR="00AE085C" w:rsidRPr="00CA52B0" w:rsidRDefault="00AE085C" w:rsidP="00CA52B0">
      <w:pPr>
        <w:pStyle w:val="Numberbullet0"/>
        <w:rPr>
          <w:b/>
        </w:rPr>
      </w:pPr>
      <w:r w:rsidRPr="00CA52B0">
        <w:rPr>
          <w:b/>
        </w:rPr>
        <w:t>Please include a copy of the latest PSUR, unless already supplied or unless</w:t>
      </w:r>
      <w:r w:rsidR="00CA22FA" w:rsidRPr="00CA52B0">
        <w:rPr>
          <w:b/>
        </w:rPr>
        <w:t xml:space="preserve"> </w:t>
      </w:r>
      <w:r w:rsidRPr="00CA52B0">
        <w:rPr>
          <w:b/>
        </w:rPr>
        <w:t>none is available.</w:t>
      </w:r>
    </w:p>
    <w:p w:rsidR="00CA22FA" w:rsidRDefault="00CA22FA" w:rsidP="006E1277">
      <w:r>
        <w:t>Response</w:t>
      </w:r>
    </w:p>
    <w:p w:rsidR="00CA22FA" w:rsidRDefault="00AE085C" w:rsidP="00CA52B0">
      <w:r>
        <w:t>The latest PSUR No. 439/05/14 (</w:t>
      </w:r>
      <w:r w:rsidR="00CA22FA">
        <w:t>data lock point (</w:t>
      </w:r>
      <w:r>
        <w:t>DLP</w:t>
      </w:r>
      <w:r w:rsidR="00CA22FA">
        <w:t>)</w:t>
      </w:r>
      <w:r>
        <w:t xml:space="preserve"> 1 May 2013</w:t>
      </w:r>
      <w:r w:rsidR="00CA22FA">
        <w:t xml:space="preserve"> to </w:t>
      </w:r>
      <w:r>
        <w:t>30 April 2014)</w:t>
      </w:r>
      <w:r w:rsidR="00CA22FA">
        <w:t xml:space="preserve"> was</w:t>
      </w:r>
      <w:r>
        <w:t xml:space="preserve"> </w:t>
      </w:r>
      <w:r w:rsidR="00CA22FA">
        <w:t>a</w:t>
      </w:r>
      <w:r>
        <w:t>ttached.</w:t>
      </w:r>
      <w:r w:rsidR="00CA22FA">
        <w:t xml:space="preserve"> </w:t>
      </w:r>
      <w:r>
        <w:t xml:space="preserve">In addition, please find our response to the </w:t>
      </w:r>
      <w:r w:rsidR="00CA22FA">
        <w:t>Delegate’s questions</w:t>
      </w:r>
    </w:p>
    <w:p w:rsidR="00AE085C" w:rsidRDefault="00974CED" w:rsidP="00CA52B0">
      <w:pPr>
        <w:pStyle w:val="Heading5"/>
      </w:pPr>
      <w:r>
        <w:t xml:space="preserve">Nonclinical and </w:t>
      </w:r>
      <w:r w:rsidR="00527411">
        <w:t>c</w:t>
      </w:r>
      <w:r>
        <w:t>linical evaluations</w:t>
      </w:r>
    </w:p>
    <w:p w:rsidR="00AE085C" w:rsidRPr="00CA52B0" w:rsidRDefault="00AE085C" w:rsidP="00CA52B0">
      <w:pPr>
        <w:pStyle w:val="Numberbullet2"/>
        <w:rPr>
          <w:b/>
        </w:rPr>
      </w:pPr>
      <w:r w:rsidRPr="00CA52B0">
        <w:rPr>
          <w:b/>
        </w:rPr>
        <w:t>Summary of toxicological data evaluation as per the evaluator.</w:t>
      </w:r>
    </w:p>
    <w:p w:rsidR="00974CED" w:rsidRDefault="00AE085C" w:rsidP="006E1277">
      <w:r>
        <w:t>Response</w:t>
      </w:r>
    </w:p>
    <w:p w:rsidR="00AE085C" w:rsidRDefault="00AE085C" w:rsidP="00CA52B0">
      <w:r>
        <w:t>The recommended updates to the following sections of the</w:t>
      </w:r>
      <w:r w:rsidR="00974CED">
        <w:t xml:space="preserve"> </w:t>
      </w:r>
      <w:r>
        <w:t xml:space="preserve">Australian </w:t>
      </w:r>
      <w:r w:rsidR="00974CED">
        <w:t>PI</w:t>
      </w:r>
      <w:r>
        <w:t xml:space="preserve"> have been adopted; </w:t>
      </w:r>
      <w:r w:rsidRPr="00974CED">
        <w:rPr>
          <w:i/>
        </w:rPr>
        <w:t>Effects on Fertility, Use in</w:t>
      </w:r>
      <w:r w:rsidR="00974CED" w:rsidRPr="00974CED">
        <w:rPr>
          <w:i/>
        </w:rPr>
        <w:t xml:space="preserve"> </w:t>
      </w:r>
      <w:r w:rsidRPr="00974CED">
        <w:rPr>
          <w:i/>
        </w:rPr>
        <w:t>Pregnancy, Genotoxicity</w:t>
      </w:r>
      <w:r w:rsidR="00974CED">
        <w:t xml:space="preserve"> and</w:t>
      </w:r>
      <w:r>
        <w:t xml:space="preserve"> </w:t>
      </w:r>
      <w:r w:rsidRPr="00974CED">
        <w:rPr>
          <w:i/>
        </w:rPr>
        <w:t>Carcinogenicity</w:t>
      </w:r>
      <w:r>
        <w:t>.</w:t>
      </w:r>
    </w:p>
    <w:p w:rsidR="00AE085C" w:rsidRPr="00CA52B0" w:rsidRDefault="00AE085C" w:rsidP="00CA52B0">
      <w:pPr>
        <w:pStyle w:val="Numberbullet2"/>
        <w:rPr>
          <w:b/>
        </w:rPr>
      </w:pPr>
      <w:r w:rsidRPr="00CA52B0">
        <w:rPr>
          <w:b/>
        </w:rPr>
        <w:t>Overview of clinical data evaluation</w:t>
      </w:r>
    </w:p>
    <w:p w:rsidR="00974CED" w:rsidRDefault="00AE085C" w:rsidP="006E1277">
      <w:pPr>
        <w:pageBreakBefore/>
      </w:pPr>
      <w:r>
        <w:lastRenderedPageBreak/>
        <w:t>Response</w:t>
      </w:r>
    </w:p>
    <w:p w:rsidR="00AE085C" w:rsidRDefault="00AE085C" w:rsidP="00CA52B0">
      <w:r>
        <w:t>The recommended updates to the following sections of the</w:t>
      </w:r>
      <w:r w:rsidR="00974CED">
        <w:t xml:space="preserve"> </w:t>
      </w:r>
      <w:r>
        <w:t xml:space="preserve">Australian Product Information have been adopted; </w:t>
      </w:r>
      <w:r w:rsidRPr="00974CED">
        <w:rPr>
          <w:i/>
        </w:rPr>
        <w:t>Pharmacokinetic</w:t>
      </w:r>
      <w:r w:rsidR="00974CED" w:rsidRPr="00974CED">
        <w:rPr>
          <w:i/>
        </w:rPr>
        <w:t xml:space="preserve"> </w:t>
      </w:r>
      <w:r w:rsidRPr="00974CED">
        <w:rPr>
          <w:i/>
        </w:rPr>
        <w:t>Properties</w:t>
      </w:r>
      <w:r w:rsidR="00974CED">
        <w:t xml:space="preserve"> and </w:t>
      </w:r>
      <w:r w:rsidRPr="00974CED">
        <w:rPr>
          <w:i/>
        </w:rPr>
        <w:t>Adverse effects</w:t>
      </w:r>
      <w:r>
        <w:t>.</w:t>
      </w:r>
    </w:p>
    <w:p w:rsidR="00AE085C" w:rsidRDefault="00527411" w:rsidP="00CA52B0">
      <w:pPr>
        <w:pStyle w:val="Heading5"/>
      </w:pPr>
      <w:r>
        <w:t>RMP evaluation</w:t>
      </w:r>
    </w:p>
    <w:p w:rsidR="00AE085C" w:rsidRPr="00CA52B0" w:rsidRDefault="00AE085C" w:rsidP="00CA52B0">
      <w:pPr>
        <w:pStyle w:val="Numberbullet2"/>
        <w:rPr>
          <w:b/>
        </w:rPr>
      </w:pPr>
      <w:r w:rsidRPr="00CA52B0">
        <w:rPr>
          <w:b/>
        </w:rPr>
        <w:t>The sponsor should review the proposed materials for errors (including the</w:t>
      </w:r>
      <w:r w:rsidR="00CA22FA" w:rsidRPr="00CA52B0">
        <w:rPr>
          <w:b/>
        </w:rPr>
        <w:t xml:space="preserve"> </w:t>
      </w:r>
      <w:r w:rsidRPr="00CA52B0">
        <w:rPr>
          <w:b/>
        </w:rPr>
        <w:t>use of trade names not proposed for Australia, and ASA version labelling)</w:t>
      </w:r>
      <w:r w:rsidR="00CA22FA" w:rsidRPr="00CA52B0">
        <w:rPr>
          <w:b/>
        </w:rPr>
        <w:t xml:space="preserve"> </w:t>
      </w:r>
      <w:r w:rsidRPr="00CA52B0">
        <w:rPr>
          <w:b/>
        </w:rPr>
        <w:t>and ensure internal and external consistency. It is noted that the dose</w:t>
      </w:r>
      <w:r w:rsidR="00CA22FA" w:rsidRPr="00CA52B0">
        <w:rPr>
          <w:b/>
        </w:rPr>
        <w:t xml:space="preserve"> </w:t>
      </w:r>
      <w:r w:rsidRPr="00CA52B0">
        <w:rPr>
          <w:b/>
        </w:rPr>
        <w:t>titration flowchart contains the trade name ‘E</w:t>
      </w:r>
      <w:r w:rsidR="00CA22FA" w:rsidRPr="00CA52B0">
        <w:rPr>
          <w:b/>
        </w:rPr>
        <w:t>ffentora</w:t>
      </w:r>
      <w:r w:rsidRPr="00CA52B0">
        <w:rPr>
          <w:b/>
        </w:rPr>
        <w:t>’ rather than</w:t>
      </w:r>
      <w:r w:rsidR="00CA22FA" w:rsidRPr="00CA52B0">
        <w:rPr>
          <w:b/>
        </w:rPr>
        <w:t xml:space="preserve"> </w:t>
      </w:r>
      <w:r w:rsidRPr="00CA52B0">
        <w:rPr>
          <w:b/>
        </w:rPr>
        <w:t>‘F</w:t>
      </w:r>
      <w:r w:rsidR="00CA22FA" w:rsidRPr="00CA52B0">
        <w:rPr>
          <w:b/>
        </w:rPr>
        <w:t>entora’</w:t>
      </w:r>
      <w:r w:rsidRPr="00CA52B0">
        <w:rPr>
          <w:b/>
        </w:rPr>
        <w:t xml:space="preserve"> (the proposed trade name for Australia). The sponsor should</w:t>
      </w:r>
      <w:r w:rsidR="00CA22FA" w:rsidRPr="00CA52B0">
        <w:rPr>
          <w:b/>
        </w:rPr>
        <w:t xml:space="preserve"> </w:t>
      </w:r>
      <w:r w:rsidRPr="00CA52B0">
        <w:rPr>
          <w:b/>
        </w:rPr>
        <w:t>amend this.</w:t>
      </w:r>
    </w:p>
    <w:p w:rsidR="00CA22FA" w:rsidRDefault="00AE085C" w:rsidP="006E1277">
      <w:r>
        <w:t>Response</w:t>
      </w:r>
    </w:p>
    <w:p w:rsidR="00AE085C" w:rsidRDefault="00AE085C" w:rsidP="00CA52B0">
      <w:r>
        <w:t>The Australian P</w:t>
      </w:r>
      <w:r w:rsidR="00CA22FA">
        <w:t>I</w:t>
      </w:r>
      <w:r>
        <w:t xml:space="preserve">, the </w:t>
      </w:r>
      <w:r w:rsidR="00CA22FA">
        <w:t xml:space="preserve">CMI </w:t>
      </w:r>
      <w:r>
        <w:t>and the educational materials attached to the ASA have been</w:t>
      </w:r>
      <w:r w:rsidR="00CA22FA">
        <w:t xml:space="preserve"> </w:t>
      </w:r>
      <w:r>
        <w:t>re</w:t>
      </w:r>
      <w:r w:rsidR="00CA22FA">
        <w:t>viewed and updated as required</w:t>
      </w:r>
      <w:r>
        <w:t>.</w:t>
      </w:r>
    </w:p>
    <w:p w:rsidR="00AE085C" w:rsidRPr="00CA52B0" w:rsidRDefault="00AE085C" w:rsidP="00CA52B0">
      <w:pPr>
        <w:pStyle w:val="Numberbullet2"/>
        <w:rPr>
          <w:b/>
        </w:rPr>
      </w:pPr>
      <w:r w:rsidRPr="00CA52B0">
        <w:rPr>
          <w:b/>
        </w:rPr>
        <w:t>The sponsor should add the planned Canadian Drug Utilisation Study to the</w:t>
      </w:r>
      <w:r w:rsidR="00CA22FA" w:rsidRPr="00CA52B0">
        <w:rPr>
          <w:b/>
        </w:rPr>
        <w:t xml:space="preserve"> </w:t>
      </w:r>
      <w:r w:rsidRPr="00CA52B0">
        <w:rPr>
          <w:b/>
        </w:rPr>
        <w:t>pharmacovigilance plan, update the ASA accordingly, and provide updates</w:t>
      </w:r>
      <w:r w:rsidR="00CA22FA" w:rsidRPr="00CA52B0">
        <w:rPr>
          <w:b/>
        </w:rPr>
        <w:t xml:space="preserve"> </w:t>
      </w:r>
      <w:r w:rsidRPr="00CA52B0">
        <w:rPr>
          <w:b/>
        </w:rPr>
        <w:t>in PSURs or alternatively propose a Drug Utilisation Study to be conducted</w:t>
      </w:r>
      <w:r w:rsidR="00CA22FA" w:rsidRPr="00CA52B0">
        <w:rPr>
          <w:b/>
        </w:rPr>
        <w:t xml:space="preserve"> </w:t>
      </w:r>
      <w:r w:rsidRPr="00CA52B0">
        <w:rPr>
          <w:b/>
        </w:rPr>
        <w:t>in Australia.</w:t>
      </w:r>
    </w:p>
    <w:p w:rsidR="00974CED" w:rsidRDefault="00AE085C" w:rsidP="006E1277">
      <w:r>
        <w:t>Response</w:t>
      </w:r>
    </w:p>
    <w:p w:rsidR="00AE085C" w:rsidRDefault="00AE085C" w:rsidP="00CA52B0">
      <w:r>
        <w:t>The planned Canadian Drug Utilisation Study has been added to</w:t>
      </w:r>
      <w:r w:rsidR="00974CED">
        <w:t xml:space="preserve"> </w:t>
      </w:r>
      <w:r>
        <w:t>the pharmacovigilance plan and the ASA has been updated accordingly.</w:t>
      </w:r>
    </w:p>
    <w:p w:rsidR="00AE085C" w:rsidRPr="00CA52B0" w:rsidRDefault="00AE085C" w:rsidP="00CA52B0">
      <w:pPr>
        <w:pStyle w:val="Numberbullet2"/>
        <w:rPr>
          <w:b/>
        </w:rPr>
      </w:pPr>
      <w:r w:rsidRPr="00CA52B0">
        <w:rPr>
          <w:b/>
        </w:rPr>
        <w:t>The sponsor should ensure that any content to which the QR code links is in</w:t>
      </w:r>
      <w:r w:rsidR="00974CED" w:rsidRPr="00CA52B0">
        <w:rPr>
          <w:b/>
        </w:rPr>
        <w:t xml:space="preserve"> </w:t>
      </w:r>
      <w:r w:rsidRPr="00CA52B0">
        <w:rPr>
          <w:b/>
        </w:rPr>
        <w:t>compliance with relevant legislation.</w:t>
      </w:r>
    </w:p>
    <w:p w:rsidR="00974CED" w:rsidRDefault="00AE085C" w:rsidP="006E1277">
      <w:r>
        <w:t>Response</w:t>
      </w:r>
    </w:p>
    <w:p w:rsidR="00AE085C" w:rsidRDefault="00AE085C" w:rsidP="00CA52B0">
      <w:r>
        <w:t>An assurance has been provided in the ASA.</w:t>
      </w:r>
    </w:p>
    <w:p w:rsidR="00AE085C" w:rsidRPr="00CA52B0" w:rsidRDefault="00AE085C" w:rsidP="00CA52B0">
      <w:pPr>
        <w:pStyle w:val="Numberbullet2"/>
        <w:rPr>
          <w:b/>
        </w:rPr>
      </w:pPr>
      <w:r w:rsidRPr="00CA52B0">
        <w:rPr>
          <w:b/>
        </w:rPr>
        <w:t>In the submitted RMP, the sponsor has not outlined how they plan to</w:t>
      </w:r>
      <w:r w:rsidR="00974CED" w:rsidRPr="00CA52B0">
        <w:rPr>
          <w:b/>
        </w:rPr>
        <w:t xml:space="preserve"> </w:t>
      </w:r>
      <w:r w:rsidRPr="00CA52B0">
        <w:rPr>
          <w:b/>
        </w:rPr>
        <w:t>facilitate the systematic return of unused and used products (other than</w:t>
      </w:r>
      <w:r w:rsidR="00974CED" w:rsidRPr="00CA52B0">
        <w:rPr>
          <w:b/>
        </w:rPr>
        <w:t xml:space="preserve"> </w:t>
      </w:r>
      <w:r w:rsidRPr="00CA52B0">
        <w:rPr>
          <w:b/>
        </w:rPr>
        <w:t>CMI pack inserts). Further details should be made available to outline how</w:t>
      </w:r>
      <w:r w:rsidR="00974CED" w:rsidRPr="00CA52B0">
        <w:rPr>
          <w:b/>
        </w:rPr>
        <w:t xml:space="preserve"> </w:t>
      </w:r>
      <w:r w:rsidRPr="00CA52B0">
        <w:rPr>
          <w:b/>
        </w:rPr>
        <w:t>the sponsor proposes to facilitate the systematic return of unused and</w:t>
      </w:r>
      <w:r w:rsidR="00974CED" w:rsidRPr="00CA52B0">
        <w:rPr>
          <w:b/>
        </w:rPr>
        <w:t xml:space="preserve"> </w:t>
      </w:r>
      <w:r w:rsidRPr="00CA52B0">
        <w:rPr>
          <w:b/>
        </w:rPr>
        <w:t>partially used products. This should be outlined in an amended ASA.</w:t>
      </w:r>
    </w:p>
    <w:p w:rsidR="00974CED" w:rsidRDefault="00527411" w:rsidP="006E1277">
      <w:r>
        <w:t>Response</w:t>
      </w:r>
    </w:p>
    <w:p w:rsidR="00AE085C" w:rsidRPr="00AE085C" w:rsidRDefault="00AE085C" w:rsidP="00CA52B0">
      <w:r>
        <w:t>The ASA has been updated to include an additional risk</w:t>
      </w:r>
      <w:r w:rsidR="00974CED">
        <w:t xml:space="preserve"> </w:t>
      </w:r>
      <w:r>
        <w:t>minimisation activity for ‘Special requirements for safe use, storage and</w:t>
      </w:r>
      <w:r w:rsidR="00974CED">
        <w:t xml:space="preserve"> </w:t>
      </w:r>
      <w:r>
        <w:t>disposal’ (see attached A3g). The corresponding section in the proposed</w:t>
      </w:r>
      <w:r w:rsidR="00974CED">
        <w:t xml:space="preserve"> </w:t>
      </w:r>
      <w:r>
        <w:t>Australian Prescribing Information, ‘Instructions for use, handling and</w:t>
      </w:r>
      <w:r w:rsidR="00974CED">
        <w:t xml:space="preserve"> </w:t>
      </w:r>
      <w:r>
        <w:t>disposal’ has been amended</w:t>
      </w:r>
      <w:r w:rsidR="00974CED">
        <w:t>.</w:t>
      </w:r>
    </w:p>
    <w:p w:rsidR="008E7846" w:rsidRPr="00C16BC4" w:rsidRDefault="008E7846" w:rsidP="00CA52B0">
      <w:pPr>
        <w:pStyle w:val="Heading4"/>
      </w:pPr>
      <w:r w:rsidRPr="00C16BC4">
        <w:t>Adviso</w:t>
      </w:r>
      <w:r w:rsidR="006E1277">
        <w:t>ry c</w:t>
      </w:r>
      <w:r w:rsidRPr="00C16BC4">
        <w:t xml:space="preserve">ommittee </w:t>
      </w:r>
      <w:r w:rsidR="006E1277">
        <w:t>c</w:t>
      </w:r>
      <w:r w:rsidRPr="00C16BC4">
        <w:t>onsiderations</w:t>
      </w:r>
    </w:p>
    <w:p w:rsidR="008E7846" w:rsidRPr="00C16BC4" w:rsidRDefault="00D23139" w:rsidP="00CA52B0">
      <w:r w:rsidRPr="00C16BC4">
        <w:t xml:space="preserve">The Advisory Committee on Prescription Medicines (ACPM), having considered the </w:t>
      </w:r>
      <w:r w:rsidR="005C73FA" w:rsidRPr="00C16BC4">
        <w:t>-</w:t>
      </w:r>
      <w:r w:rsidRPr="00C16BC4">
        <w:t>evaluations and the Delegate’s overview, as well as the sponsor’s response to these documents, advised the following:</w:t>
      </w:r>
    </w:p>
    <w:p w:rsidR="00AC6461" w:rsidRPr="004A7043" w:rsidRDefault="00AC6461" w:rsidP="00CA52B0">
      <w:pPr>
        <w:rPr>
          <w:b/>
          <w:lang w:eastAsia="en-AU"/>
        </w:rPr>
      </w:pPr>
      <w:r w:rsidRPr="00C16BC4">
        <w:rPr>
          <w:lang w:eastAsia="en-AU"/>
        </w:rPr>
        <w:t>The ACPM, taking into account the submitted evidence</w:t>
      </w:r>
      <w:r w:rsidRPr="004A7043">
        <w:rPr>
          <w:lang w:eastAsia="en-AU"/>
        </w:rPr>
        <w:t xml:space="preserve"> of efficacy, safety and quality, agreed with the </w:t>
      </w:r>
      <w:r>
        <w:rPr>
          <w:lang w:eastAsia="en-AU"/>
        </w:rPr>
        <w:t>D</w:t>
      </w:r>
      <w:r w:rsidRPr="004A7043">
        <w:rPr>
          <w:lang w:eastAsia="en-AU"/>
        </w:rPr>
        <w:t xml:space="preserve">elegate and considered </w:t>
      </w:r>
      <w:r w:rsidRPr="004A7043">
        <w:rPr>
          <w:bCs/>
          <w:lang w:eastAsia="en-AU"/>
        </w:rPr>
        <w:t>F</w:t>
      </w:r>
      <w:r>
        <w:rPr>
          <w:bCs/>
          <w:lang w:eastAsia="en-AU"/>
        </w:rPr>
        <w:t>entora</w:t>
      </w:r>
      <w:r w:rsidRPr="004A7043">
        <w:rPr>
          <w:lang w:eastAsia="en-AU"/>
        </w:rPr>
        <w:t xml:space="preserve"> </w:t>
      </w:r>
      <w:r w:rsidRPr="004A7043">
        <w:rPr>
          <w:bCs/>
          <w:lang w:eastAsia="en-AU"/>
        </w:rPr>
        <w:t>effervescent tablets containing 100 µg,</w:t>
      </w:r>
      <w:r>
        <w:rPr>
          <w:bCs/>
          <w:lang w:eastAsia="en-AU"/>
        </w:rPr>
        <w:t xml:space="preserve"> </w:t>
      </w:r>
      <w:r w:rsidRPr="004A7043">
        <w:rPr>
          <w:bCs/>
          <w:lang w:eastAsia="en-AU"/>
        </w:rPr>
        <w:t>200 µg,</w:t>
      </w:r>
      <w:r>
        <w:rPr>
          <w:bCs/>
          <w:lang w:eastAsia="en-AU"/>
        </w:rPr>
        <w:t xml:space="preserve"> </w:t>
      </w:r>
      <w:r w:rsidRPr="004A7043">
        <w:rPr>
          <w:bCs/>
          <w:lang w:eastAsia="en-AU"/>
        </w:rPr>
        <w:t>400 µg,</w:t>
      </w:r>
      <w:r>
        <w:rPr>
          <w:bCs/>
          <w:lang w:eastAsia="en-AU"/>
        </w:rPr>
        <w:t xml:space="preserve"> </w:t>
      </w:r>
      <w:r w:rsidRPr="004A7043">
        <w:rPr>
          <w:bCs/>
          <w:lang w:eastAsia="en-AU"/>
        </w:rPr>
        <w:t>600 µg and 800 µg of fentanyl (as citrate)</w:t>
      </w:r>
      <w:r w:rsidRPr="004A7043">
        <w:rPr>
          <w:b/>
          <w:bCs/>
          <w:lang w:eastAsia="en-AU"/>
        </w:rPr>
        <w:t xml:space="preserve"> </w:t>
      </w:r>
      <w:r w:rsidRPr="004A7043">
        <w:rPr>
          <w:lang w:eastAsia="en-AU"/>
        </w:rPr>
        <w:t>to have an overall positive benefit–risk profile for the indication</w:t>
      </w:r>
      <w:r w:rsidR="00527411">
        <w:rPr>
          <w:b/>
          <w:lang w:eastAsia="en-AU"/>
        </w:rPr>
        <w:t>;</w:t>
      </w:r>
    </w:p>
    <w:p w:rsidR="00AC6461" w:rsidRPr="00AC6461" w:rsidRDefault="00AC6461" w:rsidP="00AC6461">
      <w:pPr>
        <w:spacing w:line="240" w:lineRule="auto"/>
        <w:ind w:left="567"/>
        <w:rPr>
          <w:rFonts w:eastAsia="Times New Roman" w:cs="Calibri"/>
          <w:bCs/>
          <w:lang w:eastAsia="en-AU"/>
        </w:rPr>
      </w:pPr>
      <w:r w:rsidRPr="00AC6461">
        <w:rPr>
          <w:rFonts w:eastAsia="Times New Roman" w:cs="Calibri"/>
          <w:i/>
          <w:lang w:eastAsia="en-AU"/>
        </w:rPr>
        <w:t xml:space="preserve">For the treatment of breakthrough pain (BTP) in adults with cancer, who are already receiving maintenance opioid therapy for chronic cancer </w:t>
      </w:r>
      <w:proofErr w:type="gramStart"/>
      <w:r w:rsidRPr="00AC6461">
        <w:rPr>
          <w:rFonts w:eastAsia="Times New Roman" w:cs="Calibri"/>
          <w:i/>
          <w:lang w:eastAsia="en-AU"/>
        </w:rPr>
        <w:t>pain.</w:t>
      </w:r>
      <w:proofErr w:type="gramEnd"/>
    </w:p>
    <w:p w:rsidR="00AC6461" w:rsidRPr="004A7043" w:rsidRDefault="00AC6461" w:rsidP="00CA52B0">
      <w:pPr>
        <w:rPr>
          <w:lang w:eastAsia="en-AU"/>
        </w:rPr>
      </w:pPr>
      <w:r w:rsidRPr="004A7043">
        <w:rPr>
          <w:lang w:eastAsia="en-AU"/>
        </w:rPr>
        <w:t>In maki</w:t>
      </w:r>
      <w:r w:rsidR="00527411">
        <w:rPr>
          <w:lang w:eastAsia="en-AU"/>
        </w:rPr>
        <w:t>ng this recommendation the ACPM</w:t>
      </w:r>
    </w:p>
    <w:p w:rsidR="00AC6461" w:rsidRPr="004A7043" w:rsidRDefault="00AC6461" w:rsidP="00F05081">
      <w:pPr>
        <w:pStyle w:val="ListBullet"/>
        <w:rPr>
          <w:rFonts w:eastAsia="MS Mincho"/>
          <w:bCs/>
          <w:iCs/>
          <w:lang w:eastAsia="ja-JP"/>
        </w:rPr>
      </w:pPr>
      <w:r w:rsidRPr="004A7043">
        <w:rPr>
          <w:rFonts w:eastAsia="MS Mincho"/>
          <w:bCs/>
          <w:iCs/>
          <w:lang w:eastAsia="ja-JP"/>
        </w:rPr>
        <w:lastRenderedPageBreak/>
        <w:t xml:space="preserve">noted </w:t>
      </w:r>
      <w:r w:rsidRPr="004A7043">
        <w:t>the adverse effects reported are typical and as for other mu opioid analgesics</w:t>
      </w:r>
    </w:p>
    <w:p w:rsidR="00AC6461" w:rsidRPr="004A7043" w:rsidRDefault="00AC6461" w:rsidP="00F05081">
      <w:pPr>
        <w:pStyle w:val="ListBullet"/>
        <w:rPr>
          <w:rFonts w:eastAsia="MS Mincho"/>
          <w:bCs/>
          <w:iCs/>
          <w:lang w:eastAsia="ja-JP"/>
        </w:rPr>
      </w:pPr>
      <w:proofErr w:type="gramStart"/>
      <w:r w:rsidRPr="004A7043">
        <w:rPr>
          <w:rFonts w:eastAsia="MS Mincho"/>
          <w:bCs/>
          <w:iCs/>
          <w:lang w:eastAsia="ja-JP"/>
        </w:rPr>
        <w:t>noted</w:t>
      </w:r>
      <w:proofErr w:type="gramEnd"/>
      <w:r w:rsidRPr="004A7043">
        <w:rPr>
          <w:rFonts w:eastAsia="MS Mincho"/>
          <w:bCs/>
          <w:iCs/>
          <w:lang w:eastAsia="ja-JP"/>
        </w:rPr>
        <w:t xml:space="preserve"> the bioavailability of transmucosal fentanyl products is unpredictable</w:t>
      </w:r>
      <w:r>
        <w:rPr>
          <w:rFonts w:eastAsia="MS Mincho"/>
          <w:bCs/>
          <w:iCs/>
          <w:lang w:eastAsia="ja-JP"/>
        </w:rPr>
        <w:t xml:space="preserve"> from one patient to another patient</w:t>
      </w:r>
      <w:r w:rsidRPr="004A7043">
        <w:rPr>
          <w:rFonts w:eastAsia="MS Mincho"/>
          <w:bCs/>
          <w:iCs/>
          <w:lang w:eastAsia="ja-JP"/>
        </w:rPr>
        <w:t>. Doses cannot be predicted from other opioid requirements. Individual patien</w:t>
      </w:r>
      <w:r w:rsidR="00527411">
        <w:rPr>
          <w:rFonts w:eastAsia="MS Mincho"/>
          <w:bCs/>
          <w:iCs/>
          <w:lang w:eastAsia="ja-JP"/>
        </w:rPr>
        <w:t>t dose titration is necessary</w:t>
      </w:r>
    </w:p>
    <w:p w:rsidR="00AC6461" w:rsidRPr="004A7043" w:rsidRDefault="00AC6461" w:rsidP="00F05081">
      <w:pPr>
        <w:pStyle w:val="ListBullet"/>
        <w:rPr>
          <w:rFonts w:eastAsia="MS Mincho"/>
          <w:bCs/>
          <w:iCs/>
          <w:lang w:eastAsia="ja-JP"/>
        </w:rPr>
      </w:pPr>
      <w:r w:rsidRPr="004A7043">
        <w:rPr>
          <w:rFonts w:eastAsia="MS Mincho"/>
          <w:bCs/>
          <w:iCs/>
          <w:lang w:eastAsia="ja-JP"/>
        </w:rPr>
        <w:t xml:space="preserve">Expressed some concern that </w:t>
      </w:r>
      <w:r w:rsidRPr="004A7043">
        <w:t xml:space="preserve">there </w:t>
      </w:r>
      <w:proofErr w:type="gramStart"/>
      <w:r w:rsidRPr="004A7043">
        <w:t>were</w:t>
      </w:r>
      <w:proofErr w:type="gramEnd"/>
      <w:r w:rsidRPr="004A7043">
        <w:t xml:space="preserve"> no active comparator studies submitted. It would have been clinically helpful to patients and carers to know how </w:t>
      </w:r>
      <w:proofErr w:type="spellStart"/>
      <w:r w:rsidRPr="004A7043">
        <w:t>F</w:t>
      </w:r>
      <w:r>
        <w:t>entora</w:t>
      </w:r>
      <w:proofErr w:type="spellEnd"/>
      <w:r w:rsidR="00527411">
        <w:t xml:space="preserve"> compared with </w:t>
      </w:r>
      <w:proofErr w:type="spellStart"/>
      <w:r w:rsidR="00527411">
        <w:t>Actiq</w:t>
      </w:r>
      <w:proofErr w:type="spellEnd"/>
    </w:p>
    <w:p w:rsidR="00AC6461" w:rsidRPr="004A7043" w:rsidRDefault="00AC6461" w:rsidP="00F05081">
      <w:pPr>
        <w:pStyle w:val="ListBullet"/>
        <w:rPr>
          <w:rFonts w:eastAsia="MS Mincho"/>
          <w:bCs/>
          <w:iCs/>
          <w:lang w:eastAsia="ja-JP"/>
        </w:rPr>
      </w:pPr>
      <w:r w:rsidRPr="004A7043">
        <w:rPr>
          <w:rFonts w:eastAsia="MS Mincho"/>
          <w:bCs/>
          <w:iCs/>
          <w:lang w:eastAsia="ja-JP"/>
        </w:rPr>
        <w:t xml:space="preserve">Expressed some concern over the dosage instructions </w:t>
      </w:r>
      <w:r>
        <w:rPr>
          <w:rFonts w:eastAsia="MS Mincho"/>
          <w:bCs/>
          <w:iCs/>
          <w:lang w:eastAsia="ja-JP"/>
        </w:rPr>
        <w:t xml:space="preserve">for the need </w:t>
      </w:r>
      <w:r w:rsidRPr="004A7043">
        <w:rPr>
          <w:rFonts w:eastAsia="MS Mincho"/>
          <w:bCs/>
          <w:iCs/>
          <w:lang w:eastAsia="ja-JP"/>
        </w:rPr>
        <w:t xml:space="preserve">to wait at least 4 hours between treating episodes, which is derived apparently from the PK half-life of the active. However, </w:t>
      </w:r>
      <w:r w:rsidRPr="004A7043">
        <w:t>standard clinical care of breakthrough cancer pain emphasises not making patients wait long periods between breakthrough analgesic doses.</w:t>
      </w:r>
    </w:p>
    <w:p w:rsidR="00AC6461" w:rsidRPr="004A7043" w:rsidRDefault="00AC6461" w:rsidP="00AC6461">
      <w:pPr>
        <w:spacing w:after="0" w:line="240" w:lineRule="auto"/>
        <w:rPr>
          <w:rFonts w:eastAsia="Times New Roman"/>
          <w:b/>
          <w:bCs/>
          <w:i/>
          <w:lang w:eastAsia="en-AU"/>
        </w:rPr>
      </w:pPr>
      <w:r w:rsidRPr="004A7043">
        <w:rPr>
          <w:rFonts w:eastAsia="Times New Roman"/>
          <w:b/>
          <w:bCs/>
          <w:i/>
          <w:lang w:eastAsia="en-AU"/>
        </w:rPr>
        <w:t>Proposed conditions of registration</w:t>
      </w:r>
    </w:p>
    <w:p w:rsidR="00AC6461" w:rsidRPr="004A7043" w:rsidRDefault="00AC6461" w:rsidP="00AC6461">
      <w:pPr>
        <w:spacing w:line="240" w:lineRule="auto"/>
        <w:rPr>
          <w:rFonts w:eastAsia="Times New Roman"/>
          <w:bCs/>
          <w:lang w:eastAsia="en-AU"/>
        </w:rPr>
      </w:pPr>
      <w:r w:rsidRPr="004A7043">
        <w:rPr>
          <w:rFonts w:eastAsia="Times New Roman"/>
          <w:bCs/>
          <w:lang w:eastAsia="en-AU"/>
        </w:rPr>
        <w:t xml:space="preserve">The ACPM agreed with the </w:t>
      </w:r>
      <w:r>
        <w:rPr>
          <w:rFonts w:eastAsia="Times New Roman"/>
          <w:bCs/>
          <w:lang w:eastAsia="en-AU"/>
        </w:rPr>
        <w:t>D</w:t>
      </w:r>
      <w:r w:rsidRPr="004A7043">
        <w:rPr>
          <w:rFonts w:eastAsia="Times New Roman"/>
          <w:bCs/>
          <w:lang w:eastAsia="en-AU"/>
        </w:rPr>
        <w:t>elegate on the propo</w:t>
      </w:r>
      <w:r w:rsidR="00527411">
        <w:rPr>
          <w:rFonts w:eastAsia="Times New Roman"/>
          <w:bCs/>
          <w:lang w:eastAsia="en-AU"/>
        </w:rPr>
        <w:t>sed conditions of registration.</w:t>
      </w:r>
    </w:p>
    <w:p w:rsidR="00AC6461" w:rsidRDefault="00AC6461" w:rsidP="00AC6461">
      <w:pPr>
        <w:spacing w:after="0" w:line="240" w:lineRule="auto"/>
        <w:rPr>
          <w:rFonts w:eastAsia="Times New Roman"/>
          <w:b/>
          <w:bCs/>
          <w:i/>
          <w:lang w:eastAsia="en-AU"/>
        </w:rPr>
      </w:pPr>
      <w:r w:rsidRPr="004A7043">
        <w:rPr>
          <w:rFonts w:eastAsia="Times New Roman"/>
          <w:b/>
          <w:bCs/>
          <w:i/>
          <w:lang w:eastAsia="en-AU"/>
        </w:rPr>
        <w:t>Proposed Product Information (PI)/Consumer Medicine Information (CMI) amendments</w:t>
      </w:r>
    </w:p>
    <w:p w:rsidR="00AC6461" w:rsidRDefault="00AC6461" w:rsidP="00F05081">
      <w:pPr>
        <w:pStyle w:val="ListBullet"/>
      </w:pPr>
      <w:r w:rsidRPr="00A36D2E">
        <w:t xml:space="preserve">Regarding the frequency of </w:t>
      </w:r>
      <w:r>
        <w:t xml:space="preserve">dosing for </w:t>
      </w:r>
      <w:r w:rsidRPr="00A36D2E">
        <w:t>breakthrough</w:t>
      </w:r>
      <w:r>
        <w:t>,</w:t>
      </w:r>
      <w:r w:rsidRPr="00A36D2E">
        <w:t xml:space="preserve"> </w:t>
      </w:r>
      <w:r>
        <w:t>a</w:t>
      </w:r>
      <w:r w:rsidRPr="00A36D2E">
        <w:t>mend the PI and the CMI</w:t>
      </w:r>
      <w:r w:rsidR="00441EC2">
        <w:t xml:space="preserve"> to state that ‘the F</w:t>
      </w:r>
      <w:r>
        <w:t>entora dose for breakthrough pain is usually every four hours but that the frequency may be increased under clinical supervision’.</w:t>
      </w:r>
    </w:p>
    <w:p w:rsidR="00AC6461" w:rsidRPr="00A36D2E" w:rsidRDefault="00AC6461" w:rsidP="00F05081">
      <w:pPr>
        <w:pStyle w:val="ListBullet"/>
      </w:pPr>
      <w:r>
        <w:t>Review the dose titration section to improve clarity with regard to dosing.</w:t>
      </w:r>
    </w:p>
    <w:p w:rsidR="00AC6461" w:rsidRPr="004A7043" w:rsidRDefault="00AC6461" w:rsidP="00AC6461">
      <w:pPr>
        <w:adjustRightInd w:val="0"/>
        <w:snapToGrid w:val="0"/>
        <w:spacing w:after="0"/>
        <w:rPr>
          <w:rFonts w:eastAsia="MS Mincho"/>
          <w:b/>
          <w:bCs/>
          <w:i/>
          <w:iCs/>
          <w:highlight w:val="yellow"/>
          <w:lang w:eastAsia="ja-JP"/>
        </w:rPr>
      </w:pPr>
      <w:r w:rsidRPr="004A7043">
        <w:rPr>
          <w:rFonts w:eastAsia="MS Mincho"/>
          <w:b/>
          <w:bCs/>
          <w:i/>
          <w:iCs/>
          <w:szCs w:val="20"/>
          <w:lang w:eastAsia="ja-JP"/>
        </w:rPr>
        <w:t xml:space="preserve">Specific </w:t>
      </w:r>
      <w:r w:rsidR="00527411">
        <w:rPr>
          <w:rFonts w:eastAsia="MS Mincho"/>
          <w:b/>
          <w:bCs/>
          <w:i/>
          <w:iCs/>
          <w:szCs w:val="20"/>
          <w:lang w:eastAsia="ja-JP"/>
        </w:rPr>
        <w:t>a</w:t>
      </w:r>
      <w:r w:rsidRPr="004A7043">
        <w:rPr>
          <w:rFonts w:eastAsia="MS Mincho"/>
          <w:b/>
          <w:bCs/>
          <w:i/>
          <w:iCs/>
          <w:szCs w:val="20"/>
          <w:lang w:eastAsia="ja-JP"/>
        </w:rPr>
        <w:t>dvice</w:t>
      </w:r>
    </w:p>
    <w:p w:rsidR="00AC6461" w:rsidRPr="004A7043" w:rsidRDefault="00AC6461" w:rsidP="00AC6461">
      <w:pPr>
        <w:spacing w:line="240" w:lineRule="auto"/>
        <w:rPr>
          <w:rFonts w:eastAsia="Times New Roman"/>
          <w:bCs/>
          <w:iCs/>
          <w:lang w:eastAsia="en-AU"/>
        </w:rPr>
      </w:pPr>
      <w:r w:rsidRPr="004A7043">
        <w:rPr>
          <w:rFonts w:eastAsia="Times New Roman"/>
          <w:bCs/>
          <w:iCs/>
          <w:lang w:eastAsia="en-AU"/>
        </w:rPr>
        <w:t>No specific advice was requested</w:t>
      </w:r>
    </w:p>
    <w:p w:rsidR="00AC6461" w:rsidRPr="008150AF" w:rsidRDefault="00AC6461" w:rsidP="00AC6461">
      <w:pPr>
        <w:spacing w:line="240" w:lineRule="auto"/>
        <w:rPr>
          <w:rFonts w:eastAsia="Times New Roman"/>
          <w:bCs/>
          <w:lang w:eastAsia="en-AU"/>
        </w:rPr>
      </w:pPr>
      <w:r w:rsidRPr="004A7043">
        <w:rPr>
          <w:rFonts w:eastAsia="Times New Roman"/>
          <w:bCs/>
          <w:lang w:eastAsia="en-AU"/>
        </w:rPr>
        <w:t>The ACPM advised that implementation by the sponsor of the recommendations outlined above to the satisfaction of the TGA, in addition to the evidence of efficacy and safety provided would support the safe and e</w:t>
      </w:r>
      <w:r w:rsidR="00527411">
        <w:rPr>
          <w:rFonts w:eastAsia="Times New Roman"/>
          <w:bCs/>
          <w:lang w:eastAsia="en-AU"/>
        </w:rPr>
        <w:t>ffective use of these products.</w:t>
      </w:r>
    </w:p>
    <w:p w:rsidR="008E7846" w:rsidRPr="00DA264C" w:rsidRDefault="008E7846" w:rsidP="008E7846">
      <w:pPr>
        <w:pStyle w:val="Heading3"/>
      </w:pPr>
      <w:bookmarkStart w:id="144" w:name="_Toc247691532"/>
      <w:bookmarkStart w:id="145" w:name="_Toc314842516"/>
      <w:bookmarkStart w:id="146" w:name="_Toc420586681"/>
      <w:bookmarkEnd w:id="107"/>
      <w:bookmarkEnd w:id="141"/>
      <w:bookmarkEnd w:id="142"/>
      <w:r w:rsidRPr="00DA264C">
        <w:t>Outcome</w:t>
      </w:r>
      <w:bookmarkEnd w:id="144"/>
      <w:bookmarkEnd w:id="145"/>
      <w:bookmarkEnd w:id="146"/>
    </w:p>
    <w:p w:rsidR="00D23139" w:rsidRPr="00DA264C" w:rsidRDefault="00D23139" w:rsidP="00DA264C">
      <w:bookmarkStart w:id="147" w:name="_Toc247691533"/>
      <w:bookmarkStart w:id="148" w:name="_Toc314842517"/>
      <w:r w:rsidRPr="00DA264C">
        <w:t xml:space="preserve">Based on a review of quality, safety and efficacy, TGA approved the registration of </w:t>
      </w:r>
      <w:r w:rsidR="00AC6461" w:rsidRPr="00DA264C">
        <w:t>Fentora</w:t>
      </w:r>
      <w:r w:rsidR="00DA264C">
        <w:t>,</w:t>
      </w:r>
      <w:r w:rsidR="00AC6461" w:rsidRPr="00DA264C">
        <w:t xml:space="preserve"> Fentanyl as citrate </w:t>
      </w:r>
      <w:r w:rsidR="00DA264C" w:rsidRPr="00DA264C">
        <w:t>100 µg, 200 µg, 400 µg and 600 µg</w:t>
      </w:r>
      <w:r w:rsidR="00DA264C">
        <w:t>,</w:t>
      </w:r>
      <w:r w:rsidR="00AC6461" w:rsidRPr="00DA264C">
        <w:t xml:space="preserve"> orally disintegrating tablet blister pack </w:t>
      </w:r>
      <w:r w:rsidRPr="00DA264C">
        <w:t xml:space="preserve">for </w:t>
      </w:r>
      <w:r w:rsidR="00AC6461" w:rsidRPr="00DA264C">
        <w:t>buccal administration</w:t>
      </w:r>
      <w:r w:rsidRPr="00DA264C">
        <w:t>, indicated for:</w:t>
      </w:r>
    </w:p>
    <w:p w:rsidR="00D23139" w:rsidRPr="00AC6461" w:rsidRDefault="00AC6461" w:rsidP="00AC6461">
      <w:pPr>
        <w:ind w:left="720"/>
        <w:rPr>
          <w:i/>
        </w:rPr>
      </w:pPr>
      <w:r w:rsidRPr="00AC6461">
        <w:rPr>
          <w:i/>
        </w:rPr>
        <w:t>The treatment of breakthrough pain (BTP) in adults with cancer who are</w:t>
      </w:r>
      <w:r>
        <w:rPr>
          <w:i/>
        </w:rPr>
        <w:t xml:space="preserve"> </w:t>
      </w:r>
      <w:r w:rsidRPr="00AC6461">
        <w:rPr>
          <w:i/>
        </w:rPr>
        <w:t>already receiving maintenance opioid therapy for chronic cancer pain</w:t>
      </w:r>
      <w:r>
        <w:rPr>
          <w:i/>
        </w:rPr>
        <w:t>.</w:t>
      </w:r>
    </w:p>
    <w:p w:rsidR="00D23139" w:rsidRPr="00C66D67" w:rsidRDefault="00D23139" w:rsidP="00CA52B0">
      <w:pPr>
        <w:pStyle w:val="Heading4"/>
      </w:pPr>
      <w:r w:rsidRPr="00C66D67">
        <w:t>Specific conditions of registration applying to these goods</w:t>
      </w:r>
    </w:p>
    <w:p w:rsidR="00AC6461" w:rsidRDefault="00AC6461" w:rsidP="00CA52B0">
      <w:r w:rsidRPr="00C66D67">
        <w:t xml:space="preserve">The Fentora fentanyl (as citrate) EU-Risk Management Plan (RMP), Version 3.0 (dated 19 June 2014, DLP 30 April 2014) and Australian Specific Annex Version </w:t>
      </w:r>
      <w:r w:rsidR="00C66D67" w:rsidRPr="00C66D67">
        <w:t>3</w:t>
      </w:r>
      <w:r w:rsidRPr="00C66D67">
        <w:t xml:space="preserve"> (dated </w:t>
      </w:r>
      <w:r w:rsidR="00C66D67" w:rsidRPr="00C66D67">
        <w:t>September 2014</w:t>
      </w:r>
      <w:r w:rsidRPr="00C66D67">
        <w:t>), included with submission PM-2013-03632-1-1, and any subsequent revisions, as agreed with the TGA will be implemented in Australia.</w:t>
      </w:r>
    </w:p>
    <w:p w:rsidR="008E7846" w:rsidRDefault="00A80B5B" w:rsidP="00CA52B0">
      <w:pPr>
        <w:pStyle w:val="Heading2"/>
      </w:pPr>
      <w:bookmarkStart w:id="149" w:name="_Toc420586682"/>
      <w:proofErr w:type="gramStart"/>
      <w:r>
        <w:t>Attachment 1.</w:t>
      </w:r>
      <w:proofErr w:type="gramEnd"/>
      <w:r>
        <w:t xml:space="preserve"> </w:t>
      </w:r>
      <w:r w:rsidR="008E7846">
        <w:t xml:space="preserve">Product </w:t>
      </w:r>
      <w:r w:rsidR="00527411">
        <w:t>i</w:t>
      </w:r>
      <w:r w:rsidR="008E7846">
        <w:t>nformation</w:t>
      </w:r>
      <w:bookmarkEnd w:id="147"/>
      <w:bookmarkEnd w:id="148"/>
      <w:bookmarkEnd w:id="149"/>
    </w:p>
    <w:p w:rsidR="00C80137" w:rsidRDefault="002B3624" w:rsidP="00CA52B0">
      <w:pPr>
        <w:rPr>
          <w:color w:val="000000"/>
          <w:lang w:eastAsia="en-AU"/>
        </w:rPr>
      </w:pPr>
      <w:r w:rsidRPr="002B3624">
        <w:t xml:space="preserve">The Product Information approved for main </w:t>
      </w:r>
      <w:r w:rsidR="001053E1">
        <w:t>Fentora</w:t>
      </w:r>
      <w:r w:rsidRPr="002B3624">
        <w:t xml:space="preserve"> at the time this AusPAR was published is at Attachment 1. For the most recent Product Information please refer to the TGA website at &lt;</w:t>
      </w:r>
      <w:hyperlink r:id="rId19" w:history="1">
        <w:r w:rsidR="00383221">
          <w:rPr>
            <w:rStyle w:val="Hyperlink"/>
          </w:rPr>
          <w:t>https://www.tga.gov.au/product-information-pi</w:t>
        </w:r>
      </w:hyperlink>
      <w:r w:rsidR="00527411">
        <w:t>&gt;.</w:t>
      </w:r>
    </w:p>
    <w:p w:rsidR="001C32CD" w:rsidRDefault="00C80137" w:rsidP="00C16BC4">
      <w:pPr>
        <w:pStyle w:val="Heading2"/>
        <w:rPr>
          <w:lang w:eastAsia="ja-JP"/>
        </w:rPr>
      </w:pPr>
      <w:bookmarkStart w:id="150" w:name="_Toc420586683"/>
      <w:proofErr w:type="gramStart"/>
      <w:r>
        <w:rPr>
          <w:lang w:eastAsia="en-AU"/>
        </w:rPr>
        <w:lastRenderedPageBreak/>
        <w:t>Attachment 2.</w:t>
      </w:r>
      <w:proofErr w:type="gramEnd"/>
      <w:r w:rsidR="00A80B5B">
        <w:rPr>
          <w:lang w:eastAsia="en-AU"/>
        </w:rPr>
        <w:t xml:space="preserve"> </w:t>
      </w:r>
      <w:r>
        <w:rPr>
          <w:lang w:eastAsia="en-AU"/>
        </w:rPr>
        <w:t>Extract from the Clinical Evaluation Report</w:t>
      </w:r>
      <w:bookmarkEnd w:id="150"/>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4" w:history="1">
              <w:r w:rsidRPr="004C239D">
                <w:rPr>
                  <w:rStyle w:val="Hyperlink"/>
                </w:rPr>
                <w:t>info@tga.gov.au</w:t>
              </w:r>
            </w:hyperlink>
            <w:r w:rsidR="00281C4E">
              <w:t xml:space="preserve"> </w:t>
            </w:r>
            <w:r w:rsidRPr="00487162">
              <w:t>Phone: 1800 020 653</w:t>
            </w:r>
            <w:r w:rsidR="00281C4E">
              <w:t xml:space="preserve"> </w:t>
            </w:r>
            <w:r w:rsidRPr="00487162">
              <w:t>Fax: 02 6232 8605</w:t>
            </w:r>
          </w:p>
          <w:p w:rsidR="001C32CD" w:rsidRPr="004C239D" w:rsidRDefault="00B60391" w:rsidP="00A05FA4">
            <w:pPr>
              <w:pStyle w:val="Address"/>
              <w:spacing w:line="260" w:lineRule="atLeast"/>
              <w:rPr>
                <w:b/>
                <w:color w:val="0000FF"/>
                <w:u w:val="single"/>
              </w:rPr>
            </w:pPr>
            <w:hyperlink r:id="rId25" w:history="1">
              <w:r w:rsidR="004F47D6">
                <w:rPr>
                  <w:rStyle w:val="Hyperlink"/>
                  <w:b/>
                </w:rPr>
                <w:t>https://www.tga.gov.au</w:t>
              </w:r>
            </w:hyperlink>
          </w:p>
        </w:tc>
      </w:tr>
    </w:tbl>
    <w:p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0B" w:rsidRDefault="004A7A0B" w:rsidP="00C40A36">
      <w:pPr>
        <w:spacing w:after="0"/>
      </w:pPr>
      <w:r>
        <w:separator/>
      </w:r>
    </w:p>
  </w:endnote>
  <w:endnote w:type="continuationSeparator" w:id="0">
    <w:p w:rsidR="004A7A0B" w:rsidRDefault="004A7A0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87359" w:rsidRPr="00487162" w:rsidTr="00DB750B">
      <w:trPr>
        <w:trHeight w:val="269"/>
      </w:trPr>
      <w:tc>
        <w:tcPr>
          <w:tcW w:w="7371" w:type="dxa"/>
          <w:tcMar>
            <w:top w:w="142" w:type="dxa"/>
            <w:bottom w:w="0" w:type="dxa"/>
          </w:tcMar>
        </w:tcPr>
        <w:p w:rsidR="00187359" w:rsidRPr="00487162" w:rsidRDefault="00187359" w:rsidP="0030403C">
          <w:pPr>
            <w:pStyle w:val="Footer"/>
          </w:pPr>
          <w:r>
            <w:t>AusPAR Fentora Fentanyl citrate Orphan Australia Pty Ltd</w:t>
          </w:r>
          <w:r w:rsidRPr="00487162">
            <w:t xml:space="preserve"> PM-20</w:t>
          </w:r>
          <w:r>
            <w:t>13</w:t>
          </w:r>
          <w:r w:rsidRPr="00487162">
            <w:t>-</w:t>
          </w:r>
          <w:r>
            <w:t>03632-1-1</w:t>
          </w:r>
          <w:r>
            <w:br/>
            <w:t>Final 22 April 2015</w:t>
          </w:r>
        </w:p>
      </w:tc>
      <w:tc>
        <w:tcPr>
          <w:tcW w:w="1490" w:type="dxa"/>
          <w:tcMar>
            <w:top w:w="142" w:type="dxa"/>
            <w:bottom w:w="0" w:type="dxa"/>
          </w:tcMar>
        </w:tcPr>
        <w:p w:rsidR="00187359" w:rsidRPr="00487162" w:rsidRDefault="00187359" w:rsidP="00DB750B">
          <w:pPr>
            <w:pStyle w:val="Footer"/>
            <w:jc w:val="right"/>
          </w:pPr>
          <w:r w:rsidRPr="00487162">
            <w:t xml:space="preserve">Page </w:t>
          </w:r>
          <w:r>
            <w:fldChar w:fldCharType="begin"/>
          </w:r>
          <w:r>
            <w:instrText xml:space="preserve"> PAGE  \* Arabic </w:instrText>
          </w:r>
          <w:r>
            <w:fldChar w:fldCharType="separate"/>
          </w:r>
          <w:r w:rsidR="00B60391">
            <w:rPr>
              <w:noProof/>
            </w:rPr>
            <w:t>4</w:t>
          </w:r>
          <w:r>
            <w:fldChar w:fldCharType="end"/>
          </w:r>
          <w:r w:rsidRPr="00487162">
            <w:t xml:space="preserve"> of </w:t>
          </w:r>
          <w:fldSimple w:instr=" NUMPAGES  \* Arabic ">
            <w:r w:rsidR="00B60391">
              <w:rPr>
                <w:noProof/>
              </w:rPr>
              <w:t>56</w:t>
            </w:r>
          </w:fldSimple>
        </w:p>
      </w:tc>
    </w:tr>
  </w:tbl>
  <w:p w:rsidR="00187359" w:rsidRDefault="0018735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87359" w:rsidRPr="00487162" w:rsidTr="00E45619">
      <w:trPr>
        <w:trHeight w:val="269"/>
      </w:trPr>
      <w:tc>
        <w:tcPr>
          <w:tcW w:w="4519" w:type="dxa"/>
          <w:tcBorders>
            <w:top w:val="single" w:sz="4" w:space="0" w:color="auto"/>
          </w:tcBorders>
          <w:tcMar>
            <w:top w:w="142" w:type="dxa"/>
            <w:bottom w:w="0" w:type="dxa"/>
          </w:tcMar>
        </w:tcPr>
        <w:p w:rsidR="00187359" w:rsidRPr="00487162" w:rsidRDefault="00187359" w:rsidP="00FE1DEE">
          <w:pPr>
            <w:pStyle w:val="Footer"/>
          </w:pPr>
          <w:r w:rsidRPr="00487162">
            <w:t>Document title, Part #, Section # - Section title</w:t>
          </w:r>
        </w:p>
        <w:p w:rsidR="00187359" w:rsidRPr="00487162" w:rsidRDefault="00187359" w:rsidP="00FE1DEE">
          <w:pPr>
            <w:pStyle w:val="Footer"/>
          </w:pPr>
          <w:r w:rsidRPr="00487162">
            <w:t>V1.0 October 2010</w:t>
          </w:r>
        </w:p>
      </w:tc>
      <w:tc>
        <w:tcPr>
          <w:tcW w:w="4342" w:type="dxa"/>
          <w:tcBorders>
            <w:top w:val="single" w:sz="4" w:space="0" w:color="auto"/>
          </w:tcBorders>
          <w:tcMar>
            <w:top w:w="142" w:type="dxa"/>
            <w:bottom w:w="0" w:type="dxa"/>
          </w:tcMar>
        </w:tcPr>
        <w:p w:rsidR="00187359" w:rsidRPr="00487162" w:rsidRDefault="0018735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187359" w:rsidRDefault="00187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Pr="001C32CD" w:rsidRDefault="0018735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87359" w:rsidTr="0010601F">
      <w:trPr>
        <w:trHeight w:val="108"/>
      </w:trPr>
      <w:tc>
        <w:tcPr>
          <w:tcW w:w="8875" w:type="dxa"/>
          <w:gridSpan w:val="2"/>
          <w:tcBorders>
            <w:bottom w:val="single" w:sz="4" w:space="0" w:color="auto"/>
          </w:tcBorders>
          <w:tcMar>
            <w:right w:w="284" w:type="dxa"/>
          </w:tcMar>
        </w:tcPr>
        <w:p w:rsidR="00187359" w:rsidRDefault="00187359" w:rsidP="006E08B3">
          <w:pPr>
            <w:pStyle w:val="Heading3"/>
          </w:pPr>
          <w:r>
            <w:t>Copyright</w:t>
          </w:r>
        </w:p>
        <w:p w:rsidR="00187359" w:rsidRDefault="00187359" w:rsidP="006E08B3">
          <w:r>
            <w:rPr>
              <w:rFonts w:cs="Arial"/>
            </w:rPr>
            <w:t>©</w:t>
          </w:r>
          <w:r>
            <w:t xml:space="preserve"> Commonwealth of Australia [add year]</w:t>
          </w:r>
        </w:p>
        <w:p w:rsidR="00187359" w:rsidRDefault="00187359" w:rsidP="006E08B3"/>
        <w:p w:rsidR="00187359" w:rsidRDefault="0018735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87359" w:rsidRDefault="00187359" w:rsidP="006E08B3"/>
        <w:p w:rsidR="00187359" w:rsidRDefault="00187359" w:rsidP="006E08B3">
          <w:pPr>
            <w:pStyle w:val="Heading3"/>
          </w:pPr>
          <w:r>
            <w:t>Confidentiality</w:t>
          </w:r>
        </w:p>
        <w:p w:rsidR="00187359" w:rsidRDefault="0018735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87359" w:rsidRDefault="00187359" w:rsidP="006E08B3"/>
        <w:p w:rsidR="00187359" w:rsidRDefault="00187359" w:rsidP="006E08B3">
          <w:r>
            <w:t>For submission made by individuals, all personal details, other than your name, will be removed from your submission before it is published on the TGA’s Internet site.</w:t>
          </w:r>
        </w:p>
        <w:p w:rsidR="00187359" w:rsidRDefault="00187359" w:rsidP="006E08B3"/>
        <w:p w:rsidR="00187359" w:rsidRDefault="00187359" w:rsidP="006E08B3">
          <w:r>
            <w:t>In addition, a list of parties making submissions will be published. If you do not wish to be identified with your submission you must specifically request this in the space provided ib the submission coversheet.</w:t>
          </w:r>
        </w:p>
      </w:tc>
    </w:tr>
    <w:tr w:rsidR="00187359" w:rsidTr="0010601F">
      <w:trPr>
        <w:trHeight w:val="417"/>
      </w:trPr>
      <w:tc>
        <w:tcPr>
          <w:tcW w:w="4519" w:type="dxa"/>
          <w:tcBorders>
            <w:top w:val="single" w:sz="4" w:space="0" w:color="auto"/>
          </w:tcBorders>
          <w:tcMar>
            <w:top w:w="142" w:type="dxa"/>
            <w:bottom w:w="0" w:type="dxa"/>
          </w:tcMar>
        </w:tcPr>
        <w:p w:rsidR="00187359" w:rsidRDefault="00187359" w:rsidP="006E08B3">
          <w:r>
            <w:t>Document title, Part #, Section # - Section title</w:t>
          </w:r>
        </w:p>
        <w:p w:rsidR="00187359" w:rsidRDefault="00187359" w:rsidP="006E08B3">
          <w:r>
            <w:t>V1.0 October 2010</w:t>
          </w:r>
        </w:p>
      </w:tc>
      <w:tc>
        <w:tcPr>
          <w:tcW w:w="4356" w:type="dxa"/>
          <w:tcBorders>
            <w:top w:val="single" w:sz="4" w:space="0" w:color="auto"/>
          </w:tcBorders>
          <w:tcMar>
            <w:top w:w="142" w:type="dxa"/>
            <w:bottom w:w="0" w:type="dxa"/>
          </w:tcMar>
        </w:tcPr>
        <w:p w:rsidR="00187359" w:rsidRDefault="0018735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187359" w:rsidRDefault="001873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0B" w:rsidRDefault="004A7A0B" w:rsidP="00C40A36">
      <w:pPr>
        <w:spacing w:after="0"/>
      </w:pPr>
      <w:r>
        <w:separator/>
      </w:r>
    </w:p>
  </w:footnote>
  <w:footnote w:type="continuationSeparator" w:id="0">
    <w:p w:rsidR="004A7A0B" w:rsidRDefault="004A7A0B" w:rsidP="00C40A36">
      <w:pPr>
        <w:spacing w:after="0"/>
      </w:pPr>
      <w:r>
        <w:continuationSeparator/>
      </w:r>
    </w:p>
  </w:footnote>
  <w:footnote w:id="1">
    <w:p w:rsidR="00187359" w:rsidRPr="00187359" w:rsidRDefault="00187359" w:rsidP="0018579F">
      <w:pPr>
        <w:pStyle w:val="FootnoteText"/>
      </w:pPr>
      <w:r w:rsidRPr="00374766">
        <w:rPr>
          <w:rStyle w:val="FootnoteReference"/>
          <w:rFonts w:asciiTheme="minorHAnsi" w:hAnsiTheme="minorHAnsi" w:cs="Calibri"/>
          <w:szCs w:val="18"/>
        </w:rPr>
        <w:footnoteRef/>
      </w:r>
      <w:r>
        <w:t xml:space="preserve"> </w:t>
      </w:r>
      <w:proofErr w:type="spellStart"/>
      <w:r w:rsidRPr="00374766">
        <w:t>Cephalon’s</w:t>
      </w:r>
      <w:proofErr w:type="spellEnd"/>
      <w:r w:rsidRPr="00374766">
        <w:t xml:space="preserve"> </w:t>
      </w:r>
      <w:proofErr w:type="spellStart"/>
      <w:r w:rsidRPr="00374766">
        <w:t>Fentora</w:t>
      </w:r>
      <w:proofErr w:type="spellEnd"/>
      <w:r w:rsidRPr="00374766">
        <w:t xml:space="preserve"> was known as Oravescent</w:t>
      </w:r>
      <w:r w:rsidRPr="00374766">
        <w:rPr>
          <w:lang w:eastAsia="en-AU"/>
        </w:rPr>
        <w:t xml:space="preserve"> in Studies </w:t>
      </w:r>
      <w:r w:rsidRPr="00374766">
        <w:rPr>
          <w:bCs/>
          <w:lang w:eastAsia="en-AU"/>
        </w:rPr>
        <w:t xml:space="preserve">C25608/1028/BA/US and </w:t>
      </w:r>
      <w:r w:rsidRPr="00374766">
        <w:rPr>
          <w:lang w:eastAsia="en-AU"/>
        </w:rPr>
        <w:t>C25608/1026/BE/US.</w:t>
      </w:r>
    </w:p>
  </w:footnote>
  <w:footnote w:id="2">
    <w:p w:rsidR="00187359" w:rsidRPr="00C66D67" w:rsidRDefault="00187359" w:rsidP="0018579F">
      <w:pPr>
        <w:pStyle w:val="FootnoteText"/>
      </w:pPr>
      <w:r w:rsidRPr="00C66D67">
        <w:rPr>
          <w:rStyle w:val="FootnoteReference"/>
          <w:rFonts w:asciiTheme="minorHAnsi" w:hAnsiTheme="minorHAnsi"/>
          <w:szCs w:val="18"/>
        </w:rPr>
        <w:footnoteRef/>
      </w:r>
      <w:r>
        <w:t xml:space="preserve"> </w:t>
      </w:r>
      <w:proofErr w:type="spellStart"/>
      <w:r w:rsidRPr="00C66D67">
        <w:t>Portenoy</w:t>
      </w:r>
      <w:proofErr w:type="spellEnd"/>
      <w:r w:rsidRPr="00C66D67">
        <w:t xml:space="preserve"> RK, Payne D, Jacobsen P. Breakthrough pain: characteristics and impact in patients with cancer pain. Pain 1999;(81):129-34</w:t>
      </w:r>
    </w:p>
  </w:footnote>
  <w:footnote w:id="3">
    <w:p w:rsidR="00187359" w:rsidRPr="0026565F" w:rsidRDefault="00187359" w:rsidP="0018579F">
      <w:pPr>
        <w:pStyle w:val="FootnoteText"/>
        <w:rPr>
          <w:sz w:val="20"/>
        </w:rPr>
      </w:pPr>
      <w:r w:rsidRPr="00C66D67">
        <w:rPr>
          <w:rStyle w:val="FootnoteReference"/>
          <w:rFonts w:asciiTheme="minorHAnsi" w:hAnsiTheme="minorHAnsi"/>
          <w:szCs w:val="18"/>
        </w:rPr>
        <w:footnoteRef/>
      </w:r>
      <w:r>
        <w:t xml:space="preserve"> </w:t>
      </w:r>
      <w:proofErr w:type="spellStart"/>
      <w:proofErr w:type="gramStart"/>
      <w:r w:rsidRPr="00C66D67">
        <w:t>Portenoy</w:t>
      </w:r>
      <w:proofErr w:type="spellEnd"/>
      <w:r w:rsidRPr="00C66D67">
        <w:t xml:space="preserve"> RK, Hagen NA.</w:t>
      </w:r>
      <w:proofErr w:type="gramEnd"/>
      <w:r w:rsidRPr="00C66D67">
        <w:t xml:space="preserve"> Breakthrough pain: definition, prevalence and characteristics. Pain 1990;41(3):273-81</w:t>
      </w:r>
    </w:p>
  </w:footnote>
  <w:footnote w:id="4">
    <w:p w:rsidR="00187359" w:rsidRPr="00374766" w:rsidRDefault="00187359" w:rsidP="00187359">
      <w:pPr>
        <w:pStyle w:val="FootnoteText"/>
      </w:pPr>
      <w:r w:rsidRPr="00374766">
        <w:rPr>
          <w:rStyle w:val="FootnoteReference"/>
          <w:rFonts w:asciiTheme="minorHAnsi" w:hAnsiTheme="minorHAnsi"/>
          <w:szCs w:val="18"/>
        </w:rPr>
        <w:footnoteRef/>
      </w:r>
      <w:r w:rsidRPr="00374766">
        <w:t xml:space="preserve"> The Irwin observation test is commonly used to evaluate the effects of a new substance on behaviour and physiological function. The results of </w:t>
      </w:r>
      <w:r w:rsidRPr="00187359">
        <w:t>the</w:t>
      </w:r>
      <w:r w:rsidRPr="00374766">
        <w:t xml:space="preserve"> Irwin test are used to determine potential toxicity and to select doses for specific therapeutic activity.</w:t>
      </w:r>
    </w:p>
  </w:footnote>
  <w:footnote w:id="5">
    <w:p w:rsidR="00187359" w:rsidRPr="00374766" w:rsidRDefault="00187359" w:rsidP="0018579F">
      <w:pPr>
        <w:pStyle w:val="FootnoteText"/>
        <w:rPr>
          <w:rFonts w:asciiTheme="minorHAnsi" w:hAnsiTheme="minorHAnsi"/>
          <w:szCs w:val="18"/>
          <w:lang w:val="en"/>
        </w:rPr>
      </w:pPr>
      <w:r w:rsidRPr="00374766">
        <w:rPr>
          <w:rStyle w:val="FootnoteReference"/>
          <w:rFonts w:asciiTheme="minorHAnsi" w:hAnsiTheme="minorHAnsi"/>
          <w:szCs w:val="18"/>
        </w:rPr>
        <w:footnoteRef/>
      </w:r>
      <w:r>
        <w:rPr>
          <w:rStyle w:val="mw-mmv-title"/>
          <w:rFonts w:asciiTheme="minorHAnsi" w:hAnsiTheme="minorHAnsi"/>
          <w:szCs w:val="18"/>
          <w:lang w:val="en"/>
        </w:rPr>
        <w:t xml:space="preserve"> </w:t>
      </w:r>
      <w:proofErr w:type="gramStart"/>
      <w:r w:rsidRPr="00374766">
        <w:rPr>
          <w:rStyle w:val="mw-mmv-title"/>
          <w:rFonts w:asciiTheme="minorHAnsi" w:hAnsiTheme="minorHAnsi"/>
          <w:szCs w:val="18"/>
          <w:lang w:val="en"/>
        </w:rPr>
        <w:t xml:space="preserve">Schematic representation of normal </w:t>
      </w:r>
      <w:hyperlink r:id="rId1" w:tooltip="ECG" w:history="1">
        <w:r w:rsidRPr="00374766">
          <w:rPr>
            <w:rStyle w:val="Hyperlink"/>
            <w:rFonts w:asciiTheme="minorHAnsi" w:hAnsiTheme="minorHAnsi"/>
            <w:color w:val="auto"/>
            <w:szCs w:val="18"/>
            <w:u w:val="none"/>
            <w:lang w:val="en"/>
          </w:rPr>
          <w:t>ECG</w:t>
        </w:r>
      </w:hyperlink>
      <w:r w:rsidRPr="00374766">
        <w:rPr>
          <w:rStyle w:val="mw-mmv-title"/>
          <w:rFonts w:asciiTheme="minorHAnsi" w:hAnsiTheme="minorHAnsi"/>
          <w:szCs w:val="18"/>
          <w:lang w:val="en"/>
        </w:rPr>
        <w:t xml:space="preserve"> trace </w:t>
      </w:r>
      <w:r w:rsidRPr="00374766">
        <w:rPr>
          <w:rStyle w:val="mw-mmv-title"/>
          <w:rFonts w:asciiTheme="minorHAnsi" w:hAnsiTheme="minorHAnsi"/>
          <w:iCs/>
          <w:szCs w:val="18"/>
          <w:lang w:val="en"/>
        </w:rPr>
        <w:t>(</w:t>
      </w:r>
      <w:hyperlink r:id="rId2" w:tooltip="Sinus rhythm" w:history="1">
        <w:r w:rsidRPr="00374766">
          <w:rPr>
            <w:rStyle w:val="Hyperlink"/>
            <w:rFonts w:asciiTheme="minorHAnsi" w:hAnsiTheme="minorHAnsi"/>
            <w:iCs/>
            <w:color w:val="auto"/>
            <w:szCs w:val="18"/>
            <w:u w:val="none"/>
            <w:lang w:val="en"/>
          </w:rPr>
          <w:t>sinus rhythm</w:t>
        </w:r>
      </w:hyperlink>
      <w:r w:rsidRPr="00374766">
        <w:rPr>
          <w:rStyle w:val="mw-mmv-title"/>
          <w:rFonts w:asciiTheme="minorHAnsi" w:hAnsiTheme="minorHAnsi"/>
          <w:iCs/>
          <w:szCs w:val="18"/>
          <w:lang w:val="en"/>
        </w:rPr>
        <w:t>),</w:t>
      </w:r>
      <w:r w:rsidRPr="00374766">
        <w:rPr>
          <w:rStyle w:val="mw-mmv-title"/>
          <w:rFonts w:asciiTheme="minorHAnsi" w:hAnsiTheme="minorHAnsi"/>
          <w:szCs w:val="18"/>
          <w:lang w:val="en"/>
        </w:rPr>
        <w:t xml:space="preserve"> with waves, segments, and intervals label</w:t>
      </w:r>
      <w:r>
        <w:rPr>
          <w:rStyle w:val="mw-mmv-title"/>
          <w:rFonts w:asciiTheme="minorHAnsi" w:hAnsiTheme="minorHAnsi"/>
          <w:szCs w:val="18"/>
          <w:lang w:val="en"/>
        </w:rPr>
        <w:t>l</w:t>
      </w:r>
      <w:r w:rsidRPr="00374766">
        <w:rPr>
          <w:rStyle w:val="mw-mmv-title"/>
          <w:rFonts w:asciiTheme="minorHAnsi" w:hAnsiTheme="minorHAnsi"/>
          <w:szCs w:val="18"/>
          <w:lang w:val="en"/>
        </w:rPr>
        <w:t>ed.</w:t>
      </w:r>
      <w:proofErr w:type="gramEnd"/>
      <w:r w:rsidRPr="00374766">
        <w:rPr>
          <w:rStyle w:val="mw-mmv-ttf-ellipsis"/>
          <w:rFonts w:asciiTheme="minorHAnsi" w:hAnsiTheme="minorHAnsi"/>
          <w:vanish/>
          <w:szCs w:val="18"/>
          <w:lang w:val="en"/>
        </w:rPr>
        <w:t>…</w:t>
      </w:r>
      <w:r w:rsidRPr="00374766">
        <w:rPr>
          <w:rFonts w:asciiTheme="minorHAnsi" w:hAnsiTheme="minorHAnsi"/>
          <w:szCs w:val="18"/>
        </w:rPr>
        <w:t xml:space="preserve"> </w:t>
      </w:r>
      <w:r>
        <w:rPr>
          <w:noProof/>
          <w:lang w:eastAsia="en-AU"/>
        </w:rPr>
        <w:drawing>
          <wp:inline distT="0" distB="0" distL="0" distR="0" wp14:anchorId="6D04469D" wp14:editId="5815E248">
            <wp:extent cx="1019175" cy="1006218"/>
            <wp:effectExtent l="0" t="0" r="0" b="3810"/>
            <wp:docPr id="2" name="Picture 2" descr="Schematic representation of normal ECG trace (sinus rhythm), with waves, segments, and intervals 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21856" cy="1008865"/>
                    </a:xfrm>
                    <a:prstGeom prst="rect">
                      <a:avLst/>
                    </a:prstGeom>
                  </pic:spPr>
                </pic:pic>
              </a:graphicData>
            </a:graphic>
          </wp:inline>
        </w:drawing>
      </w:r>
      <w:r w:rsidRPr="00374766">
        <w:rPr>
          <w:rFonts w:asciiTheme="minorHAnsi" w:hAnsiTheme="minorHAnsi"/>
          <w:szCs w:val="18"/>
          <w:lang w:val="en"/>
        </w:rPr>
        <w:t>.</w:t>
      </w:r>
    </w:p>
  </w:footnote>
  <w:footnote w:id="6">
    <w:p w:rsidR="00187359" w:rsidRPr="00374766" w:rsidRDefault="00187359" w:rsidP="0018579F">
      <w:pPr>
        <w:pStyle w:val="FootnoteText"/>
      </w:pPr>
      <w:r w:rsidRPr="00374766">
        <w:rPr>
          <w:rStyle w:val="FootnoteReference"/>
          <w:rFonts w:asciiTheme="minorHAnsi" w:hAnsiTheme="minorHAnsi"/>
          <w:szCs w:val="18"/>
        </w:rPr>
        <w:footnoteRef/>
      </w:r>
      <w:r w:rsidRPr="00374766">
        <w:rPr>
          <w:rFonts w:asciiTheme="minorHAnsi" w:hAnsiTheme="minorHAnsi"/>
        </w:rPr>
        <w:t xml:space="preserve"> </w:t>
      </w:r>
      <w:r w:rsidRPr="00374766">
        <w:rPr>
          <w:rFonts w:asciiTheme="minorHAnsi" w:hAnsiTheme="minorHAnsi"/>
          <w:lang w:val="en"/>
        </w:rPr>
        <w:t xml:space="preserve">In </w:t>
      </w:r>
      <w:hyperlink r:id="rId4" w:tooltip="Cardiology" w:history="1">
        <w:r w:rsidRPr="00374766">
          <w:rPr>
            <w:rStyle w:val="Hyperlink"/>
            <w:rFonts w:asciiTheme="minorHAnsi" w:hAnsiTheme="minorHAnsi"/>
            <w:color w:val="auto"/>
            <w:szCs w:val="18"/>
            <w:u w:val="none"/>
            <w:lang w:val="en"/>
          </w:rPr>
          <w:t>cardiology</w:t>
        </w:r>
      </w:hyperlink>
      <w:r w:rsidRPr="00374766">
        <w:rPr>
          <w:rFonts w:asciiTheme="minorHAnsi" w:hAnsiTheme="minorHAnsi"/>
          <w:lang w:val="en"/>
        </w:rPr>
        <w:t xml:space="preserve">, the </w:t>
      </w:r>
      <w:r w:rsidRPr="00374766">
        <w:rPr>
          <w:rFonts w:asciiTheme="minorHAnsi" w:hAnsiTheme="minorHAnsi"/>
          <w:bCs/>
          <w:lang w:val="en"/>
        </w:rPr>
        <w:t>QT interval</w:t>
      </w:r>
      <w:r w:rsidRPr="00374766">
        <w:rPr>
          <w:rFonts w:asciiTheme="minorHAnsi" w:hAnsiTheme="minorHAnsi"/>
          <w:lang w:val="en"/>
        </w:rPr>
        <w:t xml:space="preserve"> is a measure of the time between the start of the </w:t>
      </w:r>
      <w:r w:rsidRPr="00374766">
        <w:rPr>
          <w:rFonts w:asciiTheme="minorHAnsi" w:hAnsiTheme="minorHAnsi"/>
          <w:bCs/>
          <w:lang w:val="en"/>
        </w:rPr>
        <w:t>Q wave</w:t>
      </w:r>
      <w:r w:rsidRPr="00374766">
        <w:rPr>
          <w:rFonts w:asciiTheme="minorHAnsi" w:hAnsiTheme="minorHAnsi"/>
          <w:lang w:val="en"/>
        </w:rPr>
        <w:t xml:space="preserve"> and the end of the </w:t>
      </w:r>
      <w:r w:rsidRPr="00374766">
        <w:rPr>
          <w:rFonts w:asciiTheme="minorHAnsi" w:hAnsiTheme="minorHAnsi"/>
          <w:bCs/>
          <w:lang w:val="en"/>
        </w:rPr>
        <w:t>T wave</w:t>
      </w:r>
      <w:r w:rsidRPr="00374766">
        <w:rPr>
          <w:rFonts w:asciiTheme="minorHAnsi" w:hAnsiTheme="minorHAnsi"/>
          <w:lang w:val="en"/>
        </w:rPr>
        <w:t xml:space="preserve"> in the</w:t>
      </w:r>
      <w:r w:rsidRPr="00374766">
        <w:rPr>
          <w:lang w:val="en"/>
        </w:rPr>
        <w:t xml:space="preserve"> heart's </w:t>
      </w:r>
      <w:hyperlink r:id="rId5" w:tooltip="Electrical conduction system of the heart" w:history="1">
        <w:r w:rsidRPr="00374766">
          <w:rPr>
            <w:rStyle w:val="Hyperlink"/>
            <w:color w:val="auto"/>
            <w:szCs w:val="18"/>
            <w:u w:val="none"/>
            <w:lang w:val="en"/>
          </w:rPr>
          <w:t>electrical cycle</w:t>
        </w:r>
      </w:hyperlink>
      <w:r w:rsidRPr="00374766">
        <w:rPr>
          <w:lang w:val="en"/>
        </w:rPr>
        <w:t xml:space="preserve">. The QT interval represents electrical </w:t>
      </w:r>
      <w:hyperlink r:id="rId6" w:anchor="Conduction_pathway" w:tooltip="Electrical conduction system of the heart" w:history="1">
        <w:r w:rsidRPr="00374766">
          <w:rPr>
            <w:rStyle w:val="Hyperlink"/>
            <w:color w:val="auto"/>
            <w:szCs w:val="18"/>
            <w:u w:val="none"/>
            <w:lang w:val="en"/>
          </w:rPr>
          <w:t>depolarization and repolarization of the ventricles</w:t>
        </w:r>
      </w:hyperlink>
      <w:r w:rsidRPr="00374766">
        <w:rPr>
          <w:lang w:val="en"/>
        </w:rPr>
        <w:t xml:space="preserve">. A lengthened QT interval is a marker for the potential of ventricular tachyarrhythmias like </w:t>
      </w:r>
      <w:hyperlink r:id="rId7" w:tooltip="Torsades de pointes" w:history="1">
        <w:r>
          <w:rPr>
            <w:rStyle w:val="Hyperlink"/>
            <w:color w:val="auto"/>
            <w:szCs w:val="18"/>
            <w:u w:val="none"/>
            <w:lang w:val="en"/>
          </w:rPr>
          <w:t>T</w:t>
        </w:r>
        <w:r w:rsidRPr="00374766">
          <w:rPr>
            <w:rStyle w:val="Hyperlink"/>
            <w:color w:val="auto"/>
            <w:szCs w:val="18"/>
            <w:u w:val="none"/>
            <w:lang w:val="en"/>
          </w:rPr>
          <w:t>orsades de pointes</w:t>
        </w:r>
      </w:hyperlink>
      <w:r w:rsidRPr="00374766">
        <w:rPr>
          <w:lang w:val="en"/>
        </w:rPr>
        <w:t xml:space="preserve"> and a risk factor for sudden death.</w:t>
      </w:r>
    </w:p>
  </w:footnote>
  <w:footnote w:id="7">
    <w:p w:rsidR="00187359" w:rsidRPr="00E61C8A" w:rsidRDefault="00187359" w:rsidP="0018579F">
      <w:pPr>
        <w:pStyle w:val="FootnoteText"/>
      </w:pPr>
      <w:r w:rsidRPr="00DC4CD2">
        <w:rPr>
          <w:rStyle w:val="FootnoteReference"/>
          <w:rFonts w:asciiTheme="minorHAnsi" w:hAnsiTheme="minorHAnsi"/>
          <w:szCs w:val="18"/>
        </w:rPr>
        <w:footnoteRef/>
      </w:r>
      <w:r>
        <w:t xml:space="preserve"> </w:t>
      </w:r>
      <w:proofErr w:type="spellStart"/>
      <w:r w:rsidRPr="00AA418B">
        <w:t>Laubie</w:t>
      </w:r>
      <w:proofErr w:type="spellEnd"/>
      <w:r w:rsidRPr="00AA418B">
        <w:t xml:space="preserve"> M, Schmitt H, Canellas J et al. </w:t>
      </w:r>
      <w:proofErr w:type="gramStart"/>
      <w:r w:rsidRPr="00AA418B">
        <w:t>Centrally</w:t>
      </w:r>
      <w:proofErr w:type="gramEnd"/>
      <w:r w:rsidRPr="00AA418B">
        <w:t xml:space="preserve"> mediated bradycardia and hypotension induced by narcotic analgesics: dextromoramide and fentanyl. </w:t>
      </w:r>
      <w:proofErr w:type="gramStart"/>
      <w:r w:rsidRPr="00AA418B">
        <w:t>Eur J Pharmacol 1974; 28:66-75.</w:t>
      </w:r>
      <w:proofErr w:type="gramEnd"/>
    </w:p>
  </w:footnote>
  <w:footnote w:id="8">
    <w:p w:rsidR="00187359" w:rsidRPr="00F041B6" w:rsidRDefault="00187359" w:rsidP="0018579F">
      <w:pPr>
        <w:pStyle w:val="FootnoteText"/>
      </w:pPr>
      <w:r w:rsidRPr="00F041B6">
        <w:rPr>
          <w:rStyle w:val="FootnoteReference"/>
          <w:rFonts w:asciiTheme="minorHAnsi" w:hAnsiTheme="minorHAnsi"/>
          <w:szCs w:val="18"/>
        </w:rPr>
        <w:footnoteRef/>
      </w:r>
      <w:r>
        <w:t xml:space="preserve"> </w:t>
      </w:r>
      <w:proofErr w:type="gramStart"/>
      <w:r w:rsidRPr="00F041B6">
        <w:t>Hunter JM, Jones RS, Utting E. Effect of anaesthesia with nitrous oxide in oxygen and fentanyl on renal function in the artificially ventilated d</w:t>
      </w:r>
      <w:r>
        <w:t>og.</w:t>
      </w:r>
      <w:proofErr w:type="gramEnd"/>
      <w:r>
        <w:t xml:space="preserve"> Br J </w:t>
      </w:r>
      <w:proofErr w:type="spellStart"/>
      <w:r>
        <w:t>Anaesth</w:t>
      </w:r>
      <w:proofErr w:type="spellEnd"/>
      <w:r>
        <w:t xml:space="preserve"> 1980</w:t>
      </w:r>
      <w:proofErr w:type="gramStart"/>
      <w:r>
        <w:t>;52:343</w:t>
      </w:r>
      <w:proofErr w:type="gramEnd"/>
      <w:r>
        <w:t>-8.</w:t>
      </w:r>
    </w:p>
  </w:footnote>
  <w:footnote w:id="9">
    <w:p w:rsidR="00187359" w:rsidRPr="00F041B6" w:rsidRDefault="00187359" w:rsidP="0018579F">
      <w:pPr>
        <w:pStyle w:val="FootnoteText"/>
      </w:pPr>
      <w:r w:rsidRPr="00F041B6">
        <w:rPr>
          <w:rStyle w:val="FootnoteReference"/>
          <w:rFonts w:asciiTheme="minorHAnsi" w:hAnsiTheme="minorHAnsi"/>
          <w:szCs w:val="18"/>
        </w:rPr>
        <w:footnoteRef/>
      </w:r>
      <w:r>
        <w:t xml:space="preserve"> </w:t>
      </w:r>
      <w:r w:rsidRPr="00F041B6">
        <w:t xml:space="preserve">Arndt JO, </w:t>
      </w:r>
      <w:proofErr w:type="spellStart"/>
      <w:r w:rsidRPr="00F041B6">
        <w:t>Mikat</w:t>
      </w:r>
      <w:proofErr w:type="spellEnd"/>
      <w:r w:rsidRPr="00F041B6">
        <w:t xml:space="preserve"> M, </w:t>
      </w:r>
      <w:proofErr w:type="spellStart"/>
      <w:r w:rsidRPr="00F041B6">
        <w:t>Parasher</w:t>
      </w:r>
      <w:proofErr w:type="spellEnd"/>
      <w:r w:rsidRPr="00F041B6">
        <w:t xml:space="preserve"> C. Fentanyl's analgesic, respiratory, and cardiovascular actions in relation to dose and plasma concentration in </w:t>
      </w:r>
      <w:proofErr w:type="spellStart"/>
      <w:r w:rsidRPr="00F041B6">
        <w:t>unanesthetized</w:t>
      </w:r>
      <w:proofErr w:type="spellEnd"/>
      <w:r w:rsidRPr="00F041B6">
        <w:t xml:space="preserve"> dogs. </w:t>
      </w:r>
      <w:proofErr w:type="spellStart"/>
      <w:r w:rsidRPr="00F041B6">
        <w:t>Anesthesiology</w:t>
      </w:r>
      <w:proofErr w:type="spellEnd"/>
      <w:r w:rsidRPr="00F041B6">
        <w:t xml:space="preserve"> 1984</w:t>
      </w:r>
      <w:proofErr w:type="gramStart"/>
      <w:r w:rsidRPr="00F041B6">
        <w:t>;61:355</w:t>
      </w:r>
      <w:proofErr w:type="gramEnd"/>
      <w:r w:rsidRPr="00F041B6">
        <w:t>-61.</w:t>
      </w:r>
    </w:p>
  </w:footnote>
  <w:footnote w:id="10">
    <w:p w:rsidR="00187359" w:rsidRPr="00F041B6" w:rsidRDefault="00187359" w:rsidP="0018579F">
      <w:pPr>
        <w:pStyle w:val="FootnoteText"/>
      </w:pPr>
      <w:r w:rsidRPr="00F041B6">
        <w:rPr>
          <w:rStyle w:val="FootnoteReference"/>
          <w:rFonts w:asciiTheme="minorHAnsi" w:hAnsiTheme="minorHAnsi"/>
          <w:szCs w:val="18"/>
        </w:rPr>
        <w:footnoteRef/>
      </w:r>
      <w:r>
        <w:t xml:space="preserve"> </w:t>
      </w:r>
      <w:r w:rsidRPr="00F041B6">
        <w:t xml:space="preserve">De </w:t>
      </w:r>
      <w:proofErr w:type="spellStart"/>
      <w:r w:rsidRPr="00F041B6">
        <w:t>Hert</w:t>
      </w:r>
      <w:proofErr w:type="spellEnd"/>
      <w:r w:rsidRPr="00F041B6">
        <w:t xml:space="preserve"> SG. Study on the effects of six intravenous </w:t>
      </w:r>
      <w:proofErr w:type="spellStart"/>
      <w:r w:rsidRPr="00F041B6">
        <w:t>anesthetic</w:t>
      </w:r>
      <w:proofErr w:type="spellEnd"/>
      <w:r w:rsidRPr="00F041B6">
        <w:t xml:space="preserve"> agents on regional ventricular function in dogs (thiopental, </w:t>
      </w:r>
      <w:proofErr w:type="spellStart"/>
      <w:r w:rsidRPr="00F041B6">
        <w:t>etomidate</w:t>
      </w:r>
      <w:proofErr w:type="spellEnd"/>
      <w:r w:rsidRPr="00F041B6">
        <w:t xml:space="preserve">, </w:t>
      </w:r>
      <w:proofErr w:type="spellStart"/>
      <w:r w:rsidRPr="00F041B6">
        <w:t>propofol</w:t>
      </w:r>
      <w:proofErr w:type="spellEnd"/>
      <w:r w:rsidRPr="00F041B6">
        <w:t xml:space="preserve">, fentanyl, </w:t>
      </w:r>
      <w:proofErr w:type="spellStart"/>
      <w:r w:rsidRPr="00F041B6">
        <w:t>sufentanil</w:t>
      </w:r>
      <w:proofErr w:type="spellEnd"/>
      <w:r w:rsidRPr="00F041B6">
        <w:t xml:space="preserve">, </w:t>
      </w:r>
      <w:proofErr w:type="spellStart"/>
      <w:r w:rsidRPr="00F041B6">
        <w:t>alfentanil</w:t>
      </w:r>
      <w:proofErr w:type="spellEnd"/>
      <w:r w:rsidRPr="00F041B6">
        <w:t xml:space="preserve">). </w:t>
      </w:r>
      <w:proofErr w:type="spellStart"/>
      <w:r w:rsidRPr="00F041B6">
        <w:t>Acta</w:t>
      </w:r>
      <w:proofErr w:type="spellEnd"/>
      <w:r w:rsidRPr="00F041B6">
        <w:t xml:space="preserve"> </w:t>
      </w:r>
      <w:proofErr w:type="spellStart"/>
      <w:r>
        <w:t>Anaesthesiol</w:t>
      </w:r>
      <w:proofErr w:type="spellEnd"/>
      <w:r>
        <w:t xml:space="preserve"> </w:t>
      </w:r>
      <w:proofErr w:type="spellStart"/>
      <w:r>
        <w:t>Belg</w:t>
      </w:r>
      <w:proofErr w:type="spellEnd"/>
      <w:r>
        <w:t xml:space="preserve"> 1991</w:t>
      </w:r>
      <w:proofErr w:type="gramStart"/>
      <w:r>
        <w:t>;42:3</w:t>
      </w:r>
      <w:proofErr w:type="gramEnd"/>
      <w:r>
        <w:t>-39.</w:t>
      </w:r>
    </w:p>
  </w:footnote>
  <w:footnote w:id="11">
    <w:p w:rsidR="00187359" w:rsidRPr="00E61C8A" w:rsidRDefault="00187359" w:rsidP="0018579F">
      <w:pPr>
        <w:pStyle w:val="FootnoteText"/>
        <w:rPr>
          <w:shd w:val="clear" w:color="auto" w:fill="FFFFFF"/>
        </w:rPr>
      </w:pPr>
      <w:r w:rsidRPr="00E61C8A">
        <w:rPr>
          <w:rStyle w:val="FootnoteReference"/>
          <w:szCs w:val="18"/>
        </w:rPr>
        <w:footnoteRef/>
      </w:r>
      <w:r w:rsidRPr="00E61C8A">
        <w:t xml:space="preserve"> </w:t>
      </w:r>
      <w:proofErr w:type="spellStart"/>
      <w:r w:rsidRPr="00E61C8A">
        <w:rPr>
          <w:shd w:val="clear" w:color="auto" w:fill="FFFFFF"/>
        </w:rPr>
        <w:t>Physicians</w:t>
      </w:r>
      <w:proofErr w:type="spellEnd"/>
      <w:r w:rsidRPr="00E61C8A">
        <w:rPr>
          <w:shd w:val="clear" w:color="auto" w:fill="FFFFFF"/>
        </w:rPr>
        <w:t xml:space="preserve"> Desk Reference (2005) 59th ed. Thomson P.D.R., Montvale, NJ, p. 1122</w:t>
      </w:r>
    </w:p>
  </w:footnote>
  <w:footnote w:id="12">
    <w:p w:rsidR="00187359" w:rsidRPr="00DC4CD2" w:rsidRDefault="00187359" w:rsidP="0018579F">
      <w:pPr>
        <w:pStyle w:val="FootnoteText"/>
      </w:pPr>
      <w:r>
        <w:rPr>
          <w:rStyle w:val="FootnoteReference"/>
        </w:rPr>
        <w:footnoteRef/>
      </w:r>
      <w:r>
        <w:t xml:space="preserve"> </w:t>
      </w:r>
      <w:r w:rsidRPr="00DC4CD2">
        <w:t>ICH Guidance S1B: Carcinogenicity: Testing for Carcinogenicity in Pharmaceuticals.</w:t>
      </w:r>
    </w:p>
  </w:footnote>
  <w:footnote w:id="13">
    <w:p w:rsidR="00187359" w:rsidRDefault="00187359" w:rsidP="00716409">
      <w:pPr>
        <w:pStyle w:val="FootnoteText"/>
      </w:pPr>
      <w:r w:rsidRPr="00DC4CD2">
        <w:rPr>
          <w:rStyle w:val="FootnoteReference"/>
        </w:rPr>
        <w:footnoteRef/>
      </w:r>
      <w:r w:rsidRPr="00DC4CD2">
        <w:t xml:space="preserve"> CPMP/</w:t>
      </w:r>
      <w:r w:rsidRPr="00716409">
        <w:t>ICH</w:t>
      </w:r>
      <w:r w:rsidRPr="00DC4CD2">
        <w:t>/299/95 CHMP SWP Conclusions and Recommendations on the Use of Genetically Modified Animal Models for Carcinogenicity Assessment</w:t>
      </w:r>
    </w:p>
  </w:footnote>
  <w:footnote w:id="14">
    <w:p w:rsidR="00187359" w:rsidRPr="00E61C8A" w:rsidRDefault="00187359" w:rsidP="0018579F">
      <w:pPr>
        <w:pStyle w:val="FootnoteText"/>
      </w:pPr>
      <w:r>
        <w:rPr>
          <w:rStyle w:val="FootnoteReference"/>
        </w:rPr>
        <w:footnoteRef/>
      </w:r>
      <w:r>
        <w:t xml:space="preserve"> </w:t>
      </w:r>
      <w:proofErr w:type="spellStart"/>
      <w:r w:rsidRPr="00AA418B">
        <w:t>Kofke</w:t>
      </w:r>
      <w:proofErr w:type="spellEnd"/>
      <w:r w:rsidRPr="00AA418B">
        <w:t xml:space="preserve"> WA, Garman RH, Stiller RL et al. Opioid neurotoxicity: fentanyl dose-response effects in rats. </w:t>
      </w:r>
      <w:proofErr w:type="spellStart"/>
      <w:r w:rsidRPr="00AA418B">
        <w:t>Anesth</w:t>
      </w:r>
      <w:proofErr w:type="spellEnd"/>
      <w:r w:rsidRPr="00AA418B">
        <w:t xml:space="preserve"> </w:t>
      </w:r>
      <w:proofErr w:type="spellStart"/>
      <w:r w:rsidRPr="00AA418B">
        <w:t>Analg</w:t>
      </w:r>
      <w:proofErr w:type="spellEnd"/>
      <w:r w:rsidRPr="00AA418B">
        <w:t xml:space="preserve"> 1996</w:t>
      </w:r>
      <w:proofErr w:type="gramStart"/>
      <w:r w:rsidRPr="00AA418B">
        <w:t>;83:1298</w:t>
      </w:r>
      <w:proofErr w:type="gramEnd"/>
      <w:r w:rsidRPr="00AA418B">
        <w:t>-1306.</w:t>
      </w:r>
    </w:p>
  </w:footnote>
  <w:footnote w:id="15">
    <w:p w:rsidR="00187359" w:rsidRPr="00E61C8A" w:rsidRDefault="00187359" w:rsidP="0018579F">
      <w:pPr>
        <w:pStyle w:val="FootnoteText"/>
      </w:pPr>
      <w:r>
        <w:rPr>
          <w:rStyle w:val="FootnoteReference"/>
        </w:rPr>
        <w:footnoteRef/>
      </w:r>
      <w:r>
        <w:t xml:space="preserve"> </w:t>
      </w:r>
      <w:proofErr w:type="spellStart"/>
      <w:proofErr w:type="gramStart"/>
      <w:r w:rsidRPr="00AA418B">
        <w:t>Kofke</w:t>
      </w:r>
      <w:proofErr w:type="spellEnd"/>
      <w:r w:rsidRPr="00AA418B">
        <w:t xml:space="preserve"> WA, Garman RH, Tom WC et al. </w:t>
      </w:r>
      <w:proofErr w:type="spellStart"/>
      <w:r w:rsidRPr="00AA418B">
        <w:t>Alfentanil</w:t>
      </w:r>
      <w:proofErr w:type="spellEnd"/>
      <w:r w:rsidRPr="00AA418B">
        <w:t xml:space="preserve">-induced </w:t>
      </w:r>
      <w:proofErr w:type="spellStart"/>
      <w:r w:rsidRPr="00AA418B">
        <w:t>hypermetabolism</w:t>
      </w:r>
      <w:proofErr w:type="spellEnd"/>
      <w:r w:rsidRPr="00AA418B">
        <w:t>, seizure, and histopathology in rat brain.</w:t>
      </w:r>
      <w:proofErr w:type="gramEnd"/>
      <w:r w:rsidRPr="00AA418B">
        <w:t xml:space="preserve"> </w:t>
      </w:r>
      <w:proofErr w:type="spellStart"/>
      <w:r w:rsidRPr="00AA418B">
        <w:t>Anesth</w:t>
      </w:r>
      <w:proofErr w:type="spellEnd"/>
      <w:r w:rsidRPr="00AA418B">
        <w:t xml:space="preserve"> </w:t>
      </w:r>
      <w:proofErr w:type="spellStart"/>
      <w:r w:rsidRPr="00AA418B">
        <w:t>Analg</w:t>
      </w:r>
      <w:proofErr w:type="spellEnd"/>
      <w:r w:rsidRPr="00AA418B">
        <w:t xml:space="preserve"> 1992</w:t>
      </w:r>
      <w:proofErr w:type="gramStart"/>
      <w:r w:rsidRPr="00AA418B">
        <w:t>;75:953</w:t>
      </w:r>
      <w:proofErr w:type="gramEnd"/>
      <w:r w:rsidRPr="00AA418B">
        <w:t>-964.</w:t>
      </w:r>
    </w:p>
  </w:footnote>
  <w:footnote w:id="16">
    <w:p w:rsidR="00187359" w:rsidRPr="00F05081" w:rsidRDefault="00187359" w:rsidP="0018579F">
      <w:pPr>
        <w:pStyle w:val="FootnoteText"/>
      </w:pPr>
      <w:r w:rsidRPr="00F05081">
        <w:rPr>
          <w:rStyle w:val="FootnoteReference"/>
          <w:rFonts w:asciiTheme="minorHAnsi" w:hAnsiTheme="minorHAnsi"/>
          <w:szCs w:val="18"/>
        </w:rPr>
        <w:footnoteRef/>
      </w:r>
      <w:r w:rsidR="00716409">
        <w:t xml:space="preserve"> </w:t>
      </w:r>
      <w:proofErr w:type="gramStart"/>
      <w:r w:rsidRPr="00F05081">
        <w:t xml:space="preserve">Martin LVH and </w:t>
      </w:r>
      <w:proofErr w:type="spellStart"/>
      <w:r w:rsidRPr="00F05081">
        <w:t>Jurand</w:t>
      </w:r>
      <w:proofErr w:type="spellEnd"/>
      <w:r w:rsidRPr="00F05081">
        <w:t xml:space="preserve"> A.</w:t>
      </w:r>
      <w:proofErr w:type="gramEnd"/>
      <w:r w:rsidRPr="00F05081">
        <w:t xml:space="preserve"> The absence of teratogenic effects of some analgesics used in anaesthesia: additional evidence from a mouse model. Anaesthesia 1992</w:t>
      </w:r>
      <w:proofErr w:type="gramStart"/>
      <w:r w:rsidRPr="00F05081">
        <w:t>;47:473</w:t>
      </w:r>
      <w:proofErr w:type="gramEnd"/>
      <w:r w:rsidRPr="00F05081">
        <w:t>-6.</w:t>
      </w:r>
    </w:p>
  </w:footnote>
  <w:footnote w:id="17">
    <w:p w:rsidR="00187359" w:rsidRPr="00F05081" w:rsidRDefault="00187359" w:rsidP="0018579F">
      <w:pPr>
        <w:pStyle w:val="FootnoteText"/>
      </w:pPr>
      <w:r w:rsidRPr="00F05081">
        <w:rPr>
          <w:rStyle w:val="FootnoteReference"/>
          <w:rFonts w:asciiTheme="minorHAnsi" w:hAnsiTheme="minorHAnsi"/>
          <w:szCs w:val="18"/>
        </w:rPr>
        <w:footnoteRef/>
      </w:r>
      <w:r w:rsidR="00716409">
        <w:t xml:space="preserve"> </w:t>
      </w:r>
      <w:proofErr w:type="spellStart"/>
      <w:proofErr w:type="gramStart"/>
      <w:r w:rsidRPr="00F05081">
        <w:t>Fujinaga</w:t>
      </w:r>
      <w:proofErr w:type="spellEnd"/>
      <w:r w:rsidRPr="00F05081">
        <w:t xml:space="preserve"> M, Stevenson JB, </w:t>
      </w:r>
      <w:proofErr w:type="spellStart"/>
      <w:r w:rsidRPr="00F05081">
        <w:t>Mazze</w:t>
      </w:r>
      <w:proofErr w:type="spellEnd"/>
      <w:r w:rsidRPr="00F05081">
        <w:t xml:space="preserve"> RI.</w:t>
      </w:r>
      <w:proofErr w:type="gramEnd"/>
      <w:r w:rsidRPr="00F05081">
        <w:t xml:space="preserve"> </w:t>
      </w:r>
      <w:proofErr w:type="gramStart"/>
      <w:r w:rsidRPr="00F05081">
        <w:t>Reproductive and teratogenic effects of fentanyl in Sprague-Dawley rats.</w:t>
      </w:r>
      <w:proofErr w:type="gramEnd"/>
      <w:r w:rsidRPr="00F05081">
        <w:t xml:space="preserve"> Teratology 1986;345;1-57</w:t>
      </w:r>
    </w:p>
  </w:footnote>
  <w:footnote w:id="18">
    <w:p w:rsidR="00187359" w:rsidRPr="00F05081" w:rsidRDefault="00187359" w:rsidP="0018579F">
      <w:pPr>
        <w:pStyle w:val="FootnoteText"/>
      </w:pPr>
      <w:r w:rsidRPr="00F05081">
        <w:rPr>
          <w:rStyle w:val="FootnoteReference"/>
          <w:rFonts w:asciiTheme="minorHAnsi" w:hAnsiTheme="minorHAnsi"/>
          <w:szCs w:val="18"/>
        </w:rPr>
        <w:footnoteRef/>
      </w:r>
      <w:r w:rsidR="00716409">
        <w:t xml:space="preserve"> </w:t>
      </w:r>
      <w:proofErr w:type="spellStart"/>
      <w:proofErr w:type="gramStart"/>
      <w:r w:rsidRPr="00F05081">
        <w:t>Mazze</w:t>
      </w:r>
      <w:proofErr w:type="spellEnd"/>
      <w:r w:rsidRPr="00F05081">
        <w:t xml:space="preserve"> RI, </w:t>
      </w:r>
      <w:proofErr w:type="spellStart"/>
      <w:r w:rsidRPr="00F05081">
        <w:t>Fujinaga</w:t>
      </w:r>
      <w:proofErr w:type="spellEnd"/>
      <w:r w:rsidRPr="00F05081">
        <w:t xml:space="preserve"> M, Baden JM.</w:t>
      </w:r>
      <w:proofErr w:type="gramEnd"/>
      <w:r w:rsidRPr="00F05081">
        <w:t xml:space="preserve"> </w:t>
      </w:r>
      <w:proofErr w:type="gramStart"/>
      <w:r w:rsidRPr="00F05081">
        <w:t>Reproductive and teratogenic effects of nitrous oxide, fentanyl and their combination in Sprague-Dawley rats.</w:t>
      </w:r>
      <w:proofErr w:type="gramEnd"/>
      <w:r w:rsidRPr="00F05081">
        <w:t xml:space="preserve"> Br J </w:t>
      </w:r>
      <w:proofErr w:type="spellStart"/>
      <w:r w:rsidRPr="00F05081">
        <w:t>Anaesth</w:t>
      </w:r>
      <w:proofErr w:type="spellEnd"/>
      <w:r w:rsidRPr="00F05081">
        <w:t xml:space="preserve"> 1987</w:t>
      </w:r>
      <w:proofErr w:type="gramStart"/>
      <w:r w:rsidRPr="00F05081">
        <w:t>;59:1291</w:t>
      </w:r>
      <w:proofErr w:type="gramEnd"/>
      <w:r w:rsidRPr="00F05081">
        <w:t>-7.</w:t>
      </w:r>
    </w:p>
  </w:footnote>
  <w:footnote w:id="19">
    <w:p w:rsidR="00187359" w:rsidRPr="00F05081" w:rsidRDefault="00187359" w:rsidP="0018579F">
      <w:pPr>
        <w:pStyle w:val="FootnoteText"/>
      </w:pPr>
      <w:r w:rsidRPr="00F05081">
        <w:rPr>
          <w:rStyle w:val="FootnoteReference"/>
          <w:rFonts w:asciiTheme="minorHAnsi" w:hAnsiTheme="minorHAnsi"/>
          <w:szCs w:val="18"/>
        </w:rPr>
        <w:footnoteRef/>
      </w:r>
      <w:r w:rsidR="00716409">
        <w:t xml:space="preserve"> </w:t>
      </w:r>
      <w:r w:rsidRPr="00F05081">
        <w:t>PI documents for other fentanyl products</w:t>
      </w:r>
    </w:p>
  </w:footnote>
  <w:footnote w:id="20">
    <w:p w:rsidR="00187359" w:rsidRPr="00374766" w:rsidRDefault="00187359" w:rsidP="0018579F">
      <w:pPr>
        <w:pStyle w:val="FootnoteText"/>
      </w:pPr>
      <w:r w:rsidRPr="00374766">
        <w:rPr>
          <w:rStyle w:val="FootnoteReference"/>
        </w:rPr>
        <w:footnoteRef/>
      </w:r>
      <w:r w:rsidR="00716409">
        <w:t xml:space="preserve"> </w:t>
      </w:r>
      <w:r w:rsidRPr="00374766">
        <w:t xml:space="preserve">F1 </w:t>
      </w:r>
      <w:r w:rsidRPr="00374766">
        <w:rPr>
          <w:lang w:val="en"/>
        </w:rPr>
        <w:t xml:space="preserve">is the first filial </w:t>
      </w:r>
      <w:hyperlink r:id="rId8" w:tooltip="Generation" w:history="1">
        <w:r w:rsidRPr="00374766">
          <w:rPr>
            <w:rStyle w:val="Hyperlink"/>
            <w:color w:val="auto"/>
            <w:u w:val="none"/>
            <w:lang w:val="en"/>
          </w:rPr>
          <w:t>generation</w:t>
        </w:r>
      </w:hyperlink>
      <w:r w:rsidRPr="00374766">
        <w:rPr>
          <w:lang w:val="en"/>
        </w:rPr>
        <w:t xml:space="preserve"> of offspring of parental types (F0).</w:t>
      </w:r>
    </w:p>
  </w:footnote>
  <w:footnote w:id="21">
    <w:p w:rsidR="00187359" w:rsidRPr="00E61C8A" w:rsidRDefault="00187359" w:rsidP="0018579F">
      <w:pPr>
        <w:pStyle w:val="FootnoteText"/>
      </w:pPr>
      <w:r w:rsidRPr="00E61C8A">
        <w:rPr>
          <w:rStyle w:val="FootnoteReference"/>
          <w:rFonts w:asciiTheme="minorHAnsi" w:hAnsiTheme="minorHAnsi"/>
          <w:szCs w:val="18"/>
        </w:rPr>
        <w:footnoteRef/>
      </w:r>
      <w:r w:rsidRPr="00E61C8A">
        <w:t xml:space="preserve"> </w:t>
      </w:r>
      <w:proofErr w:type="gramStart"/>
      <w:r w:rsidRPr="00E61C8A">
        <w:t>Vella LM, Knott C, Reynolds F. Transfer of fentanyl across the rabbit placenta.</w:t>
      </w:r>
      <w:proofErr w:type="gramEnd"/>
      <w:r w:rsidRPr="00E61C8A">
        <w:t xml:space="preserve"> </w:t>
      </w:r>
      <w:proofErr w:type="gramStart"/>
      <w:r w:rsidRPr="00E61C8A">
        <w:t>Effect of umbilical flow and concurrent drug administrati</w:t>
      </w:r>
      <w:r w:rsidR="00127A68">
        <w:t>on.</w:t>
      </w:r>
      <w:proofErr w:type="gramEnd"/>
      <w:r w:rsidR="00127A68">
        <w:t xml:space="preserve"> Br J </w:t>
      </w:r>
      <w:proofErr w:type="spellStart"/>
      <w:r w:rsidR="00127A68">
        <w:t>Anaesth</w:t>
      </w:r>
      <w:proofErr w:type="spellEnd"/>
      <w:r w:rsidR="00127A68">
        <w:t xml:space="preserve"> 1986</w:t>
      </w:r>
      <w:proofErr w:type="gramStart"/>
      <w:r w:rsidR="00127A68">
        <w:t>;58:49</w:t>
      </w:r>
      <w:proofErr w:type="gramEnd"/>
      <w:r w:rsidR="00127A68">
        <w:t>-54.</w:t>
      </w:r>
    </w:p>
  </w:footnote>
  <w:footnote w:id="22">
    <w:p w:rsidR="00187359" w:rsidRPr="00E61C8A" w:rsidRDefault="00187359" w:rsidP="0018579F">
      <w:pPr>
        <w:pStyle w:val="FootnoteText"/>
      </w:pPr>
      <w:r w:rsidRPr="00E61C8A">
        <w:rPr>
          <w:rStyle w:val="FootnoteReference"/>
          <w:rFonts w:asciiTheme="minorHAnsi" w:hAnsiTheme="minorHAnsi"/>
          <w:szCs w:val="18"/>
        </w:rPr>
        <w:footnoteRef/>
      </w:r>
      <w:r w:rsidRPr="00E61C8A">
        <w:t xml:space="preserve"> </w:t>
      </w:r>
      <w:proofErr w:type="gramStart"/>
      <w:r w:rsidRPr="00E61C8A">
        <w:t xml:space="preserve">Craft JB, </w:t>
      </w:r>
      <w:proofErr w:type="spellStart"/>
      <w:r w:rsidRPr="00E61C8A">
        <w:t>Coaldrake</w:t>
      </w:r>
      <w:proofErr w:type="spellEnd"/>
      <w:r w:rsidRPr="00E61C8A">
        <w:t xml:space="preserve"> LA, Bolan J, </w:t>
      </w:r>
      <w:proofErr w:type="spellStart"/>
      <w:r w:rsidRPr="00E61C8A">
        <w:t>Mondino</w:t>
      </w:r>
      <w:proofErr w:type="spellEnd"/>
      <w:r w:rsidRPr="00E61C8A">
        <w:t xml:space="preserve"> M, Mazel P, Gilman RM et al. Placental passage and uterine effects of fentanyl.</w:t>
      </w:r>
      <w:proofErr w:type="gramEnd"/>
      <w:r w:rsidRPr="00E61C8A">
        <w:t xml:space="preserve"> </w:t>
      </w:r>
      <w:proofErr w:type="spellStart"/>
      <w:proofErr w:type="gramStart"/>
      <w:r w:rsidRPr="00E61C8A">
        <w:t>A</w:t>
      </w:r>
      <w:r w:rsidR="00127A68">
        <w:t>nesth</w:t>
      </w:r>
      <w:proofErr w:type="spellEnd"/>
      <w:r w:rsidR="00127A68">
        <w:t xml:space="preserve"> </w:t>
      </w:r>
      <w:proofErr w:type="spellStart"/>
      <w:r w:rsidR="00127A68">
        <w:t>Analg</w:t>
      </w:r>
      <w:proofErr w:type="spellEnd"/>
      <w:r w:rsidR="00127A68">
        <w:t xml:space="preserve"> 1983; 62: 894-8.</w:t>
      </w:r>
      <w:proofErr w:type="gramEnd"/>
    </w:p>
  </w:footnote>
  <w:footnote w:id="23">
    <w:p w:rsidR="00187359" w:rsidRPr="007A22E7" w:rsidRDefault="00187359" w:rsidP="0018579F">
      <w:pPr>
        <w:pStyle w:val="FootnoteText"/>
        <w:rPr>
          <w:lang w:val="en"/>
        </w:rPr>
      </w:pPr>
      <w:r w:rsidRPr="007A22E7">
        <w:rPr>
          <w:rStyle w:val="FootnoteReference"/>
          <w:rFonts w:asciiTheme="minorHAnsi" w:hAnsiTheme="minorHAnsi"/>
          <w:szCs w:val="18"/>
        </w:rPr>
        <w:footnoteRef/>
      </w:r>
      <w:r w:rsidRPr="007A22E7">
        <w:t xml:space="preserve"> </w:t>
      </w:r>
      <w:r w:rsidRPr="007A22E7">
        <w:rPr>
          <w:lang w:val="en"/>
        </w:rPr>
        <w:t>Category C: 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24">
    <w:p w:rsidR="00187359" w:rsidRDefault="00187359">
      <w:pPr>
        <w:pStyle w:val="FootnoteText"/>
      </w:pPr>
      <w:r w:rsidRPr="007A22E7">
        <w:rPr>
          <w:rStyle w:val="FootnoteReference"/>
        </w:rPr>
        <w:footnoteRef/>
      </w:r>
      <w:r w:rsidRPr="007A22E7">
        <w:t xml:space="preserve"> CPMP/SWP/2145/00, January 2002: Note for guidance on</w:t>
      </w:r>
      <w:r>
        <w:t xml:space="preserve"> non-clinical local tolerance</w:t>
      </w:r>
      <w:r w:rsidR="00EC464E">
        <w:t xml:space="preserve"> testing of medicinal products.</w:t>
      </w:r>
    </w:p>
  </w:footnote>
  <w:footnote w:id="25">
    <w:p w:rsidR="00187359" w:rsidRDefault="00187359">
      <w:pPr>
        <w:pStyle w:val="FootnoteText"/>
      </w:pPr>
      <w:r>
        <w:rPr>
          <w:rStyle w:val="FootnoteReference"/>
        </w:rPr>
        <w:footnoteRef/>
      </w:r>
      <w:r>
        <w:t xml:space="preserve"> </w:t>
      </w:r>
      <w:r>
        <w:rPr>
          <w:noProof/>
        </w:rPr>
        <w:t>CPMP/EWP/612/00</w:t>
      </w:r>
    </w:p>
  </w:footnote>
  <w:footnote w:id="26">
    <w:p w:rsidR="00187359" w:rsidRDefault="00187359" w:rsidP="0018579F">
      <w:pPr>
        <w:pStyle w:val="FootnoteText"/>
      </w:pPr>
      <w:r>
        <w:rPr>
          <w:rStyle w:val="FootnoteReference"/>
        </w:rPr>
        <w:footnoteRef/>
      </w:r>
      <w:r>
        <w:t xml:space="preserve"> The sponsor submitted an </w:t>
      </w:r>
      <w:r w:rsidRPr="00AE59C6">
        <w:t>Australian Specific Annex V</w:t>
      </w:r>
      <w:r>
        <w:t>ersion 4 (dated November 2014) with their pre ACPM response.</w:t>
      </w:r>
    </w:p>
  </w:footnote>
  <w:footnote w:id="27">
    <w:p w:rsidR="00187359" w:rsidRPr="00C16BC4" w:rsidRDefault="00187359" w:rsidP="0018579F">
      <w:pPr>
        <w:pStyle w:val="FootnoteText"/>
      </w:pPr>
      <w:r w:rsidRPr="00C16BC4">
        <w:rPr>
          <w:rStyle w:val="FootnoteReference"/>
          <w:rFonts w:asciiTheme="minorHAnsi" w:hAnsiTheme="minorHAnsi"/>
          <w:szCs w:val="18"/>
        </w:rPr>
        <w:footnoteRef/>
      </w:r>
      <w:r w:rsidRPr="00C16BC4">
        <w:t xml:space="preserve"> These scales and criteria are used by doctors and researchers to assess how a patient's disease is progressing, assess how the disease affects the daily living abilities of the patient, and determine appropriate treatment and prognosis.</w:t>
      </w:r>
      <w:r>
        <w:t xml:space="preserve"> 0=fully active to 5= dead.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pPr>
      <w:rPr>
        <w:noProof/>
        <w:lang w:eastAsia="en-AU"/>
      </w:rPr>
    </w:pPr>
    <w:r w:rsidRPr="00347824">
      <w:rPr>
        <w:noProof/>
        <w:lang w:eastAsia="en-AU"/>
      </w:rPr>
      <w:drawing>
        <wp:anchor distT="0" distB="0" distL="114300" distR="114300" simplePos="0" relativeHeight="251659264" behindDoc="1" locked="0" layoutInCell="1" allowOverlap="1" wp14:anchorId="2B30B4D2" wp14:editId="069595C3">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87359" w:rsidRDefault="00187359" w:rsidP="00593AD1">
    <w:pPr>
      <w:pStyle w:val="HeaderNoLine"/>
    </w:pPr>
    <w:r>
      <w:rPr>
        <w:noProof/>
        <w:lang w:eastAsia="en-AU"/>
      </w:rPr>
      <w:drawing>
        <wp:inline distT="0" distB="0" distL="0" distR="0" wp14:anchorId="339F1988" wp14:editId="79A33904">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9" w:rsidRDefault="00187359" w:rsidP="006E08B3">
    <w:r>
      <w:t>Therapeutic Goods Administration</w:t>
    </w:r>
  </w:p>
  <w:p w:rsidR="00187359" w:rsidRDefault="0018735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C62CE8"/>
    <w:lvl w:ilvl="0">
      <w:start w:val="1"/>
      <w:numFmt w:val="decimal"/>
      <w:lvlText w:val="%1."/>
      <w:lvlJc w:val="left"/>
      <w:pPr>
        <w:tabs>
          <w:tab w:val="num" w:pos="1492"/>
        </w:tabs>
        <w:ind w:left="1492" w:hanging="360"/>
      </w:pPr>
    </w:lvl>
  </w:abstractNum>
  <w:abstractNum w:abstractNumId="1">
    <w:nsid w:val="FFFFFF7D"/>
    <w:multiLevelType w:val="singleLevel"/>
    <w:tmpl w:val="1ED8B544"/>
    <w:lvl w:ilvl="0">
      <w:start w:val="1"/>
      <w:numFmt w:val="decimal"/>
      <w:lvlText w:val="%1."/>
      <w:lvlJc w:val="left"/>
      <w:pPr>
        <w:tabs>
          <w:tab w:val="num" w:pos="1209"/>
        </w:tabs>
        <w:ind w:left="1209" w:hanging="360"/>
      </w:pPr>
    </w:lvl>
  </w:abstractNum>
  <w:abstractNum w:abstractNumId="2">
    <w:nsid w:val="FFFFFF7E"/>
    <w:multiLevelType w:val="singleLevel"/>
    <w:tmpl w:val="C0528B00"/>
    <w:lvl w:ilvl="0">
      <w:start w:val="1"/>
      <w:numFmt w:val="decimal"/>
      <w:lvlText w:val="%1."/>
      <w:lvlJc w:val="left"/>
      <w:pPr>
        <w:tabs>
          <w:tab w:val="num" w:pos="926"/>
        </w:tabs>
        <w:ind w:left="926" w:hanging="360"/>
      </w:pPr>
    </w:lvl>
  </w:abstractNum>
  <w:abstractNum w:abstractNumId="3">
    <w:nsid w:val="FFFFFF7F"/>
    <w:multiLevelType w:val="singleLevel"/>
    <w:tmpl w:val="CE5EA296"/>
    <w:lvl w:ilvl="0">
      <w:start w:val="1"/>
      <w:numFmt w:val="decimal"/>
      <w:lvlText w:val="%1."/>
      <w:lvlJc w:val="left"/>
      <w:pPr>
        <w:tabs>
          <w:tab w:val="num" w:pos="643"/>
        </w:tabs>
        <w:ind w:left="643" w:hanging="360"/>
      </w:pPr>
    </w:lvl>
  </w:abstractNum>
  <w:abstractNum w:abstractNumId="4">
    <w:nsid w:val="FFFFFF80"/>
    <w:multiLevelType w:val="singleLevel"/>
    <w:tmpl w:val="A404B6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C4E9FA"/>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71BEF5DE"/>
    <w:lvl w:ilvl="0">
      <w:start w:val="1"/>
      <w:numFmt w:val="decimal"/>
      <w:lvlText w:val="%1."/>
      <w:lvlJc w:val="left"/>
      <w:pPr>
        <w:tabs>
          <w:tab w:val="num" w:pos="360"/>
        </w:tabs>
        <w:ind w:left="360" w:hanging="360"/>
      </w:pPr>
    </w:lvl>
  </w:abstractNum>
  <w:abstractNum w:abstractNumId="7">
    <w:nsid w:val="FFFFFF89"/>
    <w:multiLevelType w:val="singleLevel"/>
    <w:tmpl w:val="660C69BC"/>
    <w:lvl w:ilvl="0">
      <w:start w:val="1"/>
      <w:numFmt w:val="bullet"/>
      <w:lvlText w:val=""/>
      <w:lvlJc w:val="left"/>
      <w:pPr>
        <w:tabs>
          <w:tab w:val="num" w:pos="360"/>
        </w:tabs>
        <w:ind w:left="360" w:hanging="360"/>
      </w:pPr>
      <w:rPr>
        <w:rFonts w:ascii="Symbol" w:hAnsi="Symbol" w:hint="default"/>
      </w:rPr>
    </w:lvl>
  </w:abstractNum>
  <w:abstractNum w:abstractNumId="8">
    <w:nsid w:val="02FA4E04"/>
    <w:multiLevelType w:val="hybridMultilevel"/>
    <w:tmpl w:val="C74A1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nsid w:val="0A354AA9"/>
    <w:multiLevelType w:val="hybridMultilevel"/>
    <w:tmpl w:val="64AE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A6E6185"/>
    <w:multiLevelType w:val="hybridMultilevel"/>
    <w:tmpl w:val="E0105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0F71113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6B54B8C"/>
    <w:multiLevelType w:val="hybridMultilevel"/>
    <w:tmpl w:val="64962BB8"/>
    <w:lvl w:ilvl="0" w:tplc="E78EB540">
      <w:start w:val="1"/>
      <w:numFmt w:val="decimal"/>
      <w:lvlText w:val="%1."/>
      <w:lvlJc w:val="left"/>
      <w:pPr>
        <w:ind w:left="644" w:hanging="360"/>
      </w:pPr>
      <w:rPr>
        <w:rFonts w:hint="default"/>
      </w:rPr>
    </w:lvl>
    <w:lvl w:ilvl="1" w:tplc="E8800802">
      <w:start w:val="1"/>
      <w:numFmt w:val="lowerLetter"/>
      <w:lvlText w:val="%2."/>
      <w:lvlJc w:val="left"/>
      <w:pPr>
        <w:ind w:left="1364" w:hanging="360"/>
      </w:pPr>
    </w:lvl>
    <w:lvl w:ilvl="2" w:tplc="85605320">
      <w:start w:val="1"/>
      <w:numFmt w:val="lowerRoman"/>
      <w:lvlText w:val="%3."/>
      <w:lvlJc w:val="right"/>
      <w:pPr>
        <w:ind w:left="2084" w:hanging="180"/>
      </w:pPr>
    </w:lvl>
    <w:lvl w:ilvl="3" w:tplc="8DA2F316">
      <w:start w:val="1"/>
      <w:numFmt w:val="decimal"/>
      <w:lvlText w:val="%4."/>
      <w:lvlJc w:val="left"/>
      <w:pPr>
        <w:ind w:left="2804" w:hanging="360"/>
      </w:pPr>
    </w:lvl>
    <w:lvl w:ilvl="4" w:tplc="18468208" w:tentative="1">
      <w:start w:val="1"/>
      <w:numFmt w:val="lowerLetter"/>
      <w:lvlText w:val="%5."/>
      <w:lvlJc w:val="left"/>
      <w:pPr>
        <w:ind w:left="3524" w:hanging="360"/>
      </w:pPr>
    </w:lvl>
    <w:lvl w:ilvl="5" w:tplc="D470802A" w:tentative="1">
      <w:start w:val="1"/>
      <w:numFmt w:val="lowerRoman"/>
      <w:lvlText w:val="%6."/>
      <w:lvlJc w:val="right"/>
      <w:pPr>
        <w:ind w:left="4244" w:hanging="180"/>
      </w:pPr>
    </w:lvl>
    <w:lvl w:ilvl="6" w:tplc="518840D8" w:tentative="1">
      <w:start w:val="1"/>
      <w:numFmt w:val="decimal"/>
      <w:lvlText w:val="%7."/>
      <w:lvlJc w:val="left"/>
      <w:pPr>
        <w:ind w:left="4964" w:hanging="360"/>
      </w:pPr>
    </w:lvl>
    <w:lvl w:ilvl="7" w:tplc="F85C8670" w:tentative="1">
      <w:start w:val="1"/>
      <w:numFmt w:val="lowerLetter"/>
      <w:lvlText w:val="%8."/>
      <w:lvlJc w:val="left"/>
      <w:pPr>
        <w:ind w:left="5684" w:hanging="360"/>
      </w:pPr>
    </w:lvl>
    <w:lvl w:ilvl="8" w:tplc="1CA8AD22" w:tentative="1">
      <w:start w:val="1"/>
      <w:numFmt w:val="lowerRoman"/>
      <w:lvlText w:val="%9."/>
      <w:lvlJc w:val="right"/>
      <w:pPr>
        <w:ind w:left="6404" w:hanging="180"/>
      </w:pPr>
    </w:lvl>
  </w:abstractNum>
  <w:abstractNum w:abstractNumId="16">
    <w:nsid w:val="1B360E08"/>
    <w:multiLevelType w:val="hybridMultilevel"/>
    <w:tmpl w:val="DDCA2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6A045A"/>
    <w:multiLevelType w:val="hybridMultilevel"/>
    <w:tmpl w:val="63BE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CF57AC"/>
    <w:multiLevelType w:val="hybridMultilevel"/>
    <w:tmpl w:val="F2AC5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66740A"/>
    <w:multiLevelType w:val="hybridMultilevel"/>
    <w:tmpl w:val="DF208838"/>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0">
    <w:nsid w:val="32BC2695"/>
    <w:multiLevelType w:val="hybridMultilevel"/>
    <w:tmpl w:val="47DA0408"/>
    <w:lvl w:ilvl="0" w:tplc="5964DEDC">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820D50"/>
    <w:multiLevelType w:val="hybridMultilevel"/>
    <w:tmpl w:val="D75A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3">
    <w:nsid w:val="3D6C10AD"/>
    <w:multiLevelType w:val="hybridMultilevel"/>
    <w:tmpl w:val="6AEA2B9E"/>
    <w:lvl w:ilvl="0" w:tplc="804C8672">
      <w:start w:val="1"/>
      <w:numFmt w:val="bullet"/>
      <w:lvlText w:val="-"/>
      <w:lvlJc w:val="left"/>
      <w:pPr>
        <w:ind w:left="575" w:hanging="360"/>
      </w:pPr>
      <w:rPr>
        <w:rFonts w:ascii="Cambria" w:eastAsia="Cambria" w:hAnsi="Cambria" w:cs="Times New Roman" w:hint="default"/>
      </w:rPr>
    </w:lvl>
    <w:lvl w:ilvl="1" w:tplc="0C090003" w:tentative="1">
      <w:start w:val="1"/>
      <w:numFmt w:val="bullet"/>
      <w:lvlText w:val="o"/>
      <w:lvlJc w:val="left"/>
      <w:pPr>
        <w:ind w:left="1295" w:hanging="360"/>
      </w:pPr>
      <w:rPr>
        <w:rFonts w:ascii="Courier New" w:hAnsi="Courier New" w:cs="Courier New" w:hint="default"/>
      </w:rPr>
    </w:lvl>
    <w:lvl w:ilvl="2" w:tplc="0C090005" w:tentative="1">
      <w:start w:val="1"/>
      <w:numFmt w:val="bullet"/>
      <w:lvlText w:val=""/>
      <w:lvlJc w:val="left"/>
      <w:pPr>
        <w:ind w:left="2015" w:hanging="360"/>
      </w:pPr>
      <w:rPr>
        <w:rFonts w:ascii="Wingdings" w:hAnsi="Wingdings" w:hint="default"/>
      </w:rPr>
    </w:lvl>
    <w:lvl w:ilvl="3" w:tplc="0C090001" w:tentative="1">
      <w:start w:val="1"/>
      <w:numFmt w:val="bullet"/>
      <w:lvlText w:val=""/>
      <w:lvlJc w:val="left"/>
      <w:pPr>
        <w:ind w:left="2735" w:hanging="360"/>
      </w:pPr>
      <w:rPr>
        <w:rFonts w:ascii="Symbol" w:hAnsi="Symbol" w:hint="default"/>
      </w:rPr>
    </w:lvl>
    <w:lvl w:ilvl="4" w:tplc="0C090003" w:tentative="1">
      <w:start w:val="1"/>
      <w:numFmt w:val="bullet"/>
      <w:lvlText w:val="o"/>
      <w:lvlJc w:val="left"/>
      <w:pPr>
        <w:ind w:left="3455" w:hanging="360"/>
      </w:pPr>
      <w:rPr>
        <w:rFonts w:ascii="Courier New" w:hAnsi="Courier New" w:cs="Courier New" w:hint="default"/>
      </w:rPr>
    </w:lvl>
    <w:lvl w:ilvl="5" w:tplc="0C090005" w:tentative="1">
      <w:start w:val="1"/>
      <w:numFmt w:val="bullet"/>
      <w:lvlText w:val=""/>
      <w:lvlJc w:val="left"/>
      <w:pPr>
        <w:ind w:left="4175" w:hanging="360"/>
      </w:pPr>
      <w:rPr>
        <w:rFonts w:ascii="Wingdings" w:hAnsi="Wingdings" w:hint="default"/>
      </w:rPr>
    </w:lvl>
    <w:lvl w:ilvl="6" w:tplc="0C090001" w:tentative="1">
      <w:start w:val="1"/>
      <w:numFmt w:val="bullet"/>
      <w:lvlText w:val=""/>
      <w:lvlJc w:val="left"/>
      <w:pPr>
        <w:ind w:left="4895" w:hanging="360"/>
      </w:pPr>
      <w:rPr>
        <w:rFonts w:ascii="Symbol" w:hAnsi="Symbol" w:hint="default"/>
      </w:rPr>
    </w:lvl>
    <w:lvl w:ilvl="7" w:tplc="0C090003" w:tentative="1">
      <w:start w:val="1"/>
      <w:numFmt w:val="bullet"/>
      <w:lvlText w:val="o"/>
      <w:lvlJc w:val="left"/>
      <w:pPr>
        <w:ind w:left="5615" w:hanging="360"/>
      </w:pPr>
      <w:rPr>
        <w:rFonts w:ascii="Courier New" w:hAnsi="Courier New" w:cs="Courier New" w:hint="default"/>
      </w:rPr>
    </w:lvl>
    <w:lvl w:ilvl="8" w:tplc="0C090005" w:tentative="1">
      <w:start w:val="1"/>
      <w:numFmt w:val="bullet"/>
      <w:lvlText w:val=""/>
      <w:lvlJc w:val="left"/>
      <w:pPr>
        <w:ind w:left="6335" w:hanging="360"/>
      </w:pPr>
      <w:rPr>
        <w:rFonts w:ascii="Wingdings" w:hAnsi="Wingdings" w:hint="default"/>
      </w:rPr>
    </w:lvl>
  </w:abstractNum>
  <w:abstractNum w:abstractNumId="24">
    <w:nsid w:val="43933087"/>
    <w:multiLevelType w:val="hybridMultilevel"/>
    <w:tmpl w:val="E1921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89B15D7"/>
    <w:multiLevelType w:val="hybridMultilevel"/>
    <w:tmpl w:val="3D2E60CC"/>
    <w:lvl w:ilvl="0" w:tplc="04CEB5FC">
      <w:start w:val="1"/>
      <w:numFmt w:val="bullet"/>
      <w:pStyle w:val="Bulletpoint"/>
      <w:lvlText w:val=""/>
      <w:lvlJc w:val="left"/>
      <w:pPr>
        <w:tabs>
          <w:tab w:val="num" w:pos="2496"/>
        </w:tabs>
        <w:ind w:left="2496"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A421E3"/>
    <w:multiLevelType w:val="hybridMultilevel"/>
    <w:tmpl w:val="2D7C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B109C7"/>
    <w:multiLevelType w:val="hybridMultilevel"/>
    <w:tmpl w:val="88824AF4"/>
    <w:lvl w:ilvl="0" w:tplc="0C090001">
      <w:start w:val="1"/>
      <w:numFmt w:val="bullet"/>
      <w:lvlText w:val=""/>
      <w:lvlJc w:val="left"/>
      <w:pPr>
        <w:ind w:left="1211" w:hanging="360"/>
      </w:pPr>
      <w:rPr>
        <w:rFonts w:ascii="Symbol" w:hAnsi="Symbol" w:hint="default"/>
      </w:rPr>
    </w:lvl>
    <w:lvl w:ilvl="1" w:tplc="E8800802">
      <w:start w:val="1"/>
      <w:numFmt w:val="lowerLetter"/>
      <w:lvlText w:val="%2."/>
      <w:lvlJc w:val="left"/>
      <w:pPr>
        <w:ind w:left="1931" w:hanging="360"/>
      </w:pPr>
    </w:lvl>
    <w:lvl w:ilvl="2" w:tplc="85605320">
      <w:start w:val="1"/>
      <w:numFmt w:val="lowerRoman"/>
      <w:lvlText w:val="%3."/>
      <w:lvlJc w:val="right"/>
      <w:pPr>
        <w:ind w:left="2651" w:hanging="180"/>
      </w:pPr>
    </w:lvl>
    <w:lvl w:ilvl="3" w:tplc="8DA2F316" w:tentative="1">
      <w:start w:val="1"/>
      <w:numFmt w:val="decimal"/>
      <w:lvlText w:val="%4."/>
      <w:lvlJc w:val="left"/>
      <w:pPr>
        <w:ind w:left="3371" w:hanging="360"/>
      </w:pPr>
    </w:lvl>
    <w:lvl w:ilvl="4" w:tplc="18468208" w:tentative="1">
      <w:start w:val="1"/>
      <w:numFmt w:val="lowerLetter"/>
      <w:lvlText w:val="%5."/>
      <w:lvlJc w:val="left"/>
      <w:pPr>
        <w:ind w:left="4091" w:hanging="360"/>
      </w:pPr>
    </w:lvl>
    <w:lvl w:ilvl="5" w:tplc="D470802A" w:tentative="1">
      <w:start w:val="1"/>
      <w:numFmt w:val="lowerRoman"/>
      <w:lvlText w:val="%6."/>
      <w:lvlJc w:val="right"/>
      <w:pPr>
        <w:ind w:left="4811" w:hanging="180"/>
      </w:pPr>
    </w:lvl>
    <w:lvl w:ilvl="6" w:tplc="518840D8" w:tentative="1">
      <w:start w:val="1"/>
      <w:numFmt w:val="decimal"/>
      <w:lvlText w:val="%7."/>
      <w:lvlJc w:val="left"/>
      <w:pPr>
        <w:ind w:left="5531" w:hanging="360"/>
      </w:pPr>
    </w:lvl>
    <w:lvl w:ilvl="7" w:tplc="F85C8670" w:tentative="1">
      <w:start w:val="1"/>
      <w:numFmt w:val="lowerLetter"/>
      <w:lvlText w:val="%8."/>
      <w:lvlJc w:val="left"/>
      <w:pPr>
        <w:ind w:left="6251" w:hanging="360"/>
      </w:pPr>
    </w:lvl>
    <w:lvl w:ilvl="8" w:tplc="1CA8AD22" w:tentative="1">
      <w:start w:val="1"/>
      <w:numFmt w:val="lowerRoman"/>
      <w:lvlText w:val="%9."/>
      <w:lvlJc w:val="right"/>
      <w:pPr>
        <w:ind w:left="6971" w:hanging="180"/>
      </w:pPr>
    </w:lvl>
  </w:abstractNum>
  <w:abstractNum w:abstractNumId="29">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0">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0CD2E1E"/>
    <w:multiLevelType w:val="hybridMultilevel"/>
    <w:tmpl w:val="DC32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0DB44E7"/>
    <w:multiLevelType w:val="hybridMultilevel"/>
    <w:tmpl w:val="3E0CB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4A115FE"/>
    <w:multiLevelType w:val="hybridMultilevel"/>
    <w:tmpl w:val="7B38B322"/>
    <w:lvl w:ilvl="0" w:tplc="6672C476">
      <w:start w:val="1"/>
      <w:numFmt w:val="bullet"/>
      <w:lvlText w:val="-"/>
      <w:lvlJc w:val="left"/>
      <w:pPr>
        <w:ind w:left="530" w:hanging="360"/>
      </w:pPr>
      <w:rPr>
        <w:rFonts w:ascii="Cambria" w:eastAsia="Cambria" w:hAnsi="Cambria" w:cs="Times New Roman"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34">
    <w:nsid w:val="750B0562"/>
    <w:multiLevelType w:val="hybridMultilevel"/>
    <w:tmpl w:val="484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4"/>
  </w:num>
  <w:num w:numId="4">
    <w:abstractNumId w:val="13"/>
  </w:num>
  <w:num w:numId="5">
    <w:abstractNumId w:val="1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12"/>
  </w:num>
  <w:num w:numId="7">
    <w:abstractNumId w:val="25"/>
  </w:num>
  <w:num w:numId="8">
    <w:abstractNumId w:val="27"/>
  </w:num>
  <w:num w:numId="9">
    <w:abstractNumId w:val="11"/>
  </w:num>
  <w:num w:numId="10">
    <w:abstractNumId w:val="19"/>
  </w:num>
  <w:num w:numId="11">
    <w:abstractNumId w:val="22"/>
  </w:num>
  <w:num w:numId="12">
    <w:abstractNumId w:val="30"/>
  </w:num>
  <w:num w:numId="13">
    <w:abstractNumId w:val="9"/>
  </w:num>
  <w:num w:numId="14">
    <w:abstractNumId w:val="29"/>
  </w:num>
  <w:num w:numId="15">
    <w:abstractNumId w:val="32"/>
  </w:num>
  <w:num w:numId="16">
    <w:abstractNumId w:val="20"/>
  </w:num>
  <w:num w:numId="17">
    <w:abstractNumId w:val="24"/>
  </w:num>
  <w:num w:numId="18">
    <w:abstractNumId w:val="18"/>
  </w:num>
  <w:num w:numId="19">
    <w:abstractNumId w:val="15"/>
  </w:num>
  <w:num w:numId="20">
    <w:abstractNumId w:val="28"/>
  </w:num>
  <w:num w:numId="21">
    <w:abstractNumId w:val="17"/>
  </w:num>
  <w:num w:numId="22">
    <w:abstractNumId w:val="10"/>
  </w:num>
  <w:num w:numId="23">
    <w:abstractNumId w:val="16"/>
  </w:num>
  <w:num w:numId="24">
    <w:abstractNumId w:val="21"/>
  </w:num>
  <w:num w:numId="25">
    <w:abstractNumId w:val="8"/>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num>
  <w:num w:numId="30">
    <w:abstractNumId w:val="26"/>
  </w:num>
  <w:num w:numId="31">
    <w:abstractNumId w:val="31"/>
  </w:num>
  <w:num w:numId="32">
    <w:abstractNumId w:val="7"/>
  </w:num>
  <w:num w:numId="33">
    <w:abstractNumId w:val="5"/>
  </w:num>
  <w:num w:numId="34">
    <w:abstractNumId w:val="4"/>
  </w:num>
  <w:num w:numId="35">
    <w:abstractNumId w:val="6"/>
  </w:num>
  <w:num w:numId="36">
    <w:abstractNumId w:val="3"/>
  </w:num>
  <w:num w:numId="37">
    <w:abstractNumId w:val="2"/>
  </w:num>
  <w:num w:numId="38">
    <w:abstractNumId w:val="1"/>
  </w:num>
  <w:num w:numId="39">
    <w:abstractNumId w:val="0"/>
  </w:num>
  <w:num w:numId="40">
    <w:abstractNumId w:val="33"/>
  </w:num>
  <w:num w:numId="4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CA"/>
    <w:rsid w:val="00002031"/>
    <w:rsid w:val="00004734"/>
    <w:rsid w:val="00006B22"/>
    <w:rsid w:val="0001276A"/>
    <w:rsid w:val="000246AE"/>
    <w:rsid w:val="00025C67"/>
    <w:rsid w:val="00044772"/>
    <w:rsid w:val="0005559E"/>
    <w:rsid w:val="000604D6"/>
    <w:rsid w:val="000734D8"/>
    <w:rsid w:val="00077775"/>
    <w:rsid w:val="00080107"/>
    <w:rsid w:val="000854E0"/>
    <w:rsid w:val="00090471"/>
    <w:rsid w:val="00096AA7"/>
    <w:rsid w:val="000A3AED"/>
    <w:rsid w:val="000B3532"/>
    <w:rsid w:val="000B3A75"/>
    <w:rsid w:val="000C00C2"/>
    <w:rsid w:val="000C690F"/>
    <w:rsid w:val="000D1295"/>
    <w:rsid w:val="000D140C"/>
    <w:rsid w:val="000D391B"/>
    <w:rsid w:val="000D3D6D"/>
    <w:rsid w:val="000D4FC7"/>
    <w:rsid w:val="000E433B"/>
    <w:rsid w:val="000E6196"/>
    <w:rsid w:val="000F4869"/>
    <w:rsid w:val="000F5B42"/>
    <w:rsid w:val="000F6E6F"/>
    <w:rsid w:val="001053E1"/>
    <w:rsid w:val="0010601F"/>
    <w:rsid w:val="0010788A"/>
    <w:rsid w:val="00107A31"/>
    <w:rsid w:val="00110EA5"/>
    <w:rsid w:val="00112F56"/>
    <w:rsid w:val="00125318"/>
    <w:rsid w:val="00127A68"/>
    <w:rsid w:val="001305A2"/>
    <w:rsid w:val="00133238"/>
    <w:rsid w:val="0014197B"/>
    <w:rsid w:val="001447CD"/>
    <w:rsid w:val="001516B1"/>
    <w:rsid w:val="00153C4C"/>
    <w:rsid w:val="00154EBB"/>
    <w:rsid w:val="00156316"/>
    <w:rsid w:val="00162D14"/>
    <w:rsid w:val="00165389"/>
    <w:rsid w:val="0017693F"/>
    <w:rsid w:val="0018110E"/>
    <w:rsid w:val="00181684"/>
    <w:rsid w:val="001843C6"/>
    <w:rsid w:val="001850E0"/>
    <w:rsid w:val="0018579F"/>
    <w:rsid w:val="00187359"/>
    <w:rsid w:val="001A2158"/>
    <w:rsid w:val="001A525F"/>
    <w:rsid w:val="001B09F9"/>
    <w:rsid w:val="001B5C90"/>
    <w:rsid w:val="001B6448"/>
    <w:rsid w:val="001C1A86"/>
    <w:rsid w:val="001C32CD"/>
    <w:rsid w:val="001C4843"/>
    <w:rsid w:val="001D2984"/>
    <w:rsid w:val="001E07CF"/>
    <w:rsid w:val="001E59F1"/>
    <w:rsid w:val="001F49EB"/>
    <w:rsid w:val="001F6CBA"/>
    <w:rsid w:val="00201D4E"/>
    <w:rsid w:val="002076C9"/>
    <w:rsid w:val="00220B8A"/>
    <w:rsid w:val="002257F3"/>
    <w:rsid w:val="00233456"/>
    <w:rsid w:val="002339A5"/>
    <w:rsid w:val="002445F1"/>
    <w:rsid w:val="002472E1"/>
    <w:rsid w:val="00257848"/>
    <w:rsid w:val="002647CA"/>
    <w:rsid w:val="0026565F"/>
    <w:rsid w:val="0027084A"/>
    <w:rsid w:val="00281C4E"/>
    <w:rsid w:val="00286434"/>
    <w:rsid w:val="00286C59"/>
    <w:rsid w:val="00291957"/>
    <w:rsid w:val="002942D1"/>
    <w:rsid w:val="0029501A"/>
    <w:rsid w:val="002A170B"/>
    <w:rsid w:val="002A3721"/>
    <w:rsid w:val="002B1638"/>
    <w:rsid w:val="002B3624"/>
    <w:rsid w:val="002D457F"/>
    <w:rsid w:val="002E40B3"/>
    <w:rsid w:val="002E4C9A"/>
    <w:rsid w:val="002F11F8"/>
    <w:rsid w:val="002F3F56"/>
    <w:rsid w:val="002F44B5"/>
    <w:rsid w:val="0030403C"/>
    <w:rsid w:val="00311AC0"/>
    <w:rsid w:val="00314EFC"/>
    <w:rsid w:val="0032583B"/>
    <w:rsid w:val="00327883"/>
    <w:rsid w:val="00335504"/>
    <w:rsid w:val="00347824"/>
    <w:rsid w:val="00350567"/>
    <w:rsid w:val="003521E8"/>
    <w:rsid w:val="003533AE"/>
    <w:rsid w:val="003728F3"/>
    <w:rsid w:val="00372BFF"/>
    <w:rsid w:val="00374766"/>
    <w:rsid w:val="0037496E"/>
    <w:rsid w:val="00383221"/>
    <w:rsid w:val="00383ECD"/>
    <w:rsid w:val="00386150"/>
    <w:rsid w:val="003874CE"/>
    <w:rsid w:val="00390900"/>
    <w:rsid w:val="00395141"/>
    <w:rsid w:val="003A7F6C"/>
    <w:rsid w:val="003B4D60"/>
    <w:rsid w:val="003B7E39"/>
    <w:rsid w:val="003C58DC"/>
    <w:rsid w:val="003D1E62"/>
    <w:rsid w:val="003E0B99"/>
    <w:rsid w:val="003E2486"/>
    <w:rsid w:val="003E3208"/>
    <w:rsid w:val="003F0B04"/>
    <w:rsid w:val="0040134E"/>
    <w:rsid w:val="004334C7"/>
    <w:rsid w:val="00435510"/>
    <w:rsid w:val="00440A2D"/>
    <w:rsid w:val="00441EC2"/>
    <w:rsid w:val="004564A7"/>
    <w:rsid w:val="004617BF"/>
    <w:rsid w:val="00463658"/>
    <w:rsid w:val="004637A0"/>
    <w:rsid w:val="004722CC"/>
    <w:rsid w:val="00483B0C"/>
    <w:rsid w:val="004936E4"/>
    <w:rsid w:val="00494E60"/>
    <w:rsid w:val="00497487"/>
    <w:rsid w:val="004A7390"/>
    <w:rsid w:val="004A7A0B"/>
    <w:rsid w:val="004B7B76"/>
    <w:rsid w:val="004C239D"/>
    <w:rsid w:val="004C2DCA"/>
    <w:rsid w:val="004C61D2"/>
    <w:rsid w:val="004D5419"/>
    <w:rsid w:val="004F0C4A"/>
    <w:rsid w:val="004F0F38"/>
    <w:rsid w:val="004F47D6"/>
    <w:rsid w:val="00501921"/>
    <w:rsid w:val="00512BEE"/>
    <w:rsid w:val="00527411"/>
    <w:rsid w:val="00530354"/>
    <w:rsid w:val="00532F7B"/>
    <w:rsid w:val="0053625B"/>
    <w:rsid w:val="005434C6"/>
    <w:rsid w:val="00543B39"/>
    <w:rsid w:val="00546154"/>
    <w:rsid w:val="00550096"/>
    <w:rsid w:val="0055407A"/>
    <w:rsid w:val="00555280"/>
    <w:rsid w:val="00557FF9"/>
    <w:rsid w:val="005617AE"/>
    <w:rsid w:val="005711D5"/>
    <w:rsid w:val="00576378"/>
    <w:rsid w:val="00577130"/>
    <w:rsid w:val="00577945"/>
    <w:rsid w:val="00577E38"/>
    <w:rsid w:val="00585322"/>
    <w:rsid w:val="005857C6"/>
    <w:rsid w:val="00592F6E"/>
    <w:rsid w:val="00593AD1"/>
    <w:rsid w:val="005A11E0"/>
    <w:rsid w:val="005A68B6"/>
    <w:rsid w:val="005B38FC"/>
    <w:rsid w:val="005C4E39"/>
    <w:rsid w:val="005C5570"/>
    <w:rsid w:val="005C73FA"/>
    <w:rsid w:val="005C79A4"/>
    <w:rsid w:val="005D5442"/>
    <w:rsid w:val="00603F32"/>
    <w:rsid w:val="00605AD4"/>
    <w:rsid w:val="00625A6E"/>
    <w:rsid w:val="00632398"/>
    <w:rsid w:val="00640FC3"/>
    <w:rsid w:val="00642020"/>
    <w:rsid w:val="0065337B"/>
    <w:rsid w:val="0065419D"/>
    <w:rsid w:val="006604D8"/>
    <w:rsid w:val="00664A5B"/>
    <w:rsid w:val="0066735C"/>
    <w:rsid w:val="006707F1"/>
    <w:rsid w:val="006763D2"/>
    <w:rsid w:val="00680C08"/>
    <w:rsid w:val="006931B1"/>
    <w:rsid w:val="006A15C0"/>
    <w:rsid w:val="006C3E2A"/>
    <w:rsid w:val="006C642F"/>
    <w:rsid w:val="006D03E5"/>
    <w:rsid w:val="006D5D3E"/>
    <w:rsid w:val="006E08B3"/>
    <w:rsid w:val="006E1277"/>
    <w:rsid w:val="006F17AC"/>
    <w:rsid w:val="006F25B8"/>
    <w:rsid w:val="006F572E"/>
    <w:rsid w:val="007046D6"/>
    <w:rsid w:val="00705DB0"/>
    <w:rsid w:val="00716409"/>
    <w:rsid w:val="00722B57"/>
    <w:rsid w:val="00727D09"/>
    <w:rsid w:val="00730F8A"/>
    <w:rsid w:val="007346D3"/>
    <w:rsid w:val="00735A8C"/>
    <w:rsid w:val="0074253D"/>
    <w:rsid w:val="0074429B"/>
    <w:rsid w:val="007615BC"/>
    <w:rsid w:val="00762F05"/>
    <w:rsid w:val="007652FF"/>
    <w:rsid w:val="00770EF1"/>
    <w:rsid w:val="00773EF7"/>
    <w:rsid w:val="00774E1D"/>
    <w:rsid w:val="007765D8"/>
    <w:rsid w:val="0077675A"/>
    <w:rsid w:val="00780355"/>
    <w:rsid w:val="007819FD"/>
    <w:rsid w:val="00785721"/>
    <w:rsid w:val="00793A59"/>
    <w:rsid w:val="007A10EB"/>
    <w:rsid w:val="007A22E7"/>
    <w:rsid w:val="007B6132"/>
    <w:rsid w:val="007B6E9F"/>
    <w:rsid w:val="007C1216"/>
    <w:rsid w:val="007C1AF7"/>
    <w:rsid w:val="007D4337"/>
    <w:rsid w:val="007D651F"/>
    <w:rsid w:val="007E4FA2"/>
    <w:rsid w:val="00804E11"/>
    <w:rsid w:val="00805D27"/>
    <w:rsid w:val="00821776"/>
    <w:rsid w:val="008321F5"/>
    <w:rsid w:val="00832369"/>
    <w:rsid w:val="00834660"/>
    <w:rsid w:val="00836BC2"/>
    <w:rsid w:val="0085156D"/>
    <w:rsid w:val="0085641B"/>
    <w:rsid w:val="00857136"/>
    <w:rsid w:val="008764ED"/>
    <w:rsid w:val="00881D57"/>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5B8B"/>
    <w:rsid w:val="008F6943"/>
    <w:rsid w:val="00902A21"/>
    <w:rsid w:val="00920330"/>
    <w:rsid w:val="009219D7"/>
    <w:rsid w:val="00922D53"/>
    <w:rsid w:val="00923B70"/>
    <w:rsid w:val="00924482"/>
    <w:rsid w:val="00930237"/>
    <w:rsid w:val="00937378"/>
    <w:rsid w:val="00940A89"/>
    <w:rsid w:val="00946CB5"/>
    <w:rsid w:val="00946EA5"/>
    <w:rsid w:val="00960E4B"/>
    <w:rsid w:val="00963C08"/>
    <w:rsid w:val="00974CED"/>
    <w:rsid w:val="0098585A"/>
    <w:rsid w:val="009A4CED"/>
    <w:rsid w:val="009A690D"/>
    <w:rsid w:val="009B1D12"/>
    <w:rsid w:val="009B416B"/>
    <w:rsid w:val="009C4BD5"/>
    <w:rsid w:val="009D41CA"/>
    <w:rsid w:val="009D7B77"/>
    <w:rsid w:val="009E0BB0"/>
    <w:rsid w:val="009E3FBB"/>
    <w:rsid w:val="009E627E"/>
    <w:rsid w:val="00A04F85"/>
    <w:rsid w:val="00A05FA4"/>
    <w:rsid w:val="00A102E4"/>
    <w:rsid w:val="00A12C42"/>
    <w:rsid w:val="00A14DF7"/>
    <w:rsid w:val="00A235FA"/>
    <w:rsid w:val="00A3246D"/>
    <w:rsid w:val="00A36FA7"/>
    <w:rsid w:val="00A379DF"/>
    <w:rsid w:val="00A44DDB"/>
    <w:rsid w:val="00A475B7"/>
    <w:rsid w:val="00A47AF7"/>
    <w:rsid w:val="00A47C3E"/>
    <w:rsid w:val="00A50226"/>
    <w:rsid w:val="00A60BAD"/>
    <w:rsid w:val="00A61213"/>
    <w:rsid w:val="00A80B5B"/>
    <w:rsid w:val="00A84E36"/>
    <w:rsid w:val="00A964D1"/>
    <w:rsid w:val="00AA0ED0"/>
    <w:rsid w:val="00AC2B40"/>
    <w:rsid w:val="00AC2BB2"/>
    <w:rsid w:val="00AC2C3C"/>
    <w:rsid w:val="00AC512D"/>
    <w:rsid w:val="00AC6461"/>
    <w:rsid w:val="00AD0083"/>
    <w:rsid w:val="00AD3935"/>
    <w:rsid w:val="00AE085C"/>
    <w:rsid w:val="00AE65EB"/>
    <w:rsid w:val="00AE67A7"/>
    <w:rsid w:val="00AF1D94"/>
    <w:rsid w:val="00AF274F"/>
    <w:rsid w:val="00AF60C5"/>
    <w:rsid w:val="00B009C6"/>
    <w:rsid w:val="00B01548"/>
    <w:rsid w:val="00B13EBD"/>
    <w:rsid w:val="00B143B7"/>
    <w:rsid w:val="00B21D29"/>
    <w:rsid w:val="00B25034"/>
    <w:rsid w:val="00B33588"/>
    <w:rsid w:val="00B33863"/>
    <w:rsid w:val="00B37D17"/>
    <w:rsid w:val="00B4175E"/>
    <w:rsid w:val="00B452CE"/>
    <w:rsid w:val="00B54C25"/>
    <w:rsid w:val="00B60391"/>
    <w:rsid w:val="00B76B91"/>
    <w:rsid w:val="00B77EB1"/>
    <w:rsid w:val="00B811C6"/>
    <w:rsid w:val="00B855B0"/>
    <w:rsid w:val="00B9246E"/>
    <w:rsid w:val="00B92E08"/>
    <w:rsid w:val="00BA122C"/>
    <w:rsid w:val="00BC622A"/>
    <w:rsid w:val="00BE0A78"/>
    <w:rsid w:val="00BE79F0"/>
    <w:rsid w:val="00BF046D"/>
    <w:rsid w:val="00BF1190"/>
    <w:rsid w:val="00BF5D04"/>
    <w:rsid w:val="00C1164D"/>
    <w:rsid w:val="00C16861"/>
    <w:rsid w:val="00C16BC4"/>
    <w:rsid w:val="00C346AB"/>
    <w:rsid w:val="00C404A6"/>
    <w:rsid w:val="00C40A36"/>
    <w:rsid w:val="00C44419"/>
    <w:rsid w:val="00C45E7B"/>
    <w:rsid w:val="00C471B1"/>
    <w:rsid w:val="00C6316B"/>
    <w:rsid w:val="00C634A9"/>
    <w:rsid w:val="00C64586"/>
    <w:rsid w:val="00C66D67"/>
    <w:rsid w:val="00C70D53"/>
    <w:rsid w:val="00C73D0B"/>
    <w:rsid w:val="00C772FF"/>
    <w:rsid w:val="00C80137"/>
    <w:rsid w:val="00C801AF"/>
    <w:rsid w:val="00C80256"/>
    <w:rsid w:val="00C8495E"/>
    <w:rsid w:val="00C9747E"/>
    <w:rsid w:val="00CA22FA"/>
    <w:rsid w:val="00CA52B0"/>
    <w:rsid w:val="00CB6BC0"/>
    <w:rsid w:val="00CC1B7C"/>
    <w:rsid w:val="00CC5843"/>
    <w:rsid w:val="00CC727F"/>
    <w:rsid w:val="00CF15C3"/>
    <w:rsid w:val="00CF2B6F"/>
    <w:rsid w:val="00CF2F3E"/>
    <w:rsid w:val="00CF58B6"/>
    <w:rsid w:val="00D0062D"/>
    <w:rsid w:val="00D017ED"/>
    <w:rsid w:val="00D040D3"/>
    <w:rsid w:val="00D04C65"/>
    <w:rsid w:val="00D201D2"/>
    <w:rsid w:val="00D224FE"/>
    <w:rsid w:val="00D23139"/>
    <w:rsid w:val="00D31210"/>
    <w:rsid w:val="00D425BB"/>
    <w:rsid w:val="00D6493E"/>
    <w:rsid w:val="00D7195D"/>
    <w:rsid w:val="00D7301E"/>
    <w:rsid w:val="00D77325"/>
    <w:rsid w:val="00D83AE1"/>
    <w:rsid w:val="00D855D4"/>
    <w:rsid w:val="00D93466"/>
    <w:rsid w:val="00DA1124"/>
    <w:rsid w:val="00DA264C"/>
    <w:rsid w:val="00DB0A11"/>
    <w:rsid w:val="00DB6124"/>
    <w:rsid w:val="00DB750B"/>
    <w:rsid w:val="00DB75B7"/>
    <w:rsid w:val="00DC43D6"/>
    <w:rsid w:val="00DC4CD2"/>
    <w:rsid w:val="00DC6E02"/>
    <w:rsid w:val="00DE02AE"/>
    <w:rsid w:val="00DF1D7F"/>
    <w:rsid w:val="00DF4BE4"/>
    <w:rsid w:val="00E02FB4"/>
    <w:rsid w:val="00E10614"/>
    <w:rsid w:val="00E13FC7"/>
    <w:rsid w:val="00E20571"/>
    <w:rsid w:val="00E235F7"/>
    <w:rsid w:val="00E23659"/>
    <w:rsid w:val="00E239D4"/>
    <w:rsid w:val="00E26130"/>
    <w:rsid w:val="00E40B22"/>
    <w:rsid w:val="00E44ED1"/>
    <w:rsid w:val="00E45619"/>
    <w:rsid w:val="00E4588F"/>
    <w:rsid w:val="00E46DA3"/>
    <w:rsid w:val="00E51BB1"/>
    <w:rsid w:val="00E61C8A"/>
    <w:rsid w:val="00E624A5"/>
    <w:rsid w:val="00E64BA4"/>
    <w:rsid w:val="00E7344E"/>
    <w:rsid w:val="00EB0798"/>
    <w:rsid w:val="00EB24E0"/>
    <w:rsid w:val="00EB40AD"/>
    <w:rsid w:val="00EB586E"/>
    <w:rsid w:val="00EB5FC8"/>
    <w:rsid w:val="00EC464E"/>
    <w:rsid w:val="00EC7A85"/>
    <w:rsid w:val="00ED3CAD"/>
    <w:rsid w:val="00ED5A41"/>
    <w:rsid w:val="00EE1DE8"/>
    <w:rsid w:val="00EE3657"/>
    <w:rsid w:val="00F01A54"/>
    <w:rsid w:val="00F033EC"/>
    <w:rsid w:val="00F041B6"/>
    <w:rsid w:val="00F04F68"/>
    <w:rsid w:val="00F05081"/>
    <w:rsid w:val="00F12670"/>
    <w:rsid w:val="00F14B27"/>
    <w:rsid w:val="00F15577"/>
    <w:rsid w:val="00F15D41"/>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D0824"/>
    <w:rsid w:val="00FD119B"/>
    <w:rsid w:val="00FD1EDC"/>
    <w:rsid w:val="00FD28FA"/>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0" w:unhideWhenUsed="0" w:qFormat="1"/>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D7732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8764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8764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10614"/>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10614"/>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10614"/>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10614"/>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10614"/>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10614"/>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paragraph" w:customStyle="1" w:styleId="A-Head6">
    <w:name w:val="A-Head 6"/>
    <w:basedOn w:val="Normal"/>
    <w:link w:val="A-Head6Char"/>
    <w:rsid w:val="0055407A"/>
    <w:pPr>
      <w:spacing w:before="60" w:after="0" w:line="240" w:lineRule="auto"/>
    </w:pPr>
    <w:rPr>
      <w:rFonts w:ascii="Arial" w:eastAsia="Times New Roman" w:hAnsi="Arial"/>
      <w:b/>
      <w:szCs w:val="20"/>
    </w:rPr>
  </w:style>
  <w:style w:type="character" w:customStyle="1" w:styleId="A-Head6Char">
    <w:name w:val="A-Head 6 Char"/>
    <w:basedOn w:val="DefaultParagraphFont"/>
    <w:link w:val="A-Head6"/>
    <w:rsid w:val="0055407A"/>
    <w:rPr>
      <w:rFonts w:ascii="Arial" w:eastAsia="Times New Roman" w:hAnsi="Arial" w:cs="Times New Roman"/>
      <w:b/>
      <w:szCs w:val="20"/>
    </w:rPr>
  </w:style>
  <w:style w:type="paragraph" w:customStyle="1" w:styleId="Bulletpoint">
    <w:name w:val="Bullet point"/>
    <w:basedOn w:val="Normal"/>
    <w:rsid w:val="007D4337"/>
    <w:pPr>
      <w:numPr>
        <w:numId w:val="7"/>
      </w:numPr>
      <w:tabs>
        <w:tab w:val="clear" w:pos="2496"/>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7D4337"/>
    <w:pPr>
      <w:spacing w:before="0" w:after="220" w:line="252" w:lineRule="auto"/>
    </w:pPr>
    <w:rPr>
      <w:rFonts w:eastAsia="Times New Roman"/>
      <w:snapToGrid w:val="0"/>
      <w:kern w:val="16"/>
      <w:szCs w:val="24"/>
    </w:rPr>
  </w:style>
  <w:style w:type="paragraph" w:customStyle="1" w:styleId="SectionHeading">
    <w:name w:val="Section Heading"/>
    <w:basedOn w:val="Standard"/>
    <w:next w:val="Standard"/>
    <w:link w:val="SectionHeadingCharChar"/>
    <w:rsid w:val="007D4337"/>
    <w:pPr>
      <w:keepNext/>
      <w:outlineLvl w:val="0"/>
    </w:pPr>
    <w:rPr>
      <w:b/>
      <w:caps/>
    </w:rPr>
  </w:style>
  <w:style w:type="character" w:customStyle="1" w:styleId="StandardChar">
    <w:name w:val="Standard Char"/>
    <w:basedOn w:val="DefaultParagraphFont"/>
    <w:link w:val="Standard"/>
    <w:rsid w:val="007D4337"/>
    <w:rPr>
      <w:rFonts w:ascii="Cambria" w:eastAsia="Times New Roman" w:hAnsi="Cambria" w:cs="Times New Roman"/>
      <w:snapToGrid w:val="0"/>
      <w:kern w:val="16"/>
      <w:szCs w:val="24"/>
    </w:rPr>
  </w:style>
  <w:style w:type="character" w:customStyle="1" w:styleId="SectionHeadingCharChar">
    <w:name w:val="Section Heading Char Char"/>
    <w:basedOn w:val="DefaultParagraphFont"/>
    <w:link w:val="SectionHeading"/>
    <w:rsid w:val="007D4337"/>
    <w:rPr>
      <w:rFonts w:ascii="Cambria" w:eastAsia="Times New Roman" w:hAnsi="Cambria" w:cs="Times New Roman"/>
      <w:b/>
      <w:caps/>
      <w:snapToGrid w:val="0"/>
      <w:kern w:val="16"/>
      <w:szCs w:val="24"/>
    </w:rPr>
  </w:style>
  <w:style w:type="paragraph" w:customStyle="1" w:styleId="AssessmentSubsection">
    <w:name w:val="Assessment Subsection"/>
    <w:basedOn w:val="Standard"/>
    <w:next w:val="Standard"/>
    <w:rsid w:val="007D4337"/>
    <w:pPr>
      <w:keepNext/>
      <w:spacing w:after="110"/>
      <w:outlineLvl w:val="2"/>
    </w:pPr>
    <w:rPr>
      <w:b/>
      <w:i/>
    </w:rPr>
  </w:style>
  <w:style w:type="paragraph" w:customStyle="1" w:styleId="WhiteSpace">
    <w:name w:val="White Space"/>
    <w:basedOn w:val="Standard"/>
    <w:link w:val="WhiteSpaceChar"/>
    <w:rsid w:val="007D4337"/>
    <w:pPr>
      <w:spacing w:after="0"/>
    </w:pPr>
    <w:rPr>
      <w:sz w:val="16"/>
      <w:szCs w:val="16"/>
    </w:rPr>
  </w:style>
  <w:style w:type="character" w:customStyle="1" w:styleId="WhiteSpaceChar">
    <w:name w:val="White Space Char"/>
    <w:basedOn w:val="DefaultParagraphFont"/>
    <w:link w:val="WhiteSpace"/>
    <w:rsid w:val="007D4337"/>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7D4337"/>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7D4337"/>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7D4337"/>
    <w:rPr>
      <w:rFonts w:ascii="Cambria" w:eastAsia="Cambria" w:hAnsi="Cambria" w:cs="Times New Roman"/>
      <w:sz w:val="19"/>
    </w:rPr>
  </w:style>
  <w:style w:type="character" w:customStyle="1" w:styleId="TableCaptionChar">
    <w:name w:val="Table Caption Char"/>
    <w:basedOn w:val="TabletextChar"/>
    <w:link w:val="TableCaption"/>
    <w:rsid w:val="007D4337"/>
    <w:rPr>
      <w:rFonts w:ascii="Cambria" w:eastAsia="Cambria" w:hAnsi="Cambria" w:cs="Times New Roman"/>
      <w:sz w:val="19"/>
    </w:rPr>
  </w:style>
  <w:style w:type="paragraph" w:customStyle="1" w:styleId="AssessmentSubsection2">
    <w:name w:val="Assessment Subsection 2"/>
    <w:basedOn w:val="AssessmentSubsection"/>
    <w:next w:val="Standard"/>
    <w:rsid w:val="007D4337"/>
    <w:pPr>
      <w:outlineLvl w:val="3"/>
    </w:pPr>
    <w:rPr>
      <w:b w:val="0"/>
    </w:rPr>
  </w:style>
  <w:style w:type="paragraph" w:styleId="ListParagraph">
    <w:name w:val="List Paragraph"/>
    <w:basedOn w:val="Normal"/>
    <w:uiPriority w:val="34"/>
    <w:qFormat/>
    <w:rsid w:val="00153C4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153C4C"/>
    <w:pPr>
      <w:numPr>
        <w:numId w:val="1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53C4C"/>
    <w:pPr>
      <w:numPr>
        <w:numId w:val="11"/>
      </w:numPr>
    </w:pPr>
  </w:style>
  <w:style w:type="character" w:customStyle="1" w:styleId="Heading8Char">
    <w:name w:val="Heading 8 Char"/>
    <w:basedOn w:val="DefaultParagraphFont"/>
    <w:link w:val="Heading8"/>
    <w:uiPriority w:val="9"/>
    <w:semiHidden/>
    <w:rsid w:val="008764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4ED"/>
    <w:rPr>
      <w:rFonts w:asciiTheme="majorHAnsi" w:eastAsiaTheme="majorEastAsia" w:hAnsiTheme="majorHAnsi" w:cstheme="majorBidi"/>
      <w:i/>
      <w:iCs/>
      <w:color w:val="404040" w:themeColor="text1" w:themeTint="BF"/>
      <w:sz w:val="20"/>
      <w:szCs w:val="20"/>
    </w:rPr>
  </w:style>
  <w:style w:type="paragraph" w:customStyle="1" w:styleId="Heading0inTOC">
    <w:name w:val="Heading 0 (in TOC)"/>
    <w:basedOn w:val="Heading1"/>
    <w:next w:val="Normal"/>
    <w:rsid w:val="008764ED"/>
    <w:pPr>
      <w:keepLines w:val="0"/>
      <w:spacing w:before="0" w:after="120" w:line="240" w:lineRule="auto"/>
    </w:pPr>
    <w:rPr>
      <w:rFonts w:ascii="Arial" w:hAnsi="Arial" w:cs="Times New Roman"/>
      <w:bCs w:val="0"/>
      <w:kern w:val="16"/>
      <w:sz w:val="28"/>
      <w:szCs w:val="24"/>
      <w:lang w:eastAsia="en-AU"/>
    </w:rPr>
  </w:style>
  <w:style w:type="character" w:styleId="PageNumber">
    <w:name w:val="page number"/>
    <w:rsid w:val="008764ED"/>
    <w:rPr>
      <w:sz w:val="20"/>
    </w:rPr>
  </w:style>
  <w:style w:type="paragraph" w:customStyle="1" w:styleId="TableBullet">
    <w:name w:val="Table Bullet"/>
    <w:basedOn w:val="Normal"/>
    <w:rsid w:val="008764ED"/>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8764ED"/>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8764ED"/>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8764ED"/>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8764ED"/>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8764ED"/>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8764ED"/>
    <w:pPr>
      <w:spacing w:before="0" w:after="0" w:line="240" w:lineRule="auto"/>
      <w:ind w:left="1134"/>
    </w:pPr>
    <w:rPr>
      <w:rFonts w:eastAsia="Times New Roman"/>
      <w:kern w:val="16"/>
      <w:sz w:val="20"/>
      <w:szCs w:val="24"/>
      <w:lang w:eastAsia="en-AU"/>
    </w:rPr>
  </w:style>
  <w:style w:type="paragraph" w:customStyle="1" w:styleId="Abbreviations">
    <w:name w:val="Abbreviations"/>
    <w:basedOn w:val="Normal"/>
    <w:rsid w:val="008764ED"/>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8764ED"/>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8764E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8764E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8764ED"/>
    <w:pPr>
      <w:numPr>
        <w:numId w:val="13"/>
      </w:numPr>
      <w:tabs>
        <w:tab w:val="clear" w:pos="1134"/>
      </w:tabs>
      <w:spacing w:before="120"/>
      <w:ind w:left="1418" w:hanging="284"/>
    </w:pPr>
  </w:style>
  <w:style w:type="paragraph" w:customStyle="1" w:styleId="Instructions1">
    <w:name w:val="Instructions 1"/>
    <w:basedOn w:val="Normal"/>
    <w:qFormat/>
    <w:rsid w:val="008764ED"/>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8764ED"/>
    <w:pPr>
      <w:numPr>
        <w:numId w:val="14"/>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8764ED"/>
    <w:rPr>
      <w:sz w:val="16"/>
      <w:szCs w:val="16"/>
    </w:rPr>
  </w:style>
  <w:style w:type="paragraph" w:styleId="CommentText">
    <w:name w:val="annotation text"/>
    <w:basedOn w:val="Normal"/>
    <w:link w:val="CommentTextChar"/>
    <w:rsid w:val="008764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CommentTextChar">
    <w:name w:val="Comment Text Char"/>
    <w:basedOn w:val="DefaultParagraphFont"/>
    <w:link w:val="CommentText"/>
    <w:rsid w:val="008764ED"/>
    <w:rPr>
      <w:rFonts w:ascii="Cambria" w:eastAsia="Times New Roman" w:hAnsi="Cambria" w:cs="Times New Roman"/>
      <w:kern w:val="16"/>
      <w:sz w:val="20"/>
      <w:szCs w:val="20"/>
      <w:lang w:eastAsia="en-AU"/>
    </w:rPr>
  </w:style>
  <w:style w:type="paragraph" w:styleId="CommentSubject">
    <w:name w:val="annotation subject"/>
    <w:basedOn w:val="CommentText"/>
    <w:next w:val="CommentText"/>
    <w:link w:val="CommentSubjectChar"/>
    <w:rsid w:val="008764ED"/>
    <w:rPr>
      <w:b/>
      <w:bCs/>
    </w:rPr>
  </w:style>
  <w:style w:type="character" w:customStyle="1" w:styleId="CommentSubjectChar">
    <w:name w:val="Comment Subject Char"/>
    <w:basedOn w:val="CommentTextChar"/>
    <w:link w:val="CommentSubject"/>
    <w:rsid w:val="008764ED"/>
    <w:rPr>
      <w:rFonts w:ascii="Cambria" w:eastAsia="Times New Roman" w:hAnsi="Cambria" w:cs="Times New Roman"/>
      <w:b/>
      <w:bCs/>
      <w:kern w:val="16"/>
      <w:sz w:val="20"/>
      <w:szCs w:val="20"/>
      <w:lang w:eastAsia="en-AU"/>
    </w:rPr>
  </w:style>
  <w:style w:type="paragraph" w:customStyle="1" w:styleId="Contentslist1">
    <w:name w:val="Contents list 1"/>
    <w:basedOn w:val="Normal"/>
    <w:qFormat/>
    <w:rsid w:val="008764ED"/>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8764ED"/>
    <w:pPr>
      <w:spacing w:before="0" w:after="0"/>
    </w:pPr>
    <w:rPr>
      <w:b w:val="0"/>
    </w:rPr>
  </w:style>
  <w:style w:type="character" w:styleId="Strong">
    <w:name w:val="Strong"/>
    <w:basedOn w:val="DefaultParagraphFont"/>
    <w:qFormat/>
    <w:rsid w:val="008764ED"/>
    <w:rPr>
      <w:b/>
      <w:bCs/>
    </w:rPr>
  </w:style>
  <w:style w:type="paragraph" w:customStyle="1" w:styleId="Default">
    <w:name w:val="Default"/>
    <w:rsid w:val="008764E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customStyle="1" w:styleId="TableTGAblue1">
    <w:name w:val="Table TGA blue1"/>
    <w:basedOn w:val="TableNormal"/>
    <w:uiPriority w:val="99"/>
    <w:qFormat/>
    <w:rsid w:val="005C73FA"/>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f14sb">
    <w:name w:val="f14sb"/>
    <w:basedOn w:val="DefaultParagraphFont"/>
    <w:rsid w:val="00DA264C"/>
  </w:style>
  <w:style w:type="character" w:customStyle="1" w:styleId="mw-mmv-title">
    <w:name w:val="mw-mmv-title"/>
    <w:basedOn w:val="DefaultParagraphFont"/>
    <w:rsid w:val="00374766"/>
  </w:style>
  <w:style w:type="character" w:customStyle="1" w:styleId="mw-mmv-ttf-ellipsis">
    <w:name w:val="mw-mmv-ttf-ellipsis"/>
    <w:basedOn w:val="DefaultParagraphFont"/>
    <w:rsid w:val="00374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0" w:unhideWhenUsed="0" w:qFormat="1"/>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D7732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8764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8764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10614"/>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10614"/>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10614"/>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10614"/>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10614"/>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10614"/>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paragraph" w:customStyle="1" w:styleId="A-Head6">
    <w:name w:val="A-Head 6"/>
    <w:basedOn w:val="Normal"/>
    <w:link w:val="A-Head6Char"/>
    <w:rsid w:val="0055407A"/>
    <w:pPr>
      <w:spacing w:before="60" w:after="0" w:line="240" w:lineRule="auto"/>
    </w:pPr>
    <w:rPr>
      <w:rFonts w:ascii="Arial" w:eastAsia="Times New Roman" w:hAnsi="Arial"/>
      <w:b/>
      <w:szCs w:val="20"/>
    </w:rPr>
  </w:style>
  <w:style w:type="character" w:customStyle="1" w:styleId="A-Head6Char">
    <w:name w:val="A-Head 6 Char"/>
    <w:basedOn w:val="DefaultParagraphFont"/>
    <w:link w:val="A-Head6"/>
    <w:rsid w:val="0055407A"/>
    <w:rPr>
      <w:rFonts w:ascii="Arial" w:eastAsia="Times New Roman" w:hAnsi="Arial" w:cs="Times New Roman"/>
      <w:b/>
      <w:szCs w:val="20"/>
    </w:rPr>
  </w:style>
  <w:style w:type="paragraph" w:customStyle="1" w:styleId="Bulletpoint">
    <w:name w:val="Bullet point"/>
    <w:basedOn w:val="Normal"/>
    <w:rsid w:val="007D4337"/>
    <w:pPr>
      <w:numPr>
        <w:numId w:val="7"/>
      </w:numPr>
      <w:tabs>
        <w:tab w:val="clear" w:pos="2496"/>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7D4337"/>
    <w:pPr>
      <w:spacing w:before="0" w:after="220" w:line="252" w:lineRule="auto"/>
    </w:pPr>
    <w:rPr>
      <w:rFonts w:eastAsia="Times New Roman"/>
      <w:snapToGrid w:val="0"/>
      <w:kern w:val="16"/>
      <w:szCs w:val="24"/>
    </w:rPr>
  </w:style>
  <w:style w:type="paragraph" w:customStyle="1" w:styleId="SectionHeading">
    <w:name w:val="Section Heading"/>
    <w:basedOn w:val="Standard"/>
    <w:next w:val="Standard"/>
    <w:link w:val="SectionHeadingCharChar"/>
    <w:rsid w:val="007D4337"/>
    <w:pPr>
      <w:keepNext/>
      <w:outlineLvl w:val="0"/>
    </w:pPr>
    <w:rPr>
      <w:b/>
      <w:caps/>
    </w:rPr>
  </w:style>
  <w:style w:type="character" w:customStyle="1" w:styleId="StandardChar">
    <w:name w:val="Standard Char"/>
    <w:basedOn w:val="DefaultParagraphFont"/>
    <w:link w:val="Standard"/>
    <w:rsid w:val="007D4337"/>
    <w:rPr>
      <w:rFonts w:ascii="Cambria" w:eastAsia="Times New Roman" w:hAnsi="Cambria" w:cs="Times New Roman"/>
      <w:snapToGrid w:val="0"/>
      <w:kern w:val="16"/>
      <w:szCs w:val="24"/>
    </w:rPr>
  </w:style>
  <w:style w:type="character" w:customStyle="1" w:styleId="SectionHeadingCharChar">
    <w:name w:val="Section Heading Char Char"/>
    <w:basedOn w:val="DefaultParagraphFont"/>
    <w:link w:val="SectionHeading"/>
    <w:rsid w:val="007D4337"/>
    <w:rPr>
      <w:rFonts w:ascii="Cambria" w:eastAsia="Times New Roman" w:hAnsi="Cambria" w:cs="Times New Roman"/>
      <w:b/>
      <w:caps/>
      <w:snapToGrid w:val="0"/>
      <w:kern w:val="16"/>
      <w:szCs w:val="24"/>
    </w:rPr>
  </w:style>
  <w:style w:type="paragraph" w:customStyle="1" w:styleId="AssessmentSubsection">
    <w:name w:val="Assessment Subsection"/>
    <w:basedOn w:val="Standard"/>
    <w:next w:val="Standard"/>
    <w:rsid w:val="007D4337"/>
    <w:pPr>
      <w:keepNext/>
      <w:spacing w:after="110"/>
      <w:outlineLvl w:val="2"/>
    </w:pPr>
    <w:rPr>
      <w:b/>
      <w:i/>
    </w:rPr>
  </w:style>
  <w:style w:type="paragraph" w:customStyle="1" w:styleId="WhiteSpace">
    <w:name w:val="White Space"/>
    <w:basedOn w:val="Standard"/>
    <w:link w:val="WhiteSpaceChar"/>
    <w:rsid w:val="007D4337"/>
    <w:pPr>
      <w:spacing w:after="0"/>
    </w:pPr>
    <w:rPr>
      <w:sz w:val="16"/>
      <w:szCs w:val="16"/>
    </w:rPr>
  </w:style>
  <w:style w:type="character" w:customStyle="1" w:styleId="WhiteSpaceChar">
    <w:name w:val="White Space Char"/>
    <w:basedOn w:val="DefaultParagraphFont"/>
    <w:link w:val="WhiteSpace"/>
    <w:rsid w:val="007D4337"/>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7D4337"/>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7D4337"/>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7D4337"/>
    <w:rPr>
      <w:rFonts w:ascii="Cambria" w:eastAsia="Cambria" w:hAnsi="Cambria" w:cs="Times New Roman"/>
      <w:sz w:val="19"/>
    </w:rPr>
  </w:style>
  <w:style w:type="character" w:customStyle="1" w:styleId="TableCaptionChar">
    <w:name w:val="Table Caption Char"/>
    <w:basedOn w:val="TabletextChar"/>
    <w:link w:val="TableCaption"/>
    <w:rsid w:val="007D4337"/>
    <w:rPr>
      <w:rFonts w:ascii="Cambria" w:eastAsia="Cambria" w:hAnsi="Cambria" w:cs="Times New Roman"/>
      <w:sz w:val="19"/>
    </w:rPr>
  </w:style>
  <w:style w:type="paragraph" w:customStyle="1" w:styleId="AssessmentSubsection2">
    <w:name w:val="Assessment Subsection 2"/>
    <w:basedOn w:val="AssessmentSubsection"/>
    <w:next w:val="Standard"/>
    <w:rsid w:val="007D4337"/>
    <w:pPr>
      <w:outlineLvl w:val="3"/>
    </w:pPr>
    <w:rPr>
      <w:b w:val="0"/>
    </w:rPr>
  </w:style>
  <w:style w:type="paragraph" w:styleId="ListParagraph">
    <w:name w:val="List Paragraph"/>
    <w:basedOn w:val="Normal"/>
    <w:uiPriority w:val="34"/>
    <w:qFormat/>
    <w:rsid w:val="00153C4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153C4C"/>
    <w:pPr>
      <w:numPr>
        <w:numId w:val="1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53C4C"/>
    <w:pPr>
      <w:numPr>
        <w:numId w:val="11"/>
      </w:numPr>
    </w:pPr>
  </w:style>
  <w:style w:type="character" w:customStyle="1" w:styleId="Heading8Char">
    <w:name w:val="Heading 8 Char"/>
    <w:basedOn w:val="DefaultParagraphFont"/>
    <w:link w:val="Heading8"/>
    <w:uiPriority w:val="9"/>
    <w:semiHidden/>
    <w:rsid w:val="008764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4ED"/>
    <w:rPr>
      <w:rFonts w:asciiTheme="majorHAnsi" w:eastAsiaTheme="majorEastAsia" w:hAnsiTheme="majorHAnsi" w:cstheme="majorBidi"/>
      <w:i/>
      <w:iCs/>
      <w:color w:val="404040" w:themeColor="text1" w:themeTint="BF"/>
      <w:sz w:val="20"/>
      <w:szCs w:val="20"/>
    </w:rPr>
  </w:style>
  <w:style w:type="paragraph" w:customStyle="1" w:styleId="Heading0inTOC">
    <w:name w:val="Heading 0 (in TOC)"/>
    <w:basedOn w:val="Heading1"/>
    <w:next w:val="Normal"/>
    <w:rsid w:val="008764ED"/>
    <w:pPr>
      <w:keepLines w:val="0"/>
      <w:spacing w:before="0" w:after="120" w:line="240" w:lineRule="auto"/>
    </w:pPr>
    <w:rPr>
      <w:rFonts w:ascii="Arial" w:hAnsi="Arial" w:cs="Times New Roman"/>
      <w:bCs w:val="0"/>
      <w:kern w:val="16"/>
      <w:sz w:val="28"/>
      <w:szCs w:val="24"/>
      <w:lang w:eastAsia="en-AU"/>
    </w:rPr>
  </w:style>
  <w:style w:type="character" w:styleId="PageNumber">
    <w:name w:val="page number"/>
    <w:rsid w:val="008764ED"/>
    <w:rPr>
      <w:sz w:val="20"/>
    </w:rPr>
  </w:style>
  <w:style w:type="paragraph" w:customStyle="1" w:styleId="TableBullet">
    <w:name w:val="Table Bullet"/>
    <w:basedOn w:val="Normal"/>
    <w:rsid w:val="008764ED"/>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8764ED"/>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8764ED"/>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8764ED"/>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8764ED"/>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8764ED"/>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8764ED"/>
    <w:pPr>
      <w:spacing w:before="0" w:after="0" w:line="240" w:lineRule="auto"/>
      <w:ind w:left="1134"/>
    </w:pPr>
    <w:rPr>
      <w:rFonts w:eastAsia="Times New Roman"/>
      <w:kern w:val="16"/>
      <w:sz w:val="20"/>
      <w:szCs w:val="24"/>
      <w:lang w:eastAsia="en-AU"/>
    </w:rPr>
  </w:style>
  <w:style w:type="paragraph" w:customStyle="1" w:styleId="Abbreviations">
    <w:name w:val="Abbreviations"/>
    <w:basedOn w:val="Normal"/>
    <w:rsid w:val="008764ED"/>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8764ED"/>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8764E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8764E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8764ED"/>
    <w:pPr>
      <w:numPr>
        <w:numId w:val="13"/>
      </w:numPr>
      <w:tabs>
        <w:tab w:val="clear" w:pos="1134"/>
      </w:tabs>
      <w:spacing w:before="120"/>
      <w:ind w:left="1418" w:hanging="284"/>
    </w:pPr>
  </w:style>
  <w:style w:type="paragraph" w:customStyle="1" w:styleId="Instructions1">
    <w:name w:val="Instructions 1"/>
    <w:basedOn w:val="Normal"/>
    <w:qFormat/>
    <w:rsid w:val="008764ED"/>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8764ED"/>
    <w:pPr>
      <w:numPr>
        <w:numId w:val="14"/>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8764ED"/>
    <w:rPr>
      <w:sz w:val="16"/>
      <w:szCs w:val="16"/>
    </w:rPr>
  </w:style>
  <w:style w:type="paragraph" w:styleId="CommentText">
    <w:name w:val="annotation text"/>
    <w:basedOn w:val="Normal"/>
    <w:link w:val="CommentTextChar"/>
    <w:rsid w:val="008764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CommentTextChar">
    <w:name w:val="Comment Text Char"/>
    <w:basedOn w:val="DefaultParagraphFont"/>
    <w:link w:val="CommentText"/>
    <w:rsid w:val="008764ED"/>
    <w:rPr>
      <w:rFonts w:ascii="Cambria" w:eastAsia="Times New Roman" w:hAnsi="Cambria" w:cs="Times New Roman"/>
      <w:kern w:val="16"/>
      <w:sz w:val="20"/>
      <w:szCs w:val="20"/>
      <w:lang w:eastAsia="en-AU"/>
    </w:rPr>
  </w:style>
  <w:style w:type="paragraph" w:styleId="CommentSubject">
    <w:name w:val="annotation subject"/>
    <w:basedOn w:val="CommentText"/>
    <w:next w:val="CommentText"/>
    <w:link w:val="CommentSubjectChar"/>
    <w:rsid w:val="008764ED"/>
    <w:rPr>
      <w:b/>
      <w:bCs/>
    </w:rPr>
  </w:style>
  <w:style w:type="character" w:customStyle="1" w:styleId="CommentSubjectChar">
    <w:name w:val="Comment Subject Char"/>
    <w:basedOn w:val="CommentTextChar"/>
    <w:link w:val="CommentSubject"/>
    <w:rsid w:val="008764ED"/>
    <w:rPr>
      <w:rFonts w:ascii="Cambria" w:eastAsia="Times New Roman" w:hAnsi="Cambria" w:cs="Times New Roman"/>
      <w:b/>
      <w:bCs/>
      <w:kern w:val="16"/>
      <w:sz w:val="20"/>
      <w:szCs w:val="20"/>
      <w:lang w:eastAsia="en-AU"/>
    </w:rPr>
  </w:style>
  <w:style w:type="paragraph" w:customStyle="1" w:styleId="Contentslist1">
    <w:name w:val="Contents list 1"/>
    <w:basedOn w:val="Normal"/>
    <w:qFormat/>
    <w:rsid w:val="008764ED"/>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8764ED"/>
    <w:pPr>
      <w:spacing w:before="0" w:after="0"/>
    </w:pPr>
    <w:rPr>
      <w:b w:val="0"/>
    </w:rPr>
  </w:style>
  <w:style w:type="character" w:styleId="Strong">
    <w:name w:val="Strong"/>
    <w:basedOn w:val="DefaultParagraphFont"/>
    <w:qFormat/>
    <w:rsid w:val="008764ED"/>
    <w:rPr>
      <w:b/>
      <w:bCs/>
    </w:rPr>
  </w:style>
  <w:style w:type="paragraph" w:customStyle="1" w:styleId="Default">
    <w:name w:val="Default"/>
    <w:rsid w:val="008764E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customStyle="1" w:styleId="TableTGAblue1">
    <w:name w:val="Table TGA blue1"/>
    <w:basedOn w:val="TableNormal"/>
    <w:uiPriority w:val="99"/>
    <w:qFormat/>
    <w:rsid w:val="005C73FA"/>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f14sb">
    <w:name w:val="f14sb"/>
    <w:basedOn w:val="DefaultParagraphFont"/>
    <w:rsid w:val="00DA264C"/>
  </w:style>
  <w:style w:type="character" w:customStyle="1" w:styleId="mw-mmv-title">
    <w:name w:val="mw-mmv-title"/>
    <w:basedOn w:val="DefaultParagraphFont"/>
    <w:rsid w:val="00374766"/>
  </w:style>
  <w:style w:type="character" w:customStyle="1" w:styleId="mw-mmv-ttf-ellipsis">
    <w:name w:val="mw-mmv-ttf-ellipsis"/>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6636">
      <w:bodyDiv w:val="1"/>
      <w:marLeft w:val="0"/>
      <w:marRight w:val="0"/>
      <w:marTop w:val="0"/>
      <w:marBottom w:val="0"/>
      <w:divBdr>
        <w:top w:val="none" w:sz="0" w:space="0" w:color="auto"/>
        <w:left w:val="none" w:sz="0" w:space="0" w:color="auto"/>
        <w:bottom w:val="none" w:sz="0" w:space="0" w:color="auto"/>
        <w:right w:val="none" w:sz="0" w:space="0" w:color="auto"/>
      </w:divBdr>
    </w:div>
    <w:div w:id="310063531">
      <w:bodyDiv w:val="1"/>
      <w:marLeft w:val="0"/>
      <w:marRight w:val="0"/>
      <w:marTop w:val="0"/>
      <w:marBottom w:val="0"/>
      <w:divBdr>
        <w:top w:val="none" w:sz="0" w:space="0" w:color="auto"/>
        <w:left w:val="none" w:sz="0" w:space="0" w:color="auto"/>
        <w:bottom w:val="none" w:sz="0" w:space="0" w:color="auto"/>
        <w:right w:val="none" w:sz="0" w:space="0" w:color="auto"/>
      </w:divBdr>
    </w:div>
    <w:div w:id="458031349">
      <w:bodyDiv w:val="1"/>
      <w:marLeft w:val="0"/>
      <w:marRight w:val="0"/>
      <w:marTop w:val="0"/>
      <w:marBottom w:val="0"/>
      <w:divBdr>
        <w:top w:val="none" w:sz="0" w:space="0" w:color="auto"/>
        <w:left w:val="none" w:sz="0" w:space="0" w:color="auto"/>
        <w:bottom w:val="none" w:sz="0" w:space="0" w:color="auto"/>
        <w:right w:val="none" w:sz="0" w:space="0" w:color="auto"/>
      </w:divBdr>
      <w:divsChild>
        <w:div w:id="189609361">
          <w:marLeft w:val="0"/>
          <w:marRight w:val="0"/>
          <w:marTop w:val="0"/>
          <w:marBottom w:val="0"/>
          <w:divBdr>
            <w:top w:val="none" w:sz="0" w:space="0" w:color="auto"/>
            <w:left w:val="none" w:sz="0" w:space="0" w:color="auto"/>
            <w:bottom w:val="none" w:sz="0" w:space="0" w:color="auto"/>
            <w:right w:val="none" w:sz="0" w:space="0" w:color="auto"/>
          </w:divBdr>
          <w:divsChild>
            <w:div w:id="1151021330">
              <w:marLeft w:val="0"/>
              <w:marRight w:val="0"/>
              <w:marTop w:val="0"/>
              <w:marBottom w:val="0"/>
              <w:divBdr>
                <w:top w:val="none" w:sz="0" w:space="0" w:color="auto"/>
                <w:left w:val="none" w:sz="0" w:space="0" w:color="auto"/>
                <w:bottom w:val="none" w:sz="0" w:space="0" w:color="auto"/>
                <w:right w:val="none" w:sz="0" w:space="0" w:color="auto"/>
              </w:divBdr>
              <w:divsChild>
                <w:div w:id="1972899626">
                  <w:marLeft w:val="0"/>
                  <w:marRight w:val="0"/>
                  <w:marTop w:val="0"/>
                  <w:marBottom w:val="0"/>
                  <w:divBdr>
                    <w:top w:val="none" w:sz="0" w:space="0" w:color="auto"/>
                    <w:left w:val="none" w:sz="0" w:space="0" w:color="auto"/>
                    <w:bottom w:val="none" w:sz="0" w:space="0" w:color="auto"/>
                    <w:right w:val="none" w:sz="0" w:space="0" w:color="auto"/>
                  </w:divBdr>
                  <w:divsChild>
                    <w:div w:id="16926484">
                      <w:marLeft w:val="0"/>
                      <w:marRight w:val="0"/>
                      <w:marTop w:val="0"/>
                      <w:marBottom w:val="0"/>
                      <w:divBdr>
                        <w:top w:val="none" w:sz="0" w:space="0" w:color="auto"/>
                        <w:left w:val="none" w:sz="0" w:space="0" w:color="auto"/>
                        <w:bottom w:val="none" w:sz="0" w:space="0" w:color="auto"/>
                        <w:right w:val="none" w:sz="0" w:space="0" w:color="auto"/>
                      </w:divBdr>
                      <w:divsChild>
                        <w:div w:id="504054919">
                          <w:marLeft w:val="0"/>
                          <w:marRight w:val="0"/>
                          <w:marTop w:val="0"/>
                          <w:marBottom w:val="0"/>
                          <w:divBdr>
                            <w:top w:val="none" w:sz="0" w:space="0" w:color="auto"/>
                            <w:left w:val="none" w:sz="0" w:space="0" w:color="auto"/>
                            <w:bottom w:val="none" w:sz="0" w:space="0" w:color="auto"/>
                            <w:right w:val="none" w:sz="0" w:space="0" w:color="auto"/>
                          </w:divBdr>
                          <w:divsChild>
                            <w:div w:id="21112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44818">
      <w:bodyDiv w:val="1"/>
      <w:marLeft w:val="0"/>
      <w:marRight w:val="0"/>
      <w:marTop w:val="0"/>
      <w:marBottom w:val="0"/>
      <w:divBdr>
        <w:top w:val="none" w:sz="0" w:space="0" w:color="auto"/>
        <w:left w:val="none" w:sz="0" w:space="0" w:color="auto"/>
        <w:bottom w:val="none" w:sz="0" w:space="0" w:color="auto"/>
        <w:right w:val="none" w:sz="0" w:space="0" w:color="auto"/>
      </w:divBdr>
      <w:divsChild>
        <w:div w:id="435296889">
          <w:marLeft w:val="0"/>
          <w:marRight w:val="0"/>
          <w:marTop w:val="0"/>
          <w:marBottom w:val="0"/>
          <w:divBdr>
            <w:top w:val="none" w:sz="0" w:space="0" w:color="auto"/>
            <w:left w:val="none" w:sz="0" w:space="0" w:color="auto"/>
            <w:bottom w:val="none" w:sz="0" w:space="0" w:color="auto"/>
            <w:right w:val="none" w:sz="0" w:space="0" w:color="auto"/>
          </w:divBdr>
          <w:divsChild>
            <w:div w:id="473107421">
              <w:marLeft w:val="0"/>
              <w:marRight w:val="0"/>
              <w:marTop w:val="0"/>
              <w:marBottom w:val="0"/>
              <w:divBdr>
                <w:top w:val="none" w:sz="0" w:space="0" w:color="auto"/>
                <w:left w:val="none" w:sz="0" w:space="0" w:color="auto"/>
                <w:bottom w:val="none" w:sz="0" w:space="0" w:color="auto"/>
                <w:right w:val="none" w:sz="0" w:space="0" w:color="auto"/>
              </w:divBdr>
              <w:divsChild>
                <w:div w:id="3910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93641">
      <w:bodyDiv w:val="1"/>
      <w:marLeft w:val="0"/>
      <w:marRight w:val="0"/>
      <w:marTop w:val="0"/>
      <w:marBottom w:val="0"/>
      <w:divBdr>
        <w:top w:val="none" w:sz="0" w:space="0" w:color="auto"/>
        <w:left w:val="none" w:sz="0" w:space="0" w:color="auto"/>
        <w:bottom w:val="none" w:sz="0" w:space="0" w:color="auto"/>
        <w:right w:val="none" w:sz="0" w:space="0" w:color="auto"/>
      </w:divBdr>
    </w:div>
    <w:div w:id="953172285">
      <w:bodyDiv w:val="1"/>
      <w:marLeft w:val="0"/>
      <w:marRight w:val="0"/>
      <w:marTop w:val="0"/>
      <w:marBottom w:val="0"/>
      <w:divBdr>
        <w:top w:val="none" w:sz="0" w:space="0" w:color="auto"/>
        <w:left w:val="none" w:sz="0" w:space="0" w:color="auto"/>
        <w:bottom w:val="none" w:sz="0" w:space="0" w:color="auto"/>
        <w:right w:val="none" w:sz="0" w:space="0" w:color="auto"/>
      </w:divBdr>
    </w:div>
    <w:div w:id="1139224426">
      <w:bodyDiv w:val="1"/>
      <w:marLeft w:val="0"/>
      <w:marRight w:val="0"/>
      <w:marTop w:val="0"/>
      <w:marBottom w:val="0"/>
      <w:divBdr>
        <w:top w:val="none" w:sz="0" w:space="0" w:color="auto"/>
        <w:left w:val="none" w:sz="0" w:space="0" w:color="auto"/>
        <w:bottom w:val="none" w:sz="0" w:space="0" w:color="auto"/>
        <w:right w:val="none" w:sz="0" w:space="0" w:color="auto"/>
      </w:divBdr>
    </w:div>
    <w:div w:id="1509979757">
      <w:bodyDiv w:val="1"/>
      <w:marLeft w:val="0"/>
      <w:marRight w:val="0"/>
      <w:marTop w:val="0"/>
      <w:marBottom w:val="0"/>
      <w:divBdr>
        <w:top w:val="none" w:sz="0" w:space="0" w:color="auto"/>
        <w:left w:val="none" w:sz="0" w:space="0" w:color="auto"/>
        <w:bottom w:val="none" w:sz="0" w:space="0" w:color="auto"/>
        <w:right w:val="none" w:sz="0" w:space="0" w:color="auto"/>
      </w:divBdr>
    </w:div>
    <w:div w:id="2114862703">
      <w:bodyDiv w:val="1"/>
      <w:marLeft w:val="0"/>
      <w:marRight w:val="0"/>
      <w:marTop w:val="0"/>
      <w:marBottom w:val="0"/>
      <w:divBdr>
        <w:top w:val="none" w:sz="0" w:space="0" w:color="auto"/>
        <w:left w:val="none" w:sz="0" w:space="0" w:color="auto"/>
        <w:bottom w:val="none" w:sz="0" w:space="0" w:color="auto"/>
        <w:right w:val="none" w:sz="0" w:space="0" w:color="auto"/>
      </w:divBdr>
    </w:div>
    <w:div w:id="2136871278">
      <w:bodyDiv w:val="1"/>
      <w:marLeft w:val="0"/>
      <w:marRight w:val="0"/>
      <w:marTop w:val="0"/>
      <w:marBottom w:val="0"/>
      <w:divBdr>
        <w:top w:val="none" w:sz="0" w:space="0" w:color="auto"/>
        <w:left w:val="none" w:sz="0" w:space="0" w:color="auto"/>
        <w:bottom w:val="none" w:sz="0" w:space="0" w:color="auto"/>
        <w:right w:val="none" w:sz="0" w:space="0" w:color="auto"/>
      </w:divBdr>
    </w:div>
    <w:div w:id="21404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http://pubchem.ncbi.nlm.nih.gov/image/imgsrv.fcgi?t=l&amp;cid=13810"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20void%20window.open('/image/structurefly.cgi?cid=13810&amp;width=400&amp;height=400',%20'StructureFly',%20'resizable=yes,%20scrollbars=yes,%20WIDTH=620,%20HEIGHT%20=%20620')"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Generation" TargetMode="External"/><Relationship Id="rId3" Type="http://schemas.openxmlformats.org/officeDocument/2006/relationships/image" Target="media/image4.png"/><Relationship Id="rId7" Type="http://schemas.openxmlformats.org/officeDocument/2006/relationships/hyperlink" Target="http://en.wikipedia.org/wiki/Torsades_de_pointes" TargetMode="External"/><Relationship Id="rId2" Type="http://schemas.openxmlformats.org/officeDocument/2006/relationships/hyperlink" Target="http://en.wikipedia.org/wiki/Sinus_rhythm" TargetMode="External"/><Relationship Id="rId1" Type="http://schemas.openxmlformats.org/officeDocument/2006/relationships/hyperlink" Target="http://en.wikipedia.org/wiki/ECG" TargetMode="External"/><Relationship Id="rId6" Type="http://schemas.openxmlformats.org/officeDocument/2006/relationships/hyperlink" Target="http://en.wikipedia.org/wiki/Electrical_conduction_system_of_the_heart" TargetMode="External"/><Relationship Id="rId5" Type="http://schemas.openxmlformats.org/officeDocument/2006/relationships/hyperlink" Target="http://en.wikipedia.org/wiki/Electrical_conduction_system_of_the_heart" TargetMode="External"/><Relationship Id="rId4" Type="http://schemas.openxmlformats.org/officeDocument/2006/relationships/hyperlink" Target="http://en.wikipedia.org/wiki/Cardiolog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2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CPM</b:Tag>
    <b:SourceType>JournalArticle</b:SourceType>
    <b:Guid>{0A5A3D5C-95F4-4B99-967A-C7514AD73E0D}</b:Guid>
    <b:Author>
      <b:Author>
        <b:NameList>
          <b:Person>
            <b:Last>CPMP/EWP/612/00</b:Last>
          </b:Person>
        </b:NameList>
      </b:Author>
    </b:Author>
    <b:Title>Note for Guidance on Clinical Investigation of Medicinal Products for Treatment of Nociceptive Pain</b:Title>
    <b:RefOrder>1</b:RefOrder>
  </b:Source>
</b:Sources>
</file>

<file path=customXml/itemProps1.xml><?xml version="1.0" encoding="utf-8"?>
<ds:datastoreItem xmlns:ds="http://schemas.openxmlformats.org/officeDocument/2006/customXml" ds:itemID="{FB4070FA-19E4-48AE-918F-E237A0FD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202</TotalTime>
  <Pages>56</Pages>
  <Words>19348</Words>
  <Characters>105451</Characters>
  <Application>Microsoft Office Word</Application>
  <DocSecurity>0</DocSecurity>
  <Lines>3012</Lines>
  <Paragraphs>1579</Paragraphs>
  <ScaleCrop>false</ScaleCrop>
  <HeadingPairs>
    <vt:vector size="2" baseType="variant">
      <vt:variant>
        <vt:lpstr>Title</vt:lpstr>
      </vt:variant>
      <vt:variant>
        <vt:i4>1</vt:i4>
      </vt:variant>
    </vt:vector>
  </HeadingPairs>
  <TitlesOfParts>
    <vt:vector size="1" baseType="lpstr">
      <vt:lpstr>Australian public assessment for Fentanyl citrate</vt:lpstr>
    </vt:vector>
  </TitlesOfParts>
  <Company>Department of Health Therapeutic Goods Administration</Company>
  <LinksUpToDate>false</LinksUpToDate>
  <CharactersWithSpaces>123220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Fentanyl citrate (Fentora)</dc:title>
  <dc:subject>prescription medicine regulation</dc:subject>
  <dc:creator>Therapeutic Goods Administration</dc:creator>
  <cp:keywords>auspar, prescription, medicine, assessment, regulation, australia, fentanyl, citrate, fentora</cp:keywords>
  <cp:lastModifiedBy>Sheppard, Fran</cp:lastModifiedBy>
  <cp:revision>20</cp:revision>
  <cp:lastPrinted>2015-04-22T00:20:00Z</cp:lastPrinted>
  <dcterms:created xsi:type="dcterms:W3CDTF">2015-04-22T05:28:00Z</dcterms:created>
  <dcterms:modified xsi:type="dcterms:W3CDTF">2015-05-28T04:28:00Z</dcterms:modified>
  <cp:category>external publication</cp:category>
</cp:coreProperties>
</file>