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7A1BFF" w14:textId="0A42FBE5" w:rsidR="00273345" w:rsidRPr="0098047F" w:rsidRDefault="00273345" w:rsidP="00E16648">
      <w:pPr>
        <w:pStyle w:val="Heading3"/>
        <w:tabs>
          <w:tab w:val="left" w:pos="3282"/>
        </w:tabs>
        <w:rPr>
          <w:rFonts w:ascii="Times" w:hAnsi="Times"/>
          <w:sz w:val="24"/>
          <w:szCs w:val="24"/>
        </w:rPr>
      </w:pPr>
      <w:bookmarkStart w:id="0" w:name="_GoBack"/>
      <w:bookmarkEnd w:id="0"/>
    </w:p>
    <w:p w14:paraId="39910324" w14:textId="77777777" w:rsidR="00273345" w:rsidRPr="0098047F" w:rsidRDefault="00273345" w:rsidP="00E66104">
      <w:pPr>
        <w:pStyle w:val="Heading3"/>
        <w:jc w:val="center"/>
        <w:rPr>
          <w:rFonts w:ascii="Times" w:hAnsi="Times"/>
          <w:sz w:val="24"/>
          <w:szCs w:val="24"/>
        </w:rPr>
      </w:pPr>
    </w:p>
    <w:p w14:paraId="0B325F83" w14:textId="77777777" w:rsidR="0029051D" w:rsidRPr="0098047F" w:rsidRDefault="0029051D" w:rsidP="00E66104">
      <w:pPr>
        <w:pStyle w:val="Heading3"/>
        <w:jc w:val="center"/>
        <w:rPr>
          <w:rFonts w:ascii="Times" w:hAnsi="Times"/>
          <w:sz w:val="24"/>
          <w:szCs w:val="24"/>
        </w:rPr>
      </w:pPr>
      <w:r w:rsidRPr="0098047F">
        <w:rPr>
          <w:rFonts w:ascii="Times" w:hAnsi="Times"/>
          <w:sz w:val="24"/>
          <w:szCs w:val="24"/>
        </w:rPr>
        <w:t>PRODUCT INFORMATION</w:t>
      </w:r>
    </w:p>
    <w:p w14:paraId="2686D97E" w14:textId="77777777" w:rsidR="00E66104" w:rsidRPr="0098047F" w:rsidRDefault="00E66104" w:rsidP="00E66104">
      <w:pPr>
        <w:rPr>
          <w:szCs w:val="24"/>
        </w:rPr>
      </w:pPr>
    </w:p>
    <w:p w14:paraId="1E527365" w14:textId="77777777" w:rsidR="00C6027E" w:rsidRPr="0098047F" w:rsidRDefault="00C6027E">
      <w:pPr>
        <w:pStyle w:val="Heading4"/>
        <w:rPr>
          <w:sz w:val="24"/>
          <w:szCs w:val="24"/>
        </w:rPr>
      </w:pPr>
    </w:p>
    <w:p w14:paraId="5C219B25" w14:textId="77777777" w:rsidR="00A8317A" w:rsidRPr="0098047F" w:rsidRDefault="00A8317A" w:rsidP="00A8317A">
      <w:pPr>
        <w:pStyle w:val="Heading4"/>
        <w:rPr>
          <w:sz w:val="24"/>
          <w:szCs w:val="24"/>
        </w:rPr>
      </w:pPr>
      <w:r w:rsidRPr="0098047F">
        <w:rPr>
          <w:sz w:val="24"/>
          <w:szCs w:val="24"/>
        </w:rPr>
        <w:t xml:space="preserve">FENTORA </w:t>
      </w:r>
    </w:p>
    <w:p w14:paraId="1049AFCA" w14:textId="77777777" w:rsidR="0029051D" w:rsidRPr="0098047F" w:rsidRDefault="002E5FF0" w:rsidP="00A8317A">
      <w:pPr>
        <w:pStyle w:val="Heading4"/>
        <w:rPr>
          <w:sz w:val="24"/>
          <w:szCs w:val="24"/>
        </w:rPr>
      </w:pPr>
      <w:r w:rsidRPr="0098047F">
        <w:rPr>
          <w:sz w:val="24"/>
          <w:szCs w:val="24"/>
        </w:rPr>
        <w:t xml:space="preserve">Fentanyl </w:t>
      </w:r>
      <w:r w:rsidR="00781BFB">
        <w:rPr>
          <w:sz w:val="24"/>
          <w:szCs w:val="24"/>
        </w:rPr>
        <w:t>(as Citrate) Orally Disintegrating</w:t>
      </w:r>
      <w:r w:rsidR="00A8317A" w:rsidRPr="0098047F">
        <w:rPr>
          <w:sz w:val="24"/>
          <w:szCs w:val="24"/>
        </w:rPr>
        <w:t xml:space="preserve"> Tablets</w:t>
      </w:r>
    </w:p>
    <w:p w14:paraId="75E98796" w14:textId="77777777" w:rsidR="0029051D" w:rsidRPr="0098047F" w:rsidRDefault="00C23205">
      <w:pPr>
        <w:pStyle w:val="Heading4"/>
        <w:rPr>
          <w:sz w:val="24"/>
          <w:szCs w:val="24"/>
        </w:rPr>
      </w:pPr>
      <w:r w:rsidRPr="0098047F">
        <w:rPr>
          <w:sz w:val="24"/>
          <w:szCs w:val="24"/>
        </w:rPr>
        <w:t>1</w:t>
      </w:r>
      <w:r w:rsidR="0029051D" w:rsidRPr="0098047F">
        <w:rPr>
          <w:sz w:val="24"/>
          <w:szCs w:val="24"/>
        </w:rPr>
        <w:t>00,</w:t>
      </w:r>
      <w:r w:rsidRPr="0098047F">
        <w:rPr>
          <w:sz w:val="24"/>
          <w:szCs w:val="24"/>
        </w:rPr>
        <w:t xml:space="preserve"> 200, 400, 600 and 800</w:t>
      </w:r>
      <w:r w:rsidR="0029051D" w:rsidRPr="0098047F">
        <w:rPr>
          <w:sz w:val="24"/>
          <w:szCs w:val="24"/>
        </w:rPr>
        <w:t xml:space="preserve"> micrograms</w:t>
      </w:r>
    </w:p>
    <w:p w14:paraId="1B036FF8" w14:textId="77777777" w:rsidR="0029051D" w:rsidRPr="0098047F" w:rsidRDefault="0029051D">
      <w:pPr>
        <w:rPr>
          <w:b/>
          <w:szCs w:val="24"/>
        </w:rPr>
      </w:pPr>
    </w:p>
    <w:p w14:paraId="6DEB34EA" w14:textId="77777777" w:rsidR="0029051D" w:rsidRPr="0098047F" w:rsidRDefault="0029051D">
      <w:pPr>
        <w:rPr>
          <w:b/>
          <w:szCs w:val="24"/>
        </w:rPr>
      </w:pPr>
    </w:p>
    <w:p w14:paraId="7359DB35" w14:textId="77777777" w:rsidR="0029051D" w:rsidRPr="0098047F" w:rsidRDefault="0029051D">
      <w:pPr>
        <w:pStyle w:val="Heading5"/>
        <w:rPr>
          <w:rFonts w:eastAsia="Times"/>
          <w:sz w:val="24"/>
          <w:szCs w:val="24"/>
          <w:lang w:val="en-US"/>
        </w:rPr>
      </w:pPr>
      <w:r w:rsidRPr="0098047F">
        <w:rPr>
          <w:rFonts w:eastAsia="Times"/>
          <w:sz w:val="24"/>
          <w:szCs w:val="24"/>
          <w:lang w:val="en-US"/>
        </w:rPr>
        <w:t xml:space="preserve">NAME OF </w:t>
      </w:r>
      <w:r w:rsidR="00C16A09" w:rsidRPr="0098047F">
        <w:rPr>
          <w:rFonts w:eastAsia="Times"/>
          <w:sz w:val="24"/>
          <w:szCs w:val="24"/>
          <w:lang w:val="en-US"/>
        </w:rPr>
        <w:t>THE MEDICINE</w:t>
      </w:r>
    </w:p>
    <w:p w14:paraId="593B772A" w14:textId="77777777" w:rsidR="0029051D" w:rsidRPr="0098047F" w:rsidRDefault="0029051D">
      <w:pPr>
        <w:rPr>
          <w:b/>
          <w:szCs w:val="24"/>
        </w:rPr>
      </w:pPr>
    </w:p>
    <w:p w14:paraId="59576A49" w14:textId="77777777" w:rsidR="0029051D" w:rsidRPr="0098047F" w:rsidRDefault="0029051D">
      <w:pPr>
        <w:pStyle w:val="Header"/>
        <w:tabs>
          <w:tab w:val="clear" w:pos="4320"/>
          <w:tab w:val="clear" w:pos="8640"/>
        </w:tabs>
        <w:rPr>
          <w:szCs w:val="24"/>
        </w:rPr>
      </w:pPr>
      <w:r w:rsidRPr="0098047F">
        <w:rPr>
          <w:szCs w:val="24"/>
        </w:rPr>
        <w:t>Fentanyl citrate</w:t>
      </w:r>
      <w:r w:rsidR="00C16A09" w:rsidRPr="0098047F">
        <w:rPr>
          <w:szCs w:val="24"/>
        </w:rPr>
        <w:t>.</w:t>
      </w:r>
    </w:p>
    <w:p w14:paraId="09955F2B" w14:textId="77777777" w:rsidR="0029051D" w:rsidRPr="0098047F" w:rsidRDefault="0029051D">
      <w:pPr>
        <w:pStyle w:val="Header"/>
        <w:tabs>
          <w:tab w:val="clear" w:pos="4320"/>
          <w:tab w:val="clear" w:pos="8640"/>
        </w:tabs>
        <w:rPr>
          <w:szCs w:val="24"/>
        </w:rPr>
      </w:pPr>
    </w:p>
    <w:p w14:paraId="4270B6A2" w14:textId="77777777" w:rsidR="0029051D" w:rsidRPr="0098047F" w:rsidRDefault="009504FD">
      <w:pPr>
        <w:ind w:left="720"/>
        <w:rPr>
          <w:szCs w:val="24"/>
        </w:rPr>
      </w:pPr>
      <w:r>
        <w:rPr>
          <w:szCs w:val="24"/>
        </w:rPr>
        <w:pict w14:anchorId="1B0FAE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5pt;height:201.75pt">
            <v:imagedata r:id="rId9" o:title=""/>
          </v:shape>
        </w:pict>
      </w:r>
    </w:p>
    <w:p w14:paraId="791B3FA9" w14:textId="77777777" w:rsidR="007B0406" w:rsidRPr="0098047F" w:rsidRDefault="007B0406">
      <w:pPr>
        <w:pStyle w:val="Heading5"/>
        <w:rPr>
          <w:sz w:val="24"/>
          <w:szCs w:val="24"/>
        </w:rPr>
      </w:pPr>
    </w:p>
    <w:p w14:paraId="25663C4B" w14:textId="77777777" w:rsidR="007B0406" w:rsidRPr="0098047F" w:rsidRDefault="007B0406">
      <w:pPr>
        <w:pStyle w:val="Heading5"/>
        <w:rPr>
          <w:sz w:val="24"/>
          <w:szCs w:val="24"/>
        </w:rPr>
      </w:pPr>
    </w:p>
    <w:p w14:paraId="5E23D380" w14:textId="77777777" w:rsidR="0029051D" w:rsidRPr="0098047F" w:rsidRDefault="0029051D">
      <w:pPr>
        <w:pStyle w:val="Heading5"/>
        <w:rPr>
          <w:sz w:val="24"/>
          <w:szCs w:val="24"/>
        </w:rPr>
      </w:pPr>
      <w:r w:rsidRPr="0098047F">
        <w:rPr>
          <w:sz w:val="24"/>
          <w:szCs w:val="24"/>
        </w:rPr>
        <w:t>DESCRIPTION</w:t>
      </w:r>
    </w:p>
    <w:p w14:paraId="1F75AF91" w14:textId="77777777" w:rsidR="0029051D" w:rsidRPr="0098047F" w:rsidRDefault="0029051D">
      <w:pPr>
        <w:pStyle w:val="BodyText"/>
        <w:tabs>
          <w:tab w:val="clear" w:pos="360"/>
        </w:tabs>
        <w:rPr>
          <w:rFonts w:eastAsia="Times"/>
          <w:i w:val="0"/>
          <w:szCs w:val="24"/>
          <w:lang w:val="en-US"/>
        </w:rPr>
      </w:pPr>
    </w:p>
    <w:p w14:paraId="00DD0DE5" w14:textId="77777777" w:rsidR="0029051D" w:rsidRPr="0098047F" w:rsidRDefault="00DE564B">
      <w:pPr>
        <w:pStyle w:val="BodyText"/>
        <w:tabs>
          <w:tab w:val="clear" w:pos="360"/>
        </w:tabs>
        <w:rPr>
          <w:rFonts w:eastAsia="Times"/>
          <w:i w:val="0"/>
          <w:szCs w:val="24"/>
          <w:lang w:val="en-US"/>
        </w:rPr>
      </w:pPr>
      <w:r w:rsidRPr="0098047F">
        <w:rPr>
          <w:rFonts w:eastAsia="Times"/>
          <w:i w:val="0"/>
          <w:szCs w:val="24"/>
          <w:lang w:val="en-US"/>
        </w:rPr>
        <w:t>FENTORA</w:t>
      </w:r>
      <w:r w:rsidR="0029051D" w:rsidRPr="0098047F">
        <w:rPr>
          <w:rFonts w:eastAsia="Times"/>
          <w:i w:val="0"/>
          <w:szCs w:val="24"/>
          <w:lang w:val="en-US"/>
        </w:rPr>
        <w:t xml:space="preserve"> (fentanyl citrate) is a synthetic opioid analgesic related to pethidine and with similar properties to morphine. Fentanyl citrate is a white, crystalline powder with a molecular weight of 528.6 and the molecular formula C</w:t>
      </w:r>
      <w:r w:rsidR="0029051D" w:rsidRPr="0098047F">
        <w:rPr>
          <w:rFonts w:eastAsia="Times"/>
          <w:i w:val="0"/>
          <w:szCs w:val="24"/>
          <w:vertAlign w:val="subscript"/>
          <w:lang w:val="en-US"/>
        </w:rPr>
        <w:t>22</w:t>
      </w:r>
      <w:r w:rsidR="0029051D" w:rsidRPr="0098047F">
        <w:rPr>
          <w:rFonts w:eastAsia="Times"/>
          <w:i w:val="0"/>
          <w:szCs w:val="24"/>
          <w:lang w:val="en-US"/>
        </w:rPr>
        <w:t>H</w:t>
      </w:r>
      <w:r w:rsidR="0029051D" w:rsidRPr="0098047F">
        <w:rPr>
          <w:rFonts w:eastAsia="Times"/>
          <w:i w:val="0"/>
          <w:szCs w:val="24"/>
          <w:vertAlign w:val="subscript"/>
          <w:lang w:val="en-US"/>
        </w:rPr>
        <w:t>28</w:t>
      </w:r>
      <w:r w:rsidR="0029051D" w:rsidRPr="0098047F">
        <w:rPr>
          <w:rFonts w:eastAsia="Times"/>
          <w:i w:val="0"/>
          <w:szCs w:val="24"/>
          <w:lang w:val="en-US"/>
        </w:rPr>
        <w:t>N</w:t>
      </w:r>
      <w:r w:rsidR="0029051D" w:rsidRPr="0098047F">
        <w:rPr>
          <w:rFonts w:eastAsia="Times"/>
          <w:i w:val="0"/>
          <w:szCs w:val="24"/>
          <w:vertAlign w:val="subscript"/>
          <w:lang w:val="en-US"/>
        </w:rPr>
        <w:t>2</w:t>
      </w:r>
      <w:r w:rsidR="0029051D" w:rsidRPr="0098047F">
        <w:rPr>
          <w:rFonts w:eastAsia="Times"/>
          <w:i w:val="0"/>
          <w:szCs w:val="24"/>
          <w:lang w:val="en-US"/>
        </w:rPr>
        <w:t>O,C</w:t>
      </w:r>
      <w:r w:rsidR="0029051D" w:rsidRPr="0098047F">
        <w:rPr>
          <w:rFonts w:eastAsia="Times"/>
          <w:i w:val="0"/>
          <w:szCs w:val="24"/>
          <w:vertAlign w:val="subscript"/>
          <w:lang w:val="en-US"/>
        </w:rPr>
        <w:t>6</w:t>
      </w:r>
      <w:r w:rsidR="0029051D" w:rsidRPr="0098047F">
        <w:rPr>
          <w:rFonts w:eastAsia="Times"/>
          <w:i w:val="0"/>
          <w:szCs w:val="24"/>
          <w:lang w:val="en-US"/>
        </w:rPr>
        <w:t>H</w:t>
      </w:r>
      <w:r w:rsidR="0029051D" w:rsidRPr="0098047F">
        <w:rPr>
          <w:rFonts w:eastAsia="Times"/>
          <w:i w:val="0"/>
          <w:szCs w:val="24"/>
          <w:vertAlign w:val="subscript"/>
          <w:lang w:val="en-US"/>
        </w:rPr>
        <w:t>8</w:t>
      </w:r>
      <w:r w:rsidR="0029051D" w:rsidRPr="0098047F">
        <w:rPr>
          <w:rFonts w:eastAsia="Times"/>
          <w:i w:val="0"/>
          <w:szCs w:val="24"/>
          <w:lang w:val="en-US"/>
        </w:rPr>
        <w:t>O</w:t>
      </w:r>
      <w:r w:rsidR="0029051D" w:rsidRPr="0098047F">
        <w:rPr>
          <w:rFonts w:eastAsia="Times"/>
          <w:i w:val="0"/>
          <w:szCs w:val="24"/>
          <w:vertAlign w:val="subscript"/>
          <w:lang w:val="en-US"/>
        </w:rPr>
        <w:t>7</w:t>
      </w:r>
      <w:r w:rsidR="0029051D" w:rsidRPr="0098047F">
        <w:rPr>
          <w:rFonts w:eastAsia="Times"/>
          <w:i w:val="0"/>
          <w:szCs w:val="24"/>
          <w:lang w:val="en-US"/>
        </w:rPr>
        <w:t xml:space="preserve">. Its chemical name is </w:t>
      </w:r>
      <w:r w:rsidR="0029051D" w:rsidRPr="008F6BB3">
        <w:rPr>
          <w:rFonts w:eastAsia="Times"/>
          <w:szCs w:val="24"/>
          <w:lang w:val="en-US"/>
        </w:rPr>
        <w:t>N</w:t>
      </w:r>
      <w:r w:rsidR="0029051D" w:rsidRPr="0098047F">
        <w:rPr>
          <w:rFonts w:eastAsia="Times"/>
          <w:i w:val="0"/>
          <w:szCs w:val="24"/>
          <w:lang w:val="en-US"/>
        </w:rPr>
        <w:t>-(1-Phenethyl-4-piperidyl) propionanilide dihydrogen citrate. The CAS Registry Number for fentanyl citrate is 990-73-8.</w:t>
      </w:r>
    </w:p>
    <w:p w14:paraId="3B6AB0DB" w14:textId="77777777" w:rsidR="0029051D" w:rsidRPr="0098047F" w:rsidRDefault="0029051D">
      <w:pPr>
        <w:pStyle w:val="BodyText"/>
        <w:tabs>
          <w:tab w:val="clear" w:pos="360"/>
        </w:tabs>
        <w:rPr>
          <w:rFonts w:eastAsia="Times"/>
          <w:i w:val="0"/>
          <w:szCs w:val="24"/>
          <w:lang w:val="en-US"/>
        </w:rPr>
      </w:pPr>
    </w:p>
    <w:p w14:paraId="070F90EA" w14:textId="77777777" w:rsidR="0029051D" w:rsidRPr="0098047F" w:rsidRDefault="0029051D">
      <w:pPr>
        <w:pStyle w:val="BodyText"/>
        <w:tabs>
          <w:tab w:val="clear" w:pos="360"/>
        </w:tabs>
        <w:rPr>
          <w:rFonts w:eastAsia="Times"/>
          <w:i w:val="0"/>
          <w:szCs w:val="24"/>
          <w:lang w:val="en-US"/>
        </w:rPr>
      </w:pPr>
      <w:r w:rsidRPr="0098047F">
        <w:rPr>
          <w:rFonts w:eastAsia="Times"/>
          <w:i w:val="0"/>
          <w:szCs w:val="24"/>
          <w:lang w:val="en-US"/>
        </w:rPr>
        <w:t xml:space="preserve">The citrate salt is sparingly soluble to soluble in water; sparingly soluble in alcohol; slightly soluble in chloroform; soluble to freely soluble in methyl alcohol. </w:t>
      </w:r>
    </w:p>
    <w:p w14:paraId="7B37074B" w14:textId="77777777" w:rsidR="0029051D" w:rsidRPr="0098047F" w:rsidRDefault="0029051D">
      <w:pPr>
        <w:rPr>
          <w:szCs w:val="24"/>
          <w:highlight w:val="yellow"/>
        </w:rPr>
      </w:pPr>
    </w:p>
    <w:p w14:paraId="091FC17C" w14:textId="77777777" w:rsidR="00F96888" w:rsidRPr="0098047F" w:rsidRDefault="002572F7">
      <w:pPr>
        <w:rPr>
          <w:rFonts w:eastAsia="Times New Roman"/>
          <w:szCs w:val="24"/>
        </w:rPr>
      </w:pPr>
      <w:r>
        <w:rPr>
          <w:rFonts w:eastAsia="Times New Roman"/>
          <w:szCs w:val="24"/>
        </w:rPr>
        <w:t xml:space="preserve">FENTORA orally disintegrating tablets are available in five unit strengths equivalent to 100, 200, 400, 600 and 800 micrograms of fentanyl base. </w:t>
      </w:r>
      <w:r w:rsidR="0098047F" w:rsidRPr="0098047F">
        <w:rPr>
          <w:rFonts w:eastAsia="Times New Roman"/>
          <w:szCs w:val="24"/>
        </w:rPr>
        <w:t>The excipients</w:t>
      </w:r>
      <w:r w:rsidR="00F96888" w:rsidRPr="0098047F">
        <w:rPr>
          <w:rFonts w:eastAsia="Times New Roman"/>
          <w:szCs w:val="24"/>
        </w:rPr>
        <w:t xml:space="preserve"> include mannitol, sodium starch glycollate type A, sodium hydrogen carbonate, sodium carbonate anhydrous, </w:t>
      </w:r>
      <w:r>
        <w:rPr>
          <w:rFonts w:eastAsia="Times New Roman"/>
          <w:szCs w:val="24"/>
        </w:rPr>
        <w:t xml:space="preserve">anhydrous </w:t>
      </w:r>
      <w:r w:rsidR="00F96888" w:rsidRPr="0098047F">
        <w:rPr>
          <w:rFonts w:eastAsia="Times New Roman"/>
          <w:szCs w:val="24"/>
        </w:rPr>
        <w:t>citric acid , magnesium stearate.</w:t>
      </w:r>
    </w:p>
    <w:p w14:paraId="224E61A1" w14:textId="77777777" w:rsidR="00897F2D" w:rsidRPr="0098047F" w:rsidRDefault="00897F2D" w:rsidP="00D91435">
      <w:pPr>
        <w:rPr>
          <w:szCs w:val="24"/>
        </w:rPr>
      </w:pPr>
    </w:p>
    <w:p w14:paraId="34041E14" w14:textId="77777777" w:rsidR="00D91435" w:rsidRPr="0098047F" w:rsidRDefault="00D91435">
      <w:pPr>
        <w:pStyle w:val="BodyText2"/>
        <w:rPr>
          <w:sz w:val="24"/>
          <w:szCs w:val="24"/>
        </w:rPr>
      </w:pPr>
    </w:p>
    <w:p w14:paraId="1D02AEC6" w14:textId="77777777" w:rsidR="00D91435" w:rsidRPr="0098047F" w:rsidRDefault="00D91435">
      <w:pPr>
        <w:pStyle w:val="BodyText2"/>
        <w:rPr>
          <w:sz w:val="24"/>
          <w:szCs w:val="24"/>
        </w:rPr>
      </w:pPr>
    </w:p>
    <w:p w14:paraId="0AF79CAD" w14:textId="77777777" w:rsidR="0029051D" w:rsidRPr="0098047F" w:rsidRDefault="0029051D">
      <w:pPr>
        <w:pStyle w:val="BodyText2"/>
        <w:rPr>
          <w:sz w:val="24"/>
          <w:szCs w:val="24"/>
        </w:rPr>
      </w:pPr>
    </w:p>
    <w:p w14:paraId="58425BE8" w14:textId="77777777" w:rsidR="0029051D" w:rsidRPr="0098047F" w:rsidRDefault="0029051D">
      <w:pPr>
        <w:pStyle w:val="Heading5"/>
        <w:rPr>
          <w:sz w:val="24"/>
          <w:szCs w:val="24"/>
        </w:rPr>
      </w:pPr>
      <w:r w:rsidRPr="0098047F">
        <w:rPr>
          <w:rFonts w:eastAsia="Times"/>
          <w:sz w:val="24"/>
          <w:szCs w:val="24"/>
          <w:lang w:val="en-US"/>
        </w:rPr>
        <w:t>PHARMACOLOGY</w:t>
      </w:r>
    </w:p>
    <w:p w14:paraId="04CCC2EE" w14:textId="77777777" w:rsidR="007B0406" w:rsidRPr="0098047F" w:rsidRDefault="007B0406">
      <w:pPr>
        <w:pStyle w:val="Heading6"/>
        <w:rPr>
          <w:sz w:val="24"/>
          <w:szCs w:val="24"/>
        </w:rPr>
      </w:pPr>
    </w:p>
    <w:p w14:paraId="3E5ECA4D" w14:textId="77777777" w:rsidR="0029051D" w:rsidRPr="0098047F" w:rsidRDefault="0029051D">
      <w:pPr>
        <w:pStyle w:val="Heading6"/>
        <w:rPr>
          <w:sz w:val="24"/>
          <w:szCs w:val="24"/>
        </w:rPr>
      </w:pPr>
      <w:r w:rsidRPr="0098047F">
        <w:rPr>
          <w:sz w:val="24"/>
          <w:szCs w:val="24"/>
        </w:rPr>
        <w:t>Pharmacodynamic properties</w:t>
      </w:r>
    </w:p>
    <w:p w14:paraId="5583BB65" w14:textId="77777777" w:rsidR="00D35B11" w:rsidRPr="0098047F" w:rsidRDefault="00D35B11" w:rsidP="00D35B11">
      <w:pPr>
        <w:rPr>
          <w:szCs w:val="24"/>
        </w:rPr>
      </w:pPr>
      <w:r w:rsidRPr="0098047F">
        <w:rPr>
          <w:szCs w:val="24"/>
        </w:rPr>
        <w:tab/>
      </w:r>
    </w:p>
    <w:p w14:paraId="39B90036" w14:textId="77777777" w:rsidR="00D35B11" w:rsidRPr="0098047F" w:rsidRDefault="00D35B11" w:rsidP="00D35B11">
      <w:pPr>
        <w:rPr>
          <w:szCs w:val="24"/>
        </w:rPr>
      </w:pPr>
      <w:r w:rsidRPr="0098047F">
        <w:rPr>
          <w:szCs w:val="24"/>
        </w:rPr>
        <w:t>Fentanyl is an opioid analgesic, interacting predominantly with the opioid µ-receptor. Its primary therapeutic actions are analgesia and sedation. Secondary pharmacological effects are respiratory depression, bradycardia, hypothermia, constipation, miosis, physical dependence and euphoria.</w:t>
      </w:r>
    </w:p>
    <w:p w14:paraId="0949EE63" w14:textId="77777777" w:rsidR="00D35B11" w:rsidRPr="0098047F" w:rsidRDefault="00D35B11" w:rsidP="00D35B11">
      <w:pPr>
        <w:rPr>
          <w:szCs w:val="24"/>
        </w:rPr>
      </w:pPr>
    </w:p>
    <w:p w14:paraId="744B0C7A" w14:textId="77777777" w:rsidR="00D35B11" w:rsidRPr="0098047F" w:rsidRDefault="00D35B11" w:rsidP="00D35B11">
      <w:pPr>
        <w:rPr>
          <w:szCs w:val="24"/>
        </w:rPr>
      </w:pPr>
      <w:r w:rsidRPr="0098047F">
        <w:rPr>
          <w:szCs w:val="24"/>
        </w:rPr>
        <w:t xml:space="preserve">The analgesic effects of fentanyl are related to its plasma level. In general, the effective concentration and the concentration at which toxicity occurs increase with increasing tolerance to opioids. The rate of development of tolerance varies widely among individuals. As a result, the dose of </w:t>
      </w:r>
      <w:r w:rsidR="001A3E3E" w:rsidRPr="0098047F">
        <w:rPr>
          <w:szCs w:val="24"/>
        </w:rPr>
        <w:t>FENTORA</w:t>
      </w:r>
      <w:r w:rsidRPr="0098047F">
        <w:rPr>
          <w:szCs w:val="24"/>
        </w:rPr>
        <w:t xml:space="preserve"> should be individually titrated to achieve the desired effect (</w:t>
      </w:r>
      <w:r w:rsidR="00987737" w:rsidRPr="0098047F">
        <w:rPr>
          <w:szCs w:val="24"/>
        </w:rPr>
        <w:t>see DOSAGE AND ADMINISTRATION</w:t>
      </w:r>
      <w:r w:rsidRPr="0098047F">
        <w:rPr>
          <w:szCs w:val="24"/>
        </w:rPr>
        <w:t>).</w:t>
      </w:r>
    </w:p>
    <w:p w14:paraId="7E2A8D37" w14:textId="77777777" w:rsidR="00D35B11" w:rsidRPr="0098047F" w:rsidRDefault="00D35B11" w:rsidP="00D35B11">
      <w:pPr>
        <w:rPr>
          <w:szCs w:val="24"/>
        </w:rPr>
      </w:pPr>
    </w:p>
    <w:p w14:paraId="41788292" w14:textId="77777777" w:rsidR="00D35B11" w:rsidRPr="0098047F" w:rsidRDefault="00D35B11" w:rsidP="00D35B11">
      <w:pPr>
        <w:rPr>
          <w:szCs w:val="24"/>
        </w:rPr>
      </w:pPr>
      <w:r w:rsidRPr="0098047F">
        <w:rPr>
          <w:szCs w:val="24"/>
        </w:rPr>
        <w:t>All opioid µ-receptor agonists, including fentanyl, produce dose dependent respiratory depression. The risk of respiratory depression is less in patients receiving chronic opioid therapy as these patients will develop tolerance to respiratory depressant effects.</w:t>
      </w:r>
    </w:p>
    <w:p w14:paraId="4736042A" w14:textId="77777777" w:rsidR="00D35B11" w:rsidRPr="0098047F" w:rsidRDefault="00D35B11" w:rsidP="00D35B11">
      <w:pPr>
        <w:rPr>
          <w:szCs w:val="24"/>
        </w:rPr>
      </w:pPr>
    </w:p>
    <w:p w14:paraId="7E4A9306" w14:textId="77777777" w:rsidR="0029051D" w:rsidRPr="0098047F" w:rsidRDefault="0029051D">
      <w:pPr>
        <w:rPr>
          <w:rFonts w:eastAsia="Times New Roman"/>
          <w:szCs w:val="24"/>
        </w:rPr>
      </w:pPr>
    </w:p>
    <w:p w14:paraId="0DF7503C" w14:textId="77777777" w:rsidR="0029051D" w:rsidRPr="0098047F" w:rsidRDefault="0029051D">
      <w:pPr>
        <w:pStyle w:val="Heading6"/>
        <w:rPr>
          <w:sz w:val="24"/>
          <w:szCs w:val="24"/>
        </w:rPr>
      </w:pPr>
      <w:r w:rsidRPr="0098047F">
        <w:rPr>
          <w:sz w:val="24"/>
          <w:szCs w:val="24"/>
        </w:rPr>
        <w:t>Pharmacokinetic Properties</w:t>
      </w:r>
    </w:p>
    <w:p w14:paraId="63CDB56F" w14:textId="77777777" w:rsidR="005D34CA" w:rsidRPr="0098047F" w:rsidRDefault="005D34CA" w:rsidP="00031CC4">
      <w:pPr>
        <w:widowControl w:val="0"/>
        <w:rPr>
          <w:i/>
          <w:szCs w:val="24"/>
          <w:u w:val="single"/>
        </w:rPr>
      </w:pPr>
    </w:p>
    <w:p w14:paraId="65B64088" w14:textId="77777777" w:rsidR="00031CC4" w:rsidRPr="0098047F" w:rsidRDefault="00031CC4" w:rsidP="00031CC4">
      <w:pPr>
        <w:widowControl w:val="0"/>
        <w:rPr>
          <w:szCs w:val="24"/>
        </w:rPr>
      </w:pPr>
      <w:r w:rsidRPr="0098047F">
        <w:rPr>
          <w:szCs w:val="24"/>
        </w:rPr>
        <w:t>Fentanyl is highly lipophilic and can be absorbed very rapidly through the oral mucosa and more slowly by the conventional gastrointestinal route. It is subject to first-pass hepatic and intestinal metabolism and the metabolites do not contribute to fentanyl’s therapeutic effects.</w:t>
      </w:r>
    </w:p>
    <w:p w14:paraId="1BD6A01D" w14:textId="77777777" w:rsidR="00031CC4" w:rsidRPr="0098047F" w:rsidRDefault="00031CC4" w:rsidP="00031CC4">
      <w:pPr>
        <w:widowControl w:val="0"/>
        <w:rPr>
          <w:szCs w:val="24"/>
        </w:rPr>
      </w:pPr>
    </w:p>
    <w:p w14:paraId="13C931EF" w14:textId="77777777" w:rsidR="00031CC4" w:rsidRPr="0098047F" w:rsidRDefault="001A3E3E" w:rsidP="00031CC4">
      <w:pPr>
        <w:tabs>
          <w:tab w:val="left" w:pos="0"/>
        </w:tabs>
        <w:rPr>
          <w:szCs w:val="24"/>
        </w:rPr>
      </w:pPr>
      <w:r w:rsidRPr="0098047F">
        <w:rPr>
          <w:szCs w:val="24"/>
        </w:rPr>
        <w:t>FENTORA</w:t>
      </w:r>
      <w:r w:rsidR="00031CC4" w:rsidRPr="0098047F">
        <w:rPr>
          <w:szCs w:val="24"/>
        </w:rPr>
        <w:t xml:space="preserve"> employs a delivery technology which utilises an effervescent reaction which enhances the rate and extent of fentanyl absorbed through the buccal mucosa. Transient pH changes accompanying the effervescent reaction may optimise dissolution (at a lower pH) and membrane permeation (at a higher pH). </w:t>
      </w:r>
    </w:p>
    <w:p w14:paraId="288D568C" w14:textId="77777777" w:rsidR="00031CC4" w:rsidRPr="0098047F" w:rsidRDefault="00031CC4" w:rsidP="00031CC4">
      <w:pPr>
        <w:widowControl w:val="0"/>
        <w:rPr>
          <w:szCs w:val="24"/>
        </w:rPr>
      </w:pPr>
    </w:p>
    <w:p w14:paraId="513DFF97" w14:textId="77777777" w:rsidR="00031CC4" w:rsidRPr="0098047F" w:rsidRDefault="00031CC4" w:rsidP="00031CC4">
      <w:pPr>
        <w:autoSpaceDE w:val="0"/>
        <w:autoSpaceDN w:val="0"/>
        <w:adjustRightInd w:val="0"/>
        <w:rPr>
          <w:szCs w:val="24"/>
        </w:rPr>
      </w:pPr>
      <w:r w:rsidRPr="0098047F">
        <w:rPr>
          <w:szCs w:val="24"/>
        </w:rPr>
        <w:t xml:space="preserve">Dwell time (defined as the length of time that the tablet takes to fully disintegrate following buccal administration), does not affect early systemic exposure to fentanyl. </w:t>
      </w:r>
      <w:r w:rsidR="00487C6E">
        <w:rPr>
          <w:szCs w:val="24"/>
        </w:rPr>
        <w:t>In addition, a</w:t>
      </w:r>
      <w:r w:rsidRPr="0098047F">
        <w:rPr>
          <w:szCs w:val="24"/>
        </w:rPr>
        <w:t xml:space="preserve"> </w:t>
      </w:r>
      <w:r w:rsidR="00044801">
        <w:rPr>
          <w:szCs w:val="24"/>
        </w:rPr>
        <w:t>comparative</w:t>
      </w:r>
      <w:r w:rsidR="00DE564B" w:rsidRPr="0098047F">
        <w:rPr>
          <w:szCs w:val="24"/>
        </w:rPr>
        <w:t xml:space="preserve">study </w:t>
      </w:r>
      <w:r w:rsidR="00487C6E">
        <w:rPr>
          <w:szCs w:val="24"/>
        </w:rPr>
        <w:t>evaluating the absorption of</w:t>
      </w:r>
      <w:r w:rsidR="00DE564B" w:rsidRPr="0098047F">
        <w:rPr>
          <w:szCs w:val="24"/>
        </w:rPr>
        <w:t xml:space="preserve"> one 400 </w:t>
      </w:r>
      <w:r w:rsidR="00976A0E">
        <w:rPr>
          <w:szCs w:val="24"/>
        </w:rPr>
        <w:t>micrograms</w:t>
      </w:r>
      <w:r w:rsidR="00DE564B" w:rsidRPr="0098047F">
        <w:rPr>
          <w:szCs w:val="24"/>
        </w:rPr>
        <w:t xml:space="preserve"> </w:t>
      </w:r>
      <w:r w:rsidR="001A3E3E" w:rsidRPr="0098047F">
        <w:rPr>
          <w:szCs w:val="24"/>
        </w:rPr>
        <w:t>FENTORA</w:t>
      </w:r>
      <w:r w:rsidRPr="0098047F">
        <w:rPr>
          <w:szCs w:val="24"/>
        </w:rPr>
        <w:t xml:space="preserve"> tablet administered either buccally (i.e., between the cheek and the gum) or sublingually met the criteria of bioequivalence.</w:t>
      </w:r>
    </w:p>
    <w:p w14:paraId="52832FAD" w14:textId="77777777" w:rsidR="00031CC4" w:rsidRPr="0098047F" w:rsidRDefault="00031CC4" w:rsidP="00031CC4">
      <w:pPr>
        <w:rPr>
          <w:szCs w:val="24"/>
        </w:rPr>
      </w:pPr>
    </w:p>
    <w:p w14:paraId="0DC8E84D" w14:textId="77777777" w:rsidR="00031CC4" w:rsidRPr="0098047F" w:rsidRDefault="00031CC4" w:rsidP="00031CC4">
      <w:pPr>
        <w:rPr>
          <w:szCs w:val="24"/>
        </w:rPr>
      </w:pPr>
      <w:r w:rsidRPr="0098047F">
        <w:rPr>
          <w:szCs w:val="24"/>
        </w:rPr>
        <w:t xml:space="preserve">The effect of renal or hepatic impairment on the pharmacokinetics of </w:t>
      </w:r>
      <w:r w:rsidR="00DE564B" w:rsidRPr="0098047F">
        <w:rPr>
          <w:szCs w:val="24"/>
        </w:rPr>
        <w:t>F</w:t>
      </w:r>
      <w:r w:rsidR="001A3E3E" w:rsidRPr="0098047F">
        <w:rPr>
          <w:szCs w:val="24"/>
        </w:rPr>
        <w:t>ENTORA</w:t>
      </w:r>
      <w:r w:rsidRPr="0098047F">
        <w:rPr>
          <w:szCs w:val="24"/>
        </w:rPr>
        <w:t xml:space="preserve"> has not been studied.</w:t>
      </w:r>
    </w:p>
    <w:p w14:paraId="6F848D63" w14:textId="77777777" w:rsidR="00031CC4" w:rsidRPr="0098047F" w:rsidRDefault="00031CC4" w:rsidP="00031CC4">
      <w:pPr>
        <w:rPr>
          <w:szCs w:val="24"/>
        </w:rPr>
      </w:pPr>
    </w:p>
    <w:p w14:paraId="4B3110BE" w14:textId="77777777" w:rsidR="00031CC4" w:rsidRPr="0098047F" w:rsidRDefault="00031CC4" w:rsidP="00031CC4">
      <w:pPr>
        <w:rPr>
          <w:i/>
          <w:szCs w:val="24"/>
          <w:u w:val="single"/>
        </w:rPr>
      </w:pPr>
      <w:r w:rsidRPr="0098047F">
        <w:rPr>
          <w:i/>
          <w:szCs w:val="24"/>
          <w:u w:val="single"/>
        </w:rPr>
        <w:t>Absorption:</w:t>
      </w:r>
    </w:p>
    <w:p w14:paraId="345C1394" w14:textId="7CA1B30C" w:rsidR="00031CC4" w:rsidRPr="0098047F" w:rsidRDefault="00031CC4" w:rsidP="00031CC4">
      <w:pPr>
        <w:rPr>
          <w:szCs w:val="24"/>
        </w:rPr>
      </w:pPr>
      <w:r w:rsidRPr="0098047F">
        <w:rPr>
          <w:szCs w:val="24"/>
        </w:rPr>
        <w:t>Following oromucosal</w:t>
      </w:r>
      <w:r w:rsidR="00DE564B" w:rsidRPr="0098047F">
        <w:rPr>
          <w:szCs w:val="24"/>
        </w:rPr>
        <w:t xml:space="preserve"> administration of F</w:t>
      </w:r>
      <w:r w:rsidR="001A3E3E" w:rsidRPr="0098047F">
        <w:rPr>
          <w:szCs w:val="24"/>
        </w:rPr>
        <w:t>ENTORA</w:t>
      </w:r>
      <w:r w:rsidRPr="0098047F">
        <w:rPr>
          <w:szCs w:val="24"/>
        </w:rPr>
        <w:t xml:space="preserve">, fentanyl is readily absorbed with an absolute bioavailability of 65%.  The absorption profile of </w:t>
      </w:r>
      <w:r w:rsidR="00DE564B" w:rsidRPr="0098047F">
        <w:rPr>
          <w:szCs w:val="24"/>
        </w:rPr>
        <w:t>F</w:t>
      </w:r>
      <w:r w:rsidR="0098047F">
        <w:rPr>
          <w:szCs w:val="24"/>
        </w:rPr>
        <w:t>ENTORA</w:t>
      </w:r>
      <w:r w:rsidRPr="0098047F">
        <w:rPr>
          <w:szCs w:val="24"/>
        </w:rPr>
        <w:t xml:space="preserve"> is largely the result of an initial rapid absorption from the buccal mucosa, with peak plasma concentrations following venous sampling generally attained within an hour after oromucosal administration. </w:t>
      </w:r>
      <w:r w:rsidRPr="0098047F">
        <w:rPr>
          <w:szCs w:val="24"/>
        </w:rPr>
        <w:lastRenderedPageBreak/>
        <w:t>Approximately 50% of the total dose administered is rapidly absorbed transmucosa</w:t>
      </w:r>
      <w:r w:rsidR="006C3C90" w:rsidRPr="0098047F">
        <w:rPr>
          <w:szCs w:val="24"/>
        </w:rPr>
        <w:t>l</w:t>
      </w:r>
      <w:r w:rsidRPr="0098047F">
        <w:rPr>
          <w:szCs w:val="24"/>
        </w:rPr>
        <w:t>ly and becomes systemically available.  The remaining half of the total dose is swallowed and slowly absorbed from the gastrointestinal tract</w:t>
      </w:r>
      <w:r w:rsidR="009C496D">
        <w:rPr>
          <w:szCs w:val="24"/>
        </w:rPr>
        <w:t xml:space="preserve"> where 30% of it becomes systemically available by bypassing hepatic and intestinal first-pass elimination</w:t>
      </w:r>
      <w:r w:rsidRPr="0098047F">
        <w:rPr>
          <w:szCs w:val="24"/>
        </w:rPr>
        <w:t xml:space="preserve">. </w:t>
      </w:r>
    </w:p>
    <w:p w14:paraId="4B67E457" w14:textId="77777777" w:rsidR="00031CC4" w:rsidRPr="0098047F" w:rsidRDefault="00031CC4" w:rsidP="00031CC4">
      <w:pPr>
        <w:rPr>
          <w:szCs w:val="24"/>
        </w:rPr>
      </w:pPr>
      <w:r w:rsidRPr="0098047F">
        <w:rPr>
          <w:szCs w:val="24"/>
        </w:rPr>
        <w:t>The main pharmacokinetic parameters are shown in the following table.</w:t>
      </w:r>
    </w:p>
    <w:p w14:paraId="6BAFB3B2" w14:textId="77777777" w:rsidR="00031CC4" w:rsidRPr="0098047F" w:rsidRDefault="00031CC4" w:rsidP="00031CC4">
      <w:pPr>
        <w:rPr>
          <w:szCs w:val="24"/>
        </w:rPr>
      </w:pPr>
    </w:p>
    <w:p w14:paraId="4E8DA88D" w14:textId="77777777" w:rsidR="00031CC4" w:rsidRPr="0098047F" w:rsidRDefault="00031CC4" w:rsidP="00031CC4">
      <w:pPr>
        <w:rPr>
          <w:i/>
          <w:szCs w:val="24"/>
          <w:u w:val="single"/>
        </w:rPr>
      </w:pPr>
      <w:r w:rsidRPr="0098047F">
        <w:rPr>
          <w:i/>
          <w:szCs w:val="24"/>
          <w:u w:val="single"/>
        </w:rPr>
        <w:t xml:space="preserve">Pharmacokinetic Parameters* in Adult Subjects Receiving </w:t>
      </w:r>
      <w:r w:rsidR="00DE564B" w:rsidRPr="0098047F">
        <w:rPr>
          <w:i/>
          <w:szCs w:val="24"/>
          <w:u w:val="single"/>
        </w:rPr>
        <w:t>F</w:t>
      </w:r>
      <w:r w:rsidR="001A3E3E" w:rsidRPr="0098047F">
        <w:rPr>
          <w:i/>
          <w:szCs w:val="24"/>
          <w:u w:val="single"/>
        </w:rPr>
        <w:t>ENTORA</w:t>
      </w:r>
    </w:p>
    <w:p w14:paraId="2B8810DA" w14:textId="77777777" w:rsidR="00031CC4" w:rsidRPr="0098047F" w:rsidRDefault="00031CC4" w:rsidP="00031CC4">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3192"/>
      </w:tblGrid>
      <w:tr w:rsidR="00031CC4" w:rsidRPr="0098047F" w14:paraId="3AE6A19A" w14:textId="77777777" w:rsidTr="00D5169F">
        <w:trPr>
          <w:trHeight w:val="623"/>
          <w:jc w:val="center"/>
        </w:trPr>
        <w:tc>
          <w:tcPr>
            <w:tcW w:w="3259" w:type="dxa"/>
          </w:tcPr>
          <w:p w14:paraId="1DFB36B1" w14:textId="77777777" w:rsidR="00031CC4" w:rsidRPr="0098047F" w:rsidRDefault="00031CC4" w:rsidP="00D5169F">
            <w:pPr>
              <w:rPr>
                <w:b/>
                <w:bCs/>
                <w:szCs w:val="24"/>
              </w:rPr>
            </w:pPr>
            <w:r w:rsidRPr="0098047F">
              <w:rPr>
                <w:b/>
                <w:bCs/>
                <w:szCs w:val="24"/>
              </w:rPr>
              <w:t>Pharmacokinetic</w:t>
            </w:r>
          </w:p>
          <w:p w14:paraId="496DE051" w14:textId="77777777" w:rsidR="00031CC4" w:rsidRPr="0098047F" w:rsidRDefault="00031CC4" w:rsidP="00D5169F">
            <w:pPr>
              <w:rPr>
                <w:b/>
                <w:bCs/>
                <w:szCs w:val="24"/>
              </w:rPr>
            </w:pPr>
            <w:r w:rsidRPr="0098047F">
              <w:rPr>
                <w:b/>
                <w:bCs/>
                <w:szCs w:val="24"/>
              </w:rPr>
              <w:t>parameter (mean)</w:t>
            </w:r>
          </w:p>
        </w:tc>
        <w:tc>
          <w:tcPr>
            <w:tcW w:w="3192" w:type="dxa"/>
          </w:tcPr>
          <w:p w14:paraId="17437039" w14:textId="77777777" w:rsidR="00031CC4" w:rsidRPr="0098047F" w:rsidRDefault="00DE564B" w:rsidP="00D5169F">
            <w:pPr>
              <w:rPr>
                <w:b/>
                <w:szCs w:val="24"/>
              </w:rPr>
            </w:pPr>
            <w:r w:rsidRPr="0098047F">
              <w:rPr>
                <w:szCs w:val="24"/>
              </w:rPr>
              <w:t>F</w:t>
            </w:r>
            <w:r w:rsidR="001A3E3E" w:rsidRPr="0098047F">
              <w:rPr>
                <w:szCs w:val="24"/>
              </w:rPr>
              <w:t>ENTORA</w:t>
            </w:r>
            <w:r w:rsidR="00031CC4" w:rsidRPr="0098047F">
              <w:rPr>
                <w:b/>
                <w:szCs w:val="24"/>
              </w:rPr>
              <w:t xml:space="preserve"> 400 micrograms</w:t>
            </w:r>
          </w:p>
          <w:p w14:paraId="11350AA9" w14:textId="77777777" w:rsidR="00031CC4" w:rsidRPr="0098047F" w:rsidRDefault="00031CC4" w:rsidP="00D5169F">
            <w:pPr>
              <w:ind w:right="72"/>
              <w:rPr>
                <w:szCs w:val="24"/>
              </w:rPr>
            </w:pPr>
          </w:p>
        </w:tc>
      </w:tr>
      <w:tr w:rsidR="00031CC4" w:rsidRPr="0098047F" w14:paraId="10D35116" w14:textId="77777777" w:rsidTr="00D5169F">
        <w:trPr>
          <w:jc w:val="center"/>
        </w:trPr>
        <w:tc>
          <w:tcPr>
            <w:tcW w:w="3259" w:type="dxa"/>
          </w:tcPr>
          <w:p w14:paraId="3CD2713B" w14:textId="77777777" w:rsidR="00031CC4" w:rsidRPr="0098047F" w:rsidRDefault="00031CC4" w:rsidP="00D5169F">
            <w:pPr>
              <w:rPr>
                <w:b/>
                <w:bCs/>
                <w:szCs w:val="24"/>
              </w:rPr>
            </w:pPr>
            <w:r w:rsidRPr="0098047F">
              <w:rPr>
                <w:b/>
                <w:bCs/>
                <w:szCs w:val="24"/>
              </w:rPr>
              <w:t>Absolute</w:t>
            </w:r>
          </w:p>
          <w:p w14:paraId="704EA791" w14:textId="77777777" w:rsidR="00031CC4" w:rsidRPr="0098047F" w:rsidRDefault="00031CC4" w:rsidP="00D5169F">
            <w:pPr>
              <w:rPr>
                <w:b/>
                <w:bCs/>
                <w:szCs w:val="24"/>
              </w:rPr>
            </w:pPr>
            <w:r w:rsidRPr="0098047F">
              <w:rPr>
                <w:b/>
                <w:bCs/>
                <w:szCs w:val="24"/>
              </w:rPr>
              <w:t>bioavailability</w:t>
            </w:r>
          </w:p>
          <w:p w14:paraId="147F5C4A" w14:textId="77777777" w:rsidR="00031CC4" w:rsidRPr="0098047F" w:rsidRDefault="00031CC4" w:rsidP="00D5169F">
            <w:pPr>
              <w:rPr>
                <w:b/>
                <w:bCs/>
                <w:szCs w:val="24"/>
              </w:rPr>
            </w:pPr>
          </w:p>
        </w:tc>
        <w:tc>
          <w:tcPr>
            <w:tcW w:w="3192" w:type="dxa"/>
          </w:tcPr>
          <w:p w14:paraId="75044B09" w14:textId="77777777" w:rsidR="00031CC4" w:rsidRPr="0098047F" w:rsidRDefault="00031CC4" w:rsidP="00D5169F">
            <w:pPr>
              <w:rPr>
                <w:b/>
                <w:szCs w:val="24"/>
              </w:rPr>
            </w:pPr>
            <w:r w:rsidRPr="0098047F">
              <w:rPr>
                <w:b/>
                <w:szCs w:val="24"/>
              </w:rPr>
              <w:t xml:space="preserve">65% </w:t>
            </w:r>
            <w:r w:rsidRPr="0098047F">
              <w:rPr>
                <w:szCs w:val="24"/>
              </w:rPr>
              <w:t>(</w:t>
            </w:r>
            <w:r w:rsidRPr="0098047F">
              <w:rPr>
                <w:b/>
                <w:szCs w:val="24"/>
              </w:rPr>
              <w:t>±</w:t>
            </w:r>
            <w:r w:rsidRPr="0098047F">
              <w:rPr>
                <w:szCs w:val="24"/>
              </w:rPr>
              <w:t>20%)</w:t>
            </w:r>
          </w:p>
          <w:p w14:paraId="40BF9566" w14:textId="77777777" w:rsidR="00031CC4" w:rsidRPr="0098047F" w:rsidRDefault="00031CC4" w:rsidP="00D5169F">
            <w:pPr>
              <w:ind w:right="72"/>
              <w:rPr>
                <w:szCs w:val="24"/>
              </w:rPr>
            </w:pPr>
          </w:p>
        </w:tc>
      </w:tr>
      <w:tr w:rsidR="00031CC4" w:rsidRPr="0098047F" w14:paraId="57DBD4CB" w14:textId="77777777" w:rsidTr="00D5169F">
        <w:trPr>
          <w:jc w:val="center"/>
        </w:trPr>
        <w:tc>
          <w:tcPr>
            <w:tcW w:w="3259" w:type="dxa"/>
          </w:tcPr>
          <w:p w14:paraId="15DA631B" w14:textId="77777777" w:rsidR="00031CC4" w:rsidRPr="0098047F" w:rsidRDefault="00031CC4" w:rsidP="00D5169F">
            <w:pPr>
              <w:rPr>
                <w:b/>
                <w:bCs/>
                <w:szCs w:val="24"/>
              </w:rPr>
            </w:pPr>
            <w:r w:rsidRPr="0098047F">
              <w:rPr>
                <w:b/>
                <w:bCs/>
                <w:szCs w:val="24"/>
              </w:rPr>
              <w:t>Fraction</w:t>
            </w:r>
          </w:p>
          <w:p w14:paraId="7618B96E" w14:textId="77777777" w:rsidR="00031CC4" w:rsidRPr="0098047F" w:rsidRDefault="00031CC4" w:rsidP="00D5169F">
            <w:pPr>
              <w:rPr>
                <w:b/>
                <w:bCs/>
                <w:szCs w:val="24"/>
              </w:rPr>
            </w:pPr>
            <w:r w:rsidRPr="0098047F">
              <w:rPr>
                <w:b/>
                <w:bCs/>
                <w:szCs w:val="24"/>
              </w:rPr>
              <w:t>absorbed transmucosally</w:t>
            </w:r>
          </w:p>
          <w:p w14:paraId="2D8E9AC3" w14:textId="77777777" w:rsidR="00031CC4" w:rsidRPr="0098047F" w:rsidRDefault="00031CC4" w:rsidP="00D5169F">
            <w:pPr>
              <w:rPr>
                <w:b/>
                <w:bCs/>
                <w:szCs w:val="24"/>
              </w:rPr>
            </w:pPr>
          </w:p>
        </w:tc>
        <w:tc>
          <w:tcPr>
            <w:tcW w:w="3192" w:type="dxa"/>
          </w:tcPr>
          <w:p w14:paraId="52D3F099" w14:textId="77777777" w:rsidR="00031CC4" w:rsidRPr="0098047F" w:rsidRDefault="00031CC4" w:rsidP="00D5169F">
            <w:pPr>
              <w:rPr>
                <w:b/>
                <w:szCs w:val="24"/>
              </w:rPr>
            </w:pPr>
            <w:r w:rsidRPr="0098047F">
              <w:rPr>
                <w:b/>
                <w:szCs w:val="24"/>
              </w:rPr>
              <w:t xml:space="preserve">48% </w:t>
            </w:r>
            <w:r w:rsidRPr="0098047F">
              <w:rPr>
                <w:szCs w:val="24"/>
              </w:rPr>
              <w:t>(</w:t>
            </w:r>
            <w:r w:rsidRPr="0098047F">
              <w:rPr>
                <w:b/>
                <w:szCs w:val="24"/>
              </w:rPr>
              <w:t>±</w:t>
            </w:r>
            <w:r w:rsidRPr="0098047F">
              <w:rPr>
                <w:szCs w:val="24"/>
              </w:rPr>
              <w:t>31.8%)</w:t>
            </w:r>
          </w:p>
          <w:p w14:paraId="27C1FB8B" w14:textId="77777777" w:rsidR="00031CC4" w:rsidRPr="0098047F" w:rsidRDefault="00031CC4" w:rsidP="00D5169F">
            <w:pPr>
              <w:rPr>
                <w:b/>
                <w:szCs w:val="24"/>
              </w:rPr>
            </w:pPr>
          </w:p>
        </w:tc>
      </w:tr>
      <w:tr w:rsidR="00031CC4" w:rsidRPr="0098047F" w14:paraId="335D3A4A" w14:textId="77777777" w:rsidTr="00D5169F">
        <w:trPr>
          <w:jc w:val="center"/>
        </w:trPr>
        <w:tc>
          <w:tcPr>
            <w:tcW w:w="3259" w:type="dxa"/>
          </w:tcPr>
          <w:p w14:paraId="277F4CA9" w14:textId="77777777" w:rsidR="00031CC4" w:rsidRPr="0098047F" w:rsidRDefault="00031CC4" w:rsidP="00D5169F">
            <w:pPr>
              <w:rPr>
                <w:b/>
                <w:bCs/>
                <w:szCs w:val="24"/>
              </w:rPr>
            </w:pPr>
            <w:r w:rsidRPr="0098047F">
              <w:rPr>
                <w:b/>
                <w:bCs/>
                <w:szCs w:val="24"/>
              </w:rPr>
              <w:t>T</w:t>
            </w:r>
            <w:r w:rsidRPr="0098047F">
              <w:rPr>
                <w:b/>
                <w:bCs/>
                <w:szCs w:val="24"/>
                <w:vertAlign w:val="subscript"/>
              </w:rPr>
              <w:t>max</w:t>
            </w:r>
            <w:r w:rsidRPr="0098047F">
              <w:rPr>
                <w:b/>
                <w:bCs/>
                <w:szCs w:val="24"/>
              </w:rPr>
              <w:t xml:space="preserve"> (minute) **</w:t>
            </w:r>
          </w:p>
          <w:p w14:paraId="59ACABDC" w14:textId="77777777" w:rsidR="00031CC4" w:rsidRPr="0098047F" w:rsidRDefault="00031CC4" w:rsidP="00D5169F">
            <w:pPr>
              <w:rPr>
                <w:b/>
                <w:bCs/>
                <w:szCs w:val="24"/>
              </w:rPr>
            </w:pPr>
          </w:p>
        </w:tc>
        <w:tc>
          <w:tcPr>
            <w:tcW w:w="3192" w:type="dxa"/>
          </w:tcPr>
          <w:p w14:paraId="504A072A" w14:textId="77777777" w:rsidR="00031CC4" w:rsidRPr="0098047F" w:rsidRDefault="00031CC4" w:rsidP="00D5169F">
            <w:pPr>
              <w:rPr>
                <w:b/>
                <w:szCs w:val="24"/>
              </w:rPr>
            </w:pPr>
            <w:r w:rsidRPr="0098047F">
              <w:rPr>
                <w:b/>
                <w:szCs w:val="24"/>
              </w:rPr>
              <w:t xml:space="preserve">46.8 </w:t>
            </w:r>
            <w:r w:rsidRPr="0098047F">
              <w:rPr>
                <w:szCs w:val="24"/>
              </w:rPr>
              <w:t>(20-240)</w:t>
            </w:r>
          </w:p>
          <w:p w14:paraId="4301B3D8" w14:textId="77777777" w:rsidR="00031CC4" w:rsidRPr="0098047F" w:rsidRDefault="00031CC4" w:rsidP="00D5169F">
            <w:pPr>
              <w:rPr>
                <w:b/>
                <w:szCs w:val="24"/>
              </w:rPr>
            </w:pPr>
          </w:p>
        </w:tc>
      </w:tr>
      <w:tr w:rsidR="00031CC4" w:rsidRPr="0098047F" w14:paraId="091EF249" w14:textId="77777777" w:rsidTr="00D5169F">
        <w:trPr>
          <w:jc w:val="center"/>
        </w:trPr>
        <w:tc>
          <w:tcPr>
            <w:tcW w:w="3259" w:type="dxa"/>
          </w:tcPr>
          <w:p w14:paraId="1A91F40A" w14:textId="77777777" w:rsidR="00031CC4" w:rsidRPr="0098047F" w:rsidRDefault="00031CC4" w:rsidP="00D5169F">
            <w:pPr>
              <w:rPr>
                <w:b/>
                <w:bCs/>
                <w:szCs w:val="24"/>
              </w:rPr>
            </w:pPr>
            <w:r w:rsidRPr="0098047F">
              <w:rPr>
                <w:b/>
                <w:bCs/>
                <w:szCs w:val="24"/>
              </w:rPr>
              <w:t>C</w:t>
            </w:r>
            <w:r w:rsidRPr="0098047F">
              <w:rPr>
                <w:b/>
                <w:bCs/>
                <w:szCs w:val="24"/>
                <w:vertAlign w:val="subscript"/>
              </w:rPr>
              <w:t xml:space="preserve">max </w:t>
            </w:r>
            <w:r w:rsidRPr="0098047F">
              <w:rPr>
                <w:b/>
                <w:bCs/>
                <w:szCs w:val="24"/>
              </w:rPr>
              <w:t>(ng/ml)</w:t>
            </w:r>
          </w:p>
          <w:p w14:paraId="6C4BDE39" w14:textId="77777777" w:rsidR="00031CC4" w:rsidRPr="0098047F" w:rsidRDefault="00031CC4" w:rsidP="00D5169F">
            <w:pPr>
              <w:rPr>
                <w:b/>
                <w:bCs/>
                <w:szCs w:val="24"/>
              </w:rPr>
            </w:pPr>
          </w:p>
        </w:tc>
        <w:tc>
          <w:tcPr>
            <w:tcW w:w="3192" w:type="dxa"/>
          </w:tcPr>
          <w:p w14:paraId="3599328F" w14:textId="77777777" w:rsidR="00031CC4" w:rsidRPr="0098047F" w:rsidRDefault="00031CC4" w:rsidP="00D5169F">
            <w:pPr>
              <w:rPr>
                <w:b/>
                <w:szCs w:val="24"/>
              </w:rPr>
            </w:pPr>
            <w:r w:rsidRPr="0098047F">
              <w:rPr>
                <w:b/>
                <w:szCs w:val="24"/>
              </w:rPr>
              <w:t xml:space="preserve">1.02 </w:t>
            </w:r>
            <w:r w:rsidRPr="0098047F">
              <w:rPr>
                <w:szCs w:val="24"/>
              </w:rPr>
              <w:t>(± 0.42)</w:t>
            </w:r>
          </w:p>
          <w:p w14:paraId="5135698C" w14:textId="77777777" w:rsidR="00031CC4" w:rsidRPr="0098047F" w:rsidRDefault="00031CC4" w:rsidP="00D5169F">
            <w:pPr>
              <w:rPr>
                <w:b/>
                <w:szCs w:val="24"/>
              </w:rPr>
            </w:pPr>
          </w:p>
        </w:tc>
      </w:tr>
      <w:tr w:rsidR="00031CC4" w:rsidRPr="0098047F" w14:paraId="3CF8D04E" w14:textId="77777777" w:rsidTr="00D5169F">
        <w:trPr>
          <w:jc w:val="center"/>
        </w:trPr>
        <w:tc>
          <w:tcPr>
            <w:tcW w:w="3259" w:type="dxa"/>
          </w:tcPr>
          <w:p w14:paraId="03418682" w14:textId="77777777" w:rsidR="00031CC4" w:rsidRPr="0098047F" w:rsidRDefault="00031CC4" w:rsidP="00D5169F">
            <w:pPr>
              <w:rPr>
                <w:b/>
                <w:bCs/>
                <w:szCs w:val="24"/>
              </w:rPr>
            </w:pPr>
            <w:r w:rsidRPr="0098047F">
              <w:rPr>
                <w:b/>
                <w:bCs/>
                <w:szCs w:val="24"/>
              </w:rPr>
              <w:t>AUC</w:t>
            </w:r>
            <w:r w:rsidRPr="0098047F">
              <w:rPr>
                <w:b/>
                <w:bCs/>
                <w:szCs w:val="24"/>
                <w:vertAlign w:val="subscript"/>
              </w:rPr>
              <w:t>0-tmax</w:t>
            </w:r>
            <w:r w:rsidRPr="0098047F">
              <w:rPr>
                <w:b/>
                <w:bCs/>
                <w:szCs w:val="24"/>
              </w:rPr>
              <w:t xml:space="preserve"> (ng.hr/ml)</w:t>
            </w:r>
          </w:p>
          <w:p w14:paraId="03D1CE3F" w14:textId="77777777" w:rsidR="00031CC4" w:rsidRPr="0098047F" w:rsidRDefault="00031CC4" w:rsidP="00D5169F">
            <w:pPr>
              <w:rPr>
                <w:b/>
                <w:bCs/>
                <w:szCs w:val="24"/>
              </w:rPr>
            </w:pPr>
          </w:p>
        </w:tc>
        <w:tc>
          <w:tcPr>
            <w:tcW w:w="3192" w:type="dxa"/>
          </w:tcPr>
          <w:p w14:paraId="22E1F007" w14:textId="77777777" w:rsidR="00031CC4" w:rsidRPr="0098047F" w:rsidRDefault="00031CC4" w:rsidP="00D5169F">
            <w:pPr>
              <w:rPr>
                <w:b/>
                <w:szCs w:val="24"/>
              </w:rPr>
            </w:pPr>
            <w:r w:rsidRPr="0098047F">
              <w:rPr>
                <w:b/>
                <w:szCs w:val="24"/>
              </w:rPr>
              <w:t xml:space="preserve">0.40 </w:t>
            </w:r>
            <w:r w:rsidRPr="0098047F">
              <w:rPr>
                <w:szCs w:val="24"/>
              </w:rPr>
              <w:t>(± 0.18)</w:t>
            </w:r>
          </w:p>
          <w:p w14:paraId="50C1FC4C" w14:textId="77777777" w:rsidR="00031CC4" w:rsidRPr="0098047F" w:rsidRDefault="00031CC4" w:rsidP="00D5169F">
            <w:pPr>
              <w:rPr>
                <w:b/>
                <w:szCs w:val="24"/>
              </w:rPr>
            </w:pPr>
          </w:p>
        </w:tc>
      </w:tr>
      <w:tr w:rsidR="00031CC4" w:rsidRPr="0098047F" w14:paraId="06A63E2C" w14:textId="77777777" w:rsidTr="00D5169F">
        <w:trPr>
          <w:jc w:val="center"/>
        </w:trPr>
        <w:tc>
          <w:tcPr>
            <w:tcW w:w="3259" w:type="dxa"/>
          </w:tcPr>
          <w:p w14:paraId="305C16A8" w14:textId="77777777" w:rsidR="00031CC4" w:rsidRPr="0098047F" w:rsidRDefault="00031CC4" w:rsidP="00D5169F">
            <w:pPr>
              <w:rPr>
                <w:b/>
                <w:bCs/>
                <w:szCs w:val="24"/>
                <w:vertAlign w:val="subscript"/>
                <w:lang w:val="de-DE"/>
              </w:rPr>
            </w:pPr>
            <w:r w:rsidRPr="0098047F">
              <w:rPr>
                <w:b/>
                <w:bCs/>
                <w:szCs w:val="24"/>
                <w:lang w:val="de-DE"/>
              </w:rPr>
              <w:t>AUC</w:t>
            </w:r>
            <w:r w:rsidRPr="0098047F">
              <w:rPr>
                <w:b/>
                <w:bCs/>
                <w:szCs w:val="24"/>
                <w:vertAlign w:val="subscript"/>
                <w:lang w:val="de-DE"/>
              </w:rPr>
              <w:t xml:space="preserve">0-inf </w:t>
            </w:r>
            <w:r w:rsidRPr="0098047F">
              <w:rPr>
                <w:b/>
                <w:bCs/>
                <w:szCs w:val="24"/>
                <w:lang w:val="de-DE"/>
              </w:rPr>
              <w:t>(ng.hr/ml)</w:t>
            </w:r>
          </w:p>
          <w:p w14:paraId="57DDE819" w14:textId="77777777" w:rsidR="00031CC4" w:rsidRPr="0098047F" w:rsidRDefault="00031CC4" w:rsidP="00D5169F">
            <w:pPr>
              <w:rPr>
                <w:b/>
                <w:bCs/>
                <w:szCs w:val="24"/>
                <w:lang w:val="de-DE"/>
              </w:rPr>
            </w:pPr>
          </w:p>
        </w:tc>
        <w:tc>
          <w:tcPr>
            <w:tcW w:w="3192" w:type="dxa"/>
          </w:tcPr>
          <w:p w14:paraId="771DE257" w14:textId="77777777" w:rsidR="00031CC4" w:rsidRPr="0098047F" w:rsidRDefault="00031CC4" w:rsidP="00D5169F">
            <w:pPr>
              <w:rPr>
                <w:b/>
                <w:szCs w:val="24"/>
              </w:rPr>
            </w:pPr>
            <w:r w:rsidRPr="0098047F">
              <w:rPr>
                <w:b/>
                <w:szCs w:val="24"/>
              </w:rPr>
              <w:t xml:space="preserve">6.48 </w:t>
            </w:r>
            <w:r w:rsidRPr="0098047F">
              <w:rPr>
                <w:szCs w:val="24"/>
              </w:rPr>
              <w:t>(± 2.98)</w:t>
            </w:r>
          </w:p>
          <w:p w14:paraId="50812CF3" w14:textId="77777777" w:rsidR="00031CC4" w:rsidRPr="0098047F" w:rsidRDefault="00031CC4" w:rsidP="00D5169F">
            <w:pPr>
              <w:rPr>
                <w:b/>
                <w:szCs w:val="24"/>
              </w:rPr>
            </w:pPr>
          </w:p>
        </w:tc>
      </w:tr>
    </w:tbl>
    <w:p w14:paraId="32ABD3EF" w14:textId="77777777" w:rsidR="00031CC4" w:rsidRPr="0098047F" w:rsidRDefault="00031CC4" w:rsidP="00031CC4">
      <w:pPr>
        <w:rPr>
          <w:szCs w:val="24"/>
        </w:rPr>
      </w:pPr>
      <w:r w:rsidRPr="0098047F">
        <w:rPr>
          <w:szCs w:val="24"/>
        </w:rPr>
        <w:t xml:space="preserve">*    Based on venous blood samples (plasma). Fentanyl citrate concentrations obtained in serum were higher than in plasma: Serum AUC and Cmax were approximately 20% and 30% higher than plasma AUC and Cmax, respectively. The reason of this difference is unknown. </w:t>
      </w:r>
    </w:p>
    <w:p w14:paraId="04EE4946" w14:textId="77777777" w:rsidR="00031CC4" w:rsidRPr="0098047F" w:rsidRDefault="00031CC4" w:rsidP="00031CC4">
      <w:pPr>
        <w:rPr>
          <w:szCs w:val="24"/>
        </w:rPr>
      </w:pPr>
      <w:r w:rsidRPr="0098047F">
        <w:rPr>
          <w:szCs w:val="24"/>
        </w:rPr>
        <w:t>** Data for T</w:t>
      </w:r>
      <w:r w:rsidRPr="0098047F">
        <w:rPr>
          <w:szCs w:val="24"/>
          <w:vertAlign w:val="subscript"/>
        </w:rPr>
        <w:t>max</w:t>
      </w:r>
      <w:r w:rsidRPr="0098047F">
        <w:rPr>
          <w:szCs w:val="24"/>
        </w:rPr>
        <w:t xml:space="preserve"> presented as median (range).</w:t>
      </w:r>
    </w:p>
    <w:p w14:paraId="447DC6EA" w14:textId="77777777" w:rsidR="00031CC4" w:rsidRPr="0098047F" w:rsidRDefault="00031CC4" w:rsidP="00031CC4">
      <w:pPr>
        <w:rPr>
          <w:szCs w:val="24"/>
        </w:rPr>
      </w:pPr>
    </w:p>
    <w:p w14:paraId="2844D999" w14:textId="77777777" w:rsidR="00031CC4" w:rsidRPr="0098047F" w:rsidRDefault="00031CC4" w:rsidP="00031CC4">
      <w:pPr>
        <w:rPr>
          <w:iCs/>
          <w:szCs w:val="24"/>
        </w:rPr>
      </w:pPr>
      <w:r w:rsidRPr="0098047F">
        <w:rPr>
          <w:iCs/>
          <w:szCs w:val="24"/>
        </w:rPr>
        <w:t xml:space="preserve">In pharmacokinetic studies that compared the absolute and relative bioavailability of </w:t>
      </w:r>
      <w:r w:rsidR="00DE564B" w:rsidRPr="0098047F">
        <w:rPr>
          <w:iCs/>
          <w:szCs w:val="24"/>
        </w:rPr>
        <w:t>F</w:t>
      </w:r>
      <w:r w:rsidR="001A3E3E" w:rsidRPr="0098047F">
        <w:rPr>
          <w:iCs/>
          <w:szCs w:val="24"/>
        </w:rPr>
        <w:t>ENTORA</w:t>
      </w:r>
      <w:r w:rsidRPr="0098047F">
        <w:rPr>
          <w:iCs/>
          <w:szCs w:val="24"/>
        </w:rPr>
        <w:t xml:space="preserve"> and oral transmucosal fentanyl citrate (OTFC), the rate and extent of fentanyl absorption in </w:t>
      </w:r>
      <w:r w:rsidR="00DE564B" w:rsidRPr="0098047F">
        <w:rPr>
          <w:iCs/>
          <w:szCs w:val="24"/>
        </w:rPr>
        <w:t>F</w:t>
      </w:r>
      <w:r w:rsidR="001A3E3E" w:rsidRPr="0098047F">
        <w:rPr>
          <w:iCs/>
          <w:szCs w:val="24"/>
        </w:rPr>
        <w:t>ENTORA</w:t>
      </w:r>
      <w:r w:rsidRPr="0098047F">
        <w:rPr>
          <w:iCs/>
          <w:szCs w:val="24"/>
        </w:rPr>
        <w:t xml:space="preserve"> demonstrated exposure that was between 30% to 50% greater than that for oral transmucosal fentanyl citrate.  </w:t>
      </w:r>
      <w:r w:rsidRPr="0098047F">
        <w:rPr>
          <w:szCs w:val="24"/>
        </w:rPr>
        <w:t xml:space="preserve">If switching from another oral fentanyl citrate product, independent dose titration with </w:t>
      </w:r>
      <w:r w:rsidR="00DE564B" w:rsidRPr="0098047F">
        <w:rPr>
          <w:szCs w:val="24"/>
        </w:rPr>
        <w:t>F</w:t>
      </w:r>
      <w:r w:rsidR="001A3E3E" w:rsidRPr="0098047F">
        <w:rPr>
          <w:szCs w:val="24"/>
        </w:rPr>
        <w:t>ENTORA</w:t>
      </w:r>
      <w:r w:rsidRPr="0098047F">
        <w:rPr>
          <w:szCs w:val="24"/>
        </w:rPr>
        <w:t xml:space="preserve"> is required as bioavailability between products differs significantly. However, in these patients, a starting dose higher than 100 micrograms may be considered.</w:t>
      </w:r>
    </w:p>
    <w:p w14:paraId="745C8D35" w14:textId="77777777" w:rsidR="00031CC4" w:rsidRPr="0098047F" w:rsidRDefault="00031CC4" w:rsidP="00031CC4">
      <w:pPr>
        <w:rPr>
          <w:iCs/>
          <w:szCs w:val="24"/>
        </w:rPr>
      </w:pPr>
    </w:p>
    <w:p w14:paraId="1DA22729" w14:textId="77777777" w:rsidR="00031CC4" w:rsidRPr="0098047F" w:rsidRDefault="00031CC4" w:rsidP="00031CC4">
      <w:pPr>
        <w:rPr>
          <w:szCs w:val="24"/>
        </w:rPr>
      </w:pPr>
    </w:p>
    <w:p w14:paraId="70C521F0" w14:textId="77777777" w:rsidR="00031CC4" w:rsidRPr="0098047F" w:rsidRDefault="00031CC4" w:rsidP="00031CC4">
      <w:pPr>
        <w:rPr>
          <w:szCs w:val="24"/>
        </w:rPr>
      </w:pPr>
    </w:p>
    <w:p w14:paraId="55B3F06B" w14:textId="77777777" w:rsidR="002C7510" w:rsidRPr="0098047F" w:rsidRDefault="002C7510" w:rsidP="00031CC4">
      <w:pPr>
        <w:rPr>
          <w:iCs/>
          <w:szCs w:val="24"/>
        </w:rPr>
      </w:pPr>
    </w:p>
    <w:p w14:paraId="731B1900" w14:textId="77777777" w:rsidR="002C7510" w:rsidRPr="0098047F" w:rsidRDefault="002C7510" w:rsidP="00031CC4">
      <w:pPr>
        <w:rPr>
          <w:iCs/>
          <w:szCs w:val="24"/>
        </w:rPr>
      </w:pPr>
    </w:p>
    <w:p w14:paraId="719B16EC" w14:textId="77777777" w:rsidR="00651C9D" w:rsidRDefault="00651C9D" w:rsidP="00031CC4">
      <w:pPr>
        <w:rPr>
          <w:iCs/>
          <w:szCs w:val="24"/>
        </w:rPr>
      </w:pPr>
    </w:p>
    <w:p w14:paraId="65CB5ABC" w14:textId="77777777" w:rsidR="009626FA" w:rsidRDefault="009626FA" w:rsidP="00031CC4">
      <w:pPr>
        <w:rPr>
          <w:iCs/>
          <w:szCs w:val="24"/>
        </w:rPr>
      </w:pPr>
    </w:p>
    <w:p w14:paraId="4564DA01" w14:textId="77777777" w:rsidR="009626FA" w:rsidRDefault="009626FA" w:rsidP="00031CC4">
      <w:pPr>
        <w:rPr>
          <w:iCs/>
          <w:szCs w:val="24"/>
        </w:rPr>
      </w:pPr>
    </w:p>
    <w:p w14:paraId="490C2DEE" w14:textId="77777777" w:rsidR="0070365C" w:rsidRDefault="00E16648" w:rsidP="00031CC4">
      <w:pPr>
        <w:rPr>
          <w:iCs/>
          <w:szCs w:val="24"/>
        </w:rPr>
      </w:pPr>
      <w:r>
        <w:rPr>
          <w:iCs/>
          <w:szCs w:val="24"/>
        </w:rPr>
        <w:lastRenderedPageBreak/>
        <w:pict w14:anchorId="43AAC062">
          <v:shape id="_x0000_i1026" type="#_x0000_t75" style="width:467.7pt;height:381.4pt">
            <v:imagedata r:id="rId10" o:title=""/>
          </v:shape>
        </w:pict>
      </w:r>
    </w:p>
    <w:p w14:paraId="734AEDEE" w14:textId="77777777" w:rsidR="00031CC4" w:rsidRPr="0098047F" w:rsidRDefault="00031CC4" w:rsidP="00031CC4">
      <w:pPr>
        <w:rPr>
          <w:iCs/>
          <w:szCs w:val="24"/>
        </w:rPr>
      </w:pPr>
      <w:r w:rsidRPr="0098047F">
        <w:rPr>
          <w:iCs/>
          <w:szCs w:val="24"/>
        </w:rPr>
        <w:t xml:space="preserve">Differences in exposure with </w:t>
      </w:r>
      <w:r w:rsidR="00DE564B" w:rsidRPr="0098047F">
        <w:rPr>
          <w:iCs/>
          <w:szCs w:val="24"/>
        </w:rPr>
        <w:t>F</w:t>
      </w:r>
      <w:r w:rsidR="001A3E3E" w:rsidRPr="0098047F">
        <w:rPr>
          <w:iCs/>
          <w:szCs w:val="24"/>
        </w:rPr>
        <w:t>ENTORA</w:t>
      </w:r>
      <w:r w:rsidRPr="0098047F">
        <w:rPr>
          <w:iCs/>
          <w:szCs w:val="24"/>
        </w:rPr>
        <w:t xml:space="preserve"> were observed in a clinical study with patients with grade 1 mucositis. C</w:t>
      </w:r>
      <w:r w:rsidRPr="0098047F">
        <w:rPr>
          <w:iCs/>
          <w:szCs w:val="24"/>
          <w:vertAlign w:val="subscript"/>
        </w:rPr>
        <w:t>max</w:t>
      </w:r>
      <w:r w:rsidRPr="0098047F">
        <w:rPr>
          <w:iCs/>
          <w:szCs w:val="24"/>
        </w:rPr>
        <w:t xml:space="preserve"> and AUC</w:t>
      </w:r>
      <w:r w:rsidRPr="0098047F">
        <w:rPr>
          <w:iCs/>
          <w:szCs w:val="24"/>
          <w:vertAlign w:val="subscript"/>
        </w:rPr>
        <w:t>0-8</w:t>
      </w:r>
      <w:r w:rsidRPr="0098047F">
        <w:rPr>
          <w:iCs/>
          <w:szCs w:val="24"/>
        </w:rPr>
        <w:t xml:space="preserve"> were 1% and 25% higher in patients with mucositis compared to those without mucositis, respectively. The differences observed were not </w:t>
      </w:r>
      <w:r w:rsidR="00D52372">
        <w:rPr>
          <w:iCs/>
          <w:szCs w:val="24"/>
        </w:rPr>
        <w:t xml:space="preserve">statistically or </w:t>
      </w:r>
      <w:r w:rsidRPr="0098047F">
        <w:rPr>
          <w:iCs/>
          <w:szCs w:val="24"/>
        </w:rPr>
        <w:t>clinically significant.</w:t>
      </w:r>
    </w:p>
    <w:p w14:paraId="1C96C7F0" w14:textId="77777777" w:rsidR="00365280" w:rsidRPr="0098047F" w:rsidRDefault="00365280" w:rsidP="00031CC4">
      <w:pPr>
        <w:tabs>
          <w:tab w:val="left" w:pos="1845"/>
        </w:tabs>
        <w:rPr>
          <w:szCs w:val="24"/>
        </w:rPr>
      </w:pPr>
    </w:p>
    <w:p w14:paraId="5F80FB0E" w14:textId="77777777" w:rsidR="00365280" w:rsidRPr="0098047F" w:rsidRDefault="00365280" w:rsidP="00031CC4">
      <w:pPr>
        <w:tabs>
          <w:tab w:val="left" w:pos="1845"/>
        </w:tabs>
        <w:rPr>
          <w:b/>
          <w:szCs w:val="24"/>
        </w:rPr>
      </w:pPr>
      <w:r w:rsidRPr="0098047F">
        <w:rPr>
          <w:b/>
          <w:szCs w:val="24"/>
        </w:rPr>
        <w:t>Dose proportionality from 100 micrograms to 1000 micrograms of F</w:t>
      </w:r>
      <w:r w:rsidR="001A3E3E" w:rsidRPr="0098047F">
        <w:rPr>
          <w:b/>
          <w:szCs w:val="24"/>
        </w:rPr>
        <w:t>ENTORA</w:t>
      </w:r>
      <w:r w:rsidRPr="0098047F">
        <w:rPr>
          <w:b/>
          <w:szCs w:val="24"/>
        </w:rPr>
        <w:t xml:space="preserve"> has been demonstrated.</w:t>
      </w:r>
    </w:p>
    <w:p w14:paraId="722C431E" w14:textId="77777777" w:rsidR="00365280" w:rsidRPr="0098047F" w:rsidRDefault="00365280" w:rsidP="00031CC4">
      <w:pPr>
        <w:tabs>
          <w:tab w:val="left" w:pos="1845"/>
        </w:tabs>
        <w:rPr>
          <w:szCs w:val="24"/>
        </w:rPr>
      </w:pPr>
    </w:p>
    <w:p w14:paraId="2717B97B" w14:textId="77777777" w:rsidR="00031CC4" w:rsidRPr="0098047F" w:rsidRDefault="00031CC4" w:rsidP="00031CC4">
      <w:pPr>
        <w:rPr>
          <w:i/>
          <w:szCs w:val="24"/>
          <w:u w:val="single"/>
        </w:rPr>
      </w:pPr>
      <w:r w:rsidRPr="0098047F">
        <w:rPr>
          <w:i/>
          <w:szCs w:val="24"/>
          <w:u w:val="single"/>
        </w:rPr>
        <w:t>Distribution</w:t>
      </w:r>
    </w:p>
    <w:p w14:paraId="54336698" w14:textId="77777777" w:rsidR="00031CC4" w:rsidRPr="0098047F" w:rsidRDefault="00031CC4" w:rsidP="00031CC4">
      <w:pPr>
        <w:rPr>
          <w:iCs/>
          <w:szCs w:val="24"/>
        </w:rPr>
      </w:pPr>
      <w:r w:rsidRPr="0098047F">
        <w:rPr>
          <w:iCs/>
          <w:szCs w:val="24"/>
        </w:rPr>
        <w:t xml:space="preserve">Fentanyl is highly lipophilic and is well distributed beyond the vascular system, with a large apparent volume of distribution. After buccal administration of </w:t>
      </w:r>
      <w:r w:rsidR="00343455" w:rsidRPr="0098047F">
        <w:rPr>
          <w:iCs/>
          <w:szCs w:val="24"/>
        </w:rPr>
        <w:t>F</w:t>
      </w:r>
      <w:r w:rsidR="001A3E3E" w:rsidRPr="0098047F">
        <w:rPr>
          <w:iCs/>
          <w:szCs w:val="24"/>
        </w:rPr>
        <w:t>ENTORA</w:t>
      </w:r>
      <w:r w:rsidRPr="0098047F">
        <w:rPr>
          <w:iCs/>
          <w:szCs w:val="24"/>
        </w:rPr>
        <w:t>, fentanyl undergoes initial rapid distribution that represents an equilibration of fentanyl between plasma and the highly perfused tissues (brain, heart and lungs).  Subsequently, fentanyl is redistributed between the deep tissue compartment (muscle and fat) and the plasma.</w:t>
      </w:r>
    </w:p>
    <w:p w14:paraId="52F3B6ED" w14:textId="77777777" w:rsidR="00031CC4" w:rsidRPr="0098047F" w:rsidRDefault="00031CC4" w:rsidP="00031CC4">
      <w:pPr>
        <w:rPr>
          <w:iCs/>
          <w:szCs w:val="24"/>
        </w:rPr>
      </w:pPr>
    </w:p>
    <w:p w14:paraId="6ABD768A" w14:textId="77777777" w:rsidR="00031CC4" w:rsidRPr="0098047F" w:rsidRDefault="00031CC4" w:rsidP="00031CC4">
      <w:pPr>
        <w:rPr>
          <w:iCs/>
          <w:szCs w:val="24"/>
        </w:rPr>
      </w:pPr>
      <w:r w:rsidRPr="0098047F">
        <w:rPr>
          <w:iCs/>
          <w:szCs w:val="24"/>
        </w:rPr>
        <w:t>The plasma protein binding of fentanyl is 80% to 85%.  The main binding protein is alpha</w:t>
      </w:r>
      <w:r w:rsidRPr="0098047F">
        <w:rPr>
          <w:iCs/>
          <w:szCs w:val="24"/>
        </w:rPr>
        <w:noBreakHyphen/>
        <w:t>1-acid glycoprotein, but both albumin and lipoproteins contribute to some extent.  The free fraction of fentanyl increases with acidosis.</w:t>
      </w:r>
    </w:p>
    <w:p w14:paraId="0179812D" w14:textId="77777777" w:rsidR="00031CC4" w:rsidRPr="0098047F" w:rsidRDefault="00031CC4" w:rsidP="00031CC4">
      <w:pPr>
        <w:rPr>
          <w:szCs w:val="24"/>
        </w:rPr>
      </w:pPr>
    </w:p>
    <w:p w14:paraId="2D5D442F" w14:textId="77777777" w:rsidR="00031CC4" w:rsidRPr="0098047F" w:rsidRDefault="00B97BFC" w:rsidP="00031CC4">
      <w:pPr>
        <w:keepNext/>
        <w:keepLines/>
        <w:rPr>
          <w:i/>
          <w:szCs w:val="24"/>
          <w:u w:val="single"/>
        </w:rPr>
      </w:pPr>
      <w:r w:rsidRPr="0098047F">
        <w:rPr>
          <w:i/>
          <w:szCs w:val="24"/>
          <w:u w:val="single"/>
        </w:rPr>
        <w:lastRenderedPageBreak/>
        <w:t>Metabolism</w:t>
      </w:r>
    </w:p>
    <w:p w14:paraId="6E0D98B0" w14:textId="77777777" w:rsidR="00031CC4" w:rsidRPr="0098047F" w:rsidRDefault="00031CC4" w:rsidP="00031CC4">
      <w:pPr>
        <w:keepNext/>
        <w:keepLines/>
        <w:rPr>
          <w:szCs w:val="24"/>
        </w:rPr>
      </w:pPr>
      <w:r w:rsidRPr="0098047F">
        <w:rPr>
          <w:iCs/>
          <w:szCs w:val="24"/>
        </w:rPr>
        <w:t xml:space="preserve">The metabolic pathways following buccal administration of </w:t>
      </w:r>
      <w:r w:rsidR="00DE564B" w:rsidRPr="0098047F">
        <w:rPr>
          <w:iCs/>
          <w:szCs w:val="24"/>
        </w:rPr>
        <w:t>F</w:t>
      </w:r>
      <w:r w:rsidR="001A3E3E" w:rsidRPr="0098047F">
        <w:rPr>
          <w:iCs/>
          <w:szCs w:val="24"/>
        </w:rPr>
        <w:t>ENTORA</w:t>
      </w:r>
      <w:r w:rsidRPr="0098047F">
        <w:rPr>
          <w:szCs w:val="24"/>
        </w:rPr>
        <w:t xml:space="preserve"> </w:t>
      </w:r>
      <w:r w:rsidRPr="0098047F">
        <w:rPr>
          <w:iCs/>
          <w:szCs w:val="24"/>
        </w:rPr>
        <w:t xml:space="preserve">have not been characterised in clinical studies. </w:t>
      </w:r>
      <w:r w:rsidRPr="0098047F">
        <w:rPr>
          <w:szCs w:val="24"/>
        </w:rPr>
        <w:t>Fentanyl is metabolised in the liver and in the intestinal mucosa to norfentanyl by CYP3A4 isoform. Norfentanyl is not pharmacologically active in animal studies. More than 90% of the administered dose of fentanyl is eliminated by biotransformation to N-dealkylated and hydroxylated inactive metabolites.</w:t>
      </w:r>
    </w:p>
    <w:p w14:paraId="1AA78692" w14:textId="77777777" w:rsidR="00031CC4" w:rsidRPr="0098047F" w:rsidRDefault="00031CC4" w:rsidP="00031CC4">
      <w:pPr>
        <w:rPr>
          <w:szCs w:val="24"/>
        </w:rPr>
      </w:pPr>
    </w:p>
    <w:p w14:paraId="27E25D31" w14:textId="77777777" w:rsidR="00031CC4" w:rsidRPr="0098047F" w:rsidRDefault="00031CC4" w:rsidP="00031CC4">
      <w:pPr>
        <w:rPr>
          <w:i/>
          <w:szCs w:val="24"/>
          <w:u w:val="single"/>
        </w:rPr>
      </w:pPr>
      <w:r w:rsidRPr="0098047F">
        <w:rPr>
          <w:i/>
          <w:szCs w:val="24"/>
          <w:u w:val="single"/>
        </w:rPr>
        <w:t>Elimination</w:t>
      </w:r>
    </w:p>
    <w:p w14:paraId="321DE596" w14:textId="77777777" w:rsidR="00031CC4" w:rsidRPr="0098047F" w:rsidRDefault="00031CC4" w:rsidP="00031CC4">
      <w:pPr>
        <w:rPr>
          <w:iCs/>
          <w:szCs w:val="24"/>
        </w:rPr>
      </w:pPr>
      <w:r w:rsidRPr="0098047F">
        <w:rPr>
          <w:iCs/>
          <w:szCs w:val="24"/>
        </w:rPr>
        <w:t>Following the intravenous administration of fentanyl, less than 7% of the administered dose is excreted unchanged in the urine, and only about 1% is excreted unchanged in the faeces. The metabolites are mainly excreted in the urine, while faecal excretion is less important.</w:t>
      </w:r>
    </w:p>
    <w:p w14:paraId="3FFD7B97" w14:textId="77777777" w:rsidR="00031CC4" w:rsidRPr="0098047F" w:rsidRDefault="00031CC4" w:rsidP="00031CC4">
      <w:pPr>
        <w:rPr>
          <w:iCs/>
          <w:szCs w:val="24"/>
        </w:rPr>
      </w:pPr>
    </w:p>
    <w:p w14:paraId="7A7B305C" w14:textId="77777777" w:rsidR="00031CC4" w:rsidRPr="0098047F" w:rsidRDefault="00031CC4" w:rsidP="00031CC4">
      <w:pPr>
        <w:rPr>
          <w:iCs/>
          <w:szCs w:val="24"/>
        </w:rPr>
      </w:pPr>
      <w:r w:rsidRPr="0098047F">
        <w:rPr>
          <w:szCs w:val="24"/>
        </w:rPr>
        <w:t>F</w:t>
      </w:r>
      <w:r w:rsidR="00DE564B" w:rsidRPr="0098047F">
        <w:rPr>
          <w:szCs w:val="24"/>
        </w:rPr>
        <w:t>ollowing the administration of F</w:t>
      </w:r>
      <w:r w:rsidR="0098047F">
        <w:rPr>
          <w:szCs w:val="24"/>
        </w:rPr>
        <w:t>ENTORA</w:t>
      </w:r>
      <w:r w:rsidRPr="0098047F">
        <w:rPr>
          <w:szCs w:val="24"/>
        </w:rPr>
        <w:t>, the t</w:t>
      </w:r>
      <w:r w:rsidRPr="0098047F">
        <w:rPr>
          <w:bCs/>
          <w:szCs w:val="24"/>
        </w:rPr>
        <w:t xml:space="preserve">erminal elimination phase of </w:t>
      </w:r>
      <w:r w:rsidRPr="0098047F">
        <w:rPr>
          <w:szCs w:val="24"/>
        </w:rPr>
        <w:t xml:space="preserve">fentanyl </w:t>
      </w:r>
      <w:r w:rsidRPr="0098047F">
        <w:rPr>
          <w:bCs/>
          <w:szCs w:val="24"/>
        </w:rPr>
        <w:t>is the result of the</w:t>
      </w:r>
      <w:r w:rsidRPr="0098047F">
        <w:rPr>
          <w:szCs w:val="24"/>
        </w:rPr>
        <w:t xml:space="preserve"> redistribution between plasma and </w:t>
      </w:r>
      <w:r w:rsidRPr="0098047F">
        <w:rPr>
          <w:bCs/>
          <w:szCs w:val="24"/>
        </w:rPr>
        <w:t xml:space="preserve">a </w:t>
      </w:r>
      <w:r w:rsidRPr="0098047F">
        <w:rPr>
          <w:szCs w:val="24"/>
          <w:lang w:eastAsia="ja-JP"/>
        </w:rPr>
        <w:t>deep tissue compartment.</w:t>
      </w:r>
      <w:r w:rsidRPr="0098047F">
        <w:rPr>
          <w:iCs/>
          <w:szCs w:val="24"/>
        </w:rPr>
        <w:t xml:space="preserve"> This phase of elimination is slow, resulting in a median terminal elimination half-life t</w:t>
      </w:r>
      <w:r w:rsidRPr="0098047F">
        <w:rPr>
          <w:iCs/>
          <w:szCs w:val="24"/>
          <w:vertAlign w:val="subscript"/>
        </w:rPr>
        <w:t>1/2</w:t>
      </w:r>
      <w:r w:rsidRPr="0098047F">
        <w:rPr>
          <w:iCs/>
          <w:szCs w:val="24"/>
        </w:rPr>
        <w:t xml:space="preserve"> of approximately 22 hours following buccal administration of the effervescent formulation and approximately 18 hours following intravenous administration. The total plasma clearance of fentanyl following intravenous administration is approximately 42 L/h.</w:t>
      </w:r>
    </w:p>
    <w:p w14:paraId="62FB37D3" w14:textId="77777777" w:rsidR="0029051D" w:rsidRPr="0098047F" w:rsidRDefault="0029051D">
      <w:pPr>
        <w:rPr>
          <w:b/>
          <w:szCs w:val="24"/>
        </w:rPr>
      </w:pPr>
    </w:p>
    <w:p w14:paraId="5A9983F9" w14:textId="77777777" w:rsidR="0029051D" w:rsidRPr="0098047F" w:rsidRDefault="0029051D">
      <w:pPr>
        <w:rPr>
          <w:b/>
          <w:szCs w:val="24"/>
        </w:rPr>
      </w:pPr>
    </w:p>
    <w:p w14:paraId="4E68DDFE" w14:textId="77777777" w:rsidR="0029051D" w:rsidRPr="0098047F" w:rsidRDefault="0029051D">
      <w:pPr>
        <w:rPr>
          <w:b/>
          <w:szCs w:val="24"/>
        </w:rPr>
      </w:pPr>
      <w:r w:rsidRPr="0098047F">
        <w:rPr>
          <w:b/>
          <w:szCs w:val="24"/>
        </w:rPr>
        <w:t>CLINICAL TRIALS</w:t>
      </w:r>
    </w:p>
    <w:p w14:paraId="281940C0" w14:textId="77777777" w:rsidR="0029051D" w:rsidRPr="0098047F" w:rsidRDefault="0029051D">
      <w:pPr>
        <w:rPr>
          <w:b/>
          <w:color w:val="FF0000"/>
          <w:szCs w:val="24"/>
        </w:rPr>
      </w:pPr>
    </w:p>
    <w:p w14:paraId="6923561B" w14:textId="77777777" w:rsidR="00695DF2" w:rsidRDefault="006906BB" w:rsidP="00695DF2">
      <w:pPr>
        <w:rPr>
          <w:szCs w:val="24"/>
        </w:rPr>
      </w:pPr>
      <w:r w:rsidRPr="0098047F">
        <w:rPr>
          <w:szCs w:val="24"/>
        </w:rPr>
        <w:t xml:space="preserve">The safety and efficacy of </w:t>
      </w:r>
      <w:r w:rsidR="00DE564B" w:rsidRPr="0098047F">
        <w:rPr>
          <w:szCs w:val="24"/>
        </w:rPr>
        <w:t>F</w:t>
      </w:r>
      <w:r w:rsidR="001A3E3E" w:rsidRPr="0098047F">
        <w:rPr>
          <w:szCs w:val="24"/>
        </w:rPr>
        <w:t>ENTORA</w:t>
      </w:r>
      <w:r w:rsidRPr="0098047F">
        <w:rPr>
          <w:szCs w:val="24"/>
        </w:rPr>
        <w:t xml:space="preserve"> have been evaluated in patients taking the drug at the onset of the breakthrough pain episode. </w:t>
      </w:r>
      <w:r w:rsidR="00F131DD" w:rsidRPr="0098047F">
        <w:rPr>
          <w:szCs w:val="24"/>
        </w:rPr>
        <w:t>BTP is a transitory exacerbation of pain that occurs on a background of otherwise controlled persistent pain</w:t>
      </w:r>
      <w:r w:rsidR="00F131DD">
        <w:rPr>
          <w:szCs w:val="24"/>
        </w:rPr>
        <w:t xml:space="preserve">.  </w:t>
      </w:r>
      <w:r w:rsidRPr="0098047F">
        <w:rPr>
          <w:szCs w:val="24"/>
        </w:rPr>
        <w:t xml:space="preserve">Pre-emptive use of </w:t>
      </w:r>
      <w:r w:rsidR="00DE564B" w:rsidRPr="0098047F">
        <w:rPr>
          <w:szCs w:val="24"/>
        </w:rPr>
        <w:t>F</w:t>
      </w:r>
      <w:r w:rsidR="001A3E3E" w:rsidRPr="0098047F">
        <w:rPr>
          <w:szCs w:val="24"/>
        </w:rPr>
        <w:t>ENTORA</w:t>
      </w:r>
      <w:r w:rsidRPr="0098047F">
        <w:rPr>
          <w:szCs w:val="24"/>
        </w:rPr>
        <w:t xml:space="preserve"> for predictable pain episodes was not investigated in the clinical trials. </w:t>
      </w:r>
    </w:p>
    <w:p w14:paraId="4523882F" w14:textId="77777777" w:rsidR="00695DF2" w:rsidRDefault="00695DF2" w:rsidP="00695DF2">
      <w:pPr>
        <w:rPr>
          <w:szCs w:val="24"/>
        </w:rPr>
      </w:pPr>
    </w:p>
    <w:p w14:paraId="327FBA85" w14:textId="0BAB4931" w:rsidR="00695DF2" w:rsidRDefault="006906BB" w:rsidP="00695DF2">
      <w:pPr>
        <w:rPr>
          <w:szCs w:val="24"/>
        </w:rPr>
      </w:pPr>
      <w:r w:rsidRPr="0098047F">
        <w:rPr>
          <w:szCs w:val="24"/>
        </w:rPr>
        <w:t xml:space="preserve">Two double-blind, randomized, placebo-controlled crossover studies have been conducted involving a total of 248 patients with BTP and cancer who experienced on average 1 to 4 episodes of BTP per day while taking maintenance opioid therapy. </w:t>
      </w:r>
      <w:r w:rsidR="00695DF2" w:rsidRPr="0098047F">
        <w:rPr>
          <w:szCs w:val="24"/>
        </w:rPr>
        <w:t>Patients receiving maintenance opioid therapy are those who are taking at least 60 mg of oral morphine daily, at least 25 micrograms of transdermal fentanyl per hour, at least 30 mg of oxycodone daily, at least 8 mg of oral hydromorphone daily or an equianalgesic dose of another opioid for a week or longer.</w:t>
      </w:r>
    </w:p>
    <w:p w14:paraId="7F2C536E" w14:textId="77777777" w:rsidR="00695DF2" w:rsidRPr="0098047F" w:rsidRDefault="00695DF2" w:rsidP="00695DF2">
      <w:pPr>
        <w:rPr>
          <w:szCs w:val="24"/>
        </w:rPr>
      </w:pPr>
    </w:p>
    <w:p w14:paraId="6BD5D9AB" w14:textId="4CABDDCD" w:rsidR="006906BB" w:rsidRPr="0098047F" w:rsidRDefault="006906BB" w:rsidP="006906BB">
      <w:pPr>
        <w:tabs>
          <w:tab w:val="left" w:pos="0"/>
        </w:tabs>
        <w:rPr>
          <w:szCs w:val="24"/>
        </w:rPr>
      </w:pPr>
      <w:r w:rsidRPr="0098047F">
        <w:rPr>
          <w:szCs w:val="24"/>
        </w:rPr>
        <w:t xml:space="preserve">During an initial open-label phase, patients were titrated to an effective dose of </w:t>
      </w:r>
      <w:r w:rsidR="00DE564B" w:rsidRPr="0098047F">
        <w:rPr>
          <w:szCs w:val="24"/>
        </w:rPr>
        <w:t>F</w:t>
      </w:r>
      <w:r w:rsidR="001A3E3E" w:rsidRPr="0098047F">
        <w:rPr>
          <w:szCs w:val="24"/>
        </w:rPr>
        <w:t>ENTORA</w:t>
      </w:r>
      <w:r w:rsidRPr="0098047F">
        <w:rPr>
          <w:szCs w:val="24"/>
        </w:rPr>
        <w:t>. Patients who identified an effective dose entered the double-blind phase of the study. The primary efficacy variable was the patient’s assessment of pain intensity. Patients assessed pain intensity on a 11-point scale. For each BTP episode, pain intensity was assessed prior to and at several time points after treatment.</w:t>
      </w:r>
    </w:p>
    <w:p w14:paraId="060C5FBF" w14:textId="77777777" w:rsidR="006906BB" w:rsidRPr="0098047F" w:rsidRDefault="006906BB" w:rsidP="006906BB">
      <w:pPr>
        <w:tabs>
          <w:tab w:val="left" w:pos="0"/>
        </w:tabs>
        <w:rPr>
          <w:szCs w:val="24"/>
        </w:rPr>
      </w:pPr>
    </w:p>
    <w:p w14:paraId="23C1E826" w14:textId="77777777" w:rsidR="006906BB" w:rsidRPr="0098047F" w:rsidRDefault="006906BB" w:rsidP="006906BB">
      <w:pPr>
        <w:tabs>
          <w:tab w:val="left" w:pos="0"/>
        </w:tabs>
        <w:rPr>
          <w:szCs w:val="24"/>
        </w:rPr>
      </w:pPr>
      <w:r w:rsidRPr="0098047F">
        <w:rPr>
          <w:szCs w:val="24"/>
        </w:rPr>
        <w:t>Sixty-seven percent of the patients were able to be titrated to an effective dose.</w:t>
      </w:r>
    </w:p>
    <w:p w14:paraId="60F3B166" w14:textId="77777777" w:rsidR="006906BB" w:rsidRPr="0098047F" w:rsidRDefault="006906BB" w:rsidP="006906BB">
      <w:pPr>
        <w:tabs>
          <w:tab w:val="left" w:pos="0"/>
        </w:tabs>
        <w:rPr>
          <w:szCs w:val="24"/>
        </w:rPr>
      </w:pPr>
    </w:p>
    <w:p w14:paraId="7FE98DB6" w14:textId="77777777" w:rsidR="006906BB" w:rsidRPr="0098047F" w:rsidRDefault="006906BB" w:rsidP="006906BB">
      <w:pPr>
        <w:tabs>
          <w:tab w:val="left" w:pos="0"/>
        </w:tabs>
        <w:rPr>
          <w:szCs w:val="24"/>
        </w:rPr>
      </w:pPr>
      <w:r w:rsidRPr="0098047F">
        <w:rPr>
          <w:szCs w:val="24"/>
        </w:rPr>
        <w:t>In the pivotal clinical study (study 1), the primary endpoint was the average sum of differences in pain intensity scores from dosing to 60 minutes, inclusive (SPID60), which was statistically significant compared to placebo (p&lt;0.0001).</w:t>
      </w:r>
    </w:p>
    <w:p w14:paraId="3DEE8264" w14:textId="77777777" w:rsidR="006906BB" w:rsidRPr="0098047F" w:rsidRDefault="006906BB" w:rsidP="006906BB">
      <w:pPr>
        <w:tabs>
          <w:tab w:val="left" w:pos="0"/>
        </w:tabs>
        <w:rPr>
          <w:szCs w:val="24"/>
        </w:rPr>
      </w:pPr>
    </w:p>
    <w:p w14:paraId="020D192A" w14:textId="77777777" w:rsidR="006906BB" w:rsidRDefault="006906BB" w:rsidP="006906BB">
      <w:pPr>
        <w:tabs>
          <w:tab w:val="left" w:pos="0"/>
        </w:tabs>
        <w:rPr>
          <w:szCs w:val="24"/>
        </w:rPr>
      </w:pPr>
    </w:p>
    <w:p w14:paraId="4B8B03C6" w14:textId="77777777" w:rsidR="00B8620A" w:rsidRDefault="00B8620A" w:rsidP="006906BB">
      <w:pPr>
        <w:tabs>
          <w:tab w:val="left" w:pos="0"/>
        </w:tabs>
        <w:rPr>
          <w:szCs w:val="24"/>
        </w:rPr>
      </w:pPr>
    </w:p>
    <w:p w14:paraId="2F1CA085" w14:textId="77777777" w:rsidR="00B8620A" w:rsidRDefault="00B8620A" w:rsidP="006906BB">
      <w:pPr>
        <w:tabs>
          <w:tab w:val="left" w:pos="0"/>
        </w:tabs>
        <w:rPr>
          <w:szCs w:val="24"/>
        </w:rPr>
      </w:pPr>
    </w:p>
    <w:p w14:paraId="7846D3C6" w14:textId="77777777" w:rsidR="00B8620A" w:rsidRDefault="00B8620A" w:rsidP="006906BB">
      <w:pPr>
        <w:tabs>
          <w:tab w:val="left" w:pos="0"/>
        </w:tabs>
        <w:rPr>
          <w:szCs w:val="24"/>
        </w:rPr>
      </w:pPr>
    </w:p>
    <w:p w14:paraId="50373B61" w14:textId="77777777" w:rsidR="00B8620A" w:rsidRDefault="00B8620A" w:rsidP="006906BB">
      <w:pPr>
        <w:tabs>
          <w:tab w:val="left" w:pos="0"/>
        </w:tabs>
        <w:rPr>
          <w:szCs w:val="24"/>
        </w:rPr>
      </w:pPr>
    </w:p>
    <w:p w14:paraId="71EDDA2B" w14:textId="77777777" w:rsidR="00B8620A" w:rsidRDefault="00B8620A" w:rsidP="006906BB">
      <w:pPr>
        <w:tabs>
          <w:tab w:val="left" w:pos="0"/>
        </w:tabs>
        <w:rPr>
          <w:szCs w:val="24"/>
        </w:rPr>
      </w:pPr>
    </w:p>
    <w:p w14:paraId="4CD78CF8" w14:textId="77777777" w:rsidR="00B8620A" w:rsidRDefault="00B8620A" w:rsidP="006906BB">
      <w:pPr>
        <w:tabs>
          <w:tab w:val="left" w:pos="0"/>
        </w:tabs>
        <w:rPr>
          <w:szCs w:val="24"/>
        </w:rPr>
      </w:pPr>
    </w:p>
    <w:p w14:paraId="0447EEEC" w14:textId="77777777" w:rsidR="00B8620A" w:rsidRDefault="00B8620A" w:rsidP="006906BB">
      <w:pPr>
        <w:tabs>
          <w:tab w:val="left" w:pos="0"/>
        </w:tabs>
        <w:rPr>
          <w:szCs w:val="24"/>
        </w:rPr>
      </w:pPr>
    </w:p>
    <w:p w14:paraId="56A58BA1" w14:textId="77777777" w:rsidR="00B8620A" w:rsidRDefault="00B8620A" w:rsidP="006906BB">
      <w:pPr>
        <w:tabs>
          <w:tab w:val="left" w:pos="0"/>
        </w:tabs>
        <w:rPr>
          <w:szCs w:val="24"/>
        </w:rPr>
      </w:pPr>
    </w:p>
    <w:p w14:paraId="27EA8CA9" w14:textId="77777777" w:rsidR="00B8620A" w:rsidRDefault="00B8620A" w:rsidP="006906BB">
      <w:pPr>
        <w:tabs>
          <w:tab w:val="left" w:pos="0"/>
        </w:tabs>
        <w:rPr>
          <w:szCs w:val="24"/>
        </w:rPr>
      </w:pPr>
    </w:p>
    <w:p w14:paraId="6C22FBD2" w14:textId="77777777" w:rsidR="00B8620A" w:rsidRDefault="009504FD" w:rsidP="006906BB">
      <w:pPr>
        <w:tabs>
          <w:tab w:val="left" w:pos="0"/>
        </w:tabs>
        <w:rPr>
          <w:szCs w:val="24"/>
        </w:rPr>
      </w:pPr>
      <w:r>
        <w:rPr>
          <w:noProof/>
          <w:szCs w:val="24"/>
          <w:lang w:val="en-AU" w:eastAsia="en-AU"/>
        </w:rPr>
        <w:pict w14:anchorId="08A35967">
          <v:shapetype id="_x0000_t202" coordsize="21600,21600" o:spt="202" path="m,l,21600r21600,l21600,xe">
            <v:stroke joinstyle="miter"/>
            <v:path gradientshapeok="t" o:connecttype="rect"/>
          </v:shapetype>
          <v:shape id="_x0000_s1026" type="#_x0000_t202" style="position:absolute;margin-left:26.25pt;margin-top:268.55pt;width:392.3pt;height:36pt;z-index:1">
            <v:textbox style="mso-next-textbox:#_x0000_s1026">
              <w:txbxContent>
                <w:p w14:paraId="74CDCEEC" w14:textId="77777777" w:rsidR="00F131DD" w:rsidRDefault="00F131DD" w:rsidP="00B8620A">
                  <w:pPr>
                    <w:rPr>
                      <w:sz w:val="20"/>
                    </w:rPr>
                  </w:pPr>
                  <w:r>
                    <w:rPr>
                      <w:sz w:val="20"/>
                    </w:rPr>
                    <w:t>+ p</w:t>
                  </w:r>
                  <w:r w:rsidRPr="00737A4A">
                    <w:rPr>
                      <w:sz w:val="20"/>
                    </w:rPr>
                    <w:t>&lt;0.0001 FE</w:t>
                  </w:r>
                  <w:r>
                    <w:rPr>
                      <w:sz w:val="20"/>
                    </w:rPr>
                    <w:t>NTORA</w:t>
                  </w:r>
                  <w:r w:rsidRPr="00737A4A">
                    <w:rPr>
                      <w:sz w:val="20"/>
                    </w:rPr>
                    <w:t xml:space="preserve"> versus placebo, in favor of FE</w:t>
                  </w:r>
                  <w:r>
                    <w:rPr>
                      <w:sz w:val="20"/>
                    </w:rPr>
                    <w:t>NTORA</w:t>
                  </w:r>
                  <w:r w:rsidRPr="00737A4A">
                    <w:rPr>
                      <w:sz w:val="20"/>
                    </w:rPr>
                    <w:t>, by an analysis of variance</w:t>
                  </w:r>
                </w:p>
                <w:p w14:paraId="16881C0A" w14:textId="77777777" w:rsidR="00F131DD" w:rsidRPr="00737A4A" w:rsidRDefault="00F131DD" w:rsidP="00B8620A">
                  <w:pPr>
                    <w:rPr>
                      <w:sz w:val="20"/>
                    </w:rPr>
                  </w:pPr>
                  <w:r>
                    <w:rPr>
                      <w:sz w:val="20"/>
                    </w:rPr>
                    <w:t>PID=pain intensity difference; SEM=standard error of the mean</w:t>
                  </w:r>
                </w:p>
                <w:p w14:paraId="7EA8591C" w14:textId="77777777" w:rsidR="00F131DD" w:rsidRDefault="00F131DD" w:rsidP="00B8620A"/>
              </w:txbxContent>
            </v:textbox>
          </v:shape>
        </w:pict>
      </w:r>
      <w:r>
        <w:rPr>
          <w:noProof/>
          <w:lang w:val="en-AU" w:eastAsia="en-AU"/>
        </w:rPr>
        <w:pict w14:anchorId="7DA98A2C">
          <v:shape id="_x0000_s1027" type="#_x0000_t202" style="position:absolute;margin-left:30pt;margin-top:52.5pt;width:151.5pt;height:42.8pt;z-index:2">
            <v:textbox>
              <w:txbxContent>
                <w:p w14:paraId="2221CEC2" w14:textId="77777777" w:rsidR="00F131DD" w:rsidRPr="00B8620A" w:rsidRDefault="00F131DD" w:rsidP="00B8620A">
                  <w:pPr>
                    <w:rPr>
                      <w:sz w:val="20"/>
                    </w:rPr>
                  </w:pPr>
                  <w:r w:rsidRPr="00B8620A">
                    <w:rPr>
                      <w:sz w:val="20"/>
                    </w:rPr>
                    <w:t>SPID60 mean (+/- SD)</w:t>
                  </w:r>
                </w:p>
                <w:p w14:paraId="0605A6AC" w14:textId="77777777" w:rsidR="00F131DD" w:rsidRPr="00B8620A" w:rsidRDefault="00F131DD" w:rsidP="00B8620A">
                  <w:pPr>
                    <w:rPr>
                      <w:sz w:val="20"/>
                    </w:rPr>
                  </w:pPr>
                  <w:r w:rsidRPr="00B8620A">
                    <w:rPr>
                      <w:sz w:val="20"/>
                    </w:rPr>
                    <w:t>FENTORA</w:t>
                  </w:r>
                  <w:r>
                    <w:rPr>
                      <w:sz w:val="20"/>
                    </w:rPr>
                    <w:t xml:space="preserve">=9.7(5.58) </w:t>
                  </w:r>
                  <w:r w:rsidRPr="00B8620A">
                    <w:rPr>
                      <w:sz w:val="20"/>
                    </w:rPr>
                    <w:t>p&lt;0.0001</w:t>
                  </w:r>
                </w:p>
                <w:p w14:paraId="21D7BED2" w14:textId="77777777" w:rsidR="00F131DD" w:rsidRPr="00B8620A" w:rsidRDefault="00F131DD" w:rsidP="00B8620A">
                  <w:pPr>
                    <w:rPr>
                      <w:sz w:val="20"/>
                    </w:rPr>
                  </w:pPr>
                  <w:r w:rsidRPr="00B8620A">
                    <w:rPr>
                      <w:sz w:val="20"/>
                    </w:rPr>
                    <w:t>Placebo=4.9(4.38)</w:t>
                  </w:r>
                </w:p>
                <w:p w14:paraId="6CC049D0" w14:textId="77777777" w:rsidR="00F131DD" w:rsidRDefault="00F131DD" w:rsidP="00B8620A"/>
              </w:txbxContent>
            </v:textbox>
          </v:shape>
        </w:pict>
      </w:r>
      <w:r>
        <w:rPr>
          <w:noProof/>
          <w:szCs w:val="24"/>
          <w:lang w:val="en-AU" w:eastAsia="en-AU"/>
        </w:rPr>
        <w:pict w14:anchorId="6C26BE4E">
          <v:shape id="_x0000_s1028" type="#_x0000_t202" style="position:absolute;margin-left:26.25pt;margin-top:11.25pt;width:387pt;height:27pt;z-index:3">
            <v:textbox>
              <w:txbxContent>
                <w:p w14:paraId="59001ABE" w14:textId="77777777" w:rsidR="00F131DD" w:rsidRPr="00737A4A" w:rsidRDefault="00F131DD" w:rsidP="00B8620A">
                  <w:pPr>
                    <w:rPr>
                      <w:sz w:val="20"/>
                    </w:rPr>
                  </w:pPr>
                  <w:r w:rsidRPr="00737A4A">
                    <w:rPr>
                      <w:sz w:val="20"/>
                    </w:rPr>
                    <w:t>Study 1: Mean (+/- SEM) Pain Intensity Difference at Each Time Point (Full Analysis Set)</w:t>
                  </w:r>
                </w:p>
                <w:p w14:paraId="740EC562" w14:textId="77777777" w:rsidR="00F131DD" w:rsidRDefault="00F131DD" w:rsidP="00B8620A"/>
              </w:txbxContent>
            </v:textbox>
          </v:shape>
        </w:pict>
      </w:r>
      <w:r w:rsidR="00E16648">
        <w:pict w14:anchorId="255FAE26">
          <v:shape id="_x0000_i1027" type="#_x0000_t75" style="width:6in;height:4in">
            <v:imagedata r:id="rId11" o:title=""/>
          </v:shape>
        </w:pict>
      </w:r>
    </w:p>
    <w:p w14:paraId="15238B9F" w14:textId="77777777" w:rsidR="00B8620A" w:rsidRDefault="00B8620A" w:rsidP="00B8620A">
      <w:pPr>
        <w:rPr>
          <w:szCs w:val="24"/>
        </w:rPr>
      </w:pPr>
    </w:p>
    <w:p w14:paraId="0FB00EA2" w14:textId="77777777" w:rsidR="00700F19" w:rsidRDefault="00700F19" w:rsidP="00700F19">
      <w:pPr>
        <w:rPr>
          <w:szCs w:val="24"/>
        </w:rPr>
      </w:pPr>
    </w:p>
    <w:p w14:paraId="702E1558" w14:textId="77777777" w:rsidR="00700F19" w:rsidRDefault="009504FD" w:rsidP="00700F19">
      <w:pPr>
        <w:rPr>
          <w:szCs w:val="24"/>
        </w:rPr>
      </w:pPr>
      <w:r>
        <w:rPr>
          <w:rFonts w:ascii="Times New Roman" w:hAnsi="Times New Roman"/>
          <w:szCs w:val="24"/>
        </w:rPr>
        <w:lastRenderedPageBreak/>
        <w:pict w14:anchorId="62A8AC5D">
          <v:shape id="_x0000_s1031" type="#_x0000_t202" style="position:absolute;margin-left:15.75pt;margin-top:285.6pt;width:446.25pt;height:47pt;z-index:5">
            <v:textbox>
              <w:txbxContent>
                <w:p w14:paraId="12942CB5" w14:textId="77777777" w:rsidR="00F131DD" w:rsidRDefault="00F131DD" w:rsidP="00700F19">
                  <w:pPr>
                    <w:rPr>
                      <w:sz w:val="20"/>
                    </w:rPr>
                  </w:pPr>
                  <w:r>
                    <w:rPr>
                      <w:sz w:val="20"/>
                    </w:rPr>
                    <w:t>* p&lt;0.01 FENTORA versus placebo, in favor of FENTORA, by one-sample Wilcoxon signed rank test</w:t>
                  </w:r>
                </w:p>
                <w:p w14:paraId="5983CD48" w14:textId="77777777" w:rsidR="00F131DD" w:rsidRDefault="00F131DD" w:rsidP="00700F19">
                  <w:pPr>
                    <w:rPr>
                      <w:sz w:val="20"/>
                    </w:rPr>
                  </w:pPr>
                  <w:r>
                    <w:rPr>
                      <w:sz w:val="20"/>
                    </w:rPr>
                    <w:t>+ p&lt;0.0001 FENTORA versus placebo, in favor of FENTORA, by one-sample Wilcoxon signed rank test</w:t>
                  </w:r>
                </w:p>
                <w:p w14:paraId="30671F78" w14:textId="77777777" w:rsidR="00F131DD" w:rsidRDefault="00F131DD" w:rsidP="00700F19">
                  <w:pPr>
                    <w:rPr>
                      <w:sz w:val="20"/>
                    </w:rPr>
                  </w:pPr>
                  <w:r>
                    <w:rPr>
                      <w:sz w:val="20"/>
                    </w:rPr>
                    <w:t>PID=pain intensity difference; SEM=standard error of the mean</w:t>
                  </w:r>
                </w:p>
                <w:p w14:paraId="7F2F100A" w14:textId="77777777" w:rsidR="00F131DD" w:rsidRDefault="00F131DD" w:rsidP="00700F19">
                  <w:pPr>
                    <w:rPr>
                      <w:sz w:val="22"/>
                      <w:szCs w:val="22"/>
                    </w:rPr>
                  </w:pPr>
                </w:p>
              </w:txbxContent>
            </v:textbox>
          </v:shape>
        </w:pict>
      </w:r>
      <w:r>
        <w:rPr>
          <w:rFonts w:ascii="Times New Roman" w:hAnsi="Times New Roman"/>
          <w:szCs w:val="24"/>
        </w:rPr>
        <w:pict w14:anchorId="7BE94D57">
          <v:shape id="_x0000_s1029" type="#_x0000_t202" style="position:absolute;margin-left:26.25pt;margin-top:18.4pt;width:392.3pt;height:27pt;z-index:4">
            <v:textbox>
              <w:txbxContent>
                <w:p w14:paraId="1DDB5B6D" w14:textId="77777777" w:rsidR="00F131DD" w:rsidRDefault="00F131DD" w:rsidP="00700F19">
                  <w:pPr>
                    <w:rPr>
                      <w:sz w:val="20"/>
                    </w:rPr>
                  </w:pPr>
                  <w:r>
                    <w:rPr>
                      <w:sz w:val="20"/>
                    </w:rPr>
                    <w:t>Study 2: Mean (+/- SEM) Pain Intensity Difference at Each Time Point (Full Analysis Set)</w:t>
                  </w:r>
                </w:p>
                <w:p w14:paraId="034F16CE" w14:textId="77777777" w:rsidR="00F131DD" w:rsidRDefault="00F131DD" w:rsidP="00700F19">
                  <w:pPr>
                    <w:rPr>
                      <w:sz w:val="20"/>
                    </w:rPr>
                  </w:pPr>
                </w:p>
                <w:p w14:paraId="0C2A84C7" w14:textId="77777777" w:rsidR="00F131DD" w:rsidRDefault="00F131DD" w:rsidP="00700F19">
                  <w:pPr>
                    <w:rPr>
                      <w:sz w:val="22"/>
                      <w:szCs w:val="22"/>
                    </w:rPr>
                  </w:pPr>
                </w:p>
              </w:txbxContent>
            </v:textbox>
          </v:shape>
        </w:pict>
      </w:r>
      <w:r>
        <w:rPr>
          <w:rFonts w:ascii="Times New Roman" w:hAnsi="Times New Roman"/>
          <w:szCs w:val="24"/>
        </w:rPr>
        <w:pict w14:anchorId="4048EF7A">
          <v:shape id="_x0000_s1035" type="#_x0000_t202" style="position:absolute;margin-left:26.25pt;margin-top:70.1pt;width:137.25pt;height:37.5pt;z-index:6">
            <v:textbox>
              <w:txbxContent>
                <w:p w14:paraId="351F4F85" w14:textId="77777777" w:rsidR="00F131DD" w:rsidRPr="006A709D" w:rsidRDefault="00F131DD" w:rsidP="006A709D">
                  <w:pPr>
                    <w:rPr>
                      <w:sz w:val="18"/>
                      <w:szCs w:val="18"/>
                    </w:rPr>
                  </w:pPr>
                  <w:r w:rsidRPr="006A709D">
                    <w:rPr>
                      <w:sz w:val="18"/>
                      <w:szCs w:val="18"/>
                    </w:rPr>
                    <w:t>SPID30 mean (+/- SD) FENTORA=3.2(2.60) p&lt;0.0001 Placebo=2.0(2.21)</w:t>
                  </w:r>
                </w:p>
                <w:p w14:paraId="0D3A6A3A" w14:textId="77777777" w:rsidR="00F131DD" w:rsidRDefault="00F131DD" w:rsidP="006A709D">
                  <w:pPr>
                    <w:rPr>
                      <w:sz w:val="12"/>
                      <w:szCs w:val="12"/>
                    </w:rPr>
                  </w:pPr>
                </w:p>
              </w:txbxContent>
            </v:textbox>
          </v:shape>
        </w:pict>
      </w:r>
      <w:r w:rsidR="00E16648">
        <w:pict w14:anchorId="4917F250">
          <v:shape id="_x0000_i1028" type="#_x0000_t75" style="width:6in;height:4in">
            <v:imagedata r:id="rId12" o:title=""/>
          </v:shape>
        </w:pict>
      </w:r>
    </w:p>
    <w:p w14:paraId="32F5CF86" w14:textId="77777777" w:rsidR="00700F19" w:rsidRDefault="00700F19" w:rsidP="00700F19">
      <w:pPr>
        <w:rPr>
          <w:szCs w:val="24"/>
        </w:rPr>
      </w:pPr>
    </w:p>
    <w:p w14:paraId="1B271994" w14:textId="77777777" w:rsidR="00700F19" w:rsidRPr="00700F19" w:rsidRDefault="00700F19" w:rsidP="00700F19">
      <w:pPr>
        <w:rPr>
          <w:szCs w:val="24"/>
        </w:rPr>
      </w:pPr>
    </w:p>
    <w:p w14:paraId="460D0AB2" w14:textId="77777777" w:rsidR="006906BB" w:rsidRPr="0098047F" w:rsidRDefault="006906BB" w:rsidP="006906BB">
      <w:pPr>
        <w:tabs>
          <w:tab w:val="left" w:pos="0"/>
        </w:tabs>
        <w:rPr>
          <w:szCs w:val="24"/>
        </w:rPr>
      </w:pPr>
    </w:p>
    <w:p w14:paraId="7D6036E3" w14:textId="77777777" w:rsidR="006906BB" w:rsidRPr="0098047F" w:rsidRDefault="006906BB" w:rsidP="006906BB">
      <w:pPr>
        <w:tabs>
          <w:tab w:val="left" w:pos="0"/>
        </w:tabs>
        <w:rPr>
          <w:szCs w:val="24"/>
        </w:rPr>
      </w:pPr>
    </w:p>
    <w:p w14:paraId="6F2695B4" w14:textId="77777777" w:rsidR="006A709D" w:rsidRDefault="006A709D" w:rsidP="006906BB">
      <w:pPr>
        <w:tabs>
          <w:tab w:val="left" w:pos="0"/>
        </w:tabs>
        <w:rPr>
          <w:szCs w:val="24"/>
        </w:rPr>
      </w:pPr>
    </w:p>
    <w:p w14:paraId="364A0251" w14:textId="77777777" w:rsidR="006A709D" w:rsidRDefault="006A709D" w:rsidP="006906BB">
      <w:pPr>
        <w:tabs>
          <w:tab w:val="left" w:pos="0"/>
        </w:tabs>
        <w:rPr>
          <w:szCs w:val="24"/>
        </w:rPr>
      </w:pPr>
    </w:p>
    <w:p w14:paraId="5047B4DE" w14:textId="77777777" w:rsidR="006906BB" w:rsidRPr="0098047F" w:rsidRDefault="006906BB" w:rsidP="006906BB">
      <w:pPr>
        <w:tabs>
          <w:tab w:val="left" w:pos="0"/>
        </w:tabs>
        <w:rPr>
          <w:szCs w:val="24"/>
        </w:rPr>
      </w:pPr>
      <w:r w:rsidRPr="0098047F">
        <w:rPr>
          <w:szCs w:val="24"/>
        </w:rPr>
        <w:t>In the second pivotal study (study 2), the primary endpoint was SPID30, which was also statistically significant compared to placebo (p&lt;0.0001).</w:t>
      </w:r>
    </w:p>
    <w:p w14:paraId="69F28183" w14:textId="77777777" w:rsidR="006906BB" w:rsidRPr="0098047F" w:rsidRDefault="006906BB" w:rsidP="006906BB">
      <w:pPr>
        <w:tabs>
          <w:tab w:val="left" w:pos="0"/>
        </w:tabs>
        <w:rPr>
          <w:szCs w:val="24"/>
        </w:rPr>
      </w:pPr>
    </w:p>
    <w:p w14:paraId="175F68C4" w14:textId="77777777" w:rsidR="006906BB" w:rsidRPr="0098047F" w:rsidRDefault="006906BB" w:rsidP="006906BB">
      <w:pPr>
        <w:tabs>
          <w:tab w:val="left" w:pos="0"/>
        </w:tabs>
        <w:rPr>
          <w:szCs w:val="24"/>
        </w:rPr>
      </w:pPr>
      <w:r w:rsidRPr="0098047F">
        <w:rPr>
          <w:szCs w:val="24"/>
        </w:rPr>
        <w:t xml:space="preserve">Statistically significant improvement in pain intensity difference was seen with </w:t>
      </w:r>
      <w:r w:rsidR="00DE564B" w:rsidRPr="0098047F">
        <w:rPr>
          <w:szCs w:val="24"/>
        </w:rPr>
        <w:t>F</w:t>
      </w:r>
      <w:r w:rsidR="0098047F">
        <w:rPr>
          <w:szCs w:val="24"/>
        </w:rPr>
        <w:t>ENTORA</w:t>
      </w:r>
      <w:r w:rsidRPr="0098047F">
        <w:rPr>
          <w:szCs w:val="24"/>
        </w:rPr>
        <w:t xml:space="preserve"> versus placebo as early as 10 minutes in Study 1 and as early as 15 minutes (earliest time point measured) in Study 2.  These differences continued to be significant at each subsequent time point in each individual study.</w:t>
      </w:r>
    </w:p>
    <w:p w14:paraId="4242E971" w14:textId="77777777" w:rsidR="0029051D" w:rsidRPr="0098047F" w:rsidRDefault="0029051D">
      <w:pPr>
        <w:rPr>
          <w:b/>
          <w:color w:val="FF0000"/>
          <w:szCs w:val="24"/>
        </w:rPr>
      </w:pPr>
    </w:p>
    <w:p w14:paraId="1C025D68" w14:textId="77777777" w:rsidR="007B0406" w:rsidRPr="0098047F" w:rsidRDefault="007B0406">
      <w:pPr>
        <w:rPr>
          <w:b/>
          <w:szCs w:val="24"/>
        </w:rPr>
      </w:pPr>
    </w:p>
    <w:p w14:paraId="21C631F4" w14:textId="77777777" w:rsidR="0029051D" w:rsidRPr="0098047F" w:rsidRDefault="0029051D">
      <w:pPr>
        <w:rPr>
          <w:b/>
          <w:szCs w:val="24"/>
        </w:rPr>
      </w:pPr>
      <w:r w:rsidRPr="0098047F">
        <w:rPr>
          <w:b/>
          <w:szCs w:val="24"/>
        </w:rPr>
        <w:t>INDICATIONS</w:t>
      </w:r>
    </w:p>
    <w:p w14:paraId="4B7728F1" w14:textId="77777777" w:rsidR="0029051D" w:rsidRPr="0098047F" w:rsidRDefault="0029051D">
      <w:pPr>
        <w:rPr>
          <w:b/>
          <w:szCs w:val="24"/>
        </w:rPr>
      </w:pPr>
    </w:p>
    <w:p w14:paraId="356A9472" w14:textId="77777777" w:rsidR="003173CE" w:rsidRPr="0098047F" w:rsidRDefault="00DE564B" w:rsidP="003173CE">
      <w:pPr>
        <w:rPr>
          <w:szCs w:val="24"/>
        </w:rPr>
      </w:pPr>
      <w:r w:rsidRPr="0098047F">
        <w:rPr>
          <w:szCs w:val="24"/>
        </w:rPr>
        <w:t>F</w:t>
      </w:r>
      <w:r w:rsidR="001A3E3E" w:rsidRPr="0098047F">
        <w:rPr>
          <w:szCs w:val="24"/>
        </w:rPr>
        <w:t>ENTORA</w:t>
      </w:r>
      <w:r w:rsidR="003173CE" w:rsidRPr="0098047F">
        <w:rPr>
          <w:szCs w:val="24"/>
        </w:rPr>
        <w:t xml:space="preserve"> is indicated for the treatment of breakthrough pain (BTP) in adults with cancer who are already receiving maintenance opioid therapy for chronic cancer pain.</w:t>
      </w:r>
    </w:p>
    <w:p w14:paraId="62F7E187" w14:textId="77777777" w:rsidR="0029051D" w:rsidRPr="0098047F" w:rsidRDefault="0029051D">
      <w:pPr>
        <w:rPr>
          <w:b/>
          <w:szCs w:val="24"/>
        </w:rPr>
      </w:pPr>
    </w:p>
    <w:p w14:paraId="5A93F21A" w14:textId="77777777" w:rsidR="0029051D" w:rsidRPr="0098047F" w:rsidRDefault="0029051D">
      <w:pPr>
        <w:rPr>
          <w:b/>
          <w:szCs w:val="24"/>
        </w:rPr>
      </w:pPr>
    </w:p>
    <w:p w14:paraId="78BBA529" w14:textId="77777777" w:rsidR="0029051D" w:rsidRPr="0098047F" w:rsidRDefault="0029051D">
      <w:pPr>
        <w:rPr>
          <w:b/>
          <w:szCs w:val="24"/>
        </w:rPr>
      </w:pPr>
      <w:r w:rsidRPr="0098047F">
        <w:rPr>
          <w:b/>
          <w:szCs w:val="24"/>
        </w:rPr>
        <w:t>CONTRAINDICATIONS</w:t>
      </w:r>
    </w:p>
    <w:p w14:paraId="51BC0E4E" w14:textId="77777777" w:rsidR="0029051D" w:rsidRPr="0098047F" w:rsidRDefault="0029051D">
      <w:pPr>
        <w:rPr>
          <w:b/>
          <w:szCs w:val="24"/>
        </w:rPr>
      </w:pPr>
    </w:p>
    <w:p w14:paraId="367D9C48" w14:textId="77777777" w:rsidR="00365280" w:rsidRDefault="00365280" w:rsidP="003173CE">
      <w:pPr>
        <w:rPr>
          <w:szCs w:val="24"/>
        </w:rPr>
      </w:pPr>
      <w:r w:rsidRPr="0098047F">
        <w:rPr>
          <w:szCs w:val="24"/>
        </w:rPr>
        <w:t>F</w:t>
      </w:r>
      <w:r w:rsidR="001A3E3E" w:rsidRPr="0098047F">
        <w:rPr>
          <w:szCs w:val="24"/>
        </w:rPr>
        <w:t>ENTORA</w:t>
      </w:r>
      <w:r w:rsidRPr="0098047F">
        <w:rPr>
          <w:szCs w:val="24"/>
        </w:rPr>
        <w:t xml:space="preserve"> is contraindicated in:</w:t>
      </w:r>
    </w:p>
    <w:p w14:paraId="0BE136BF" w14:textId="77777777" w:rsidR="00043EEA" w:rsidRPr="0098047F" w:rsidRDefault="00043EEA" w:rsidP="003173CE">
      <w:pPr>
        <w:rPr>
          <w:szCs w:val="24"/>
        </w:rPr>
      </w:pPr>
    </w:p>
    <w:p w14:paraId="59FE06E4" w14:textId="77777777" w:rsidR="003173CE" w:rsidRPr="00043EEA" w:rsidRDefault="003173CE" w:rsidP="003173CE">
      <w:pPr>
        <w:rPr>
          <w:szCs w:val="24"/>
        </w:rPr>
      </w:pPr>
      <w:r w:rsidRPr="0098047F">
        <w:rPr>
          <w:szCs w:val="24"/>
        </w:rPr>
        <w:t xml:space="preserve">Hypersensitivity to the active substance or to any of the </w:t>
      </w:r>
      <w:r w:rsidRPr="00043EEA">
        <w:rPr>
          <w:szCs w:val="24"/>
        </w:rPr>
        <w:t>excipients</w:t>
      </w:r>
      <w:r w:rsidR="00365280" w:rsidRPr="00043EEA">
        <w:rPr>
          <w:szCs w:val="24"/>
        </w:rPr>
        <w:t xml:space="preserve"> (see DESCRIPTION)</w:t>
      </w:r>
      <w:r w:rsidRPr="00043EEA">
        <w:rPr>
          <w:szCs w:val="24"/>
        </w:rPr>
        <w:t>.</w:t>
      </w:r>
    </w:p>
    <w:p w14:paraId="015B39F0" w14:textId="77777777" w:rsidR="003173CE" w:rsidRPr="0098047F" w:rsidRDefault="003173CE" w:rsidP="003173CE">
      <w:pPr>
        <w:rPr>
          <w:szCs w:val="24"/>
        </w:rPr>
      </w:pPr>
    </w:p>
    <w:p w14:paraId="23CA6F40" w14:textId="0AE0DD06" w:rsidR="003173CE" w:rsidRPr="0098047F" w:rsidRDefault="003173CE" w:rsidP="003173CE">
      <w:pPr>
        <w:rPr>
          <w:szCs w:val="24"/>
        </w:rPr>
      </w:pPr>
      <w:r w:rsidRPr="0098047F">
        <w:rPr>
          <w:szCs w:val="24"/>
        </w:rPr>
        <w:t xml:space="preserve">Patients without maintenance opioid therapy (see </w:t>
      </w:r>
      <w:r w:rsidR="00695DF2">
        <w:rPr>
          <w:szCs w:val="24"/>
        </w:rPr>
        <w:t>CLINICAL TRIAL</w:t>
      </w:r>
      <w:r w:rsidR="00695DF2" w:rsidRPr="0098047F">
        <w:rPr>
          <w:szCs w:val="24"/>
        </w:rPr>
        <w:t>S</w:t>
      </w:r>
      <w:r w:rsidRPr="0098047F">
        <w:rPr>
          <w:szCs w:val="24"/>
        </w:rPr>
        <w:t>) as there is an increased risk of respiratory depression.</w:t>
      </w:r>
    </w:p>
    <w:p w14:paraId="281AB388" w14:textId="77777777" w:rsidR="003173CE" w:rsidRPr="0098047F" w:rsidRDefault="003173CE" w:rsidP="003173CE">
      <w:pPr>
        <w:rPr>
          <w:szCs w:val="24"/>
        </w:rPr>
      </w:pPr>
    </w:p>
    <w:p w14:paraId="2366401D" w14:textId="77777777" w:rsidR="003173CE" w:rsidRPr="0098047F" w:rsidRDefault="003173CE" w:rsidP="003173CE">
      <w:pPr>
        <w:tabs>
          <w:tab w:val="left" w:pos="0"/>
        </w:tabs>
        <w:rPr>
          <w:szCs w:val="24"/>
        </w:rPr>
      </w:pPr>
      <w:r w:rsidRPr="0098047F">
        <w:rPr>
          <w:szCs w:val="24"/>
        </w:rPr>
        <w:t>Severe respiratory depression or severe obstructive lung conditions.</w:t>
      </w:r>
    </w:p>
    <w:p w14:paraId="24B6503F" w14:textId="77777777" w:rsidR="003173CE" w:rsidRPr="0098047F" w:rsidRDefault="003173CE" w:rsidP="003173CE">
      <w:pPr>
        <w:tabs>
          <w:tab w:val="left" w:pos="0"/>
        </w:tabs>
        <w:rPr>
          <w:szCs w:val="24"/>
        </w:rPr>
      </w:pPr>
    </w:p>
    <w:p w14:paraId="01314975" w14:textId="77777777" w:rsidR="003173CE" w:rsidRPr="0098047F" w:rsidRDefault="003173CE" w:rsidP="003173CE">
      <w:pPr>
        <w:autoSpaceDE w:val="0"/>
        <w:autoSpaceDN w:val="0"/>
        <w:adjustRightInd w:val="0"/>
        <w:rPr>
          <w:szCs w:val="24"/>
        </w:rPr>
      </w:pPr>
      <w:r w:rsidRPr="0098047F">
        <w:rPr>
          <w:szCs w:val="24"/>
        </w:rPr>
        <w:t xml:space="preserve">Treatment of acute </w:t>
      </w:r>
      <w:r w:rsidRPr="0098047F">
        <w:rPr>
          <w:noProof/>
          <w:szCs w:val="24"/>
        </w:rPr>
        <w:t xml:space="preserve">pain other than breakthrough pain (e.g. </w:t>
      </w:r>
      <w:r w:rsidRPr="0098047F">
        <w:rPr>
          <w:szCs w:val="24"/>
        </w:rPr>
        <w:t>postoperative pain, headache, migraine).</w:t>
      </w:r>
    </w:p>
    <w:p w14:paraId="5ADBD10D" w14:textId="77777777" w:rsidR="00365280" w:rsidRPr="0098047F" w:rsidRDefault="00365280" w:rsidP="003173CE">
      <w:pPr>
        <w:autoSpaceDE w:val="0"/>
        <w:autoSpaceDN w:val="0"/>
        <w:adjustRightInd w:val="0"/>
        <w:rPr>
          <w:szCs w:val="24"/>
        </w:rPr>
      </w:pPr>
    </w:p>
    <w:p w14:paraId="3DEFC31E" w14:textId="77777777" w:rsidR="00365280" w:rsidRPr="0098047F" w:rsidRDefault="00365280" w:rsidP="003173CE">
      <w:pPr>
        <w:autoSpaceDE w:val="0"/>
        <w:autoSpaceDN w:val="0"/>
        <w:adjustRightInd w:val="0"/>
        <w:rPr>
          <w:szCs w:val="24"/>
        </w:rPr>
      </w:pPr>
      <w:r w:rsidRPr="0098047F">
        <w:rPr>
          <w:szCs w:val="24"/>
        </w:rPr>
        <w:t xml:space="preserve">Simultaneous use of monoamine-oxidase (MAO) inhibitors, or within 2 weeks after the cessation of the use of MAO inhibitors. </w:t>
      </w:r>
    </w:p>
    <w:p w14:paraId="321D25FF" w14:textId="77777777" w:rsidR="007B0406" w:rsidRPr="0098047F" w:rsidRDefault="007B0406">
      <w:pPr>
        <w:rPr>
          <w:b/>
          <w:szCs w:val="24"/>
        </w:rPr>
      </w:pPr>
    </w:p>
    <w:p w14:paraId="23478825" w14:textId="77777777" w:rsidR="007B0406" w:rsidRPr="0098047F" w:rsidRDefault="007B0406">
      <w:pPr>
        <w:rPr>
          <w:b/>
          <w:szCs w:val="24"/>
        </w:rPr>
      </w:pPr>
    </w:p>
    <w:p w14:paraId="0A3ECB7C" w14:textId="77777777" w:rsidR="0029051D" w:rsidRPr="0098047F" w:rsidRDefault="0029051D">
      <w:pPr>
        <w:rPr>
          <w:b/>
          <w:szCs w:val="24"/>
        </w:rPr>
      </w:pPr>
      <w:r w:rsidRPr="0098047F">
        <w:rPr>
          <w:b/>
          <w:szCs w:val="24"/>
        </w:rPr>
        <w:t>PRECAUTIONS</w:t>
      </w:r>
    </w:p>
    <w:p w14:paraId="261117EF" w14:textId="77777777" w:rsidR="003173CE" w:rsidRPr="0098047F" w:rsidRDefault="003173CE" w:rsidP="003173CE">
      <w:pPr>
        <w:tabs>
          <w:tab w:val="num" w:pos="1843"/>
        </w:tabs>
        <w:rPr>
          <w:szCs w:val="24"/>
        </w:rPr>
      </w:pPr>
    </w:p>
    <w:p w14:paraId="78CFF507" w14:textId="77777777" w:rsidR="003173CE" w:rsidRPr="0098047F" w:rsidRDefault="003173CE" w:rsidP="003173CE">
      <w:pPr>
        <w:tabs>
          <w:tab w:val="left" w:pos="1620"/>
        </w:tabs>
        <w:rPr>
          <w:szCs w:val="24"/>
        </w:rPr>
      </w:pPr>
      <w:r w:rsidRPr="0098047F">
        <w:rPr>
          <w:szCs w:val="24"/>
        </w:rPr>
        <w:t>In order to minimise the risks of opioid-related undesirable effects and to identify the effective dose, it is imperative that patients be monitored closely by health professionals during the titration process.</w:t>
      </w:r>
    </w:p>
    <w:p w14:paraId="5CF7F923" w14:textId="77777777" w:rsidR="003173CE" w:rsidRPr="0098047F" w:rsidRDefault="003173CE" w:rsidP="003173CE">
      <w:pPr>
        <w:rPr>
          <w:b/>
          <w:szCs w:val="24"/>
        </w:rPr>
      </w:pPr>
    </w:p>
    <w:p w14:paraId="301DADA0" w14:textId="77777777" w:rsidR="003173CE" w:rsidRDefault="003173CE" w:rsidP="003173CE">
      <w:pPr>
        <w:rPr>
          <w:szCs w:val="24"/>
        </w:rPr>
      </w:pPr>
      <w:r w:rsidRPr="0098047F">
        <w:rPr>
          <w:szCs w:val="24"/>
        </w:rPr>
        <w:t xml:space="preserve">It is important that the long acting opioid treatment used to treat the patient’s persistent pain has been stabilised before </w:t>
      </w:r>
      <w:r w:rsidR="00DE564B" w:rsidRPr="0098047F">
        <w:rPr>
          <w:szCs w:val="24"/>
        </w:rPr>
        <w:t>F</w:t>
      </w:r>
      <w:r w:rsidR="001A3E3E" w:rsidRPr="0098047F">
        <w:rPr>
          <w:szCs w:val="24"/>
        </w:rPr>
        <w:t>ENTORA</w:t>
      </w:r>
      <w:r w:rsidRPr="0098047F">
        <w:rPr>
          <w:szCs w:val="24"/>
        </w:rPr>
        <w:t xml:space="preserve"> therapy begins and that the patient continues to be treated with the long acting opioid treatment whilst taking </w:t>
      </w:r>
      <w:r w:rsidR="00DE564B" w:rsidRPr="0098047F">
        <w:rPr>
          <w:szCs w:val="24"/>
        </w:rPr>
        <w:t>F</w:t>
      </w:r>
      <w:r w:rsidR="001A3E3E" w:rsidRPr="0098047F">
        <w:rPr>
          <w:szCs w:val="24"/>
        </w:rPr>
        <w:t>ENTORA</w:t>
      </w:r>
      <w:r w:rsidRPr="0098047F">
        <w:rPr>
          <w:szCs w:val="24"/>
        </w:rPr>
        <w:t>.</w:t>
      </w:r>
    </w:p>
    <w:p w14:paraId="7D9A9AE7" w14:textId="77777777" w:rsidR="0051339F" w:rsidRDefault="0051339F" w:rsidP="003173CE">
      <w:pPr>
        <w:rPr>
          <w:szCs w:val="24"/>
        </w:rPr>
      </w:pPr>
    </w:p>
    <w:p w14:paraId="2F359092" w14:textId="77777777" w:rsidR="0051339F" w:rsidRDefault="0051339F" w:rsidP="003173CE">
      <w:pPr>
        <w:rPr>
          <w:szCs w:val="24"/>
        </w:rPr>
      </w:pPr>
      <w:r>
        <w:rPr>
          <w:szCs w:val="24"/>
        </w:rPr>
        <w:t xml:space="preserve">When switching from another oral fentanyl citrate product, independent dose titration is required as bioavailability between products differ significantly. </w:t>
      </w:r>
    </w:p>
    <w:p w14:paraId="34F8063C" w14:textId="77777777" w:rsidR="0051339F" w:rsidRPr="0098047F" w:rsidRDefault="0051339F" w:rsidP="003173CE">
      <w:pPr>
        <w:rPr>
          <w:szCs w:val="24"/>
        </w:rPr>
      </w:pPr>
    </w:p>
    <w:p w14:paraId="2A13F36E" w14:textId="77777777" w:rsidR="0029051D" w:rsidRPr="0098047F" w:rsidRDefault="0029051D">
      <w:pPr>
        <w:pStyle w:val="Heading9"/>
        <w:rPr>
          <w:szCs w:val="24"/>
        </w:rPr>
      </w:pPr>
      <w:r w:rsidRPr="0098047F">
        <w:rPr>
          <w:szCs w:val="24"/>
        </w:rPr>
        <w:t>Special Risk Patients</w:t>
      </w:r>
    </w:p>
    <w:p w14:paraId="5A6E8F50" w14:textId="77777777" w:rsidR="003173CE" w:rsidRPr="0098047F" w:rsidRDefault="003173CE" w:rsidP="003173CE">
      <w:pPr>
        <w:autoSpaceDE w:val="0"/>
        <w:autoSpaceDN w:val="0"/>
        <w:adjustRightInd w:val="0"/>
        <w:rPr>
          <w:i/>
          <w:color w:val="000000"/>
          <w:szCs w:val="24"/>
          <w:u w:val="single"/>
          <w:lang w:eastAsia="fr-FR"/>
        </w:rPr>
      </w:pPr>
      <w:r w:rsidRPr="0098047F">
        <w:rPr>
          <w:i/>
          <w:color w:val="000000"/>
          <w:szCs w:val="24"/>
          <w:u w:val="single"/>
          <w:lang w:eastAsia="fr-FR"/>
        </w:rPr>
        <w:t xml:space="preserve">Respiratory depression </w:t>
      </w:r>
    </w:p>
    <w:p w14:paraId="5E7CCD6C" w14:textId="77777777" w:rsidR="003173CE" w:rsidRPr="0098047F" w:rsidRDefault="003173CE" w:rsidP="003173CE">
      <w:pPr>
        <w:rPr>
          <w:szCs w:val="24"/>
        </w:rPr>
      </w:pPr>
      <w:r w:rsidRPr="0098047F">
        <w:rPr>
          <w:szCs w:val="24"/>
        </w:rPr>
        <w:t xml:space="preserve">As with all opioids, there is a risk of clinically significant respiratory depression associated with the use of fentanyl. Improper patient selection (e.g., use in patients without maintenance opioid therapy) and/or improper dosing have resulted in fatal outcome with </w:t>
      </w:r>
      <w:r w:rsidR="00DE564B" w:rsidRPr="0098047F">
        <w:rPr>
          <w:szCs w:val="24"/>
        </w:rPr>
        <w:t>F</w:t>
      </w:r>
      <w:r w:rsidR="001A3E3E" w:rsidRPr="0098047F">
        <w:rPr>
          <w:szCs w:val="24"/>
        </w:rPr>
        <w:t>ENTORA</w:t>
      </w:r>
      <w:r w:rsidRPr="0098047F">
        <w:rPr>
          <w:szCs w:val="24"/>
        </w:rPr>
        <w:t xml:space="preserve"> as well as with other fentanyl products. </w:t>
      </w:r>
    </w:p>
    <w:p w14:paraId="74E18E82" w14:textId="77777777" w:rsidR="00DC77D4" w:rsidRPr="0098047F" w:rsidRDefault="00DC77D4" w:rsidP="003173CE">
      <w:pPr>
        <w:rPr>
          <w:szCs w:val="24"/>
        </w:rPr>
      </w:pPr>
    </w:p>
    <w:p w14:paraId="0C250F1C" w14:textId="77777777" w:rsidR="003173CE" w:rsidRPr="0098047F" w:rsidRDefault="00DE564B" w:rsidP="003173CE">
      <w:pPr>
        <w:rPr>
          <w:szCs w:val="24"/>
        </w:rPr>
      </w:pPr>
      <w:r w:rsidRPr="0098047F">
        <w:rPr>
          <w:szCs w:val="24"/>
        </w:rPr>
        <w:t>F</w:t>
      </w:r>
      <w:r w:rsidR="001A3E3E" w:rsidRPr="0098047F">
        <w:rPr>
          <w:szCs w:val="24"/>
        </w:rPr>
        <w:t>ENTORA</w:t>
      </w:r>
      <w:r w:rsidR="003173CE" w:rsidRPr="0098047F">
        <w:rPr>
          <w:szCs w:val="24"/>
        </w:rPr>
        <w:t xml:space="preserve"> should only be used for conditions specified in </w:t>
      </w:r>
      <w:r w:rsidR="00273345" w:rsidRPr="0098047F">
        <w:rPr>
          <w:szCs w:val="24"/>
        </w:rPr>
        <w:t xml:space="preserve">INDICATIONS. </w:t>
      </w:r>
    </w:p>
    <w:p w14:paraId="04C15EA5" w14:textId="77777777" w:rsidR="003173CE" w:rsidRDefault="003173CE" w:rsidP="003173CE">
      <w:pPr>
        <w:rPr>
          <w:szCs w:val="24"/>
        </w:rPr>
      </w:pPr>
    </w:p>
    <w:p w14:paraId="09589FA2" w14:textId="77777777" w:rsidR="009626FA" w:rsidRDefault="009626FA" w:rsidP="009626FA">
      <w:pPr>
        <w:rPr>
          <w:i/>
          <w:szCs w:val="24"/>
          <w:u w:val="single"/>
        </w:rPr>
      </w:pPr>
      <w:r w:rsidRPr="00572A1D">
        <w:rPr>
          <w:i/>
          <w:szCs w:val="24"/>
          <w:u w:val="single"/>
        </w:rPr>
        <w:t>CNS Depression</w:t>
      </w:r>
    </w:p>
    <w:p w14:paraId="27F0CC77" w14:textId="77777777" w:rsidR="009626FA" w:rsidRPr="009626FA" w:rsidRDefault="009626FA" w:rsidP="009626FA">
      <w:pPr>
        <w:rPr>
          <w:szCs w:val="24"/>
        </w:rPr>
      </w:pPr>
      <w:r w:rsidRPr="009626FA">
        <w:rPr>
          <w:szCs w:val="24"/>
        </w:rPr>
        <w:t>Use of FENTORA in combination with other CNS depressants can result in increase</w:t>
      </w:r>
      <w:r>
        <w:rPr>
          <w:szCs w:val="24"/>
        </w:rPr>
        <w:t>d</w:t>
      </w:r>
      <w:r w:rsidRPr="009626FA">
        <w:rPr>
          <w:szCs w:val="24"/>
        </w:rPr>
        <w:t xml:space="preserve"> risk to patients.</w:t>
      </w:r>
      <w:r>
        <w:rPr>
          <w:szCs w:val="24"/>
        </w:rPr>
        <w:t xml:space="preserve"> </w:t>
      </w:r>
      <w:r w:rsidRPr="009626FA">
        <w:rPr>
          <w:szCs w:val="24"/>
        </w:rPr>
        <w:t>(see INTERACTIONS WITH OTHER MEDICINES).</w:t>
      </w:r>
    </w:p>
    <w:p w14:paraId="5BE0B710" w14:textId="77777777" w:rsidR="009626FA" w:rsidRPr="0098047F" w:rsidRDefault="009626FA" w:rsidP="003173CE">
      <w:pPr>
        <w:rPr>
          <w:szCs w:val="24"/>
        </w:rPr>
      </w:pPr>
    </w:p>
    <w:p w14:paraId="56DBC5BD" w14:textId="77777777" w:rsidR="003173CE" w:rsidRPr="0098047F" w:rsidRDefault="003173CE" w:rsidP="003173CE">
      <w:pPr>
        <w:rPr>
          <w:i/>
          <w:szCs w:val="24"/>
          <w:u w:val="single"/>
        </w:rPr>
      </w:pPr>
      <w:r w:rsidRPr="0098047F">
        <w:rPr>
          <w:i/>
          <w:szCs w:val="24"/>
          <w:u w:val="single"/>
        </w:rPr>
        <w:t>Chronic obstructive pulmonary disease</w:t>
      </w:r>
    </w:p>
    <w:p w14:paraId="483DD733" w14:textId="77777777" w:rsidR="003173CE" w:rsidRPr="0098047F" w:rsidRDefault="003173CE" w:rsidP="003173CE">
      <w:pPr>
        <w:rPr>
          <w:szCs w:val="24"/>
        </w:rPr>
      </w:pPr>
      <w:r w:rsidRPr="0098047F">
        <w:rPr>
          <w:szCs w:val="24"/>
        </w:rPr>
        <w:t xml:space="preserve">Particular caution should be used when titrating </w:t>
      </w:r>
      <w:r w:rsidR="00DE564B" w:rsidRPr="0098047F">
        <w:rPr>
          <w:szCs w:val="24"/>
        </w:rPr>
        <w:t>F</w:t>
      </w:r>
      <w:r w:rsidR="001A3E3E" w:rsidRPr="0098047F">
        <w:rPr>
          <w:szCs w:val="24"/>
        </w:rPr>
        <w:t>ENTORA</w:t>
      </w:r>
      <w:r w:rsidRPr="0098047F">
        <w:rPr>
          <w:szCs w:val="24"/>
        </w:rPr>
        <w:t xml:space="preserve"> in patients with non-severe </w:t>
      </w:r>
      <w:bookmarkStart w:id="1" w:name="OLE_LINK6"/>
      <w:r w:rsidRPr="0098047F">
        <w:rPr>
          <w:szCs w:val="24"/>
        </w:rPr>
        <w:t>chronic obstructive pulmonary disease</w:t>
      </w:r>
      <w:bookmarkEnd w:id="1"/>
      <w:r w:rsidRPr="0098047F">
        <w:rPr>
          <w:szCs w:val="24"/>
        </w:rPr>
        <w:t xml:space="preserve"> or other medical conditions predisposing them to respiratory depression, as even normally therapeutic doses of </w:t>
      </w:r>
      <w:r w:rsidR="00DE564B" w:rsidRPr="0098047F">
        <w:rPr>
          <w:szCs w:val="24"/>
        </w:rPr>
        <w:t>F</w:t>
      </w:r>
      <w:r w:rsidR="001A3E3E" w:rsidRPr="0098047F">
        <w:rPr>
          <w:szCs w:val="24"/>
        </w:rPr>
        <w:t>ENTORA</w:t>
      </w:r>
      <w:r w:rsidRPr="0098047F">
        <w:rPr>
          <w:szCs w:val="24"/>
        </w:rPr>
        <w:t xml:space="preserve"> may further decrease respiratory drive to the point of respiratory failure.</w:t>
      </w:r>
    </w:p>
    <w:p w14:paraId="07759CD1" w14:textId="77777777" w:rsidR="003173CE" w:rsidRPr="0098047F" w:rsidRDefault="003173CE" w:rsidP="003173CE">
      <w:pPr>
        <w:rPr>
          <w:szCs w:val="24"/>
        </w:rPr>
      </w:pPr>
    </w:p>
    <w:p w14:paraId="460DB6DF" w14:textId="77777777" w:rsidR="003173CE" w:rsidRPr="0098047F" w:rsidRDefault="003173CE" w:rsidP="003173CE">
      <w:pPr>
        <w:rPr>
          <w:i/>
          <w:szCs w:val="24"/>
          <w:u w:val="single"/>
        </w:rPr>
      </w:pPr>
      <w:r w:rsidRPr="0098047F">
        <w:rPr>
          <w:i/>
          <w:szCs w:val="24"/>
          <w:u w:val="single"/>
        </w:rPr>
        <w:t>Increased intracranial pressure, impaired consciousness</w:t>
      </w:r>
    </w:p>
    <w:p w14:paraId="172D64A7" w14:textId="77777777" w:rsidR="003173CE" w:rsidRPr="0098047F" w:rsidRDefault="00DE564B" w:rsidP="003173CE">
      <w:pPr>
        <w:rPr>
          <w:szCs w:val="24"/>
        </w:rPr>
      </w:pPr>
      <w:r w:rsidRPr="0098047F">
        <w:rPr>
          <w:szCs w:val="24"/>
        </w:rPr>
        <w:lastRenderedPageBreak/>
        <w:t>F</w:t>
      </w:r>
      <w:r w:rsidR="001A3E3E" w:rsidRPr="0098047F">
        <w:rPr>
          <w:szCs w:val="24"/>
        </w:rPr>
        <w:t>ENTORA</w:t>
      </w:r>
      <w:r w:rsidR="003173CE" w:rsidRPr="0098047F">
        <w:rPr>
          <w:szCs w:val="24"/>
        </w:rPr>
        <w:t xml:space="preserve"> should only be administered with extreme caution in patients who may be particularly susceptible to the intracranial effects of CO</w:t>
      </w:r>
      <w:r w:rsidR="003173CE" w:rsidRPr="0098047F">
        <w:rPr>
          <w:szCs w:val="24"/>
          <w:vertAlign w:val="subscript"/>
        </w:rPr>
        <w:t>2</w:t>
      </w:r>
      <w:r w:rsidR="003173CE" w:rsidRPr="0098047F">
        <w:rPr>
          <w:szCs w:val="24"/>
        </w:rPr>
        <w:t xml:space="preserve"> retention, such as those with evidence of increased intracranial pressure or impaired consciousness. Opioids may obscure the clinical course of a patient with a head injury and should be used only if clinically warranted.</w:t>
      </w:r>
    </w:p>
    <w:p w14:paraId="437B13C3" w14:textId="77777777" w:rsidR="00B5498E" w:rsidRPr="0098047F" w:rsidRDefault="00B5498E" w:rsidP="003173CE">
      <w:pPr>
        <w:rPr>
          <w:i/>
          <w:szCs w:val="24"/>
          <w:u w:val="single"/>
        </w:rPr>
      </w:pPr>
      <w:r w:rsidRPr="0098047F">
        <w:rPr>
          <w:i/>
          <w:szCs w:val="24"/>
          <w:u w:val="single"/>
        </w:rPr>
        <w:br/>
        <w:t>Cardiovascular</w:t>
      </w:r>
    </w:p>
    <w:p w14:paraId="63B20969" w14:textId="77777777" w:rsidR="003173CE" w:rsidRPr="0098047F" w:rsidRDefault="003173CE" w:rsidP="003173CE">
      <w:pPr>
        <w:rPr>
          <w:szCs w:val="24"/>
        </w:rPr>
      </w:pPr>
      <w:r w:rsidRPr="0098047F">
        <w:rPr>
          <w:szCs w:val="24"/>
        </w:rPr>
        <w:t xml:space="preserve">Intravenous fentanyl may produce bradycardia. In clinical trials with </w:t>
      </w:r>
      <w:r w:rsidR="00DE564B" w:rsidRPr="0098047F">
        <w:rPr>
          <w:szCs w:val="24"/>
        </w:rPr>
        <w:t>F</w:t>
      </w:r>
      <w:r w:rsidR="001A3E3E" w:rsidRPr="0098047F">
        <w:rPr>
          <w:szCs w:val="24"/>
        </w:rPr>
        <w:t>ENTORA</w:t>
      </w:r>
      <w:r w:rsidRPr="0098047F">
        <w:rPr>
          <w:szCs w:val="24"/>
        </w:rPr>
        <w:t xml:space="preserve">, no clear evidence for bradycardia was observed. However, </w:t>
      </w:r>
      <w:r w:rsidR="00DE564B" w:rsidRPr="0098047F">
        <w:rPr>
          <w:szCs w:val="24"/>
        </w:rPr>
        <w:t>F</w:t>
      </w:r>
      <w:r w:rsidR="001A3E3E" w:rsidRPr="0098047F">
        <w:rPr>
          <w:szCs w:val="24"/>
        </w:rPr>
        <w:t>ENTORA</w:t>
      </w:r>
      <w:r w:rsidRPr="0098047F">
        <w:rPr>
          <w:szCs w:val="24"/>
        </w:rPr>
        <w:t xml:space="preserve"> should be used with caution in patients with pre-existing bradyarrhythmias.</w:t>
      </w:r>
    </w:p>
    <w:p w14:paraId="401FFEBA" w14:textId="77777777" w:rsidR="00B5498E" w:rsidRPr="0098047F" w:rsidRDefault="00B5498E" w:rsidP="003173CE">
      <w:pPr>
        <w:rPr>
          <w:szCs w:val="24"/>
        </w:rPr>
      </w:pPr>
    </w:p>
    <w:p w14:paraId="267BE988" w14:textId="77777777" w:rsidR="00B5498E" w:rsidRPr="0098047F" w:rsidRDefault="00B5498E" w:rsidP="003173CE">
      <w:pPr>
        <w:rPr>
          <w:szCs w:val="24"/>
        </w:rPr>
      </w:pPr>
      <w:r w:rsidRPr="0098047F">
        <w:rPr>
          <w:szCs w:val="24"/>
        </w:rPr>
        <w:t>Careful consideration should be given to patients with hypovolaemia and hypotension.</w:t>
      </w:r>
    </w:p>
    <w:p w14:paraId="7ABAD694" w14:textId="77777777" w:rsidR="0029051D" w:rsidRPr="0098047F" w:rsidRDefault="0029051D">
      <w:pPr>
        <w:rPr>
          <w:szCs w:val="24"/>
        </w:rPr>
      </w:pPr>
    </w:p>
    <w:p w14:paraId="6CC6D33D" w14:textId="77777777" w:rsidR="0029051D" w:rsidRPr="0098047F" w:rsidRDefault="0029051D">
      <w:pPr>
        <w:pStyle w:val="Heading9"/>
        <w:tabs>
          <w:tab w:val="left" w:pos="360"/>
        </w:tabs>
        <w:rPr>
          <w:rFonts w:eastAsia="Times"/>
          <w:b w:val="0"/>
          <w:i/>
          <w:szCs w:val="24"/>
          <w:u w:val="single"/>
        </w:rPr>
      </w:pPr>
      <w:r w:rsidRPr="0098047F">
        <w:rPr>
          <w:rFonts w:eastAsia="Times"/>
          <w:b w:val="0"/>
          <w:i/>
          <w:szCs w:val="24"/>
          <w:u w:val="single"/>
        </w:rPr>
        <w:t>Hepatic and Renal Impairment</w:t>
      </w:r>
    </w:p>
    <w:p w14:paraId="22A2C585" w14:textId="77777777" w:rsidR="00B5498E" w:rsidRPr="0098047F" w:rsidRDefault="00DE564B" w:rsidP="003173CE">
      <w:pPr>
        <w:rPr>
          <w:szCs w:val="24"/>
        </w:rPr>
      </w:pPr>
      <w:r w:rsidRPr="0098047F">
        <w:rPr>
          <w:szCs w:val="24"/>
        </w:rPr>
        <w:t>F</w:t>
      </w:r>
      <w:r w:rsidR="001A3E3E" w:rsidRPr="0098047F">
        <w:rPr>
          <w:szCs w:val="24"/>
        </w:rPr>
        <w:t>ENTORA</w:t>
      </w:r>
      <w:r w:rsidR="003173CE" w:rsidRPr="0098047F">
        <w:rPr>
          <w:szCs w:val="24"/>
        </w:rPr>
        <w:t xml:space="preserve"> should be administered with caution to patients with hepatic or renal impairment.  The influence of hepatic and renal impairment on the pharmacokinetics of the medicinal product has not been evaluated, however, when administered intravenously the clearance of fentanyl has been shown to be altered in hepatic and renal impairment due to alterations in metabolic clearance and plasma proteins. After administration of </w:t>
      </w:r>
      <w:r w:rsidRPr="0098047F">
        <w:rPr>
          <w:szCs w:val="24"/>
        </w:rPr>
        <w:t>F</w:t>
      </w:r>
      <w:r w:rsidR="001A3E3E" w:rsidRPr="0098047F">
        <w:rPr>
          <w:szCs w:val="24"/>
        </w:rPr>
        <w:t>ENTORA</w:t>
      </w:r>
      <w:r w:rsidR="003173CE" w:rsidRPr="0098047F">
        <w:rPr>
          <w:szCs w:val="24"/>
        </w:rPr>
        <w:t>, impaired hepatic and renal function may both increase the bioavailability of swallowed fentanyl and decrease its systemic clearance, which could lead to increased and prolonged opioid effects.</w:t>
      </w:r>
    </w:p>
    <w:p w14:paraId="59804A9E" w14:textId="77777777" w:rsidR="00B5498E" w:rsidRPr="0098047F" w:rsidRDefault="00B5498E" w:rsidP="003173CE">
      <w:pPr>
        <w:rPr>
          <w:szCs w:val="24"/>
        </w:rPr>
      </w:pPr>
    </w:p>
    <w:p w14:paraId="29BB7E4B" w14:textId="77777777" w:rsidR="003173CE" w:rsidRPr="0098047F" w:rsidRDefault="003173CE" w:rsidP="003173CE">
      <w:pPr>
        <w:rPr>
          <w:szCs w:val="24"/>
        </w:rPr>
      </w:pPr>
      <w:r w:rsidRPr="0098047F">
        <w:rPr>
          <w:szCs w:val="24"/>
        </w:rPr>
        <w:t xml:space="preserve"> Therefore, special care should be taken during the titration process in patients with moderate or severe hepatic or renal impairment.</w:t>
      </w:r>
    </w:p>
    <w:p w14:paraId="18E8D67E" w14:textId="77777777" w:rsidR="002E2F9D" w:rsidRDefault="002E2F9D" w:rsidP="003173CE">
      <w:pPr>
        <w:rPr>
          <w:szCs w:val="24"/>
        </w:rPr>
      </w:pPr>
    </w:p>
    <w:p w14:paraId="3779720C" w14:textId="77777777" w:rsidR="0068365D" w:rsidRPr="002D600C" w:rsidRDefault="009626FA" w:rsidP="009626FA">
      <w:pPr>
        <w:pStyle w:val="PSURParagraph1"/>
        <w:rPr>
          <w:i/>
          <w:iCs/>
          <w:szCs w:val="24"/>
          <w:u w:val="single"/>
        </w:rPr>
      </w:pPr>
      <w:r w:rsidRPr="002D600C">
        <w:rPr>
          <w:i/>
          <w:iCs/>
          <w:szCs w:val="24"/>
          <w:u w:val="single"/>
        </w:rPr>
        <w:t>Serotonin Syndrome</w:t>
      </w:r>
    </w:p>
    <w:p w14:paraId="4918FAC5" w14:textId="77777777" w:rsidR="009626FA" w:rsidRPr="0068365D" w:rsidRDefault="009626FA" w:rsidP="009626FA">
      <w:pPr>
        <w:pStyle w:val="PSURParagraph1"/>
        <w:rPr>
          <w:i/>
          <w:iCs/>
          <w:sz w:val="26"/>
          <w:szCs w:val="26"/>
          <w:u w:val="single"/>
        </w:rPr>
      </w:pPr>
      <w:r>
        <w:t>Caution is advised when fentanyl is coadministered with drugs that affect the serotoninergic neurotransmitter systems.</w:t>
      </w:r>
    </w:p>
    <w:p w14:paraId="5E592B2F" w14:textId="77777777" w:rsidR="009626FA" w:rsidRDefault="009626FA" w:rsidP="009626FA">
      <w:pPr>
        <w:pStyle w:val="PSURParagraph1"/>
      </w:pPr>
      <w:r>
        <w:t>The development of a potentially life-threatening serotonin syndrome may occur with the concomitant use of serotonergic drugs such as Selective Serotonin Re-uptake Inhibitors (SSRIs) and Serotonin Norepinephrine Re-uptake Inhibitors (SNRIs), and with drugs which impair metabolism of serotonin (including Monoamine Oxidase Inhibitors [MAOIs]). This may occur within the recommended dose.</w:t>
      </w:r>
    </w:p>
    <w:p w14:paraId="1DDA9F31" w14:textId="77777777" w:rsidR="009626FA" w:rsidRDefault="009626FA" w:rsidP="009626FA">
      <w:pPr>
        <w:pStyle w:val="PSURParagraph1"/>
      </w:pPr>
      <w:r>
        <w:t xml:space="preserve">Serotonin syndrome may include mental-status changes (e.g., agitation, hallucinations, coma), autonomic instability (e.g., tachycardia, labile blood pressure, hyperthermia), neuromuscular abnormalities (e.g., hyperreflexia, incoordination, rigidity), and/or gastrointestinal symptoms (e.g., nausea, vomiting, diarrhoea). </w:t>
      </w:r>
    </w:p>
    <w:p w14:paraId="6719CA9A" w14:textId="77777777" w:rsidR="009626FA" w:rsidRPr="0068365D" w:rsidRDefault="009626FA" w:rsidP="0068365D">
      <w:pPr>
        <w:pStyle w:val="PSURParagraph1"/>
        <w:rPr>
          <w:bCs/>
        </w:rPr>
      </w:pPr>
      <w:r>
        <w:t>If serotonin syndrome is suspected, treatment with fentanyl should be discontinued.</w:t>
      </w:r>
    </w:p>
    <w:p w14:paraId="637E71CD" w14:textId="77777777" w:rsidR="009626FA" w:rsidRPr="0098047F" w:rsidRDefault="009626FA" w:rsidP="003173CE">
      <w:pPr>
        <w:rPr>
          <w:szCs w:val="24"/>
        </w:rPr>
      </w:pPr>
    </w:p>
    <w:p w14:paraId="04E0A8FB" w14:textId="77777777" w:rsidR="009A72BE" w:rsidRPr="0098047F" w:rsidRDefault="009A72BE" w:rsidP="009A72BE">
      <w:pPr>
        <w:rPr>
          <w:i/>
          <w:szCs w:val="24"/>
          <w:u w:val="single"/>
        </w:rPr>
      </w:pPr>
      <w:r w:rsidRPr="0098047F">
        <w:rPr>
          <w:i/>
          <w:szCs w:val="24"/>
          <w:u w:val="single"/>
        </w:rPr>
        <w:t>Tolerance, dependence</w:t>
      </w:r>
    </w:p>
    <w:p w14:paraId="39BF610D" w14:textId="77777777" w:rsidR="009A72BE" w:rsidRPr="0098047F" w:rsidRDefault="009A72BE" w:rsidP="009A72BE">
      <w:pPr>
        <w:rPr>
          <w:szCs w:val="24"/>
        </w:rPr>
      </w:pPr>
      <w:r w:rsidRPr="0098047F">
        <w:rPr>
          <w:szCs w:val="24"/>
        </w:rPr>
        <w:lastRenderedPageBreak/>
        <w:t>Tolerance and physical and/or psychological dependence may develop upon repeated administration of opioids such as fentanyl.  However, iatrogenic addiction following therapeutic use of opioids is rare.</w:t>
      </w:r>
    </w:p>
    <w:p w14:paraId="7DFB0E94" w14:textId="77777777" w:rsidR="009A72BE" w:rsidRDefault="009A72BE" w:rsidP="009A72BE">
      <w:pPr>
        <w:rPr>
          <w:szCs w:val="24"/>
        </w:rPr>
      </w:pPr>
    </w:p>
    <w:p w14:paraId="236B4252" w14:textId="77777777" w:rsidR="00E62CF0" w:rsidRDefault="00E62CF0" w:rsidP="009A72BE">
      <w:pPr>
        <w:rPr>
          <w:i/>
          <w:szCs w:val="24"/>
          <w:u w:val="single"/>
        </w:rPr>
      </w:pPr>
      <w:r>
        <w:rPr>
          <w:i/>
          <w:szCs w:val="24"/>
          <w:u w:val="single"/>
        </w:rPr>
        <w:t>Application site</w:t>
      </w:r>
    </w:p>
    <w:p w14:paraId="64DC15AF" w14:textId="77777777" w:rsidR="009665AA" w:rsidRDefault="007C10CF" w:rsidP="009A72BE">
      <w:pPr>
        <w:rPr>
          <w:szCs w:val="24"/>
        </w:rPr>
      </w:pPr>
      <w:r w:rsidRPr="00C91045">
        <w:rPr>
          <w:szCs w:val="24"/>
        </w:rPr>
        <w:t>Application site reactions, including gum bleeding, irritation, pain and ulcer have been reported in post-marketing use. Therefore c</w:t>
      </w:r>
      <w:r w:rsidR="009665AA" w:rsidRPr="00C91045">
        <w:rPr>
          <w:szCs w:val="24"/>
        </w:rPr>
        <w:t xml:space="preserve">aution is advised </w:t>
      </w:r>
      <w:r w:rsidR="009C496D" w:rsidRPr="00C91045">
        <w:rPr>
          <w:szCs w:val="24"/>
        </w:rPr>
        <w:t>for patients with mucositis a</w:t>
      </w:r>
      <w:r w:rsidRPr="00C91045">
        <w:rPr>
          <w:szCs w:val="24"/>
        </w:rPr>
        <w:t>nd local tolerability issues.</w:t>
      </w:r>
    </w:p>
    <w:p w14:paraId="6A38C8DE" w14:textId="77777777" w:rsidR="00AA5718" w:rsidRPr="007C10CF" w:rsidRDefault="00AA5718" w:rsidP="009A72BE">
      <w:pPr>
        <w:rPr>
          <w:szCs w:val="24"/>
        </w:rPr>
      </w:pPr>
    </w:p>
    <w:p w14:paraId="1F7ED4E0" w14:textId="77777777" w:rsidR="009A72BE" w:rsidRPr="0098047F" w:rsidRDefault="009A72BE" w:rsidP="009A72BE">
      <w:pPr>
        <w:tabs>
          <w:tab w:val="left" w:pos="1620"/>
        </w:tabs>
        <w:rPr>
          <w:i/>
          <w:szCs w:val="24"/>
          <w:u w:val="single"/>
        </w:rPr>
      </w:pPr>
      <w:r w:rsidRPr="0098047F">
        <w:rPr>
          <w:i/>
          <w:szCs w:val="24"/>
          <w:u w:val="single"/>
        </w:rPr>
        <w:t>Controlled sodium diet</w:t>
      </w:r>
    </w:p>
    <w:p w14:paraId="5FB96240" w14:textId="64C67ED1" w:rsidR="009A72BE" w:rsidRDefault="009A72BE" w:rsidP="009A72BE">
      <w:pPr>
        <w:tabs>
          <w:tab w:val="left" w:pos="1620"/>
        </w:tabs>
        <w:rPr>
          <w:szCs w:val="24"/>
        </w:rPr>
      </w:pPr>
      <w:r w:rsidRPr="0098047F">
        <w:rPr>
          <w:szCs w:val="24"/>
        </w:rPr>
        <w:t xml:space="preserve">This medicinal product contains </w:t>
      </w:r>
      <w:r w:rsidR="00775150">
        <w:rPr>
          <w:szCs w:val="24"/>
        </w:rPr>
        <w:t>10</w:t>
      </w:r>
      <w:r w:rsidR="00775150" w:rsidRPr="0098047F">
        <w:rPr>
          <w:szCs w:val="24"/>
        </w:rPr>
        <w:t> </w:t>
      </w:r>
      <w:r w:rsidRPr="0098047F">
        <w:rPr>
          <w:szCs w:val="24"/>
        </w:rPr>
        <w:t>mg sodium per</w:t>
      </w:r>
      <w:r w:rsidR="00063D0C">
        <w:rPr>
          <w:szCs w:val="24"/>
        </w:rPr>
        <w:t xml:space="preserve"> 100</w:t>
      </w:r>
      <w:r w:rsidR="00976A0E">
        <w:rPr>
          <w:szCs w:val="24"/>
        </w:rPr>
        <w:t xml:space="preserve"> micrograms</w:t>
      </w:r>
      <w:r w:rsidRPr="0098047F">
        <w:rPr>
          <w:szCs w:val="24"/>
        </w:rPr>
        <w:t xml:space="preserve"> tablet</w:t>
      </w:r>
      <w:r w:rsidR="00063D0C">
        <w:rPr>
          <w:szCs w:val="24"/>
        </w:rPr>
        <w:t xml:space="preserve">, and </w:t>
      </w:r>
      <w:r w:rsidR="00775150">
        <w:rPr>
          <w:szCs w:val="24"/>
        </w:rPr>
        <w:t xml:space="preserve">20 </w:t>
      </w:r>
      <w:r w:rsidR="00063D0C">
        <w:rPr>
          <w:szCs w:val="24"/>
        </w:rPr>
        <w:t xml:space="preserve">mg sodium per 400, 600 and 800 </w:t>
      </w:r>
      <w:r w:rsidR="00976A0E">
        <w:rPr>
          <w:szCs w:val="24"/>
        </w:rPr>
        <w:t>micrograms</w:t>
      </w:r>
      <w:r w:rsidR="00063D0C">
        <w:rPr>
          <w:szCs w:val="24"/>
        </w:rPr>
        <w:t xml:space="preserve"> tablet</w:t>
      </w:r>
      <w:r w:rsidRPr="0098047F">
        <w:rPr>
          <w:szCs w:val="24"/>
        </w:rPr>
        <w:t>. To be taken into consideration by patients on a controlled sodium diet.</w:t>
      </w:r>
    </w:p>
    <w:p w14:paraId="65FB1906" w14:textId="77777777" w:rsidR="00E9044B" w:rsidRDefault="00E9044B" w:rsidP="009A72BE">
      <w:pPr>
        <w:tabs>
          <w:tab w:val="left" w:pos="1620"/>
        </w:tabs>
        <w:rPr>
          <w:szCs w:val="24"/>
        </w:rPr>
      </w:pPr>
    </w:p>
    <w:p w14:paraId="6CFBEAF8" w14:textId="77777777" w:rsidR="00E9044B" w:rsidRPr="002D600C" w:rsidRDefault="00E9044B" w:rsidP="009A72BE">
      <w:pPr>
        <w:tabs>
          <w:tab w:val="left" w:pos="1620"/>
        </w:tabs>
        <w:rPr>
          <w:i/>
          <w:szCs w:val="24"/>
        </w:rPr>
      </w:pPr>
      <w:r w:rsidRPr="002D600C">
        <w:rPr>
          <w:i/>
          <w:szCs w:val="24"/>
        </w:rPr>
        <w:t>Anaphylaxis and hypersensitivity</w:t>
      </w:r>
    </w:p>
    <w:p w14:paraId="17722C99" w14:textId="77777777" w:rsidR="00E9044B" w:rsidRPr="0098047F" w:rsidRDefault="00E9044B" w:rsidP="009A72BE">
      <w:pPr>
        <w:tabs>
          <w:tab w:val="left" w:pos="1620"/>
        </w:tabs>
        <w:rPr>
          <w:szCs w:val="24"/>
        </w:rPr>
      </w:pPr>
      <w:r>
        <w:rPr>
          <w:szCs w:val="24"/>
        </w:rPr>
        <w:t>Anaphylaxis and hypersensitivity have been reported in association with the use of oral transmucosal fentanyl products.</w:t>
      </w:r>
    </w:p>
    <w:p w14:paraId="1225B0D8" w14:textId="77777777" w:rsidR="002E2F9D" w:rsidRPr="0098047F" w:rsidRDefault="002E2F9D" w:rsidP="003173CE">
      <w:pPr>
        <w:rPr>
          <w:szCs w:val="24"/>
        </w:rPr>
      </w:pPr>
    </w:p>
    <w:p w14:paraId="4AFDF7FB" w14:textId="77777777" w:rsidR="00913CB9" w:rsidRPr="0098047F" w:rsidRDefault="00913CB9">
      <w:pPr>
        <w:tabs>
          <w:tab w:val="left" w:pos="360"/>
        </w:tabs>
        <w:rPr>
          <w:b/>
          <w:szCs w:val="24"/>
        </w:rPr>
      </w:pPr>
    </w:p>
    <w:p w14:paraId="0C1F23CA" w14:textId="77777777" w:rsidR="00261638" w:rsidRPr="0098047F" w:rsidRDefault="00261638">
      <w:pPr>
        <w:tabs>
          <w:tab w:val="left" w:pos="360"/>
        </w:tabs>
        <w:rPr>
          <w:b/>
          <w:szCs w:val="24"/>
        </w:rPr>
      </w:pPr>
      <w:r w:rsidRPr="0098047F">
        <w:rPr>
          <w:b/>
          <w:szCs w:val="24"/>
        </w:rPr>
        <w:t>Effects o</w:t>
      </w:r>
      <w:r w:rsidR="003066F5" w:rsidRPr="0098047F">
        <w:rPr>
          <w:b/>
          <w:szCs w:val="24"/>
        </w:rPr>
        <w:t>n f</w:t>
      </w:r>
      <w:r w:rsidRPr="0098047F">
        <w:rPr>
          <w:b/>
          <w:szCs w:val="24"/>
        </w:rPr>
        <w:t>ertility</w:t>
      </w:r>
    </w:p>
    <w:p w14:paraId="7A78AA5B" w14:textId="77777777" w:rsidR="00775150" w:rsidRPr="0098047F" w:rsidRDefault="00775150">
      <w:pPr>
        <w:tabs>
          <w:tab w:val="left" w:pos="360"/>
        </w:tabs>
        <w:rPr>
          <w:b/>
          <w:szCs w:val="24"/>
        </w:rPr>
      </w:pPr>
    </w:p>
    <w:p w14:paraId="492DC414" w14:textId="39B41855" w:rsidR="00ED3E1D" w:rsidRPr="0098047F" w:rsidRDefault="00AB56E9" w:rsidP="00ED3E1D">
      <w:pPr>
        <w:rPr>
          <w:szCs w:val="24"/>
        </w:rPr>
      </w:pPr>
      <w:r>
        <w:rPr>
          <w:szCs w:val="24"/>
        </w:rPr>
        <w:t xml:space="preserve">When male rats treated with fentanyl for 28 days prior to and during mating were mated with untreated females, adverse effects on sperm parameters, which reduced fertility, were </w:t>
      </w:r>
      <w:r w:rsidR="00ED3E1D" w:rsidRPr="0098047F">
        <w:rPr>
          <w:szCs w:val="24"/>
        </w:rPr>
        <w:t xml:space="preserve">observed at </w:t>
      </w:r>
      <w:r>
        <w:rPr>
          <w:szCs w:val="24"/>
        </w:rPr>
        <w:t xml:space="preserve">a </w:t>
      </w:r>
      <w:r w:rsidR="00ED3E1D" w:rsidRPr="0098047F">
        <w:rPr>
          <w:szCs w:val="24"/>
        </w:rPr>
        <w:t xml:space="preserve">high </w:t>
      </w:r>
      <w:r>
        <w:rPr>
          <w:szCs w:val="24"/>
        </w:rPr>
        <w:t xml:space="preserve">subcutaneous </w:t>
      </w:r>
      <w:r w:rsidR="00ED3E1D" w:rsidRPr="0098047F">
        <w:rPr>
          <w:szCs w:val="24"/>
        </w:rPr>
        <w:t xml:space="preserve">dose </w:t>
      </w:r>
      <w:r>
        <w:rPr>
          <w:szCs w:val="24"/>
        </w:rPr>
        <w:t xml:space="preserve">of </w:t>
      </w:r>
      <w:r w:rsidR="00ED3E1D" w:rsidRPr="0098047F">
        <w:rPr>
          <w:szCs w:val="24"/>
        </w:rPr>
        <w:t xml:space="preserve">300 </w:t>
      </w:r>
      <w:r w:rsidRPr="00AB56E9">
        <w:rPr>
          <w:rFonts w:ascii="Calibri" w:hAnsi="Calibri" w:cs="Calibri"/>
          <w:kern w:val="2"/>
          <w:u w:val="single"/>
        </w:rPr>
        <w:t>µ</w:t>
      </w:r>
      <w:r w:rsidRPr="00AB56E9">
        <w:rPr>
          <w:rFonts w:ascii="Calibri" w:hAnsi="Calibri" w:cs="Calibri"/>
          <w:kern w:val="2"/>
        </w:rPr>
        <w:t>g</w:t>
      </w:r>
      <w:r w:rsidR="00ED3E1D" w:rsidRPr="0098047F">
        <w:rPr>
          <w:szCs w:val="24"/>
        </w:rPr>
        <w:t>/kg/day</w:t>
      </w:r>
      <w:r>
        <w:rPr>
          <w:szCs w:val="24"/>
        </w:rPr>
        <w:t xml:space="preserve"> that also resulted in mortalities</w:t>
      </w:r>
      <w:r w:rsidR="00ED3E1D" w:rsidRPr="0098047F">
        <w:rPr>
          <w:szCs w:val="24"/>
        </w:rPr>
        <w:t>.</w:t>
      </w:r>
      <w:r>
        <w:rPr>
          <w:szCs w:val="24"/>
        </w:rPr>
        <w:t xml:space="preserve"> No effects on fertility were observed following administration of the same dose to females mated with untreated males. Estimated fentanyl exposure (plasma AUC) at this dose was about 10-fold that observed following a single dose of </w:t>
      </w:r>
      <w:r w:rsidRPr="00AB56E9">
        <w:rPr>
          <w:szCs w:val="24"/>
        </w:rPr>
        <w:t>800 µg fentanyl in humans and about 2-fold that observed after four daily doses of 800 µg fentanyl. Corresponding exposure ratios at the no observed effect level for fertility (100 µg/kg/day) were 3 and 0.6</w:t>
      </w:r>
    </w:p>
    <w:p w14:paraId="465AC315" w14:textId="77777777" w:rsidR="006017B3" w:rsidRPr="0098047F" w:rsidRDefault="006017B3">
      <w:pPr>
        <w:tabs>
          <w:tab w:val="left" w:pos="360"/>
        </w:tabs>
        <w:rPr>
          <w:b/>
          <w:szCs w:val="24"/>
        </w:rPr>
      </w:pPr>
    </w:p>
    <w:p w14:paraId="22FAD1AD" w14:textId="77777777" w:rsidR="00281E84" w:rsidRPr="0098047F" w:rsidRDefault="00281E84">
      <w:pPr>
        <w:rPr>
          <w:rFonts w:eastAsia="Times New Roman"/>
          <w:color w:val="FF0000"/>
          <w:szCs w:val="24"/>
        </w:rPr>
      </w:pPr>
    </w:p>
    <w:p w14:paraId="0B4A938C" w14:textId="77777777" w:rsidR="00F940BA" w:rsidRPr="0098047F" w:rsidRDefault="00F940BA" w:rsidP="00F940BA">
      <w:pPr>
        <w:tabs>
          <w:tab w:val="left" w:pos="360"/>
        </w:tabs>
        <w:rPr>
          <w:b/>
          <w:szCs w:val="24"/>
        </w:rPr>
      </w:pPr>
      <w:r w:rsidRPr="0098047F">
        <w:rPr>
          <w:b/>
          <w:szCs w:val="24"/>
        </w:rPr>
        <w:t>Use in pregnancy (Category C)</w:t>
      </w:r>
    </w:p>
    <w:p w14:paraId="470B1017" w14:textId="77777777" w:rsidR="00F940BA" w:rsidRPr="0098047F" w:rsidRDefault="00F940BA" w:rsidP="00F940BA">
      <w:pPr>
        <w:tabs>
          <w:tab w:val="left" w:pos="360"/>
        </w:tabs>
        <w:rPr>
          <w:b/>
          <w:szCs w:val="24"/>
        </w:rPr>
      </w:pPr>
    </w:p>
    <w:p w14:paraId="0E751EF8" w14:textId="43195AE1" w:rsidR="00F12691" w:rsidRPr="00F12691" w:rsidRDefault="00F12691" w:rsidP="00F12691">
      <w:pPr>
        <w:rPr>
          <w:szCs w:val="24"/>
        </w:rPr>
      </w:pPr>
      <w:r w:rsidRPr="00F12691">
        <w:rPr>
          <w:szCs w:val="24"/>
        </w:rPr>
        <w:t>Fentanyl crosses the placenta in humans and has been found in fetal blood at concentrations about 40% of those found in maternal blood</w:t>
      </w:r>
      <w:r>
        <w:rPr>
          <w:szCs w:val="24"/>
        </w:rPr>
        <w:t xml:space="preserve">. </w:t>
      </w:r>
      <w:r w:rsidR="00F940BA" w:rsidRPr="0098047F">
        <w:rPr>
          <w:szCs w:val="24"/>
        </w:rPr>
        <w:t xml:space="preserve">There are no adequate data from the use of fentanyl in pregnant women. </w:t>
      </w:r>
      <w:r w:rsidRPr="00F12691">
        <w:rPr>
          <w:szCs w:val="24"/>
        </w:rPr>
        <w:t>In studies in which fentanyl was administered to rats and rabbits at respective subcutaneous doses of up to 100 and 250 µg/kg/day during the period of organogenesis, no increased incidence of fetal malformations or variations was observed, but fetal weights were reduced in rats at the maternotoxic dose of 100 µg/kg/day. Respective fentanyl exposures (plasma AUC) at these doses in rats and rabbits were about 3- and 5-fold that observed following a single dose of 800 µg fentanyl in humans, and less than or equal to that observed in humans after four daily doses of 800 µg fentanyl.</w:t>
      </w:r>
    </w:p>
    <w:p w14:paraId="3E31D70D" w14:textId="77777777" w:rsidR="00F12691" w:rsidRDefault="00F12691" w:rsidP="00F12691">
      <w:pPr>
        <w:rPr>
          <w:szCs w:val="24"/>
        </w:rPr>
      </w:pPr>
      <w:r w:rsidRPr="00F12691">
        <w:rPr>
          <w:szCs w:val="24"/>
        </w:rPr>
        <w:t>In a study in which rats received subcutaneous fentanyl from early gestation to weaning, reduced pup survival, growth and development were observed at clearly maternotoxic doses (100 and 400 µg/kg/day). Fentanyl exposure (plasma AUC) at the no-effect dose for pup developmental toxicity (50 µg/kg/day) was similar to that observed following a single dose of 800 µg fentanyl in humans and about 0.2-fold that observed after four daily doses of 800 µg fentanyl</w:t>
      </w:r>
      <w:r>
        <w:rPr>
          <w:szCs w:val="24"/>
        </w:rPr>
        <w:t>.</w:t>
      </w:r>
    </w:p>
    <w:p w14:paraId="1913E817" w14:textId="77777777" w:rsidR="00F12691" w:rsidRDefault="00F12691" w:rsidP="00F12691">
      <w:pPr>
        <w:rPr>
          <w:szCs w:val="24"/>
        </w:rPr>
      </w:pPr>
    </w:p>
    <w:p w14:paraId="2BBB7015" w14:textId="77777777" w:rsidR="00F940BA" w:rsidRPr="0098047F" w:rsidRDefault="00F940BA" w:rsidP="00F12691">
      <w:pPr>
        <w:rPr>
          <w:szCs w:val="24"/>
        </w:rPr>
      </w:pPr>
      <w:r w:rsidRPr="0098047F">
        <w:rPr>
          <w:szCs w:val="24"/>
        </w:rPr>
        <w:t>F</w:t>
      </w:r>
      <w:r w:rsidR="001A3E3E" w:rsidRPr="0098047F">
        <w:rPr>
          <w:szCs w:val="24"/>
        </w:rPr>
        <w:t>ENTORA</w:t>
      </w:r>
      <w:r w:rsidRPr="0098047F">
        <w:rPr>
          <w:szCs w:val="24"/>
        </w:rPr>
        <w:t xml:space="preserve"> should not be used in pregnancy unless clearly necessary.</w:t>
      </w:r>
    </w:p>
    <w:p w14:paraId="50C7922C" w14:textId="77777777" w:rsidR="0029051D" w:rsidRPr="0098047F" w:rsidRDefault="0029051D">
      <w:pPr>
        <w:rPr>
          <w:rFonts w:eastAsia="Times New Roman"/>
          <w:szCs w:val="24"/>
        </w:rPr>
      </w:pPr>
    </w:p>
    <w:p w14:paraId="133F72D6" w14:textId="77777777" w:rsidR="00D67EBF" w:rsidRPr="0098047F" w:rsidRDefault="00D67EBF" w:rsidP="00C52886">
      <w:pPr>
        <w:rPr>
          <w:b/>
          <w:szCs w:val="24"/>
        </w:rPr>
      </w:pPr>
    </w:p>
    <w:p w14:paraId="04252ED9" w14:textId="77777777" w:rsidR="00D67EBF" w:rsidRPr="0098047F" w:rsidRDefault="00D67EBF" w:rsidP="00D67EBF">
      <w:pPr>
        <w:rPr>
          <w:b/>
          <w:szCs w:val="24"/>
        </w:rPr>
      </w:pPr>
      <w:r w:rsidRPr="0098047F">
        <w:rPr>
          <w:b/>
          <w:szCs w:val="24"/>
        </w:rPr>
        <w:t>Use in labour and delivery</w:t>
      </w:r>
    </w:p>
    <w:p w14:paraId="2182E9AA" w14:textId="77777777" w:rsidR="00D67EBF" w:rsidRPr="0098047F" w:rsidRDefault="00D67EBF" w:rsidP="00D67EBF">
      <w:pPr>
        <w:rPr>
          <w:rFonts w:eastAsia="Times New Roman"/>
          <w:szCs w:val="24"/>
        </w:rPr>
      </w:pPr>
    </w:p>
    <w:p w14:paraId="364AE664" w14:textId="77777777" w:rsidR="00D67EBF" w:rsidRPr="0098047F" w:rsidRDefault="00D67EBF" w:rsidP="00D67EBF">
      <w:pPr>
        <w:rPr>
          <w:szCs w:val="24"/>
        </w:rPr>
      </w:pPr>
      <w:r w:rsidRPr="0098047F">
        <w:rPr>
          <w:szCs w:val="24"/>
        </w:rPr>
        <w:t xml:space="preserve">It is advised not to use fentanyl during labour and delivery (including caesarean section) because fentanyl passes through the placenta and may cause respiratory depression in the foetus. If </w:t>
      </w:r>
      <w:r w:rsidR="009D2776" w:rsidRPr="0098047F">
        <w:rPr>
          <w:szCs w:val="24"/>
        </w:rPr>
        <w:t>F</w:t>
      </w:r>
      <w:r w:rsidR="001A3E3E" w:rsidRPr="0098047F">
        <w:rPr>
          <w:szCs w:val="24"/>
        </w:rPr>
        <w:t>ENTORA</w:t>
      </w:r>
      <w:r w:rsidRPr="0098047F">
        <w:rPr>
          <w:szCs w:val="24"/>
        </w:rPr>
        <w:t xml:space="preserve"> is administered, an antidote for the child should be readily available.</w:t>
      </w:r>
    </w:p>
    <w:p w14:paraId="727556AD" w14:textId="77777777" w:rsidR="00D67EBF" w:rsidRPr="0098047F" w:rsidRDefault="00D67EBF" w:rsidP="00D67EBF">
      <w:pPr>
        <w:rPr>
          <w:rFonts w:eastAsia="Times New Roman"/>
          <w:szCs w:val="24"/>
        </w:rPr>
      </w:pPr>
    </w:p>
    <w:p w14:paraId="1A8B2E93" w14:textId="77777777" w:rsidR="00C52886" w:rsidRPr="0098047F" w:rsidRDefault="00C52886" w:rsidP="00C52886">
      <w:pPr>
        <w:rPr>
          <w:b/>
          <w:szCs w:val="24"/>
        </w:rPr>
      </w:pPr>
      <w:r w:rsidRPr="0098047F">
        <w:rPr>
          <w:b/>
          <w:szCs w:val="24"/>
        </w:rPr>
        <w:t>Use in Lactation</w:t>
      </w:r>
    </w:p>
    <w:p w14:paraId="68867D77" w14:textId="77777777" w:rsidR="009D2776" w:rsidRPr="0098047F" w:rsidRDefault="009D2776" w:rsidP="00C52886">
      <w:pPr>
        <w:rPr>
          <w:b/>
          <w:szCs w:val="24"/>
        </w:rPr>
      </w:pPr>
    </w:p>
    <w:p w14:paraId="0A8823B0" w14:textId="77777777" w:rsidR="00C52886" w:rsidRPr="0098047F" w:rsidRDefault="00C52886" w:rsidP="00C52886">
      <w:pPr>
        <w:rPr>
          <w:szCs w:val="24"/>
          <w:lang w:eastAsia="de-DE"/>
        </w:rPr>
      </w:pPr>
      <w:r w:rsidRPr="0098047F">
        <w:rPr>
          <w:szCs w:val="24"/>
          <w:lang w:eastAsia="de-DE"/>
        </w:rPr>
        <w:t>Following long-term treatment, fentanyl may cause withdrawal in the new-born infant.</w:t>
      </w:r>
    </w:p>
    <w:p w14:paraId="23CDC82B" w14:textId="77777777" w:rsidR="009D2776" w:rsidRPr="0098047F" w:rsidRDefault="009D2776" w:rsidP="00C52886">
      <w:pPr>
        <w:rPr>
          <w:szCs w:val="24"/>
          <w:lang w:eastAsia="de-DE"/>
        </w:rPr>
      </w:pPr>
    </w:p>
    <w:p w14:paraId="2884DA10" w14:textId="77777777" w:rsidR="009D2776" w:rsidRPr="0098047F" w:rsidRDefault="009D2776" w:rsidP="009D2776">
      <w:pPr>
        <w:rPr>
          <w:szCs w:val="24"/>
        </w:rPr>
      </w:pPr>
      <w:r w:rsidRPr="0098047F">
        <w:rPr>
          <w:szCs w:val="24"/>
        </w:rPr>
        <w:t>Fentanyl passes into breast milk and may cause sedation and respiratory depression in the breast-fed</w:t>
      </w:r>
      <w:r w:rsidRPr="0098047F">
        <w:rPr>
          <w:i/>
          <w:iCs/>
          <w:szCs w:val="24"/>
        </w:rPr>
        <w:t xml:space="preserve"> </w:t>
      </w:r>
      <w:r w:rsidRPr="0098047F">
        <w:rPr>
          <w:szCs w:val="24"/>
        </w:rPr>
        <w:t xml:space="preserve">child. </w:t>
      </w:r>
      <w:r w:rsidRPr="0098047F">
        <w:rPr>
          <w:bCs/>
          <w:noProof/>
          <w:szCs w:val="24"/>
        </w:rPr>
        <w:t xml:space="preserve">Fentanyl </w:t>
      </w:r>
      <w:r w:rsidRPr="0098047F">
        <w:rPr>
          <w:szCs w:val="24"/>
        </w:rPr>
        <w:t>should not be used by breastfeeding women and breastfeeding should not be restarted until at least 48 hours after the last administration of fentanyl.</w:t>
      </w:r>
    </w:p>
    <w:p w14:paraId="0BAE5362" w14:textId="77777777" w:rsidR="009D2776" w:rsidRPr="0098047F" w:rsidRDefault="009D2776" w:rsidP="00C52886">
      <w:pPr>
        <w:rPr>
          <w:szCs w:val="24"/>
          <w:lang w:eastAsia="de-DE"/>
        </w:rPr>
      </w:pPr>
    </w:p>
    <w:p w14:paraId="39C19997" w14:textId="77777777" w:rsidR="004F583E" w:rsidRDefault="004F583E" w:rsidP="00B222BF">
      <w:pPr>
        <w:rPr>
          <w:b/>
          <w:szCs w:val="24"/>
        </w:rPr>
      </w:pPr>
    </w:p>
    <w:p w14:paraId="532DF82B" w14:textId="77777777" w:rsidR="00B222BF" w:rsidRPr="0098047F" w:rsidRDefault="00B222BF" w:rsidP="00B222BF">
      <w:pPr>
        <w:rPr>
          <w:b/>
          <w:szCs w:val="24"/>
        </w:rPr>
      </w:pPr>
      <w:r w:rsidRPr="0098047F">
        <w:rPr>
          <w:b/>
          <w:szCs w:val="24"/>
        </w:rPr>
        <w:t>Paediatric Use</w:t>
      </w:r>
    </w:p>
    <w:p w14:paraId="259659F2" w14:textId="77777777" w:rsidR="00B222BF" w:rsidRPr="0098047F" w:rsidRDefault="00B222BF" w:rsidP="00B222BF">
      <w:pPr>
        <w:rPr>
          <w:szCs w:val="24"/>
        </w:rPr>
      </w:pPr>
    </w:p>
    <w:p w14:paraId="140567F7" w14:textId="77777777" w:rsidR="00B222BF" w:rsidRPr="0098047F" w:rsidRDefault="00B222BF" w:rsidP="00B222BF">
      <w:pPr>
        <w:keepNext/>
        <w:keepLines/>
        <w:rPr>
          <w:szCs w:val="24"/>
        </w:rPr>
      </w:pPr>
      <w:r w:rsidRPr="0098047F">
        <w:rPr>
          <w:szCs w:val="24"/>
        </w:rPr>
        <w:t>F</w:t>
      </w:r>
      <w:r w:rsidR="001A3E3E" w:rsidRPr="0098047F">
        <w:rPr>
          <w:szCs w:val="24"/>
        </w:rPr>
        <w:t>ENTORA</w:t>
      </w:r>
      <w:r w:rsidRPr="0098047F">
        <w:rPr>
          <w:szCs w:val="24"/>
        </w:rPr>
        <w:t xml:space="preserve"> is not recommended for use in children and adolescents below 18 years due to a lack of data on safety and efficacy.</w:t>
      </w:r>
    </w:p>
    <w:p w14:paraId="2E723A69" w14:textId="77777777" w:rsidR="00C52886" w:rsidRDefault="00C52886">
      <w:pPr>
        <w:pStyle w:val="Heading9"/>
        <w:rPr>
          <w:rFonts w:eastAsia="Times"/>
          <w:szCs w:val="24"/>
        </w:rPr>
      </w:pPr>
    </w:p>
    <w:p w14:paraId="6F379327" w14:textId="77777777" w:rsidR="002D1A0B" w:rsidRPr="002D1A0B" w:rsidRDefault="002D1A0B" w:rsidP="002D1A0B"/>
    <w:p w14:paraId="4215242C" w14:textId="77777777" w:rsidR="0029051D" w:rsidRPr="0098047F" w:rsidRDefault="009D2776">
      <w:pPr>
        <w:pStyle w:val="Heading9"/>
        <w:rPr>
          <w:rFonts w:eastAsia="Times"/>
          <w:szCs w:val="24"/>
        </w:rPr>
      </w:pPr>
      <w:r w:rsidRPr="0098047F">
        <w:rPr>
          <w:rFonts w:eastAsia="Times"/>
          <w:szCs w:val="24"/>
        </w:rPr>
        <w:t>Use in the E</w:t>
      </w:r>
      <w:r w:rsidR="0029051D" w:rsidRPr="0098047F">
        <w:rPr>
          <w:rFonts w:eastAsia="Times"/>
          <w:szCs w:val="24"/>
        </w:rPr>
        <w:t>lderly</w:t>
      </w:r>
    </w:p>
    <w:p w14:paraId="40198021" w14:textId="77777777" w:rsidR="009D2776" w:rsidRPr="0098047F" w:rsidRDefault="009D2776" w:rsidP="009D2776">
      <w:pPr>
        <w:rPr>
          <w:szCs w:val="24"/>
        </w:rPr>
      </w:pPr>
    </w:p>
    <w:p w14:paraId="2D554B28" w14:textId="77777777" w:rsidR="00913CB9" w:rsidRPr="0098047F" w:rsidRDefault="00CD2650" w:rsidP="00CD2650">
      <w:pPr>
        <w:rPr>
          <w:szCs w:val="24"/>
        </w:rPr>
      </w:pPr>
      <w:r w:rsidRPr="0098047F">
        <w:rPr>
          <w:szCs w:val="24"/>
        </w:rPr>
        <w:t xml:space="preserve">In clinical studies patients older than 65 years tended to titrate to a lower effective dose than younger patients. It is recommended that increased caution should be exercised in titrating the dose of </w:t>
      </w:r>
      <w:r w:rsidR="00343455" w:rsidRPr="0098047F">
        <w:rPr>
          <w:szCs w:val="24"/>
        </w:rPr>
        <w:t>F</w:t>
      </w:r>
      <w:r w:rsidR="001A3E3E" w:rsidRPr="0098047F">
        <w:rPr>
          <w:szCs w:val="24"/>
        </w:rPr>
        <w:t>ENTORA</w:t>
      </w:r>
      <w:r w:rsidRPr="0098047F">
        <w:rPr>
          <w:szCs w:val="24"/>
        </w:rPr>
        <w:t xml:space="preserve"> in elderly patients.</w:t>
      </w:r>
    </w:p>
    <w:p w14:paraId="3C30F6DA" w14:textId="77777777" w:rsidR="0029051D" w:rsidRPr="0098047F" w:rsidRDefault="0029051D">
      <w:pPr>
        <w:rPr>
          <w:b/>
          <w:szCs w:val="24"/>
        </w:rPr>
      </w:pPr>
    </w:p>
    <w:p w14:paraId="3D7AE150" w14:textId="77777777" w:rsidR="004F583E" w:rsidRPr="0098047F" w:rsidRDefault="004F583E" w:rsidP="004F583E">
      <w:pPr>
        <w:tabs>
          <w:tab w:val="left" w:pos="360"/>
        </w:tabs>
        <w:rPr>
          <w:b/>
          <w:szCs w:val="24"/>
        </w:rPr>
      </w:pPr>
      <w:r w:rsidRPr="0098047F">
        <w:rPr>
          <w:b/>
          <w:szCs w:val="24"/>
        </w:rPr>
        <w:t>Genotoxicity</w:t>
      </w:r>
    </w:p>
    <w:p w14:paraId="2E2284EB" w14:textId="77777777" w:rsidR="004F583E" w:rsidRPr="0098047F" w:rsidRDefault="004F583E" w:rsidP="004F583E">
      <w:pPr>
        <w:tabs>
          <w:tab w:val="left" w:pos="360"/>
        </w:tabs>
        <w:rPr>
          <w:b/>
          <w:szCs w:val="24"/>
        </w:rPr>
      </w:pPr>
    </w:p>
    <w:p w14:paraId="7D51F074" w14:textId="6FD962DA" w:rsidR="004F583E" w:rsidRPr="0098047F" w:rsidRDefault="004F583E" w:rsidP="004F583E">
      <w:pPr>
        <w:rPr>
          <w:rFonts w:eastAsia="Times New Roman"/>
          <w:szCs w:val="24"/>
        </w:rPr>
      </w:pPr>
      <w:r w:rsidRPr="0098047F">
        <w:rPr>
          <w:rFonts w:eastAsia="Times New Roman"/>
          <w:szCs w:val="24"/>
        </w:rPr>
        <w:t>Fentanyl showed no evidence of genotoxic potential in assays for gene mutations (Ames reverse mutation test</w:t>
      </w:r>
      <w:r w:rsidR="00D76AE5">
        <w:rPr>
          <w:rFonts w:eastAsia="Times New Roman"/>
          <w:szCs w:val="24"/>
        </w:rPr>
        <w:t>,</w:t>
      </w:r>
      <w:r w:rsidRPr="0098047F">
        <w:rPr>
          <w:rFonts w:eastAsia="Times New Roman"/>
          <w:szCs w:val="24"/>
        </w:rPr>
        <w:t xml:space="preserve"> mouse lymphoma thymidine kinase assay)</w:t>
      </w:r>
      <w:r w:rsidR="00D76AE5">
        <w:rPr>
          <w:rFonts w:eastAsia="Times New Roman"/>
          <w:szCs w:val="24"/>
        </w:rPr>
        <w:t>,</w:t>
      </w:r>
      <w:r w:rsidRPr="0098047F">
        <w:rPr>
          <w:rFonts w:eastAsia="Times New Roman"/>
          <w:szCs w:val="24"/>
        </w:rPr>
        <w:t xml:space="preserve"> chromosomal damage (</w:t>
      </w:r>
      <w:r w:rsidR="00D76AE5">
        <w:rPr>
          <w:rFonts w:eastAsia="Times New Roman"/>
          <w:szCs w:val="24"/>
        </w:rPr>
        <w:t xml:space="preserve">Chinese hamster ovary cells, </w:t>
      </w:r>
      <w:r w:rsidRPr="0098047F">
        <w:rPr>
          <w:rFonts w:eastAsia="Times New Roman"/>
          <w:szCs w:val="24"/>
        </w:rPr>
        <w:t>mouse micronucleus test)</w:t>
      </w:r>
      <w:r w:rsidR="00D76AE5">
        <w:rPr>
          <w:rFonts w:eastAsia="Times New Roman"/>
          <w:szCs w:val="24"/>
        </w:rPr>
        <w:t xml:space="preserve"> </w:t>
      </w:r>
      <w:r w:rsidR="00D76AE5" w:rsidRPr="00D76AE5">
        <w:rPr>
          <w:rFonts w:eastAsia="Times New Roman"/>
          <w:szCs w:val="24"/>
        </w:rPr>
        <w:t>and other genotoxic effects (unscheduled DNA synthesis in rat hepatocytes, mammalian cell transformation assay). The genotoxic potential of fentanyl is considered to be low</w:t>
      </w:r>
      <w:r w:rsidRPr="0098047F">
        <w:rPr>
          <w:rFonts w:eastAsia="Times New Roman"/>
          <w:szCs w:val="24"/>
        </w:rPr>
        <w:t>.</w:t>
      </w:r>
    </w:p>
    <w:p w14:paraId="4B827E1D" w14:textId="77777777" w:rsidR="004F583E" w:rsidRPr="0098047F" w:rsidRDefault="004F583E" w:rsidP="004F583E">
      <w:pPr>
        <w:tabs>
          <w:tab w:val="left" w:pos="360"/>
        </w:tabs>
        <w:rPr>
          <w:b/>
          <w:szCs w:val="24"/>
        </w:rPr>
      </w:pPr>
    </w:p>
    <w:p w14:paraId="682CEEA2" w14:textId="77777777" w:rsidR="004F583E" w:rsidRPr="0098047F" w:rsidRDefault="004F583E" w:rsidP="004F583E">
      <w:pPr>
        <w:tabs>
          <w:tab w:val="left" w:pos="360"/>
        </w:tabs>
        <w:rPr>
          <w:b/>
          <w:szCs w:val="24"/>
        </w:rPr>
      </w:pPr>
      <w:r w:rsidRPr="0098047F">
        <w:rPr>
          <w:b/>
          <w:szCs w:val="24"/>
        </w:rPr>
        <w:t>Carcinogenicity</w:t>
      </w:r>
    </w:p>
    <w:p w14:paraId="1ECB9D5D" w14:textId="77777777" w:rsidR="004F583E" w:rsidRPr="0098047F" w:rsidRDefault="004F583E" w:rsidP="004F583E">
      <w:pPr>
        <w:tabs>
          <w:tab w:val="left" w:pos="360"/>
        </w:tabs>
        <w:rPr>
          <w:b/>
          <w:szCs w:val="24"/>
        </w:rPr>
      </w:pPr>
    </w:p>
    <w:p w14:paraId="0460AA77" w14:textId="2B181A1A" w:rsidR="004F583E" w:rsidRPr="0098047F" w:rsidRDefault="004F583E" w:rsidP="004F583E">
      <w:pPr>
        <w:rPr>
          <w:szCs w:val="24"/>
        </w:rPr>
      </w:pPr>
      <w:r w:rsidRPr="0098047F">
        <w:rPr>
          <w:szCs w:val="24"/>
        </w:rPr>
        <w:t>Carcinogenicity studies (26-week dermal bioassay in Tg.AC transgenic mice; two-year subcutaneous study in rats) did not induce any findings indicative of oncogenic potential.</w:t>
      </w:r>
      <w:r w:rsidR="00D76AE5">
        <w:rPr>
          <w:szCs w:val="24"/>
        </w:rPr>
        <w:t xml:space="preserve"> </w:t>
      </w:r>
      <w:r w:rsidR="00D76AE5" w:rsidRPr="00D76AE5">
        <w:rPr>
          <w:szCs w:val="24"/>
        </w:rPr>
        <w:t>At the highest doses tested in these studies (50 µg/day in mice, 50 µg/kg/day in male rats and 100 µg/kg/day in female rats), systemic exposure (plasma C</w:t>
      </w:r>
      <w:r w:rsidR="00D76AE5" w:rsidRPr="002D600C">
        <w:rPr>
          <w:szCs w:val="24"/>
          <w:vertAlign w:val="subscript"/>
        </w:rPr>
        <w:t>max</w:t>
      </w:r>
      <w:r w:rsidR="00D76AE5" w:rsidRPr="00D76AE5">
        <w:rPr>
          <w:szCs w:val="24"/>
        </w:rPr>
        <w:t xml:space="preserve"> in mice and AUC in rats) was about 3-fold (mice and female rats) and about 2-fold (male rats) that observed following a single dose of 800 µg fentanyl in humans</w:t>
      </w:r>
      <w:r w:rsidR="00D76AE5">
        <w:rPr>
          <w:szCs w:val="24"/>
        </w:rPr>
        <w:t>.</w:t>
      </w:r>
    </w:p>
    <w:p w14:paraId="0B785B1E" w14:textId="77777777" w:rsidR="00B222BF" w:rsidRPr="0098047F" w:rsidRDefault="00B222BF">
      <w:pPr>
        <w:tabs>
          <w:tab w:val="left" w:pos="360"/>
        </w:tabs>
        <w:rPr>
          <w:b/>
          <w:szCs w:val="24"/>
        </w:rPr>
      </w:pPr>
    </w:p>
    <w:p w14:paraId="234C571B" w14:textId="77777777" w:rsidR="00C16A09" w:rsidRPr="0098047F" w:rsidRDefault="00C16A09" w:rsidP="00C16A09">
      <w:pPr>
        <w:pStyle w:val="Heading9"/>
        <w:rPr>
          <w:rFonts w:eastAsia="Times"/>
          <w:szCs w:val="24"/>
        </w:rPr>
      </w:pPr>
      <w:r w:rsidRPr="0098047F">
        <w:rPr>
          <w:rFonts w:eastAsia="Times"/>
          <w:szCs w:val="24"/>
        </w:rPr>
        <w:t>Effects on ability to drive and use machines</w:t>
      </w:r>
    </w:p>
    <w:p w14:paraId="42B66C0B" w14:textId="77777777" w:rsidR="00B222BF" w:rsidRPr="0098047F" w:rsidRDefault="00B222BF" w:rsidP="00B222BF">
      <w:pPr>
        <w:rPr>
          <w:szCs w:val="24"/>
        </w:rPr>
      </w:pPr>
    </w:p>
    <w:p w14:paraId="6B5BB58A" w14:textId="77777777" w:rsidR="00B0623E" w:rsidRPr="0098047F" w:rsidRDefault="00B0623E" w:rsidP="00B0623E">
      <w:pPr>
        <w:rPr>
          <w:szCs w:val="24"/>
        </w:rPr>
      </w:pPr>
      <w:r w:rsidRPr="0098047F">
        <w:rPr>
          <w:szCs w:val="24"/>
        </w:rPr>
        <w:t xml:space="preserve">No studies of the effects on the ability to drive and use machines have been performed.  However, opioid analgesics impair the mental and/or physical ability required for the performance of potentially dangerous tasks (e.g., driving a car or operating machinery).  Patients should be advised not to drive or operate machinery if they experience somnolence, dizziness, or visual disturbance while taking </w:t>
      </w:r>
      <w:r w:rsidR="00DE564B" w:rsidRPr="0098047F">
        <w:rPr>
          <w:szCs w:val="24"/>
        </w:rPr>
        <w:t>F</w:t>
      </w:r>
      <w:r w:rsidR="001A3E3E" w:rsidRPr="0098047F">
        <w:rPr>
          <w:szCs w:val="24"/>
        </w:rPr>
        <w:t>ENTORA</w:t>
      </w:r>
      <w:r w:rsidRPr="0098047F">
        <w:rPr>
          <w:szCs w:val="24"/>
        </w:rPr>
        <w:t xml:space="preserve"> and not to drive or operate machinery until they know how they react.</w:t>
      </w:r>
    </w:p>
    <w:p w14:paraId="38505D47" w14:textId="77777777" w:rsidR="00C16A09" w:rsidRPr="0098047F" w:rsidRDefault="00C16A09">
      <w:pPr>
        <w:tabs>
          <w:tab w:val="left" w:pos="360"/>
        </w:tabs>
        <w:rPr>
          <w:b/>
          <w:szCs w:val="24"/>
        </w:rPr>
      </w:pPr>
    </w:p>
    <w:p w14:paraId="7E17473A" w14:textId="77777777" w:rsidR="00C16A09" w:rsidRPr="0098047F" w:rsidRDefault="00C16A09">
      <w:pPr>
        <w:tabs>
          <w:tab w:val="left" w:pos="360"/>
        </w:tabs>
        <w:rPr>
          <w:b/>
          <w:szCs w:val="24"/>
        </w:rPr>
      </w:pPr>
    </w:p>
    <w:p w14:paraId="5E14857D" w14:textId="77777777" w:rsidR="00C16A09" w:rsidRPr="0098047F" w:rsidRDefault="00C16A09">
      <w:pPr>
        <w:rPr>
          <w:rFonts w:eastAsia="Times New Roman"/>
          <w:b/>
          <w:szCs w:val="24"/>
        </w:rPr>
      </w:pPr>
      <w:r w:rsidRPr="0098047F">
        <w:rPr>
          <w:rFonts w:eastAsia="Times New Roman"/>
          <w:b/>
          <w:szCs w:val="24"/>
        </w:rPr>
        <w:t>INTERACTIONS WITH OTHER MEDICINES</w:t>
      </w:r>
    </w:p>
    <w:p w14:paraId="5451EB58" w14:textId="77777777" w:rsidR="00C16A09" w:rsidRPr="0098047F" w:rsidRDefault="00C16A09">
      <w:pPr>
        <w:rPr>
          <w:rFonts w:eastAsia="Times New Roman"/>
          <w:szCs w:val="24"/>
        </w:rPr>
      </w:pPr>
    </w:p>
    <w:p w14:paraId="65BE6E20" w14:textId="77777777" w:rsidR="00B0623E" w:rsidRPr="0098047F" w:rsidRDefault="00B0623E" w:rsidP="00B0623E">
      <w:pPr>
        <w:rPr>
          <w:szCs w:val="24"/>
        </w:rPr>
      </w:pPr>
      <w:r w:rsidRPr="0098047F">
        <w:rPr>
          <w:szCs w:val="24"/>
        </w:rPr>
        <w:t xml:space="preserve">Fentanyl is metabolised mainly via the human cytochrome P450 3A4 isoenzyme system (CYP3A4), therefore potential interactions may occur when </w:t>
      </w:r>
      <w:r w:rsidR="00343455" w:rsidRPr="0098047F">
        <w:rPr>
          <w:szCs w:val="24"/>
        </w:rPr>
        <w:t>F</w:t>
      </w:r>
      <w:r w:rsidR="001A3E3E" w:rsidRPr="0098047F">
        <w:rPr>
          <w:szCs w:val="24"/>
        </w:rPr>
        <w:t>ENTORA</w:t>
      </w:r>
      <w:r w:rsidRPr="0098047F">
        <w:rPr>
          <w:szCs w:val="24"/>
        </w:rPr>
        <w:t xml:space="preserve"> is given concurrently with agents that affect CYP3A4 activity. Coadministration with agents that induce 3A4 activity may reduce the efficacy of </w:t>
      </w:r>
      <w:r w:rsidR="00343455" w:rsidRPr="0098047F">
        <w:rPr>
          <w:szCs w:val="24"/>
        </w:rPr>
        <w:t>F</w:t>
      </w:r>
      <w:r w:rsidR="001A3E3E" w:rsidRPr="0098047F">
        <w:rPr>
          <w:szCs w:val="24"/>
        </w:rPr>
        <w:t>ENTORA</w:t>
      </w:r>
      <w:r w:rsidRPr="0098047F">
        <w:rPr>
          <w:szCs w:val="24"/>
        </w:rPr>
        <w:t xml:space="preserve">. The concomitant use of </w:t>
      </w:r>
      <w:r w:rsidR="00343455" w:rsidRPr="0098047F">
        <w:rPr>
          <w:szCs w:val="24"/>
        </w:rPr>
        <w:t>F</w:t>
      </w:r>
      <w:r w:rsidR="001A3E3E" w:rsidRPr="0098047F">
        <w:rPr>
          <w:szCs w:val="24"/>
        </w:rPr>
        <w:t>ENTORA</w:t>
      </w:r>
      <w:r w:rsidRPr="0098047F">
        <w:rPr>
          <w:szCs w:val="24"/>
        </w:rPr>
        <w:t xml:space="preserve"> with strong CYP3A4 inhibitors (e.g., ritonavir, ketoconazole, itraconazole, troleandomycin, clarithromycin, and nelfinavir) or moderate CYP3A4 inhibitors (e.g., amprenavir, aprepitant, diltiazem, erythromycin, fluconazole, fosamprenavir, grapefruit juice, and verapamil) may result in increased fentanyl plasma concentrations, potentially causing serious adverse drug reactions including fatal respiratory depression. Patients receiving </w:t>
      </w:r>
      <w:r w:rsidR="00DE564B" w:rsidRPr="0098047F">
        <w:rPr>
          <w:szCs w:val="24"/>
        </w:rPr>
        <w:t>F</w:t>
      </w:r>
      <w:r w:rsidR="001A3E3E" w:rsidRPr="0098047F">
        <w:rPr>
          <w:szCs w:val="24"/>
        </w:rPr>
        <w:t>ENTORA</w:t>
      </w:r>
      <w:r w:rsidRPr="0098047F">
        <w:rPr>
          <w:szCs w:val="24"/>
        </w:rPr>
        <w:t xml:space="preserve"> concomitantly with moderate or strong CYP3A4 inhibitors should be carefully monitored for an extended period of time. Dosage increase should be done with caution.</w:t>
      </w:r>
    </w:p>
    <w:p w14:paraId="5593B5B0" w14:textId="77777777" w:rsidR="00B0623E" w:rsidRPr="0098047F" w:rsidRDefault="00B0623E" w:rsidP="00B0623E">
      <w:pPr>
        <w:rPr>
          <w:szCs w:val="24"/>
        </w:rPr>
      </w:pPr>
    </w:p>
    <w:p w14:paraId="1EAE08A4" w14:textId="77777777" w:rsidR="00B0623E" w:rsidRPr="0098047F" w:rsidRDefault="00B0623E" w:rsidP="00B0623E">
      <w:pPr>
        <w:rPr>
          <w:szCs w:val="24"/>
        </w:rPr>
      </w:pPr>
      <w:r w:rsidRPr="0098047F">
        <w:rPr>
          <w:szCs w:val="24"/>
        </w:rPr>
        <w:t>The concomitant use of other central nervous system depressants, including other opioids, sedatives or hypnotics, general anaesthetics, phenothiazines, tranquillisers, skeletal muscle relaxants, sedating antihistamines and alcohol may produce additive depressant effects.</w:t>
      </w:r>
    </w:p>
    <w:p w14:paraId="158E3E0B" w14:textId="77777777" w:rsidR="00B0623E" w:rsidRPr="0098047F" w:rsidRDefault="00B0623E" w:rsidP="00B0623E">
      <w:pPr>
        <w:rPr>
          <w:szCs w:val="24"/>
        </w:rPr>
      </w:pPr>
    </w:p>
    <w:p w14:paraId="0CEEE3E5" w14:textId="77777777" w:rsidR="00B0623E" w:rsidRPr="0098047F" w:rsidRDefault="00343455" w:rsidP="00B0623E">
      <w:pPr>
        <w:rPr>
          <w:szCs w:val="24"/>
        </w:rPr>
      </w:pPr>
      <w:r w:rsidRPr="0098047F">
        <w:rPr>
          <w:szCs w:val="24"/>
        </w:rPr>
        <w:t>F</w:t>
      </w:r>
      <w:r w:rsidR="001A3E3E" w:rsidRPr="0098047F">
        <w:rPr>
          <w:szCs w:val="24"/>
        </w:rPr>
        <w:t>ENTORA</w:t>
      </w:r>
      <w:r w:rsidR="00B0623E" w:rsidRPr="0098047F">
        <w:rPr>
          <w:szCs w:val="24"/>
        </w:rPr>
        <w:t xml:space="preserve"> is not recommended for use in patients who have received monoamine oxidase (MAO) inhibitors within 14 days because severe and unpredictable potentiation by MAO inhibitors has been reported with opioid analgesics.</w:t>
      </w:r>
    </w:p>
    <w:p w14:paraId="43A98F00" w14:textId="77777777" w:rsidR="00B0623E" w:rsidRPr="0098047F" w:rsidRDefault="00B0623E" w:rsidP="00B0623E">
      <w:pPr>
        <w:rPr>
          <w:noProof/>
          <w:szCs w:val="24"/>
        </w:rPr>
      </w:pPr>
    </w:p>
    <w:p w14:paraId="5ADFBF6D" w14:textId="77777777" w:rsidR="00B0623E" w:rsidRPr="0098047F" w:rsidRDefault="00B0623E" w:rsidP="00B0623E">
      <w:pPr>
        <w:rPr>
          <w:noProof/>
          <w:szCs w:val="24"/>
        </w:rPr>
      </w:pPr>
      <w:r w:rsidRPr="0098047F">
        <w:rPr>
          <w:szCs w:val="24"/>
        </w:rPr>
        <w:t>The concomitant use of partial opioid agonists/antagonists (e.g. buprenorphine, nalbuphine, pentazocine) is not recommended. They have high affinity to opioid receptors with relatively low intrinsic activity and therefore partially antagonise the analgesic effect of fentanyl and may induce withdrawal symptoms in opioid dependant patients.</w:t>
      </w:r>
    </w:p>
    <w:p w14:paraId="54BF9CED" w14:textId="77777777" w:rsidR="0000395F" w:rsidRPr="0098047F" w:rsidRDefault="0000395F">
      <w:pPr>
        <w:rPr>
          <w:szCs w:val="24"/>
        </w:rPr>
      </w:pPr>
    </w:p>
    <w:p w14:paraId="55F41241" w14:textId="77777777" w:rsidR="008C15A8" w:rsidRPr="00C91045" w:rsidRDefault="008C15A8">
      <w:pPr>
        <w:rPr>
          <w:szCs w:val="24"/>
          <w:u w:val="single"/>
        </w:rPr>
      </w:pPr>
      <w:r w:rsidRPr="00C91045">
        <w:rPr>
          <w:szCs w:val="24"/>
          <w:u w:val="single"/>
        </w:rPr>
        <w:t>Serotoninergic Drugs</w:t>
      </w:r>
    </w:p>
    <w:p w14:paraId="0F6D1F82" w14:textId="77777777" w:rsidR="0000395F" w:rsidRDefault="008C15A8">
      <w:pPr>
        <w:rPr>
          <w:szCs w:val="24"/>
        </w:rPr>
      </w:pPr>
      <w:r>
        <w:rPr>
          <w:szCs w:val="24"/>
        </w:rPr>
        <w:t xml:space="preserve">Coadministration of fentanyl with a serotoninergic agent, such as a Selective Serotonin Re-uptake Inhibitor (SSRI) or a Serotonin Norepinephrine Re-uptake Inhibitor (SNRI) or a Monoamine Oxidase Inhibitor (MAOI), may increase the risk of serotonin syndrome, a potentially life-threatening condition. </w:t>
      </w:r>
    </w:p>
    <w:p w14:paraId="685E742C" w14:textId="77777777" w:rsidR="008C15A8" w:rsidRPr="0098047F" w:rsidRDefault="008C15A8">
      <w:pPr>
        <w:rPr>
          <w:szCs w:val="24"/>
        </w:rPr>
      </w:pPr>
    </w:p>
    <w:p w14:paraId="0A9BB3CC" w14:textId="77777777" w:rsidR="0029051D" w:rsidRPr="0098047F" w:rsidRDefault="0029051D">
      <w:pPr>
        <w:pStyle w:val="Heading5"/>
        <w:rPr>
          <w:rFonts w:eastAsia="Times"/>
          <w:sz w:val="24"/>
          <w:szCs w:val="24"/>
        </w:rPr>
      </w:pPr>
      <w:r w:rsidRPr="0098047F">
        <w:rPr>
          <w:rFonts w:eastAsia="Times"/>
          <w:sz w:val="24"/>
          <w:szCs w:val="24"/>
        </w:rPr>
        <w:t xml:space="preserve">ADVERSE </w:t>
      </w:r>
      <w:r w:rsidR="00C16A09" w:rsidRPr="0098047F">
        <w:rPr>
          <w:rFonts w:eastAsia="Times"/>
          <w:sz w:val="24"/>
          <w:szCs w:val="24"/>
        </w:rPr>
        <w:t>EFFECTS</w:t>
      </w:r>
    </w:p>
    <w:p w14:paraId="124D5D99" w14:textId="77777777" w:rsidR="0029051D" w:rsidRPr="0098047F" w:rsidRDefault="0029051D">
      <w:pPr>
        <w:rPr>
          <w:b/>
          <w:szCs w:val="24"/>
        </w:rPr>
      </w:pPr>
    </w:p>
    <w:p w14:paraId="3D0C6ACF" w14:textId="56AE22F9" w:rsidR="00CD2650" w:rsidRPr="0098047F" w:rsidRDefault="00542A5D" w:rsidP="00CD2650">
      <w:pPr>
        <w:keepNext/>
        <w:keepLines/>
        <w:rPr>
          <w:szCs w:val="24"/>
        </w:rPr>
      </w:pPr>
      <w:r w:rsidRPr="0098047F">
        <w:rPr>
          <w:szCs w:val="24"/>
        </w:rPr>
        <w:lastRenderedPageBreak/>
        <w:t>The adverse events seen with F</w:t>
      </w:r>
      <w:r w:rsidR="001A3E3E" w:rsidRPr="0098047F">
        <w:rPr>
          <w:szCs w:val="24"/>
        </w:rPr>
        <w:t>ENTORA</w:t>
      </w:r>
      <w:r w:rsidRPr="0098047F">
        <w:rPr>
          <w:szCs w:val="24"/>
        </w:rPr>
        <w:t xml:space="preserve"> are typical opioid side effects.</w:t>
      </w:r>
      <w:r w:rsidR="00CD2650" w:rsidRPr="0098047F">
        <w:rPr>
          <w:szCs w:val="24"/>
        </w:rPr>
        <w:t xml:space="preserve"> Frequently, these will cease or decrease in intensity with continued use of the medicinal product, as the patient is titrated to the most appropriate dose.  However, the most serious adverse reactions are respiratory depression (potentially leading to apnoea or respiratory arrest), circulatory depression, hypotension and shock</w:t>
      </w:r>
      <w:r w:rsidR="00535175" w:rsidRPr="0098047F">
        <w:rPr>
          <w:szCs w:val="24"/>
        </w:rPr>
        <w:t>. A</w:t>
      </w:r>
      <w:r w:rsidR="00CD2650" w:rsidRPr="0098047F">
        <w:rPr>
          <w:szCs w:val="24"/>
        </w:rPr>
        <w:t>ll patients should be closely monitored for these.</w:t>
      </w:r>
    </w:p>
    <w:p w14:paraId="206A51D4" w14:textId="77777777" w:rsidR="00CD2650" w:rsidRPr="0098047F" w:rsidRDefault="00CD2650" w:rsidP="00CD2650">
      <w:pPr>
        <w:rPr>
          <w:szCs w:val="24"/>
          <w:lang w:eastAsia="fr-FR"/>
        </w:rPr>
      </w:pPr>
    </w:p>
    <w:p w14:paraId="29D2088F" w14:textId="77777777" w:rsidR="00CD2650" w:rsidRPr="0098047F" w:rsidRDefault="00535175" w:rsidP="00CD2650">
      <w:pPr>
        <w:rPr>
          <w:szCs w:val="24"/>
        </w:rPr>
      </w:pPr>
      <w:r w:rsidRPr="0098047F">
        <w:rPr>
          <w:szCs w:val="24"/>
        </w:rPr>
        <w:t>Because t</w:t>
      </w:r>
      <w:r w:rsidR="00CD2650" w:rsidRPr="0098047F">
        <w:rPr>
          <w:szCs w:val="24"/>
        </w:rPr>
        <w:t xml:space="preserve">he clinical studies of </w:t>
      </w:r>
      <w:r w:rsidR="00DE564B" w:rsidRPr="0098047F">
        <w:rPr>
          <w:szCs w:val="24"/>
        </w:rPr>
        <w:t>F</w:t>
      </w:r>
      <w:r w:rsidR="001A3E3E" w:rsidRPr="0098047F">
        <w:rPr>
          <w:szCs w:val="24"/>
        </w:rPr>
        <w:t>ENTORA</w:t>
      </w:r>
      <w:r w:rsidR="00CD2650" w:rsidRPr="0098047F">
        <w:rPr>
          <w:szCs w:val="24"/>
        </w:rPr>
        <w:t xml:space="preserve"> were designed to evaluate safety and efficacy in treating </w:t>
      </w:r>
      <w:r w:rsidRPr="0098047F">
        <w:rPr>
          <w:szCs w:val="24"/>
        </w:rPr>
        <w:t>BTP,</w:t>
      </w:r>
      <w:r w:rsidR="00CD2650" w:rsidRPr="0098047F">
        <w:rPr>
          <w:szCs w:val="24"/>
        </w:rPr>
        <w:t xml:space="preserve"> all patients were also taking concomitant opioids, such as sustained-release morphine or transdermal fentanyl, for </w:t>
      </w:r>
      <w:r w:rsidRPr="0098047F">
        <w:rPr>
          <w:szCs w:val="24"/>
        </w:rPr>
        <w:t>their persistent pain. Thus</w:t>
      </w:r>
      <w:r w:rsidR="00CD2650" w:rsidRPr="0098047F">
        <w:rPr>
          <w:szCs w:val="24"/>
        </w:rPr>
        <w:t xml:space="preserve"> it is not possible to definitively separate the effects of </w:t>
      </w:r>
      <w:r w:rsidR="00DE564B" w:rsidRPr="0098047F">
        <w:rPr>
          <w:szCs w:val="24"/>
        </w:rPr>
        <w:t>F</w:t>
      </w:r>
      <w:r w:rsidR="001A3E3E" w:rsidRPr="0098047F">
        <w:rPr>
          <w:szCs w:val="24"/>
        </w:rPr>
        <w:t>ENTORA</w:t>
      </w:r>
      <w:r w:rsidR="00CD2650" w:rsidRPr="0098047F">
        <w:rPr>
          <w:szCs w:val="24"/>
        </w:rPr>
        <w:t xml:space="preserve"> alone.</w:t>
      </w:r>
    </w:p>
    <w:p w14:paraId="799F27EB" w14:textId="77777777" w:rsidR="00CD2650" w:rsidRDefault="00CD2650" w:rsidP="00CD2650">
      <w:pPr>
        <w:rPr>
          <w:szCs w:val="24"/>
        </w:rPr>
      </w:pPr>
    </w:p>
    <w:p w14:paraId="69CB57A2" w14:textId="77777777" w:rsidR="000506FA" w:rsidRDefault="000506FA" w:rsidP="00CD2650">
      <w:pPr>
        <w:rPr>
          <w:szCs w:val="24"/>
        </w:rPr>
      </w:pPr>
      <w:r>
        <w:rPr>
          <w:szCs w:val="24"/>
        </w:rPr>
        <w:t xml:space="preserve">The table below summarises the adverse events occurring during the titration and posttitration periods in at least </w:t>
      </w:r>
      <w:r w:rsidR="00421389">
        <w:rPr>
          <w:szCs w:val="24"/>
        </w:rPr>
        <w:t>5</w:t>
      </w:r>
      <w:r>
        <w:rPr>
          <w:szCs w:val="24"/>
        </w:rPr>
        <w:t>% of patients with cancer and breakthrough pain</w:t>
      </w:r>
      <w:r w:rsidR="00421389">
        <w:rPr>
          <w:szCs w:val="24"/>
        </w:rPr>
        <w:t xml:space="preserve"> from three Phase 3 studies in patients with cancer and BTP</w:t>
      </w:r>
      <w:r>
        <w:rPr>
          <w:szCs w:val="24"/>
        </w:rPr>
        <w:t>:</w:t>
      </w:r>
    </w:p>
    <w:p w14:paraId="38EDC608" w14:textId="77777777" w:rsidR="00421389" w:rsidRDefault="00421389" w:rsidP="00CD2650">
      <w:pPr>
        <w:rPr>
          <w:szCs w:val="24"/>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536"/>
        <w:gridCol w:w="2588"/>
        <w:gridCol w:w="2345"/>
      </w:tblGrid>
      <w:tr w:rsidR="00DF0D5F" w14:paraId="283E7580" w14:textId="77777777" w:rsidTr="00DC2AC8">
        <w:tc>
          <w:tcPr>
            <w:tcW w:w="2394" w:type="dxa"/>
            <w:vMerge w:val="restart"/>
            <w:shd w:val="clear" w:color="auto" w:fill="auto"/>
          </w:tcPr>
          <w:p w14:paraId="14D2F521" w14:textId="77777777" w:rsidR="00DF0D5F" w:rsidRPr="00DC2AC8" w:rsidRDefault="00DF0D5F" w:rsidP="00DC2AC8">
            <w:pPr>
              <w:widowControl w:val="0"/>
              <w:ind w:right="37"/>
              <w:jc w:val="both"/>
              <w:rPr>
                <w:rFonts w:ascii="TimesNewRomanPSMT" w:eastAsia="Calibri" w:hAnsi="TimesNewRomanPSMT" w:cs="TimesNewRomanPSMT"/>
                <w:b/>
                <w:sz w:val="22"/>
                <w:szCs w:val="22"/>
                <w:lang w:val="en-GB"/>
              </w:rPr>
            </w:pPr>
            <w:r w:rsidRPr="00DC2AC8">
              <w:rPr>
                <w:rFonts w:ascii="TimesNewRomanPSMT" w:eastAsia="Calibri" w:hAnsi="TimesNewRomanPSMT" w:cs="TimesNewRomanPSMT"/>
                <w:b/>
                <w:sz w:val="22"/>
                <w:szCs w:val="22"/>
                <w:lang w:val="en-GB"/>
              </w:rPr>
              <w:t>Me</w:t>
            </w:r>
            <w:r w:rsidR="004E4FC4">
              <w:rPr>
                <w:rFonts w:ascii="TimesNewRomanPSMT" w:eastAsia="Calibri" w:hAnsi="TimesNewRomanPSMT" w:cs="TimesNewRomanPSMT"/>
                <w:b/>
                <w:sz w:val="22"/>
                <w:szCs w:val="22"/>
                <w:lang w:val="en-GB"/>
              </w:rPr>
              <w:t>d</w:t>
            </w:r>
            <w:r w:rsidRPr="00DC2AC8">
              <w:rPr>
                <w:rFonts w:ascii="TimesNewRomanPSMT" w:eastAsia="Calibri" w:hAnsi="TimesNewRomanPSMT" w:cs="TimesNewRomanPSMT"/>
                <w:b/>
                <w:sz w:val="22"/>
                <w:szCs w:val="22"/>
                <w:lang w:val="en-GB"/>
              </w:rPr>
              <w:t>DRA system organ class</w:t>
            </w:r>
          </w:p>
          <w:p w14:paraId="7C12ACC1" w14:textId="77777777" w:rsidR="00DF0D5F" w:rsidRPr="00DC2AC8" w:rsidRDefault="00DF0D5F" w:rsidP="00DC2AC8">
            <w:pPr>
              <w:widowControl w:val="0"/>
              <w:ind w:right="37"/>
              <w:jc w:val="both"/>
              <w:rPr>
                <w:rFonts w:ascii="TimesNewRomanPSMT" w:eastAsia="Calibri" w:hAnsi="TimesNewRomanPSMT" w:cs="TimesNewRomanPSMT"/>
                <w:b/>
                <w:sz w:val="22"/>
                <w:szCs w:val="22"/>
                <w:lang w:val="en-GB"/>
              </w:rPr>
            </w:pPr>
            <w:r w:rsidRPr="00DC2AC8">
              <w:rPr>
                <w:rFonts w:ascii="TimesNewRomanPSMT" w:eastAsia="Calibri" w:hAnsi="TimesNewRomanPSMT" w:cs="TimesNewRomanPSMT"/>
                <w:b/>
                <w:sz w:val="22"/>
                <w:szCs w:val="22"/>
                <w:lang w:val="en-GB"/>
              </w:rPr>
              <w:t>Preferred term, n (%)</w:t>
            </w:r>
          </w:p>
        </w:tc>
        <w:tc>
          <w:tcPr>
            <w:tcW w:w="4124" w:type="dxa"/>
            <w:gridSpan w:val="2"/>
            <w:shd w:val="clear" w:color="auto" w:fill="auto"/>
          </w:tcPr>
          <w:p w14:paraId="737A6A09" w14:textId="77777777" w:rsidR="00DF0D5F" w:rsidRPr="00DC2AC8" w:rsidRDefault="00DF0D5F" w:rsidP="00DC2AC8">
            <w:pPr>
              <w:widowControl w:val="0"/>
              <w:ind w:right="37"/>
              <w:jc w:val="center"/>
              <w:rPr>
                <w:rFonts w:ascii="TimesNewRomanPSMT" w:eastAsia="Calibri" w:hAnsi="TimesNewRomanPSMT" w:cs="TimesNewRomanPSMT"/>
                <w:b/>
                <w:sz w:val="22"/>
                <w:szCs w:val="22"/>
                <w:lang w:val="en-GB"/>
              </w:rPr>
            </w:pPr>
            <w:r w:rsidRPr="00DC2AC8">
              <w:rPr>
                <w:rFonts w:ascii="TimesNewRomanPSMT" w:eastAsia="Calibri" w:hAnsi="TimesNewRomanPSMT" w:cs="TimesNewRomanPSMT"/>
                <w:b/>
                <w:sz w:val="22"/>
                <w:szCs w:val="22"/>
                <w:lang w:val="en-GB"/>
              </w:rPr>
              <w:t>Percentage of patients (%)</w:t>
            </w:r>
          </w:p>
          <w:p w14:paraId="3A42DA46" w14:textId="77777777" w:rsidR="00DF0D5F" w:rsidRPr="00DC2AC8" w:rsidRDefault="00DF0D5F" w:rsidP="00DC2AC8">
            <w:pPr>
              <w:widowControl w:val="0"/>
              <w:ind w:right="37"/>
              <w:jc w:val="center"/>
              <w:rPr>
                <w:rFonts w:ascii="TimesNewRomanPSMT" w:eastAsia="Calibri" w:hAnsi="TimesNewRomanPSMT" w:cs="TimesNewRomanPSMT"/>
                <w:b/>
                <w:sz w:val="22"/>
                <w:szCs w:val="22"/>
                <w:lang w:val="en-GB"/>
              </w:rPr>
            </w:pPr>
          </w:p>
        </w:tc>
        <w:tc>
          <w:tcPr>
            <w:tcW w:w="2345" w:type="dxa"/>
            <w:shd w:val="clear" w:color="auto" w:fill="auto"/>
          </w:tcPr>
          <w:p w14:paraId="31BC84C6" w14:textId="77777777" w:rsidR="00DF0D5F" w:rsidRPr="00DC2AC8" w:rsidRDefault="00DF0D5F" w:rsidP="00DC2AC8">
            <w:pPr>
              <w:widowControl w:val="0"/>
              <w:ind w:right="37"/>
              <w:jc w:val="center"/>
              <w:rPr>
                <w:rFonts w:ascii="TimesNewRomanPSMT" w:eastAsia="Calibri" w:hAnsi="TimesNewRomanPSMT" w:cs="TimesNewRomanPSMT"/>
                <w:b/>
                <w:sz w:val="22"/>
                <w:szCs w:val="22"/>
                <w:lang w:val="en-GB"/>
              </w:rPr>
            </w:pPr>
          </w:p>
        </w:tc>
      </w:tr>
      <w:tr w:rsidR="00DF0D5F" w14:paraId="2AC076B8" w14:textId="77777777" w:rsidTr="00DC2AC8">
        <w:tc>
          <w:tcPr>
            <w:tcW w:w="2394" w:type="dxa"/>
            <w:vMerge/>
            <w:shd w:val="clear" w:color="auto" w:fill="auto"/>
          </w:tcPr>
          <w:p w14:paraId="7F2E739B" w14:textId="77777777" w:rsidR="00DF0D5F" w:rsidRPr="00DC2AC8" w:rsidRDefault="00DF0D5F" w:rsidP="00DC2AC8">
            <w:pPr>
              <w:widowControl w:val="0"/>
              <w:ind w:right="37"/>
              <w:jc w:val="both"/>
              <w:rPr>
                <w:rFonts w:ascii="TimesNewRomanPSMT" w:eastAsia="Calibri" w:hAnsi="TimesNewRomanPSMT" w:cs="TimesNewRomanPSMT"/>
                <w:b/>
                <w:sz w:val="22"/>
                <w:szCs w:val="22"/>
                <w:lang w:val="en-GB"/>
              </w:rPr>
            </w:pPr>
          </w:p>
        </w:tc>
        <w:tc>
          <w:tcPr>
            <w:tcW w:w="1536" w:type="dxa"/>
            <w:shd w:val="clear" w:color="auto" w:fill="auto"/>
          </w:tcPr>
          <w:p w14:paraId="341605C8" w14:textId="77777777" w:rsidR="00DF0D5F" w:rsidRPr="00DC2AC8" w:rsidRDefault="00DF0D5F" w:rsidP="00DC2AC8">
            <w:pPr>
              <w:widowControl w:val="0"/>
              <w:ind w:right="37"/>
              <w:jc w:val="center"/>
              <w:rPr>
                <w:rFonts w:ascii="TimesNewRomanPSMT" w:eastAsia="Calibri" w:hAnsi="TimesNewRomanPSMT" w:cs="TimesNewRomanPSMT"/>
                <w:b/>
                <w:sz w:val="22"/>
                <w:szCs w:val="22"/>
                <w:lang w:val="en-GB"/>
              </w:rPr>
            </w:pPr>
            <w:r w:rsidRPr="00DC2AC8">
              <w:rPr>
                <w:rFonts w:ascii="TimesNewRomanPSMT" w:eastAsia="Calibri" w:hAnsi="TimesNewRomanPSMT" w:cs="TimesNewRomanPSMT"/>
                <w:b/>
                <w:sz w:val="22"/>
                <w:szCs w:val="22"/>
                <w:lang w:val="en-GB"/>
              </w:rPr>
              <w:t>Titration period (N=358)</w:t>
            </w:r>
          </w:p>
        </w:tc>
        <w:tc>
          <w:tcPr>
            <w:tcW w:w="2588" w:type="dxa"/>
            <w:shd w:val="clear" w:color="auto" w:fill="auto"/>
          </w:tcPr>
          <w:p w14:paraId="4BE8A8E4" w14:textId="77777777" w:rsidR="00DF0D5F" w:rsidRPr="00DC2AC8" w:rsidRDefault="00DF0D5F" w:rsidP="00DC2AC8">
            <w:pPr>
              <w:widowControl w:val="0"/>
              <w:ind w:right="37"/>
              <w:jc w:val="center"/>
              <w:rPr>
                <w:rFonts w:ascii="TimesNewRomanPSMT" w:eastAsia="Calibri" w:hAnsi="TimesNewRomanPSMT" w:cs="TimesNewRomanPSMT"/>
                <w:b/>
                <w:sz w:val="22"/>
                <w:szCs w:val="22"/>
                <w:lang w:val="en-GB"/>
              </w:rPr>
            </w:pPr>
            <w:r w:rsidRPr="00DC2AC8">
              <w:rPr>
                <w:rFonts w:ascii="TimesNewRomanPSMT" w:eastAsia="Calibri" w:hAnsi="TimesNewRomanPSMT" w:cs="TimesNewRomanPSMT"/>
                <w:b/>
                <w:sz w:val="22"/>
                <w:szCs w:val="22"/>
                <w:lang w:val="en-GB"/>
              </w:rPr>
              <w:t>Posttitration period (N=239)</w:t>
            </w:r>
          </w:p>
        </w:tc>
        <w:tc>
          <w:tcPr>
            <w:tcW w:w="2345" w:type="dxa"/>
            <w:shd w:val="clear" w:color="auto" w:fill="auto"/>
          </w:tcPr>
          <w:p w14:paraId="37A4077F" w14:textId="77777777" w:rsidR="00DF0D5F" w:rsidRPr="00DC2AC8" w:rsidRDefault="00DF0D5F" w:rsidP="00DC2AC8">
            <w:pPr>
              <w:widowControl w:val="0"/>
              <w:ind w:right="37"/>
              <w:jc w:val="center"/>
              <w:rPr>
                <w:rFonts w:ascii="TimesNewRomanPSMT" w:eastAsia="Calibri" w:hAnsi="TimesNewRomanPSMT" w:cs="TimesNewRomanPSMT"/>
                <w:b/>
                <w:sz w:val="22"/>
                <w:szCs w:val="22"/>
                <w:lang w:val="en-GB"/>
              </w:rPr>
            </w:pPr>
            <w:r w:rsidRPr="00DC2AC8">
              <w:rPr>
                <w:rFonts w:ascii="TimesNewRomanPSMT" w:eastAsia="Calibri" w:hAnsi="TimesNewRomanPSMT" w:cs="TimesNewRomanPSMT"/>
                <w:b/>
                <w:sz w:val="22"/>
                <w:szCs w:val="22"/>
                <w:lang w:val="en-GB"/>
              </w:rPr>
              <w:t>Overall (N=358)</w:t>
            </w:r>
          </w:p>
        </w:tc>
      </w:tr>
      <w:tr w:rsidR="00DF0D5F" w:rsidRPr="009F3827" w14:paraId="11626A4A" w14:textId="77777777" w:rsidTr="00DC2AC8">
        <w:tc>
          <w:tcPr>
            <w:tcW w:w="2394" w:type="dxa"/>
            <w:shd w:val="clear" w:color="auto" w:fill="auto"/>
          </w:tcPr>
          <w:p w14:paraId="349733AE"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Patients with at least 1 adverse event</w:t>
            </w:r>
          </w:p>
        </w:tc>
        <w:tc>
          <w:tcPr>
            <w:tcW w:w="1536" w:type="dxa"/>
            <w:shd w:val="clear" w:color="auto" w:fill="auto"/>
          </w:tcPr>
          <w:p w14:paraId="27A674F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206 (58)</w:t>
            </w:r>
          </w:p>
        </w:tc>
        <w:tc>
          <w:tcPr>
            <w:tcW w:w="2588" w:type="dxa"/>
            <w:shd w:val="clear" w:color="auto" w:fill="auto"/>
          </w:tcPr>
          <w:p w14:paraId="37E166D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217 (91)</w:t>
            </w:r>
          </w:p>
        </w:tc>
        <w:tc>
          <w:tcPr>
            <w:tcW w:w="2345" w:type="dxa"/>
            <w:shd w:val="clear" w:color="auto" w:fill="auto"/>
          </w:tcPr>
          <w:p w14:paraId="5D333AC4"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305 (85)</w:t>
            </w:r>
          </w:p>
        </w:tc>
      </w:tr>
      <w:tr w:rsidR="00DF0D5F" w:rsidRPr="009F3827" w14:paraId="625013EA" w14:textId="77777777" w:rsidTr="00DC2AC8">
        <w:tc>
          <w:tcPr>
            <w:tcW w:w="8863" w:type="dxa"/>
            <w:gridSpan w:val="4"/>
            <w:shd w:val="clear" w:color="auto" w:fill="auto"/>
          </w:tcPr>
          <w:p w14:paraId="079460B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Blood and lymphatic system disorders</w:t>
            </w:r>
          </w:p>
        </w:tc>
      </w:tr>
      <w:tr w:rsidR="00DF0D5F" w:rsidRPr="009F3827" w14:paraId="2931673E" w14:textId="77777777" w:rsidTr="00DC2AC8">
        <w:tc>
          <w:tcPr>
            <w:tcW w:w="2394" w:type="dxa"/>
            <w:shd w:val="clear" w:color="auto" w:fill="auto"/>
          </w:tcPr>
          <w:p w14:paraId="3518EF5F"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Anaemia</w:t>
            </w:r>
          </w:p>
        </w:tc>
        <w:tc>
          <w:tcPr>
            <w:tcW w:w="1536" w:type="dxa"/>
            <w:shd w:val="clear" w:color="auto" w:fill="auto"/>
          </w:tcPr>
          <w:p w14:paraId="18A3D08D"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6 (2)</w:t>
            </w:r>
          </w:p>
        </w:tc>
        <w:tc>
          <w:tcPr>
            <w:tcW w:w="2588" w:type="dxa"/>
            <w:shd w:val="clear" w:color="auto" w:fill="auto"/>
          </w:tcPr>
          <w:p w14:paraId="5F847E2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31 (13)</w:t>
            </w:r>
          </w:p>
        </w:tc>
        <w:tc>
          <w:tcPr>
            <w:tcW w:w="2345" w:type="dxa"/>
            <w:shd w:val="clear" w:color="auto" w:fill="auto"/>
          </w:tcPr>
          <w:p w14:paraId="78E94CB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40 (11)</w:t>
            </w:r>
          </w:p>
        </w:tc>
      </w:tr>
      <w:tr w:rsidR="00DF0D5F" w:rsidRPr="009F3827" w14:paraId="46D22E77" w14:textId="77777777" w:rsidTr="00DC2AC8">
        <w:tc>
          <w:tcPr>
            <w:tcW w:w="2394" w:type="dxa"/>
            <w:shd w:val="clear" w:color="auto" w:fill="auto"/>
          </w:tcPr>
          <w:p w14:paraId="6752901C" w14:textId="77777777" w:rsidR="00DF0D5F" w:rsidRPr="00DC2AC8" w:rsidRDefault="00DF0D5F" w:rsidP="00DC2AC8">
            <w:pPr>
              <w:widowControl w:val="0"/>
              <w:ind w:right="37"/>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Neutropenia</w:t>
            </w:r>
          </w:p>
        </w:tc>
        <w:tc>
          <w:tcPr>
            <w:tcW w:w="1536" w:type="dxa"/>
            <w:shd w:val="clear" w:color="auto" w:fill="auto"/>
          </w:tcPr>
          <w:p w14:paraId="656F7329"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 (&lt;1)</w:t>
            </w:r>
          </w:p>
        </w:tc>
        <w:tc>
          <w:tcPr>
            <w:tcW w:w="2588" w:type="dxa"/>
            <w:shd w:val="clear" w:color="auto" w:fill="auto"/>
          </w:tcPr>
          <w:p w14:paraId="7FA1E8C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15 (6)</w:t>
            </w:r>
          </w:p>
        </w:tc>
        <w:tc>
          <w:tcPr>
            <w:tcW w:w="2345" w:type="dxa"/>
            <w:shd w:val="clear" w:color="auto" w:fill="auto"/>
          </w:tcPr>
          <w:p w14:paraId="016CD27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18 (5)</w:t>
            </w:r>
          </w:p>
        </w:tc>
      </w:tr>
      <w:tr w:rsidR="00DF0D5F" w:rsidRPr="009F3827" w14:paraId="1A0BF91F" w14:textId="77777777" w:rsidTr="00DC2AC8">
        <w:tc>
          <w:tcPr>
            <w:tcW w:w="8863" w:type="dxa"/>
            <w:gridSpan w:val="4"/>
            <w:shd w:val="clear" w:color="auto" w:fill="auto"/>
          </w:tcPr>
          <w:p w14:paraId="084D56E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Gastrointestinal disorders</w:t>
            </w:r>
          </w:p>
        </w:tc>
      </w:tr>
      <w:tr w:rsidR="00DF0D5F" w:rsidRPr="009F3827" w14:paraId="1EA6A6A6" w14:textId="77777777" w:rsidTr="00DC2AC8">
        <w:tc>
          <w:tcPr>
            <w:tcW w:w="2394" w:type="dxa"/>
            <w:shd w:val="clear" w:color="auto" w:fill="auto"/>
          </w:tcPr>
          <w:p w14:paraId="5860D0E2"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Nausea</w:t>
            </w:r>
          </w:p>
        </w:tc>
        <w:tc>
          <w:tcPr>
            <w:tcW w:w="1536" w:type="dxa"/>
            <w:shd w:val="clear" w:color="auto" w:fill="auto"/>
          </w:tcPr>
          <w:p w14:paraId="153A57E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59 (16)</w:t>
            </w:r>
          </w:p>
        </w:tc>
        <w:tc>
          <w:tcPr>
            <w:tcW w:w="2588" w:type="dxa"/>
            <w:shd w:val="clear" w:color="auto" w:fill="auto"/>
          </w:tcPr>
          <w:p w14:paraId="7A4AFEA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71 (30)</w:t>
            </w:r>
          </w:p>
        </w:tc>
        <w:tc>
          <w:tcPr>
            <w:tcW w:w="2345" w:type="dxa"/>
            <w:shd w:val="clear" w:color="auto" w:fill="auto"/>
          </w:tcPr>
          <w:p w14:paraId="2A1910C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110 (31)</w:t>
            </w:r>
          </w:p>
        </w:tc>
      </w:tr>
      <w:tr w:rsidR="00DF0D5F" w:rsidRPr="009F3827" w14:paraId="6A8C892B" w14:textId="77777777" w:rsidTr="00DC2AC8">
        <w:tc>
          <w:tcPr>
            <w:tcW w:w="2394" w:type="dxa"/>
            <w:shd w:val="clear" w:color="auto" w:fill="auto"/>
          </w:tcPr>
          <w:p w14:paraId="7A53F2C9"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Vomiting</w:t>
            </w:r>
          </w:p>
        </w:tc>
        <w:tc>
          <w:tcPr>
            <w:tcW w:w="1536" w:type="dxa"/>
            <w:shd w:val="clear" w:color="auto" w:fill="auto"/>
          </w:tcPr>
          <w:p w14:paraId="019609F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19 (5)</w:t>
            </w:r>
          </w:p>
        </w:tc>
        <w:tc>
          <w:tcPr>
            <w:tcW w:w="2588" w:type="dxa"/>
            <w:shd w:val="clear" w:color="auto" w:fill="auto"/>
          </w:tcPr>
          <w:p w14:paraId="7409602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51 (21)</w:t>
            </w:r>
          </w:p>
        </w:tc>
        <w:tc>
          <w:tcPr>
            <w:tcW w:w="2345" w:type="dxa"/>
            <w:shd w:val="clear" w:color="auto" w:fill="auto"/>
          </w:tcPr>
          <w:p w14:paraId="26BAE26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63 (18)</w:t>
            </w:r>
          </w:p>
        </w:tc>
      </w:tr>
      <w:tr w:rsidR="00DF0D5F" w:rsidRPr="009F3827" w14:paraId="6D3A4F81" w14:textId="77777777" w:rsidTr="00DC2AC8">
        <w:tc>
          <w:tcPr>
            <w:tcW w:w="2394" w:type="dxa"/>
            <w:shd w:val="clear" w:color="auto" w:fill="auto"/>
          </w:tcPr>
          <w:p w14:paraId="2C772B36"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Constipation</w:t>
            </w:r>
          </w:p>
        </w:tc>
        <w:tc>
          <w:tcPr>
            <w:tcW w:w="1536" w:type="dxa"/>
            <w:shd w:val="clear" w:color="auto" w:fill="auto"/>
          </w:tcPr>
          <w:p w14:paraId="72C1825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15 (4)</w:t>
            </w:r>
          </w:p>
        </w:tc>
        <w:tc>
          <w:tcPr>
            <w:tcW w:w="2588" w:type="dxa"/>
            <w:shd w:val="clear" w:color="auto" w:fill="auto"/>
          </w:tcPr>
          <w:p w14:paraId="04B3427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34 (14)</w:t>
            </w:r>
          </w:p>
        </w:tc>
        <w:tc>
          <w:tcPr>
            <w:tcW w:w="2345" w:type="dxa"/>
            <w:shd w:val="clear" w:color="auto" w:fill="auto"/>
          </w:tcPr>
          <w:p w14:paraId="6C0A9671"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48 (13)</w:t>
            </w:r>
          </w:p>
        </w:tc>
      </w:tr>
      <w:tr w:rsidR="00DF0D5F" w:rsidRPr="009F3827" w14:paraId="601B88B1" w14:textId="77777777" w:rsidTr="00DC2AC8">
        <w:tc>
          <w:tcPr>
            <w:tcW w:w="2394" w:type="dxa"/>
            <w:shd w:val="clear" w:color="auto" w:fill="auto"/>
          </w:tcPr>
          <w:p w14:paraId="7108FBC6"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Diarrhoea</w:t>
            </w:r>
          </w:p>
        </w:tc>
        <w:tc>
          <w:tcPr>
            <w:tcW w:w="1536" w:type="dxa"/>
            <w:shd w:val="clear" w:color="auto" w:fill="auto"/>
          </w:tcPr>
          <w:p w14:paraId="00AFDB2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8 (2)</w:t>
            </w:r>
          </w:p>
        </w:tc>
        <w:tc>
          <w:tcPr>
            <w:tcW w:w="2588" w:type="dxa"/>
            <w:shd w:val="clear" w:color="auto" w:fill="auto"/>
          </w:tcPr>
          <w:p w14:paraId="7576791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22 (9)</w:t>
            </w:r>
          </w:p>
        </w:tc>
        <w:tc>
          <w:tcPr>
            <w:tcW w:w="2345" w:type="dxa"/>
            <w:shd w:val="clear" w:color="auto" w:fill="auto"/>
          </w:tcPr>
          <w:p w14:paraId="5D109471"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29 (8)</w:t>
            </w:r>
          </w:p>
        </w:tc>
      </w:tr>
      <w:tr w:rsidR="00DF0D5F" w:rsidRPr="009F3827" w14:paraId="62EE3152" w14:textId="77777777" w:rsidTr="00DC2AC8">
        <w:tc>
          <w:tcPr>
            <w:tcW w:w="2394" w:type="dxa"/>
            <w:shd w:val="clear" w:color="auto" w:fill="auto"/>
          </w:tcPr>
          <w:p w14:paraId="1B57DFBF"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Abdominal pain</w:t>
            </w:r>
          </w:p>
        </w:tc>
        <w:tc>
          <w:tcPr>
            <w:tcW w:w="1536" w:type="dxa"/>
            <w:shd w:val="clear" w:color="auto" w:fill="auto"/>
          </w:tcPr>
          <w:p w14:paraId="152F5604"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 (1)</w:t>
            </w:r>
          </w:p>
        </w:tc>
        <w:tc>
          <w:tcPr>
            <w:tcW w:w="2588" w:type="dxa"/>
            <w:shd w:val="clear" w:color="auto" w:fill="auto"/>
          </w:tcPr>
          <w:p w14:paraId="540390B3" w14:textId="77777777" w:rsidR="00DF0D5F" w:rsidRPr="00DC2AC8" w:rsidRDefault="00DF0D5F" w:rsidP="00DC2AC8">
            <w:pPr>
              <w:widowControl w:val="0"/>
              <w:tabs>
                <w:tab w:val="left" w:pos="1635"/>
              </w:tabs>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25 (10)</w:t>
            </w:r>
          </w:p>
        </w:tc>
        <w:tc>
          <w:tcPr>
            <w:tcW w:w="2345" w:type="dxa"/>
            <w:shd w:val="clear" w:color="auto" w:fill="auto"/>
          </w:tcPr>
          <w:p w14:paraId="27D2F42D"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27 (8)</w:t>
            </w:r>
          </w:p>
        </w:tc>
      </w:tr>
      <w:tr w:rsidR="00DF0D5F" w:rsidRPr="009F3827" w14:paraId="7ED10801" w14:textId="77777777" w:rsidTr="00DC2AC8">
        <w:tc>
          <w:tcPr>
            <w:tcW w:w="2394" w:type="dxa"/>
            <w:shd w:val="clear" w:color="auto" w:fill="auto"/>
          </w:tcPr>
          <w:p w14:paraId="66E701DC"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Stomatitis</w:t>
            </w:r>
          </w:p>
        </w:tc>
        <w:tc>
          <w:tcPr>
            <w:tcW w:w="1536" w:type="dxa"/>
            <w:shd w:val="clear" w:color="auto" w:fill="auto"/>
          </w:tcPr>
          <w:p w14:paraId="473F446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8 (2)</w:t>
            </w:r>
          </w:p>
        </w:tc>
        <w:tc>
          <w:tcPr>
            <w:tcW w:w="2588" w:type="dxa"/>
            <w:shd w:val="clear" w:color="auto" w:fill="auto"/>
          </w:tcPr>
          <w:p w14:paraId="61307B2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13 (5)</w:t>
            </w:r>
          </w:p>
        </w:tc>
        <w:tc>
          <w:tcPr>
            <w:tcW w:w="2345" w:type="dxa"/>
            <w:shd w:val="clear" w:color="auto" w:fill="auto"/>
          </w:tcPr>
          <w:p w14:paraId="1BF0C56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20 (6)</w:t>
            </w:r>
          </w:p>
        </w:tc>
      </w:tr>
      <w:tr w:rsidR="00DF0D5F" w:rsidRPr="009F3827" w14:paraId="6BE620A2" w14:textId="77777777" w:rsidTr="00DC2AC8">
        <w:tc>
          <w:tcPr>
            <w:tcW w:w="2394" w:type="dxa"/>
            <w:shd w:val="clear" w:color="auto" w:fill="auto"/>
          </w:tcPr>
          <w:p w14:paraId="342D128A"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Dyspepsia</w:t>
            </w:r>
          </w:p>
        </w:tc>
        <w:tc>
          <w:tcPr>
            <w:tcW w:w="1536" w:type="dxa"/>
            <w:shd w:val="clear" w:color="auto" w:fill="auto"/>
          </w:tcPr>
          <w:p w14:paraId="402CFB7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 (&lt;1)</w:t>
            </w:r>
          </w:p>
        </w:tc>
        <w:tc>
          <w:tcPr>
            <w:tcW w:w="2588" w:type="dxa"/>
            <w:shd w:val="clear" w:color="auto" w:fill="auto"/>
          </w:tcPr>
          <w:p w14:paraId="18B8F5E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12 (5)</w:t>
            </w:r>
          </w:p>
        </w:tc>
        <w:tc>
          <w:tcPr>
            <w:tcW w:w="2345" w:type="dxa"/>
            <w:shd w:val="clear" w:color="auto" w:fill="auto"/>
          </w:tcPr>
          <w:p w14:paraId="0ABF672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13 (4)</w:t>
            </w:r>
          </w:p>
        </w:tc>
      </w:tr>
      <w:tr w:rsidR="00DF0D5F" w:rsidRPr="009F3827" w14:paraId="78B00CAA" w14:textId="77777777" w:rsidTr="00DC2AC8">
        <w:tc>
          <w:tcPr>
            <w:tcW w:w="8863" w:type="dxa"/>
            <w:gridSpan w:val="4"/>
            <w:shd w:val="clear" w:color="auto" w:fill="auto"/>
          </w:tcPr>
          <w:p w14:paraId="767EC74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General disorders and administration site conditions</w:t>
            </w:r>
          </w:p>
        </w:tc>
      </w:tr>
      <w:tr w:rsidR="00DF0D5F" w:rsidRPr="009F3827" w14:paraId="042E219B" w14:textId="77777777" w:rsidTr="00DC2AC8">
        <w:tc>
          <w:tcPr>
            <w:tcW w:w="2394" w:type="dxa"/>
            <w:shd w:val="clear" w:color="auto" w:fill="auto"/>
          </w:tcPr>
          <w:p w14:paraId="14E2CB2C"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Fatigue</w:t>
            </w:r>
          </w:p>
        </w:tc>
        <w:tc>
          <w:tcPr>
            <w:tcW w:w="1536" w:type="dxa"/>
            <w:shd w:val="clear" w:color="auto" w:fill="auto"/>
          </w:tcPr>
          <w:p w14:paraId="5B9922B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20 (6)</w:t>
            </w:r>
          </w:p>
        </w:tc>
        <w:tc>
          <w:tcPr>
            <w:tcW w:w="2588" w:type="dxa"/>
            <w:shd w:val="clear" w:color="auto" w:fill="auto"/>
          </w:tcPr>
          <w:p w14:paraId="1CD678A4"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40 (17)</w:t>
            </w:r>
          </w:p>
        </w:tc>
        <w:tc>
          <w:tcPr>
            <w:tcW w:w="2345" w:type="dxa"/>
            <w:shd w:val="clear" w:color="auto" w:fill="auto"/>
          </w:tcPr>
          <w:p w14:paraId="6ADEE61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58 (16)</w:t>
            </w:r>
          </w:p>
        </w:tc>
      </w:tr>
      <w:tr w:rsidR="00DF0D5F" w:rsidRPr="009F3827" w14:paraId="494392EA" w14:textId="77777777" w:rsidTr="00DC2AC8">
        <w:tc>
          <w:tcPr>
            <w:tcW w:w="2394" w:type="dxa"/>
            <w:shd w:val="clear" w:color="auto" w:fill="auto"/>
          </w:tcPr>
          <w:p w14:paraId="78CBE696"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Oedema peripheral</w:t>
            </w:r>
          </w:p>
        </w:tc>
        <w:tc>
          <w:tcPr>
            <w:tcW w:w="1536" w:type="dxa"/>
            <w:shd w:val="clear" w:color="auto" w:fill="auto"/>
          </w:tcPr>
          <w:p w14:paraId="4159F9E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 (1)</w:t>
            </w:r>
          </w:p>
        </w:tc>
        <w:tc>
          <w:tcPr>
            <w:tcW w:w="2588" w:type="dxa"/>
            <w:shd w:val="clear" w:color="auto" w:fill="auto"/>
          </w:tcPr>
          <w:p w14:paraId="33D61FF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32 (13)</w:t>
            </w:r>
          </w:p>
        </w:tc>
        <w:tc>
          <w:tcPr>
            <w:tcW w:w="2345" w:type="dxa"/>
            <w:shd w:val="clear" w:color="auto" w:fill="auto"/>
          </w:tcPr>
          <w:p w14:paraId="38950DE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38 (11)</w:t>
            </w:r>
          </w:p>
        </w:tc>
      </w:tr>
      <w:tr w:rsidR="00DF0D5F" w:rsidRPr="009F3827" w14:paraId="698AAFDC" w14:textId="77777777" w:rsidTr="00DC2AC8">
        <w:tc>
          <w:tcPr>
            <w:tcW w:w="2394" w:type="dxa"/>
            <w:shd w:val="clear" w:color="auto" w:fill="auto"/>
          </w:tcPr>
          <w:p w14:paraId="4067EABB"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Asthenia</w:t>
            </w:r>
          </w:p>
        </w:tc>
        <w:tc>
          <w:tcPr>
            <w:tcW w:w="1536" w:type="dxa"/>
            <w:shd w:val="clear" w:color="auto" w:fill="auto"/>
          </w:tcPr>
          <w:p w14:paraId="6DA4EBF6"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6 (2)</w:t>
            </w:r>
          </w:p>
        </w:tc>
        <w:tc>
          <w:tcPr>
            <w:tcW w:w="2588" w:type="dxa"/>
            <w:shd w:val="clear" w:color="auto" w:fill="auto"/>
          </w:tcPr>
          <w:p w14:paraId="6AFD290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27 (11)</w:t>
            </w:r>
          </w:p>
        </w:tc>
        <w:tc>
          <w:tcPr>
            <w:tcW w:w="2345" w:type="dxa"/>
            <w:shd w:val="clear" w:color="auto" w:fill="auto"/>
          </w:tcPr>
          <w:p w14:paraId="0D1B409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34 (9)</w:t>
            </w:r>
          </w:p>
        </w:tc>
      </w:tr>
      <w:tr w:rsidR="00DF0D5F" w:rsidRPr="009F3827" w14:paraId="28FBA9AB" w14:textId="77777777" w:rsidTr="00DC2AC8">
        <w:tc>
          <w:tcPr>
            <w:tcW w:w="2394" w:type="dxa"/>
            <w:shd w:val="clear" w:color="auto" w:fill="auto"/>
          </w:tcPr>
          <w:p w14:paraId="0889692F"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Pyrexia</w:t>
            </w:r>
          </w:p>
        </w:tc>
        <w:tc>
          <w:tcPr>
            <w:tcW w:w="1536" w:type="dxa"/>
            <w:shd w:val="clear" w:color="auto" w:fill="auto"/>
          </w:tcPr>
          <w:p w14:paraId="1A94F6E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 (1)</w:t>
            </w:r>
          </w:p>
        </w:tc>
        <w:tc>
          <w:tcPr>
            <w:tcW w:w="2588" w:type="dxa"/>
            <w:shd w:val="clear" w:color="auto" w:fill="auto"/>
          </w:tcPr>
          <w:p w14:paraId="5FD0088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19 (8)</w:t>
            </w:r>
          </w:p>
        </w:tc>
        <w:tc>
          <w:tcPr>
            <w:tcW w:w="2345" w:type="dxa"/>
            <w:shd w:val="clear" w:color="auto" w:fill="auto"/>
          </w:tcPr>
          <w:p w14:paraId="4AE4075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23 (6)</w:t>
            </w:r>
          </w:p>
        </w:tc>
      </w:tr>
      <w:tr w:rsidR="00421389" w:rsidRPr="009F3827" w14:paraId="3E339867" w14:textId="77777777" w:rsidTr="00DC2AC8">
        <w:tc>
          <w:tcPr>
            <w:tcW w:w="8863" w:type="dxa"/>
            <w:gridSpan w:val="4"/>
            <w:shd w:val="clear" w:color="auto" w:fill="auto"/>
          </w:tcPr>
          <w:p w14:paraId="59A8DD03" w14:textId="77777777" w:rsidR="00421389" w:rsidRPr="00DC2AC8" w:rsidRDefault="00421389"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Infections and infestations</w:t>
            </w:r>
          </w:p>
        </w:tc>
      </w:tr>
      <w:tr w:rsidR="00DF0D5F" w:rsidRPr="009F3827" w14:paraId="002E0A21" w14:textId="77777777" w:rsidTr="00DC2AC8">
        <w:tc>
          <w:tcPr>
            <w:tcW w:w="2394" w:type="dxa"/>
            <w:shd w:val="clear" w:color="auto" w:fill="auto"/>
          </w:tcPr>
          <w:p w14:paraId="5C6A78DD"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Pneumonia</w:t>
            </w:r>
          </w:p>
        </w:tc>
        <w:tc>
          <w:tcPr>
            <w:tcW w:w="1536" w:type="dxa"/>
            <w:shd w:val="clear" w:color="auto" w:fill="auto"/>
          </w:tcPr>
          <w:p w14:paraId="7BABA121"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 (&lt;1)</w:t>
            </w:r>
          </w:p>
        </w:tc>
        <w:tc>
          <w:tcPr>
            <w:tcW w:w="2588" w:type="dxa"/>
            <w:shd w:val="clear" w:color="auto" w:fill="auto"/>
          </w:tcPr>
          <w:p w14:paraId="02516FF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21 (9)</w:t>
            </w:r>
          </w:p>
        </w:tc>
        <w:tc>
          <w:tcPr>
            <w:tcW w:w="2345" w:type="dxa"/>
            <w:shd w:val="clear" w:color="auto" w:fill="auto"/>
          </w:tcPr>
          <w:p w14:paraId="09403B4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24 (7)</w:t>
            </w:r>
          </w:p>
        </w:tc>
      </w:tr>
      <w:tr w:rsidR="00DF0D5F" w:rsidRPr="009F3827" w14:paraId="3B09B981" w14:textId="77777777" w:rsidTr="00DC2AC8">
        <w:tc>
          <w:tcPr>
            <w:tcW w:w="2394" w:type="dxa"/>
            <w:shd w:val="clear" w:color="auto" w:fill="auto"/>
          </w:tcPr>
          <w:p w14:paraId="01475279"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Urinary tract infection</w:t>
            </w:r>
          </w:p>
        </w:tc>
        <w:tc>
          <w:tcPr>
            <w:tcW w:w="1536" w:type="dxa"/>
            <w:shd w:val="clear" w:color="auto" w:fill="auto"/>
          </w:tcPr>
          <w:p w14:paraId="2833A2E9"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 (1)</w:t>
            </w:r>
          </w:p>
        </w:tc>
        <w:tc>
          <w:tcPr>
            <w:tcW w:w="2588" w:type="dxa"/>
            <w:shd w:val="clear" w:color="auto" w:fill="auto"/>
          </w:tcPr>
          <w:p w14:paraId="5FFD935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15 (6)</w:t>
            </w:r>
          </w:p>
        </w:tc>
        <w:tc>
          <w:tcPr>
            <w:tcW w:w="2345" w:type="dxa"/>
            <w:shd w:val="clear" w:color="auto" w:fill="auto"/>
          </w:tcPr>
          <w:p w14:paraId="1E0B856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18 (5)</w:t>
            </w:r>
          </w:p>
        </w:tc>
      </w:tr>
      <w:tr w:rsidR="00421389" w:rsidRPr="009F3827" w14:paraId="4931E11A" w14:textId="77777777" w:rsidTr="00DC2AC8">
        <w:tc>
          <w:tcPr>
            <w:tcW w:w="8863" w:type="dxa"/>
            <w:gridSpan w:val="4"/>
            <w:shd w:val="clear" w:color="auto" w:fill="auto"/>
          </w:tcPr>
          <w:p w14:paraId="7F1E51B7" w14:textId="77777777" w:rsidR="00421389" w:rsidRPr="00DC2AC8" w:rsidRDefault="00421389"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Investigations</w:t>
            </w:r>
          </w:p>
        </w:tc>
      </w:tr>
      <w:tr w:rsidR="00DF0D5F" w:rsidRPr="009F3827" w14:paraId="2D1E8E7E" w14:textId="77777777" w:rsidTr="00DC2AC8">
        <w:tc>
          <w:tcPr>
            <w:tcW w:w="2394" w:type="dxa"/>
            <w:shd w:val="clear" w:color="auto" w:fill="auto"/>
          </w:tcPr>
          <w:p w14:paraId="19957398"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Weight decreased</w:t>
            </w:r>
          </w:p>
        </w:tc>
        <w:tc>
          <w:tcPr>
            <w:tcW w:w="1536" w:type="dxa"/>
            <w:shd w:val="clear" w:color="auto" w:fill="auto"/>
          </w:tcPr>
          <w:p w14:paraId="15805D3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 (1)</w:t>
            </w:r>
          </w:p>
        </w:tc>
        <w:tc>
          <w:tcPr>
            <w:tcW w:w="2588" w:type="dxa"/>
            <w:shd w:val="clear" w:color="auto" w:fill="auto"/>
          </w:tcPr>
          <w:p w14:paraId="78840BD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18 (8)</w:t>
            </w:r>
          </w:p>
        </w:tc>
        <w:tc>
          <w:tcPr>
            <w:tcW w:w="2345" w:type="dxa"/>
            <w:shd w:val="clear" w:color="auto" w:fill="auto"/>
          </w:tcPr>
          <w:p w14:paraId="7CC85980"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22 (6)</w:t>
            </w:r>
          </w:p>
        </w:tc>
      </w:tr>
      <w:tr w:rsidR="00421389" w:rsidRPr="009F3827" w14:paraId="18F04955" w14:textId="77777777" w:rsidTr="00DC2AC8">
        <w:tc>
          <w:tcPr>
            <w:tcW w:w="8863" w:type="dxa"/>
            <w:gridSpan w:val="4"/>
            <w:shd w:val="clear" w:color="auto" w:fill="auto"/>
          </w:tcPr>
          <w:p w14:paraId="084D4F85" w14:textId="77777777" w:rsidR="00421389" w:rsidRPr="00DC2AC8" w:rsidRDefault="00421389"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lastRenderedPageBreak/>
              <w:t>Metabolism and nutrition disorders</w:t>
            </w:r>
          </w:p>
        </w:tc>
      </w:tr>
      <w:tr w:rsidR="00DF0D5F" w:rsidRPr="009F3827" w14:paraId="59FB8C40" w14:textId="77777777" w:rsidTr="00DC2AC8">
        <w:tc>
          <w:tcPr>
            <w:tcW w:w="2394" w:type="dxa"/>
            <w:shd w:val="clear" w:color="auto" w:fill="auto"/>
          </w:tcPr>
          <w:p w14:paraId="5539F534"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Dehydration</w:t>
            </w:r>
          </w:p>
        </w:tc>
        <w:tc>
          <w:tcPr>
            <w:tcW w:w="1536" w:type="dxa"/>
            <w:shd w:val="clear" w:color="auto" w:fill="auto"/>
          </w:tcPr>
          <w:p w14:paraId="2B80B5F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10 (3)</w:t>
            </w:r>
          </w:p>
        </w:tc>
        <w:tc>
          <w:tcPr>
            <w:tcW w:w="2588" w:type="dxa"/>
            <w:shd w:val="clear" w:color="auto" w:fill="auto"/>
          </w:tcPr>
          <w:p w14:paraId="03D28C8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24 (10)</w:t>
            </w:r>
          </w:p>
        </w:tc>
        <w:tc>
          <w:tcPr>
            <w:tcW w:w="2345" w:type="dxa"/>
            <w:shd w:val="clear" w:color="auto" w:fill="auto"/>
          </w:tcPr>
          <w:p w14:paraId="3F667DF9"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33 (9)</w:t>
            </w:r>
          </w:p>
        </w:tc>
      </w:tr>
      <w:tr w:rsidR="00DF0D5F" w:rsidRPr="009F3827" w14:paraId="3F8A9129" w14:textId="77777777" w:rsidTr="00DC2AC8">
        <w:tc>
          <w:tcPr>
            <w:tcW w:w="2394" w:type="dxa"/>
            <w:shd w:val="clear" w:color="auto" w:fill="auto"/>
          </w:tcPr>
          <w:p w14:paraId="22406871"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Anorexia</w:t>
            </w:r>
          </w:p>
        </w:tc>
        <w:tc>
          <w:tcPr>
            <w:tcW w:w="1536" w:type="dxa"/>
            <w:shd w:val="clear" w:color="auto" w:fill="auto"/>
          </w:tcPr>
          <w:p w14:paraId="1BF36DD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 (&lt;1)</w:t>
            </w:r>
          </w:p>
        </w:tc>
        <w:tc>
          <w:tcPr>
            <w:tcW w:w="2588" w:type="dxa"/>
            <w:shd w:val="clear" w:color="auto" w:fill="auto"/>
          </w:tcPr>
          <w:p w14:paraId="64C90906"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23 (10)</w:t>
            </w:r>
          </w:p>
        </w:tc>
        <w:tc>
          <w:tcPr>
            <w:tcW w:w="2345" w:type="dxa"/>
            <w:shd w:val="clear" w:color="auto" w:fill="auto"/>
          </w:tcPr>
          <w:p w14:paraId="0F6C0F10"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25 (7)</w:t>
            </w:r>
          </w:p>
        </w:tc>
      </w:tr>
      <w:tr w:rsidR="00DF0D5F" w:rsidRPr="009F3827" w14:paraId="75E92A6E" w14:textId="77777777" w:rsidTr="00DC2AC8">
        <w:tc>
          <w:tcPr>
            <w:tcW w:w="2394" w:type="dxa"/>
            <w:shd w:val="clear" w:color="auto" w:fill="auto"/>
          </w:tcPr>
          <w:p w14:paraId="41EF9C26"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Hypokalaemia</w:t>
            </w:r>
          </w:p>
        </w:tc>
        <w:tc>
          <w:tcPr>
            <w:tcW w:w="1536" w:type="dxa"/>
            <w:shd w:val="clear" w:color="auto" w:fill="auto"/>
          </w:tcPr>
          <w:p w14:paraId="204637D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 (1)</w:t>
            </w:r>
          </w:p>
        </w:tc>
        <w:tc>
          <w:tcPr>
            <w:tcW w:w="2588" w:type="dxa"/>
            <w:shd w:val="clear" w:color="auto" w:fill="auto"/>
          </w:tcPr>
          <w:p w14:paraId="40DA263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13 (5)</w:t>
            </w:r>
          </w:p>
        </w:tc>
        <w:tc>
          <w:tcPr>
            <w:tcW w:w="2345" w:type="dxa"/>
            <w:shd w:val="clear" w:color="auto" w:fill="auto"/>
          </w:tcPr>
          <w:p w14:paraId="0BF94C1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18 (5)</w:t>
            </w:r>
          </w:p>
        </w:tc>
      </w:tr>
      <w:tr w:rsidR="00DF0D5F" w:rsidRPr="009F3827" w14:paraId="5F936DA0" w14:textId="77777777" w:rsidTr="00DC2AC8">
        <w:tc>
          <w:tcPr>
            <w:tcW w:w="8863" w:type="dxa"/>
            <w:gridSpan w:val="4"/>
            <w:shd w:val="clear" w:color="auto" w:fill="auto"/>
          </w:tcPr>
          <w:p w14:paraId="0D0DA584"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Musculoskeletal and connective tissue disorders</w:t>
            </w:r>
          </w:p>
        </w:tc>
      </w:tr>
      <w:tr w:rsidR="00DF0D5F" w:rsidRPr="009F3827" w14:paraId="43A04D58" w14:textId="77777777" w:rsidTr="00DC2AC8">
        <w:tc>
          <w:tcPr>
            <w:tcW w:w="2394" w:type="dxa"/>
            <w:shd w:val="clear" w:color="auto" w:fill="auto"/>
          </w:tcPr>
          <w:p w14:paraId="35E18791"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Arthralgia</w:t>
            </w:r>
          </w:p>
        </w:tc>
        <w:tc>
          <w:tcPr>
            <w:tcW w:w="1536" w:type="dxa"/>
            <w:shd w:val="clear" w:color="auto" w:fill="auto"/>
          </w:tcPr>
          <w:p w14:paraId="281A837E"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3 (&lt;1)</w:t>
            </w:r>
          </w:p>
        </w:tc>
        <w:tc>
          <w:tcPr>
            <w:tcW w:w="2588" w:type="dxa"/>
            <w:shd w:val="clear" w:color="auto" w:fill="auto"/>
          </w:tcPr>
          <w:p w14:paraId="1C334CFF"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17 (7)</w:t>
            </w:r>
          </w:p>
        </w:tc>
        <w:tc>
          <w:tcPr>
            <w:tcW w:w="2345" w:type="dxa"/>
            <w:shd w:val="clear" w:color="auto" w:fill="auto"/>
          </w:tcPr>
          <w:p w14:paraId="771D8C67"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22 (6)</w:t>
            </w:r>
          </w:p>
        </w:tc>
      </w:tr>
      <w:tr w:rsidR="00DF0D5F" w:rsidRPr="009F3827" w14:paraId="605B4092" w14:textId="77777777" w:rsidTr="00DC2AC8">
        <w:tc>
          <w:tcPr>
            <w:tcW w:w="2394" w:type="dxa"/>
            <w:shd w:val="clear" w:color="auto" w:fill="auto"/>
          </w:tcPr>
          <w:p w14:paraId="77C4019B"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Back pain</w:t>
            </w:r>
          </w:p>
        </w:tc>
        <w:tc>
          <w:tcPr>
            <w:tcW w:w="1536" w:type="dxa"/>
            <w:shd w:val="clear" w:color="auto" w:fill="auto"/>
          </w:tcPr>
          <w:p w14:paraId="357E92F1"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5 (1)</w:t>
            </w:r>
          </w:p>
        </w:tc>
        <w:tc>
          <w:tcPr>
            <w:tcW w:w="2588" w:type="dxa"/>
            <w:shd w:val="clear" w:color="auto" w:fill="auto"/>
          </w:tcPr>
          <w:p w14:paraId="53D7F64D"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16 (7)</w:t>
            </w:r>
          </w:p>
        </w:tc>
        <w:tc>
          <w:tcPr>
            <w:tcW w:w="2345" w:type="dxa"/>
            <w:shd w:val="clear" w:color="auto" w:fill="auto"/>
          </w:tcPr>
          <w:p w14:paraId="1F10BE24"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20 (6)</w:t>
            </w:r>
          </w:p>
        </w:tc>
      </w:tr>
      <w:tr w:rsidR="00DF0D5F" w:rsidRPr="009F3827" w14:paraId="34062DFE" w14:textId="77777777" w:rsidTr="00DC2AC8">
        <w:tc>
          <w:tcPr>
            <w:tcW w:w="2394" w:type="dxa"/>
            <w:shd w:val="clear" w:color="auto" w:fill="auto"/>
          </w:tcPr>
          <w:p w14:paraId="27C9048C"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Pain in extremity</w:t>
            </w:r>
          </w:p>
        </w:tc>
        <w:tc>
          <w:tcPr>
            <w:tcW w:w="1536" w:type="dxa"/>
            <w:shd w:val="clear" w:color="auto" w:fill="auto"/>
          </w:tcPr>
          <w:p w14:paraId="65C02ABA"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2 (&lt;1)</w:t>
            </w:r>
          </w:p>
        </w:tc>
        <w:tc>
          <w:tcPr>
            <w:tcW w:w="2588" w:type="dxa"/>
            <w:shd w:val="clear" w:color="auto" w:fill="auto"/>
          </w:tcPr>
          <w:p w14:paraId="1834006F"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11 (5)</w:t>
            </w:r>
          </w:p>
        </w:tc>
        <w:tc>
          <w:tcPr>
            <w:tcW w:w="2345" w:type="dxa"/>
            <w:shd w:val="clear" w:color="auto" w:fill="auto"/>
          </w:tcPr>
          <w:p w14:paraId="1E015427" w14:textId="77777777" w:rsidR="00DF0D5F" w:rsidRPr="00DC2AC8" w:rsidRDefault="004E4FC4" w:rsidP="00DC2AC8">
            <w:pPr>
              <w:widowControl w:val="0"/>
              <w:ind w:right="37"/>
              <w:jc w:val="center"/>
              <w:rPr>
                <w:rFonts w:ascii="TimesNewRomanPSMT" w:eastAsia="Calibri" w:hAnsi="TimesNewRomanPSMT" w:cs="TimesNewRomanPSMT"/>
                <w:sz w:val="22"/>
                <w:szCs w:val="22"/>
                <w:lang w:val="en-GB"/>
              </w:rPr>
            </w:pPr>
            <w:r w:rsidRPr="004E4FC4">
              <w:rPr>
                <w:rFonts w:ascii="TimesNewRomanPSMT" w:eastAsia="Calibri" w:hAnsi="TimesNewRomanPSMT" w:cs="TimesNewRomanPSMT"/>
                <w:sz w:val="22"/>
                <w:szCs w:val="22"/>
                <w:lang w:val="en-GB"/>
              </w:rPr>
              <w:t>14 (4)</w:t>
            </w:r>
          </w:p>
        </w:tc>
      </w:tr>
      <w:tr w:rsidR="00DF0D5F" w:rsidRPr="009F3827" w14:paraId="02A42C26" w14:textId="77777777" w:rsidTr="00DC2AC8">
        <w:tc>
          <w:tcPr>
            <w:tcW w:w="8863" w:type="dxa"/>
            <w:gridSpan w:val="4"/>
            <w:shd w:val="clear" w:color="auto" w:fill="auto"/>
          </w:tcPr>
          <w:p w14:paraId="6C1F2A3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Neoplasms benign, malignant, and unspecified (including cysts and polyps)</w:t>
            </w:r>
          </w:p>
        </w:tc>
      </w:tr>
      <w:tr w:rsidR="00DF0D5F" w:rsidRPr="009F3827" w14:paraId="368907DC" w14:textId="77777777" w:rsidTr="00DC2AC8">
        <w:tc>
          <w:tcPr>
            <w:tcW w:w="2394" w:type="dxa"/>
            <w:shd w:val="clear" w:color="auto" w:fill="auto"/>
          </w:tcPr>
          <w:p w14:paraId="6F3E5417"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Cancer pain</w:t>
            </w:r>
          </w:p>
        </w:tc>
        <w:tc>
          <w:tcPr>
            <w:tcW w:w="1536" w:type="dxa"/>
            <w:shd w:val="clear" w:color="auto" w:fill="auto"/>
          </w:tcPr>
          <w:p w14:paraId="452CEF98"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 (&lt;1)</w:t>
            </w:r>
          </w:p>
        </w:tc>
        <w:tc>
          <w:tcPr>
            <w:tcW w:w="2588" w:type="dxa"/>
            <w:shd w:val="clear" w:color="auto" w:fill="auto"/>
          </w:tcPr>
          <w:p w14:paraId="67F060B9"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12 (5)</w:t>
            </w:r>
          </w:p>
        </w:tc>
        <w:tc>
          <w:tcPr>
            <w:tcW w:w="2345" w:type="dxa"/>
            <w:shd w:val="clear" w:color="auto" w:fill="auto"/>
          </w:tcPr>
          <w:p w14:paraId="0BBB967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15 (4)</w:t>
            </w:r>
          </w:p>
        </w:tc>
      </w:tr>
      <w:tr w:rsidR="00DF0D5F" w:rsidRPr="009F3827" w14:paraId="7D9C0ABD" w14:textId="77777777" w:rsidTr="00DC2AC8">
        <w:tc>
          <w:tcPr>
            <w:tcW w:w="8863" w:type="dxa"/>
            <w:gridSpan w:val="4"/>
            <w:shd w:val="clear" w:color="auto" w:fill="auto"/>
          </w:tcPr>
          <w:p w14:paraId="41FF6394"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Nervous system disorders</w:t>
            </w:r>
          </w:p>
        </w:tc>
      </w:tr>
      <w:tr w:rsidR="00DF0D5F" w:rsidRPr="009F3827" w14:paraId="6ED0D557" w14:textId="77777777" w:rsidTr="00DC2AC8">
        <w:tc>
          <w:tcPr>
            <w:tcW w:w="2394" w:type="dxa"/>
            <w:shd w:val="clear" w:color="auto" w:fill="auto"/>
          </w:tcPr>
          <w:p w14:paraId="6654FD07"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Dizziness</w:t>
            </w:r>
          </w:p>
        </w:tc>
        <w:tc>
          <w:tcPr>
            <w:tcW w:w="1536" w:type="dxa"/>
            <w:shd w:val="clear" w:color="auto" w:fill="auto"/>
          </w:tcPr>
          <w:p w14:paraId="657BE5D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64 (18)</w:t>
            </w:r>
          </w:p>
        </w:tc>
        <w:tc>
          <w:tcPr>
            <w:tcW w:w="2588" w:type="dxa"/>
            <w:shd w:val="clear" w:color="auto" w:fill="auto"/>
          </w:tcPr>
          <w:p w14:paraId="5D2E0D79"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28 (12)</w:t>
            </w:r>
          </w:p>
        </w:tc>
        <w:tc>
          <w:tcPr>
            <w:tcW w:w="2345" w:type="dxa"/>
            <w:shd w:val="clear" w:color="auto" w:fill="auto"/>
          </w:tcPr>
          <w:p w14:paraId="4AC7D205"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83 (23)</w:t>
            </w:r>
          </w:p>
        </w:tc>
      </w:tr>
      <w:tr w:rsidR="00DF0D5F" w:rsidRPr="009F3827" w14:paraId="3F243C5A" w14:textId="77777777" w:rsidTr="00DC2AC8">
        <w:tc>
          <w:tcPr>
            <w:tcW w:w="2394" w:type="dxa"/>
            <w:shd w:val="clear" w:color="auto" w:fill="auto"/>
          </w:tcPr>
          <w:p w14:paraId="5C956E67"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Headache</w:t>
            </w:r>
          </w:p>
        </w:tc>
        <w:tc>
          <w:tcPr>
            <w:tcW w:w="1536" w:type="dxa"/>
            <w:shd w:val="clear" w:color="auto" w:fill="auto"/>
          </w:tcPr>
          <w:p w14:paraId="6BB952BC"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28 (8)</w:t>
            </w:r>
          </w:p>
        </w:tc>
        <w:tc>
          <w:tcPr>
            <w:tcW w:w="2588" w:type="dxa"/>
            <w:shd w:val="clear" w:color="auto" w:fill="auto"/>
          </w:tcPr>
          <w:p w14:paraId="3FA7F706"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31 (13)</w:t>
            </w:r>
          </w:p>
        </w:tc>
        <w:tc>
          <w:tcPr>
            <w:tcW w:w="2345" w:type="dxa"/>
            <w:shd w:val="clear" w:color="auto" w:fill="auto"/>
          </w:tcPr>
          <w:p w14:paraId="29BC7D6B"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52 (15)</w:t>
            </w:r>
          </w:p>
        </w:tc>
      </w:tr>
      <w:tr w:rsidR="00DF0D5F" w:rsidRPr="009F3827" w14:paraId="2B63008C" w14:textId="77777777" w:rsidTr="00DC2AC8">
        <w:tc>
          <w:tcPr>
            <w:tcW w:w="2394" w:type="dxa"/>
            <w:shd w:val="clear" w:color="auto" w:fill="auto"/>
          </w:tcPr>
          <w:p w14:paraId="6C2C114C"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Somnolence</w:t>
            </w:r>
          </w:p>
        </w:tc>
        <w:tc>
          <w:tcPr>
            <w:tcW w:w="1536" w:type="dxa"/>
            <w:shd w:val="clear" w:color="auto" w:fill="auto"/>
          </w:tcPr>
          <w:p w14:paraId="71A0912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21 (6)</w:t>
            </w:r>
          </w:p>
        </w:tc>
        <w:tc>
          <w:tcPr>
            <w:tcW w:w="2588" w:type="dxa"/>
            <w:shd w:val="clear" w:color="auto" w:fill="auto"/>
          </w:tcPr>
          <w:p w14:paraId="37EEAC9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22 (9)</w:t>
            </w:r>
          </w:p>
        </w:tc>
        <w:tc>
          <w:tcPr>
            <w:tcW w:w="2345" w:type="dxa"/>
            <w:shd w:val="clear" w:color="auto" w:fill="auto"/>
          </w:tcPr>
          <w:p w14:paraId="5A5FE1B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41 (11)</w:t>
            </w:r>
          </w:p>
        </w:tc>
      </w:tr>
      <w:tr w:rsidR="00DF0D5F" w:rsidRPr="009F3827" w14:paraId="2406644E" w14:textId="77777777" w:rsidTr="00DC2AC8">
        <w:tc>
          <w:tcPr>
            <w:tcW w:w="8863" w:type="dxa"/>
            <w:gridSpan w:val="4"/>
            <w:shd w:val="clear" w:color="auto" w:fill="auto"/>
          </w:tcPr>
          <w:p w14:paraId="1018D740"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Psychiatric disorders</w:t>
            </w:r>
          </w:p>
        </w:tc>
      </w:tr>
      <w:tr w:rsidR="00DF0D5F" w:rsidRPr="009F3827" w14:paraId="68D1C2FA" w14:textId="77777777" w:rsidTr="00DC2AC8">
        <w:tc>
          <w:tcPr>
            <w:tcW w:w="2394" w:type="dxa"/>
            <w:shd w:val="clear" w:color="auto" w:fill="auto"/>
          </w:tcPr>
          <w:p w14:paraId="2442C4B4"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Depression</w:t>
            </w:r>
          </w:p>
        </w:tc>
        <w:tc>
          <w:tcPr>
            <w:tcW w:w="1536" w:type="dxa"/>
            <w:shd w:val="clear" w:color="auto" w:fill="auto"/>
          </w:tcPr>
          <w:p w14:paraId="3080E1FE"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 (&lt;1)</w:t>
            </w:r>
          </w:p>
        </w:tc>
        <w:tc>
          <w:tcPr>
            <w:tcW w:w="2588" w:type="dxa"/>
            <w:shd w:val="clear" w:color="auto" w:fill="auto"/>
          </w:tcPr>
          <w:p w14:paraId="5B6A9461"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24 (10)</w:t>
            </w:r>
          </w:p>
        </w:tc>
        <w:tc>
          <w:tcPr>
            <w:tcW w:w="2345" w:type="dxa"/>
            <w:shd w:val="clear" w:color="auto" w:fill="auto"/>
          </w:tcPr>
          <w:p w14:paraId="22CB358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25 (7)</w:t>
            </w:r>
          </w:p>
        </w:tc>
      </w:tr>
      <w:tr w:rsidR="00DF0D5F" w:rsidRPr="009F3827" w14:paraId="2972F703" w14:textId="77777777" w:rsidTr="00DC2AC8">
        <w:tc>
          <w:tcPr>
            <w:tcW w:w="2394" w:type="dxa"/>
            <w:shd w:val="clear" w:color="auto" w:fill="auto"/>
          </w:tcPr>
          <w:p w14:paraId="5231D479"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Anxiety</w:t>
            </w:r>
          </w:p>
        </w:tc>
        <w:tc>
          <w:tcPr>
            <w:tcW w:w="1536" w:type="dxa"/>
            <w:shd w:val="clear" w:color="auto" w:fill="auto"/>
          </w:tcPr>
          <w:p w14:paraId="5CB11620"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 (1)</w:t>
            </w:r>
          </w:p>
        </w:tc>
        <w:tc>
          <w:tcPr>
            <w:tcW w:w="2588" w:type="dxa"/>
            <w:shd w:val="clear" w:color="auto" w:fill="auto"/>
          </w:tcPr>
          <w:p w14:paraId="10AAA03F"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15 (6)</w:t>
            </w:r>
          </w:p>
        </w:tc>
        <w:tc>
          <w:tcPr>
            <w:tcW w:w="2345" w:type="dxa"/>
            <w:shd w:val="clear" w:color="auto" w:fill="auto"/>
          </w:tcPr>
          <w:p w14:paraId="7CD24376"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20 (6)</w:t>
            </w:r>
          </w:p>
        </w:tc>
      </w:tr>
      <w:tr w:rsidR="00DF0D5F" w:rsidRPr="009F3827" w14:paraId="1C80F237" w14:textId="77777777" w:rsidTr="00DC2AC8">
        <w:tc>
          <w:tcPr>
            <w:tcW w:w="2394" w:type="dxa"/>
            <w:shd w:val="clear" w:color="auto" w:fill="auto"/>
          </w:tcPr>
          <w:p w14:paraId="3A7AEC5B"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Confusional state</w:t>
            </w:r>
          </w:p>
        </w:tc>
        <w:tc>
          <w:tcPr>
            <w:tcW w:w="1536" w:type="dxa"/>
            <w:shd w:val="clear" w:color="auto" w:fill="auto"/>
          </w:tcPr>
          <w:p w14:paraId="18CA36B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4 (1)</w:t>
            </w:r>
          </w:p>
        </w:tc>
        <w:tc>
          <w:tcPr>
            <w:tcW w:w="2588" w:type="dxa"/>
            <w:shd w:val="clear" w:color="auto" w:fill="auto"/>
          </w:tcPr>
          <w:p w14:paraId="20A244FB"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16 (7)</w:t>
            </w:r>
          </w:p>
        </w:tc>
        <w:tc>
          <w:tcPr>
            <w:tcW w:w="2345" w:type="dxa"/>
            <w:shd w:val="clear" w:color="auto" w:fill="auto"/>
          </w:tcPr>
          <w:p w14:paraId="0C3D08A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18 (5)</w:t>
            </w:r>
          </w:p>
        </w:tc>
      </w:tr>
      <w:tr w:rsidR="00DF0D5F" w:rsidRPr="009F3827" w14:paraId="04AA94F1" w14:textId="77777777" w:rsidTr="00DC2AC8">
        <w:tc>
          <w:tcPr>
            <w:tcW w:w="2394" w:type="dxa"/>
            <w:shd w:val="clear" w:color="auto" w:fill="auto"/>
          </w:tcPr>
          <w:p w14:paraId="19D8E6C6" w14:textId="77777777" w:rsidR="00DF0D5F" w:rsidRPr="00DC2AC8"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Insomnia</w:t>
            </w:r>
          </w:p>
        </w:tc>
        <w:tc>
          <w:tcPr>
            <w:tcW w:w="1536" w:type="dxa"/>
            <w:shd w:val="clear" w:color="auto" w:fill="auto"/>
          </w:tcPr>
          <w:p w14:paraId="3119F5A6"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 (&lt;1)</w:t>
            </w:r>
          </w:p>
        </w:tc>
        <w:tc>
          <w:tcPr>
            <w:tcW w:w="2588" w:type="dxa"/>
            <w:shd w:val="clear" w:color="auto" w:fill="auto"/>
          </w:tcPr>
          <w:p w14:paraId="4BF1B23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14 (6)</w:t>
            </w:r>
          </w:p>
        </w:tc>
        <w:tc>
          <w:tcPr>
            <w:tcW w:w="2345" w:type="dxa"/>
            <w:shd w:val="clear" w:color="auto" w:fill="auto"/>
          </w:tcPr>
          <w:p w14:paraId="124F3B8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16 (4)</w:t>
            </w:r>
          </w:p>
        </w:tc>
      </w:tr>
      <w:tr w:rsidR="00DF0D5F" w:rsidRPr="009F3827" w14:paraId="3D55DDFF" w14:textId="77777777" w:rsidTr="00DC2AC8">
        <w:tc>
          <w:tcPr>
            <w:tcW w:w="8863" w:type="dxa"/>
            <w:gridSpan w:val="4"/>
            <w:shd w:val="clear" w:color="auto" w:fill="auto"/>
          </w:tcPr>
          <w:p w14:paraId="1F208332"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Respiratory, thoracic and mediastinal disorders</w:t>
            </w:r>
          </w:p>
        </w:tc>
      </w:tr>
      <w:tr w:rsidR="00DF0D5F" w:rsidRPr="009F3827" w14:paraId="4272810A" w14:textId="77777777" w:rsidTr="00DC2AC8">
        <w:tc>
          <w:tcPr>
            <w:tcW w:w="2394" w:type="dxa"/>
            <w:shd w:val="clear" w:color="auto" w:fill="auto"/>
          </w:tcPr>
          <w:p w14:paraId="22324865" w14:textId="77777777" w:rsidR="00DF0D5F" w:rsidRPr="00DC2AC8" w:rsidRDefault="00DF0D5F" w:rsidP="00DC2AC8">
            <w:pPr>
              <w:widowControl w:val="0"/>
              <w:ind w:right="37"/>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Dyspnoea</w:t>
            </w:r>
          </w:p>
        </w:tc>
        <w:tc>
          <w:tcPr>
            <w:tcW w:w="1536" w:type="dxa"/>
            <w:shd w:val="clear" w:color="auto" w:fill="auto"/>
          </w:tcPr>
          <w:p w14:paraId="7E100C7A"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6 (2)</w:t>
            </w:r>
          </w:p>
        </w:tc>
        <w:tc>
          <w:tcPr>
            <w:tcW w:w="2588" w:type="dxa"/>
            <w:shd w:val="clear" w:color="auto" w:fill="auto"/>
          </w:tcPr>
          <w:p w14:paraId="48BB909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18 (8)</w:t>
            </w:r>
          </w:p>
        </w:tc>
        <w:tc>
          <w:tcPr>
            <w:tcW w:w="2345" w:type="dxa"/>
            <w:shd w:val="clear" w:color="auto" w:fill="auto"/>
          </w:tcPr>
          <w:p w14:paraId="5EA6DCD3"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23 (6)</w:t>
            </w:r>
          </w:p>
        </w:tc>
      </w:tr>
      <w:tr w:rsidR="00DF0D5F" w:rsidRPr="009F3827" w14:paraId="6EE51901" w14:textId="77777777" w:rsidTr="00DC2AC8">
        <w:tc>
          <w:tcPr>
            <w:tcW w:w="2394" w:type="dxa"/>
            <w:shd w:val="clear" w:color="auto" w:fill="auto"/>
          </w:tcPr>
          <w:p w14:paraId="3DCD362C" w14:textId="77777777" w:rsidR="00DF0D5F" w:rsidRPr="00DC2AC8" w:rsidDel="00482913" w:rsidRDefault="00DF0D5F" w:rsidP="00DC2AC8">
            <w:pPr>
              <w:widowControl w:val="0"/>
              <w:ind w:right="37"/>
              <w:jc w:val="both"/>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Cough</w:t>
            </w:r>
          </w:p>
        </w:tc>
        <w:tc>
          <w:tcPr>
            <w:tcW w:w="1536" w:type="dxa"/>
            <w:shd w:val="clear" w:color="auto" w:fill="auto"/>
          </w:tcPr>
          <w:p w14:paraId="04A41226"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3 (&lt;1)</w:t>
            </w:r>
          </w:p>
        </w:tc>
        <w:tc>
          <w:tcPr>
            <w:tcW w:w="2588" w:type="dxa"/>
            <w:shd w:val="clear" w:color="auto" w:fill="auto"/>
          </w:tcPr>
          <w:p w14:paraId="2558FF51"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16 (7)</w:t>
            </w:r>
          </w:p>
        </w:tc>
        <w:tc>
          <w:tcPr>
            <w:tcW w:w="2345" w:type="dxa"/>
            <w:shd w:val="clear" w:color="auto" w:fill="auto"/>
          </w:tcPr>
          <w:p w14:paraId="62479327" w14:textId="77777777" w:rsidR="00DF0D5F" w:rsidRPr="00DC2AC8" w:rsidRDefault="00DF0D5F" w:rsidP="00DC2AC8">
            <w:pPr>
              <w:widowControl w:val="0"/>
              <w:ind w:right="37"/>
              <w:jc w:val="center"/>
              <w:rPr>
                <w:rFonts w:ascii="TimesNewRomanPSMT" w:eastAsia="Calibri" w:hAnsi="TimesNewRomanPSMT" w:cs="TimesNewRomanPSMT"/>
                <w:sz w:val="22"/>
                <w:szCs w:val="22"/>
                <w:lang w:val="en-GB"/>
              </w:rPr>
            </w:pPr>
            <w:r w:rsidRPr="00DC2AC8">
              <w:rPr>
                <w:rFonts w:ascii="TimesNewRomanPSMT" w:eastAsia="Calibri" w:hAnsi="TimesNewRomanPSMT" w:cs="TimesNewRomanPSMT"/>
                <w:sz w:val="22"/>
                <w:szCs w:val="22"/>
                <w:lang w:val="en-GB"/>
              </w:rPr>
              <w:t>19 (5)</w:t>
            </w:r>
          </w:p>
        </w:tc>
      </w:tr>
    </w:tbl>
    <w:p w14:paraId="65FD3365" w14:textId="77777777" w:rsidR="000506FA" w:rsidRDefault="000506FA" w:rsidP="00CD2650">
      <w:pPr>
        <w:rPr>
          <w:szCs w:val="24"/>
        </w:rPr>
      </w:pPr>
    </w:p>
    <w:p w14:paraId="3DA9A998" w14:textId="77777777" w:rsidR="0060214A" w:rsidRPr="0098047F" w:rsidRDefault="0060214A" w:rsidP="00CD2650">
      <w:pPr>
        <w:rPr>
          <w:szCs w:val="24"/>
        </w:rPr>
      </w:pPr>
    </w:p>
    <w:p w14:paraId="30DC0862" w14:textId="77777777" w:rsidR="00CD2650" w:rsidRPr="0098047F" w:rsidRDefault="00CD2650" w:rsidP="00CD2650">
      <w:pPr>
        <w:rPr>
          <w:szCs w:val="24"/>
        </w:rPr>
      </w:pPr>
      <w:r w:rsidRPr="0098047F">
        <w:rPr>
          <w:szCs w:val="24"/>
        </w:rPr>
        <w:t xml:space="preserve">The following adverse reactions have been reported with </w:t>
      </w:r>
      <w:r w:rsidR="00DE564B" w:rsidRPr="0098047F">
        <w:rPr>
          <w:szCs w:val="24"/>
        </w:rPr>
        <w:t>F</w:t>
      </w:r>
      <w:r w:rsidR="001A3E3E" w:rsidRPr="0098047F">
        <w:rPr>
          <w:szCs w:val="24"/>
        </w:rPr>
        <w:t>ENTORA</w:t>
      </w:r>
      <w:r w:rsidRPr="0098047F">
        <w:rPr>
          <w:szCs w:val="24"/>
        </w:rPr>
        <w:t xml:space="preserve"> during clinical studies and post marketing experience. Adverse reactions are listed below by system organ class and frequency (frequencies are defined as: </w:t>
      </w:r>
      <w:r w:rsidRPr="0098047F">
        <w:rPr>
          <w:iCs/>
          <w:szCs w:val="24"/>
        </w:rPr>
        <w:t xml:space="preserve">very common ≥1/10, common ≥1/100 to &lt;1/10, uncommon ≥ 1/1,000 to &lt;1/100, </w:t>
      </w:r>
      <w:r w:rsidRPr="0098047F">
        <w:rPr>
          <w:noProof/>
          <w:szCs w:val="24"/>
        </w:rPr>
        <w:t>rare (</w:t>
      </w:r>
      <w:r w:rsidRPr="0098047F">
        <w:rPr>
          <w:noProof/>
          <w:szCs w:val="24"/>
        </w:rPr>
        <w:sym w:font="Symbol" w:char="F0B3"/>
      </w:r>
      <w:r w:rsidRPr="0098047F">
        <w:rPr>
          <w:noProof/>
          <w:szCs w:val="24"/>
        </w:rPr>
        <w:t xml:space="preserve">1/10,000 to &lt;1/1,000), </w:t>
      </w:r>
      <w:r w:rsidRPr="0098047F">
        <w:rPr>
          <w:iCs/>
          <w:szCs w:val="24"/>
        </w:rPr>
        <w:t>not known (cannot be estimated from the available data); within each frequency group, undesirable effects are presented in order of decreasing seriousness</w:t>
      </w:r>
      <w:r w:rsidRPr="0098047F">
        <w:rPr>
          <w:szCs w:val="24"/>
        </w:rPr>
        <w:t>:</w:t>
      </w:r>
    </w:p>
    <w:p w14:paraId="043A5B1E" w14:textId="77777777" w:rsidR="00CD2650" w:rsidRPr="0098047F" w:rsidRDefault="00CD2650" w:rsidP="00CD2650">
      <w:pPr>
        <w:rPr>
          <w:szCs w:val="24"/>
          <w:lang w:eastAsia="fr-FR"/>
        </w:rPr>
      </w:pPr>
    </w:p>
    <w:tbl>
      <w:tblPr>
        <w:tblW w:w="91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7"/>
        <w:gridCol w:w="1701"/>
        <w:gridCol w:w="1559"/>
        <w:gridCol w:w="1454"/>
        <w:gridCol w:w="1488"/>
      </w:tblGrid>
      <w:tr w:rsidR="00CD2650" w:rsidRPr="0098047F" w14:paraId="2CFE0F98" w14:textId="77777777" w:rsidTr="002D1A0B">
        <w:trPr>
          <w:cantSplit/>
          <w:tblHeader/>
        </w:trPr>
        <w:tc>
          <w:tcPr>
            <w:tcW w:w="1560" w:type="dxa"/>
          </w:tcPr>
          <w:p w14:paraId="4DC63443" w14:textId="77777777" w:rsidR="00CD2650" w:rsidRPr="0098047F" w:rsidRDefault="00CD2650" w:rsidP="00D5169F">
            <w:pPr>
              <w:rPr>
                <w:szCs w:val="24"/>
              </w:rPr>
            </w:pPr>
          </w:p>
        </w:tc>
        <w:tc>
          <w:tcPr>
            <w:tcW w:w="1417" w:type="dxa"/>
          </w:tcPr>
          <w:p w14:paraId="47CFC82E" w14:textId="77777777" w:rsidR="00CD2650" w:rsidRPr="0098047F" w:rsidRDefault="00CD2650" w:rsidP="00D5169F">
            <w:pPr>
              <w:rPr>
                <w:b/>
                <w:bCs/>
                <w:szCs w:val="24"/>
              </w:rPr>
            </w:pPr>
            <w:r w:rsidRPr="0098047F">
              <w:rPr>
                <w:b/>
                <w:bCs/>
                <w:szCs w:val="24"/>
              </w:rPr>
              <w:t>Very common</w:t>
            </w:r>
          </w:p>
        </w:tc>
        <w:tc>
          <w:tcPr>
            <w:tcW w:w="1701" w:type="dxa"/>
          </w:tcPr>
          <w:p w14:paraId="093F5E63" w14:textId="77777777" w:rsidR="00CD2650" w:rsidRPr="0098047F" w:rsidRDefault="00CD2650" w:rsidP="00D5169F">
            <w:pPr>
              <w:rPr>
                <w:b/>
                <w:bCs/>
                <w:szCs w:val="24"/>
              </w:rPr>
            </w:pPr>
            <w:r w:rsidRPr="0098047F">
              <w:rPr>
                <w:b/>
                <w:bCs/>
                <w:szCs w:val="24"/>
              </w:rPr>
              <w:t>Common</w:t>
            </w:r>
          </w:p>
        </w:tc>
        <w:tc>
          <w:tcPr>
            <w:tcW w:w="1559" w:type="dxa"/>
          </w:tcPr>
          <w:p w14:paraId="5F14AEFD" w14:textId="77777777" w:rsidR="00CD2650" w:rsidRPr="0098047F" w:rsidRDefault="00CD2650" w:rsidP="00D5169F">
            <w:pPr>
              <w:rPr>
                <w:b/>
                <w:bCs/>
                <w:szCs w:val="24"/>
              </w:rPr>
            </w:pPr>
            <w:r w:rsidRPr="0098047F">
              <w:rPr>
                <w:b/>
                <w:bCs/>
                <w:szCs w:val="24"/>
              </w:rPr>
              <w:t>Uncommon</w:t>
            </w:r>
          </w:p>
        </w:tc>
        <w:tc>
          <w:tcPr>
            <w:tcW w:w="1454" w:type="dxa"/>
          </w:tcPr>
          <w:p w14:paraId="378A1480" w14:textId="77777777" w:rsidR="00CD2650" w:rsidRPr="0098047F" w:rsidRDefault="00CD2650" w:rsidP="00D5169F">
            <w:pPr>
              <w:rPr>
                <w:b/>
                <w:bCs/>
                <w:iCs/>
                <w:szCs w:val="24"/>
              </w:rPr>
            </w:pPr>
            <w:r w:rsidRPr="0098047F">
              <w:rPr>
                <w:b/>
                <w:bCs/>
                <w:iCs/>
                <w:szCs w:val="24"/>
              </w:rPr>
              <w:t>Rare</w:t>
            </w:r>
          </w:p>
        </w:tc>
        <w:tc>
          <w:tcPr>
            <w:tcW w:w="1488" w:type="dxa"/>
          </w:tcPr>
          <w:p w14:paraId="47413E41" w14:textId="77777777" w:rsidR="00CD2650" w:rsidRPr="0098047F" w:rsidRDefault="00CD2650" w:rsidP="00D5169F">
            <w:pPr>
              <w:rPr>
                <w:b/>
                <w:bCs/>
                <w:szCs w:val="24"/>
              </w:rPr>
            </w:pPr>
            <w:r w:rsidRPr="0098047F">
              <w:rPr>
                <w:b/>
                <w:bCs/>
                <w:iCs/>
                <w:szCs w:val="24"/>
              </w:rPr>
              <w:t>Not known</w:t>
            </w:r>
          </w:p>
        </w:tc>
      </w:tr>
      <w:tr w:rsidR="00CD2650" w:rsidRPr="0098047F" w14:paraId="1B972948" w14:textId="77777777" w:rsidTr="002D1A0B">
        <w:trPr>
          <w:cantSplit/>
        </w:trPr>
        <w:tc>
          <w:tcPr>
            <w:tcW w:w="1560" w:type="dxa"/>
            <w:tcMar>
              <w:left w:w="57" w:type="dxa"/>
              <w:right w:w="57" w:type="dxa"/>
            </w:tcMar>
          </w:tcPr>
          <w:p w14:paraId="29A8F4BD" w14:textId="77777777" w:rsidR="00CD2650" w:rsidRPr="001A21E7" w:rsidRDefault="00CD2650" w:rsidP="00D5169F">
            <w:pPr>
              <w:rPr>
                <w:szCs w:val="24"/>
              </w:rPr>
            </w:pPr>
            <w:r w:rsidRPr="001A21E7">
              <w:rPr>
                <w:szCs w:val="24"/>
              </w:rPr>
              <w:t>Investigations</w:t>
            </w:r>
          </w:p>
        </w:tc>
        <w:tc>
          <w:tcPr>
            <w:tcW w:w="1417" w:type="dxa"/>
          </w:tcPr>
          <w:p w14:paraId="51C1CB2E" w14:textId="77777777" w:rsidR="00CD2650" w:rsidRPr="001A21E7" w:rsidRDefault="00CD2650" w:rsidP="00D5169F">
            <w:pPr>
              <w:rPr>
                <w:szCs w:val="24"/>
              </w:rPr>
            </w:pPr>
          </w:p>
        </w:tc>
        <w:tc>
          <w:tcPr>
            <w:tcW w:w="1701" w:type="dxa"/>
          </w:tcPr>
          <w:p w14:paraId="129C795B" w14:textId="77777777" w:rsidR="00CD2650" w:rsidRPr="001A21E7" w:rsidRDefault="00CD2650" w:rsidP="00D5169F">
            <w:pPr>
              <w:rPr>
                <w:szCs w:val="24"/>
              </w:rPr>
            </w:pPr>
            <w:r w:rsidRPr="001A21E7">
              <w:rPr>
                <w:szCs w:val="24"/>
              </w:rPr>
              <w:t>Weight decreased</w:t>
            </w:r>
          </w:p>
        </w:tc>
        <w:tc>
          <w:tcPr>
            <w:tcW w:w="1559" w:type="dxa"/>
          </w:tcPr>
          <w:p w14:paraId="17E86324" w14:textId="77777777" w:rsidR="00CD2650" w:rsidRPr="001A21E7" w:rsidRDefault="00CD2650" w:rsidP="00D5169F">
            <w:pPr>
              <w:rPr>
                <w:szCs w:val="24"/>
              </w:rPr>
            </w:pPr>
            <w:r w:rsidRPr="001A21E7">
              <w:rPr>
                <w:szCs w:val="24"/>
              </w:rPr>
              <w:t>Platelet count decreased</w:t>
            </w:r>
          </w:p>
          <w:p w14:paraId="49300FB4" w14:textId="77777777" w:rsidR="00CD2650" w:rsidRPr="001A21E7" w:rsidRDefault="00CD2650" w:rsidP="00D5169F">
            <w:pPr>
              <w:rPr>
                <w:szCs w:val="24"/>
              </w:rPr>
            </w:pPr>
            <w:r w:rsidRPr="001A21E7">
              <w:rPr>
                <w:szCs w:val="24"/>
              </w:rPr>
              <w:t>Heart rate increased</w:t>
            </w:r>
          </w:p>
          <w:p w14:paraId="53D74C00" w14:textId="77777777" w:rsidR="00CD2650" w:rsidRPr="001A21E7" w:rsidRDefault="00CD2650" w:rsidP="00D5169F">
            <w:pPr>
              <w:rPr>
                <w:szCs w:val="24"/>
              </w:rPr>
            </w:pPr>
            <w:r w:rsidRPr="001A21E7">
              <w:rPr>
                <w:szCs w:val="24"/>
              </w:rPr>
              <w:t>Haematocrit decreased</w:t>
            </w:r>
          </w:p>
          <w:p w14:paraId="058B6D27" w14:textId="77777777" w:rsidR="00CD2650" w:rsidRPr="001A21E7" w:rsidRDefault="00CD2650" w:rsidP="00D5169F">
            <w:pPr>
              <w:rPr>
                <w:bCs/>
                <w:szCs w:val="24"/>
              </w:rPr>
            </w:pPr>
            <w:r w:rsidRPr="001A21E7">
              <w:rPr>
                <w:szCs w:val="24"/>
              </w:rPr>
              <w:t>Haemoglobin decreased</w:t>
            </w:r>
          </w:p>
        </w:tc>
        <w:tc>
          <w:tcPr>
            <w:tcW w:w="1454" w:type="dxa"/>
          </w:tcPr>
          <w:p w14:paraId="50E719C7" w14:textId="77777777" w:rsidR="00CD2650" w:rsidRPr="0098047F" w:rsidRDefault="00CD2650" w:rsidP="00D5169F">
            <w:pPr>
              <w:rPr>
                <w:szCs w:val="24"/>
              </w:rPr>
            </w:pPr>
          </w:p>
        </w:tc>
        <w:tc>
          <w:tcPr>
            <w:tcW w:w="1488" w:type="dxa"/>
          </w:tcPr>
          <w:p w14:paraId="4CD4D25D" w14:textId="77777777" w:rsidR="00CD2650" w:rsidRPr="0098047F" w:rsidRDefault="00CD2650" w:rsidP="00D5169F">
            <w:pPr>
              <w:rPr>
                <w:szCs w:val="24"/>
              </w:rPr>
            </w:pPr>
          </w:p>
        </w:tc>
      </w:tr>
      <w:tr w:rsidR="00CD2650" w:rsidRPr="0098047F" w14:paraId="6915604E" w14:textId="77777777" w:rsidTr="002D1A0B">
        <w:trPr>
          <w:cantSplit/>
        </w:trPr>
        <w:tc>
          <w:tcPr>
            <w:tcW w:w="1560" w:type="dxa"/>
          </w:tcPr>
          <w:p w14:paraId="11176D6D" w14:textId="77777777" w:rsidR="00CD2650" w:rsidRPr="001A21E7" w:rsidRDefault="00CD2650" w:rsidP="00D5169F">
            <w:pPr>
              <w:rPr>
                <w:szCs w:val="24"/>
              </w:rPr>
            </w:pPr>
            <w:r w:rsidRPr="001A21E7">
              <w:rPr>
                <w:szCs w:val="24"/>
              </w:rPr>
              <w:t>Cardiac disorders</w:t>
            </w:r>
          </w:p>
        </w:tc>
        <w:tc>
          <w:tcPr>
            <w:tcW w:w="1417" w:type="dxa"/>
          </w:tcPr>
          <w:p w14:paraId="4ACD9FE6" w14:textId="77777777" w:rsidR="00CD2650" w:rsidRPr="001A21E7" w:rsidRDefault="00CD2650" w:rsidP="00D5169F">
            <w:pPr>
              <w:rPr>
                <w:szCs w:val="24"/>
              </w:rPr>
            </w:pPr>
          </w:p>
        </w:tc>
        <w:tc>
          <w:tcPr>
            <w:tcW w:w="1701" w:type="dxa"/>
          </w:tcPr>
          <w:p w14:paraId="4D7C2853" w14:textId="77777777" w:rsidR="00CD2650" w:rsidRPr="001A21E7" w:rsidRDefault="00CD2650" w:rsidP="00D5169F">
            <w:pPr>
              <w:rPr>
                <w:szCs w:val="24"/>
              </w:rPr>
            </w:pPr>
            <w:r w:rsidRPr="001A21E7" w:rsidDel="00C96333">
              <w:rPr>
                <w:szCs w:val="24"/>
              </w:rPr>
              <w:t>Tachycardi</w:t>
            </w:r>
            <w:r w:rsidRPr="001A21E7">
              <w:rPr>
                <w:szCs w:val="24"/>
              </w:rPr>
              <w:t>a</w:t>
            </w:r>
          </w:p>
        </w:tc>
        <w:tc>
          <w:tcPr>
            <w:tcW w:w="1559" w:type="dxa"/>
          </w:tcPr>
          <w:p w14:paraId="2F23D5F7" w14:textId="77777777" w:rsidR="00CD2650" w:rsidRPr="001A21E7" w:rsidRDefault="00CD2650" w:rsidP="00D5169F">
            <w:pPr>
              <w:rPr>
                <w:szCs w:val="24"/>
              </w:rPr>
            </w:pPr>
            <w:r w:rsidRPr="001A21E7">
              <w:rPr>
                <w:szCs w:val="24"/>
              </w:rPr>
              <w:t>Bradycardia</w:t>
            </w:r>
          </w:p>
        </w:tc>
        <w:tc>
          <w:tcPr>
            <w:tcW w:w="1454" w:type="dxa"/>
          </w:tcPr>
          <w:p w14:paraId="0CD42818" w14:textId="77777777" w:rsidR="00CD2650" w:rsidRPr="0098047F" w:rsidRDefault="00CD2650" w:rsidP="00D5169F">
            <w:pPr>
              <w:rPr>
                <w:szCs w:val="24"/>
              </w:rPr>
            </w:pPr>
          </w:p>
        </w:tc>
        <w:tc>
          <w:tcPr>
            <w:tcW w:w="1488" w:type="dxa"/>
          </w:tcPr>
          <w:p w14:paraId="4212DF82" w14:textId="77777777" w:rsidR="00CD2650" w:rsidRPr="0098047F" w:rsidRDefault="00CD2650" w:rsidP="00D5169F">
            <w:pPr>
              <w:rPr>
                <w:szCs w:val="24"/>
              </w:rPr>
            </w:pPr>
          </w:p>
        </w:tc>
      </w:tr>
      <w:tr w:rsidR="00CD2650" w:rsidRPr="0098047F" w14:paraId="6245E9AC" w14:textId="77777777" w:rsidTr="002D1A0B">
        <w:trPr>
          <w:cantSplit/>
        </w:trPr>
        <w:tc>
          <w:tcPr>
            <w:tcW w:w="1560" w:type="dxa"/>
          </w:tcPr>
          <w:p w14:paraId="741C879E" w14:textId="77777777" w:rsidR="00CD2650" w:rsidRPr="001A21E7" w:rsidRDefault="00CD2650" w:rsidP="00D5169F">
            <w:pPr>
              <w:rPr>
                <w:szCs w:val="24"/>
              </w:rPr>
            </w:pPr>
            <w:r w:rsidRPr="001A21E7">
              <w:rPr>
                <w:szCs w:val="24"/>
              </w:rPr>
              <w:lastRenderedPageBreak/>
              <w:t>Blood and lymphatic</w:t>
            </w:r>
            <w:r w:rsidR="003D2EBF" w:rsidRPr="001A21E7">
              <w:rPr>
                <w:szCs w:val="24"/>
              </w:rPr>
              <w:t xml:space="preserve"> </w:t>
            </w:r>
            <w:r w:rsidRPr="001A21E7">
              <w:rPr>
                <w:szCs w:val="24"/>
              </w:rPr>
              <w:t xml:space="preserve"> system disorders</w:t>
            </w:r>
          </w:p>
        </w:tc>
        <w:tc>
          <w:tcPr>
            <w:tcW w:w="1417" w:type="dxa"/>
          </w:tcPr>
          <w:p w14:paraId="058BBF33" w14:textId="77777777" w:rsidR="00CD2650" w:rsidRPr="001A21E7" w:rsidRDefault="00CD2650" w:rsidP="00D5169F">
            <w:pPr>
              <w:rPr>
                <w:szCs w:val="24"/>
              </w:rPr>
            </w:pPr>
          </w:p>
        </w:tc>
        <w:tc>
          <w:tcPr>
            <w:tcW w:w="1701" w:type="dxa"/>
          </w:tcPr>
          <w:p w14:paraId="5D32B24F" w14:textId="77777777" w:rsidR="00CD2650" w:rsidRPr="001A21E7" w:rsidDel="00DF245B" w:rsidRDefault="00CD2650" w:rsidP="00D5169F">
            <w:pPr>
              <w:rPr>
                <w:bCs/>
                <w:szCs w:val="24"/>
              </w:rPr>
            </w:pPr>
            <w:r w:rsidRPr="001A21E7" w:rsidDel="00DF245B">
              <w:rPr>
                <w:bCs/>
                <w:szCs w:val="24"/>
              </w:rPr>
              <w:t>Anaemia</w:t>
            </w:r>
          </w:p>
          <w:p w14:paraId="7CEF7609" w14:textId="77777777" w:rsidR="00CD2650" w:rsidRPr="001A21E7" w:rsidDel="00DF245B" w:rsidRDefault="00CD2650" w:rsidP="00D5169F">
            <w:pPr>
              <w:rPr>
                <w:szCs w:val="24"/>
              </w:rPr>
            </w:pPr>
            <w:r w:rsidRPr="001A21E7" w:rsidDel="00DF245B">
              <w:rPr>
                <w:bCs/>
                <w:szCs w:val="24"/>
              </w:rPr>
              <w:t>Neutropenia</w:t>
            </w:r>
          </w:p>
        </w:tc>
        <w:tc>
          <w:tcPr>
            <w:tcW w:w="1559" w:type="dxa"/>
          </w:tcPr>
          <w:p w14:paraId="09902259" w14:textId="77777777" w:rsidR="00CD2650" w:rsidRPr="001A21E7" w:rsidRDefault="00CD2650" w:rsidP="00D5169F">
            <w:pPr>
              <w:rPr>
                <w:szCs w:val="24"/>
              </w:rPr>
            </w:pPr>
            <w:r w:rsidRPr="001A21E7">
              <w:rPr>
                <w:bCs/>
                <w:szCs w:val="24"/>
              </w:rPr>
              <w:t>Thrombocyto-penia</w:t>
            </w:r>
          </w:p>
        </w:tc>
        <w:tc>
          <w:tcPr>
            <w:tcW w:w="1454" w:type="dxa"/>
          </w:tcPr>
          <w:p w14:paraId="7982532C" w14:textId="77777777" w:rsidR="00CD2650" w:rsidRPr="0098047F" w:rsidRDefault="00CD2650" w:rsidP="00D5169F">
            <w:pPr>
              <w:rPr>
                <w:szCs w:val="24"/>
              </w:rPr>
            </w:pPr>
          </w:p>
        </w:tc>
        <w:tc>
          <w:tcPr>
            <w:tcW w:w="1488" w:type="dxa"/>
          </w:tcPr>
          <w:p w14:paraId="17BDAA96" w14:textId="77777777" w:rsidR="00CD2650" w:rsidRPr="0098047F" w:rsidRDefault="00CD2650" w:rsidP="00D5169F">
            <w:pPr>
              <w:rPr>
                <w:szCs w:val="24"/>
              </w:rPr>
            </w:pPr>
          </w:p>
        </w:tc>
      </w:tr>
      <w:tr w:rsidR="00CD2650" w:rsidRPr="0098047F" w14:paraId="25B0B6B2" w14:textId="77777777" w:rsidTr="002D1A0B">
        <w:trPr>
          <w:cantSplit/>
        </w:trPr>
        <w:tc>
          <w:tcPr>
            <w:tcW w:w="1560" w:type="dxa"/>
          </w:tcPr>
          <w:p w14:paraId="2F2259A1" w14:textId="77777777" w:rsidR="00CD2650" w:rsidRPr="001A21E7" w:rsidRDefault="00CD2650" w:rsidP="00D5169F">
            <w:pPr>
              <w:rPr>
                <w:szCs w:val="24"/>
              </w:rPr>
            </w:pPr>
            <w:r w:rsidRPr="001A21E7">
              <w:rPr>
                <w:szCs w:val="24"/>
              </w:rPr>
              <w:t>Nervous system disorders</w:t>
            </w:r>
          </w:p>
        </w:tc>
        <w:tc>
          <w:tcPr>
            <w:tcW w:w="1417" w:type="dxa"/>
          </w:tcPr>
          <w:p w14:paraId="53D54FC7" w14:textId="77777777" w:rsidR="00CD2650" w:rsidRPr="001A21E7" w:rsidRDefault="00CD2650" w:rsidP="00D5169F">
            <w:pPr>
              <w:rPr>
                <w:szCs w:val="24"/>
              </w:rPr>
            </w:pPr>
            <w:r w:rsidRPr="001A21E7">
              <w:rPr>
                <w:szCs w:val="24"/>
              </w:rPr>
              <w:t>Dizziness Headache</w:t>
            </w:r>
          </w:p>
        </w:tc>
        <w:tc>
          <w:tcPr>
            <w:tcW w:w="1701" w:type="dxa"/>
          </w:tcPr>
          <w:p w14:paraId="39625A6A" w14:textId="77777777" w:rsidR="00CD2650" w:rsidRPr="001A21E7" w:rsidRDefault="00CD2650" w:rsidP="00D5169F">
            <w:pPr>
              <w:rPr>
                <w:szCs w:val="24"/>
              </w:rPr>
            </w:pPr>
            <w:r w:rsidRPr="001A21E7">
              <w:rPr>
                <w:szCs w:val="24"/>
              </w:rPr>
              <w:t>Dysgeusia</w:t>
            </w:r>
          </w:p>
          <w:p w14:paraId="0D33552D" w14:textId="77777777" w:rsidR="00CD2650" w:rsidRPr="001A21E7" w:rsidRDefault="00CD2650" w:rsidP="00D5169F">
            <w:pPr>
              <w:rPr>
                <w:szCs w:val="24"/>
              </w:rPr>
            </w:pPr>
            <w:r w:rsidRPr="001A21E7">
              <w:rPr>
                <w:szCs w:val="24"/>
              </w:rPr>
              <w:t>Somnolence</w:t>
            </w:r>
          </w:p>
          <w:p w14:paraId="05574976" w14:textId="77777777" w:rsidR="00CD2650" w:rsidRPr="001A21E7" w:rsidRDefault="00CD2650" w:rsidP="00D5169F">
            <w:pPr>
              <w:rPr>
                <w:szCs w:val="24"/>
              </w:rPr>
            </w:pPr>
            <w:r w:rsidRPr="001A21E7">
              <w:rPr>
                <w:szCs w:val="24"/>
              </w:rPr>
              <w:t>Lethargy</w:t>
            </w:r>
          </w:p>
          <w:p w14:paraId="00A9EA7E" w14:textId="77777777" w:rsidR="00CD2650" w:rsidRPr="001A21E7" w:rsidRDefault="00CD2650" w:rsidP="00D5169F">
            <w:pPr>
              <w:rPr>
                <w:szCs w:val="24"/>
              </w:rPr>
            </w:pPr>
            <w:r w:rsidRPr="001A21E7">
              <w:rPr>
                <w:szCs w:val="24"/>
              </w:rPr>
              <w:t>Tremor</w:t>
            </w:r>
          </w:p>
          <w:p w14:paraId="1195A736" w14:textId="77777777" w:rsidR="00CD2650" w:rsidRPr="001A21E7" w:rsidRDefault="00CD2650" w:rsidP="00D5169F">
            <w:pPr>
              <w:rPr>
                <w:szCs w:val="24"/>
              </w:rPr>
            </w:pPr>
            <w:r w:rsidRPr="001A21E7">
              <w:rPr>
                <w:szCs w:val="24"/>
              </w:rPr>
              <w:t>Sedation</w:t>
            </w:r>
          </w:p>
          <w:p w14:paraId="353C8861" w14:textId="77777777" w:rsidR="00CD2650" w:rsidRPr="001A21E7" w:rsidRDefault="00CD2650" w:rsidP="00D5169F">
            <w:pPr>
              <w:rPr>
                <w:szCs w:val="24"/>
              </w:rPr>
            </w:pPr>
            <w:r w:rsidRPr="001A21E7" w:rsidDel="00DF245B">
              <w:rPr>
                <w:szCs w:val="24"/>
              </w:rPr>
              <w:t>Hypoaesthesia</w:t>
            </w:r>
            <w:r w:rsidRPr="001A21E7">
              <w:rPr>
                <w:szCs w:val="24"/>
              </w:rPr>
              <w:t xml:space="preserve"> </w:t>
            </w:r>
          </w:p>
          <w:p w14:paraId="6E48B456" w14:textId="77777777" w:rsidR="00CD2650" w:rsidRPr="001A21E7" w:rsidRDefault="00CD2650" w:rsidP="00D5169F">
            <w:pPr>
              <w:rPr>
                <w:szCs w:val="24"/>
              </w:rPr>
            </w:pPr>
            <w:r w:rsidRPr="001A21E7">
              <w:rPr>
                <w:szCs w:val="24"/>
              </w:rPr>
              <w:t>Migraine</w:t>
            </w:r>
          </w:p>
        </w:tc>
        <w:tc>
          <w:tcPr>
            <w:tcW w:w="1559" w:type="dxa"/>
          </w:tcPr>
          <w:p w14:paraId="763B272F" w14:textId="77777777" w:rsidR="00CD2650" w:rsidRPr="001A21E7" w:rsidRDefault="00CD2650" w:rsidP="00D5169F">
            <w:pPr>
              <w:rPr>
                <w:szCs w:val="24"/>
              </w:rPr>
            </w:pPr>
            <w:r w:rsidRPr="001A21E7">
              <w:rPr>
                <w:szCs w:val="24"/>
              </w:rPr>
              <w:t>Depressed level of consciousness</w:t>
            </w:r>
          </w:p>
          <w:p w14:paraId="565B39DF" w14:textId="77777777" w:rsidR="00CD2650" w:rsidRPr="001A21E7" w:rsidRDefault="00CD2650" w:rsidP="00D5169F">
            <w:pPr>
              <w:rPr>
                <w:szCs w:val="24"/>
              </w:rPr>
            </w:pPr>
            <w:r w:rsidRPr="001A21E7">
              <w:rPr>
                <w:szCs w:val="24"/>
              </w:rPr>
              <w:t>Disturbance in attention</w:t>
            </w:r>
          </w:p>
          <w:p w14:paraId="04C80D56" w14:textId="77777777" w:rsidR="00CD2650" w:rsidRPr="001A21E7" w:rsidRDefault="00CD2650" w:rsidP="00D5169F">
            <w:pPr>
              <w:rPr>
                <w:szCs w:val="24"/>
              </w:rPr>
            </w:pPr>
            <w:r w:rsidRPr="001A21E7">
              <w:rPr>
                <w:szCs w:val="24"/>
              </w:rPr>
              <w:t>Balance disorder</w:t>
            </w:r>
          </w:p>
          <w:p w14:paraId="09B4503F" w14:textId="77777777" w:rsidR="00CD2650" w:rsidRPr="001A21E7" w:rsidRDefault="00CD2650" w:rsidP="00D5169F">
            <w:pPr>
              <w:rPr>
                <w:szCs w:val="24"/>
              </w:rPr>
            </w:pPr>
            <w:r w:rsidRPr="001A21E7">
              <w:rPr>
                <w:szCs w:val="24"/>
              </w:rPr>
              <w:t>Dysarthria</w:t>
            </w:r>
          </w:p>
        </w:tc>
        <w:tc>
          <w:tcPr>
            <w:tcW w:w="1454" w:type="dxa"/>
          </w:tcPr>
          <w:p w14:paraId="6577369C" w14:textId="77777777" w:rsidR="00CD2650" w:rsidRPr="001A21E7" w:rsidRDefault="00CD2650" w:rsidP="00D5169F">
            <w:pPr>
              <w:rPr>
                <w:szCs w:val="24"/>
              </w:rPr>
            </w:pPr>
            <w:r w:rsidRPr="001A21E7" w:rsidDel="00DF245B">
              <w:rPr>
                <w:szCs w:val="24"/>
              </w:rPr>
              <w:t>Cognitive disorder</w:t>
            </w:r>
          </w:p>
          <w:p w14:paraId="2976E194" w14:textId="77777777" w:rsidR="00CD2650" w:rsidRPr="001A21E7" w:rsidRDefault="00CD2650" w:rsidP="00D5169F">
            <w:pPr>
              <w:rPr>
                <w:szCs w:val="24"/>
              </w:rPr>
            </w:pPr>
            <w:r w:rsidRPr="001A21E7" w:rsidDel="00DF245B">
              <w:rPr>
                <w:szCs w:val="24"/>
              </w:rPr>
              <w:t>Motor dysfunction</w:t>
            </w:r>
          </w:p>
        </w:tc>
        <w:tc>
          <w:tcPr>
            <w:tcW w:w="1488" w:type="dxa"/>
          </w:tcPr>
          <w:p w14:paraId="50B8BB9D" w14:textId="77777777" w:rsidR="00CD2650" w:rsidRPr="001A21E7" w:rsidRDefault="00CD2650" w:rsidP="00D5169F">
            <w:pPr>
              <w:rPr>
                <w:szCs w:val="24"/>
              </w:rPr>
            </w:pPr>
            <w:r w:rsidRPr="001A21E7">
              <w:rPr>
                <w:szCs w:val="24"/>
              </w:rPr>
              <w:t>Loss of consciousness</w:t>
            </w:r>
          </w:p>
          <w:p w14:paraId="5A024F80" w14:textId="77777777" w:rsidR="003D2EBF" w:rsidRPr="001A21E7" w:rsidRDefault="003D2EBF" w:rsidP="00D5169F">
            <w:pPr>
              <w:rPr>
                <w:szCs w:val="24"/>
              </w:rPr>
            </w:pPr>
            <w:r w:rsidRPr="001A21E7">
              <w:rPr>
                <w:szCs w:val="24"/>
              </w:rPr>
              <w:t>Convulsion</w:t>
            </w:r>
          </w:p>
        </w:tc>
      </w:tr>
      <w:tr w:rsidR="00CD2650" w:rsidRPr="0098047F" w:rsidDel="00C1131B" w14:paraId="12B86FCF" w14:textId="77777777" w:rsidTr="002D1A0B">
        <w:trPr>
          <w:cantSplit/>
        </w:trPr>
        <w:tc>
          <w:tcPr>
            <w:tcW w:w="1560" w:type="dxa"/>
          </w:tcPr>
          <w:p w14:paraId="075D924D" w14:textId="77777777" w:rsidR="00CD2650" w:rsidRPr="001A21E7" w:rsidDel="00DF245B" w:rsidRDefault="00CD2650" w:rsidP="00D5169F">
            <w:pPr>
              <w:rPr>
                <w:szCs w:val="24"/>
              </w:rPr>
            </w:pPr>
            <w:r w:rsidRPr="001A21E7">
              <w:rPr>
                <w:szCs w:val="24"/>
              </w:rPr>
              <w:t>Eye disorders</w:t>
            </w:r>
          </w:p>
        </w:tc>
        <w:tc>
          <w:tcPr>
            <w:tcW w:w="1417" w:type="dxa"/>
          </w:tcPr>
          <w:p w14:paraId="2BC239F6" w14:textId="77777777" w:rsidR="00CD2650" w:rsidRPr="001A21E7" w:rsidDel="00C1131B" w:rsidRDefault="00CD2650" w:rsidP="00D5169F">
            <w:pPr>
              <w:rPr>
                <w:szCs w:val="24"/>
              </w:rPr>
            </w:pPr>
          </w:p>
        </w:tc>
        <w:tc>
          <w:tcPr>
            <w:tcW w:w="1701" w:type="dxa"/>
          </w:tcPr>
          <w:p w14:paraId="55366FBA" w14:textId="77777777" w:rsidR="00CD2650" w:rsidRPr="001A21E7" w:rsidDel="00C1131B" w:rsidRDefault="00CD2650" w:rsidP="00D5169F">
            <w:pPr>
              <w:rPr>
                <w:szCs w:val="24"/>
              </w:rPr>
            </w:pPr>
          </w:p>
        </w:tc>
        <w:tc>
          <w:tcPr>
            <w:tcW w:w="1559" w:type="dxa"/>
          </w:tcPr>
          <w:p w14:paraId="246918D9" w14:textId="77777777" w:rsidR="00CD2650" w:rsidRPr="001A21E7" w:rsidRDefault="00CD2650" w:rsidP="00D5169F">
            <w:pPr>
              <w:rPr>
                <w:szCs w:val="24"/>
              </w:rPr>
            </w:pPr>
            <w:r w:rsidRPr="001A21E7">
              <w:rPr>
                <w:szCs w:val="24"/>
              </w:rPr>
              <w:t>Visual disturbance</w:t>
            </w:r>
          </w:p>
          <w:p w14:paraId="6EEB1459" w14:textId="77777777" w:rsidR="00CD2650" w:rsidRPr="001A21E7" w:rsidRDefault="00CD2650" w:rsidP="00D5169F">
            <w:pPr>
              <w:rPr>
                <w:szCs w:val="24"/>
              </w:rPr>
            </w:pPr>
            <w:r w:rsidRPr="001A21E7">
              <w:rPr>
                <w:szCs w:val="24"/>
              </w:rPr>
              <w:t>Ocular hyperaemia</w:t>
            </w:r>
          </w:p>
          <w:p w14:paraId="4B787A2A" w14:textId="77777777" w:rsidR="00CD2650" w:rsidRPr="001A21E7" w:rsidRDefault="00CD2650" w:rsidP="00D5169F">
            <w:pPr>
              <w:rPr>
                <w:szCs w:val="24"/>
              </w:rPr>
            </w:pPr>
            <w:r w:rsidRPr="001A21E7">
              <w:rPr>
                <w:szCs w:val="24"/>
              </w:rPr>
              <w:t>Blurred vision</w:t>
            </w:r>
          </w:p>
          <w:p w14:paraId="67F38362" w14:textId="77777777" w:rsidR="00CD2650" w:rsidRPr="001A21E7" w:rsidDel="00DF245B" w:rsidRDefault="00CD2650" w:rsidP="00D5169F">
            <w:pPr>
              <w:rPr>
                <w:szCs w:val="24"/>
              </w:rPr>
            </w:pPr>
            <w:r w:rsidRPr="001A21E7">
              <w:rPr>
                <w:szCs w:val="24"/>
              </w:rPr>
              <w:t>Visual acuity reduced</w:t>
            </w:r>
          </w:p>
        </w:tc>
        <w:tc>
          <w:tcPr>
            <w:tcW w:w="1454" w:type="dxa"/>
          </w:tcPr>
          <w:p w14:paraId="0404368C" w14:textId="77777777" w:rsidR="00CD2650" w:rsidRPr="001A21E7" w:rsidDel="00DF245B" w:rsidRDefault="00CD2650" w:rsidP="00D5169F">
            <w:pPr>
              <w:rPr>
                <w:szCs w:val="24"/>
              </w:rPr>
            </w:pPr>
            <w:r w:rsidRPr="001A21E7" w:rsidDel="00DF245B">
              <w:rPr>
                <w:szCs w:val="24"/>
              </w:rPr>
              <w:t>Abnormal sensation in eye</w:t>
            </w:r>
          </w:p>
          <w:p w14:paraId="30AD5A93" w14:textId="77777777" w:rsidR="00CD2650" w:rsidRPr="001A21E7" w:rsidDel="00DF245B" w:rsidRDefault="00CD2650" w:rsidP="00D5169F">
            <w:pPr>
              <w:rPr>
                <w:szCs w:val="24"/>
              </w:rPr>
            </w:pPr>
            <w:r w:rsidRPr="001A21E7" w:rsidDel="00DF245B">
              <w:rPr>
                <w:szCs w:val="24"/>
              </w:rPr>
              <w:t>Photopsia</w:t>
            </w:r>
          </w:p>
          <w:p w14:paraId="05787859" w14:textId="77777777" w:rsidR="00CD2650" w:rsidRPr="001A21E7" w:rsidDel="00C1131B" w:rsidRDefault="00CD2650" w:rsidP="00D5169F">
            <w:pPr>
              <w:rPr>
                <w:szCs w:val="24"/>
              </w:rPr>
            </w:pPr>
          </w:p>
        </w:tc>
        <w:tc>
          <w:tcPr>
            <w:tcW w:w="1488" w:type="dxa"/>
          </w:tcPr>
          <w:p w14:paraId="79AD919F" w14:textId="77777777" w:rsidR="00CD2650" w:rsidRPr="0098047F" w:rsidDel="00C1131B" w:rsidRDefault="00CD2650" w:rsidP="00D5169F">
            <w:pPr>
              <w:rPr>
                <w:szCs w:val="24"/>
              </w:rPr>
            </w:pPr>
          </w:p>
        </w:tc>
      </w:tr>
      <w:tr w:rsidR="00CD2650" w:rsidRPr="0098047F" w:rsidDel="00C1131B" w14:paraId="420D2836" w14:textId="77777777" w:rsidTr="002D1A0B">
        <w:trPr>
          <w:cantSplit/>
        </w:trPr>
        <w:tc>
          <w:tcPr>
            <w:tcW w:w="1560" w:type="dxa"/>
          </w:tcPr>
          <w:p w14:paraId="48A6132B" w14:textId="77777777" w:rsidR="00CD2650" w:rsidRPr="001A21E7" w:rsidDel="00DF245B" w:rsidRDefault="00CD2650" w:rsidP="00D5169F">
            <w:pPr>
              <w:rPr>
                <w:szCs w:val="24"/>
              </w:rPr>
            </w:pPr>
            <w:r w:rsidRPr="001A21E7">
              <w:rPr>
                <w:szCs w:val="24"/>
              </w:rPr>
              <w:t>Ear and labyrinth disorders</w:t>
            </w:r>
          </w:p>
        </w:tc>
        <w:tc>
          <w:tcPr>
            <w:tcW w:w="1417" w:type="dxa"/>
          </w:tcPr>
          <w:p w14:paraId="263A3097" w14:textId="77777777" w:rsidR="00CD2650" w:rsidRPr="001A21E7" w:rsidDel="00C1131B" w:rsidRDefault="00CD2650" w:rsidP="00D5169F">
            <w:pPr>
              <w:rPr>
                <w:szCs w:val="24"/>
              </w:rPr>
            </w:pPr>
          </w:p>
        </w:tc>
        <w:tc>
          <w:tcPr>
            <w:tcW w:w="1701" w:type="dxa"/>
          </w:tcPr>
          <w:p w14:paraId="2166CDC6" w14:textId="77777777" w:rsidR="00CD2650" w:rsidRPr="001A21E7" w:rsidDel="00C1131B" w:rsidRDefault="00CD2650" w:rsidP="00D5169F">
            <w:pPr>
              <w:rPr>
                <w:szCs w:val="24"/>
              </w:rPr>
            </w:pPr>
          </w:p>
        </w:tc>
        <w:tc>
          <w:tcPr>
            <w:tcW w:w="1559" w:type="dxa"/>
          </w:tcPr>
          <w:p w14:paraId="7FF0F241" w14:textId="77777777" w:rsidR="00CD2650" w:rsidRPr="001A21E7" w:rsidRDefault="00CD2650" w:rsidP="00D5169F">
            <w:pPr>
              <w:rPr>
                <w:szCs w:val="24"/>
              </w:rPr>
            </w:pPr>
            <w:r w:rsidRPr="001A21E7">
              <w:rPr>
                <w:szCs w:val="24"/>
              </w:rPr>
              <w:t>Vertigo</w:t>
            </w:r>
          </w:p>
          <w:p w14:paraId="598A92D6" w14:textId="77777777" w:rsidR="00CD2650" w:rsidRPr="001A21E7" w:rsidRDefault="00CD2650" w:rsidP="00D5169F">
            <w:pPr>
              <w:rPr>
                <w:szCs w:val="24"/>
              </w:rPr>
            </w:pPr>
            <w:r w:rsidRPr="001A21E7">
              <w:rPr>
                <w:szCs w:val="24"/>
              </w:rPr>
              <w:t>Tinnitus</w:t>
            </w:r>
          </w:p>
          <w:p w14:paraId="342FF2E3" w14:textId="77777777" w:rsidR="00CD2650" w:rsidRPr="001A21E7" w:rsidDel="00DF245B" w:rsidRDefault="00CD2650" w:rsidP="00D5169F">
            <w:pPr>
              <w:rPr>
                <w:szCs w:val="24"/>
              </w:rPr>
            </w:pPr>
            <w:r w:rsidRPr="001A21E7">
              <w:rPr>
                <w:szCs w:val="24"/>
              </w:rPr>
              <w:t>Ear discomfort</w:t>
            </w:r>
          </w:p>
        </w:tc>
        <w:tc>
          <w:tcPr>
            <w:tcW w:w="1454" w:type="dxa"/>
          </w:tcPr>
          <w:p w14:paraId="2E85AB75" w14:textId="77777777" w:rsidR="00CD2650" w:rsidRPr="0098047F" w:rsidDel="00C1131B" w:rsidRDefault="00CD2650" w:rsidP="00D5169F">
            <w:pPr>
              <w:rPr>
                <w:szCs w:val="24"/>
              </w:rPr>
            </w:pPr>
          </w:p>
        </w:tc>
        <w:tc>
          <w:tcPr>
            <w:tcW w:w="1488" w:type="dxa"/>
          </w:tcPr>
          <w:p w14:paraId="590F7BCC" w14:textId="77777777" w:rsidR="00CD2650" w:rsidRPr="0098047F" w:rsidDel="00C1131B" w:rsidRDefault="00CD2650" w:rsidP="00D5169F">
            <w:pPr>
              <w:rPr>
                <w:szCs w:val="24"/>
              </w:rPr>
            </w:pPr>
          </w:p>
        </w:tc>
      </w:tr>
      <w:tr w:rsidR="00CD2650" w:rsidRPr="0098047F" w14:paraId="439A2820" w14:textId="77777777" w:rsidTr="002D1A0B">
        <w:trPr>
          <w:cantSplit/>
        </w:trPr>
        <w:tc>
          <w:tcPr>
            <w:tcW w:w="1560" w:type="dxa"/>
          </w:tcPr>
          <w:p w14:paraId="0DCC7710" w14:textId="77777777" w:rsidR="00CD2650" w:rsidRPr="001A21E7" w:rsidRDefault="00CD2650" w:rsidP="00D5169F">
            <w:pPr>
              <w:rPr>
                <w:szCs w:val="24"/>
              </w:rPr>
            </w:pPr>
            <w:r w:rsidRPr="001A21E7">
              <w:rPr>
                <w:szCs w:val="24"/>
              </w:rPr>
              <w:t>Respiratory, thoracic and mediastinal disorders</w:t>
            </w:r>
          </w:p>
        </w:tc>
        <w:tc>
          <w:tcPr>
            <w:tcW w:w="1417" w:type="dxa"/>
          </w:tcPr>
          <w:p w14:paraId="78005350" w14:textId="77777777" w:rsidR="00CD2650" w:rsidRPr="001A21E7" w:rsidRDefault="00CD2650" w:rsidP="00D5169F">
            <w:pPr>
              <w:rPr>
                <w:szCs w:val="24"/>
              </w:rPr>
            </w:pPr>
          </w:p>
        </w:tc>
        <w:tc>
          <w:tcPr>
            <w:tcW w:w="1701" w:type="dxa"/>
          </w:tcPr>
          <w:p w14:paraId="3F890E3C" w14:textId="77777777" w:rsidR="00CD2650" w:rsidRPr="001A21E7" w:rsidDel="003B4776" w:rsidRDefault="00CD2650" w:rsidP="00D5169F">
            <w:pPr>
              <w:rPr>
                <w:szCs w:val="24"/>
              </w:rPr>
            </w:pPr>
            <w:r w:rsidRPr="001A21E7">
              <w:rPr>
                <w:szCs w:val="24"/>
              </w:rPr>
              <w:t>Dyspnoea</w:t>
            </w:r>
            <w:r w:rsidRPr="001A21E7" w:rsidDel="003B4776">
              <w:rPr>
                <w:szCs w:val="24"/>
              </w:rPr>
              <w:t xml:space="preserve"> </w:t>
            </w:r>
          </w:p>
          <w:p w14:paraId="07F3FC7A" w14:textId="77777777" w:rsidR="00CD2650" w:rsidRPr="001A21E7" w:rsidRDefault="00CD2650" w:rsidP="00D5169F">
            <w:pPr>
              <w:rPr>
                <w:szCs w:val="24"/>
              </w:rPr>
            </w:pPr>
            <w:r w:rsidRPr="001A21E7" w:rsidDel="00DA266F">
              <w:rPr>
                <w:szCs w:val="24"/>
              </w:rPr>
              <w:t>Pharyngolaryn</w:t>
            </w:r>
            <w:r w:rsidRPr="001A21E7">
              <w:rPr>
                <w:szCs w:val="24"/>
              </w:rPr>
              <w:t>-</w:t>
            </w:r>
            <w:r w:rsidRPr="001A21E7" w:rsidDel="00DA266F">
              <w:rPr>
                <w:szCs w:val="24"/>
              </w:rPr>
              <w:t>geal pain</w:t>
            </w:r>
          </w:p>
        </w:tc>
        <w:tc>
          <w:tcPr>
            <w:tcW w:w="1559" w:type="dxa"/>
          </w:tcPr>
          <w:p w14:paraId="36297E48" w14:textId="77777777" w:rsidR="00CD2650" w:rsidRPr="001A21E7" w:rsidRDefault="00CD2650" w:rsidP="00D5169F">
            <w:pPr>
              <w:rPr>
                <w:szCs w:val="24"/>
                <w:lang w:eastAsia="fr-FR"/>
              </w:rPr>
            </w:pPr>
            <w:r w:rsidRPr="001A21E7">
              <w:rPr>
                <w:szCs w:val="24"/>
                <w:lang w:eastAsia="fr-FR"/>
              </w:rPr>
              <w:t>Respiratory depression</w:t>
            </w:r>
          </w:p>
          <w:p w14:paraId="70DE5F34" w14:textId="77777777" w:rsidR="00CD2650" w:rsidRPr="001A21E7" w:rsidRDefault="00CD2650" w:rsidP="00D5169F">
            <w:pPr>
              <w:rPr>
                <w:szCs w:val="24"/>
              </w:rPr>
            </w:pPr>
            <w:r w:rsidRPr="001A21E7">
              <w:rPr>
                <w:szCs w:val="24"/>
                <w:lang w:eastAsia="fr-FR"/>
              </w:rPr>
              <w:t>Sleep apnoea syndrome</w:t>
            </w:r>
            <w:r w:rsidRPr="001A21E7" w:rsidDel="003B4776">
              <w:rPr>
                <w:szCs w:val="24"/>
              </w:rPr>
              <w:t xml:space="preserve"> </w:t>
            </w:r>
          </w:p>
        </w:tc>
        <w:tc>
          <w:tcPr>
            <w:tcW w:w="1454" w:type="dxa"/>
          </w:tcPr>
          <w:p w14:paraId="1DF73FEF" w14:textId="77777777" w:rsidR="00CD2650" w:rsidRPr="001A21E7" w:rsidRDefault="00CD2650" w:rsidP="00D5169F">
            <w:pPr>
              <w:autoSpaceDE w:val="0"/>
              <w:autoSpaceDN w:val="0"/>
              <w:adjustRightInd w:val="0"/>
              <w:rPr>
                <w:szCs w:val="24"/>
                <w:lang w:eastAsia="fr-FR"/>
              </w:rPr>
            </w:pPr>
          </w:p>
        </w:tc>
        <w:tc>
          <w:tcPr>
            <w:tcW w:w="1488" w:type="dxa"/>
          </w:tcPr>
          <w:p w14:paraId="315C78FC" w14:textId="77777777" w:rsidR="00CD2650" w:rsidRPr="001A21E7" w:rsidRDefault="00CD2650" w:rsidP="00D5169F">
            <w:pPr>
              <w:rPr>
                <w:szCs w:val="24"/>
              </w:rPr>
            </w:pPr>
            <w:r w:rsidRPr="001A21E7">
              <w:rPr>
                <w:szCs w:val="24"/>
                <w:lang w:eastAsia="fr-FR"/>
              </w:rPr>
              <w:t>Respiratory arrest</w:t>
            </w:r>
          </w:p>
        </w:tc>
      </w:tr>
      <w:tr w:rsidR="00CD2650" w:rsidRPr="0098047F" w14:paraId="0AA55C9C" w14:textId="77777777" w:rsidTr="002D1A0B">
        <w:trPr>
          <w:cantSplit/>
        </w:trPr>
        <w:tc>
          <w:tcPr>
            <w:tcW w:w="1560" w:type="dxa"/>
          </w:tcPr>
          <w:p w14:paraId="0C021F88" w14:textId="77777777" w:rsidR="00CD2650" w:rsidRPr="001A21E7" w:rsidRDefault="00CD2650" w:rsidP="00D5169F">
            <w:pPr>
              <w:rPr>
                <w:szCs w:val="24"/>
              </w:rPr>
            </w:pPr>
            <w:r w:rsidRPr="001A21E7">
              <w:rPr>
                <w:szCs w:val="24"/>
              </w:rPr>
              <w:lastRenderedPageBreak/>
              <w:t>Gastro-intestinal disorders</w:t>
            </w:r>
          </w:p>
        </w:tc>
        <w:tc>
          <w:tcPr>
            <w:tcW w:w="1417" w:type="dxa"/>
          </w:tcPr>
          <w:p w14:paraId="488057F5" w14:textId="77777777" w:rsidR="00CD2650" w:rsidRPr="001A21E7" w:rsidRDefault="00CD2650" w:rsidP="00D5169F">
            <w:pPr>
              <w:rPr>
                <w:szCs w:val="24"/>
              </w:rPr>
            </w:pPr>
            <w:r w:rsidRPr="001A21E7">
              <w:rPr>
                <w:szCs w:val="24"/>
              </w:rPr>
              <w:t xml:space="preserve">Nausea </w:t>
            </w:r>
          </w:p>
          <w:p w14:paraId="7EBB2AA4" w14:textId="77777777" w:rsidR="00CD2650" w:rsidRPr="001A21E7" w:rsidRDefault="00CD2650" w:rsidP="00D5169F">
            <w:pPr>
              <w:rPr>
                <w:szCs w:val="24"/>
              </w:rPr>
            </w:pPr>
            <w:r w:rsidRPr="001A21E7">
              <w:rPr>
                <w:szCs w:val="24"/>
              </w:rPr>
              <w:t>Vomiting</w:t>
            </w:r>
          </w:p>
        </w:tc>
        <w:tc>
          <w:tcPr>
            <w:tcW w:w="1701" w:type="dxa"/>
          </w:tcPr>
          <w:p w14:paraId="6D5FD135" w14:textId="77777777" w:rsidR="00CD2650" w:rsidRPr="001A21E7" w:rsidRDefault="00CD2650" w:rsidP="00D5169F">
            <w:pPr>
              <w:rPr>
                <w:szCs w:val="24"/>
              </w:rPr>
            </w:pPr>
            <w:r w:rsidRPr="001A21E7">
              <w:rPr>
                <w:szCs w:val="24"/>
              </w:rPr>
              <w:t>Constipation</w:t>
            </w:r>
          </w:p>
          <w:p w14:paraId="0FE9D35F" w14:textId="77777777" w:rsidR="00CD2650" w:rsidRPr="001A21E7" w:rsidRDefault="00CD2650" w:rsidP="00D5169F">
            <w:pPr>
              <w:rPr>
                <w:szCs w:val="24"/>
              </w:rPr>
            </w:pPr>
            <w:r w:rsidRPr="001A21E7">
              <w:rPr>
                <w:szCs w:val="24"/>
              </w:rPr>
              <w:t>Stomatitis</w:t>
            </w:r>
          </w:p>
          <w:p w14:paraId="185E9365" w14:textId="77777777" w:rsidR="00CD2650" w:rsidRPr="001A21E7" w:rsidRDefault="00CD2650" w:rsidP="00D5169F">
            <w:pPr>
              <w:rPr>
                <w:szCs w:val="24"/>
              </w:rPr>
            </w:pPr>
            <w:r w:rsidRPr="001A21E7">
              <w:rPr>
                <w:szCs w:val="24"/>
              </w:rPr>
              <w:t>Dry mouth</w:t>
            </w:r>
          </w:p>
          <w:p w14:paraId="7F493FC9" w14:textId="77777777" w:rsidR="00CD2650" w:rsidRPr="001A21E7" w:rsidRDefault="00CD2650" w:rsidP="00D5169F">
            <w:pPr>
              <w:rPr>
                <w:szCs w:val="24"/>
              </w:rPr>
            </w:pPr>
            <w:r w:rsidRPr="001A21E7">
              <w:rPr>
                <w:szCs w:val="24"/>
              </w:rPr>
              <w:t>Diarrhoea</w:t>
            </w:r>
          </w:p>
          <w:p w14:paraId="382107C4" w14:textId="77777777" w:rsidR="00CD2650" w:rsidRPr="001A21E7" w:rsidRDefault="00CD2650" w:rsidP="00D5169F">
            <w:pPr>
              <w:rPr>
                <w:szCs w:val="24"/>
              </w:rPr>
            </w:pPr>
            <w:r w:rsidRPr="001A21E7">
              <w:rPr>
                <w:szCs w:val="24"/>
              </w:rPr>
              <w:t xml:space="preserve">Abdominal pain </w:t>
            </w:r>
          </w:p>
          <w:p w14:paraId="6633CCE2" w14:textId="77777777" w:rsidR="00CD2650" w:rsidRPr="001A21E7" w:rsidRDefault="00CD2650" w:rsidP="00D5169F">
            <w:pPr>
              <w:rPr>
                <w:szCs w:val="24"/>
              </w:rPr>
            </w:pPr>
            <w:r w:rsidRPr="001A21E7">
              <w:rPr>
                <w:szCs w:val="24"/>
              </w:rPr>
              <w:t>Gastro-oesophageal reflux disease</w:t>
            </w:r>
          </w:p>
          <w:p w14:paraId="6C47DC68" w14:textId="77777777" w:rsidR="00CD2650" w:rsidRPr="001A21E7" w:rsidRDefault="00CD2650" w:rsidP="00D5169F">
            <w:pPr>
              <w:rPr>
                <w:szCs w:val="24"/>
              </w:rPr>
            </w:pPr>
            <w:r w:rsidRPr="001A21E7" w:rsidDel="00DA266F">
              <w:rPr>
                <w:szCs w:val="24"/>
              </w:rPr>
              <w:t>Stomach discomfort</w:t>
            </w:r>
          </w:p>
          <w:p w14:paraId="1BDF679D" w14:textId="77777777" w:rsidR="00CD2650" w:rsidRPr="001A21E7" w:rsidRDefault="00CD2650" w:rsidP="00D5169F">
            <w:pPr>
              <w:rPr>
                <w:szCs w:val="24"/>
              </w:rPr>
            </w:pPr>
            <w:r w:rsidRPr="001A21E7" w:rsidDel="00DA266F">
              <w:rPr>
                <w:szCs w:val="24"/>
              </w:rPr>
              <w:t>Dyspepsia Toothache</w:t>
            </w:r>
          </w:p>
        </w:tc>
        <w:tc>
          <w:tcPr>
            <w:tcW w:w="1559" w:type="dxa"/>
          </w:tcPr>
          <w:p w14:paraId="64969FD0" w14:textId="77777777" w:rsidR="00CD2650" w:rsidRPr="001A21E7" w:rsidRDefault="00CD2650" w:rsidP="00D5169F">
            <w:pPr>
              <w:rPr>
                <w:szCs w:val="24"/>
              </w:rPr>
            </w:pPr>
            <w:r w:rsidRPr="001A21E7">
              <w:rPr>
                <w:szCs w:val="24"/>
              </w:rPr>
              <w:t>Ileus</w:t>
            </w:r>
          </w:p>
          <w:p w14:paraId="017DEE18" w14:textId="77777777" w:rsidR="00CD2650" w:rsidRPr="001A21E7" w:rsidRDefault="00CD2650" w:rsidP="00D5169F">
            <w:pPr>
              <w:rPr>
                <w:szCs w:val="24"/>
              </w:rPr>
            </w:pPr>
            <w:r w:rsidRPr="001A21E7">
              <w:rPr>
                <w:szCs w:val="24"/>
              </w:rPr>
              <w:t>Mouth ulceration</w:t>
            </w:r>
          </w:p>
          <w:p w14:paraId="5723C80A" w14:textId="77777777" w:rsidR="00CD2650" w:rsidRPr="001A21E7" w:rsidRDefault="00CD2650" w:rsidP="00D5169F">
            <w:pPr>
              <w:rPr>
                <w:szCs w:val="24"/>
              </w:rPr>
            </w:pPr>
            <w:r w:rsidRPr="001A21E7">
              <w:rPr>
                <w:szCs w:val="24"/>
              </w:rPr>
              <w:t>Oral hypoaesthesia</w:t>
            </w:r>
          </w:p>
          <w:p w14:paraId="12BDFFC1" w14:textId="77777777" w:rsidR="00CD2650" w:rsidRPr="001A21E7" w:rsidRDefault="00CD2650" w:rsidP="00D5169F">
            <w:pPr>
              <w:rPr>
                <w:szCs w:val="24"/>
              </w:rPr>
            </w:pPr>
            <w:r w:rsidRPr="001A21E7">
              <w:rPr>
                <w:szCs w:val="24"/>
              </w:rPr>
              <w:t>Oral discomfort</w:t>
            </w:r>
          </w:p>
          <w:p w14:paraId="1E093F12" w14:textId="77777777" w:rsidR="00CD2650" w:rsidRPr="001A21E7" w:rsidRDefault="00CD2650" w:rsidP="00D5169F">
            <w:pPr>
              <w:rPr>
                <w:szCs w:val="24"/>
              </w:rPr>
            </w:pPr>
            <w:r w:rsidRPr="001A21E7">
              <w:rPr>
                <w:szCs w:val="24"/>
              </w:rPr>
              <w:t>Oral mucosal discolouration</w:t>
            </w:r>
          </w:p>
          <w:p w14:paraId="63C5529B" w14:textId="77777777" w:rsidR="00CD2650" w:rsidRPr="001A21E7" w:rsidRDefault="00CD2650" w:rsidP="00D5169F">
            <w:pPr>
              <w:rPr>
                <w:szCs w:val="24"/>
              </w:rPr>
            </w:pPr>
            <w:r w:rsidRPr="001A21E7">
              <w:rPr>
                <w:szCs w:val="24"/>
              </w:rPr>
              <w:t>Oral soft tissue disorder</w:t>
            </w:r>
          </w:p>
          <w:p w14:paraId="23FEDF93" w14:textId="77777777" w:rsidR="00CD2650" w:rsidRPr="001A21E7" w:rsidRDefault="00CD2650" w:rsidP="00D5169F">
            <w:pPr>
              <w:rPr>
                <w:szCs w:val="24"/>
              </w:rPr>
            </w:pPr>
            <w:r w:rsidRPr="001A21E7">
              <w:rPr>
                <w:szCs w:val="24"/>
              </w:rPr>
              <w:t>Glossodynia</w:t>
            </w:r>
          </w:p>
          <w:p w14:paraId="03D3C706" w14:textId="77777777" w:rsidR="00CD2650" w:rsidRPr="001A21E7" w:rsidRDefault="00CD2650" w:rsidP="00D5169F">
            <w:pPr>
              <w:rPr>
                <w:szCs w:val="24"/>
              </w:rPr>
            </w:pPr>
            <w:r w:rsidRPr="001A21E7">
              <w:rPr>
                <w:szCs w:val="24"/>
              </w:rPr>
              <w:t>Tongue blistering</w:t>
            </w:r>
          </w:p>
          <w:p w14:paraId="6E86E2A1" w14:textId="77777777" w:rsidR="00CD2650" w:rsidRPr="001A21E7" w:rsidRDefault="00CD2650" w:rsidP="00D5169F">
            <w:pPr>
              <w:rPr>
                <w:szCs w:val="24"/>
              </w:rPr>
            </w:pPr>
            <w:r w:rsidRPr="001A21E7">
              <w:rPr>
                <w:szCs w:val="24"/>
              </w:rPr>
              <w:t>Gingival pain</w:t>
            </w:r>
          </w:p>
          <w:p w14:paraId="47B13632" w14:textId="77777777" w:rsidR="00CD2650" w:rsidRPr="001A21E7" w:rsidRDefault="00CD2650" w:rsidP="00D5169F">
            <w:pPr>
              <w:rPr>
                <w:szCs w:val="24"/>
              </w:rPr>
            </w:pPr>
            <w:r w:rsidRPr="001A21E7">
              <w:rPr>
                <w:szCs w:val="24"/>
              </w:rPr>
              <w:t>Tongue ulceration</w:t>
            </w:r>
          </w:p>
          <w:p w14:paraId="7478F1CE" w14:textId="77777777" w:rsidR="00CD2650" w:rsidRPr="001A21E7" w:rsidRDefault="00CD2650" w:rsidP="00D5169F">
            <w:pPr>
              <w:rPr>
                <w:szCs w:val="24"/>
              </w:rPr>
            </w:pPr>
            <w:r w:rsidRPr="001A21E7">
              <w:rPr>
                <w:szCs w:val="24"/>
              </w:rPr>
              <w:t>Tongue disorder</w:t>
            </w:r>
          </w:p>
          <w:p w14:paraId="5EE15D47" w14:textId="77777777" w:rsidR="00CD2650" w:rsidRPr="001A21E7" w:rsidRDefault="00CD2650" w:rsidP="00D5169F">
            <w:pPr>
              <w:rPr>
                <w:szCs w:val="24"/>
              </w:rPr>
            </w:pPr>
            <w:r w:rsidRPr="001A21E7">
              <w:rPr>
                <w:szCs w:val="24"/>
              </w:rPr>
              <w:t>Oesophagitis</w:t>
            </w:r>
          </w:p>
          <w:p w14:paraId="06C446EF" w14:textId="77777777" w:rsidR="00CD2650" w:rsidRPr="001A21E7" w:rsidRDefault="00CD2650" w:rsidP="00D5169F">
            <w:pPr>
              <w:rPr>
                <w:szCs w:val="24"/>
              </w:rPr>
            </w:pPr>
            <w:r w:rsidRPr="001A21E7">
              <w:rPr>
                <w:szCs w:val="24"/>
              </w:rPr>
              <w:t>Chapped lips</w:t>
            </w:r>
          </w:p>
          <w:p w14:paraId="32E20602" w14:textId="77777777" w:rsidR="00CD2650" w:rsidRPr="001A21E7" w:rsidRDefault="00CD2650" w:rsidP="00D5169F">
            <w:pPr>
              <w:rPr>
                <w:szCs w:val="24"/>
              </w:rPr>
            </w:pPr>
            <w:r w:rsidRPr="001A21E7">
              <w:rPr>
                <w:szCs w:val="24"/>
              </w:rPr>
              <w:t>Tooth disorder</w:t>
            </w:r>
          </w:p>
        </w:tc>
        <w:tc>
          <w:tcPr>
            <w:tcW w:w="1454" w:type="dxa"/>
          </w:tcPr>
          <w:p w14:paraId="240D43A2" w14:textId="77777777" w:rsidR="00CD2650" w:rsidRPr="001A21E7" w:rsidRDefault="00CD2650" w:rsidP="00D5169F">
            <w:pPr>
              <w:rPr>
                <w:szCs w:val="24"/>
              </w:rPr>
            </w:pPr>
            <w:r w:rsidRPr="001A21E7" w:rsidDel="00DA266F">
              <w:rPr>
                <w:szCs w:val="24"/>
              </w:rPr>
              <w:t>Oral mucosal blistering</w:t>
            </w:r>
          </w:p>
          <w:p w14:paraId="2BE86D94" w14:textId="77777777" w:rsidR="00CD2650" w:rsidRPr="001A21E7" w:rsidRDefault="00CD2650" w:rsidP="00D5169F">
            <w:pPr>
              <w:rPr>
                <w:szCs w:val="24"/>
              </w:rPr>
            </w:pPr>
            <w:r w:rsidRPr="001A21E7" w:rsidDel="00DA266F">
              <w:rPr>
                <w:szCs w:val="24"/>
              </w:rPr>
              <w:t>Dry lip</w:t>
            </w:r>
          </w:p>
        </w:tc>
        <w:tc>
          <w:tcPr>
            <w:tcW w:w="1488" w:type="dxa"/>
          </w:tcPr>
          <w:p w14:paraId="0EC0846F" w14:textId="77777777" w:rsidR="00CD2650" w:rsidRPr="001A21E7" w:rsidRDefault="00CD2650" w:rsidP="00D5169F">
            <w:pPr>
              <w:rPr>
                <w:szCs w:val="24"/>
              </w:rPr>
            </w:pPr>
          </w:p>
        </w:tc>
      </w:tr>
      <w:tr w:rsidR="00CD2650" w:rsidRPr="0098047F" w14:paraId="749D759A" w14:textId="77777777" w:rsidTr="002D1A0B">
        <w:trPr>
          <w:cantSplit/>
        </w:trPr>
        <w:tc>
          <w:tcPr>
            <w:tcW w:w="1560" w:type="dxa"/>
          </w:tcPr>
          <w:p w14:paraId="04DE8EB0" w14:textId="77777777" w:rsidR="00CD2650" w:rsidRPr="001A21E7" w:rsidRDefault="00CD2650" w:rsidP="00D5169F">
            <w:pPr>
              <w:rPr>
                <w:szCs w:val="24"/>
              </w:rPr>
            </w:pPr>
            <w:r w:rsidRPr="001A21E7">
              <w:rPr>
                <w:szCs w:val="24"/>
              </w:rPr>
              <w:t>Renal and urinary disorders</w:t>
            </w:r>
          </w:p>
        </w:tc>
        <w:tc>
          <w:tcPr>
            <w:tcW w:w="1417" w:type="dxa"/>
          </w:tcPr>
          <w:p w14:paraId="6914AA63" w14:textId="77777777" w:rsidR="00CD2650" w:rsidRPr="001A21E7" w:rsidRDefault="00CD2650" w:rsidP="00D5169F">
            <w:pPr>
              <w:rPr>
                <w:szCs w:val="24"/>
              </w:rPr>
            </w:pPr>
          </w:p>
        </w:tc>
        <w:tc>
          <w:tcPr>
            <w:tcW w:w="1701" w:type="dxa"/>
          </w:tcPr>
          <w:p w14:paraId="58D9777F" w14:textId="77777777" w:rsidR="00CD2650" w:rsidRPr="001A21E7" w:rsidRDefault="00CD2650" w:rsidP="00D5169F">
            <w:pPr>
              <w:rPr>
                <w:szCs w:val="24"/>
              </w:rPr>
            </w:pPr>
          </w:p>
        </w:tc>
        <w:tc>
          <w:tcPr>
            <w:tcW w:w="1559" w:type="dxa"/>
          </w:tcPr>
          <w:p w14:paraId="29CA33AE" w14:textId="77777777" w:rsidR="00CD2650" w:rsidRPr="001A21E7" w:rsidRDefault="00CD2650" w:rsidP="00D5169F">
            <w:pPr>
              <w:rPr>
                <w:szCs w:val="24"/>
              </w:rPr>
            </w:pPr>
            <w:r w:rsidRPr="001A21E7">
              <w:rPr>
                <w:szCs w:val="24"/>
              </w:rPr>
              <w:t>Urinary retention</w:t>
            </w:r>
          </w:p>
          <w:p w14:paraId="4D2D6D4E" w14:textId="77777777" w:rsidR="00CD2650" w:rsidRPr="001A21E7" w:rsidRDefault="00CD2650" w:rsidP="00D5169F">
            <w:pPr>
              <w:rPr>
                <w:szCs w:val="24"/>
              </w:rPr>
            </w:pPr>
          </w:p>
        </w:tc>
        <w:tc>
          <w:tcPr>
            <w:tcW w:w="1454" w:type="dxa"/>
          </w:tcPr>
          <w:p w14:paraId="62C73408" w14:textId="77777777" w:rsidR="00CD2650" w:rsidRPr="0098047F" w:rsidRDefault="00CD2650" w:rsidP="00D5169F">
            <w:pPr>
              <w:rPr>
                <w:szCs w:val="24"/>
              </w:rPr>
            </w:pPr>
          </w:p>
        </w:tc>
        <w:tc>
          <w:tcPr>
            <w:tcW w:w="1488" w:type="dxa"/>
          </w:tcPr>
          <w:p w14:paraId="0F2409ED" w14:textId="77777777" w:rsidR="00CD2650" w:rsidRPr="0098047F" w:rsidRDefault="00CD2650" w:rsidP="00D5169F">
            <w:pPr>
              <w:rPr>
                <w:szCs w:val="24"/>
              </w:rPr>
            </w:pPr>
          </w:p>
        </w:tc>
      </w:tr>
      <w:tr w:rsidR="00CD2650" w:rsidRPr="0098047F" w14:paraId="365B85B8" w14:textId="77777777" w:rsidTr="002D1A0B">
        <w:trPr>
          <w:cantSplit/>
        </w:trPr>
        <w:tc>
          <w:tcPr>
            <w:tcW w:w="1560" w:type="dxa"/>
          </w:tcPr>
          <w:p w14:paraId="57B5911A" w14:textId="77777777" w:rsidR="00CD2650" w:rsidRPr="001A21E7" w:rsidRDefault="00CD2650" w:rsidP="00D5169F">
            <w:pPr>
              <w:rPr>
                <w:szCs w:val="24"/>
              </w:rPr>
            </w:pPr>
            <w:r w:rsidRPr="001A21E7">
              <w:rPr>
                <w:szCs w:val="24"/>
              </w:rPr>
              <w:t>Skin and subcutaneous tissue disorders</w:t>
            </w:r>
          </w:p>
        </w:tc>
        <w:tc>
          <w:tcPr>
            <w:tcW w:w="1417" w:type="dxa"/>
          </w:tcPr>
          <w:p w14:paraId="6B8C6B88" w14:textId="77777777" w:rsidR="00CD2650" w:rsidRPr="001A21E7" w:rsidRDefault="00CD2650" w:rsidP="00D5169F">
            <w:pPr>
              <w:rPr>
                <w:szCs w:val="24"/>
              </w:rPr>
            </w:pPr>
          </w:p>
        </w:tc>
        <w:tc>
          <w:tcPr>
            <w:tcW w:w="1701" w:type="dxa"/>
            <w:tcMar>
              <w:left w:w="57" w:type="dxa"/>
              <w:right w:w="57" w:type="dxa"/>
            </w:tcMar>
          </w:tcPr>
          <w:p w14:paraId="05063F7D" w14:textId="77777777" w:rsidR="00CD2650" w:rsidRPr="001A21E7" w:rsidRDefault="00CD2650" w:rsidP="00D5169F">
            <w:pPr>
              <w:rPr>
                <w:szCs w:val="24"/>
              </w:rPr>
            </w:pPr>
            <w:r w:rsidRPr="001A21E7">
              <w:rPr>
                <w:szCs w:val="24"/>
              </w:rPr>
              <w:t>Pruritus</w:t>
            </w:r>
          </w:p>
          <w:p w14:paraId="5BBE5448" w14:textId="77777777" w:rsidR="00CD2650" w:rsidRPr="001A21E7" w:rsidRDefault="00CD2650" w:rsidP="00D5169F">
            <w:pPr>
              <w:rPr>
                <w:szCs w:val="24"/>
              </w:rPr>
            </w:pPr>
            <w:r w:rsidRPr="001A21E7">
              <w:rPr>
                <w:szCs w:val="24"/>
              </w:rPr>
              <w:t>Hyperhidrosis</w:t>
            </w:r>
          </w:p>
          <w:p w14:paraId="2FB43F00" w14:textId="77777777" w:rsidR="00CD2650" w:rsidRPr="001A21E7" w:rsidRDefault="00CD2650" w:rsidP="00D5169F">
            <w:pPr>
              <w:rPr>
                <w:szCs w:val="24"/>
              </w:rPr>
            </w:pPr>
            <w:r w:rsidRPr="001A21E7" w:rsidDel="00DA266F">
              <w:rPr>
                <w:szCs w:val="24"/>
              </w:rPr>
              <w:t>Rash</w:t>
            </w:r>
          </w:p>
        </w:tc>
        <w:tc>
          <w:tcPr>
            <w:tcW w:w="1559" w:type="dxa"/>
          </w:tcPr>
          <w:p w14:paraId="30E1AB9B" w14:textId="77777777" w:rsidR="00CD2650" w:rsidRPr="001A21E7" w:rsidRDefault="00CD2650" w:rsidP="00D5169F">
            <w:pPr>
              <w:rPr>
                <w:szCs w:val="24"/>
              </w:rPr>
            </w:pPr>
            <w:r w:rsidRPr="001A21E7">
              <w:rPr>
                <w:szCs w:val="24"/>
              </w:rPr>
              <w:t>Cold sweat</w:t>
            </w:r>
          </w:p>
          <w:p w14:paraId="5C813385" w14:textId="77777777" w:rsidR="00CD2650" w:rsidRPr="001A21E7" w:rsidRDefault="00CD2650" w:rsidP="00D5169F">
            <w:pPr>
              <w:rPr>
                <w:szCs w:val="24"/>
              </w:rPr>
            </w:pPr>
            <w:r w:rsidRPr="001A21E7">
              <w:rPr>
                <w:szCs w:val="24"/>
              </w:rPr>
              <w:t>Facial swelling</w:t>
            </w:r>
          </w:p>
          <w:p w14:paraId="63A269D4" w14:textId="77777777" w:rsidR="00CD2650" w:rsidRPr="001A21E7" w:rsidRDefault="00CD2650" w:rsidP="00D5169F">
            <w:pPr>
              <w:rPr>
                <w:szCs w:val="24"/>
              </w:rPr>
            </w:pPr>
            <w:r w:rsidRPr="001A21E7">
              <w:rPr>
                <w:szCs w:val="24"/>
              </w:rPr>
              <w:t>Generalised pruritus</w:t>
            </w:r>
          </w:p>
          <w:p w14:paraId="68C2D529" w14:textId="77777777" w:rsidR="00CD2650" w:rsidRPr="001A21E7" w:rsidRDefault="00CD2650" w:rsidP="00D5169F">
            <w:pPr>
              <w:rPr>
                <w:szCs w:val="24"/>
              </w:rPr>
            </w:pPr>
            <w:r w:rsidRPr="001A21E7">
              <w:rPr>
                <w:szCs w:val="24"/>
              </w:rPr>
              <w:t>Alopecia</w:t>
            </w:r>
          </w:p>
        </w:tc>
        <w:tc>
          <w:tcPr>
            <w:tcW w:w="1454" w:type="dxa"/>
            <w:tcMar>
              <w:left w:w="28" w:type="dxa"/>
            </w:tcMar>
          </w:tcPr>
          <w:p w14:paraId="15787C5C" w14:textId="77777777" w:rsidR="00CD2650" w:rsidRPr="001A21E7" w:rsidRDefault="00CD2650" w:rsidP="00D5169F">
            <w:pPr>
              <w:rPr>
                <w:szCs w:val="24"/>
              </w:rPr>
            </w:pPr>
            <w:r w:rsidRPr="001A21E7" w:rsidDel="00DA266F">
              <w:rPr>
                <w:szCs w:val="24"/>
              </w:rPr>
              <w:t>Onychorrhexis</w:t>
            </w:r>
          </w:p>
        </w:tc>
        <w:tc>
          <w:tcPr>
            <w:tcW w:w="1488" w:type="dxa"/>
          </w:tcPr>
          <w:p w14:paraId="4A478F91" w14:textId="77777777" w:rsidR="00CD2650" w:rsidRPr="0098047F" w:rsidRDefault="00CD2650" w:rsidP="00D5169F">
            <w:pPr>
              <w:rPr>
                <w:szCs w:val="24"/>
              </w:rPr>
            </w:pPr>
          </w:p>
        </w:tc>
      </w:tr>
      <w:tr w:rsidR="00CD2650" w:rsidRPr="0098047F" w:rsidDel="00C1131B" w14:paraId="58728F26" w14:textId="77777777" w:rsidTr="002D1A0B">
        <w:trPr>
          <w:cantSplit/>
        </w:trPr>
        <w:tc>
          <w:tcPr>
            <w:tcW w:w="1560" w:type="dxa"/>
          </w:tcPr>
          <w:p w14:paraId="7025A7BA" w14:textId="77777777" w:rsidR="00CD2650" w:rsidRPr="001A21E7" w:rsidDel="00DA266F" w:rsidRDefault="00CD2650" w:rsidP="00D5169F">
            <w:pPr>
              <w:rPr>
                <w:szCs w:val="24"/>
              </w:rPr>
            </w:pPr>
            <w:r w:rsidRPr="001A21E7">
              <w:rPr>
                <w:szCs w:val="24"/>
              </w:rPr>
              <w:t>Musculoskeletal and connective tissue disorders</w:t>
            </w:r>
          </w:p>
        </w:tc>
        <w:tc>
          <w:tcPr>
            <w:tcW w:w="1417" w:type="dxa"/>
          </w:tcPr>
          <w:p w14:paraId="6FA07A23" w14:textId="77777777" w:rsidR="00CD2650" w:rsidRPr="001A21E7" w:rsidDel="00C1131B" w:rsidRDefault="00CD2650" w:rsidP="00D5169F">
            <w:pPr>
              <w:rPr>
                <w:szCs w:val="24"/>
              </w:rPr>
            </w:pPr>
          </w:p>
        </w:tc>
        <w:tc>
          <w:tcPr>
            <w:tcW w:w="1701" w:type="dxa"/>
          </w:tcPr>
          <w:p w14:paraId="7A7A7C62" w14:textId="77777777" w:rsidR="00CD2650" w:rsidRPr="001A21E7" w:rsidDel="00DA266F" w:rsidRDefault="00CD2650" w:rsidP="00D5169F">
            <w:pPr>
              <w:rPr>
                <w:szCs w:val="24"/>
              </w:rPr>
            </w:pPr>
            <w:r w:rsidRPr="001A21E7" w:rsidDel="00DA266F">
              <w:rPr>
                <w:szCs w:val="24"/>
              </w:rPr>
              <w:t xml:space="preserve">Myalgia </w:t>
            </w:r>
          </w:p>
          <w:p w14:paraId="4802BC8E" w14:textId="77777777" w:rsidR="00CD2650" w:rsidRPr="001A21E7" w:rsidDel="00C1131B" w:rsidRDefault="00CD2650" w:rsidP="00D5169F">
            <w:pPr>
              <w:rPr>
                <w:szCs w:val="24"/>
              </w:rPr>
            </w:pPr>
            <w:r w:rsidRPr="001A21E7" w:rsidDel="00DA266F">
              <w:rPr>
                <w:szCs w:val="24"/>
              </w:rPr>
              <w:t>Back pain</w:t>
            </w:r>
          </w:p>
        </w:tc>
        <w:tc>
          <w:tcPr>
            <w:tcW w:w="1559" w:type="dxa"/>
          </w:tcPr>
          <w:p w14:paraId="2C085E4A" w14:textId="77777777" w:rsidR="00CD2650" w:rsidRPr="001A21E7" w:rsidRDefault="00CD2650" w:rsidP="00D5169F">
            <w:pPr>
              <w:rPr>
                <w:szCs w:val="24"/>
              </w:rPr>
            </w:pPr>
            <w:r w:rsidRPr="001A21E7">
              <w:rPr>
                <w:szCs w:val="24"/>
              </w:rPr>
              <w:t>Muscle twitching</w:t>
            </w:r>
          </w:p>
          <w:p w14:paraId="58161A64" w14:textId="77777777" w:rsidR="00CD2650" w:rsidRPr="001A21E7" w:rsidDel="00DA266F" w:rsidRDefault="00CD2650" w:rsidP="00D5169F">
            <w:pPr>
              <w:rPr>
                <w:szCs w:val="24"/>
              </w:rPr>
            </w:pPr>
            <w:r w:rsidRPr="001A21E7">
              <w:rPr>
                <w:szCs w:val="24"/>
              </w:rPr>
              <w:t>Muscular weakness</w:t>
            </w:r>
          </w:p>
        </w:tc>
        <w:tc>
          <w:tcPr>
            <w:tcW w:w="1454" w:type="dxa"/>
          </w:tcPr>
          <w:p w14:paraId="62FF628A" w14:textId="77777777" w:rsidR="00CD2650" w:rsidRPr="0098047F" w:rsidDel="00C1131B" w:rsidRDefault="00CD2650" w:rsidP="00D5169F">
            <w:pPr>
              <w:rPr>
                <w:szCs w:val="24"/>
              </w:rPr>
            </w:pPr>
          </w:p>
        </w:tc>
        <w:tc>
          <w:tcPr>
            <w:tcW w:w="1488" w:type="dxa"/>
          </w:tcPr>
          <w:p w14:paraId="7A743DC4" w14:textId="77777777" w:rsidR="00CD2650" w:rsidRPr="0098047F" w:rsidDel="00C1131B" w:rsidRDefault="00CD2650" w:rsidP="00D5169F">
            <w:pPr>
              <w:rPr>
                <w:szCs w:val="24"/>
              </w:rPr>
            </w:pPr>
          </w:p>
        </w:tc>
      </w:tr>
      <w:tr w:rsidR="00CD2650" w:rsidRPr="0098047F" w14:paraId="0A91D51B" w14:textId="77777777" w:rsidTr="002D1A0B">
        <w:trPr>
          <w:cantSplit/>
        </w:trPr>
        <w:tc>
          <w:tcPr>
            <w:tcW w:w="1560" w:type="dxa"/>
          </w:tcPr>
          <w:p w14:paraId="3DEA83E4" w14:textId="77777777" w:rsidR="00CD2650" w:rsidRPr="001A21E7" w:rsidRDefault="00CD2650" w:rsidP="00D5169F">
            <w:pPr>
              <w:rPr>
                <w:szCs w:val="24"/>
              </w:rPr>
            </w:pPr>
            <w:r w:rsidRPr="001A21E7">
              <w:rPr>
                <w:noProof/>
                <w:szCs w:val="24"/>
              </w:rPr>
              <w:t>Endocrine disorders</w:t>
            </w:r>
          </w:p>
        </w:tc>
        <w:tc>
          <w:tcPr>
            <w:tcW w:w="1417" w:type="dxa"/>
          </w:tcPr>
          <w:p w14:paraId="68D2888F" w14:textId="77777777" w:rsidR="00CD2650" w:rsidRPr="001A21E7" w:rsidRDefault="00CD2650" w:rsidP="00D5169F">
            <w:pPr>
              <w:rPr>
                <w:szCs w:val="24"/>
              </w:rPr>
            </w:pPr>
          </w:p>
        </w:tc>
        <w:tc>
          <w:tcPr>
            <w:tcW w:w="1701" w:type="dxa"/>
          </w:tcPr>
          <w:p w14:paraId="6FCDC1C5" w14:textId="77777777" w:rsidR="00CD2650" w:rsidRPr="001A21E7" w:rsidRDefault="00CD2650" w:rsidP="00D5169F">
            <w:pPr>
              <w:rPr>
                <w:szCs w:val="24"/>
              </w:rPr>
            </w:pPr>
          </w:p>
        </w:tc>
        <w:tc>
          <w:tcPr>
            <w:tcW w:w="1559" w:type="dxa"/>
          </w:tcPr>
          <w:p w14:paraId="438F8B04" w14:textId="77777777" w:rsidR="00CD2650" w:rsidRPr="001A21E7" w:rsidRDefault="00CD2650" w:rsidP="00D5169F">
            <w:pPr>
              <w:rPr>
                <w:szCs w:val="24"/>
              </w:rPr>
            </w:pPr>
          </w:p>
        </w:tc>
        <w:tc>
          <w:tcPr>
            <w:tcW w:w="1454" w:type="dxa"/>
            <w:tcMar>
              <w:left w:w="57" w:type="dxa"/>
              <w:right w:w="28" w:type="dxa"/>
            </w:tcMar>
          </w:tcPr>
          <w:p w14:paraId="74D4FA62" w14:textId="77777777" w:rsidR="00CD2650" w:rsidRPr="001A21E7" w:rsidRDefault="00CD2650" w:rsidP="00D5169F">
            <w:pPr>
              <w:rPr>
                <w:szCs w:val="24"/>
              </w:rPr>
            </w:pPr>
            <w:r w:rsidRPr="001A21E7">
              <w:rPr>
                <w:szCs w:val="24"/>
              </w:rPr>
              <w:t>Hypogonadism</w:t>
            </w:r>
          </w:p>
        </w:tc>
        <w:tc>
          <w:tcPr>
            <w:tcW w:w="1488" w:type="dxa"/>
            <w:tcMar>
              <w:left w:w="57" w:type="dxa"/>
              <w:right w:w="57" w:type="dxa"/>
            </w:tcMar>
          </w:tcPr>
          <w:p w14:paraId="29966AF4" w14:textId="77777777" w:rsidR="00CD2650" w:rsidRPr="0098047F" w:rsidRDefault="00CD2650" w:rsidP="00D5169F">
            <w:pPr>
              <w:rPr>
                <w:szCs w:val="24"/>
              </w:rPr>
            </w:pPr>
          </w:p>
        </w:tc>
      </w:tr>
      <w:tr w:rsidR="00CD2650" w:rsidRPr="0098047F" w14:paraId="3547C87D" w14:textId="77777777" w:rsidTr="002D1A0B">
        <w:trPr>
          <w:cantSplit/>
        </w:trPr>
        <w:tc>
          <w:tcPr>
            <w:tcW w:w="1560" w:type="dxa"/>
          </w:tcPr>
          <w:p w14:paraId="17A924B5" w14:textId="77777777" w:rsidR="00CD2650" w:rsidRPr="001A21E7" w:rsidRDefault="00CD2650" w:rsidP="00D5169F">
            <w:pPr>
              <w:rPr>
                <w:szCs w:val="24"/>
              </w:rPr>
            </w:pPr>
            <w:r w:rsidRPr="001A21E7">
              <w:rPr>
                <w:szCs w:val="24"/>
              </w:rPr>
              <w:t>Metabolism and nutrition disorders</w:t>
            </w:r>
          </w:p>
        </w:tc>
        <w:tc>
          <w:tcPr>
            <w:tcW w:w="1417" w:type="dxa"/>
          </w:tcPr>
          <w:p w14:paraId="4EF1FA90" w14:textId="77777777" w:rsidR="00CD2650" w:rsidRPr="001A21E7" w:rsidRDefault="00CD2650" w:rsidP="00D5169F">
            <w:pPr>
              <w:rPr>
                <w:szCs w:val="24"/>
              </w:rPr>
            </w:pPr>
          </w:p>
        </w:tc>
        <w:tc>
          <w:tcPr>
            <w:tcW w:w="1701" w:type="dxa"/>
          </w:tcPr>
          <w:p w14:paraId="342632BE" w14:textId="77777777" w:rsidR="00CD2650" w:rsidRPr="001A21E7" w:rsidRDefault="00CD2650" w:rsidP="00D5169F">
            <w:pPr>
              <w:rPr>
                <w:szCs w:val="24"/>
              </w:rPr>
            </w:pPr>
            <w:r w:rsidRPr="001A21E7">
              <w:rPr>
                <w:szCs w:val="24"/>
              </w:rPr>
              <w:t>Anorexia</w:t>
            </w:r>
          </w:p>
        </w:tc>
        <w:tc>
          <w:tcPr>
            <w:tcW w:w="1559" w:type="dxa"/>
          </w:tcPr>
          <w:p w14:paraId="387560FD" w14:textId="77777777" w:rsidR="00CD2650" w:rsidRPr="001A21E7" w:rsidRDefault="00CD2650" w:rsidP="00D5169F">
            <w:pPr>
              <w:rPr>
                <w:szCs w:val="24"/>
              </w:rPr>
            </w:pPr>
          </w:p>
        </w:tc>
        <w:tc>
          <w:tcPr>
            <w:tcW w:w="1454" w:type="dxa"/>
          </w:tcPr>
          <w:p w14:paraId="0A16AC12" w14:textId="77777777" w:rsidR="00CD2650" w:rsidRPr="001A21E7" w:rsidRDefault="00CD2650" w:rsidP="00D5169F">
            <w:pPr>
              <w:rPr>
                <w:szCs w:val="24"/>
              </w:rPr>
            </w:pPr>
          </w:p>
        </w:tc>
        <w:tc>
          <w:tcPr>
            <w:tcW w:w="1488" w:type="dxa"/>
          </w:tcPr>
          <w:p w14:paraId="22D3E012" w14:textId="77777777" w:rsidR="00CD2650" w:rsidRPr="0098047F" w:rsidRDefault="00CD2650" w:rsidP="00D5169F">
            <w:pPr>
              <w:rPr>
                <w:szCs w:val="24"/>
              </w:rPr>
            </w:pPr>
          </w:p>
        </w:tc>
      </w:tr>
      <w:tr w:rsidR="00CD2650" w:rsidRPr="0098047F" w:rsidDel="00C1131B" w14:paraId="31F6D211" w14:textId="77777777" w:rsidTr="002D1A0B">
        <w:trPr>
          <w:cantSplit/>
        </w:trPr>
        <w:tc>
          <w:tcPr>
            <w:tcW w:w="1560" w:type="dxa"/>
            <w:tcMar>
              <w:left w:w="28" w:type="dxa"/>
            </w:tcMar>
          </w:tcPr>
          <w:p w14:paraId="1DE334DC" w14:textId="77777777" w:rsidR="00CD2650" w:rsidRPr="001A21E7" w:rsidDel="00DA266F" w:rsidRDefault="00CD2650" w:rsidP="00D5169F">
            <w:pPr>
              <w:rPr>
                <w:szCs w:val="24"/>
              </w:rPr>
            </w:pPr>
            <w:r w:rsidRPr="001A21E7">
              <w:rPr>
                <w:szCs w:val="24"/>
              </w:rPr>
              <w:lastRenderedPageBreak/>
              <w:t>Infections and infestations</w:t>
            </w:r>
          </w:p>
        </w:tc>
        <w:tc>
          <w:tcPr>
            <w:tcW w:w="1417" w:type="dxa"/>
          </w:tcPr>
          <w:p w14:paraId="306FA068" w14:textId="77777777" w:rsidR="00CD2650" w:rsidRPr="001A21E7" w:rsidDel="00C1131B" w:rsidRDefault="00CD2650" w:rsidP="00D5169F">
            <w:pPr>
              <w:rPr>
                <w:szCs w:val="24"/>
              </w:rPr>
            </w:pPr>
          </w:p>
        </w:tc>
        <w:tc>
          <w:tcPr>
            <w:tcW w:w="1701" w:type="dxa"/>
          </w:tcPr>
          <w:p w14:paraId="4569905F" w14:textId="77777777" w:rsidR="00CD2650" w:rsidRPr="001A21E7" w:rsidDel="00C1131B" w:rsidRDefault="00CD2650" w:rsidP="00D5169F">
            <w:pPr>
              <w:rPr>
                <w:szCs w:val="24"/>
              </w:rPr>
            </w:pPr>
            <w:r w:rsidRPr="001A21E7" w:rsidDel="00DA266F">
              <w:rPr>
                <w:szCs w:val="24"/>
              </w:rPr>
              <w:t>Oral candidiasis</w:t>
            </w:r>
          </w:p>
        </w:tc>
        <w:tc>
          <w:tcPr>
            <w:tcW w:w="1559" w:type="dxa"/>
          </w:tcPr>
          <w:p w14:paraId="7DD45723" w14:textId="77777777" w:rsidR="00CD2650" w:rsidRPr="001A21E7" w:rsidDel="00DA266F" w:rsidRDefault="00CD2650" w:rsidP="00D5169F">
            <w:pPr>
              <w:rPr>
                <w:szCs w:val="24"/>
              </w:rPr>
            </w:pPr>
            <w:r w:rsidRPr="001A21E7">
              <w:rPr>
                <w:szCs w:val="24"/>
              </w:rPr>
              <w:t>Pharyngitis</w:t>
            </w:r>
          </w:p>
        </w:tc>
        <w:tc>
          <w:tcPr>
            <w:tcW w:w="1454" w:type="dxa"/>
          </w:tcPr>
          <w:p w14:paraId="561FD69F" w14:textId="77777777" w:rsidR="00CD2650" w:rsidRPr="001A21E7" w:rsidDel="00C1131B" w:rsidRDefault="00CD2650" w:rsidP="00D5169F">
            <w:pPr>
              <w:rPr>
                <w:szCs w:val="24"/>
              </w:rPr>
            </w:pPr>
            <w:r w:rsidRPr="001A21E7" w:rsidDel="00DA266F">
              <w:rPr>
                <w:szCs w:val="24"/>
              </w:rPr>
              <w:t>Oral pustule</w:t>
            </w:r>
          </w:p>
        </w:tc>
        <w:tc>
          <w:tcPr>
            <w:tcW w:w="1488" w:type="dxa"/>
          </w:tcPr>
          <w:p w14:paraId="1E7963D0" w14:textId="77777777" w:rsidR="00CD2650" w:rsidRPr="0098047F" w:rsidDel="00C1131B" w:rsidRDefault="00CD2650" w:rsidP="00D5169F">
            <w:pPr>
              <w:rPr>
                <w:szCs w:val="24"/>
              </w:rPr>
            </w:pPr>
          </w:p>
        </w:tc>
      </w:tr>
      <w:tr w:rsidR="00CD2650" w:rsidRPr="0098047F" w:rsidDel="00C1131B" w14:paraId="33FE054D" w14:textId="77777777" w:rsidTr="002D1A0B">
        <w:trPr>
          <w:cantSplit/>
        </w:trPr>
        <w:tc>
          <w:tcPr>
            <w:tcW w:w="1560" w:type="dxa"/>
            <w:tcMar>
              <w:left w:w="28" w:type="dxa"/>
            </w:tcMar>
          </w:tcPr>
          <w:p w14:paraId="64E5B628" w14:textId="77777777" w:rsidR="00CD2650" w:rsidRPr="0098047F" w:rsidDel="00DA266F" w:rsidRDefault="00CD2650" w:rsidP="00D5169F">
            <w:pPr>
              <w:rPr>
                <w:szCs w:val="24"/>
              </w:rPr>
            </w:pPr>
            <w:r w:rsidRPr="0098047F">
              <w:rPr>
                <w:szCs w:val="24"/>
              </w:rPr>
              <w:t>Injury, poisoning and procedural complications</w:t>
            </w:r>
          </w:p>
        </w:tc>
        <w:tc>
          <w:tcPr>
            <w:tcW w:w="1417" w:type="dxa"/>
          </w:tcPr>
          <w:p w14:paraId="5B8A1085" w14:textId="77777777" w:rsidR="00CD2650" w:rsidRPr="0098047F" w:rsidDel="00C1131B" w:rsidRDefault="00CD2650" w:rsidP="00D5169F">
            <w:pPr>
              <w:rPr>
                <w:szCs w:val="24"/>
              </w:rPr>
            </w:pPr>
          </w:p>
        </w:tc>
        <w:tc>
          <w:tcPr>
            <w:tcW w:w="1701" w:type="dxa"/>
          </w:tcPr>
          <w:p w14:paraId="5AA89F0C" w14:textId="77777777" w:rsidR="00CD2650" w:rsidRPr="0098047F" w:rsidDel="00C1131B" w:rsidRDefault="00CD2650" w:rsidP="00D5169F">
            <w:pPr>
              <w:rPr>
                <w:szCs w:val="24"/>
              </w:rPr>
            </w:pPr>
            <w:r w:rsidRPr="0098047F" w:rsidDel="00DA266F">
              <w:rPr>
                <w:szCs w:val="24"/>
              </w:rPr>
              <w:t>Fall</w:t>
            </w:r>
          </w:p>
        </w:tc>
        <w:tc>
          <w:tcPr>
            <w:tcW w:w="1559" w:type="dxa"/>
          </w:tcPr>
          <w:p w14:paraId="11EA7C4F" w14:textId="77777777" w:rsidR="00CD2650" w:rsidRPr="0098047F" w:rsidDel="00DA266F" w:rsidRDefault="00CD2650" w:rsidP="00D5169F">
            <w:pPr>
              <w:rPr>
                <w:szCs w:val="24"/>
              </w:rPr>
            </w:pPr>
          </w:p>
        </w:tc>
        <w:tc>
          <w:tcPr>
            <w:tcW w:w="1454" w:type="dxa"/>
          </w:tcPr>
          <w:p w14:paraId="6BAF9A38" w14:textId="77777777" w:rsidR="00CD2650" w:rsidRPr="0098047F" w:rsidDel="00C1131B" w:rsidRDefault="00CD2650" w:rsidP="00D5169F">
            <w:pPr>
              <w:rPr>
                <w:szCs w:val="24"/>
              </w:rPr>
            </w:pPr>
          </w:p>
        </w:tc>
        <w:tc>
          <w:tcPr>
            <w:tcW w:w="1488" w:type="dxa"/>
          </w:tcPr>
          <w:p w14:paraId="4ABC4709" w14:textId="77777777" w:rsidR="00CD2650" w:rsidRPr="0098047F" w:rsidDel="00C1131B" w:rsidRDefault="00CD2650" w:rsidP="00D5169F">
            <w:pPr>
              <w:rPr>
                <w:szCs w:val="24"/>
              </w:rPr>
            </w:pPr>
          </w:p>
        </w:tc>
      </w:tr>
      <w:tr w:rsidR="00CD2650" w:rsidRPr="0098047F" w14:paraId="7CEB1FE0" w14:textId="77777777" w:rsidTr="002D1A0B">
        <w:trPr>
          <w:cantSplit/>
        </w:trPr>
        <w:tc>
          <w:tcPr>
            <w:tcW w:w="1560" w:type="dxa"/>
          </w:tcPr>
          <w:p w14:paraId="331E3D6E" w14:textId="77777777" w:rsidR="00CD2650" w:rsidRPr="0098047F" w:rsidRDefault="00CD2650" w:rsidP="00D5169F">
            <w:pPr>
              <w:rPr>
                <w:szCs w:val="24"/>
              </w:rPr>
            </w:pPr>
            <w:r w:rsidRPr="0098047F">
              <w:rPr>
                <w:szCs w:val="24"/>
              </w:rPr>
              <w:t>Vascular disorders</w:t>
            </w:r>
          </w:p>
        </w:tc>
        <w:tc>
          <w:tcPr>
            <w:tcW w:w="1417" w:type="dxa"/>
          </w:tcPr>
          <w:p w14:paraId="2A27725D" w14:textId="77777777" w:rsidR="00CD2650" w:rsidRPr="0098047F" w:rsidRDefault="00CD2650" w:rsidP="00D5169F">
            <w:pPr>
              <w:rPr>
                <w:szCs w:val="24"/>
              </w:rPr>
            </w:pPr>
          </w:p>
        </w:tc>
        <w:tc>
          <w:tcPr>
            <w:tcW w:w="1701" w:type="dxa"/>
          </w:tcPr>
          <w:p w14:paraId="465B259D" w14:textId="77777777" w:rsidR="00CD2650" w:rsidRPr="0098047F" w:rsidRDefault="00CD2650" w:rsidP="00D5169F">
            <w:pPr>
              <w:rPr>
                <w:szCs w:val="24"/>
              </w:rPr>
            </w:pPr>
            <w:r w:rsidRPr="0098047F">
              <w:rPr>
                <w:szCs w:val="24"/>
              </w:rPr>
              <w:t>Hypotension</w:t>
            </w:r>
          </w:p>
          <w:p w14:paraId="31BECAFB" w14:textId="77777777" w:rsidR="00CD2650" w:rsidRPr="0098047F" w:rsidRDefault="00CD2650" w:rsidP="00D5169F">
            <w:pPr>
              <w:rPr>
                <w:szCs w:val="24"/>
              </w:rPr>
            </w:pPr>
            <w:r w:rsidRPr="0098047F">
              <w:rPr>
                <w:szCs w:val="24"/>
              </w:rPr>
              <w:t>Hypertension</w:t>
            </w:r>
          </w:p>
        </w:tc>
        <w:tc>
          <w:tcPr>
            <w:tcW w:w="1559" w:type="dxa"/>
          </w:tcPr>
          <w:p w14:paraId="7F7DDBF1" w14:textId="77777777" w:rsidR="00CD2650" w:rsidRPr="0098047F" w:rsidRDefault="00CD2650" w:rsidP="00D5169F">
            <w:pPr>
              <w:rPr>
                <w:szCs w:val="24"/>
              </w:rPr>
            </w:pPr>
            <w:r w:rsidRPr="0098047F">
              <w:rPr>
                <w:szCs w:val="24"/>
              </w:rPr>
              <w:t>Flushing</w:t>
            </w:r>
          </w:p>
          <w:p w14:paraId="1A6BA7CF" w14:textId="77777777" w:rsidR="00CD2650" w:rsidRPr="0098047F" w:rsidRDefault="00CD2650" w:rsidP="00D5169F">
            <w:pPr>
              <w:rPr>
                <w:szCs w:val="24"/>
              </w:rPr>
            </w:pPr>
            <w:r w:rsidRPr="0098047F">
              <w:rPr>
                <w:szCs w:val="24"/>
              </w:rPr>
              <w:t>Hot flush</w:t>
            </w:r>
          </w:p>
        </w:tc>
        <w:tc>
          <w:tcPr>
            <w:tcW w:w="1454" w:type="dxa"/>
          </w:tcPr>
          <w:p w14:paraId="2F118266" w14:textId="77777777" w:rsidR="00CD2650" w:rsidRPr="0098047F" w:rsidRDefault="00CD2650" w:rsidP="00D5169F">
            <w:pPr>
              <w:rPr>
                <w:szCs w:val="24"/>
              </w:rPr>
            </w:pPr>
          </w:p>
        </w:tc>
        <w:tc>
          <w:tcPr>
            <w:tcW w:w="1488" w:type="dxa"/>
          </w:tcPr>
          <w:p w14:paraId="4DC4407F" w14:textId="77777777" w:rsidR="00CD2650" w:rsidRPr="0098047F" w:rsidRDefault="00CD2650" w:rsidP="00D5169F">
            <w:pPr>
              <w:rPr>
                <w:szCs w:val="24"/>
              </w:rPr>
            </w:pPr>
          </w:p>
        </w:tc>
      </w:tr>
      <w:tr w:rsidR="00CD2650" w:rsidRPr="0098047F" w14:paraId="6B66F74A" w14:textId="77777777" w:rsidTr="002D1A0B">
        <w:trPr>
          <w:cantSplit/>
        </w:trPr>
        <w:tc>
          <w:tcPr>
            <w:tcW w:w="1560" w:type="dxa"/>
            <w:tcMar>
              <w:left w:w="57" w:type="dxa"/>
              <w:right w:w="57" w:type="dxa"/>
            </w:tcMar>
          </w:tcPr>
          <w:p w14:paraId="6332C91D" w14:textId="77777777" w:rsidR="00CD2650" w:rsidRPr="0098047F" w:rsidRDefault="00CD2650" w:rsidP="00D5169F">
            <w:pPr>
              <w:rPr>
                <w:szCs w:val="24"/>
              </w:rPr>
            </w:pPr>
            <w:r w:rsidRPr="0098047F">
              <w:rPr>
                <w:szCs w:val="24"/>
              </w:rPr>
              <w:t>General disorders and administration site conditions</w:t>
            </w:r>
          </w:p>
        </w:tc>
        <w:tc>
          <w:tcPr>
            <w:tcW w:w="1417" w:type="dxa"/>
          </w:tcPr>
          <w:p w14:paraId="2E5A3760" w14:textId="77777777" w:rsidR="00CD2650" w:rsidRPr="0098047F" w:rsidRDefault="00CD2650" w:rsidP="00D5169F">
            <w:pPr>
              <w:rPr>
                <w:szCs w:val="24"/>
              </w:rPr>
            </w:pPr>
            <w:r w:rsidRPr="0098047F">
              <w:rPr>
                <w:szCs w:val="24"/>
              </w:rPr>
              <w:t xml:space="preserve">Application site reactions including </w:t>
            </w:r>
            <w:r w:rsidRPr="0098047F">
              <w:rPr>
                <w:szCs w:val="24"/>
                <w:lang w:eastAsia="fr-FR"/>
              </w:rPr>
              <w:t>bleeding,</w:t>
            </w:r>
            <w:r w:rsidRPr="0098047F">
              <w:rPr>
                <w:szCs w:val="24"/>
              </w:rPr>
              <w:t xml:space="preserve"> pain, ulcer, irritation, paraesthesia, anaesthesia, erythema, oedema, swelling and vesicles</w:t>
            </w:r>
          </w:p>
        </w:tc>
        <w:tc>
          <w:tcPr>
            <w:tcW w:w="1701" w:type="dxa"/>
          </w:tcPr>
          <w:p w14:paraId="560B2F8C" w14:textId="77777777" w:rsidR="00CD2650" w:rsidRPr="0098047F" w:rsidRDefault="00CD2650" w:rsidP="00D5169F">
            <w:pPr>
              <w:rPr>
                <w:szCs w:val="24"/>
              </w:rPr>
            </w:pPr>
            <w:r w:rsidRPr="0098047F">
              <w:rPr>
                <w:szCs w:val="24"/>
              </w:rPr>
              <w:t xml:space="preserve">Peripheral oedema </w:t>
            </w:r>
          </w:p>
          <w:p w14:paraId="062BE741" w14:textId="77777777" w:rsidR="00CD2650" w:rsidRPr="0098047F" w:rsidRDefault="00CD2650" w:rsidP="00D5169F">
            <w:pPr>
              <w:rPr>
                <w:szCs w:val="24"/>
              </w:rPr>
            </w:pPr>
            <w:r w:rsidRPr="0098047F">
              <w:rPr>
                <w:szCs w:val="24"/>
              </w:rPr>
              <w:t>Fatigue</w:t>
            </w:r>
          </w:p>
          <w:p w14:paraId="5D535079" w14:textId="77777777" w:rsidR="00CD2650" w:rsidRPr="0098047F" w:rsidRDefault="00CD2650" w:rsidP="00D5169F">
            <w:pPr>
              <w:rPr>
                <w:szCs w:val="24"/>
              </w:rPr>
            </w:pPr>
            <w:r w:rsidRPr="0098047F">
              <w:rPr>
                <w:szCs w:val="24"/>
              </w:rPr>
              <w:t>Asthenia</w:t>
            </w:r>
          </w:p>
          <w:p w14:paraId="60432412" w14:textId="77777777" w:rsidR="00CD2650" w:rsidRPr="0098047F" w:rsidRDefault="00CD2650" w:rsidP="00D5169F">
            <w:pPr>
              <w:rPr>
                <w:szCs w:val="24"/>
              </w:rPr>
            </w:pPr>
            <w:r w:rsidRPr="0098047F">
              <w:rPr>
                <w:szCs w:val="24"/>
              </w:rPr>
              <w:t>Drug withdrawal syndrome</w:t>
            </w:r>
          </w:p>
          <w:p w14:paraId="0ACBB8E2" w14:textId="77777777" w:rsidR="00CD2650" w:rsidRPr="0098047F" w:rsidRDefault="00CD2650" w:rsidP="00D5169F">
            <w:pPr>
              <w:rPr>
                <w:szCs w:val="24"/>
              </w:rPr>
            </w:pPr>
            <w:r w:rsidRPr="0098047F">
              <w:rPr>
                <w:szCs w:val="24"/>
              </w:rPr>
              <w:t>Chills</w:t>
            </w:r>
          </w:p>
        </w:tc>
        <w:tc>
          <w:tcPr>
            <w:tcW w:w="1559" w:type="dxa"/>
          </w:tcPr>
          <w:p w14:paraId="4480709F" w14:textId="77777777" w:rsidR="00CD2650" w:rsidRPr="0098047F" w:rsidRDefault="00CD2650" w:rsidP="00D5169F">
            <w:pPr>
              <w:rPr>
                <w:szCs w:val="24"/>
              </w:rPr>
            </w:pPr>
            <w:r w:rsidRPr="0098047F">
              <w:rPr>
                <w:szCs w:val="24"/>
              </w:rPr>
              <w:t>Malaise</w:t>
            </w:r>
          </w:p>
          <w:p w14:paraId="0E6D5849" w14:textId="77777777" w:rsidR="00CD2650" w:rsidRPr="0098047F" w:rsidRDefault="00CD2650" w:rsidP="00D5169F">
            <w:pPr>
              <w:rPr>
                <w:szCs w:val="24"/>
              </w:rPr>
            </w:pPr>
            <w:r w:rsidRPr="0098047F">
              <w:rPr>
                <w:szCs w:val="24"/>
              </w:rPr>
              <w:t>Sluggishness</w:t>
            </w:r>
          </w:p>
          <w:p w14:paraId="13E097CD" w14:textId="77777777" w:rsidR="00CD2650" w:rsidRPr="0098047F" w:rsidRDefault="00CD2650" w:rsidP="00D5169F">
            <w:pPr>
              <w:rPr>
                <w:szCs w:val="24"/>
              </w:rPr>
            </w:pPr>
            <w:r w:rsidRPr="0098047F">
              <w:rPr>
                <w:szCs w:val="24"/>
              </w:rPr>
              <w:t>Chest discomfort</w:t>
            </w:r>
          </w:p>
          <w:p w14:paraId="2A2C5E8D" w14:textId="77777777" w:rsidR="00CD2650" w:rsidRPr="0098047F" w:rsidRDefault="00CD2650" w:rsidP="00D5169F">
            <w:pPr>
              <w:rPr>
                <w:szCs w:val="24"/>
              </w:rPr>
            </w:pPr>
            <w:r w:rsidRPr="0098047F">
              <w:rPr>
                <w:szCs w:val="24"/>
              </w:rPr>
              <w:t>Feeling abnormal</w:t>
            </w:r>
          </w:p>
          <w:p w14:paraId="03342137" w14:textId="77777777" w:rsidR="00CD2650" w:rsidRPr="0098047F" w:rsidRDefault="00CD2650" w:rsidP="00D5169F">
            <w:pPr>
              <w:rPr>
                <w:szCs w:val="24"/>
              </w:rPr>
            </w:pPr>
            <w:r w:rsidRPr="0098047F">
              <w:rPr>
                <w:szCs w:val="24"/>
              </w:rPr>
              <w:t>Feeling jittery</w:t>
            </w:r>
          </w:p>
          <w:p w14:paraId="01EAF43B" w14:textId="77777777" w:rsidR="00CD2650" w:rsidRPr="0098047F" w:rsidRDefault="00CD2650" w:rsidP="00D5169F">
            <w:pPr>
              <w:rPr>
                <w:szCs w:val="24"/>
              </w:rPr>
            </w:pPr>
            <w:r w:rsidRPr="0098047F">
              <w:rPr>
                <w:szCs w:val="24"/>
              </w:rPr>
              <w:t>Thirst</w:t>
            </w:r>
          </w:p>
          <w:p w14:paraId="2DA82639" w14:textId="77777777" w:rsidR="00CD2650" w:rsidRPr="0098047F" w:rsidRDefault="00CD2650" w:rsidP="00D5169F">
            <w:pPr>
              <w:rPr>
                <w:szCs w:val="24"/>
              </w:rPr>
            </w:pPr>
            <w:r w:rsidRPr="0098047F">
              <w:rPr>
                <w:szCs w:val="24"/>
              </w:rPr>
              <w:t>Feeling cold</w:t>
            </w:r>
          </w:p>
          <w:p w14:paraId="26CF1851" w14:textId="77777777" w:rsidR="00CD2650" w:rsidRPr="0098047F" w:rsidRDefault="00CD2650" w:rsidP="00D5169F">
            <w:pPr>
              <w:rPr>
                <w:szCs w:val="24"/>
              </w:rPr>
            </w:pPr>
            <w:r w:rsidRPr="0098047F">
              <w:rPr>
                <w:szCs w:val="24"/>
              </w:rPr>
              <w:t>Feeling hot</w:t>
            </w:r>
          </w:p>
          <w:p w14:paraId="71E4B5C9" w14:textId="77777777" w:rsidR="00CD2650" w:rsidRPr="0098047F" w:rsidRDefault="00CD2650" w:rsidP="00D5169F">
            <w:pPr>
              <w:rPr>
                <w:szCs w:val="24"/>
              </w:rPr>
            </w:pPr>
          </w:p>
        </w:tc>
        <w:tc>
          <w:tcPr>
            <w:tcW w:w="1454" w:type="dxa"/>
          </w:tcPr>
          <w:p w14:paraId="6E1EE278" w14:textId="77777777" w:rsidR="00CD2650" w:rsidRPr="0098047F" w:rsidRDefault="00CD2650" w:rsidP="00D5169F">
            <w:pPr>
              <w:rPr>
                <w:szCs w:val="24"/>
              </w:rPr>
            </w:pPr>
          </w:p>
        </w:tc>
        <w:tc>
          <w:tcPr>
            <w:tcW w:w="1488" w:type="dxa"/>
          </w:tcPr>
          <w:p w14:paraId="31E2F893" w14:textId="77777777" w:rsidR="00CD2650" w:rsidRPr="0098047F" w:rsidRDefault="00CD2650" w:rsidP="00D5169F">
            <w:pPr>
              <w:rPr>
                <w:szCs w:val="24"/>
              </w:rPr>
            </w:pPr>
          </w:p>
        </w:tc>
      </w:tr>
      <w:tr w:rsidR="00CD2650" w:rsidRPr="0098047F" w14:paraId="5DB5317D" w14:textId="77777777" w:rsidTr="002D1A0B">
        <w:trPr>
          <w:cantSplit/>
        </w:trPr>
        <w:tc>
          <w:tcPr>
            <w:tcW w:w="1560" w:type="dxa"/>
            <w:tcMar>
              <w:left w:w="57" w:type="dxa"/>
              <w:right w:w="57" w:type="dxa"/>
            </w:tcMar>
          </w:tcPr>
          <w:p w14:paraId="6829D48E" w14:textId="77777777" w:rsidR="00CD2650" w:rsidRPr="0098047F" w:rsidRDefault="00CD2650" w:rsidP="00D5169F">
            <w:pPr>
              <w:rPr>
                <w:szCs w:val="24"/>
              </w:rPr>
            </w:pPr>
            <w:r w:rsidRPr="0098047F">
              <w:rPr>
                <w:noProof/>
                <w:szCs w:val="24"/>
              </w:rPr>
              <w:t>Hepatobiliary disorders</w:t>
            </w:r>
          </w:p>
        </w:tc>
        <w:tc>
          <w:tcPr>
            <w:tcW w:w="1417" w:type="dxa"/>
          </w:tcPr>
          <w:p w14:paraId="27CC4366" w14:textId="77777777" w:rsidR="00CD2650" w:rsidRPr="0098047F" w:rsidRDefault="00CD2650" w:rsidP="00D5169F">
            <w:pPr>
              <w:rPr>
                <w:szCs w:val="24"/>
              </w:rPr>
            </w:pPr>
          </w:p>
        </w:tc>
        <w:tc>
          <w:tcPr>
            <w:tcW w:w="1701" w:type="dxa"/>
          </w:tcPr>
          <w:p w14:paraId="6242648A" w14:textId="77777777" w:rsidR="00CD2650" w:rsidRPr="0098047F" w:rsidRDefault="00CD2650" w:rsidP="00D5169F">
            <w:pPr>
              <w:rPr>
                <w:szCs w:val="24"/>
              </w:rPr>
            </w:pPr>
          </w:p>
        </w:tc>
        <w:tc>
          <w:tcPr>
            <w:tcW w:w="1559" w:type="dxa"/>
          </w:tcPr>
          <w:p w14:paraId="2817DCB9" w14:textId="77777777" w:rsidR="00CD2650" w:rsidRPr="0098047F" w:rsidRDefault="00CD2650" w:rsidP="00D5169F">
            <w:pPr>
              <w:rPr>
                <w:szCs w:val="24"/>
              </w:rPr>
            </w:pPr>
            <w:r w:rsidRPr="0098047F">
              <w:rPr>
                <w:szCs w:val="24"/>
              </w:rPr>
              <w:t>Biliary dilatation</w:t>
            </w:r>
          </w:p>
        </w:tc>
        <w:tc>
          <w:tcPr>
            <w:tcW w:w="1454" w:type="dxa"/>
          </w:tcPr>
          <w:p w14:paraId="367B6FD6" w14:textId="77777777" w:rsidR="00CD2650" w:rsidRPr="0098047F" w:rsidRDefault="00CD2650" w:rsidP="00D5169F">
            <w:pPr>
              <w:rPr>
                <w:szCs w:val="24"/>
              </w:rPr>
            </w:pPr>
          </w:p>
        </w:tc>
        <w:tc>
          <w:tcPr>
            <w:tcW w:w="1488" w:type="dxa"/>
          </w:tcPr>
          <w:p w14:paraId="387E3B49" w14:textId="77777777" w:rsidR="00CD2650" w:rsidRPr="0098047F" w:rsidRDefault="00CD2650" w:rsidP="00D5169F">
            <w:pPr>
              <w:rPr>
                <w:szCs w:val="24"/>
              </w:rPr>
            </w:pPr>
          </w:p>
        </w:tc>
      </w:tr>
      <w:tr w:rsidR="00CD2650" w:rsidRPr="0098047F" w14:paraId="6EF300B9" w14:textId="77777777" w:rsidTr="002D1A0B">
        <w:trPr>
          <w:cantSplit/>
        </w:trPr>
        <w:tc>
          <w:tcPr>
            <w:tcW w:w="1560" w:type="dxa"/>
          </w:tcPr>
          <w:p w14:paraId="0B387DAD" w14:textId="77777777" w:rsidR="00CD2650" w:rsidRPr="001A21E7" w:rsidRDefault="00CD2650" w:rsidP="00D5169F">
            <w:pPr>
              <w:rPr>
                <w:szCs w:val="24"/>
              </w:rPr>
            </w:pPr>
            <w:r w:rsidRPr="001A21E7">
              <w:rPr>
                <w:szCs w:val="24"/>
              </w:rPr>
              <w:t>Psychiatric disorders</w:t>
            </w:r>
          </w:p>
        </w:tc>
        <w:tc>
          <w:tcPr>
            <w:tcW w:w="1417" w:type="dxa"/>
          </w:tcPr>
          <w:p w14:paraId="113A1397" w14:textId="77777777" w:rsidR="00CD2650" w:rsidRPr="001A21E7" w:rsidRDefault="00CD2650" w:rsidP="00D5169F">
            <w:pPr>
              <w:rPr>
                <w:szCs w:val="24"/>
              </w:rPr>
            </w:pPr>
          </w:p>
        </w:tc>
        <w:tc>
          <w:tcPr>
            <w:tcW w:w="1701" w:type="dxa"/>
          </w:tcPr>
          <w:p w14:paraId="7C0E551A" w14:textId="77777777" w:rsidR="00CD2650" w:rsidRPr="001A21E7" w:rsidRDefault="00CD2650" w:rsidP="00D5169F">
            <w:pPr>
              <w:rPr>
                <w:szCs w:val="24"/>
              </w:rPr>
            </w:pPr>
            <w:r w:rsidRPr="001A21E7">
              <w:rPr>
                <w:szCs w:val="24"/>
              </w:rPr>
              <w:t>Depression</w:t>
            </w:r>
          </w:p>
          <w:p w14:paraId="4CE3D110" w14:textId="77777777" w:rsidR="00CD2650" w:rsidRPr="001A21E7" w:rsidRDefault="00CD2650" w:rsidP="00D5169F">
            <w:pPr>
              <w:rPr>
                <w:szCs w:val="24"/>
              </w:rPr>
            </w:pPr>
            <w:r w:rsidRPr="001A21E7">
              <w:rPr>
                <w:szCs w:val="24"/>
              </w:rPr>
              <w:t>Anxiety</w:t>
            </w:r>
          </w:p>
          <w:p w14:paraId="5AD82E26" w14:textId="77777777" w:rsidR="00CD2650" w:rsidRPr="001A21E7" w:rsidRDefault="00CD2650" w:rsidP="00D5169F">
            <w:pPr>
              <w:rPr>
                <w:szCs w:val="24"/>
              </w:rPr>
            </w:pPr>
            <w:r w:rsidRPr="001A21E7">
              <w:rPr>
                <w:szCs w:val="24"/>
              </w:rPr>
              <w:t>Confusional state</w:t>
            </w:r>
          </w:p>
          <w:p w14:paraId="326F51C1" w14:textId="77777777" w:rsidR="00CD2650" w:rsidRPr="001A21E7" w:rsidRDefault="00CD2650" w:rsidP="00D5169F">
            <w:pPr>
              <w:rPr>
                <w:szCs w:val="24"/>
              </w:rPr>
            </w:pPr>
            <w:r w:rsidRPr="001A21E7">
              <w:rPr>
                <w:szCs w:val="24"/>
              </w:rPr>
              <w:t>Insomnia</w:t>
            </w:r>
          </w:p>
        </w:tc>
        <w:tc>
          <w:tcPr>
            <w:tcW w:w="1559" w:type="dxa"/>
          </w:tcPr>
          <w:p w14:paraId="73A02CCE" w14:textId="77777777" w:rsidR="00CD2650" w:rsidRPr="001A21E7" w:rsidRDefault="00CD2650" w:rsidP="00D5169F">
            <w:pPr>
              <w:rPr>
                <w:szCs w:val="24"/>
              </w:rPr>
            </w:pPr>
            <w:r w:rsidRPr="001A21E7">
              <w:rPr>
                <w:szCs w:val="24"/>
              </w:rPr>
              <w:t>Euphoric mood</w:t>
            </w:r>
            <w:r w:rsidRPr="001A21E7" w:rsidDel="006054F4">
              <w:rPr>
                <w:szCs w:val="24"/>
              </w:rPr>
              <w:t xml:space="preserve"> </w:t>
            </w:r>
          </w:p>
          <w:p w14:paraId="62E3D6EA" w14:textId="77777777" w:rsidR="00CD2650" w:rsidRPr="001A21E7" w:rsidRDefault="00CD2650" w:rsidP="00D5169F">
            <w:pPr>
              <w:rPr>
                <w:szCs w:val="24"/>
              </w:rPr>
            </w:pPr>
            <w:r w:rsidRPr="001A21E7">
              <w:rPr>
                <w:szCs w:val="24"/>
              </w:rPr>
              <w:t>Nervousness</w:t>
            </w:r>
          </w:p>
          <w:p w14:paraId="59B8C76B" w14:textId="77777777" w:rsidR="00CD2650" w:rsidRPr="001A21E7" w:rsidRDefault="00CD2650" w:rsidP="00D5169F">
            <w:pPr>
              <w:rPr>
                <w:szCs w:val="24"/>
              </w:rPr>
            </w:pPr>
            <w:r w:rsidRPr="001A21E7">
              <w:rPr>
                <w:szCs w:val="24"/>
              </w:rPr>
              <w:t>Hallucination</w:t>
            </w:r>
          </w:p>
          <w:p w14:paraId="20C729BE" w14:textId="77777777" w:rsidR="00CD2650" w:rsidRPr="001A21E7" w:rsidRDefault="00CD2650" w:rsidP="00D5169F">
            <w:pPr>
              <w:rPr>
                <w:szCs w:val="24"/>
              </w:rPr>
            </w:pPr>
            <w:r w:rsidRPr="001A21E7">
              <w:rPr>
                <w:szCs w:val="24"/>
              </w:rPr>
              <w:t>Visual hallucination</w:t>
            </w:r>
          </w:p>
          <w:p w14:paraId="139917A5" w14:textId="77777777" w:rsidR="00CD2650" w:rsidRPr="001A21E7" w:rsidRDefault="00CD2650" w:rsidP="00D5169F">
            <w:pPr>
              <w:rPr>
                <w:szCs w:val="24"/>
              </w:rPr>
            </w:pPr>
            <w:r w:rsidRPr="001A21E7">
              <w:rPr>
                <w:szCs w:val="24"/>
              </w:rPr>
              <w:t>Mental status changes</w:t>
            </w:r>
          </w:p>
          <w:p w14:paraId="732CE290" w14:textId="77777777" w:rsidR="00CD2650" w:rsidRPr="001A21E7" w:rsidRDefault="00CD2650" w:rsidP="00D5169F">
            <w:pPr>
              <w:rPr>
                <w:szCs w:val="24"/>
              </w:rPr>
            </w:pPr>
            <w:r w:rsidRPr="001A21E7">
              <w:rPr>
                <w:szCs w:val="24"/>
              </w:rPr>
              <w:t>Drug dependence (addiction)</w:t>
            </w:r>
          </w:p>
          <w:p w14:paraId="1BFCB569" w14:textId="77777777" w:rsidR="00CD2650" w:rsidRPr="001A21E7" w:rsidRDefault="00CD2650" w:rsidP="00D5169F">
            <w:pPr>
              <w:rPr>
                <w:szCs w:val="24"/>
              </w:rPr>
            </w:pPr>
            <w:r w:rsidRPr="001A21E7" w:rsidDel="00DA266F">
              <w:rPr>
                <w:szCs w:val="24"/>
              </w:rPr>
              <w:t>Disorientation</w:t>
            </w:r>
          </w:p>
        </w:tc>
        <w:tc>
          <w:tcPr>
            <w:tcW w:w="1454" w:type="dxa"/>
          </w:tcPr>
          <w:p w14:paraId="48C843CD" w14:textId="77777777" w:rsidR="00CD2650" w:rsidRPr="001A21E7" w:rsidRDefault="00CD2650" w:rsidP="00D5169F">
            <w:pPr>
              <w:rPr>
                <w:szCs w:val="24"/>
              </w:rPr>
            </w:pPr>
          </w:p>
        </w:tc>
        <w:tc>
          <w:tcPr>
            <w:tcW w:w="1488" w:type="dxa"/>
          </w:tcPr>
          <w:p w14:paraId="45DDF453" w14:textId="77777777" w:rsidR="00CD2650" w:rsidRPr="001A21E7" w:rsidRDefault="00CD2650" w:rsidP="00D5169F">
            <w:pPr>
              <w:rPr>
                <w:szCs w:val="24"/>
              </w:rPr>
            </w:pPr>
          </w:p>
        </w:tc>
      </w:tr>
      <w:tr w:rsidR="00196AC2" w:rsidRPr="0098047F" w14:paraId="6C41AB41" w14:textId="77777777" w:rsidTr="002D1A0B">
        <w:trPr>
          <w:cantSplit/>
        </w:trPr>
        <w:tc>
          <w:tcPr>
            <w:tcW w:w="1560" w:type="dxa"/>
          </w:tcPr>
          <w:p w14:paraId="7B6F9A9C" w14:textId="77777777" w:rsidR="00196AC2" w:rsidRPr="000C3073" w:rsidRDefault="00196AC2" w:rsidP="00D5169F">
            <w:pPr>
              <w:rPr>
                <w:szCs w:val="24"/>
              </w:rPr>
            </w:pPr>
            <w:r w:rsidRPr="001A21E7">
              <w:rPr>
                <w:szCs w:val="24"/>
              </w:rPr>
              <w:t>Immune system disorders</w:t>
            </w:r>
          </w:p>
        </w:tc>
        <w:tc>
          <w:tcPr>
            <w:tcW w:w="1417" w:type="dxa"/>
          </w:tcPr>
          <w:p w14:paraId="038B57F9" w14:textId="77777777" w:rsidR="00196AC2" w:rsidRPr="0070500D" w:rsidRDefault="00196AC2" w:rsidP="00D5169F">
            <w:pPr>
              <w:rPr>
                <w:szCs w:val="24"/>
              </w:rPr>
            </w:pPr>
          </w:p>
        </w:tc>
        <w:tc>
          <w:tcPr>
            <w:tcW w:w="1701" w:type="dxa"/>
          </w:tcPr>
          <w:p w14:paraId="13BAA455" w14:textId="77777777" w:rsidR="00196AC2" w:rsidRPr="0051339F" w:rsidRDefault="00196AC2" w:rsidP="00D5169F">
            <w:pPr>
              <w:rPr>
                <w:szCs w:val="24"/>
              </w:rPr>
            </w:pPr>
          </w:p>
        </w:tc>
        <w:tc>
          <w:tcPr>
            <w:tcW w:w="1559" w:type="dxa"/>
          </w:tcPr>
          <w:p w14:paraId="7A3EFF2E" w14:textId="77777777" w:rsidR="00196AC2" w:rsidRPr="009626FA" w:rsidRDefault="00196AC2" w:rsidP="00D5169F">
            <w:pPr>
              <w:rPr>
                <w:szCs w:val="24"/>
              </w:rPr>
            </w:pPr>
          </w:p>
        </w:tc>
        <w:tc>
          <w:tcPr>
            <w:tcW w:w="1454" w:type="dxa"/>
          </w:tcPr>
          <w:p w14:paraId="5DD091A7" w14:textId="77777777" w:rsidR="00196AC2" w:rsidRPr="009626FA" w:rsidRDefault="00196AC2" w:rsidP="00D5169F">
            <w:pPr>
              <w:rPr>
                <w:szCs w:val="24"/>
              </w:rPr>
            </w:pPr>
            <w:r w:rsidRPr="009626FA">
              <w:rPr>
                <w:szCs w:val="24"/>
              </w:rPr>
              <w:t>Hypersensitivity</w:t>
            </w:r>
          </w:p>
        </w:tc>
        <w:tc>
          <w:tcPr>
            <w:tcW w:w="1488" w:type="dxa"/>
          </w:tcPr>
          <w:p w14:paraId="25709CF2" w14:textId="77777777" w:rsidR="00196AC2" w:rsidRPr="001A21E7" w:rsidRDefault="00196AC2" w:rsidP="00D5169F">
            <w:pPr>
              <w:rPr>
                <w:szCs w:val="24"/>
              </w:rPr>
            </w:pPr>
          </w:p>
        </w:tc>
      </w:tr>
    </w:tbl>
    <w:p w14:paraId="2E53D76C" w14:textId="77777777" w:rsidR="00CD2650" w:rsidRPr="0098047F" w:rsidRDefault="00CD2650" w:rsidP="00CD2650">
      <w:pPr>
        <w:rPr>
          <w:b/>
          <w:noProof/>
          <w:szCs w:val="24"/>
        </w:rPr>
      </w:pPr>
    </w:p>
    <w:p w14:paraId="617C18FB" w14:textId="77777777" w:rsidR="00CD2650" w:rsidRPr="0098047F" w:rsidRDefault="00CD2650" w:rsidP="00CD2650">
      <w:pPr>
        <w:rPr>
          <w:szCs w:val="24"/>
        </w:rPr>
      </w:pPr>
      <w:r w:rsidRPr="0098047F">
        <w:rPr>
          <w:szCs w:val="24"/>
        </w:rPr>
        <w:t>Tolerance, physical and/or psychological dependence may develop upon repeated administration of opioids such as fentanyl.</w:t>
      </w:r>
    </w:p>
    <w:p w14:paraId="70D751B6" w14:textId="77777777" w:rsidR="00CD2650" w:rsidRPr="0098047F" w:rsidRDefault="00CD2650" w:rsidP="00CD2650">
      <w:pPr>
        <w:rPr>
          <w:szCs w:val="24"/>
        </w:rPr>
      </w:pPr>
      <w:r w:rsidRPr="0098047F">
        <w:rPr>
          <w:szCs w:val="24"/>
        </w:rPr>
        <w:lastRenderedPageBreak/>
        <w:t xml:space="preserve">Opioid withdrawal symptoms such as nausea, vomiting, diarrhoea, anxiety and shivering have been observed in studies with </w:t>
      </w:r>
      <w:r w:rsidR="00DE564B" w:rsidRPr="0098047F">
        <w:rPr>
          <w:szCs w:val="24"/>
        </w:rPr>
        <w:t>F</w:t>
      </w:r>
      <w:r w:rsidR="001A3E3E" w:rsidRPr="0098047F">
        <w:rPr>
          <w:szCs w:val="24"/>
        </w:rPr>
        <w:t>ENTORA</w:t>
      </w:r>
      <w:r w:rsidRPr="0098047F">
        <w:rPr>
          <w:szCs w:val="24"/>
        </w:rPr>
        <w:t>.</w:t>
      </w:r>
    </w:p>
    <w:p w14:paraId="0F66AEFA" w14:textId="77777777" w:rsidR="00CD2650" w:rsidRDefault="00CD2650" w:rsidP="00CD2650">
      <w:pPr>
        <w:rPr>
          <w:szCs w:val="24"/>
        </w:rPr>
      </w:pPr>
      <w:r w:rsidRPr="0098047F">
        <w:rPr>
          <w:szCs w:val="24"/>
        </w:rPr>
        <w:t>Loss of consciousness and respiratory arrest have been observed in the context of overdose.</w:t>
      </w:r>
    </w:p>
    <w:p w14:paraId="71536A09" w14:textId="77777777" w:rsidR="00B318E0" w:rsidRPr="0098047F" w:rsidRDefault="00B318E0" w:rsidP="00CD2650">
      <w:pPr>
        <w:rPr>
          <w:szCs w:val="24"/>
        </w:rPr>
      </w:pPr>
      <w:r w:rsidRPr="00B94AEC">
        <w:t xml:space="preserve">Hypersensitivity reactions </w:t>
      </w:r>
      <w:r>
        <w:t xml:space="preserve">have been reported in post-marketing experience, including </w:t>
      </w:r>
      <w:r w:rsidRPr="00B94AEC">
        <w:t xml:space="preserve">rash, erythema, lip and face swelling, and </w:t>
      </w:r>
      <w:r>
        <w:t>urticarial.</w:t>
      </w:r>
    </w:p>
    <w:p w14:paraId="2817C478" w14:textId="77777777" w:rsidR="001C0078" w:rsidRPr="0098047F" w:rsidRDefault="001C0078">
      <w:pPr>
        <w:rPr>
          <w:b/>
          <w:szCs w:val="24"/>
        </w:rPr>
      </w:pPr>
    </w:p>
    <w:p w14:paraId="32D90A55" w14:textId="77777777" w:rsidR="00D535E7" w:rsidRPr="0098047F" w:rsidRDefault="00D535E7">
      <w:pPr>
        <w:rPr>
          <w:b/>
          <w:szCs w:val="24"/>
        </w:rPr>
      </w:pPr>
    </w:p>
    <w:p w14:paraId="4B6E3772" w14:textId="77777777" w:rsidR="0029051D" w:rsidRPr="0098047F" w:rsidRDefault="0029051D">
      <w:pPr>
        <w:pStyle w:val="Heading5"/>
        <w:rPr>
          <w:rFonts w:eastAsia="Times"/>
          <w:sz w:val="24"/>
          <w:szCs w:val="24"/>
          <w:lang w:val="en-US"/>
        </w:rPr>
      </w:pPr>
      <w:r w:rsidRPr="0098047F">
        <w:rPr>
          <w:rFonts w:eastAsia="Times"/>
          <w:sz w:val="24"/>
          <w:szCs w:val="24"/>
          <w:lang w:val="en-US"/>
        </w:rPr>
        <w:t>DOSAGE AND ADMINISTRATION</w:t>
      </w:r>
    </w:p>
    <w:p w14:paraId="5E51DEB6" w14:textId="77777777" w:rsidR="0029051D" w:rsidRPr="0098047F" w:rsidRDefault="0029051D">
      <w:pPr>
        <w:rPr>
          <w:b/>
          <w:szCs w:val="24"/>
        </w:rPr>
      </w:pPr>
    </w:p>
    <w:p w14:paraId="05D9E535" w14:textId="77777777" w:rsidR="00B17B09" w:rsidRPr="0098047F" w:rsidRDefault="00B17B09" w:rsidP="00B17B09">
      <w:pPr>
        <w:rPr>
          <w:noProof/>
          <w:szCs w:val="24"/>
        </w:rPr>
      </w:pPr>
      <w:r w:rsidRPr="0098047F">
        <w:rPr>
          <w:noProof/>
          <w:szCs w:val="24"/>
        </w:rPr>
        <w:t xml:space="preserve">Treatment should be initiated by and remain under the guidance of a physician experienced in the management of opioid therapy in cancer patients. Physicians should keep in mind the potential of abuse of fentanyl. Patients should be instructed not to use two different formulations of fentanyl concurrently for the treatment of breakthrough pain, and to dispose of any fentanyl product prescribed for BTP when switching to </w:t>
      </w:r>
      <w:r w:rsidR="00343455" w:rsidRPr="0098047F">
        <w:rPr>
          <w:noProof/>
          <w:szCs w:val="24"/>
        </w:rPr>
        <w:t>F</w:t>
      </w:r>
      <w:r w:rsidR="001A3E3E" w:rsidRPr="0098047F">
        <w:rPr>
          <w:noProof/>
          <w:szCs w:val="24"/>
        </w:rPr>
        <w:t>ENTORA</w:t>
      </w:r>
      <w:r w:rsidRPr="0098047F">
        <w:rPr>
          <w:noProof/>
          <w:szCs w:val="24"/>
        </w:rPr>
        <w:t>. The number of tablet strengths available to the patients at any time should be minimised to prevent confusion and potential overdose.</w:t>
      </w:r>
    </w:p>
    <w:p w14:paraId="133AC3C0" w14:textId="77777777" w:rsidR="00B17B09" w:rsidRPr="0098047F" w:rsidRDefault="00B17B09" w:rsidP="00B17B09">
      <w:pPr>
        <w:rPr>
          <w:noProof/>
          <w:szCs w:val="24"/>
        </w:rPr>
      </w:pPr>
    </w:p>
    <w:p w14:paraId="507457A5" w14:textId="77777777" w:rsidR="00B17B09" w:rsidRPr="0098047F" w:rsidRDefault="00B17B09" w:rsidP="00B17B09">
      <w:pPr>
        <w:rPr>
          <w:b/>
          <w:i/>
          <w:szCs w:val="24"/>
          <w:u w:val="single"/>
        </w:rPr>
      </w:pPr>
      <w:r w:rsidRPr="0098047F">
        <w:rPr>
          <w:b/>
          <w:i/>
          <w:szCs w:val="24"/>
          <w:u w:val="single"/>
        </w:rPr>
        <w:t>Dose titration</w:t>
      </w:r>
    </w:p>
    <w:p w14:paraId="1A5325F1" w14:textId="77777777" w:rsidR="00B17B09" w:rsidRPr="0098047F" w:rsidRDefault="00B17B09" w:rsidP="00B17B09">
      <w:pPr>
        <w:rPr>
          <w:szCs w:val="24"/>
        </w:rPr>
      </w:pPr>
    </w:p>
    <w:p w14:paraId="02E34F98" w14:textId="77777777" w:rsidR="00B17B09" w:rsidRPr="0098047F" w:rsidRDefault="00DE564B" w:rsidP="00B17B09">
      <w:pPr>
        <w:rPr>
          <w:szCs w:val="24"/>
        </w:rPr>
      </w:pPr>
      <w:r w:rsidRPr="0098047F">
        <w:rPr>
          <w:szCs w:val="24"/>
        </w:rPr>
        <w:t>F</w:t>
      </w:r>
      <w:r w:rsidR="001A3E3E" w:rsidRPr="0098047F">
        <w:rPr>
          <w:szCs w:val="24"/>
        </w:rPr>
        <w:t xml:space="preserve">ENTORA </w:t>
      </w:r>
      <w:r w:rsidR="00B17B09" w:rsidRPr="0098047F">
        <w:rPr>
          <w:szCs w:val="24"/>
        </w:rPr>
        <w:t xml:space="preserve">should be individually titrated to an “effective” dose that provides adequate analgesia and minimises undesirable effects. In clinical studies, the effective dose of </w:t>
      </w:r>
      <w:r w:rsidRPr="0098047F">
        <w:rPr>
          <w:szCs w:val="24"/>
        </w:rPr>
        <w:t>F</w:t>
      </w:r>
      <w:r w:rsidR="001A3E3E" w:rsidRPr="0098047F">
        <w:rPr>
          <w:szCs w:val="24"/>
        </w:rPr>
        <w:t>ENTORA</w:t>
      </w:r>
      <w:r w:rsidR="00B17B09" w:rsidRPr="0098047F">
        <w:rPr>
          <w:szCs w:val="24"/>
        </w:rPr>
        <w:t xml:space="preserve"> for BTP was not predictable from the daily maintenance dose of opioid.</w:t>
      </w:r>
      <w:r w:rsidR="002731FB" w:rsidRPr="0098047F">
        <w:rPr>
          <w:szCs w:val="24"/>
        </w:rPr>
        <w:t xml:space="preserve"> </w:t>
      </w:r>
      <w:r w:rsidR="00B17B09" w:rsidRPr="0098047F">
        <w:rPr>
          <w:szCs w:val="24"/>
        </w:rPr>
        <w:t>Patients should be carefully monitored until an effective dose is reached.</w:t>
      </w:r>
    </w:p>
    <w:p w14:paraId="657120CE" w14:textId="77777777" w:rsidR="00B17B09" w:rsidRPr="0098047F" w:rsidRDefault="00B17B09" w:rsidP="00B17B09">
      <w:pPr>
        <w:rPr>
          <w:szCs w:val="24"/>
          <w:u w:val="single"/>
        </w:rPr>
      </w:pPr>
    </w:p>
    <w:p w14:paraId="40046D95" w14:textId="77777777" w:rsidR="00B17B09" w:rsidRPr="0098047F" w:rsidRDefault="00B17B09" w:rsidP="00B17B09">
      <w:pPr>
        <w:keepNext/>
        <w:keepLines/>
        <w:rPr>
          <w:szCs w:val="24"/>
        </w:rPr>
      </w:pPr>
      <w:r w:rsidRPr="0098047F">
        <w:rPr>
          <w:szCs w:val="24"/>
          <w:u w:val="single"/>
        </w:rPr>
        <w:t>Titration in patients not switching from other fentanyl containing products</w:t>
      </w:r>
    </w:p>
    <w:p w14:paraId="04ECC972" w14:textId="77777777" w:rsidR="00B17B09" w:rsidRPr="0098047F" w:rsidRDefault="00B17B09" w:rsidP="00B17B09">
      <w:pPr>
        <w:keepNext/>
        <w:keepLines/>
        <w:rPr>
          <w:szCs w:val="24"/>
        </w:rPr>
      </w:pPr>
      <w:r w:rsidRPr="0098047F">
        <w:rPr>
          <w:szCs w:val="24"/>
        </w:rPr>
        <w:t>The initial dose of</w:t>
      </w:r>
      <w:r w:rsidRPr="0098047F">
        <w:rPr>
          <w:i/>
          <w:szCs w:val="24"/>
        </w:rPr>
        <w:t xml:space="preserve"> </w:t>
      </w:r>
      <w:r w:rsidR="00DE564B" w:rsidRPr="0098047F">
        <w:rPr>
          <w:szCs w:val="24"/>
        </w:rPr>
        <w:t>F</w:t>
      </w:r>
      <w:r w:rsidR="001A3E3E" w:rsidRPr="0098047F">
        <w:rPr>
          <w:szCs w:val="24"/>
        </w:rPr>
        <w:t>ENTORA</w:t>
      </w:r>
      <w:r w:rsidRPr="0098047F">
        <w:rPr>
          <w:szCs w:val="24"/>
        </w:rPr>
        <w:t xml:space="preserve"> should be 100 micrograms, titrating upwards as necessary through the range of available tablets strengths (100, 200, 400, 600, 800 micrograms). </w:t>
      </w:r>
    </w:p>
    <w:p w14:paraId="0AF8C580" w14:textId="77777777" w:rsidR="00B17B09" w:rsidRPr="0098047F" w:rsidRDefault="00B17B09" w:rsidP="00B17B09">
      <w:pPr>
        <w:tabs>
          <w:tab w:val="left" w:pos="1620"/>
        </w:tabs>
        <w:rPr>
          <w:szCs w:val="24"/>
        </w:rPr>
      </w:pPr>
    </w:p>
    <w:p w14:paraId="04BD83FD" w14:textId="77777777" w:rsidR="00B17B09" w:rsidRPr="0098047F" w:rsidRDefault="00B17B09" w:rsidP="00B17B09">
      <w:pPr>
        <w:keepNext/>
        <w:keepLines/>
        <w:rPr>
          <w:szCs w:val="24"/>
          <w:u w:val="single"/>
        </w:rPr>
      </w:pPr>
      <w:r w:rsidRPr="0098047F">
        <w:rPr>
          <w:szCs w:val="24"/>
          <w:u w:val="single"/>
        </w:rPr>
        <w:t>Titration in patients switching from other fentanyl containing products</w:t>
      </w:r>
    </w:p>
    <w:p w14:paraId="757D3522" w14:textId="77777777" w:rsidR="00B17B09" w:rsidRPr="0098047F" w:rsidRDefault="00B17B09" w:rsidP="00B17B09">
      <w:pPr>
        <w:keepNext/>
        <w:keepLines/>
        <w:rPr>
          <w:szCs w:val="24"/>
        </w:rPr>
      </w:pPr>
      <w:r w:rsidRPr="0098047F">
        <w:rPr>
          <w:szCs w:val="24"/>
        </w:rPr>
        <w:t xml:space="preserve">Due to different absorption profiles, switching must not be done at a 1:1 ratio. If switching from another oral fentanyl citrate product, independent dose titration with </w:t>
      </w:r>
      <w:r w:rsidR="00DE564B" w:rsidRPr="0098047F">
        <w:rPr>
          <w:szCs w:val="24"/>
        </w:rPr>
        <w:t>F</w:t>
      </w:r>
      <w:r w:rsidR="001A3E3E" w:rsidRPr="0098047F">
        <w:rPr>
          <w:szCs w:val="24"/>
        </w:rPr>
        <w:t>ENTORA</w:t>
      </w:r>
      <w:r w:rsidRPr="0098047F">
        <w:rPr>
          <w:szCs w:val="24"/>
        </w:rPr>
        <w:t xml:space="preserve"> is required as bioavailability between products differs significantly</w:t>
      </w:r>
      <w:r w:rsidR="0070500D">
        <w:rPr>
          <w:szCs w:val="24"/>
        </w:rPr>
        <w:t>, especially when a different route of administration is used</w:t>
      </w:r>
      <w:r w:rsidRPr="0098047F">
        <w:rPr>
          <w:szCs w:val="24"/>
        </w:rPr>
        <w:t>. However, in these patients, a starting dose higher than 100 micrograms may be considered.</w:t>
      </w:r>
    </w:p>
    <w:p w14:paraId="5F6C4A58" w14:textId="77777777" w:rsidR="00B17B09" w:rsidRPr="0098047F" w:rsidRDefault="00B17B09" w:rsidP="00B17B09">
      <w:pPr>
        <w:rPr>
          <w:szCs w:val="24"/>
        </w:rPr>
      </w:pPr>
    </w:p>
    <w:p w14:paraId="586CE882" w14:textId="77777777" w:rsidR="002731FB" w:rsidRPr="0098047F" w:rsidRDefault="00B17B09" w:rsidP="00B17B09">
      <w:pPr>
        <w:tabs>
          <w:tab w:val="left" w:pos="1620"/>
        </w:tabs>
        <w:rPr>
          <w:i/>
          <w:szCs w:val="24"/>
          <w:u w:val="single"/>
        </w:rPr>
      </w:pPr>
      <w:r w:rsidRPr="0098047F">
        <w:rPr>
          <w:i/>
          <w:szCs w:val="24"/>
          <w:u w:val="single"/>
        </w:rPr>
        <w:t>Method of titration</w:t>
      </w:r>
    </w:p>
    <w:p w14:paraId="6520BB8F" w14:textId="77777777" w:rsidR="00B17B09" w:rsidRPr="0098047F" w:rsidRDefault="00B17B09" w:rsidP="00B17B09">
      <w:pPr>
        <w:tabs>
          <w:tab w:val="left" w:pos="1620"/>
        </w:tabs>
        <w:rPr>
          <w:szCs w:val="24"/>
        </w:rPr>
      </w:pPr>
      <w:r w:rsidRPr="0098047F">
        <w:rPr>
          <w:szCs w:val="24"/>
        </w:rPr>
        <w:t xml:space="preserve">During titration, if adequate analgesia is not obtained within 30 minutes after the start of administration of a single tablet, a second </w:t>
      </w:r>
      <w:r w:rsidR="00DE564B" w:rsidRPr="0098047F">
        <w:rPr>
          <w:szCs w:val="24"/>
        </w:rPr>
        <w:t>F</w:t>
      </w:r>
      <w:r w:rsidR="001A3E3E" w:rsidRPr="0098047F">
        <w:rPr>
          <w:szCs w:val="24"/>
        </w:rPr>
        <w:t>ENTORA</w:t>
      </w:r>
      <w:r w:rsidRPr="0098047F">
        <w:rPr>
          <w:szCs w:val="24"/>
        </w:rPr>
        <w:t xml:space="preserve"> tablet of the same strength may be used. </w:t>
      </w:r>
    </w:p>
    <w:p w14:paraId="33C85237" w14:textId="77777777" w:rsidR="00B17B09" w:rsidRPr="0098047F" w:rsidRDefault="00B17B09" w:rsidP="00B17B09">
      <w:pPr>
        <w:rPr>
          <w:szCs w:val="24"/>
        </w:rPr>
      </w:pPr>
    </w:p>
    <w:p w14:paraId="2706C5B9" w14:textId="77777777" w:rsidR="00B17B09" w:rsidRPr="0098047F" w:rsidRDefault="00B17B09" w:rsidP="00B17B09">
      <w:pPr>
        <w:rPr>
          <w:szCs w:val="24"/>
        </w:rPr>
      </w:pPr>
      <w:r w:rsidRPr="0098047F">
        <w:rPr>
          <w:szCs w:val="24"/>
        </w:rPr>
        <w:t>If treatment of a BTP episode requires more than one tablet, an increase in dose to the next higher available strength should be considered to treat the next BTP episode.</w:t>
      </w:r>
    </w:p>
    <w:p w14:paraId="49DC1775" w14:textId="77777777" w:rsidR="00B17B09" w:rsidRPr="0098047F" w:rsidRDefault="00B17B09" w:rsidP="00B17B09">
      <w:pPr>
        <w:rPr>
          <w:szCs w:val="24"/>
        </w:rPr>
      </w:pPr>
    </w:p>
    <w:p w14:paraId="1B7CC7C3" w14:textId="77777777" w:rsidR="00B17B09" w:rsidRPr="0098047F" w:rsidRDefault="00B17B09" w:rsidP="00B17B09">
      <w:pPr>
        <w:rPr>
          <w:szCs w:val="24"/>
        </w:rPr>
      </w:pPr>
      <w:r w:rsidRPr="0098047F">
        <w:rPr>
          <w:szCs w:val="24"/>
        </w:rPr>
        <w:t>During titration, multiple tablets may be used: up to four 100 micrograms or up to four 200 micrograms tablets may be used to treat a single episode of BTP during dose titration according to the following schedule:</w:t>
      </w:r>
    </w:p>
    <w:p w14:paraId="1D0838AB" w14:textId="77777777" w:rsidR="00B17B09" w:rsidRPr="0098047F" w:rsidRDefault="00B17B09" w:rsidP="00B17B09">
      <w:pPr>
        <w:numPr>
          <w:ilvl w:val="0"/>
          <w:numId w:val="14"/>
        </w:numPr>
        <w:rPr>
          <w:szCs w:val="24"/>
        </w:rPr>
      </w:pPr>
      <w:r w:rsidRPr="0098047F">
        <w:rPr>
          <w:szCs w:val="24"/>
        </w:rPr>
        <w:t xml:space="preserve">If the initial 100 micrograms tablet is not efficacious, the patient can be instructed to treat the next episode of BTP with two 100 micrograms tablets.  It is recommended that one tablet </w:t>
      </w:r>
      <w:r w:rsidRPr="0098047F">
        <w:rPr>
          <w:szCs w:val="24"/>
        </w:rPr>
        <w:lastRenderedPageBreak/>
        <w:t xml:space="preserve">should be placed in each side of the mouth.  If this dose is considered to be the effective dose, treatment of successive episodes of BTP may be continued with a single 200 micrograms tablet of </w:t>
      </w:r>
      <w:r w:rsidR="00DE564B" w:rsidRPr="0098047F">
        <w:rPr>
          <w:szCs w:val="24"/>
        </w:rPr>
        <w:t>F</w:t>
      </w:r>
      <w:r w:rsidR="001A3E3E" w:rsidRPr="0098047F">
        <w:rPr>
          <w:szCs w:val="24"/>
        </w:rPr>
        <w:t>ENTORA</w:t>
      </w:r>
      <w:r w:rsidRPr="0098047F">
        <w:rPr>
          <w:i/>
          <w:szCs w:val="24"/>
        </w:rPr>
        <w:t>.</w:t>
      </w:r>
    </w:p>
    <w:p w14:paraId="5F72ADC5" w14:textId="77777777" w:rsidR="00B17B09" w:rsidRPr="0098047F" w:rsidRDefault="00B17B09" w:rsidP="00B17B09">
      <w:pPr>
        <w:numPr>
          <w:ilvl w:val="0"/>
          <w:numId w:val="14"/>
        </w:numPr>
        <w:rPr>
          <w:szCs w:val="24"/>
        </w:rPr>
      </w:pPr>
      <w:r w:rsidRPr="0098047F">
        <w:rPr>
          <w:szCs w:val="24"/>
        </w:rPr>
        <w:t xml:space="preserve">If a single 200 micrograms tablet of </w:t>
      </w:r>
      <w:r w:rsidR="00DE564B" w:rsidRPr="0098047F">
        <w:rPr>
          <w:szCs w:val="24"/>
        </w:rPr>
        <w:t>F</w:t>
      </w:r>
      <w:r w:rsidR="001A3E3E" w:rsidRPr="0098047F">
        <w:rPr>
          <w:szCs w:val="24"/>
        </w:rPr>
        <w:t>ENTORA</w:t>
      </w:r>
      <w:r w:rsidRPr="0098047F">
        <w:rPr>
          <w:szCs w:val="24"/>
        </w:rPr>
        <w:t xml:space="preserve"> (or two 100 micrograms tablets) is not considered to be efficacious the patient can be instructed to use two 200 micrograms tablets (or four 100 micrograms tablets) to treat the next episode of BTP. It is recommended that two tablets should be placed in each side of the mouth. If this dose is considered to be the effective dose, treatment of successive episodes of BTP may be continued with a single 400 micrograms tablet of </w:t>
      </w:r>
      <w:r w:rsidR="00DE564B" w:rsidRPr="0098047F">
        <w:rPr>
          <w:szCs w:val="24"/>
        </w:rPr>
        <w:t>F</w:t>
      </w:r>
      <w:r w:rsidR="001A3E3E" w:rsidRPr="0098047F">
        <w:rPr>
          <w:szCs w:val="24"/>
        </w:rPr>
        <w:t>ENTORA</w:t>
      </w:r>
      <w:r w:rsidRPr="0098047F">
        <w:rPr>
          <w:szCs w:val="24"/>
        </w:rPr>
        <w:t>.</w:t>
      </w:r>
    </w:p>
    <w:p w14:paraId="4D813A81" w14:textId="77777777" w:rsidR="00B17B09" w:rsidRPr="0098047F" w:rsidRDefault="00B17B09" w:rsidP="00B17B09">
      <w:pPr>
        <w:numPr>
          <w:ilvl w:val="0"/>
          <w:numId w:val="14"/>
        </w:numPr>
        <w:rPr>
          <w:szCs w:val="24"/>
        </w:rPr>
      </w:pPr>
      <w:r w:rsidRPr="0098047F">
        <w:rPr>
          <w:szCs w:val="24"/>
        </w:rPr>
        <w:t>For titration to 600 micrograms and 800 micrograms, tablets of 200 micrograms should be used.</w:t>
      </w:r>
    </w:p>
    <w:p w14:paraId="71AE3BD4" w14:textId="77777777" w:rsidR="00B17B09" w:rsidRPr="0098047F" w:rsidRDefault="00B17B09" w:rsidP="00B17B09">
      <w:pPr>
        <w:rPr>
          <w:szCs w:val="24"/>
        </w:rPr>
      </w:pPr>
      <w:bookmarkStart w:id="2" w:name="OLE_LINK9"/>
    </w:p>
    <w:p w14:paraId="443A3378" w14:textId="77777777" w:rsidR="00B17B09" w:rsidRPr="0098047F" w:rsidRDefault="00B17B09" w:rsidP="00B17B09">
      <w:pPr>
        <w:rPr>
          <w:szCs w:val="24"/>
        </w:rPr>
      </w:pPr>
      <w:r w:rsidRPr="0098047F">
        <w:rPr>
          <w:szCs w:val="24"/>
          <w:lang w:eastAsia="de-DE"/>
        </w:rPr>
        <w:t>Doses above 800 micrograms were not evaluated in clinical studies</w:t>
      </w:r>
      <w:bookmarkEnd w:id="2"/>
      <w:r w:rsidRPr="0098047F">
        <w:rPr>
          <w:szCs w:val="24"/>
          <w:lang w:eastAsia="de-DE"/>
        </w:rPr>
        <w:t>.</w:t>
      </w:r>
    </w:p>
    <w:p w14:paraId="07D55B63" w14:textId="77777777" w:rsidR="00B17B09" w:rsidRPr="0098047F" w:rsidRDefault="00B17B09" w:rsidP="00B17B09">
      <w:pPr>
        <w:rPr>
          <w:szCs w:val="24"/>
        </w:rPr>
      </w:pPr>
    </w:p>
    <w:p w14:paraId="1F1FA1CF" w14:textId="77777777" w:rsidR="00B17B09" w:rsidRPr="0098047F" w:rsidRDefault="00B17B09" w:rsidP="00B17B09">
      <w:pPr>
        <w:rPr>
          <w:bCs/>
          <w:szCs w:val="24"/>
        </w:rPr>
      </w:pPr>
      <w:bookmarkStart w:id="3" w:name="_Toc173834324"/>
      <w:r w:rsidRPr="0098047F">
        <w:rPr>
          <w:bCs/>
          <w:szCs w:val="24"/>
        </w:rPr>
        <w:t>No more than two tablets should be used to treat any individual BTP episode, except when titrating using up to four tablets as described above.</w:t>
      </w:r>
      <w:bookmarkEnd w:id="3"/>
    </w:p>
    <w:p w14:paraId="1B8F488F" w14:textId="71934C31" w:rsidR="00B17B09" w:rsidRDefault="00B17B09" w:rsidP="00B17B09">
      <w:pPr>
        <w:rPr>
          <w:szCs w:val="24"/>
        </w:rPr>
      </w:pPr>
      <w:r w:rsidRPr="0098047F">
        <w:rPr>
          <w:szCs w:val="24"/>
        </w:rPr>
        <w:t xml:space="preserve">Patients should wait at least 4 hours before treating another BTP episode with </w:t>
      </w:r>
      <w:r w:rsidR="00DE564B" w:rsidRPr="0098047F">
        <w:rPr>
          <w:szCs w:val="24"/>
        </w:rPr>
        <w:t>F</w:t>
      </w:r>
      <w:r w:rsidR="001A3E3E" w:rsidRPr="0098047F">
        <w:rPr>
          <w:szCs w:val="24"/>
        </w:rPr>
        <w:t>ENTORA</w:t>
      </w:r>
      <w:r w:rsidRPr="0098047F">
        <w:rPr>
          <w:szCs w:val="24"/>
        </w:rPr>
        <w:t xml:space="preserve"> during titration.</w:t>
      </w:r>
      <w:r w:rsidR="00CC4876">
        <w:rPr>
          <w:szCs w:val="24"/>
        </w:rPr>
        <w:t xml:space="preserve"> The frequency may be increased under clinical supervision.</w:t>
      </w:r>
    </w:p>
    <w:p w14:paraId="62DF5EED" w14:textId="77777777" w:rsidR="000C3073" w:rsidRDefault="000C3073" w:rsidP="00B17B09">
      <w:pPr>
        <w:rPr>
          <w:szCs w:val="24"/>
        </w:rPr>
      </w:pPr>
    </w:p>
    <w:p w14:paraId="2E49A728" w14:textId="71809EE5" w:rsidR="000C3073" w:rsidRPr="0098047F" w:rsidRDefault="00E16648" w:rsidP="00B17B09">
      <w:pPr>
        <w:rPr>
          <w:szCs w:val="24"/>
        </w:rPr>
      </w:pPr>
      <w:r>
        <w:rPr>
          <w:rFonts w:ascii="UnitOT-Medi" w:hAnsi="UnitOT-Medi" w:cs="UnitOT-Medi"/>
          <w:b/>
          <w:noProof/>
          <w:szCs w:val="24"/>
          <w:lang w:val="en-AU" w:eastAsia="en-AU"/>
        </w:rPr>
        <w:lastRenderedPageBreak/>
        <w:pict w14:anchorId="36B7BC7B">
          <v:shape id="_x0000_i1029" type="#_x0000_t75" style="width:352.85pt;height:496.85pt">
            <v:imagedata r:id="rId13" o:title=""/>
          </v:shape>
        </w:pict>
      </w:r>
    </w:p>
    <w:p w14:paraId="5A9E6313" w14:textId="77777777" w:rsidR="00B17B09" w:rsidRPr="0098047F" w:rsidRDefault="00B17B09" w:rsidP="00B17B09">
      <w:pPr>
        <w:rPr>
          <w:szCs w:val="24"/>
        </w:rPr>
      </w:pPr>
    </w:p>
    <w:p w14:paraId="094BBCED" w14:textId="77777777" w:rsidR="00B17B09" w:rsidRPr="0098047F" w:rsidRDefault="00B17B09" w:rsidP="00B17B09">
      <w:pPr>
        <w:rPr>
          <w:b/>
          <w:i/>
          <w:szCs w:val="24"/>
          <w:u w:val="single"/>
        </w:rPr>
      </w:pPr>
      <w:r w:rsidRPr="0098047F">
        <w:rPr>
          <w:b/>
          <w:i/>
          <w:szCs w:val="24"/>
          <w:u w:val="single"/>
        </w:rPr>
        <w:t>Maintenance therapy</w:t>
      </w:r>
    </w:p>
    <w:p w14:paraId="399B8E97" w14:textId="77777777" w:rsidR="00B17B09" w:rsidRPr="0098047F" w:rsidRDefault="00B17B09" w:rsidP="00B17B09">
      <w:pPr>
        <w:rPr>
          <w:szCs w:val="24"/>
        </w:rPr>
      </w:pPr>
    </w:p>
    <w:p w14:paraId="1FB9FD11" w14:textId="77777777" w:rsidR="00B17B09" w:rsidRPr="0098047F" w:rsidRDefault="00B17B09" w:rsidP="00B17B09">
      <w:pPr>
        <w:rPr>
          <w:szCs w:val="24"/>
        </w:rPr>
      </w:pPr>
      <w:r w:rsidRPr="0098047F">
        <w:rPr>
          <w:szCs w:val="24"/>
        </w:rPr>
        <w:t xml:space="preserve">Once an effective dose has been established during titration, patients should continue to take this dose as a single tablet of that given strength. </w:t>
      </w:r>
      <w:r w:rsidRPr="0098047F">
        <w:rPr>
          <w:bCs/>
          <w:szCs w:val="24"/>
        </w:rPr>
        <w:t xml:space="preserve">Breakthrough pain episodes may vary in intensity and the required </w:t>
      </w:r>
      <w:r w:rsidR="00DE564B" w:rsidRPr="0098047F">
        <w:rPr>
          <w:bCs/>
          <w:szCs w:val="24"/>
        </w:rPr>
        <w:t>F</w:t>
      </w:r>
      <w:r w:rsidR="001A3E3E" w:rsidRPr="0098047F">
        <w:rPr>
          <w:bCs/>
          <w:szCs w:val="24"/>
        </w:rPr>
        <w:t>ENTORA</w:t>
      </w:r>
      <w:r w:rsidRPr="0098047F">
        <w:rPr>
          <w:bCs/>
          <w:szCs w:val="24"/>
        </w:rPr>
        <w:t xml:space="preserve"> dose might increase over time due to progression of the underlying cancer disease. In these cases, a second tablet of the same strength may be used. If a second </w:t>
      </w:r>
      <w:r w:rsidRPr="0098047F">
        <w:rPr>
          <w:szCs w:val="24"/>
        </w:rPr>
        <w:t>tablet</w:t>
      </w:r>
      <w:r w:rsidRPr="0098047F">
        <w:rPr>
          <w:bCs/>
          <w:szCs w:val="24"/>
        </w:rPr>
        <w:t xml:space="preserve"> of </w:t>
      </w:r>
      <w:r w:rsidR="00DE564B" w:rsidRPr="0098047F">
        <w:rPr>
          <w:bCs/>
          <w:szCs w:val="24"/>
        </w:rPr>
        <w:t>F</w:t>
      </w:r>
      <w:r w:rsidR="001A3E3E" w:rsidRPr="0098047F">
        <w:rPr>
          <w:bCs/>
          <w:szCs w:val="24"/>
        </w:rPr>
        <w:t>ENTORA</w:t>
      </w:r>
      <w:r w:rsidRPr="0098047F">
        <w:rPr>
          <w:bCs/>
          <w:szCs w:val="24"/>
        </w:rPr>
        <w:t xml:space="preserve"> was required for several consecutive times, the usual maintenance dose is to be readjusted (see below).</w:t>
      </w:r>
    </w:p>
    <w:p w14:paraId="3D2E3038" w14:textId="464A025B" w:rsidR="00B17B09" w:rsidRPr="0098047F" w:rsidRDefault="00B17B09" w:rsidP="00B17B09">
      <w:pPr>
        <w:rPr>
          <w:szCs w:val="24"/>
        </w:rPr>
      </w:pPr>
      <w:r w:rsidRPr="0098047F">
        <w:rPr>
          <w:szCs w:val="24"/>
        </w:rPr>
        <w:t xml:space="preserve">Patients should wait at least 4 hours before treating another BTP episode with </w:t>
      </w:r>
      <w:r w:rsidR="00DE564B" w:rsidRPr="0098047F">
        <w:rPr>
          <w:szCs w:val="24"/>
        </w:rPr>
        <w:t>F</w:t>
      </w:r>
      <w:r w:rsidR="001A3E3E" w:rsidRPr="0098047F">
        <w:rPr>
          <w:szCs w:val="24"/>
        </w:rPr>
        <w:t>ENTORA</w:t>
      </w:r>
      <w:r w:rsidRPr="0098047F">
        <w:rPr>
          <w:szCs w:val="24"/>
        </w:rPr>
        <w:t xml:space="preserve"> during maintenance therapy.</w:t>
      </w:r>
      <w:r w:rsidR="000167D1">
        <w:rPr>
          <w:szCs w:val="24"/>
        </w:rPr>
        <w:t xml:space="preserve"> The frequency may be increased under clinical supervision.</w:t>
      </w:r>
    </w:p>
    <w:p w14:paraId="2FFCB347" w14:textId="77777777" w:rsidR="00B17B09" w:rsidRPr="0098047F" w:rsidRDefault="00B17B09" w:rsidP="00B17B09">
      <w:pPr>
        <w:rPr>
          <w:szCs w:val="24"/>
        </w:rPr>
      </w:pPr>
    </w:p>
    <w:p w14:paraId="0C7689F5" w14:textId="77777777" w:rsidR="00B17B09" w:rsidRPr="0098047F" w:rsidRDefault="00B17B09" w:rsidP="00B17B09">
      <w:pPr>
        <w:rPr>
          <w:b/>
          <w:i/>
          <w:szCs w:val="24"/>
          <w:u w:val="single"/>
        </w:rPr>
      </w:pPr>
      <w:r w:rsidRPr="0098047F">
        <w:rPr>
          <w:b/>
          <w:i/>
          <w:szCs w:val="24"/>
          <w:u w:val="single"/>
        </w:rPr>
        <w:t>Dose readjustment</w:t>
      </w:r>
    </w:p>
    <w:p w14:paraId="3A972358" w14:textId="77777777" w:rsidR="00B17B09" w:rsidRPr="0098047F" w:rsidRDefault="00B17B09" w:rsidP="00B17B09">
      <w:pPr>
        <w:rPr>
          <w:szCs w:val="24"/>
        </w:rPr>
      </w:pPr>
    </w:p>
    <w:p w14:paraId="5333A84E" w14:textId="77777777" w:rsidR="00B17B09" w:rsidRDefault="00B17B09" w:rsidP="00B17B09">
      <w:pPr>
        <w:rPr>
          <w:noProof/>
          <w:szCs w:val="24"/>
        </w:rPr>
      </w:pPr>
      <w:r w:rsidRPr="0098047F">
        <w:rPr>
          <w:szCs w:val="24"/>
        </w:rPr>
        <w:t xml:space="preserve">The maintenance dose of </w:t>
      </w:r>
      <w:r w:rsidR="00DE564B" w:rsidRPr="0098047F">
        <w:rPr>
          <w:szCs w:val="24"/>
        </w:rPr>
        <w:t>F</w:t>
      </w:r>
      <w:r w:rsidR="001A3E3E" w:rsidRPr="0098047F">
        <w:rPr>
          <w:szCs w:val="24"/>
        </w:rPr>
        <w:t>ENTORA</w:t>
      </w:r>
      <w:r w:rsidRPr="0098047F">
        <w:rPr>
          <w:szCs w:val="24"/>
        </w:rPr>
        <w:t xml:space="preserve"> should be increased when a patient requires more than one tablet</w:t>
      </w:r>
      <w:r w:rsidRPr="0098047F">
        <w:rPr>
          <w:b/>
          <w:szCs w:val="24"/>
        </w:rPr>
        <w:t xml:space="preserve"> </w:t>
      </w:r>
      <w:r w:rsidRPr="0098047F">
        <w:rPr>
          <w:szCs w:val="24"/>
        </w:rPr>
        <w:t xml:space="preserve">per BTP episode for several consecutive BTP episodes. </w:t>
      </w:r>
      <w:r w:rsidRPr="0098047F">
        <w:rPr>
          <w:noProof/>
          <w:szCs w:val="24"/>
        </w:rPr>
        <w:t xml:space="preserve">For dose-readjustment the same principles apply as outlined for </w:t>
      </w:r>
      <w:r w:rsidRPr="0098047F">
        <w:rPr>
          <w:i/>
          <w:noProof/>
          <w:szCs w:val="24"/>
        </w:rPr>
        <w:t xml:space="preserve">dose titration </w:t>
      </w:r>
      <w:r w:rsidRPr="0098047F">
        <w:rPr>
          <w:noProof/>
          <w:szCs w:val="24"/>
        </w:rPr>
        <w:t>(see above).</w:t>
      </w:r>
    </w:p>
    <w:p w14:paraId="7FCCA128" w14:textId="77777777" w:rsidR="00C54A63" w:rsidRPr="0098047F" w:rsidRDefault="00C54A63" w:rsidP="00B17B09">
      <w:pPr>
        <w:rPr>
          <w:szCs w:val="24"/>
        </w:rPr>
      </w:pPr>
    </w:p>
    <w:p w14:paraId="684F8027" w14:textId="77777777" w:rsidR="00B17B09" w:rsidRDefault="00B17B09" w:rsidP="00B17B09">
      <w:pPr>
        <w:rPr>
          <w:szCs w:val="24"/>
        </w:rPr>
      </w:pPr>
      <w:r w:rsidRPr="0098047F">
        <w:rPr>
          <w:szCs w:val="24"/>
        </w:rPr>
        <w:t xml:space="preserve">Dose readjustment of the background opioid therapy may be required if patients consistently present with more than four BTP episodes per 24 hours.  </w:t>
      </w:r>
      <w:r w:rsidR="007D61FC">
        <w:rPr>
          <w:szCs w:val="24"/>
        </w:rPr>
        <w:t>If the dose of background opio</w:t>
      </w:r>
      <w:r w:rsidR="00C54A63">
        <w:rPr>
          <w:szCs w:val="24"/>
        </w:rPr>
        <w:t>i</w:t>
      </w:r>
      <w:r w:rsidR="007D61FC">
        <w:rPr>
          <w:szCs w:val="24"/>
        </w:rPr>
        <w:t xml:space="preserve">d therapy is </w:t>
      </w:r>
      <w:r w:rsidR="00C54A63">
        <w:rPr>
          <w:szCs w:val="24"/>
        </w:rPr>
        <w:t>increased, the dose of FENTORA to treat BTP may need to be reviewed.</w:t>
      </w:r>
    </w:p>
    <w:p w14:paraId="4CF4457D" w14:textId="77777777" w:rsidR="00444B59" w:rsidRDefault="00444B59" w:rsidP="00B17B09">
      <w:pPr>
        <w:rPr>
          <w:szCs w:val="24"/>
        </w:rPr>
      </w:pPr>
    </w:p>
    <w:p w14:paraId="521AA6C6" w14:textId="77777777" w:rsidR="00444B59" w:rsidRPr="0098047F" w:rsidRDefault="00444B59" w:rsidP="00444B59">
      <w:pPr>
        <w:rPr>
          <w:szCs w:val="24"/>
        </w:rPr>
      </w:pPr>
      <w:r>
        <w:rPr>
          <w:szCs w:val="24"/>
        </w:rPr>
        <w:t>It is imperative that any dose re-titration of any analgesic is monitored by a health professional.</w:t>
      </w:r>
    </w:p>
    <w:p w14:paraId="637CD604" w14:textId="77777777" w:rsidR="00444B59" w:rsidRPr="0098047F" w:rsidRDefault="00444B59" w:rsidP="00B17B09">
      <w:pPr>
        <w:rPr>
          <w:szCs w:val="24"/>
        </w:rPr>
      </w:pPr>
    </w:p>
    <w:p w14:paraId="472B3A5C" w14:textId="77777777" w:rsidR="00B17B09" w:rsidRPr="0098047F" w:rsidRDefault="00B17B09" w:rsidP="00B17B09">
      <w:pPr>
        <w:rPr>
          <w:szCs w:val="24"/>
        </w:rPr>
      </w:pPr>
    </w:p>
    <w:p w14:paraId="606AAC45" w14:textId="77777777" w:rsidR="00B17B09" w:rsidRPr="0098047F" w:rsidRDefault="00B17B09" w:rsidP="00B17B09">
      <w:pPr>
        <w:rPr>
          <w:b/>
          <w:i/>
          <w:szCs w:val="24"/>
          <w:u w:val="single"/>
        </w:rPr>
      </w:pPr>
      <w:r w:rsidRPr="0098047F">
        <w:rPr>
          <w:b/>
          <w:i/>
          <w:szCs w:val="24"/>
          <w:u w:val="single"/>
        </w:rPr>
        <w:t>Discontinuation of therapy</w:t>
      </w:r>
    </w:p>
    <w:p w14:paraId="775FAC87" w14:textId="77777777" w:rsidR="00B17B09" w:rsidRPr="0098047F" w:rsidRDefault="00B17B09" w:rsidP="00B17B09">
      <w:pPr>
        <w:rPr>
          <w:szCs w:val="24"/>
        </w:rPr>
      </w:pPr>
    </w:p>
    <w:p w14:paraId="2C6AB29A" w14:textId="77777777" w:rsidR="003C5E84" w:rsidRDefault="00DE564B" w:rsidP="00B17B09">
      <w:pPr>
        <w:rPr>
          <w:szCs w:val="24"/>
        </w:rPr>
      </w:pPr>
      <w:r w:rsidRPr="0098047F">
        <w:rPr>
          <w:szCs w:val="24"/>
        </w:rPr>
        <w:t>F</w:t>
      </w:r>
      <w:r w:rsidR="001A3E3E" w:rsidRPr="0098047F">
        <w:rPr>
          <w:szCs w:val="24"/>
        </w:rPr>
        <w:t>ENTORA</w:t>
      </w:r>
      <w:r w:rsidR="0070500D">
        <w:rPr>
          <w:szCs w:val="24"/>
        </w:rPr>
        <w:t xml:space="preserve"> </w:t>
      </w:r>
      <w:r w:rsidR="00593BF6">
        <w:rPr>
          <w:szCs w:val="24"/>
        </w:rPr>
        <w:t>t</w:t>
      </w:r>
      <w:r w:rsidR="003C5E84">
        <w:rPr>
          <w:szCs w:val="24"/>
        </w:rPr>
        <w:t>herapy may usually be immediately discontinued if no longer required for BTP only, in patients who continue to take their chronic opioid therapy for persistent pain.</w:t>
      </w:r>
    </w:p>
    <w:p w14:paraId="145285A8" w14:textId="77777777" w:rsidR="003C5E84" w:rsidRDefault="003C5E84" w:rsidP="00B17B09">
      <w:pPr>
        <w:rPr>
          <w:szCs w:val="24"/>
        </w:rPr>
      </w:pPr>
    </w:p>
    <w:p w14:paraId="3CDE2AFD" w14:textId="77777777" w:rsidR="00B17B09" w:rsidRDefault="003C5E84" w:rsidP="00B17B09">
      <w:pPr>
        <w:rPr>
          <w:szCs w:val="24"/>
        </w:rPr>
      </w:pPr>
      <w:r>
        <w:rPr>
          <w:szCs w:val="24"/>
        </w:rPr>
        <w:t>For patients requiring discontinuation of all opioid therapy, account should be taken of the FENTORA dose in consideration of a gradual downward opioid titration to avoid the possibility of abrupt withdrawal effects.</w:t>
      </w:r>
    </w:p>
    <w:p w14:paraId="32240527" w14:textId="77777777" w:rsidR="00A91E55" w:rsidRDefault="00A91E55" w:rsidP="00B17B09">
      <w:pPr>
        <w:rPr>
          <w:szCs w:val="24"/>
        </w:rPr>
      </w:pPr>
    </w:p>
    <w:p w14:paraId="2AE66975" w14:textId="77777777" w:rsidR="00B17B09" w:rsidRPr="0098047F" w:rsidRDefault="00B17B09" w:rsidP="00B17B09">
      <w:pPr>
        <w:tabs>
          <w:tab w:val="left" w:pos="0"/>
        </w:tabs>
        <w:rPr>
          <w:szCs w:val="24"/>
        </w:rPr>
      </w:pPr>
    </w:p>
    <w:p w14:paraId="6468817F" w14:textId="77777777" w:rsidR="00B17B09" w:rsidRPr="0098047F" w:rsidRDefault="00B17B09" w:rsidP="00B17B09">
      <w:pPr>
        <w:rPr>
          <w:b/>
          <w:i/>
          <w:szCs w:val="24"/>
          <w:u w:val="single"/>
        </w:rPr>
      </w:pPr>
      <w:r w:rsidRPr="0098047F">
        <w:rPr>
          <w:b/>
          <w:i/>
          <w:szCs w:val="24"/>
          <w:u w:val="single"/>
        </w:rPr>
        <w:t>Patients with xerostomia:</w:t>
      </w:r>
    </w:p>
    <w:p w14:paraId="183CD6BB" w14:textId="77777777" w:rsidR="00B17B09" w:rsidRPr="0098047F" w:rsidRDefault="00B17B09" w:rsidP="00B17B09">
      <w:pPr>
        <w:rPr>
          <w:szCs w:val="24"/>
        </w:rPr>
      </w:pPr>
    </w:p>
    <w:p w14:paraId="7106857E" w14:textId="77777777" w:rsidR="00B17B09" w:rsidRPr="0098047F" w:rsidRDefault="00B17B09" w:rsidP="00B17B09">
      <w:pPr>
        <w:tabs>
          <w:tab w:val="left" w:pos="0"/>
        </w:tabs>
        <w:rPr>
          <w:szCs w:val="24"/>
        </w:rPr>
      </w:pPr>
      <w:r w:rsidRPr="0098047F">
        <w:rPr>
          <w:szCs w:val="24"/>
        </w:rPr>
        <w:t>Patients experiencing xerostomia are advised to drink water to moisten the buccal cavity prior to administration of</w:t>
      </w:r>
      <w:r w:rsidR="00343455" w:rsidRPr="0098047F">
        <w:rPr>
          <w:szCs w:val="24"/>
        </w:rPr>
        <w:t xml:space="preserve"> F</w:t>
      </w:r>
      <w:r w:rsidR="001A3E3E" w:rsidRPr="0098047F">
        <w:rPr>
          <w:szCs w:val="24"/>
        </w:rPr>
        <w:t>ENTORA</w:t>
      </w:r>
      <w:r w:rsidRPr="0098047F">
        <w:rPr>
          <w:szCs w:val="24"/>
        </w:rPr>
        <w:t>.  If this recommendation does not result in an appropriate effervescence, then a switch of therapy may be advised.</w:t>
      </w:r>
    </w:p>
    <w:p w14:paraId="223C3081" w14:textId="77777777" w:rsidR="00B17B09" w:rsidRPr="0098047F" w:rsidRDefault="00B17B09" w:rsidP="00B17B09">
      <w:pPr>
        <w:tabs>
          <w:tab w:val="left" w:pos="0"/>
        </w:tabs>
        <w:rPr>
          <w:szCs w:val="24"/>
        </w:rPr>
      </w:pPr>
    </w:p>
    <w:p w14:paraId="7A1D96E8" w14:textId="77777777" w:rsidR="00B17B09" w:rsidRPr="0098047F" w:rsidRDefault="00B17B09" w:rsidP="00B17B09">
      <w:pPr>
        <w:rPr>
          <w:b/>
          <w:i/>
          <w:szCs w:val="24"/>
          <w:u w:val="single"/>
        </w:rPr>
      </w:pPr>
      <w:r w:rsidRPr="0098047F">
        <w:rPr>
          <w:b/>
          <w:i/>
          <w:szCs w:val="24"/>
          <w:u w:val="single"/>
        </w:rPr>
        <w:t>Method of administration:</w:t>
      </w:r>
    </w:p>
    <w:p w14:paraId="5C333E83" w14:textId="77777777" w:rsidR="00B17B09" w:rsidRPr="0098047F" w:rsidRDefault="00B17B09" w:rsidP="00B17B09">
      <w:pPr>
        <w:rPr>
          <w:szCs w:val="24"/>
        </w:rPr>
      </w:pPr>
    </w:p>
    <w:p w14:paraId="34F207B9" w14:textId="77777777" w:rsidR="00B17B09" w:rsidRPr="0098047F" w:rsidRDefault="00DE564B" w:rsidP="00B17B09">
      <w:pPr>
        <w:rPr>
          <w:szCs w:val="24"/>
        </w:rPr>
      </w:pPr>
      <w:r w:rsidRPr="0098047F">
        <w:rPr>
          <w:szCs w:val="24"/>
        </w:rPr>
        <w:t>F</w:t>
      </w:r>
      <w:r w:rsidR="001A3E3E" w:rsidRPr="0098047F">
        <w:rPr>
          <w:szCs w:val="24"/>
        </w:rPr>
        <w:t>ENTORA</w:t>
      </w:r>
      <w:r w:rsidR="00B17B09" w:rsidRPr="0098047F">
        <w:rPr>
          <w:szCs w:val="24"/>
        </w:rPr>
        <w:t xml:space="preserve"> tablet once exposed to moisture utilises an effervescent reaction to deliver the active substance. Therefore patients should be instructed not to open the blister until ready to place the tablet in the buccal cavity.</w:t>
      </w:r>
    </w:p>
    <w:p w14:paraId="441F1FC5" w14:textId="77777777" w:rsidR="00B17B09" w:rsidRPr="0098047F" w:rsidRDefault="00B17B09" w:rsidP="00B17B09">
      <w:pPr>
        <w:rPr>
          <w:szCs w:val="24"/>
        </w:rPr>
      </w:pPr>
    </w:p>
    <w:p w14:paraId="7912A10E" w14:textId="77777777" w:rsidR="00B17B09" w:rsidRPr="0098047F" w:rsidRDefault="00B17B09" w:rsidP="00B17B09">
      <w:pPr>
        <w:rPr>
          <w:i/>
          <w:szCs w:val="24"/>
        </w:rPr>
      </w:pPr>
      <w:r w:rsidRPr="0098047F">
        <w:rPr>
          <w:i/>
          <w:szCs w:val="24"/>
        </w:rPr>
        <w:t>Opening the blister package</w:t>
      </w:r>
    </w:p>
    <w:p w14:paraId="5AB983C8" w14:textId="77777777" w:rsidR="00B17B09" w:rsidRPr="0098047F" w:rsidRDefault="00B17B09" w:rsidP="00B17B09">
      <w:pPr>
        <w:rPr>
          <w:szCs w:val="24"/>
        </w:rPr>
      </w:pPr>
      <w:r w:rsidRPr="0098047F">
        <w:rPr>
          <w:szCs w:val="24"/>
        </w:rPr>
        <w:t xml:space="preserve">Patients should be instructed NOT to attempt to push the tablet through the blister because this could damage the </w:t>
      </w:r>
      <w:r w:rsidR="00D14AF4">
        <w:rPr>
          <w:szCs w:val="24"/>
        </w:rPr>
        <w:t>orally disintegrating</w:t>
      </w:r>
      <w:r w:rsidRPr="0098047F">
        <w:rPr>
          <w:szCs w:val="24"/>
        </w:rPr>
        <w:t xml:space="preserve"> tablet.  The correct method of releasing the tablet from the blister is:</w:t>
      </w:r>
    </w:p>
    <w:p w14:paraId="1A016680" w14:textId="77777777" w:rsidR="00B17B09" w:rsidRPr="0098047F" w:rsidRDefault="00B17B09" w:rsidP="00B17B09">
      <w:pPr>
        <w:rPr>
          <w:szCs w:val="24"/>
        </w:rPr>
      </w:pPr>
      <w:r w:rsidRPr="0098047F">
        <w:rPr>
          <w:szCs w:val="24"/>
        </w:rPr>
        <w:t>One of the blister units should be separated from the blister card by tearing it apart at the perforations. The blister unit should then be flexed along the line printed on the backing foil where indicated.  The backing foil should be peeled back to expose the tablet.</w:t>
      </w:r>
    </w:p>
    <w:p w14:paraId="42C603FB" w14:textId="77777777" w:rsidR="00B17B09" w:rsidRPr="0098047F" w:rsidRDefault="00B17B09" w:rsidP="00B17B09">
      <w:pPr>
        <w:rPr>
          <w:szCs w:val="24"/>
        </w:rPr>
      </w:pPr>
      <w:r w:rsidRPr="0098047F">
        <w:rPr>
          <w:szCs w:val="24"/>
        </w:rPr>
        <w:t>Patients should be instructed not to attempt to crush or split the tablet.</w:t>
      </w:r>
    </w:p>
    <w:p w14:paraId="419398F6" w14:textId="77777777" w:rsidR="00B17B09" w:rsidRPr="0098047F" w:rsidRDefault="00B17B09" w:rsidP="00B17B09">
      <w:pPr>
        <w:tabs>
          <w:tab w:val="num" w:pos="1843"/>
        </w:tabs>
        <w:rPr>
          <w:szCs w:val="24"/>
        </w:rPr>
      </w:pPr>
    </w:p>
    <w:p w14:paraId="565FFAF8" w14:textId="77777777" w:rsidR="00B17B09" w:rsidRPr="0098047F" w:rsidRDefault="00B17B09" w:rsidP="00B17B09">
      <w:pPr>
        <w:tabs>
          <w:tab w:val="num" w:pos="1843"/>
        </w:tabs>
        <w:rPr>
          <w:szCs w:val="24"/>
        </w:rPr>
      </w:pPr>
      <w:r w:rsidRPr="0098047F">
        <w:rPr>
          <w:szCs w:val="24"/>
        </w:rPr>
        <w:t>The tablet should not be stored once removed from the blister package as the tablet integrity can not be guaranteed and a risk of accidental exposure to a tablet can occur.</w:t>
      </w:r>
    </w:p>
    <w:p w14:paraId="3B2BE19F" w14:textId="77777777" w:rsidR="00B17B09" w:rsidRPr="0098047F" w:rsidRDefault="00B17B09" w:rsidP="00B17B09">
      <w:pPr>
        <w:rPr>
          <w:szCs w:val="24"/>
        </w:rPr>
      </w:pPr>
    </w:p>
    <w:p w14:paraId="1D7B6F53" w14:textId="77777777" w:rsidR="00B17B09" w:rsidRPr="0098047F" w:rsidRDefault="00B17B09" w:rsidP="00B17B09">
      <w:pPr>
        <w:rPr>
          <w:i/>
          <w:szCs w:val="24"/>
        </w:rPr>
      </w:pPr>
      <w:r w:rsidRPr="0098047F">
        <w:rPr>
          <w:i/>
          <w:szCs w:val="24"/>
        </w:rPr>
        <w:t>Tablet administration</w:t>
      </w:r>
    </w:p>
    <w:p w14:paraId="236A7F79" w14:textId="77777777" w:rsidR="00B17B09" w:rsidRPr="0098047F" w:rsidRDefault="00B17B09" w:rsidP="00B17B09">
      <w:pPr>
        <w:rPr>
          <w:szCs w:val="24"/>
        </w:rPr>
      </w:pPr>
      <w:r w:rsidRPr="0098047F">
        <w:rPr>
          <w:szCs w:val="24"/>
        </w:rPr>
        <w:t xml:space="preserve">Patients should remove the tablet from the blister unit and immediately place the entire </w:t>
      </w:r>
      <w:r w:rsidR="00343455" w:rsidRPr="0098047F">
        <w:rPr>
          <w:szCs w:val="24"/>
        </w:rPr>
        <w:t>F</w:t>
      </w:r>
      <w:r w:rsidR="001A3E3E" w:rsidRPr="0098047F">
        <w:rPr>
          <w:szCs w:val="24"/>
        </w:rPr>
        <w:t xml:space="preserve">ENTORA </w:t>
      </w:r>
      <w:r w:rsidRPr="0098047F">
        <w:rPr>
          <w:szCs w:val="24"/>
        </w:rPr>
        <w:t xml:space="preserve">tablet in the buccal cavity (near a molar between the cheek and gum).  </w:t>
      </w:r>
      <w:r w:rsidR="009626FA">
        <w:rPr>
          <w:szCs w:val="24"/>
        </w:rPr>
        <w:t>Alternatively, the tablet could be placed sublingually</w:t>
      </w:r>
      <w:r w:rsidR="00976A0E">
        <w:rPr>
          <w:szCs w:val="24"/>
        </w:rPr>
        <w:t xml:space="preserve"> (under the tongue at the deepest part)</w:t>
      </w:r>
      <w:r w:rsidR="009626FA">
        <w:rPr>
          <w:szCs w:val="24"/>
        </w:rPr>
        <w:t xml:space="preserve"> </w:t>
      </w:r>
      <w:r w:rsidR="009626FA" w:rsidRPr="0098047F">
        <w:rPr>
          <w:noProof/>
          <w:szCs w:val="24"/>
        </w:rPr>
        <w:t>(see Pharmacokinetics properties)</w:t>
      </w:r>
      <w:r w:rsidR="009626FA">
        <w:rPr>
          <w:noProof/>
          <w:szCs w:val="24"/>
        </w:rPr>
        <w:t>.</w:t>
      </w:r>
    </w:p>
    <w:p w14:paraId="47A900E6" w14:textId="77777777" w:rsidR="00B17B09" w:rsidRPr="0098047F" w:rsidRDefault="00B17B09" w:rsidP="00B17B09">
      <w:pPr>
        <w:rPr>
          <w:szCs w:val="24"/>
        </w:rPr>
      </w:pPr>
    </w:p>
    <w:p w14:paraId="39945D62" w14:textId="77777777" w:rsidR="00B17B09" w:rsidRPr="0098047F" w:rsidRDefault="00B17B09" w:rsidP="00B17B09">
      <w:pPr>
        <w:rPr>
          <w:szCs w:val="24"/>
        </w:rPr>
      </w:pPr>
      <w:r w:rsidRPr="0098047F">
        <w:rPr>
          <w:szCs w:val="24"/>
        </w:rPr>
        <w:t xml:space="preserve">The </w:t>
      </w:r>
      <w:r w:rsidR="00DE564B" w:rsidRPr="0098047F">
        <w:rPr>
          <w:szCs w:val="24"/>
        </w:rPr>
        <w:t>F</w:t>
      </w:r>
      <w:r w:rsidR="001A3E3E" w:rsidRPr="0098047F">
        <w:rPr>
          <w:szCs w:val="24"/>
        </w:rPr>
        <w:t>ENTORA</w:t>
      </w:r>
      <w:r w:rsidRPr="0098047F">
        <w:rPr>
          <w:szCs w:val="24"/>
        </w:rPr>
        <w:t xml:space="preserve"> tablet should not be sucked, chewed or swallowed, as this will result in lower plasma concentrations than when taken as directed. </w:t>
      </w:r>
    </w:p>
    <w:p w14:paraId="0BCF4CAD" w14:textId="77777777" w:rsidR="00B17B09" w:rsidRPr="0098047F" w:rsidRDefault="00B17B09" w:rsidP="00B17B09">
      <w:pPr>
        <w:rPr>
          <w:szCs w:val="24"/>
        </w:rPr>
      </w:pPr>
    </w:p>
    <w:p w14:paraId="2ABD34AF" w14:textId="77777777" w:rsidR="00B17B09" w:rsidRPr="0098047F" w:rsidRDefault="00DE564B" w:rsidP="00B17B09">
      <w:pPr>
        <w:rPr>
          <w:szCs w:val="24"/>
        </w:rPr>
      </w:pPr>
      <w:r w:rsidRPr="0098047F">
        <w:rPr>
          <w:szCs w:val="24"/>
        </w:rPr>
        <w:t>F</w:t>
      </w:r>
      <w:r w:rsidR="001A3E3E" w:rsidRPr="0098047F">
        <w:rPr>
          <w:szCs w:val="24"/>
        </w:rPr>
        <w:t>ENTORA</w:t>
      </w:r>
      <w:r w:rsidR="00B17B09" w:rsidRPr="0098047F">
        <w:rPr>
          <w:szCs w:val="24"/>
        </w:rPr>
        <w:t xml:space="preserve"> should be placed and retained within the buccal cavity</w:t>
      </w:r>
      <w:r w:rsidR="00976A0E">
        <w:rPr>
          <w:szCs w:val="24"/>
        </w:rPr>
        <w:t xml:space="preserve"> or sublingual cavity</w:t>
      </w:r>
      <w:r w:rsidR="00B17B09" w:rsidRPr="0098047F">
        <w:rPr>
          <w:szCs w:val="24"/>
        </w:rPr>
        <w:t xml:space="preserve"> for a period sufficient to allow disintegration of the tablet which usually takes approximately 14-25 minutes.</w:t>
      </w:r>
    </w:p>
    <w:p w14:paraId="379ADB04" w14:textId="77777777" w:rsidR="00B17B09" w:rsidRPr="0098047F" w:rsidRDefault="00B17B09" w:rsidP="00B17B09">
      <w:pPr>
        <w:rPr>
          <w:noProof/>
          <w:szCs w:val="24"/>
        </w:rPr>
      </w:pPr>
    </w:p>
    <w:p w14:paraId="4AD10032" w14:textId="77777777" w:rsidR="00B17B09" w:rsidRPr="0098047F" w:rsidRDefault="00B17B09" w:rsidP="00B17B09">
      <w:pPr>
        <w:rPr>
          <w:szCs w:val="24"/>
        </w:rPr>
      </w:pPr>
      <w:r w:rsidRPr="0098047F">
        <w:rPr>
          <w:szCs w:val="24"/>
        </w:rPr>
        <w:t xml:space="preserve">After 30 minutes, if remnants from the </w:t>
      </w:r>
      <w:r w:rsidR="0080786E" w:rsidRPr="0098047F">
        <w:rPr>
          <w:szCs w:val="24"/>
        </w:rPr>
        <w:t>F</w:t>
      </w:r>
      <w:r w:rsidR="001A3E3E" w:rsidRPr="0098047F">
        <w:rPr>
          <w:szCs w:val="24"/>
        </w:rPr>
        <w:t>ENTORA</w:t>
      </w:r>
      <w:r w:rsidRPr="0098047F">
        <w:rPr>
          <w:szCs w:val="24"/>
        </w:rPr>
        <w:t xml:space="preserve"> tablet remain, they may be swallowed with a glass of water.</w:t>
      </w:r>
    </w:p>
    <w:p w14:paraId="4F014C8A" w14:textId="77777777" w:rsidR="00B17B09" w:rsidRPr="0098047F" w:rsidRDefault="00B17B09" w:rsidP="00B17B09">
      <w:pPr>
        <w:rPr>
          <w:szCs w:val="24"/>
        </w:rPr>
      </w:pPr>
    </w:p>
    <w:p w14:paraId="7FE223D2" w14:textId="77777777" w:rsidR="00B17B09" w:rsidRPr="0098047F" w:rsidRDefault="00B17B09" w:rsidP="00B17B09">
      <w:pPr>
        <w:rPr>
          <w:szCs w:val="24"/>
        </w:rPr>
      </w:pPr>
      <w:r w:rsidRPr="0098047F">
        <w:rPr>
          <w:szCs w:val="24"/>
        </w:rPr>
        <w:t>The length of time that the tablet takes to fully disintegrate following oromucosal administration does not appear to affect early systemic exposure to fentanyl.</w:t>
      </w:r>
    </w:p>
    <w:p w14:paraId="21851964" w14:textId="77777777" w:rsidR="00B17B09" w:rsidRPr="0098047F" w:rsidRDefault="00B17B09" w:rsidP="00B17B09">
      <w:pPr>
        <w:rPr>
          <w:szCs w:val="24"/>
        </w:rPr>
      </w:pPr>
    </w:p>
    <w:p w14:paraId="0A2BCC9A" w14:textId="77777777" w:rsidR="00B17B09" w:rsidRPr="0098047F" w:rsidRDefault="00B17B09" w:rsidP="00B17B09">
      <w:pPr>
        <w:tabs>
          <w:tab w:val="left" w:pos="0"/>
        </w:tabs>
        <w:rPr>
          <w:szCs w:val="24"/>
        </w:rPr>
      </w:pPr>
      <w:r w:rsidRPr="0098047F">
        <w:rPr>
          <w:szCs w:val="24"/>
        </w:rPr>
        <w:t>Patients should not consume any food and drink when a tablet is in the buccal cavity.</w:t>
      </w:r>
    </w:p>
    <w:p w14:paraId="4D54D70F" w14:textId="77777777" w:rsidR="00B17B09" w:rsidRPr="0098047F" w:rsidRDefault="00B17B09" w:rsidP="00B17B09">
      <w:pPr>
        <w:rPr>
          <w:noProof/>
          <w:szCs w:val="24"/>
        </w:rPr>
      </w:pPr>
      <w:r w:rsidRPr="0098047F">
        <w:rPr>
          <w:noProof/>
          <w:szCs w:val="24"/>
        </w:rPr>
        <w:t>In case of buccal mucosa irritation, a change in tablet placement within the buccal cavity should be recommended.</w:t>
      </w:r>
    </w:p>
    <w:p w14:paraId="4ACB2D3F" w14:textId="77777777" w:rsidR="0029051D" w:rsidRPr="0098047F" w:rsidRDefault="0029051D">
      <w:pPr>
        <w:rPr>
          <w:rFonts w:eastAsia="Times New Roman"/>
          <w:szCs w:val="24"/>
        </w:rPr>
      </w:pPr>
    </w:p>
    <w:p w14:paraId="6F9398B5" w14:textId="77777777" w:rsidR="0029051D" w:rsidRPr="0098047F" w:rsidRDefault="0029051D">
      <w:pPr>
        <w:pStyle w:val="Heading8"/>
        <w:rPr>
          <w:rFonts w:ascii="Times" w:hAnsi="Times"/>
          <w:b/>
          <w:szCs w:val="24"/>
        </w:rPr>
      </w:pPr>
      <w:r w:rsidRPr="0098047F">
        <w:rPr>
          <w:rFonts w:ascii="Times" w:hAnsi="Times"/>
          <w:b/>
          <w:szCs w:val="24"/>
        </w:rPr>
        <w:t>Instructions for use, handling and disposal</w:t>
      </w:r>
    </w:p>
    <w:p w14:paraId="0C565B42" w14:textId="77777777" w:rsidR="0029051D" w:rsidRPr="0098047F" w:rsidRDefault="0029051D">
      <w:pPr>
        <w:rPr>
          <w:rFonts w:eastAsia="Times New Roman"/>
          <w:color w:val="FF0000"/>
          <w:szCs w:val="24"/>
        </w:rPr>
      </w:pPr>
    </w:p>
    <w:p w14:paraId="67F79E0F" w14:textId="77777777" w:rsidR="003D026E" w:rsidRPr="0098047F" w:rsidRDefault="003D026E" w:rsidP="003D026E">
      <w:pPr>
        <w:tabs>
          <w:tab w:val="num" w:pos="1843"/>
        </w:tabs>
        <w:rPr>
          <w:szCs w:val="24"/>
        </w:rPr>
      </w:pPr>
      <w:r w:rsidRPr="0098047F">
        <w:rPr>
          <w:szCs w:val="24"/>
        </w:rPr>
        <w:t xml:space="preserve">Patients and their carers must be instructed that </w:t>
      </w:r>
      <w:r w:rsidR="00343455" w:rsidRPr="0098047F">
        <w:rPr>
          <w:szCs w:val="24"/>
        </w:rPr>
        <w:t>F</w:t>
      </w:r>
      <w:r w:rsidR="001A3E3E" w:rsidRPr="0098047F">
        <w:rPr>
          <w:szCs w:val="24"/>
        </w:rPr>
        <w:t xml:space="preserve">ENTORA </w:t>
      </w:r>
      <w:r w:rsidRPr="0098047F">
        <w:rPr>
          <w:szCs w:val="24"/>
        </w:rPr>
        <w:t xml:space="preserve">contains an active substance in an amount that can be fatal, especially to a child. Therefore they must keep all tablets out of the reach </w:t>
      </w:r>
      <w:r w:rsidRPr="0098047F">
        <w:rPr>
          <w:bCs/>
          <w:szCs w:val="24"/>
        </w:rPr>
        <w:t>and sight</w:t>
      </w:r>
      <w:r w:rsidRPr="0098047F">
        <w:rPr>
          <w:b/>
          <w:bCs/>
          <w:szCs w:val="24"/>
        </w:rPr>
        <w:t xml:space="preserve"> </w:t>
      </w:r>
      <w:r w:rsidRPr="0098047F">
        <w:rPr>
          <w:szCs w:val="24"/>
        </w:rPr>
        <w:t>of children.</w:t>
      </w:r>
    </w:p>
    <w:p w14:paraId="02E78E34" w14:textId="77777777" w:rsidR="0029051D" w:rsidRPr="0098047F" w:rsidRDefault="0029051D">
      <w:pPr>
        <w:rPr>
          <w:szCs w:val="24"/>
        </w:rPr>
      </w:pPr>
    </w:p>
    <w:p w14:paraId="08470529" w14:textId="77777777" w:rsidR="00A804E9" w:rsidRPr="0098047F" w:rsidRDefault="00A804E9" w:rsidP="00A804E9">
      <w:pPr>
        <w:tabs>
          <w:tab w:val="num" w:pos="1843"/>
        </w:tabs>
        <w:rPr>
          <w:szCs w:val="24"/>
        </w:rPr>
      </w:pPr>
      <w:r w:rsidRPr="0098047F">
        <w:rPr>
          <w:szCs w:val="24"/>
        </w:rPr>
        <w:t>Patients and carers must be advised to dispose of any unopened tablets remaining from a prescription as soon as they are no longer needed.</w:t>
      </w:r>
    </w:p>
    <w:p w14:paraId="279DA614" w14:textId="77777777" w:rsidR="00A804E9" w:rsidRPr="0098047F" w:rsidRDefault="00A804E9" w:rsidP="00A804E9">
      <w:pPr>
        <w:tabs>
          <w:tab w:val="num" w:pos="1843"/>
        </w:tabs>
        <w:rPr>
          <w:szCs w:val="24"/>
        </w:rPr>
      </w:pPr>
    </w:p>
    <w:p w14:paraId="65F90FDE" w14:textId="5CCAD2D4" w:rsidR="00A804E9" w:rsidRPr="0098047F" w:rsidRDefault="00A804E9" w:rsidP="00A804E9">
      <w:pPr>
        <w:rPr>
          <w:szCs w:val="24"/>
        </w:rPr>
      </w:pPr>
      <w:r w:rsidRPr="0098047F">
        <w:rPr>
          <w:szCs w:val="24"/>
        </w:rPr>
        <w:t xml:space="preserve">Any used or unused but no longer required product or waste material </w:t>
      </w:r>
      <w:r w:rsidR="001553E4" w:rsidRPr="006E0EE1">
        <w:rPr>
          <w:szCs w:val="24"/>
        </w:rPr>
        <w:t>should be returned to a pharmacy for safe disposal.  Medicines should not be disposed of via wastewater or household waste</w:t>
      </w:r>
      <w:r w:rsidRPr="0098047F">
        <w:rPr>
          <w:szCs w:val="24"/>
        </w:rPr>
        <w:t>.</w:t>
      </w:r>
    </w:p>
    <w:p w14:paraId="1EE29499" w14:textId="77777777" w:rsidR="00D535E7" w:rsidRPr="0098047F" w:rsidRDefault="00D535E7">
      <w:pPr>
        <w:rPr>
          <w:szCs w:val="24"/>
        </w:rPr>
      </w:pPr>
    </w:p>
    <w:p w14:paraId="756B84C0" w14:textId="77777777" w:rsidR="0029051D" w:rsidRPr="0098047F" w:rsidRDefault="0029051D">
      <w:pPr>
        <w:pStyle w:val="Heading5"/>
        <w:rPr>
          <w:rFonts w:eastAsia="Times"/>
          <w:sz w:val="24"/>
          <w:szCs w:val="24"/>
        </w:rPr>
      </w:pPr>
      <w:r w:rsidRPr="0098047F">
        <w:rPr>
          <w:rFonts w:eastAsia="Times"/>
          <w:sz w:val="24"/>
          <w:szCs w:val="24"/>
        </w:rPr>
        <w:t>OVERDOSAGE</w:t>
      </w:r>
    </w:p>
    <w:p w14:paraId="38D0AB6B" w14:textId="77777777" w:rsidR="0029051D" w:rsidRPr="0098047F" w:rsidRDefault="0029051D">
      <w:pPr>
        <w:rPr>
          <w:b/>
          <w:szCs w:val="24"/>
        </w:rPr>
      </w:pPr>
    </w:p>
    <w:p w14:paraId="384CF07A" w14:textId="77777777" w:rsidR="00A53991" w:rsidRPr="0098047F" w:rsidRDefault="00A53991">
      <w:pPr>
        <w:rPr>
          <w:szCs w:val="24"/>
        </w:rPr>
      </w:pPr>
      <w:r w:rsidRPr="0098047F">
        <w:rPr>
          <w:szCs w:val="24"/>
        </w:rPr>
        <w:t>For information on the management of overdose, contact the Poison Information Centre on 131126 (Australia).</w:t>
      </w:r>
    </w:p>
    <w:p w14:paraId="7AB25288" w14:textId="77777777" w:rsidR="00A53991" w:rsidRPr="0098047F" w:rsidRDefault="00A53991">
      <w:pPr>
        <w:rPr>
          <w:b/>
          <w:szCs w:val="24"/>
        </w:rPr>
      </w:pPr>
    </w:p>
    <w:p w14:paraId="26151FEC" w14:textId="77777777" w:rsidR="00A53991" w:rsidRPr="0098047F" w:rsidRDefault="00A53991" w:rsidP="00B17B09">
      <w:pPr>
        <w:rPr>
          <w:b/>
          <w:szCs w:val="24"/>
          <w:u w:val="single"/>
        </w:rPr>
      </w:pPr>
      <w:r w:rsidRPr="0098047F">
        <w:rPr>
          <w:b/>
          <w:szCs w:val="24"/>
          <w:u w:val="single"/>
        </w:rPr>
        <w:t>Acute Toxicity and Symptoms</w:t>
      </w:r>
    </w:p>
    <w:p w14:paraId="13766599" w14:textId="77777777" w:rsidR="00B17B09" w:rsidRPr="0098047F" w:rsidRDefault="00B17B09" w:rsidP="00B17B09">
      <w:pPr>
        <w:rPr>
          <w:szCs w:val="24"/>
        </w:rPr>
      </w:pPr>
      <w:r w:rsidRPr="0098047F">
        <w:rPr>
          <w:szCs w:val="24"/>
        </w:rPr>
        <w:t>The symptoms of fentanyl overdose are expected to be similar in nature to those of intravenous fentanyl and other opioids, and are an extension of its pharmacological actions, with the most serious significant effects being altered mental status, loss of consciousness, hypotension, respiratory depression, respiratory distress, and respiratory failure, which have resulted in death.</w:t>
      </w:r>
    </w:p>
    <w:p w14:paraId="40244F49" w14:textId="77777777" w:rsidR="00B17B09" w:rsidRPr="0098047F" w:rsidRDefault="00B17B09" w:rsidP="00B17B09">
      <w:pPr>
        <w:rPr>
          <w:b/>
          <w:szCs w:val="24"/>
        </w:rPr>
      </w:pPr>
    </w:p>
    <w:p w14:paraId="4C027FE8" w14:textId="77777777" w:rsidR="00A53991" w:rsidRPr="0098047F" w:rsidRDefault="00A53991" w:rsidP="00B17B09">
      <w:pPr>
        <w:rPr>
          <w:b/>
          <w:szCs w:val="24"/>
          <w:u w:val="single"/>
        </w:rPr>
      </w:pPr>
      <w:r w:rsidRPr="0098047F">
        <w:rPr>
          <w:b/>
          <w:szCs w:val="24"/>
          <w:u w:val="single"/>
        </w:rPr>
        <w:t>Management and Treatment</w:t>
      </w:r>
    </w:p>
    <w:p w14:paraId="16F1BFB3" w14:textId="77777777" w:rsidR="00B17B09" w:rsidRPr="0098047F" w:rsidRDefault="00B17B09" w:rsidP="00B17B09">
      <w:pPr>
        <w:rPr>
          <w:szCs w:val="24"/>
        </w:rPr>
      </w:pPr>
      <w:r w:rsidRPr="0098047F">
        <w:rPr>
          <w:szCs w:val="24"/>
        </w:rPr>
        <w:t xml:space="preserve">Immediate management of opioid overdose includes removal of the </w:t>
      </w:r>
      <w:r w:rsidR="0080786E" w:rsidRPr="0098047F">
        <w:rPr>
          <w:szCs w:val="24"/>
        </w:rPr>
        <w:t>F</w:t>
      </w:r>
      <w:r w:rsidR="001A3E3E" w:rsidRPr="0098047F">
        <w:rPr>
          <w:szCs w:val="24"/>
        </w:rPr>
        <w:t>ENTORA</w:t>
      </w:r>
      <w:r w:rsidRPr="0098047F">
        <w:rPr>
          <w:szCs w:val="24"/>
        </w:rPr>
        <w:t xml:space="preserve"> </w:t>
      </w:r>
      <w:r w:rsidR="00D14AF4">
        <w:rPr>
          <w:szCs w:val="24"/>
        </w:rPr>
        <w:t>orally disintegrating</w:t>
      </w:r>
      <w:r w:rsidRPr="0098047F">
        <w:rPr>
          <w:szCs w:val="24"/>
        </w:rPr>
        <w:t xml:space="preserve"> tablet, if still in the mouth, ensuring a patent airway, physical and verbal stimulation of the patient, assessment of the level of consciousness, ventilatory and circulatory status, and assisted ventilation (ventilatory support) if necessary.</w:t>
      </w:r>
    </w:p>
    <w:p w14:paraId="5353F664" w14:textId="77777777" w:rsidR="00B17B09" w:rsidRPr="0098047F" w:rsidRDefault="00B17B09" w:rsidP="00B17B09">
      <w:pPr>
        <w:rPr>
          <w:b/>
          <w:szCs w:val="24"/>
        </w:rPr>
      </w:pPr>
    </w:p>
    <w:p w14:paraId="5720354A" w14:textId="77777777" w:rsidR="00B17B09" w:rsidRPr="0098047F" w:rsidRDefault="00B17B09" w:rsidP="00B17B09">
      <w:pPr>
        <w:rPr>
          <w:szCs w:val="24"/>
        </w:rPr>
      </w:pPr>
      <w:r w:rsidRPr="0098047F">
        <w:rPr>
          <w:szCs w:val="24"/>
        </w:rPr>
        <w:t>For</w:t>
      </w:r>
      <w:r w:rsidRPr="0098047F">
        <w:rPr>
          <w:b/>
          <w:szCs w:val="24"/>
        </w:rPr>
        <w:t xml:space="preserve"> treatment of overdose (accidental ingestion) in the opioid-naive person</w:t>
      </w:r>
      <w:r w:rsidRPr="0098047F">
        <w:rPr>
          <w:szCs w:val="24"/>
        </w:rPr>
        <w:t xml:space="preserve">, intravenous access should be obtained and naloxone or other opioid antagonists should be employed as clinically indicated.  The duration of respiratory depression following overdose may be longer than the effects of the opioid antagonist’s action (e.g., the half-life of naloxone ranges from 30 to 81 minutes) and repeated administration may be necessary.  Consult the </w:t>
      </w:r>
      <w:r w:rsidR="00A53991" w:rsidRPr="0098047F">
        <w:rPr>
          <w:szCs w:val="24"/>
        </w:rPr>
        <w:t>Product Information</w:t>
      </w:r>
      <w:r w:rsidR="00F401A2">
        <w:rPr>
          <w:szCs w:val="24"/>
        </w:rPr>
        <w:t xml:space="preserve"> </w:t>
      </w:r>
      <w:r w:rsidRPr="0098047F">
        <w:rPr>
          <w:szCs w:val="24"/>
        </w:rPr>
        <w:t>of the individual opioid antagonist for details about such use.</w:t>
      </w:r>
    </w:p>
    <w:p w14:paraId="09A9455B" w14:textId="77777777" w:rsidR="00B17B09" w:rsidRPr="0098047F" w:rsidRDefault="00B17B09" w:rsidP="00B17B09">
      <w:pPr>
        <w:rPr>
          <w:szCs w:val="24"/>
        </w:rPr>
      </w:pPr>
    </w:p>
    <w:p w14:paraId="3DD675FF" w14:textId="77777777" w:rsidR="00B17B09" w:rsidRPr="0098047F" w:rsidRDefault="00B17B09" w:rsidP="00B17B09">
      <w:pPr>
        <w:rPr>
          <w:szCs w:val="24"/>
        </w:rPr>
      </w:pPr>
      <w:r w:rsidRPr="0098047F">
        <w:rPr>
          <w:szCs w:val="24"/>
        </w:rPr>
        <w:t xml:space="preserve">For treatment of </w:t>
      </w:r>
      <w:r w:rsidRPr="0098047F">
        <w:rPr>
          <w:b/>
          <w:szCs w:val="24"/>
        </w:rPr>
        <w:t>overdose in opioid-maintained patients</w:t>
      </w:r>
      <w:r w:rsidRPr="0098047F">
        <w:rPr>
          <w:szCs w:val="24"/>
        </w:rPr>
        <w:t>, intravenous access should be obtained. The judicious use of naloxone or another opioid antagonist may be warranted in some instances, but it is associated with the risk of precipitating an acute withdrawal syndrome.</w:t>
      </w:r>
    </w:p>
    <w:p w14:paraId="67798B7B" w14:textId="77777777" w:rsidR="00B17B09" w:rsidRPr="0098047F" w:rsidRDefault="00B17B09" w:rsidP="00B17B09">
      <w:pPr>
        <w:rPr>
          <w:szCs w:val="24"/>
        </w:rPr>
      </w:pPr>
    </w:p>
    <w:p w14:paraId="3CE8D157" w14:textId="77777777" w:rsidR="00B17B09" w:rsidRPr="0098047F" w:rsidRDefault="00B17B09" w:rsidP="00B17B09">
      <w:pPr>
        <w:rPr>
          <w:szCs w:val="24"/>
        </w:rPr>
      </w:pPr>
      <w:r w:rsidRPr="0098047F">
        <w:rPr>
          <w:szCs w:val="24"/>
        </w:rPr>
        <w:t xml:space="preserve">Although muscle rigidity interfering with respiration has not been seen following the use of </w:t>
      </w:r>
      <w:r w:rsidR="00343455" w:rsidRPr="0098047F">
        <w:rPr>
          <w:szCs w:val="24"/>
        </w:rPr>
        <w:t>F</w:t>
      </w:r>
      <w:r w:rsidR="001A3E3E" w:rsidRPr="0098047F">
        <w:rPr>
          <w:szCs w:val="24"/>
        </w:rPr>
        <w:t>ENTORA</w:t>
      </w:r>
      <w:r w:rsidRPr="0098047F">
        <w:rPr>
          <w:szCs w:val="24"/>
        </w:rPr>
        <w:t>, this is possible with fentanyl and other opioids.  If it occurs, it should be managed by the use of assisted ventilation, by an opioid antagonist, and as a final alternative, by a neuromuscular blocking agent.</w:t>
      </w:r>
    </w:p>
    <w:p w14:paraId="4AB3C069" w14:textId="77777777" w:rsidR="0029051D" w:rsidRPr="0098047F" w:rsidRDefault="0029051D">
      <w:pPr>
        <w:rPr>
          <w:szCs w:val="24"/>
        </w:rPr>
      </w:pPr>
    </w:p>
    <w:p w14:paraId="6CE952C2" w14:textId="77777777" w:rsidR="0029051D" w:rsidRPr="0098047F" w:rsidRDefault="0029051D">
      <w:pPr>
        <w:rPr>
          <w:szCs w:val="24"/>
        </w:rPr>
      </w:pPr>
    </w:p>
    <w:p w14:paraId="4E18DBC7" w14:textId="77777777" w:rsidR="0029051D" w:rsidRPr="0098047F" w:rsidRDefault="0029051D">
      <w:pPr>
        <w:pStyle w:val="Heading5"/>
        <w:rPr>
          <w:rFonts w:eastAsia="Times"/>
          <w:sz w:val="24"/>
          <w:szCs w:val="24"/>
        </w:rPr>
      </w:pPr>
      <w:r w:rsidRPr="0098047F">
        <w:rPr>
          <w:rFonts w:eastAsia="Times"/>
          <w:sz w:val="24"/>
          <w:szCs w:val="24"/>
        </w:rPr>
        <w:t>PRESENTATION</w:t>
      </w:r>
      <w:r w:rsidR="00C16A09" w:rsidRPr="0098047F">
        <w:rPr>
          <w:rFonts w:eastAsia="Times"/>
          <w:sz w:val="24"/>
          <w:szCs w:val="24"/>
        </w:rPr>
        <w:t xml:space="preserve"> AND STORAGE CONDITIONS</w:t>
      </w:r>
    </w:p>
    <w:p w14:paraId="2AB45283" w14:textId="77777777" w:rsidR="0029051D" w:rsidRPr="0098047F" w:rsidRDefault="0029051D">
      <w:pPr>
        <w:rPr>
          <w:rFonts w:eastAsia="Times New Roman"/>
          <w:szCs w:val="24"/>
        </w:rPr>
      </w:pPr>
    </w:p>
    <w:p w14:paraId="62CE30AC" w14:textId="77777777" w:rsidR="00FB3BC2" w:rsidRPr="0098047F" w:rsidRDefault="002572F7" w:rsidP="00FB3BC2">
      <w:pPr>
        <w:rPr>
          <w:rFonts w:eastAsia="Times New Roman"/>
          <w:szCs w:val="24"/>
        </w:rPr>
      </w:pPr>
      <w:r>
        <w:rPr>
          <w:rFonts w:eastAsia="Times New Roman"/>
          <w:szCs w:val="24"/>
        </w:rPr>
        <w:t xml:space="preserve">FENTORA orally disintegrating tablets are available in five unit strengths equivalent to 100, 200, 400, 600 and 800 micrograms of fentanyl base. </w:t>
      </w:r>
      <w:r w:rsidR="00FB3BC2" w:rsidRPr="0098047F">
        <w:rPr>
          <w:szCs w:val="24"/>
        </w:rPr>
        <w:t xml:space="preserve">The </w:t>
      </w:r>
      <w:r w:rsidR="00044801">
        <w:rPr>
          <w:szCs w:val="24"/>
        </w:rPr>
        <w:t>orally disintegrating</w:t>
      </w:r>
      <w:r w:rsidR="00FB3BC2" w:rsidRPr="0098047F">
        <w:rPr>
          <w:szCs w:val="24"/>
        </w:rPr>
        <w:t xml:space="preserve"> tablets are flat-faced, round</w:t>
      </w:r>
      <w:r w:rsidR="00044801">
        <w:rPr>
          <w:szCs w:val="24"/>
        </w:rPr>
        <w:t>,</w:t>
      </w:r>
      <w:r w:rsidR="00FB3BC2" w:rsidRPr="0098047F">
        <w:rPr>
          <w:szCs w:val="24"/>
        </w:rPr>
        <w:t xml:space="preserve"> beveled-edge tablet, embossed one side with a “C” and on the other side with “1” for </w:t>
      </w:r>
      <w:r w:rsidR="0080786E" w:rsidRPr="0098047F">
        <w:rPr>
          <w:szCs w:val="24"/>
        </w:rPr>
        <w:t>F</w:t>
      </w:r>
      <w:r w:rsidR="0098047F" w:rsidRPr="0098047F">
        <w:rPr>
          <w:szCs w:val="24"/>
        </w:rPr>
        <w:t>ENTORA</w:t>
      </w:r>
      <w:r w:rsidR="00FB3BC2" w:rsidRPr="0098047F">
        <w:rPr>
          <w:szCs w:val="24"/>
        </w:rPr>
        <w:t xml:space="preserve"> 100 micrograms, with “2” for </w:t>
      </w:r>
      <w:r w:rsidR="0080786E" w:rsidRPr="0098047F">
        <w:rPr>
          <w:szCs w:val="24"/>
        </w:rPr>
        <w:t>F</w:t>
      </w:r>
      <w:r w:rsidR="0098047F" w:rsidRPr="0098047F">
        <w:rPr>
          <w:szCs w:val="24"/>
        </w:rPr>
        <w:t xml:space="preserve">ENTORA </w:t>
      </w:r>
      <w:r w:rsidR="00FB3BC2" w:rsidRPr="0098047F">
        <w:rPr>
          <w:szCs w:val="24"/>
        </w:rPr>
        <w:t xml:space="preserve">200 micrograms, with “4” for </w:t>
      </w:r>
      <w:r w:rsidR="0080786E" w:rsidRPr="0098047F">
        <w:rPr>
          <w:szCs w:val="24"/>
        </w:rPr>
        <w:t>F</w:t>
      </w:r>
      <w:r w:rsidR="0098047F" w:rsidRPr="0098047F">
        <w:rPr>
          <w:szCs w:val="24"/>
        </w:rPr>
        <w:t>ENTORA</w:t>
      </w:r>
      <w:r w:rsidR="00FB3BC2" w:rsidRPr="0098047F">
        <w:rPr>
          <w:szCs w:val="24"/>
        </w:rPr>
        <w:t xml:space="preserve"> 400 micrograms, with “6” for </w:t>
      </w:r>
      <w:r w:rsidR="0080786E" w:rsidRPr="0098047F">
        <w:rPr>
          <w:szCs w:val="24"/>
        </w:rPr>
        <w:t>F</w:t>
      </w:r>
      <w:r w:rsidR="0098047F" w:rsidRPr="0098047F">
        <w:rPr>
          <w:szCs w:val="24"/>
        </w:rPr>
        <w:t>ENTORA</w:t>
      </w:r>
      <w:r w:rsidR="00FB3BC2" w:rsidRPr="0098047F">
        <w:rPr>
          <w:szCs w:val="24"/>
        </w:rPr>
        <w:t xml:space="preserve"> 600 micrograms, </w:t>
      </w:r>
      <w:r w:rsidR="00044801">
        <w:rPr>
          <w:szCs w:val="24"/>
        </w:rPr>
        <w:t xml:space="preserve">or </w:t>
      </w:r>
      <w:r w:rsidR="00FB3BC2" w:rsidRPr="0098047F">
        <w:rPr>
          <w:szCs w:val="24"/>
        </w:rPr>
        <w:t xml:space="preserve">with “8” for </w:t>
      </w:r>
      <w:r w:rsidR="0080786E" w:rsidRPr="0098047F">
        <w:rPr>
          <w:szCs w:val="24"/>
        </w:rPr>
        <w:t>F</w:t>
      </w:r>
      <w:r w:rsidR="0098047F" w:rsidRPr="0098047F">
        <w:rPr>
          <w:szCs w:val="24"/>
        </w:rPr>
        <w:t>ENTORA</w:t>
      </w:r>
      <w:r w:rsidR="00FB3BC2" w:rsidRPr="0098047F">
        <w:rPr>
          <w:szCs w:val="24"/>
        </w:rPr>
        <w:t xml:space="preserve"> 800 micrograms. </w:t>
      </w:r>
    </w:p>
    <w:p w14:paraId="1B2E2275" w14:textId="77777777" w:rsidR="00FB3BC2" w:rsidRPr="0098047F" w:rsidRDefault="00FB3BC2" w:rsidP="00461EE0">
      <w:pPr>
        <w:rPr>
          <w:szCs w:val="24"/>
        </w:rPr>
      </w:pPr>
    </w:p>
    <w:p w14:paraId="53ECB287" w14:textId="77777777" w:rsidR="00B17B09" w:rsidRPr="0098047F" w:rsidRDefault="0080786E" w:rsidP="00B17B09">
      <w:pPr>
        <w:rPr>
          <w:szCs w:val="24"/>
        </w:rPr>
      </w:pPr>
      <w:r w:rsidRPr="0098047F">
        <w:rPr>
          <w:szCs w:val="24"/>
        </w:rPr>
        <w:t>F</w:t>
      </w:r>
      <w:r w:rsidR="00A53991" w:rsidRPr="0098047F">
        <w:rPr>
          <w:szCs w:val="24"/>
        </w:rPr>
        <w:t>ENTORA</w:t>
      </w:r>
      <w:r w:rsidR="004B4619" w:rsidRPr="0098047F">
        <w:rPr>
          <w:szCs w:val="24"/>
        </w:rPr>
        <w:t xml:space="preserve"> is supplied in a</w:t>
      </w:r>
      <w:r w:rsidR="00B17B09" w:rsidRPr="0098047F">
        <w:rPr>
          <w:szCs w:val="24"/>
        </w:rPr>
        <w:t>luminium laminated blister of PVC/</w:t>
      </w:r>
      <w:r w:rsidR="00044801">
        <w:rPr>
          <w:szCs w:val="24"/>
        </w:rPr>
        <w:t>aluminium</w:t>
      </w:r>
      <w:r w:rsidR="00B17B09" w:rsidRPr="0098047F">
        <w:rPr>
          <w:szCs w:val="24"/>
        </w:rPr>
        <w:t> foil/Polyamide/PVC with paper/polyester</w:t>
      </w:r>
      <w:r w:rsidR="00044801">
        <w:rPr>
          <w:szCs w:val="24"/>
        </w:rPr>
        <w:t xml:space="preserve">/aluminium foil </w:t>
      </w:r>
      <w:r w:rsidR="00B17B09" w:rsidRPr="0098047F">
        <w:rPr>
          <w:szCs w:val="24"/>
        </w:rPr>
        <w:t>lidding.</w:t>
      </w:r>
    </w:p>
    <w:p w14:paraId="3A89BE95" w14:textId="77777777" w:rsidR="00B17B09" w:rsidRPr="0098047F" w:rsidRDefault="00B17B09" w:rsidP="00B17B09">
      <w:pPr>
        <w:rPr>
          <w:szCs w:val="24"/>
        </w:rPr>
      </w:pPr>
    </w:p>
    <w:p w14:paraId="5161364A" w14:textId="77777777" w:rsidR="00B17B09" w:rsidRPr="0098047F" w:rsidRDefault="00B17B09" w:rsidP="00B17B09">
      <w:pPr>
        <w:rPr>
          <w:noProof/>
          <w:szCs w:val="24"/>
        </w:rPr>
      </w:pPr>
      <w:r w:rsidRPr="0098047F">
        <w:rPr>
          <w:szCs w:val="24"/>
        </w:rPr>
        <w:t xml:space="preserve">Blister packs are supplied in cartons of 4 or 28 tablets. </w:t>
      </w:r>
    </w:p>
    <w:p w14:paraId="196C9EC2" w14:textId="77777777" w:rsidR="0029051D" w:rsidRPr="0098047F" w:rsidRDefault="0029051D">
      <w:pPr>
        <w:rPr>
          <w:b/>
          <w:szCs w:val="24"/>
        </w:rPr>
      </w:pPr>
    </w:p>
    <w:p w14:paraId="77134533" w14:textId="77777777" w:rsidR="0029051D" w:rsidRPr="0098047F" w:rsidRDefault="0029051D">
      <w:pPr>
        <w:rPr>
          <w:b/>
          <w:szCs w:val="24"/>
        </w:rPr>
      </w:pPr>
      <w:r w:rsidRPr="0098047F">
        <w:rPr>
          <w:b/>
          <w:szCs w:val="24"/>
        </w:rPr>
        <w:t xml:space="preserve">Storage </w:t>
      </w:r>
      <w:r w:rsidR="00C16A09" w:rsidRPr="0098047F">
        <w:rPr>
          <w:b/>
          <w:szCs w:val="24"/>
        </w:rPr>
        <w:t>c</w:t>
      </w:r>
      <w:r w:rsidRPr="0098047F">
        <w:rPr>
          <w:b/>
          <w:szCs w:val="24"/>
        </w:rPr>
        <w:t>ondition</w:t>
      </w:r>
      <w:r w:rsidR="00C16A09" w:rsidRPr="0098047F">
        <w:rPr>
          <w:b/>
          <w:szCs w:val="24"/>
        </w:rPr>
        <w:t>s</w:t>
      </w:r>
    </w:p>
    <w:p w14:paraId="3952B5BB" w14:textId="77777777" w:rsidR="0029051D" w:rsidRPr="0098047F" w:rsidRDefault="0029051D">
      <w:pPr>
        <w:rPr>
          <w:noProof/>
          <w:szCs w:val="24"/>
        </w:rPr>
      </w:pPr>
      <w:r w:rsidRPr="0098047F">
        <w:rPr>
          <w:rFonts w:eastAsia="Times New Roman"/>
          <w:szCs w:val="24"/>
        </w:rPr>
        <w:t xml:space="preserve">Store below </w:t>
      </w:r>
      <w:r w:rsidR="00A804E9" w:rsidRPr="0098047F">
        <w:rPr>
          <w:rFonts w:eastAsia="Times New Roman"/>
          <w:szCs w:val="24"/>
        </w:rPr>
        <w:t>25</w:t>
      </w:r>
      <w:r w:rsidRPr="0098047F">
        <w:rPr>
          <w:rFonts w:eastAsia="Times New Roman"/>
          <w:szCs w:val="24"/>
          <w:vertAlign w:val="superscript"/>
        </w:rPr>
        <w:t>0</w:t>
      </w:r>
      <w:r w:rsidRPr="0098047F">
        <w:rPr>
          <w:rFonts w:eastAsia="Times New Roman"/>
          <w:szCs w:val="24"/>
        </w:rPr>
        <w:t>C.</w:t>
      </w:r>
      <w:r w:rsidR="00B17B09" w:rsidRPr="0098047F">
        <w:rPr>
          <w:rFonts w:eastAsia="Times New Roman"/>
          <w:szCs w:val="24"/>
        </w:rPr>
        <w:t xml:space="preserve"> </w:t>
      </w:r>
      <w:r w:rsidR="00B17B09" w:rsidRPr="0098047F">
        <w:rPr>
          <w:szCs w:val="24"/>
        </w:rPr>
        <w:t>Store in the original package in order to protect from moisture.</w:t>
      </w:r>
    </w:p>
    <w:p w14:paraId="351298AE" w14:textId="77777777" w:rsidR="0029051D" w:rsidRPr="0098047F" w:rsidRDefault="0029051D">
      <w:pPr>
        <w:rPr>
          <w:rFonts w:eastAsia="Times New Roman"/>
          <w:szCs w:val="24"/>
        </w:rPr>
      </w:pPr>
    </w:p>
    <w:p w14:paraId="25782B92" w14:textId="77777777" w:rsidR="0029051D" w:rsidRPr="0098047F" w:rsidRDefault="0029051D">
      <w:pPr>
        <w:rPr>
          <w:rFonts w:eastAsia="Times New Roman"/>
          <w:szCs w:val="24"/>
        </w:rPr>
      </w:pPr>
    </w:p>
    <w:p w14:paraId="0E2C4A26" w14:textId="77777777" w:rsidR="0029051D" w:rsidRPr="0098047F" w:rsidRDefault="0029051D">
      <w:pPr>
        <w:rPr>
          <w:b/>
          <w:szCs w:val="24"/>
        </w:rPr>
      </w:pPr>
      <w:r w:rsidRPr="0098047F">
        <w:rPr>
          <w:b/>
          <w:szCs w:val="24"/>
        </w:rPr>
        <w:t xml:space="preserve">NAME AND ADDRESS OF </w:t>
      </w:r>
      <w:r w:rsidR="00C16A09" w:rsidRPr="0098047F">
        <w:rPr>
          <w:b/>
          <w:szCs w:val="24"/>
        </w:rPr>
        <w:t xml:space="preserve">THE </w:t>
      </w:r>
      <w:r w:rsidRPr="0098047F">
        <w:rPr>
          <w:b/>
          <w:szCs w:val="24"/>
        </w:rPr>
        <w:t>SPONSOR</w:t>
      </w:r>
    </w:p>
    <w:p w14:paraId="54253991" w14:textId="77777777" w:rsidR="0029051D" w:rsidRPr="0098047F" w:rsidRDefault="0029051D">
      <w:pPr>
        <w:rPr>
          <w:szCs w:val="24"/>
        </w:rPr>
      </w:pPr>
    </w:p>
    <w:p w14:paraId="331E5E7F" w14:textId="77777777" w:rsidR="0029051D" w:rsidRPr="0098047F" w:rsidRDefault="0029051D">
      <w:pPr>
        <w:pStyle w:val="BodyText2"/>
        <w:rPr>
          <w:sz w:val="24"/>
          <w:szCs w:val="24"/>
        </w:rPr>
      </w:pPr>
      <w:r w:rsidRPr="0098047F">
        <w:rPr>
          <w:sz w:val="24"/>
          <w:szCs w:val="24"/>
        </w:rPr>
        <w:t>Orphan Australia Pty Ltd</w:t>
      </w:r>
    </w:p>
    <w:p w14:paraId="2F1BFA6A" w14:textId="77777777" w:rsidR="0029051D" w:rsidRPr="0098047F" w:rsidRDefault="00C6027E">
      <w:pPr>
        <w:rPr>
          <w:szCs w:val="24"/>
        </w:rPr>
      </w:pPr>
      <w:r w:rsidRPr="0098047F">
        <w:rPr>
          <w:szCs w:val="24"/>
        </w:rPr>
        <w:t>(a member of the Aspen Australia group of companies)</w:t>
      </w:r>
    </w:p>
    <w:p w14:paraId="5F628AE6" w14:textId="77777777" w:rsidR="00C6027E" w:rsidRPr="0098047F" w:rsidRDefault="00C6027E">
      <w:pPr>
        <w:rPr>
          <w:szCs w:val="24"/>
        </w:rPr>
      </w:pPr>
      <w:r w:rsidRPr="0098047F">
        <w:rPr>
          <w:szCs w:val="24"/>
        </w:rPr>
        <w:t>34-36 Chandos Street</w:t>
      </w:r>
    </w:p>
    <w:p w14:paraId="627783F3" w14:textId="77777777" w:rsidR="00C6027E" w:rsidRPr="0098047F" w:rsidRDefault="00C6027E">
      <w:pPr>
        <w:rPr>
          <w:szCs w:val="24"/>
        </w:rPr>
      </w:pPr>
      <w:r w:rsidRPr="0098047F">
        <w:rPr>
          <w:szCs w:val="24"/>
        </w:rPr>
        <w:lastRenderedPageBreak/>
        <w:t>St Leonards NSW 2065</w:t>
      </w:r>
    </w:p>
    <w:p w14:paraId="1E0DFEC9" w14:textId="77777777" w:rsidR="0029051D" w:rsidRPr="0098047F" w:rsidRDefault="00C6027E">
      <w:pPr>
        <w:rPr>
          <w:szCs w:val="24"/>
        </w:rPr>
      </w:pPr>
      <w:r w:rsidRPr="0098047F">
        <w:rPr>
          <w:szCs w:val="24"/>
        </w:rPr>
        <w:t>Australia</w:t>
      </w:r>
    </w:p>
    <w:p w14:paraId="19F42204" w14:textId="77777777" w:rsidR="00C6027E" w:rsidRPr="0098047F" w:rsidRDefault="00C6027E">
      <w:pPr>
        <w:rPr>
          <w:szCs w:val="24"/>
        </w:rPr>
      </w:pPr>
    </w:p>
    <w:p w14:paraId="45C9A162" w14:textId="77777777" w:rsidR="00C16A09" w:rsidRPr="0098047F" w:rsidRDefault="00C16A09">
      <w:pPr>
        <w:rPr>
          <w:color w:val="000000"/>
          <w:szCs w:val="24"/>
        </w:rPr>
      </w:pPr>
    </w:p>
    <w:p w14:paraId="634113B3" w14:textId="77777777" w:rsidR="00C16A09" w:rsidRPr="0098047F" w:rsidRDefault="00C16A09">
      <w:pPr>
        <w:rPr>
          <w:b/>
          <w:color w:val="000000"/>
          <w:szCs w:val="24"/>
        </w:rPr>
      </w:pPr>
      <w:r w:rsidRPr="0098047F">
        <w:rPr>
          <w:b/>
          <w:color w:val="000000"/>
          <w:szCs w:val="24"/>
        </w:rPr>
        <w:t>POISON SCHEDULE OF THE MEDICINE</w:t>
      </w:r>
    </w:p>
    <w:p w14:paraId="529DB7D5" w14:textId="77777777" w:rsidR="00C16A09" w:rsidRPr="0098047F" w:rsidRDefault="00C16A09">
      <w:pPr>
        <w:rPr>
          <w:color w:val="000000"/>
          <w:szCs w:val="24"/>
        </w:rPr>
      </w:pPr>
    </w:p>
    <w:p w14:paraId="07A23F3F" w14:textId="77777777" w:rsidR="00C16A09" w:rsidRPr="0098047F" w:rsidRDefault="00C16A09">
      <w:pPr>
        <w:rPr>
          <w:color w:val="000000"/>
          <w:szCs w:val="24"/>
        </w:rPr>
      </w:pPr>
      <w:r w:rsidRPr="0098047F">
        <w:rPr>
          <w:color w:val="000000"/>
          <w:szCs w:val="24"/>
        </w:rPr>
        <w:t>S8</w:t>
      </w:r>
    </w:p>
    <w:p w14:paraId="766117B2" w14:textId="77777777" w:rsidR="00C16A09" w:rsidRPr="0098047F" w:rsidRDefault="00C16A09">
      <w:pPr>
        <w:rPr>
          <w:color w:val="000000"/>
          <w:szCs w:val="24"/>
        </w:rPr>
      </w:pPr>
    </w:p>
    <w:p w14:paraId="05D6F045" w14:textId="77777777" w:rsidR="00C16A09" w:rsidRPr="0098047F" w:rsidRDefault="00C16A09">
      <w:pPr>
        <w:rPr>
          <w:color w:val="000000"/>
          <w:szCs w:val="24"/>
        </w:rPr>
      </w:pPr>
    </w:p>
    <w:p w14:paraId="21CC2A0F" w14:textId="77777777" w:rsidR="00F962BF" w:rsidRPr="0098047F" w:rsidRDefault="00F962BF">
      <w:pPr>
        <w:rPr>
          <w:b/>
          <w:color w:val="000000"/>
          <w:szCs w:val="24"/>
        </w:rPr>
      </w:pPr>
      <w:r w:rsidRPr="0098047F">
        <w:rPr>
          <w:b/>
          <w:color w:val="000000"/>
          <w:szCs w:val="24"/>
        </w:rPr>
        <w:t>DATE OF FIRST INCLUSION IN THE AUSTRALIAN REGISTER OF THERAPEUTIC GOODS (the ARTG)</w:t>
      </w:r>
    </w:p>
    <w:p w14:paraId="3076549F" w14:textId="77777777" w:rsidR="0029051D" w:rsidRPr="0098047F" w:rsidRDefault="00B17B09">
      <w:pPr>
        <w:rPr>
          <w:szCs w:val="24"/>
        </w:rPr>
      </w:pPr>
      <w:r w:rsidRPr="0098047F">
        <w:rPr>
          <w:color w:val="000000"/>
          <w:szCs w:val="24"/>
        </w:rPr>
        <w:t>XX XXXX XXX</w:t>
      </w:r>
    </w:p>
    <w:p w14:paraId="46992311" w14:textId="77777777" w:rsidR="00607D4F" w:rsidRPr="0098047F" w:rsidRDefault="00607D4F">
      <w:pPr>
        <w:rPr>
          <w:szCs w:val="24"/>
        </w:rPr>
      </w:pPr>
    </w:p>
    <w:p w14:paraId="7BE30BB4" w14:textId="77777777" w:rsidR="00F962BF" w:rsidRPr="0098047F" w:rsidRDefault="00F962BF">
      <w:pPr>
        <w:rPr>
          <w:szCs w:val="24"/>
        </w:rPr>
      </w:pPr>
    </w:p>
    <w:p w14:paraId="5044F200" w14:textId="77777777" w:rsidR="00F962BF" w:rsidRPr="0098047F" w:rsidRDefault="00F962BF" w:rsidP="00F962BF">
      <w:pPr>
        <w:rPr>
          <w:color w:val="000000"/>
          <w:szCs w:val="24"/>
        </w:rPr>
      </w:pPr>
    </w:p>
    <w:p w14:paraId="0004BC5A" w14:textId="77777777" w:rsidR="00F962BF" w:rsidRPr="0098047F" w:rsidRDefault="00F962BF" w:rsidP="00F962BF">
      <w:pPr>
        <w:rPr>
          <w:color w:val="000000"/>
          <w:szCs w:val="24"/>
        </w:rPr>
      </w:pPr>
    </w:p>
    <w:p w14:paraId="50BA6DB6" w14:textId="77777777" w:rsidR="0029051D" w:rsidRPr="0098047F" w:rsidRDefault="0029051D" w:rsidP="00D75A95">
      <w:pPr>
        <w:rPr>
          <w:szCs w:val="24"/>
        </w:rPr>
      </w:pPr>
    </w:p>
    <w:sectPr w:rsidR="0029051D" w:rsidRPr="0098047F" w:rsidSect="007B0406">
      <w:headerReference w:type="even" r:id="rId14"/>
      <w:headerReference w:type="default" r:id="rId15"/>
      <w:footerReference w:type="even" r:id="rId16"/>
      <w:footerReference w:type="default" r:id="rId17"/>
      <w:headerReference w:type="first" r:id="rId18"/>
      <w:footerReference w:type="first" r:id="rId19"/>
      <w:pgSz w:w="12240" w:h="15840"/>
      <w:pgMar w:top="993" w:right="1440" w:bottom="1134" w:left="1440"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F39BDB" w14:textId="77777777" w:rsidR="009504FD" w:rsidRDefault="009504FD">
      <w:r>
        <w:separator/>
      </w:r>
    </w:p>
  </w:endnote>
  <w:endnote w:type="continuationSeparator" w:id="0">
    <w:p w14:paraId="61EA6630" w14:textId="77777777" w:rsidR="009504FD" w:rsidRDefault="0095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UnitOT-Med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FD844" w14:textId="77777777" w:rsidR="008550A5" w:rsidRDefault="008550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C975A" w14:textId="77777777" w:rsidR="00F131DD" w:rsidRPr="007B0406" w:rsidRDefault="00F131DD" w:rsidP="00F962BF">
    <w:pPr>
      <w:pStyle w:val="Footer"/>
      <w:pBdr>
        <w:top w:val="single" w:sz="4" w:space="1" w:color="auto"/>
      </w:pBdr>
      <w:tabs>
        <w:tab w:val="clear" w:pos="4320"/>
        <w:tab w:val="clear" w:pos="8640"/>
        <w:tab w:val="right" w:pos="9356"/>
      </w:tabs>
      <w:jc w:val="both"/>
      <w:rPr>
        <w:sz w:val="18"/>
        <w:szCs w:val="18"/>
        <w:lang w:val="en-AU"/>
      </w:rPr>
    </w:pPr>
    <w:r>
      <w:rPr>
        <w:sz w:val="18"/>
        <w:szCs w:val="18"/>
        <w:lang w:val="en-AU"/>
      </w:rPr>
      <w:t>FENTORA</w:t>
    </w:r>
    <w:r w:rsidRPr="00C6027E">
      <w:rPr>
        <w:sz w:val="18"/>
        <w:szCs w:val="18"/>
        <w:vertAlign w:val="superscript"/>
        <w:lang w:val="en-AU"/>
      </w:rPr>
      <w:t>®</w:t>
    </w:r>
    <w:r w:rsidRPr="007B0406">
      <w:rPr>
        <w:sz w:val="18"/>
        <w:szCs w:val="18"/>
        <w:lang w:val="en-AU"/>
      </w:rPr>
      <w:t xml:space="preserve"> –</w:t>
    </w:r>
    <w:r>
      <w:rPr>
        <w:sz w:val="18"/>
        <w:szCs w:val="18"/>
        <w:lang w:val="en-AU"/>
      </w:rPr>
      <w:t xml:space="preserve"> </w:t>
    </w:r>
    <w:r w:rsidRPr="007B0406">
      <w:rPr>
        <w:sz w:val="18"/>
        <w:szCs w:val="18"/>
        <w:lang w:val="en-AU"/>
      </w:rPr>
      <w:t>Product Information</w:t>
    </w:r>
    <w:r w:rsidRPr="007B0406">
      <w:rPr>
        <w:sz w:val="18"/>
        <w:szCs w:val="18"/>
        <w:lang w:val="en-AU"/>
      </w:rPr>
      <w:tab/>
      <w:t xml:space="preserve">Page </w:t>
    </w:r>
    <w:r w:rsidRPr="007B0406">
      <w:rPr>
        <w:sz w:val="18"/>
        <w:szCs w:val="18"/>
        <w:lang w:val="en-AU"/>
      </w:rPr>
      <w:fldChar w:fldCharType="begin"/>
    </w:r>
    <w:r w:rsidRPr="007B0406">
      <w:rPr>
        <w:sz w:val="18"/>
        <w:szCs w:val="18"/>
        <w:lang w:val="en-AU"/>
      </w:rPr>
      <w:instrText xml:space="preserve"> PAGE   \* MERGEFORMAT </w:instrText>
    </w:r>
    <w:r w:rsidRPr="007B0406">
      <w:rPr>
        <w:sz w:val="18"/>
        <w:szCs w:val="18"/>
        <w:lang w:val="en-AU"/>
      </w:rPr>
      <w:fldChar w:fldCharType="separate"/>
    </w:r>
    <w:r w:rsidR="00E16648">
      <w:rPr>
        <w:noProof/>
        <w:sz w:val="18"/>
        <w:szCs w:val="18"/>
        <w:lang w:val="en-AU"/>
      </w:rPr>
      <w:t>4</w:t>
    </w:r>
    <w:r w:rsidRPr="007B0406">
      <w:rPr>
        <w:sz w:val="18"/>
        <w:szCs w:val="18"/>
        <w:lang w:val="en-AU"/>
      </w:rPr>
      <w:fldChar w:fldCharType="end"/>
    </w:r>
    <w:r w:rsidRPr="007B0406">
      <w:rPr>
        <w:sz w:val="18"/>
        <w:szCs w:val="18"/>
        <w:lang w:val="en-AU"/>
      </w:rPr>
      <w:t xml:space="preserve"> of </w:t>
    </w:r>
    <w:r w:rsidRPr="007B0406">
      <w:rPr>
        <w:sz w:val="18"/>
        <w:szCs w:val="18"/>
        <w:lang w:val="en-AU"/>
      </w:rPr>
      <w:fldChar w:fldCharType="begin"/>
    </w:r>
    <w:r w:rsidRPr="007B0406">
      <w:rPr>
        <w:sz w:val="18"/>
        <w:szCs w:val="18"/>
        <w:lang w:val="en-AU"/>
      </w:rPr>
      <w:instrText xml:space="preserve"> NUMPAGES   \* MERGEFORMAT </w:instrText>
    </w:r>
    <w:r w:rsidRPr="007B0406">
      <w:rPr>
        <w:sz w:val="18"/>
        <w:szCs w:val="18"/>
        <w:lang w:val="en-AU"/>
      </w:rPr>
      <w:fldChar w:fldCharType="separate"/>
    </w:r>
    <w:r w:rsidR="00E16648">
      <w:rPr>
        <w:noProof/>
        <w:sz w:val="18"/>
        <w:szCs w:val="18"/>
        <w:lang w:val="en-AU"/>
      </w:rPr>
      <w:t>24</w:t>
    </w:r>
    <w:r w:rsidRPr="007B0406">
      <w:rPr>
        <w:sz w:val="18"/>
        <w:szCs w:val="18"/>
        <w:lang w:val="en-AU"/>
      </w:rPr>
      <w:fldChar w:fldCharType="end"/>
    </w:r>
  </w:p>
  <w:p w14:paraId="03370CD3" w14:textId="77777777" w:rsidR="00F131DD" w:rsidRDefault="00F131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2C810" w14:textId="77777777" w:rsidR="008550A5" w:rsidRDefault="00855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1A914" w14:textId="77777777" w:rsidR="009504FD" w:rsidRDefault="009504FD">
      <w:r>
        <w:separator/>
      </w:r>
    </w:p>
  </w:footnote>
  <w:footnote w:type="continuationSeparator" w:id="0">
    <w:p w14:paraId="0A95D567" w14:textId="77777777" w:rsidR="009504FD" w:rsidRDefault="00950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02DAC" w14:textId="77777777" w:rsidR="008550A5" w:rsidRDefault="008550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shd w:val="clear" w:color="auto" w:fill="E4F2E0"/>
      <w:tblLook w:val="04A0" w:firstRow="1" w:lastRow="0" w:firstColumn="1" w:lastColumn="0" w:noHBand="0" w:noVBand="1"/>
    </w:tblPr>
    <w:tblGrid>
      <w:gridCol w:w="8720"/>
    </w:tblGrid>
    <w:tr w:rsidR="008550A5" w:rsidRPr="008550A5" w14:paraId="648201C9" w14:textId="77777777" w:rsidTr="009504FD">
      <w:tc>
        <w:tcPr>
          <w:tcW w:w="8720" w:type="dxa"/>
          <w:shd w:val="clear" w:color="auto" w:fill="E4F2E0"/>
        </w:tcPr>
        <w:p w14:paraId="20AB3E4E" w14:textId="77777777" w:rsidR="008550A5" w:rsidRPr="009504FD" w:rsidRDefault="008550A5" w:rsidP="009504FD">
          <w:pPr>
            <w:spacing w:before="40" w:after="40" w:line="240" w:lineRule="atLeast"/>
            <w:rPr>
              <w:rFonts w:ascii="Cambria" w:eastAsia="Cambria" w:hAnsi="Cambria"/>
              <w:b/>
              <w:sz w:val="20"/>
              <w:szCs w:val="22"/>
              <w:lang w:val="en-AU"/>
            </w:rPr>
          </w:pPr>
          <w:r w:rsidRPr="009504FD">
            <w:rPr>
              <w:rFonts w:ascii="Cambria" w:eastAsia="Cambria" w:hAnsi="Cambria"/>
              <w:b/>
              <w:sz w:val="20"/>
              <w:szCs w:val="22"/>
              <w:lang w:val="en-AU"/>
            </w:rPr>
            <w:t>Attachment 1: Product information for AusPAR Fentora Fentanyl citrate Orphan Australia Pty Ltd PM-2013-03632-1-1 Final 22 April 2015. This Product Information was approved at the time this AusPAR was published.</w:t>
          </w:r>
        </w:p>
      </w:tc>
    </w:tr>
  </w:tbl>
  <w:p w14:paraId="45FDC761" w14:textId="77777777" w:rsidR="008550A5" w:rsidRDefault="008550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846D2" w14:textId="77777777" w:rsidR="008550A5" w:rsidRDefault="008550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2"/>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2"/>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3">
    <w:nsid w:val="0000002C"/>
    <w:multiLevelType w:val="singleLevel"/>
    <w:tmpl w:val="000F0409"/>
    <w:lvl w:ilvl="0">
      <w:start w:val="1"/>
      <w:numFmt w:val="decimal"/>
      <w:lvlText w:val="%1."/>
      <w:lvlJc w:val="left"/>
      <w:pPr>
        <w:tabs>
          <w:tab w:val="num" w:pos="360"/>
        </w:tabs>
        <w:ind w:left="360" w:hanging="360"/>
      </w:pPr>
    </w:lvl>
  </w:abstractNum>
  <w:abstractNum w:abstractNumId="4">
    <w:nsid w:val="0000002D"/>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5">
    <w:nsid w:val="0000002E"/>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6">
    <w:nsid w:val="0000002F"/>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7">
    <w:nsid w:val="00000030"/>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8">
    <w:nsid w:val="00000031"/>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9">
    <w:nsid w:val="00000032"/>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10">
    <w:nsid w:val="00000033"/>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11">
    <w:nsid w:val="00000034"/>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12">
    <w:nsid w:val="00000035"/>
    <w:multiLevelType w:val="singleLevel"/>
    <w:tmpl w:val="00000000"/>
    <w:lvl w:ilvl="0">
      <w:start w:val="3"/>
      <w:numFmt w:val="decimal"/>
      <w:lvlText w:val="%1."/>
      <w:lvlJc w:val="left"/>
      <w:pPr>
        <w:tabs>
          <w:tab w:val="num" w:pos="720"/>
        </w:tabs>
        <w:ind w:left="720" w:hanging="720"/>
      </w:pPr>
      <w:rPr>
        <w:rFonts w:ascii="Arial" w:hAnsi="Arial" w:hint="default"/>
        <w:sz w:val="22"/>
      </w:rPr>
    </w:lvl>
  </w:abstractNum>
  <w:abstractNum w:abstractNumId="13">
    <w:nsid w:val="547D7765"/>
    <w:multiLevelType w:val="hybridMultilevel"/>
    <w:tmpl w:val="5CB028B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BA6"/>
    <w:rsid w:val="000010E0"/>
    <w:rsid w:val="0000395F"/>
    <w:rsid w:val="00013AC6"/>
    <w:rsid w:val="000167D1"/>
    <w:rsid w:val="00017F4E"/>
    <w:rsid w:val="00031CC4"/>
    <w:rsid w:val="00043EEA"/>
    <w:rsid w:val="000445FB"/>
    <w:rsid w:val="00044801"/>
    <w:rsid w:val="000506FA"/>
    <w:rsid w:val="00062B8C"/>
    <w:rsid w:val="00063D0C"/>
    <w:rsid w:val="000701C7"/>
    <w:rsid w:val="00070B61"/>
    <w:rsid w:val="00075208"/>
    <w:rsid w:val="00077278"/>
    <w:rsid w:val="000822AF"/>
    <w:rsid w:val="000B4B53"/>
    <w:rsid w:val="000C3073"/>
    <w:rsid w:val="000E1D6F"/>
    <w:rsid w:val="00104BC5"/>
    <w:rsid w:val="0010754E"/>
    <w:rsid w:val="001126E3"/>
    <w:rsid w:val="00112BF0"/>
    <w:rsid w:val="00113287"/>
    <w:rsid w:val="00140197"/>
    <w:rsid w:val="00145E41"/>
    <w:rsid w:val="001553E4"/>
    <w:rsid w:val="0018196B"/>
    <w:rsid w:val="00182119"/>
    <w:rsid w:val="00196AC2"/>
    <w:rsid w:val="001A00BE"/>
    <w:rsid w:val="001A21E7"/>
    <w:rsid w:val="001A3E3E"/>
    <w:rsid w:val="001B3A68"/>
    <w:rsid w:val="001C0078"/>
    <w:rsid w:val="001C4052"/>
    <w:rsid w:val="001D2B6E"/>
    <w:rsid w:val="001D6A6E"/>
    <w:rsid w:val="001E5040"/>
    <w:rsid w:val="001E515A"/>
    <w:rsid w:val="001F4B8F"/>
    <w:rsid w:val="001F7F03"/>
    <w:rsid w:val="00207355"/>
    <w:rsid w:val="00217346"/>
    <w:rsid w:val="00223D71"/>
    <w:rsid w:val="00231EFC"/>
    <w:rsid w:val="00235C42"/>
    <w:rsid w:val="002572F7"/>
    <w:rsid w:val="00260CDD"/>
    <w:rsid w:val="00261638"/>
    <w:rsid w:val="00270E92"/>
    <w:rsid w:val="002731FB"/>
    <w:rsid w:val="00273345"/>
    <w:rsid w:val="002751AF"/>
    <w:rsid w:val="00281E84"/>
    <w:rsid w:val="0028314C"/>
    <w:rsid w:val="0029051D"/>
    <w:rsid w:val="002940EE"/>
    <w:rsid w:val="002A0D95"/>
    <w:rsid w:val="002C2BFC"/>
    <w:rsid w:val="002C32DC"/>
    <w:rsid w:val="002C7510"/>
    <w:rsid w:val="002D1A0B"/>
    <w:rsid w:val="002D600C"/>
    <w:rsid w:val="002D69D2"/>
    <w:rsid w:val="002E2F9D"/>
    <w:rsid w:val="002E4CD8"/>
    <w:rsid w:val="002E5FF0"/>
    <w:rsid w:val="002F075A"/>
    <w:rsid w:val="002F13EB"/>
    <w:rsid w:val="003066F5"/>
    <w:rsid w:val="00306A91"/>
    <w:rsid w:val="00310051"/>
    <w:rsid w:val="00311ADA"/>
    <w:rsid w:val="00316684"/>
    <w:rsid w:val="003173CE"/>
    <w:rsid w:val="00317532"/>
    <w:rsid w:val="003209EC"/>
    <w:rsid w:val="00320A5E"/>
    <w:rsid w:val="0032381A"/>
    <w:rsid w:val="00324F22"/>
    <w:rsid w:val="0032507B"/>
    <w:rsid w:val="00343455"/>
    <w:rsid w:val="00344891"/>
    <w:rsid w:val="00350EDE"/>
    <w:rsid w:val="00360544"/>
    <w:rsid w:val="00363AD5"/>
    <w:rsid w:val="00365280"/>
    <w:rsid w:val="00366E21"/>
    <w:rsid w:val="00381718"/>
    <w:rsid w:val="003839FB"/>
    <w:rsid w:val="003C38C1"/>
    <w:rsid w:val="003C48C3"/>
    <w:rsid w:val="003C4C1A"/>
    <w:rsid w:val="003C5E84"/>
    <w:rsid w:val="003C7DDD"/>
    <w:rsid w:val="003D026E"/>
    <w:rsid w:val="003D2EBF"/>
    <w:rsid w:val="003E1AC5"/>
    <w:rsid w:val="003E206C"/>
    <w:rsid w:val="003F0650"/>
    <w:rsid w:val="003F3B9F"/>
    <w:rsid w:val="003F6120"/>
    <w:rsid w:val="00404B07"/>
    <w:rsid w:val="00421389"/>
    <w:rsid w:val="00431E6C"/>
    <w:rsid w:val="00441272"/>
    <w:rsid w:val="00444B59"/>
    <w:rsid w:val="00445A90"/>
    <w:rsid w:val="00453CC7"/>
    <w:rsid w:val="00456E62"/>
    <w:rsid w:val="00461EE0"/>
    <w:rsid w:val="00487C6E"/>
    <w:rsid w:val="00492B19"/>
    <w:rsid w:val="00493717"/>
    <w:rsid w:val="00495815"/>
    <w:rsid w:val="004B4619"/>
    <w:rsid w:val="004B53CC"/>
    <w:rsid w:val="004B5899"/>
    <w:rsid w:val="004C0FD8"/>
    <w:rsid w:val="004C25A2"/>
    <w:rsid w:val="004D485E"/>
    <w:rsid w:val="004E4ABB"/>
    <w:rsid w:val="004E4FC4"/>
    <w:rsid w:val="004F583E"/>
    <w:rsid w:val="004F6EB5"/>
    <w:rsid w:val="0051339F"/>
    <w:rsid w:val="00526D80"/>
    <w:rsid w:val="00532649"/>
    <w:rsid w:val="00535175"/>
    <w:rsid w:val="00542A5D"/>
    <w:rsid w:val="00556B20"/>
    <w:rsid w:val="00572C7F"/>
    <w:rsid w:val="005770EA"/>
    <w:rsid w:val="00593BF6"/>
    <w:rsid w:val="0059551B"/>
    <w:rsid w:val="005C462C"/>
    <w:rsid w:val="005C7463"/>
    <w:rsid w:val="005D0421"/>
    <w:rsid w:val="005D34CA"/>
    <w:rsid w:val="005E697E"/>
    <w:rsid w:val="006017B3"/>
    <w:rsid w:val="0060214A"/>
    <w:rsid w:val="00607D4F"/>
    <w:rsid w:val="00636170"/>
    <w:rsid w:val="00651C9D"/>
    <w:rsid w:val="00654BB0"/>
    <w:rsid w:val="00660323"/>
    <w:rsid w:val="0068341B"/>
    <w:rsid w:val="0068365D"/>
    <w:rsid w:val="006906BB"/>
    <w:rsid w:val="00695DF2"/>
    <w:rsid w:val="00696943"/>
    <w:rsid w:val="006A0BAA"/>
    <w:rsid w:val="006A709D"/>
    <w:rsid w:val="006B2A1D"/>
    <w:rsid w:val="006B68AE"/>
    <w:rsid w:val="006B7EB7"/>
    <w:rsid w:val="006C3C90"/>
    <w:rsid w:val="006C70AA"/>
    <w:rsid w:val="006D78F1"/>
    <w:rsid w:val="006F6B4E"/>
    <w:rsid w:val="00700F19"/>
    <w:rsid w:val="00701F14"/>
    <w:rsid w:val="0070365C"/>
    <w:rsid w:val="007039AF"/>
    <w:rsid w:val="0070500D"/>
    <w:rsid w:val="007057BC"/>
    <w:rsid w:val="00710D55"/>
    <w:rsid w:val="00752FA6"/>
    <w:rsid w:val="00760DA0"/>
    <w:rsid w:val="00775150"/>
    <w:rsid w:val="0077591E"/>
    <w:rsid w:val="00780CA6"/>
    <w:rsid w:val="007817A3"/>
    <w:rsid w:val="00781BFB"/>
    <w:rsid w:val="00797F03"/>
    <w:rsid w:val="007B0406"/>
    <w:rsid w:val="007C10CF"/>
    <w:rsid w:val="007D61FC"/>
    <w:rsid w:val="00805A86"/>
    <w:rsid w:val="008070FB"/>
    <w:rsid w:val="0080786E"/>
    <w:rsid w:val="00815B88"/>
    <w:rsid w:val="00831DAB"/>
    <w:rsid w:val="0083204E"/>
    <w:rsid w:val="00842A83"/>
    <w:rsid w:val="008438B7"/>
    <w:rsid w:val="008441C8"/>
    <w:rsid w:val="00844C55"/>
    <w:rsid w:val="00853DF0"/>
    <w:rsid w:val="008550A5"/>
    <w:rsid w:val="00863B66"/>
    <w:rsid w:val="00877999"/>
    <w:rsid w:val="00880F78"/>
    <w:rsid w:val="0088561F"/>
    <w:rsid w:val="0089378F"/>
    <w:rsid w:val="00895DBB"/>
    <w:rsid w:val="00897F2D"/>
    <w:rsid w:val="008C13C5"/>
    <w:rsid w:val="008C15A8"/>
    <w:rsid w:val="008D76C1"/>
    <w:rsid w:val="008E7859"/>
    <w:rsid w:val="008F1018"/>
    <w:rsid w:val="008F1E88"/>
    <w:rsid w:val="008F6BB3"/>
    <w:rsid w:val="00913CB9"/>
    <w:rsid w:val="009146A2"/>
    <w:rsid w:val="0094568C"/>
    <w:rsid w:val="009504FD"/>
    <w:rsid w:val="00952ECE"/>
    <w:rsid w:val="00953814"/>
    <w:rsid w:val="00960B24"/>
    <w:rsid w:val="009626FA"/>
    <w:rsid w:val="009665AA"/>
    <w:rsid w:val="00970726"/>
    <w:rsid w:val="00972147"/>
    <w:rsid w:val="00976A0E"/>
    <w:rsid w:val="0098047F"/>
    <w:rsid w:val="00987737"/>
    <w:rsid w:val="009A72BE"/>
    <w:rsid w:val="009C496D"/>
    <w:rsid w:val="009C6EBF"/>
    <w:rsid w:val="009D2776"/>
    <w:rsid w:val="009E0702"/>
    <w:rsid w:val="009E250D"/>
    <w:rsid w:val="009E7B81"/>
    <w:rsid w:val="009F25EE"/>
    <w:rsid w:val="009F2798"/>
    <w:rsid w:val="009F791E"/>
    <w:rsid w:val="00A00FD3"/>
    <w:rsid w:val="00A00FF2"/>
    <w:rsid w:val="00A11413"/>
    <w:rsid w:val="00A25CAE"/>
    <w:rsid w:val="00A53991"/>
    <w:rsid w:val="00A56378"/>
    <w:rsid w:val="00A57DE1"/>
    <w:rsid w:val="00A670C4"/>
    <w:rsid w:val="00A804E9"/>
    <w:rsid w:val="00A81DDE"/>
    <w:rsid w:val="00A8317A"/>
    <w:rsid w:val="00A91E55"/>
    <w:rsid w:val="00A97CCB"/>
    <w:rsid w:val="00AA00CA"/>
    <w:rsid w:val="00AA5718"/>
    <w:rsid w:val="00AA74CF"/>
    <w:rsid w:val="00AB174A"/>
    <w:rsid w:val="00AB5447"/>
    <w:rsid w:val="00AB56E9"/>
    <w:rsid w:val="00AD12F7"/>
    <w:rsid w:val="00AE67E3"/>
    <w:rsid w:val="00B0623E"/>
    <w:rsid w:val="00B15266"/>
    <w:rsid w:val="00B17B09"/>
    <w:rsid w:val="00B222BF"/>
    <w:rsid w:val="00B2733E"/>
    <w:rsid w:val="00B318E0"/>
    <w:rsid w:val="00B4190C"/>
    <w:rsid w:val="00B43E35"/>
    <w:rsid w:val="00B44EC8"/>
    <w:rsid w:val="00B5498E"/>
    <w:rsid w:val="00B578A0"/>
    <w:rsid w:val="00B660D6"/>
    <w:rsid w:val="00B7483B"/>
    <w:rsid w:val="00B81DAC"/>
    <w:rsid w:val="00B841B5"/>
    <w:rsid w:val="00B8620A"/>
    <w:rsid w:val="00B9374B"/>
    <w:rsid w:val="00B945FC"/>
    <w:rsid w:val="00B96D66"/>
    <w:rsid w:val="00B97BFC"/>
    <w:rsid w:val="00BB3112"/>
    <w:rsid w:val="00BC3EB9"/>
    <w:rsid w:val="00C05210"/>
    <w:rsid w:val="00C12CE6"/>
    <w:rsid w:val="00C132F8"/>
    <w:rsid w:val="00C15644"/>
    <w:rsid w:val="00C16A09"/>
    <w:rsid w:val="00C20477"/>
    <w:rsid w:val="00C21458"/>
    <w:rsid w:val="00C23205"/>
    <w:rsid w:val="00C24520"/>
    <w:rsid w:val="00C27628"/>
    <w:rsid w:val="00C31368"/>
    <w:rsid w:val="00C52886"/>
    <w:rsid w:val="00C54A63"/>
    <w:rsid w:val="00C6027E"/>
    <w:rsid w:val="00C60E16"/>
    <w:rsid w:val="00C64181"/>
    <w:rsid w:val="00C77027"/>
    <w:rsid w:val="00C80248"/>
    <w:rsid w:val="00C90B8F"/>
    <w:rsid w:val="00C91045"/>
    <w:rsid w:val="00CA4F2E"/>
    <w:rsid w:val="00CA557C"/>
    <w:rsid w:val="00CA56F5"/>
    <w:rsid w:val="00CA7800"/>
    <w:rsid w:val="00CB3B49"/>
    <w:rsid w:val="00CC1E48"/>
    <w:rsid w:val="00CC4876"/>
    <w:rsid w:val="00CC4C63"/>
    <w:rsid w:val="00CD00A5"/>
    <w:rsid w:val="00CD2650"/>
    <w:rsid w:val="00CD3A39"/>
    <w:rsid w:val="00CE40CC"/>
    <w:rsid w:val="00CE7C0C"/>
    <w:rsid w:val="00CF4CEF"/>
    <w:rsid w:val="00D04A81"/>
    <w:rsid w:val="00D0771A"/>
    <w:rsid w:val="00D11B95"/>
    <w:rsid w:val="00D11CD4"/>
    <w:rsid w:val="00D14AF4"/>
    <w:rsid w:val="00D16691"/>
    <w:rsid w:val="00D25417"/>
    <w:rsid w:val="00D30E55"/>
    <w:rsid w:val="00D31AA3"/>
    <w:rsid w:val="00D35B11"/>
    <w:rsid w:val="00D4693D"/>
    <w:rsid w:val="00D5169F"/>
    <w:rsid w:val="00D52372"/>
    <w:rsid w:val="00D535E7"/>
    <w:rsid w:val="00D551CF"/>
    <w:rsid w:val="00D57F28"/>
    <w:rsid w:val="00D60627"/>
    <w:rsid w:val="00D67EBF"/>
    <w:rsid w:val="00D732A7"/>
    <w:rsid w:val="00D75A95"/>
    <w:rsid w:val="00D76AE5"/>
    <w:rsid w:val="00D902A8"/>
    <w:rsid w:val="00D91435"/>
    <w:rsid w:val="00DA5AF3"/>
    <w:rsid w:val="00DB1E4D"/>
    <w:rsid w:val="00DC1AB6"/>
    <w:rsid w:val="00DC2AC8"/>
    <w:rsid w:val="00DC62C9"/>
    <w:rsid w:val="00DC6B85"/>
    <w:rsid w:val="00DC77D4"/>
    <w:rsid w:val="00DC7AF4"/>
    <w:rsid w:val="00DD1242"/>
    <w:rsid w:val="00DD39B4"/>
    <w:rsid w:val="00DD534C"/>
    <w:rsid w:val="00DE1DE9"/>
    <w:rsid w:val="00DE564B"/>
    <w:rsid w:val="00DF0D5F"/>
    <w:rsid w:val="00DF7808"/>
    <w:rsid w:val="00E16648"/>
    <w:rsid w:val="00E22F6B"/>
    <w:rsid w:val="00E354A6"/>
    <w:rsid w:val="00E426A1"/>
    <w:rsid w:val="00E46543"/>
    <w:rsid w:val="00E62CF0"/>
    <w:rsid w:val="00E66104"/>
    <w:rsid w:val="00E67A4C"/>
    <w:rsid w:val="00E7146A"/>
    <w:rsid w:val="00E840B6"/>
    <w:rsid w:val="00E87C93"/>
    <w:rsid w:val="00E9044B"/>
    <w:rsid w:val="00E96BA6"/>
    <w:rsid w:val="00EA2C6F"/>
    <w:rsid w:val="00EB3AE4"/>
    <w:rsid w:val="00EB6C2F"/>
    <w:rsid w:val="00ED3E1D"/>
    <w:rsid w:val="00F101F2"/>
    <w:rsid w:val="00F10289"/>
    <w:rsid w:val="00F12691"/>
    <w:rsid w:val="00F12DFD"/>
    <w:rsid w:val="00F131DD"/>
    <w:rsid w:val="00F17A73"/>
    <w:rsid w:val="00F233B2"/>
    <w:rsid w:val="00F25103"/>
    <w:rsid w:val="00F251E2"/>
    <w:rsid w:val="00F345FF"/>
    <w:rsid w:val="00F401A2"/>
    <w:rsid w:val="00F434CF"/>
    <w:rsid w:val="00F5676C"/>
    <w:rsid w:val="00F81BFF"/>
    <w:rsid w:val="00F826C3"/>
    <w:rsid w:val="00F83023"/>
    <w:rsid w:val="00F85782"/>
    <w:rsid w:val="00F91A7E"/>
    <w:rsid w:val="00F940BA"/>
    <w:rsid w:val="00F962BF"/>
    <w:rsid w:val="00F96888"/>
    <w:rsid w:val="00FB3BC2"/>
    <w:rsid w:val="00FB620F"/>
    <w:rsid w:val="00FE0403"/>
    <w:rsid w:val="00FE3210"/>
    <w:rsid w:val="00FE6875"/>
    <w:rsid w:val="00FF1C20"/>
    <w:rsid w:val="00FF3CBB"/>
    <w:rsid w:val="00FF4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632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spacing w:before="240" w:after="60"/>
      <w:outlineLvl w:val="0"/>
    </w:pPr>
    <w:rPr>
      <w:rFonts w:ascii="Helvetica" w:hAnsi="Helvetica"/>
      <w:b/>
      <w:kern w:val="28"/>
      <w:sz w:val="28"/>
    </w:rPr>
  </w:style>
  <w:style w:type="paragraph" w:styleId="Heading2">
    <w:name w:val="heading 2"/>
    <w:basedOn w:val="Normal"/>
    <w:next w:val="Normal"/>
    <w:qFormat/>
    <w:pPr>
      <w:keepNext/>
      <w:spacing w:before="240" w:after="60"/>
      <w:outlineLvl w:val="1"/>
    </w:pPr>
    <w:rPr>
      <w:rFonts w:ascii="Helvetica" w:hAnsi="Helvetica"/>
      <w:b/>
      <w:i/>
    </w:rPr>
  </w:style>
  <w:style w:type="paragraph" w:styleId="Heading3">
    <w:name w:val="heading 3"/>
    <w:basedOn w:val="Normal"/>
    <w:next w:val="Normal"/>
    <w:qFormat/>
    <w:pPr>
      <w:keepNext/>
      <w:outlineLvl w:val="2"/>
    </w:pPr>
    <w:rPr>
      <w:rFonts w:ascii="Times New Roman" w:hAnsi="Times New Roman"/>
      <w:b/>
      <w:sz w:val="36"/>
    </w:rPr>
  </w:style>
  <w:style w:type="paragraph" w:styleId="Heading4">
    <w:name w:val="heading 4"/>
    <w:basedOn w:val="Normal"/>
    <w:next w:val="Normal"/>
    <w:qFormat/>
    <w:pPr>
      <w:keepNext/>
      <w:jc w:val="center"/>
      <w:outlineLvl w:val="3"/>
    </w:pPr>
    <w:rPr>
      <w:b/>
      <w:sz w:val="30"/>
    </w:rPr>
  </w:style>
  <w:style w:type="paragraph" w:styleId="Heading5">
    <w:name w:val="heading 5"/>
    <w:basedOn w:val="Normal"/>
    <w:next w:val="Normal"/>
    <w:qFormat/>
    <w:pPr>
      <w:keepNext/>
      <w:outlineLvl w:val="4"/>
    </w:pPr>
    <w:rPr>
      <w:rFonts w:eastAsia="Times New Roman"/>
      <w:b/>
      <w:sz w:val="26"/>
      <w:lang w:val="en-AU"/>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MT" w:eastAsia="Times New Roman" w:hAnsi="ArialMT"/>
      <w:i/>
    </w:rPr>
  </w:style>
  <w:style w:type="paragraph" w:styleId="Heading8">
    <w:name w:val="heading 8"/>
    <w:basedOn w:val="Normal"/>
    <w:next w:val="Normal"/>
    <w:qFormat/>
    <w:pPr>
      <w:keepNext/>
      <w:outlineLvl w:val="7"/>
    </w:pPr>
    <w:rPr>
      <w:rFonts w:ascii="ArialMT" w:eastAsia="Times New Roman" w:hAnsi="ArialMT"/>
      <w:u w:val="single"/>
    </w:rPr>
  </w:style>
  <w:style w:type="paragraph" w:styleId="Heading9">
    <w:name w:val="heading 9"/>
    <w:basedOn w:val="Normal"/>
    <w:next w:val="Normal"/>
    <w:qFormat/>
    <w:pPr>
      <w:keepNext/>
      <w:outlineLvl w:val="8"/>
    </w:pPr>
    <w:rPr>
      <w:rFonts w:eastAsia="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360"/>
      </w:tabs>
    </w:pPr>
    <w:rPr>
      <w:rFonts w:eastAsia="Times New Roman"/>
      <w:i/>
      <w:lang w:val="en-AU"/>
    </w:rPr>
  </w:style>
  <w:style w:type="character" w:styleId="PageNumber">
    <w:name w:val="page number"/>
    <w:basedOn w:val="DefaultParagraphFont"/>
  </w:style>
  <w:style w:type="paragraph" w:styleId="BodyText2">
    <w:name w:val="Body Text 2"/>
    <w:basedOn w:val="Normal"/>
    <w:rPr>
      <w:sz w:val="22"/>
    </w:rPr>
  </w:style>
  <w:style w:type="paragraph" w:styleId="Title">
    <w:name w:val="Title"/>
    <w:basedOn w:val="Normal"/>
    <w:qFormat/>
    <w:pPr>
      <w:jc w:val="center"/>
    </w:pPr>
    <w:rPr>
      <w:rFonts w:ascii="Times New Roman" w:hAnsi="Times New Roman"/>
      <w:sz w:val="28"/>
      <w:lang w:val="en-AU"/>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rPr>
      <w:sz w:val="18"/>
    </w:rPr>
  </w:style>
  <w:style w:type="paragraph" w:styleId="BalloonText">
    <w:name w:val="Balloon Text"/>
    <w:basedOn w:val="Normal"/>
    <w:semiHidden/>
    <w:rsid w:val="00DE1DE9"/>
    <w:rPr>
      <w:rFonts w:ascii="Tahoma" w:hAnsi="Tahoma" w:cs="Tahoma"/>
      <w:sz w:val="16"/>
      <w:szCs w:val="16"/>
    </w:rPr>
  </w:style>
  <w:style w:type="paragraph" w:styleId="CommentSubject">
    <w:name w:val="annotation subject"/>
    <w:basedOn w:val="CommentText"/>
    <w:next w:val="CommentText"/>
    <w:link w:val="CommentSubjectChar"/>
    <w:rsid w:val="001C0078"/>
    <w:rPr>
      <w:b/>
      <w:bCs/>
    </w:rPr>
  </w:style>
  <w:style w:type="character" w:customStyle="1" w:styleId="CommentTextChar">
    <w:name w:val="Comment Text Char"/>
    <w:basedOn w:val="DefaultParagraphFont"/>
    <w:link w:val="CommentText"/>
    <w:semiHidden/>
    <w:rsid w:val="001C0078"/>
  </w:style>
  <w:style w:type="character" w:customStyle="1" w:styleId="CommentSubjectChar">
    <w:name w:val="Comment Subject Char"/>
    <w:basedOn w:val="CommentTextChar"/>
    <w:link w:val="CommentSubject"/>
    <w:rsid w:val="001C0078"/>
  </w:style>
  <w:style w:type="paragraph" w:customStyle="1" w:styleId="PSURParagraph1">
    <w:name w:val="PSUR Paragraph 1"/>
    <w:basedOn w:val="Normal"/>
    <w:link w:val="PSURParagraph1Char"/>
    <w:rsid w:val="00B43E35"/>
    <w:pPr>
      <w:spacing w:before="240" w:after="120"/>
      <w:jc w:val="both"/>
    </w:pPr>
    <w:rPr>
      <w:rFonts w:ascii="Times New Roman" w:eastAsia="Times New Roman" w:hAnsi="Times New Roman"/>
      <w:lang w:val="en-GB" w:eastAsia="cs-CZ"/>
    </w:rPr>
  </w:style>
  <w:style w:type="character" w:customStyle="1" w:styleId="PSURParagraph1Char">
    <w:name w:val="PSUR Paragraph 1 Char"/>
    <w:link w:val="PSURParagraph1"/>
    <w:rsid w:val="00B43E35"/>
    <w:rPr>
      <w:rFonts w:ascii="Times New Roman" w:eastAsia="Times New Roman" w:hAnsi="Times New Roman"/>
      <w:sz w:val="24"/>
      <w:lang w:val="en-GB" w:eastAsia="cs-CZ"/>
    </w:rPr>
  </w:style>
  <w:style w:type="paragraph" w:styleId="Revision">
    <w:name w:val="Revision"/>
    <w:hidden/>
    <w:uiPriority w:val="99"/>
    <w:semiHidden/>
    <w:rsid w:val="00775150"/>
    <w:rPr>
      <w:sz w:val="24"/>
      <w:lang w:val="en-US" w:eastAsia="en-US"/>
    </w:rPr>
  </w:style>
  <w:style w:type="table" w:styleId="TableGrid">
    <w:name w:val="Table Grid"/>
    <w:basedOn w:val="TableNormal"/>
    <w:uiPriority w:val="59"/>
    <w:rsid w:val="00DF0D5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550A5"/>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19189-A9BA-42D3-A4F5-70AA59A4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5934</Words>
  <Characters>33830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AusPAR Attachment 1. Product Information for Fentanyl citrate</vt:lpstr>
    </vt:vector>
  </TitlesOfParts>
  <Company>Orphan Australia</Company>
  <LinksUpToDate>false</LinksUpToDate>
  <CharactersWithSpaces>39685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Fentanyl citrate (Fentora)</dc:title>
  <dc:subject>prescription medicine regulation</dc:subject>
  <dc:creator>Orphan Australia</dc:creator>
  <cp:keywords>product, information, prescription, medicine, regulation, fentanyl citrate, fentora</cp:keywords>
  <dc:description/>
  <cp:lastModifiedBy>Sheppard, Fran</cp:lastModifiedBy>
  <cp:revision>5</cp:revision>
  <cp:lastPrinted>2014-11-10T00:03:00Z</cp:lastPrinted>
  <dcterms:created xsi:type="dcterms:W3CDTF">2015-04-21T23:34:00Z</dcterms:created>
  <dcterms:modified xsi:type="dcterms:W3CDTF">2015-05-29T00:18:00Z</dcterms:modified>
</cp:coreProperties>
</file>