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3481" w:rsidRDefault="009E3481">
      <w:bookmarkStart w:id="0" w:name="_GoBack"/>
      <w:bookmarkEnd w:id="0"/>
    </w:p>
    <w:p w:rsidR="009E3481" w:rsidRDefault="00CC5E9F">
      <w:pPr>
        <w:pStyle w:val="BrandNamePI"/>
      </w:pPr>
      <w:r>
        <w:t>ADENURIC</w:t>
      </w:r>
      <w:r>
        <w:rPr>
          <w:vertAlign w:val="superscript"/>
        </w:rPr>
        <w:sym w:font="Symbol" w:char="F0D2"/>
      </w:r>
    </w:p>
    <w:p w:rsidR="009E3481" w:rsidRDefault="00CC5E9F">
      <w:pPr>
        <w:pStyle w:val="ActiveIngredientPI"/>
      </w:pPr>
      <w:r>
        <w:t>(febuxostat)</w:t>
      </w:r>
    </w:p>
    <w:p w:rsidR="009E3481" w:rsidRDefault="00CC5E9F">
      <w:pPr>
        <w:pStyle w:val="PIHeading1"/>
        <w:rPr>
          <w:rFonts w:hint="eastAsia"/>
        </w:rPr>
      </w:pPr>
      <w:r>
        <w:t>NAME OF THE medicine</w:t>
      </w:r>
    </w:p>
    <w:p w:rsidR="009E3481" w:rsidRDefault="00CC5E9F">
      <w:pPr>
        <w:pStyle w:val="TextPI"/>
      </w:pPr>
      <w:r>
        <w:t>ADENURIC tablet is a potent, non purine, selective inhibitor of Xanthine Oxidase (XO) that prevents the normal oxidation of purines to uric acid.</w:t>
      </w:r>
    </w:p>
    <w:p w:rsidR="009E3481" w:rsidRDefault="00CC5E9F">
      <w:pPr>
        <w:pStyle w:val="TextPI"/>
      </w:pPr>
      <w:r>
        <w:t>The active ingredient in ADENURIC is febuxostat, a 2-arylthiazole derivative. Its chemical name is 2-[3-cyano-4-(2-methylpropoxy)phenyl]-4-methylthiazole-5-carboxylic acid, and the chemical structure is:</w:t>
      </w:r>
    </w:p>
    <w:p w:rsidR="009E3481" w:rsidRDefault="009E3481">
      <w:pPr>
        <w:autoSpaceDE w:val="0"/>
        <w:autoSpaceDN w:val="0"/>
        <w:adjustRightInd w:val="0"/>
        <w:rPr>
          <w:rFonts w:ascii="TimesNewRoman" w:hAnsi="TimesNewRoman" w:cs="TimesNewRoman"/>
        </w:rPr>
      </w:pPr>
    </w:p>
    <w:p w:rsidR="009E3481" w:rsidRDefault="00CC5E9F">
      <w:pPr>
        <w:autoSpaceDE w:val="0"/>
        <w:autoSpaceDN w:val="0"/>
        <w:adjustRightInd w:val="0"/>
        <w:rPr>
          <w:rFonts w:ascii="Trebuchet MS" w:hAnsi="Trebuchet MS"/>
          <w:color w:val="1D1D1D"/>
          <w:sz w:val="23"/>
          <w:szCs w:val="23"/>
        </w:rPr>
      </w:pPr>
      <w:r>
        <w:rPr>
          <w:rFonts w:ascii="Trebuchet MS" w:hAnsi="Trebuchet MS"/>
          <w:noProof/>
          <w:color w:val="1D1D1D"/>
          <w:sz w:val="23"/>
          <w:szCs w:val="23"/>
          <w:lang w:val="en-AU" w:eastAsia="en-AU"/>
        </w:rPr>
        <w:drawing>
          <wp:inline distT="0" distB="0" distL="0" distR="0">
            <wp:extent cx="3314700" cy="18954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3314700" cy="1895475"/>
                    </a:xfrm>
                    <a:prstGeom prst="rect">
                      <a:avLst/>
                    </a:prstGeom>
                    <a:noFill/>
                    <a:ln w="9525">
                      <a:noFill/>
                      <a:miter lim="800000"/>
                      <a:headEnd/>
                      <a:tailEnd/>
                    </a:ln>
                  </pic:spPr>
                </pic:pic>
              </a:graphicData>
            </a:graphic>
          </wp:inline>
        </w:drawing>
      </w:r>
    </w:p>
    <w:p w:rsidR="009E3481" w:rsidRDefault="00CC5E9F">
      <w:pPr>
        <w:pStyle w:val="TextPI"/>
        <w:rPr>
          <w:lang w:val="en-AU"/>
        </w:rPr>
      </w:pPr>
      <w:r>
        <w:rPr>
          <w:lang w:val="en-AU"/>
        </w:rPr>
        <w:t>CAS number: 144060-53-7</w:t>
      </w:r>
    </w:p>
    <w:p w:rsidR="009E3481" w:rsidRDefault="00CC5E9F">
      <w:pPr>
        <w:pStyle w:val="TextPI"/>
        <w:rPr>
          <w:lang w:val="en-AU"/>
        </w:rPr>
      </w:pPr>
      <w:r>
        <w:rPr>
          <w:lang w:val="en-AU"/>
        </w:rPr>
        <w:t>Molecular formula: C</w:t>
      </w:r>
      <w:r>
        <w:rPr>
          <w:vertAlign w:val="subscript"/>
          <w:lang w:val="en-AU"/>
        </w:rPr>
        <w:t>16</w:t>
      </w:r>
      <w:r>
        <w:rPr>
          <w:lang w:val="en-AU"/>
        </w:rPr>
        <w:t>H</w:t>
      </w:r>
      <w:r>
        <w:rPr>
          <w:vertAlign w:val="subscript"/>
          <w:lang w:val="en-AU"/>
        </w:rPr>
        <w:t>16</w:t>
      </w:r>
      <w:r>
        <w:rPr>
          <w:lang w:val="en-AU"/>
        </w:rPr>
        <w:t>N</w:t>
      </w:r>
      <w:r>
        <w:rPr>
          <w:vertAlign w:val="subscript"/>
          <w:lang w:val="en-AU"/>
        </w:rPr>
        <w:t>2</w:t>
      </w:r>
      <w:r>
        <w:rPr>
          <w:lang w:val="en-AU"/>
        </w:rPr>
        <w:t>O</w:t>
      </w:r>
      <w:r>
        <w:rPr>
          <w:vertAlign w:val="subscript"/>
          <w:lang w:val="en-AU"/>
        </w:rPr>
        <w:t>3</w:t>
      </w:r>
      <w:r>
        <w:rPr>
          <w:lang w:val="en-AU"/>
        </w:rPr>
        <w:t>S</w:t>
      </w:r>
    </w:p>
    <w:p w:rsidR="009E3481" w:rsidRDefault="00CC5E9F">
      <w:pPr>
        <w:pStyle w:val="TextPI"/>
        <w:rPr>
          <w:lang w:val="en-AU"/>
        </w:rPr>
      </w:pPr>
      <w:r>
        <w:rPr>
          <w:lang w:val="en-AU"/>
        </w:rPr>
        <w:t>Molecular weight: 316.37</w:t>
      </w:r>
    </w:p>
    <w:p w:rsidR="009E3481" w:rsidRDefault="00CC5E9F">
      <w:pPr>
        <w:pStyle w:val="PIHeading1"/>
        <w:rPr>
          <w:rFonts w:hint="eastAsia"/>
        </w:rPr>
      </w:pPr>
      <w:r>
        <w:t>DESCRIPTION</w:t>
      </w:r>
    </w:p>
    <w:p w:rsidR="009E3481" w:rsidRDefault="00CC5E9F">
      <w:pPr>
        <w:pStyle w:val="TextPI"/>
        <w:rPr>
          <w:rFonts w:cs="Arial"/>
        </w:rPr>
      </w:pPr>
      <w:r>
        <w:rPr>
          <w:rFonts w:cs="Arial"/>
        </w:rPr>
        <w:t>Febuxostat is a white crystalline powder with a pH of 5.0 in febuxostat solution (1 in 20,000 w/v). It is practically insoluble in water, slightly soluble in methanol, freely soluble in N, N-dimethylformamide and sparingly soluble in ethanol. The solubility of febuxostat is pH dependent in a wide-ranged buffer solution (i.e. Britton-Robinson buffer): at range pH 2.0 – 6.0 febuxostat is practically insoluble and its solubility slightly increases at range pH 8.0. – 10.0. Febuxostat has an aqueous pKa of 3.3 and a LogD of 1.6 at pH 7.0 in a solution of octanol/aqueous potassium chloride. Several polymorphic forms of febuxostat have been identified, however ADENURIC tablets contain febuxostat as polymorphic form A.</w:t>
      </w:r>
    </w:p>
    <w:p w:rsidR="009E3481" w:rsidRDefault="00CC5E9F">
      <w:pPr>
        <w:pStyle w:val="TextPI"/>
        <w:rPr>
          <w:rFonts w:cs="Arial"/>
        </w:rPr>
      </w:pPr>
      <w:r>
        <w:rPr>
          <w:lang w:val="en-AU"/>
        </w:rPr>
        <w:t>ADENURIC 80 mg tablets are pale yellow to yellow, film-coated, rectangular shaped tablets, with a break line on one side and “80” engraved on the other side. They are immediate release tablets containing 80 mg of febuxostat as the active substance.</w:t>
      </w:r>
    </w:p>
    <w:p w:rsidR="009E3481" w:rsidRDefault="00CC5E9F">
      <w:pPr>
        <w:pStyle w:val="TextPI"/>
        <w:rPr>
          <w:lang w:val="en-AU"/>
        </w:rPr>
      </w:pPr>
      <w:r>
        <w:rPr>
          <w:lang w:val="en-AU"/>
        </w:rPr>
        <w:t>Tablets contain the following inactive ingredients: lactose, microcrystalline cellulose, magnesium stearate, hydroxypropylcellulose, croscarmellose sodium and silicon dioxide. Core tablets are coated with Opadry II, Yellow, 85F42129 containing: polyvinyl alcohol, titanium dioxide, macrogol 3350, talc-purified and iron oxide yellow.</w:t>
      </w:r>
    </w:p>
    <w:p w:rsidR="009E3481" w:rsidRDefault="00CC5E9F">
      <w:pPr>
        <w:pStyle w:val="PIHeading1"/>
        <w:rPr>
          <w:rFonts w:hint="eastAsia"/>
        </w:rPr>
      </w:pPr>
      <w:r>
        <w:lastRenderedPageBreak/>
        <w:t>PHARMACOLOGY</w:t>
      </w:r>
    </w:p>
    <w:p w:rsidR="009E3481" w:rsidRDefault="00CC5E9F">
      <w:pPr>
        <w:pStyle w:val="TextPI"/>
      </w:pPr>
      <w:r>
        <w:t>Febuxostat belongs to the pharmacotherapeutic group: Antigout preparation, preparations inhibiting uric acid production (ATC code: M04AA03)</w:t>
      </w:r>
    </w:p>
    <w:p w:rsidR="009E3481" w:rsidRDefault="00CC5E9F">
      <w:pPr>
        <w:pStyle w:val="PIheading2"/>
      </w:pPr>
      <w:r>
        <w:t>Pharmacodynamics</w:t>
      </w:r>
    </w:p>
    <w:p w:rsidR="009E3481" w:rsidRDefault="00CC5E9F">
      <w:pPr>
        <w:pStyle w:val="PIHeading3"/>
      </w:pPr>
      <w:r>
        <w:t>Mechanism of action</w:t>
      </w:r>
    </w:p>
    <w:p w:rsidR="009E3481" w:rsidRDefault="00CC5E9F">
      <w:pPr>
        <w:pStyle w:val="TextPI"/>
      </w:pPr>
      <w:r>
        <w:t xml:space="preserve">Uric acid is the end product of purine metabolism in humans and is generated in the cascade of hypoxanthine </w:t>
      </w:r>
      <w:r>
        <w:sym w:font="Symbol" w:char="F0AE"/>
      </w:r>
      <w:r>
        <w:t xml:space="preserve"> xanthine </w:t>
      </w:r>
      <w:r>
        <w:sym w:font="Symbol" w:char="F0AE"/>
      </w:r>
      <w:r>
        <w:t xml:space="preserve"> uric acid. Both steps in the above transformations are catalysed by xanthine oxidase (XO). Febuxostat is a 2-arylthiazole derivative that achieves its therapeutic effect of decreasing serum uric acid by selectively inhibiting XO. Febuxostat is a non-purine selective inhibitor of XO which inhibits human xanthine oxidase under </w:t>
      </w:r>
      <w:r>
        <w:rPr>
          <w:i/>
        </w:rPr>
        <w:t>in vitro</w:t>
      </w:r>
      <w:r>
        <w:t xml:space="preserve"> conditions with a dissociation constant (K</w:t>
      </w:r>
      <w:r>
        <w:rPr>
          <w:vertAlign w:val="subscript"/>
        </w:rPr>
        <w:t>i</w:t>
      </w:r>
      <w:r>
        <w:t xml:space="preserve">) of 10 nM. Febuxostat has been shown to inhibit both the </w:t>
      </w:r>
      <w:proofErr w:type="spellStart"/>
      <w:r>
        <w:t>oxidised</w:t>
      </w:r>
      <w:proofErr w:type="spellEnd"/>
      <w:r>
        <w:t xml:space="preserve"> and reduced forms of XO. At therapeutic concentrations febuxostat does not inhibit other enzymes involved in purine or pyrimidine metabolism, namely, guanine deaminase, hypoxanthine guanine phosphoribosyltransferase, orotate phosphoribosyltransferase, orotidine monophosphate decarboxylase or purine nucleoside phosphorylase. </w:t>
      </w:r>
    </w:p>
    <w:p w:rsidR="009E3481" w:rsidRDefault="00CC5E9F">
      <w:pPr>
        <w:pStyle w:val="TextPI"/>
        <w:rPr>
          <w:sz w:val="23"/>
          <w:szCs w:val="23"/>
          <w:u w:val="single"/>
        </w:rPr>
      </w:pPr>
      <w:r>
        <w:rPr>
          <w:sz w:val="23"/>
          <w:szCs w:val="23"/>
          <w:u w:val="single"/>
        </w:rPr>
        <w:t>Effect on QTc interval</w:t>
      </w:r>
    </w:p>
    <w:p w:rsidR="009E3481" w:rsidRDefault="00CC5E9F">
      <w:pPr>
        <w:pStyle w:val="TextPI"/>
      </w:pPr>
      <w:r>
        <w:rPr>
          <w:sz w:val="23"/>
          <w:szCs w:val="23"/>
        </w:rPr>
        <w:t>The effect of febuxostat on cardiac repolarization as assessed by the QTc interval was evaluated in normal healthy participants and in patients with gout. ADENURIC in doses up to 300 mg daily, at steady-state, did not demonstrate an effect on the QTc interval.</w:t>
      </w:r>
    </w:p>
    <w:p w:rsidR="009E3481" w:rsidRDefault="00CC5E9F">
      <w:pPr>
        <w:pStyle w:val="PIheading2"/>
      </w:pPr>
      <w:r>
        <w:t>Pharmacokinetics</w:t>
      </w:r>
    </w:p>
    <w:p w:rsidR="009E3481" w:rsidRDefault="00CC5E9F">
      <w:pPr>
        <w:pStyle w:val="PIHeading3"/>
      </w:pPr>
      <w:r>
        <w:t>General</w:t>
      </w:r>
    </w:p>
    <w:p w:rsidR="009E3481" w:rsidRDefault="00CC5E9F">
      <w:pPr>
        <w:pStyle w:val="TextPI"/>
      </w:pPr>
      <w:r>
        <w:rPr>
          <w:sz w:val="23"/>
          <w:szCs w:val="23"/>
        </w:rPr>
        <w:t>In healthy subjects, maximum plasma concentrations (C</w:t>
      </w:r>
      <w:r>
        <w:rPr>
          <w:sz w:val="16"/>
          <w:szCs w:val="16"/>
        </w:rPr>
        <w:t>max</w:t>
      </w:r>
      <w:r>
        <w:rPr>
          <w:sz w:val="23"/>
          <w:szCs w:val="23"/>
        </w:rPr>
        <w:t>) and area under the concentration time curve (AUC) of febuxostat increased in a dose proportional manner following single and multiple doses of 10 mg to 120 mg. There is no accumulation when therapeutic doses are administered every 24 hours. Febuxostat has an apparent mean terminal elimination half-life (t</w:t>
      </w:r>
      <w:r>
        <w:rPr>
          <w:sz w:val="16"/>
          <w:szCs w:val="16"/>
        </w:rPr>
        <w:t>1/2</w:t>
      </w:r>
      <w:r>
        <w:rPr>
          <w:sz w:val="23"/>
          <w:szCs w:val="23"/>
        </w:rPr>
        <w:t>) of approximately 5 to 8 hours. Febuxostat pharmacokinetic parameters for patients with hyperuricaemia and gout estimated by population pharmacokinetic analyses were similar to those estimated in healthy subjects.</w:t>
      </w:r>
      <w:r>
        <w:t xml:space="preserve"> </w:t>
      </w:r>
    </w:p>
    <w:p w:rsidR="009E3481" w:rsidRDefault="00CC5E9F">
      <w:pPr>
        <w:pStyle w:val="PIHeading3"/>
      </w:pPr>
      <w:r>
        <w:t>Absorption:</w:t>
      </w:r>
    </w:p>
    <w:p w:rsidR="009E3481" w:rsidRDefault="00CC5E9F">
      <w:pPr>
        <w:jc w:val="both"/>
        <w:rPr>
          <w:rFonts w:ascii="Arial" w:hAnsi="Arial"/>
          <w:sz w:val="22"/>
          <w:szCs w:val="22"/>
        </w:rPr>
      </w:pPr>
      <w:r>
        <w:rPr>
          <w:rFonts w:ascii="Arial" w:hAnsi="Arial"/>
          <w:sz w:val="22"/>
          <w:szCs w:val="22"/>
        </w:rPr>
        <w:t>Febuxostat is rapidly (t</w:t>
      </w:r>
      <w:r>
        <w:rPr>
          <w:rFonts w:ascii="Arial" w:hAnsi="Arial"/>
          <w:sz w:val="22"/>
          <w:szCs w:val="22"/>
          <w:vertAlign w:val="subscript"/>
        </w:rPr>
        <w:t>max</w:t>
      </w:r>
      <w:r>
        <w:rPr>
          <w:rFonts w:ascii="Arial" w:hAnsi="Arial"/>
          <w:sz w:val="22"/>
          <w:szCs w:val="22"/>
        </w:rPr>
        <w:t xml:space="preserve"> of 1.0-1.5 h) and well absorbed (at least 84%). After single or multiple oral 40mg and 80mg once daily doses, C</w:t>
      </w:r>
      <w:r>
        <w:rPr>
          <w:rFonts w:ascii="Arial" w:hAnsi="Arial"/>
          <w:sz w:val="22"/>
          <w:szCs w:val="22"/>
          <w:vertAlign w:val="subscript"/>
        </w:rPr>
        <w:t>max</w:t>
      </w:r>
      <w:r>
        <w:rPr>
          <w:rFonts w:ascii="Arial" w:hAnsi="Arial"/>
          <w:sz w:val="22"/>
          <w:szCs w:val="22"/>
        </w:rPr>
        <w:t xml:space="preserve"> is approximately 1.5-1.6 µg/mL, and  2.5 – 2.6 µg/mL, respectively. Absolute bioavailability of the febuxostat tablet formulation has not been studied. </w:t>
      </w:r>
    </w:p>
    <w:p w:rsidR="009E3481" w:rsidRDefault="00CC5E9F">
      <w:pPr>
        <w:pStyle w:val="TextPI"/>
      </w:pPr>
      <w:r>
        <w:t>Following multiple 80 mg once daily doses with a high fat meal, there was a 49% decrease in Cmax and an 18% decrease in AUC, respectively. However, no clinically significant change in the percent decrease in serum uric acid concentration was observed (58% fed vs. 51% fasting). Thus, ADENURIC may be taken without regard to food.</w:t>
      </w:r>
    </w:p>
    <w:p w:rsidR="009E3481" w:rsidRDefault="00CC5E9F">
      <w:pPr>
        <w:pStyle w:val="PIHeading3"/>
        <w:rPr>
          <w:u w:val="none"/>
        </w:rPr>
      </w:pPr>
      <w:r>
        <w:t>Distribution</w:t>
      </w:r>
      <w:r>
        <w:rPr>
          <w:u w:val="none"/>
        </w:rPr>
        <w:t>:</w:t>
      </w:r>
    </w:p>
    <w:p w:rsidR="009E3481" w:rsidRDefault="00CC5E9F">
      <w:pPr>
        <w:pStyle w:val="TextPI"/>
      </w:pPr>
      <w:r>
        <w:t>The mean apparent steady state volume of distribution (Vss/F) of febuxostat was approximately 50 L (CV ~40%). The plasma protein binding of febuxostat is approximately 99.2% (primarily to albumin), and is constant over the concentration range achieved with 40 mg and 80 mg doses.</w:t>
      </w:r>
    </w:p>
    <w:p w:rsidR="009E3481" w:rsidRDefault="00CC5E9F">
      <w:pPr>
        <w:pStyle w:val="PIHeading3"/>
      </w:pPr>
      <w:r>
        <w:t>Metabolism:</w:t>
      </w:r>
    </w:p>
    <w:p w:rsidR="009E3481" w:rsidRDefault="00CC5E9F">
      <w:pPr>
        <w:pStyle w:val="TextPI"/>
      </w:pPr>
      <w:r>
        <w:lastRenderedPageBreak/>
        <w:t xml:space="preserve">Febuxostat is metabolized by conjugation via uridine diphosphate glucuronosyltransferase (UDPGT) enzyme system and oxidation via the cytochrome P450 (CYP) system. Four pharmacologically active hydroxyl metabolites have been identified, of which three occur in plasma of humans. </w:t>
      </w:r>
      <w:r>
        <w:rPr>
          <w:i/>
        </w:rPr>
        <w:t>In vitro</w:t>
      </w:r>
      <w:r>
        <w:t xml:space="preserve"> studies with human liver microsomes showed that those oxidative metabolites were formed primarily by CYP1A1, CYP1A2, CYP2C8 or CYP2C9 and febuxostat glucuronide was formed mainly by UGT 1A1, 1A8, and 1A9.</w:t>
      </w:r>
    </w:p>
    <w:p w:rsidR="009E3481" w:rsidRDefault="009E3481">
      <w:pPr>
        <w:pStyle w:val="PIHeading3"/>
      </w:pPr>
    </w:p>
    <w:p w:rsidR="009E3481" w:rsidRDefault="00CC5E9F">
      <w:pPr>
        <w:pStyle w:val="PIHeading3"/>
      </w:pPr>
      <w:r>
        <w:t>Elimination:</w:t>
      </w:r>
    </w:p>
    <w:p w:rsidR="009E3481" w:rsidRDefault="00CC5E9F">
      <w:pPr>
        <w:pStyle w:val="TextPI"/>
      </w:pPr>
      <w:r>
        <w:t>Febuxostat is eliminated by both hepatic and renal pathways. Following an 80 mg oral dose of 14C-labeled febuxostat, approximately 49% of the dose was recovered in the urine as unchanged febuxostat (3%), the acyl glucuronide of the active substance (30%), its known oxidative metabolites and their conjugates (13%), and other unknown metabolites (3%). In addition to the urinary excretion, approximately 45% of the dose was recovered in the faeces as the unchanged febuxostat (12%), the acyl glucuronide of the active substance (1%), its known oxidative metabolites and their conjugates (25%), and other unknown metabolites (7%).</w:t>
      </w:r>
    </w:p>
    <w:p w:rsidR="009E3481" w:rsidRDefault="00CC5E9F">
      <w:pPr>
        <w:pStyle w:val="PIHeading3"/>
      </w:pPr>
      <w:r>
        <w:t>Pharmacokinetics in special patient groups:</w:t>
      </w:r>
    </w:p>
    <w:p w:rsidR="009E3481" w:rsidRDefault="00CC5E9F">
      <w:pPr>
        <w:pStyle w:val="TextPI"/>
        <w:rPr>
          <w:i/>
          <w:iCs/>
        </w:rPr>
      </w:pPr>
      <w:r>
        <w:rPr>
          <w:i/>
          <w:iCs/>
        </w:rPr>
        <w:t xml:space="preserve">Renal impairment </w:t>
      </w:r>
    </w:p>
    <w:p w:rsidR="009E3481" w:rsidRDefault="00CC5E9F">
      <w:pPr>
        <w:pStyle w:val="Default"/>
        <w:jc w:val="both"/>
        <w:rPr>
          <w:sz w:val="22"/>
          <w:szCs w:val="22"/>
        </w:rPr>
      </w:pPr>
      <w:r>
        <w:rPr>
          <w:sz w:val="22"/>
          <w:szCs w:val="22"/>
        </w:rPr>
        <w:t>Following multiple doses of 80 mg of ADENURIC in patients with mild (</w:t>
      </w:r>
      <w:proofErr w:type="spellStart"/>
      <w:r>
        <w:rPr>
          <w:sz w:val="22"/>
          <w:szCs w:val="22"/>
        </w:rPr>
        <w:t>Clcr</w:t>
      </w:r>
      <w:proofErr w:type="spellEnd"/>
      <w:r>
        <w:rPr>
          <w:sz w:val="22"/>
          <w:szCs w:val="22"/>
        </w:rPr>
        <w:t xml:space="preserve"> 60-89 mL/min</w:t>
      </w:r>
      <w:r w:rsidR="00E5351F">
        <w:rPr>
          <w:sz w:val="22"/>
          <w:szCs w:val="22"/>
        </w:rPr>
        <w:t xml:space="preserve">, Stage 2 </w:t>
      </w:r>
      <w:r>
        <w:rPr>
          <w:sz w:val="22"/>
          <w:szCs w:val="22"/>
        </w:rPr>
        <w:t>Chronic Kidney Disease</w:t>
      </w:r>
      <w:r w:rsidR="00E5351F">
        <w:rPr>
          <w:sz w:val="22"/>
          <w:szCs w:val="22"/>
        </w:rPr>
        <w:t xml:space="preserve"> (CKD)</w:t>
      </w:r>
      <w:r>
        <w:rPr>
          <w:sz w:val="22"/>
          <w:szCs w:val="22"/>
        </w:rPr>
        <w:t>),  moderate (</w:t>
      </w:r>
      <w:proofErr w:type="spellStart"/>
      <w:r>
        <w:rPr>
          <w:sz w:val="22"/>
          <w:szCs w:val="22"/>
        </w:rPr>
        <w:t>Clcr</w:t>
      </w:r>
      <w:proofErr w:type="spellEnd"/>
      <w:r>
        <w:rPr>
          <w:sz w:val="22"/>
          <w:szCs w:val="22"/>
        </w:rPr>
        <w:t xml:space="preserve"> 30 to 59 mL/min</w:t>
      </w:r>
      <w:r w:rsidR="00E5351F">
        <w:rPr>
          <w:sz w:val="22"/>
          <w:szCs w:val="22"/>
        </w:rPr>
        <w:t>,</w:t>
      </w:r>
      <w:r>
        <w:rPr>
          <w:sz w:val="22"/>
          <w:szCs w:val="22"/>
        </w:rPr>
        <w:t xml:space="preserve"> Stage 3 CKD)  or severe renal impairment (Clcr 10 to 29 mL/min, Stage 4 CKD), the C</w:t>
      </w:r>
      <w:r>
        <w:rPr>
          <w:sz w:val="22"/>
          <w:szCs w:val="22"/>
          <w:vertAlign w:val="subscript"/>
        </w:rPr>
        <w:t>max</w:t>
      </w:r>
      <w:r>
        <w:rPr>
          <w:sz w:val="22"/>
          <w:szCs w:val="22"/>
        </w:rPr>
        <w:t xml:space="preserve"> of febuxostat did not change, relative to subjects with normal renal function. The mean total AUC of febuxostat increased by approximately 1.8-fold from 7.5 </w:t>
      </w:r>
      <w:r>
        <w:rPr>
          <w:sz w:val="22"/>
          <w:szCs w:val="22"/>
        </w:rPr>
        <w:sym w:font="Symbol" w:char="F06D"/>
      </w:r>
      <w:r>
        <w:rPr>
          <w:sz w:val="22"/>
          <w:szCs w:val="22"/>
        </w:rPr>
        <w:t>g</w:t>
      </w:r>
      <w:r>
        <w:rPr>
          <w:sz w:val="22"/>
          <w:szCs w:val="22"/>
        </w:rPr>
        <w:sym w:font="Symbol" w:char="F0D7"/>
      </w:r>
      <w:r>
        <w:rPr>
          <w:sz w:val="22"/>
          <w:szCs w:val="22"/>
        </w:rPr>
        <w:t xml:space="preserve">h/mL in the normal renal function group to 13.2 </w:t>
      </w:r>
      <w:r>
        <w:rPr>
          <w:sz w:val="22"/>
          <w:szCs w:val="22"/>
        </w:rPr>
        <w:sym w:font="Symbol" w:char="F06D"/>
      </w:r>
      <w:r>
        <w:rPr>
          <w:sz w:val="22"/>
          <w:szCs w:val="22"/>
        </w:rPr>
        <w:t>g.h/mL in the severe renal dysfunction group. The C</w:t>
      </w:r>
      <w:r>
        <w:rPr>
          <w:sz w:val="22"/>
          <w:szCs w:val="22"/>
          <w:vertAlign w:val="subscript"/>
        </w:rPr>
        <w:t>max</w:t>
      </w:r>
      <w:r>
        <w:rPr>
          <w:sz w:val="22"/>
          <w:szCs w:val="22"/>
        </w:rPr>
        <w:t xml:space="preserve"> and AUC of active metabolites increased up to 2- and 4-fold, respectively. However, no dose adjustment is necessary in patients with mild or moderate renal impairment (Clcr 30-89 mL/min, Stages 2 -3 CKD). There are insufficient data in patients with severe renal impairment (Clcr 10 to 29 mL/min, Stage 4 CKD), therefore caution should be exercised in these patients. There are no data in end stage renal impairment patients who are on dialysis. </w:t>
      </w:r>
    </w:p>
    <w:p w:rsidR="009E3481" w:rsidRDefault="00CC5E9F">
      <w:pPr>
        <w:pStyle w:val="TextPI"/>
        <w:rPr>
          <w:i/>
          <w:iCs/>
        </w:rPr>
      </w:pPr>
      <w:r>
        <w:rPr>
          <w:i/>
          <w:iCs/>
        </w:rPr>
        <w:t>Hepatic impairment</w:t>
      </w:r>
    </w:p>
    <w:p w:rsidR="009E3481" w:rsidRDefault="00CC5E9F">
      <w:pPr>
        <w:pStyle w:val="TextPI"/>
      </w:pPr>
      <w:r>
        <w:t>Following multiple 80 mg doses of ADENURIC in patients with mild (Child-Pugh Class A) or moderate (Child-Pugh Class B) hepatic impairment, an average of 20% to 30% increase was observed for both C</w:t>
      </w:r>
      <w:r>
        <w:rPr>
          <w:vertAlign w:val="subscript"/>
        </w:rPr>
        <w:t>max</w:t>
      </w:r>
      <w:r>
        <w:t xml:space="preserve"> and AUC</w:t>
      </w:r>
      <w:r>
        <w:rPr>
          <w:vertAlign w:val="subscript"/>
        </w:rPr>
        <w:t>24</w:t>
      </w:r>
      <w:r>
        <w:t xml:space="preserve"> (total and unbound) in hepatic impairment groups compared to subjects with normal hepatic function. In addition, the percent decrease in serum uric acid concentration was comparable between different hepatic groups (62% in healthy group, 49% in mild hepatic impairment group, and 48% in moderate hepatic impairment group). No dose adjustment is necessary in patients with mild or moderate hepatic impairment. No studies have been conducted in subjects with severe hepatic impairment (Child-Pugh Class C); caution should be exercised in those patients. </w:t>
      </w:r>
    </w:p>
    <w:p w:rsidR="009E3481" w:rsidRDefault="00CC5E9F">
      <w:pPr>
        <w:pStyle w:val="TextPI"/>
        <w:rPr>
          <w:i/>
          <w:iCs/>
        </w:rPr>
      </w:pPr>
      <w:r>
        <w:rPr>
          <w:i/>
          <w:iCs/>
        </w:rPr>
        <w:t>Age</w:t>
      </w:r>
    </w:p>
    <w:p w:rsidR="009E3481" w:rsidRDefault="00CC5E9F">
      <w:pPr>
        <w:pStyle w:val="TextPI"/>
      </w:pPr>
      <w:r>
        <w:t xml:space="preserve">There were no significant changes observed in AUC of febuxostat or its metabolites following multiple oral doses of ADENURIC in elderly as compared to younger healthy subjects. The Cmax and AUC of febuxostat and its metabolites following multiple oral doses of ADENURIC in geriatric participants (≥ 65 years) were similar to those in younger participants (18 to 40 years). In addition, the percent decrease in serum uric acid concentration was similar between elderly and younger participants. No dose adjustment is necessary in geriatric patients (see </w:t>
      </w:r>
      <w:r>
        <w:rPr>
          <w:b/>
        </w:rPr>
        <w:t>PRECAUTIONS</w:t>
      </w:r>
      <w:r>
        <w:t>).</w:t>
      </w:r>
    </w:p>
    <w:p w:rsidR="009E3481" w:rsidRDefault="00CC5E9F">
      <w:pPr>
        <w:pStyle w:val="TextPI"/>
        <w:rPr>
          <w:i/>
          <w:iCs/>
        </w:rPr>
      </w:pPr>
      <w:r>
        <w:rPr>
          <w:i/>
          <w:iCs/>
        </w:rPr>
        <w:t>Gender</w:t>
      </w:r>
    </w:p>
    <w:p w:rsidR="009E3481" w:rsidRDefault="00CC5E9F">
      <w:pPr>
        <w:pStyle w:val="TextPI"/>
      </w:pPr>
      <w:r>
        <w:lastRenderedPageBreak/>
        <w:t>Following multiple oral doses of ADENURIC, the C</w:t>
      </w:r>
      <w:r>
        <w:rPr>
          <w:vertAlign w:val="subscript"/>
        </w:rPr>
        <w:t>max</w:t>
      </w:r>
      <w:r>
        <w:t xml:space="preserve"> and AUC were 24% and 12% higher in females than in males, respectively. However, weight-corrected C</w:t>
      </w:r>
      <w:r>
        <w:rPr>
          <w:vertAlign w:val="subscript"/>
        </w:rPr>
        <w:t>max</w:t>
      </w:r>
      <w:r>
        <w:t xml:space="preserve"> and AUC were similar between the genders. </w:t>
      </w:r>
      <w:r>
        <w:rPr>
          <w:sz w:val="23"/>
          <w:szCs w:val="23"/>
        </w:rPr>
        <w:t xml:space="preserve">In addition, the percent decrease in serum uric acid concentrations was similar between genders. </w:t>
      </w:r>
      <w:r>
        <w:t>No dose adjustment is needed based on gender.</w:t>
      </w:r>
    </w:p>
    <w:p w:rsidR="009E3481" w:rsidRDefault="00CC5E9F">
      <w:pPr>
        <w:pStyle w:val="PIHeading1"/>
        <w:rPr>
          <w:rFonts w:hint="eastAsia"/>
          <w:lang w:val="en-GB"/>
        </w:rPr>
      </w:pPr>
      <w:r>
        <w:rPr>
          <w:lang w:val="en-GB"/>
        </w:rPr>
        <w:t>CLINICAL TRIALS</w:t>
      </w:r>
    </w:p>
    <w:p w:rsidR="009E3481" w:rsidRDefault="00CC5E9F">
      <w:pPr>
        <w:autoSpaceDE w:val="0"/>
        <w:autoSpaceDN w:val="0"/>
        <w:adjustRightInd w:val="0"/>
        <w:jc w:val="both"/>
        <w:rPr>
          <w:rFonts w:ascii="Arial" w:hAnsi="Arial"/>
          <w:sz w:val="22"/>
          <w:szCs w:val="22"/>
        </w:rPr>
      </w:pPr>
      <w:r>
        <w:rPr>
          <w:rFonts w:ascii="Arial" w:hAnsi="Arial"/>
          <w:sz w:val="22"/>
          <w:szCs w:val="22"/>
        </w:rPr>
        <w:t xml:space="preserve">The efficacy of ADENURIC was demonstrated in one Phase II clinical trial (TMX-00-004) and subsequently confirmed in three Phase 3 pivotal studies (APEX, FACT and CONFIRMS study). Studies were conducted in 4101 patients with hyperuricaemia and gout. Hyperuricaemia was defined as a baseline serum uric acid level (sUA) ≥ 476 </w:t>
      </w:r>
      <w:r>
        <w:rPr>
          <w:rFonts w:ascii="Arial" w:hAnsi="Arial" w:cs="Arial"/>
          <w:sz w:val="22"/>
          <w:szCs w:val="22"/>
        </w:rPr>
        <w:t>µ</w:t>
      </w:r>
      <w:r>
        <w:rPr>
          <w:rFonts w:ascii="Arial" w:hAnsi="Arial"/>
          <w:sz w:val="22"/>
          <w:szCs w:val="22"/>
        </w:rPr>
        <w:t>mol/L (8 mg/dL).</w:t>
      </w:r>
    </w:p>
    <w:p w:rsidR="009E3481" w:rsidRDefault="009E3481">
      <w:pPr>
        <w:autoSpaceDE w:val="0"/>
        <w:autoSpaceDN w:val="0"/>
        <w:adjustRightInd w:val="0"/>
        <w:jc w:val="both"/>
        <w:rPr>
          <w:rFonts w:ascii="Arial" w:hAnsi="Arial"/>
          <w:sz w:val="22"/>
          <w:szCs w:val="22"/>
        </w:rPr>
      </w:pPr>
    </w:p>
    <w:p w:rsidR="009E3481" w:rsidRDefault="00CC5E9F">
      <w:pPr>
        <w:autoSpaceDE w:val="0"/>
        <w:autoSpaceDN w:val="0"/>
        <w:adjustRightInd w:val="0"/>
        <w:jc w:val="both"/>
        <w:rPr>
          <w:rFonts w:ascii="Arial" w:hAnsi="Arial"/>
          <w:sz w:val="22"/>
          <w:szCs w:val="22"/>
        </w:rPr>
      </w:pPr>
      <w:r>
        <w:rPr>
          <w:rFonts w:ascii="Arial" w:hAnsi="Arial"/>
          <w:sz w:val="22"/>
          <w:szCs w:val="22"/>
        </w:rPr>
        <w:t>Subjects who completed the APEX and FACT studies were eligible to enrol in the EXCEL trial, a long term extension study in which patients received treatment with ADENURIC for a 3 year period.</w:t>
      </w:r>
    </w:p>
    <w:p w:rsidR="009E3481" w:rsidRDefault="009E3481">
      <w:pPr>
        <w:autoSpaceDE w:val="0"/>
        <w:autoSpaceDN w:val="0"/>
        <w:adjustRightInd w:val="0"/>
        <w:jc w:val="both"/>
        <w:rPr>
          <w:rFonts w:ascii="Arial" w:hAnsi="Arial"/>
          <w:sz w:val="22"/>
          <w:szCs w:val="22"/>
        </w:rPr>
      </w:pPr>
    </w:p>
    <w:p w:rsidR="009E3481" w:rsidRDefault="00CC5E9F">
      <w:pPr>
        <w:pStyle w:val="PIheading2"/>
      </w:pPr>
      <w:r>
        <w:t>TMX-00-004 and FOCUS (TMX-01-005) Studies</w:t>
      </w:r>
    </w:p>
    <w:p w:rsidR="009E3481" w:rsidRDefault="00CC5E9F">
      <w:pPr>
        <w:autoSpaceDE w:val="0"/>
        <w:autoSpaceDN w:val="0"/>
        <w:adjustRightInd w:val="0"/>
        <w:jc w:val="both"/>
        <w:rPr>
          <w:rFonts w:ascii="Arial" w:hAnsi="Arial"/>
          <w:sz w:val="22"/>
          <w:szCs w:val="22"/>
        </w:rPr>
      </w:pPr>
      <w:r>
        <w:rPr>
          <w:rFonts w:ascii="Arial" w:hAnsi="Arial"/>
          <w:sz w:val="22"/>
          <w:szCs w:val="22"/>
        </w:rPr>
        <w:t xml:space="preserve">The efficacy of ADENURIC was evaluated in a four week dose ranging study which randomized patients to: placebo, febuxostat 40 mg daily, 80 mg daily, or 120 mg daily. At the end of treatment (Day 28), the proportion of participants who achieved sUA &lt; 357 </w:t>
      </w:r>
      <w:r>
        <w:rPr>
          <w:rFonts w:ascii="Arial" w:hAnsi="Arial" w:cs="Arial"/>
          <w:sz w:val="22"/>
          <w:szCs w:val="22"/>
        </w:rPr>
        <w:t>µ</w:t>
      </w:r>
      <w:r>
        <w:rPr>
          <w:rFonts w:ascii="Arial" w:hAnsi="Arial"/>
          <w:sz w:val="22"/>
          <w:szCs w:val="22"/>
        </w:rPr>
        <w:t>mol/L (6 mg/dL)  was 0%, 56%, 76% in the placebo, febuxostat 40 mg and 80 mg groups, respectively.</w:t>
      </w:r>
    </w:p>
    <w:p w:rsidR="009E3481" w:rsidRDefault="00CC5E9F">
      <w:pPr>
        <w:pStyle w:val="TextPI"/>
      </w:pPr>
      <w:r>
        <w:t>Subjects who completed this study were eligible to enrol in the FOCUS study (TMX-01-005), a long-term extension study in which subjects received treatment with ADENURIC for up to five years. The proportion of patients with sUA  of &lt; 357 µmol/L (6.0 mg/dL) at the final visit was greater than 80% (81-100%) at each febuxostat dose.</w:t>
      </w:r>
    </w:p>
    <w:p w:rsidR="009E3481" w:rsidRDefault="00CC5E9F">
      <w:pPr>
        <w:pStyle w:val="PIheading2"/>
      </w:pPr>
      <w:r>
        <w:t xml:space="preserve">CONFIRMS, APEX and FACTS Studies </w:t>
      </w:r>
    </w:p>
    <w:p w:rsidR="009E3481" w:rsidRDefault="00CC5E9F">
      <w:pPr>
        <w:pStyle w:val="CommentText"/>
        <w:jc w:val="both"/>
      </w:pPr>
      <w:r>
        <w:rPr>
          <w:rFonts w:ascii="Arial" w:hAnsi="Arial"/>
          <w:sz w:val="22"/>
          <w:szCs w:val="22"/>
        </w:rPr>
        <w:t xml:space="preserve">The primary efficacy endpoint in the APEX and FACT studies was the proportion of patients whose last 3 monthly serum uric acid levels were &lt; 357 </w:t>
      </w:r>
      <w:r>
        <w:rPr>
          <w:rFonts w:ascii="Arial" w:hAnsi="Arial" w:cs="Arial"/>
          <w:sz w:val="22"/>
          <w:szCs w:val="22"/>
        </w:rPr>
        <w:t>µmo</w:t>
      </w:r>
      <w:r>
        <w:rPr>
          <w:rFonts w:ascii="Arial" w:hAnsi="Arial"/>
          <w:sz w:val="22"/>
          <w:szCs w:val="22"/>
        </w:rPr>
        <w:t xml:space="preserve">l/L (6.0 mg/dL). In the Phase 3 CONFIRMS study, the primary efficacy endpoint was the proportion of patients whose serum urate level was &lt; 357 </w:t>
      </w:r>
      <w:r>
        <w:rPr>
          <w:rFonts w:ascii="Arial" w:hAnsi="Arial" w:cs="Arial"/>
          <w:sz w:val="22"/>
          <w:szCs w:val="22"/>
        </w:rPr>
        <w:t>µmo</w:t>
      </w:r>
      <w:r>
        <w:rPr>
          <w:rFonts w:ascii="Arial" w:hAnsi="Arial"/>
          <w:sz w:val="22"/>
          <w:szCs w:val="22"/>
        </w:rPr>
        <w:t>l/L (6.0 mg/dL) at the final visit. No patients with organ transplant have been included in these studies. Patients were excluded if they had secondary hyperuricaemia, history of excessive alcohol intake, malignancy within the last 5 years, severe renal or hepatic impairment, active peptic ulcer disease , history of myocardial infarction or stroke, paediatric patients, pregnant and nursing women. Non-inferiority of febuxostat to the active control allopurinol specified a 10 percentage point margin (the lower limit of confidence interval for the difference) of non-inferiority for differences in response rates.</w:t>
      </w:r>
    </w:p>
    <w:p w:rsidR="009E3481" w:rsidRDefault="00CC5E9F">
      <w:pPr>
        <w:pStyle w:val="TextPI"/>
        <w:rPr>
          <w:sz w:val="23"/>
          <w:szCs w:val="23"/>
        </w:rPr>
      </w:pPr>
      <w:r>
        <w:rPr>
          <w:sz w:val="23"/>
          <w:szCs w:val="23"/>
        </w:rPr>
        <w:t>In all three studies, subjects received naproxen 250 mg twice daily or colchicine 0.6 mg once or twice daily for gout flare prophylaxis. In the APEX and FACT studies the duration of prophylaxis was eight weeks. In the CONFIRMS study the duration of prophylaxis was six months.</w:t>
      </w:r>
    </w:p>
    <w:p w:rsidR="009E3481" w:rsidRDefault="00CC5E9F" w:rsidP="009F4984">
      <w:pPr>
        <w:pStyle w:val="PIheading2"/>
        <w:tabs>
          <w:tab w:val="left" w:pos="7585"/>
        </w:tabs>
      </w:pPr>
      <w:r>
        <w:t>CONFIRMS Study</w:t>
      </w:r>
    </w:p>
    <w:p w:rsidR="009E3481" w:rsidRDefault="00CC5E9F">
      <w:pPr>
        <w:pStyle w:val="TextPI"/>
      </w:pPr>
      <w:r>
        <w:t xml:space="preserve">The CONFIRMS study was a Phase 3, randomized, controlled, 26-week study to evaluate the safety and efficacy of febuxostat 40 mg and 80 mg, in comparison with allopurinol 300 mg or 200 mg, in patients with gout and hyperuricaemia. Two thousand and two hundred-sixty nine (2269) patients were randomised: ADENURIC 40 mg </w:t>
      </w:r>
      <w:r w:rsidR="009F4984">
        <w:t xml:space="preserve">daily </w:t>
      </w:r>
      <w:r>
        <w:t xml:space="preserve">(n=757), ADENURIC </w:t>
      </w:r>
      <w:r>
        <w:lastRenderedPageBreak/>
        <w:t xml:space="preserve">80 mg </w:t>
      </w:r>
      <w:r w:rsidR="009F4984">
        <w:t xml:space="preserve">daily </w:t>
      </w:r>
      <w:r>
        <w:t xml:space="preserve">(n=756), or allopurinol 300/200 mg </w:t>
      </w:r>
      <w:r w:rsidR="009F4984">
        <w:t xml:space="preserve">daily </w:t>
      </w:r>
      <w:r>
        <w:t xml:space="preserve">(n=756). At least 65% of the patients had mild-moderate renal impairment (with creatinine clearance of 30-89 mL/min, Stages 2-3 CKD). Prophylaxis against gout flares was obligatory over the 26-week period. </w:t>
      </w:r>
    </w:p>
    <w:p w:rsidR="009E3481" w:rsidRDefault="00CC5E9F">
      <w:pPr>
        <w:pStyle w:val="TextPI"/>
      </w:pPr>
      <w:r>
        <w:t xml:space="preserve">The proportion of patients with sUA &lt; 357 </w:t>
      </w:r>
      <w:r>
        <w:rPr>
          <w:rFonts w:cs="Arial"/>
        </w:rPr>
        <w:t>µ</w:t>
      </w:r>
      <w:r>
        <w:t>mol/L (6.0 mg/dL) at the final visit, was 45% for 40 mg febuxostat, 67% for febuxostat 80 mg and 42% for allopurinol 300/200 mg, respectively.</w:t>
      </w:r>
    </w:p>
    <w:p w:rsidR="009E3481" w:rsidRDefault="00CC5E9F">
      <w:pPr>
        <w:pStyle w:val="PIheading2"/>
      </w:pPr>
      <w:r>
        <w:t>APEX Study</w:t>
      </w:r>
    </w:p>
    <w:p w:rsidR="009E3481" w:rsidRDefault="00CC5E9F">
      <w:pPr>
        <w:pStyle w:val="TextPI"/>
        <w:rPr>
          <w:lang w:val="en-AU"/>
        </w:rPr>
      </w:pPr>
      <w:r>
        <w:rPr>
          <w:lang w:val="en-AU"/>
        </w:rPr>
        <w:t xml:space="preserve">The Allopurinol and Placebo-Controlled Efficacy Study of Febuxostat (APEX) was a Phase 3, randomized, double-blind, multicenter, 28-week study. One thousand and seventy-two (1072) patients were randomized: placebo (n=134), ADENURIC 80 mg </w:t>
      </w:r>
      <w:r w:rsidR="009F4984">
        <w:rPr>
          <w:lang w:val="en-AU"/>
        </w:rPr>
        <w:t xml:space="preserve">daily </w:t>
      </w:r>
      <w:r>
        <w:rPr>
          <w:lang w:val="en-AU"/>
        </w:rPr>
        <w:t xml:space="preserve">(n=267), ADENURIC 120 mg </w:t>
      </w:r>
      <w:r w:rsidR="009F4984">
        <w:rPr>
          <w:lang w:val="en-AU"/>
        </w:rPr>
        <w:t xml:space="preserve">daily </w:t>
      </w:r>
      <w:r>
        <w:rPr>
          <w:lang w:val="en-AU"/>
        </w:rPr>
        <w:t xml:space="preserve">(n=269), ADENURIC 240 mg </w:t>
      </w:r>
      <w:r w:rsidR="009F4984">
        <w:rPr>
          <w:lang w:val="en-AU"/>
        </w:rPr>
        <w:t xml:space="preserve">daily </w:t>
      </w:r>
      <w:r>
        <w:rPr>
          <w:lang w:val="en-AU"/>
        </w:rPr>
        <w:t xml:space="preserve">(n=134) or allopurinol (300 mg </w:t>
      </w:r>
      <w:r w:rsidR="009F4984">
        <w:rPr>
          <w:lang w:val="en-AU"/>
        </w:rPr>
        <w:t xml:space="preserve">daily </w:t>
      </w:r>
      <w:r>
        <w:rPr>
          <w:lang w:val="en-AU"/>
        </w:rPr>
        <w:t xml:space="preserve">[n=258] for patients with a baseline serum creatinine </w:t>
      </w:r>
      <w:r>
        <w:rPr>
          <w:lang w:val="en-AU"/>
        </w:rPr>
        <w:sym w:font="Symbol" w:char="F0A3"/>
      </w:r>
      <w:r>
        <w:rPr>
          <w:lang w:val="en-AU"/>
        </w:rPr>
        <w:t xml:space="preserve">1.5 mg/dL or 100 mg </w:t>
      </w:r>
      <w:r w:rsidR="009F4984">
        <w:rPr>
          <w:lang w:val="en-AU"/>
        </w:rPr>
        <w:t xml:space="preserve">daily </w:t>
      </w:r>
      <w:r>
        <w:rPr>
          <w:lang w:val="en-AU"/>
        </w:rPr>
        <w:t xml:space="preserve">[n=10] for patients with a baseline serum creatinine &gt;1.5 mg/dL and </w:t>
      </w:r>
      <w:r>
        <w:rPr>
          <w:lang w:val="en-AU"/>
        </w:rPr>
        <w:sym w:font="Symbol" w:char="F0A3"/>
      </w:r>
      <w:r>
        <w:rPr>
          <w:lang w:val="en-AU"/>
        </w:rPr>
        <w:t xml:space="preserve"> 2.0 mg/dL). Two hundred and forty mg febuxostat (2 times the recommended highest dose) was used as a safety evaluation dose.</w:t>
      </w:r>
    </w:p>
    <w:p w:rsidR="009E3481" w:rsidRDefault="00CC5E9F">
      <w:pPr>
        <w:pStyle w:val="TextPI"/>
        <w:rPr>
          <w:lang w:val="en-AU"/>
        </w:rPr>
      </w:pPr>
      <w:r>
        <w:rPr>
          <w:lang w:val="en-AU"/>
        </w:rPr>
        <w:t xml:space="preserve">The APEX study showed statistically significant superiority of ADENURIC 80 mg </w:t>
      </w:r>
      <w:r w:rsidR="009F4984">
        <w:rPr>
          <w:lang w:val="en-AU"/>
        </w:rPr>
        <w:t xml:space="preserve">daily </w:t>
      </w:r>
      <w:r>
        <w:rPr>
          <w:lang w:val="en-AU"/>
        </w:rPr>
        <w:t xml:space="preserve">treatment arm versus the conventionally used doses of allopurinol 300mg (n = 258) /100mg (n = 10)  treatment arm in reducing the sUA below 357 </w:t>
      </w:r>
      <w:r>
        <w:rPr>
          <w:rFonts w:cs="Arial"/>
          <w:lang w:val="en-AU"/>
        </w:rPr>
        <w:t>µ</w:t>
      </w:r>
      <w:r>
        <w:rPr>
          <w:lang w:val="en-AU"/>
        </w:rPr>
        <w:t xml:space="preserve">mol/L (6mg/dL). See </w:t>
      </w:r>
      <w:r>
        <w:rPr>
          <w:b/>
          <w:lang w:val="en-AU"/>
        </w:rPr>
        <w:t>Table 2</w:t>
      </w:r>
      <w:r>
        <w:rPr>
          <w:lang w:val="en-AU"/>
        </w:rPr>
        <w:t>.</w:t>
      </w:r>
    </w:p>
    <w:p w:rsidR="009E3481" w:rsidRDefault="00CC5E9F">
      <w:pPr>
        <w:pStyle w:val="PIheading2"/>
      </w:pPr>
      <w:r>
        <w:t>FACT Study</w:t>
      </w:r>
    </w:p>
    <w:p w:rsidR="009E3481" w:rsidRDefault="00CC5E9F">
      <w:pPr>
        <w:pStyle w:val="TextPI"/>
      </w:pPr>
      <w:r>
        <w:t xml:space="preserve">The Febuxostat Allopurinol Controlled Trial (FACT) Study was a Phase 3, randomized, double-blind, multicenter, 52-week study. Seven hundred sixty (760) patients were randomized: ADENURIC 80 mg </w:t>
      </w:r>
      <w:r w:rsidR="009F4984">
        <w:t xml:space="preserve">daily </w:t>
      </w:r>
      <w:r>
        <w:t xml:space="preserve">(n=256), ADENURIC 120 mg </w:t>
      </w:r>
      <w:r w:rsidR="009F4984">
        <w:t xml:space="preserve">daily </w:t>
      </w:r>
      <w:r>
        <w:t xml:space="preserve">(n=251), or allopurinol 300 mg </w:t>
      </w:r>
      <w:r w:rsidR="009F4984">
        <w:t xml:space="preserve">daily </w:t>
      </w:r>
      <w:r>
        <w:t xml:space="preserve">(n=253). </w:t>
      </w:r>
    </w:p>
    <w:p w:rsidR="009E3481" w:rsidRDefault="00CC5E9F">
      <w:pPr>
        <w:pStyle w:val="TextPI"/>
      </w:pPr>
      <w:r>
        <w:t xml:space="preserve">The FACT study showed the statistically significant superiority of ADENURIC 80 mg </w:t>
      </w:r>
      <w:r w:rsidR="009F4984">
        <w:t xml:space="preserve">daily </w:t>
      </w:r>
      <w:r>
        <w:t xml:space="preserve">treatment arm versus the conventionally used dose of allopurinol 300 mg treatment arm in reducing and maintaining sUA below 357 </w:t>
      </w:r>
      <w:r>
        <w:rPr>
          <w:rFonts w:cs="Arial"/>
        </w:rPr>
        <w:t>µ</w:t>
      </w:r>
      <w:r>
        <w:t>mol/L (6 mg/dL).</w:t>
      </w:r>
    </w:p>
    <w:p w:rsidR="009E3481" w:rsidRDefault="00CC5E9F">
      <w:pPr>
        <w:pStyle w:val="TextPI"/>
        <w:rPr>
          <w:sz w:val="23"/>
          <w:szCs w:val="23"/>
        </w:rPr>
      </w:pPr>
      <w:r>
        <w:rPr>
          <w:sz w:val="23"/>
          <w:szCs w:val="23"/>
        </w:rPr>
        <w:t xml:space="preserve">Patients in all 3 studies (CONFIRMS, APEX and FACT) were representative of the patient population for which ADENURIC use is intended. </w:t>
      </w:r>
      <w:r>
        <w:rPr>
          <w:b/>
          <w:sz w:val="23"/>
          <w:szCs w:val="23"/>
        </w:rPr>
        <w:t>Table 1</w:t>
      </w:r>
      <w:r>
        <w:rPr>
          <w:sz w:val="23"/>
          <w:szCs w:val="23"/>
        </w:rPr>
        <w:t xml:space="preserve"> summarizes the demographics and baseline characteristics for the subjects enrolled in the studies.</w:t>
      </w:r>
    </w:p>
    <w:p w:rsidR="009E3481" w:rsidRDefault="009E3481">
      <w:pPr>
        <w:pStyle w:val="TextPI"/>
      </w:pPr>
    </w:p>
    <w:tbl>
      <w:tblPr>
        <w:tblStyle w:val="TableGrid"/>
        <w:tblW w:w="0" w:type="auto"/>
        <w:tblInd w:w="108" w:type="dxa"/>
        <w:tblLook w:val="04A0" w:firstRow="1" w:lastRow="0" w:firstColumn="1" w:lastColumn="0" w:noHBand="0" w:noVBand="1"/>
      </w:tblPr>
      <w:tblGrid>
        <w:gridCol w:w="6521"/>
        <w:gridCol w:w="1843"/>
      </w:tblGrid>
      <w:tr w:rsidR="009E3481">
        <w:tc>
          <w:tcPr>
            <w:tcW w:w="8364" w:type="dxa"/>
            <w:gridSpan w:val="2"/>
          </w:tcPr>
          <w:p w:rsidR="009E3481" w:rsidRDefault="00CC5E9F">
            <w:pPr>
              <w:pStyle w:val="Default"/>
              <w:jc w:val="both"/>
              <w:rPr>
                <w:sz w:val="23"/>
                <w:szCs w:val="23"/>
              </w:rPr>
            </w:pPr>
            <w:r>
              <w:rPr>
                <w:b/>
                <w:bCs/>
                <w:sz w:val="23"/>
                <w:szCs w:val="23"/>
              </w:rPr>
              <w:t xml:space="preserve">Table 1: Patient Demographics and Baseline Characteristics in CONFIRMS, APEX and FACT studies </w:t>
            </w:r>
          </w:p>
        </w:tc>
      </w:tr>
      <w:tr w:rsidR="009E3481">
        <w:tc>
          <w:tcPr>
            <w:tcW w:w="6521" w:type="dxa"/>
          </w:tcPr>
          <w:p w:rsidR="009E3481" w:rsidRDefault="00CC5E9F">
            <w:pPr>
              <w:pStyle w:val="TextPI"/>
              <w:tabs>
                <w:tab w:val="left" w:pos="1905"/>
              </w:tabs>
              <w:spacing w:before="0" w:after="0" w:line="240" w:lineRule="auto"/>
            </w:pPr>
            <w:r>
              <w:t>Male</w:t>
            </w:r>
          </w:p>
        </w:tc>
        <w:tc>
          <w:tcPr>
            <w:tcW w:w="1843" w:type="dxa"/>
          </w:tcPr>
          <w:p w:rsidR="009E3481" w:rsidRDefault="00CC5E9F">
            <w:pPr>
              <w:pStyle w:val="TextPI"/>
              <w:spacing w:before="0" w:after="0" w:line="240" w:lineRule="auto"/>
            </w:pPr>
            <w:r>
              <w:t>95%</w:t>
            </w:r>
          </w:p>
        </w:tc>
      </w:tr>
      <w:tr w:rsidR="009E3481">
        <w:tc>
          <w:tcPr>
            <w:tcW w:w="6521" w:type="dxa"/>
          </w:tcPr>
          <w:p w:rsidR="009E3481" w:rsidRDefault="00CC5E9F">
            <w:pPr>
              <w:pStyle w:val="TextPI"/>
              <w:spacing w:before="0" w:after="0" w:line="240" w:lineRule="auto"/>
            </w:pPr>
            <w:r>
              <w:t>Race:</w:t>
            </w:r>
          </w:p>
          <w:p w:rsidR="009E3481" w:rsidRDefault="00CC5E9F">
            <w:pPr>
              <w:pStyle w:val="TextPI"/>
              <w:spacing w:before="0" w:after="0" w:line="240" w:lineRule="auto"/>
            </w:pPr>
            <w:r>
              <w:t>Caucasian</w:t>
            </w:r>
          </w:p>
          <w:p w:rsidR="009E3481" w:rsidRDefault="00CC5E9F">
            <w:pPr>
              <w:pStyle w:val="TextPI"/>
              <w:spacing w:before="0" w:after="0" w:line="240" w:lineRule="auto"/>
            </w:pPr>
            <w:r>
              <w:t>African American</w:t>
            </w:r>
          </w:p>
        </w:tc>
        <w:tc>
          <w:tcPr>
            <w:tcW w:w="1843" w:type="dxa"/>
          </w:tcPr>
          <w:p w:rsidR="009E3481" w:rsidRDefault="009E3481">
            <w:pPr>
              <w:pStyle w:val="TextPI"/>
              <w:spacing w:before="0" w:after="0" w:line="240" w:lineRule="auto"/>
            </w:pPr>
          </w:p>
          <w:p w:rsidR="009E3481" w:rsidRDefault="00CC5E9F">
            <w:pPr>
              <w:pStyle w:val="TextPI"/>
              <w:spacing w:before="0" w:after="0" w:line="240" w:lineRule="auto"/>
            </w:pPr>
            <w:r>
              <w:t>80%</w:t>
            </w:r>
          </w:p>
          <w:p w:rsidR="009E3481" w:rsidRDefault="00CC5E9F">
            <w:pPr>
              <w:pStyle w:val="TextPI"/>
              <w:spacing w:before="0" w:after="0" w:line="240" w:lineRule="auto"/>
            </w:pPr>
            <w:r>
              <w:t>10%</w:t>
            </w:r>
          </w:p>
        </w:tc>
      </w:tr>
      <w:tr w:rsidR="009E3481">
        <w:tc>
          <w:tcPr>
            <w:tcW w:w="6521" w:type="dxa"/>
          </w:tcPr>
          <w:p w:rsidR="009E3481" w:rsidRDefault="00CC5E9F">
            <w:pPr>
              <w:pStyle w:val="TextPI"/>
              <w:spacing w:before="0" w:after="0" w:line="240" w:lineRule="auto"/>
            </w:pPr>
            <w:r>
              <w:t>Ethnicity: Hispanic or Latino</w:t>
            </w:r>
          </w:p>
        </w:tc>
        <w:tc>
          <w:tcPr>
            <w:tcW w:w="1843" w:type="dxa"/>
          </w:tcPr>
          <w:p w:rsidR="009E3481" w:rsidRDefault="00CC5E9F">
            <w:pPr>
              <w:pStyle w:val="TextPI"/>
              <w:spacing w:before="0" w:after="0" w:line="240" w:lineRule="auto"/>
            </w:pPr>
            <w:r>
              <w:t>7%</w:t>
            </w:r>
          </w:p>
        </w:tc>
      </w:tr>
      <w:tr w:rsidR="009E3481">
        <w:tc>
          <w:tcPr>
            <w:tcW w:w="6521" w:type="dxa"/>
          </w:tcPr>
          <w:p w:rsidR="009E3481" w:rsidRDefault="00CC5E9F">
            <w:pPr>
              <w:pStyle w:val="TextPI"/>
              <w:spacing w:before="0" w:after="0" w:line="240" w:lineRule="auto"/>
            </w:pPr>
            <w:r>
              <w:t>Alcohol user</w:t>
            </w:r>
          </w:p>
        </w:tc>
        <w:tc>
          <w:tcPr>
            <w:tcW w:w="1843" w:type="dxa"/>
          </w:tcPr>
          <w:p w:rsidR="009E3481" w:rsidRDefault="00CC5E9F">
            <w:pPr>
              <w:pStyle w:val="TextPI"/>
              <w:spacing w:before="0" w:after="0" w:line="240" w:lineRule="auto"/>
            </w:pPr>
            <w:r>
              <w:t>67%</w:t>
            </w:r>
          </w:p>
        </w:tc>
      </w:tr>
      <w:tr w:rsidR="009E3481">
        <w:tc>
          <w:tcPr>
            <w:tcW w:w="6521" w:type="dxa"/>
          </w:tcPr>
          <w:p w:rsidR="009E3481" w:rsidRDefault="00CC5E9F">
            <w:pPr>
              <w:pStyle w:val="TextPI"/>
              <w:spacing w:before="0" w:after="0" w:line="240" w:lineRule="auto"/>
            </w:pPr>
            <w:r>
              <w:t>Mild to Moderate Renal Insufficiency; Stages 2-3 CKD</w:t>
            </w:r>
          </w:p>
          <w:p w:rsidR="009E3481" w:rsidRDefault="00CC5E9F">
            <w:pPr>
              <w:pStyle w:val="TextPI"/>
              <w:spacing w:before="0" w:after="0" w:line="240" w:lineRule="auto"/>
            </w:pPr>
            <w:r>
              <w:t>(percent estimated Cl</w:t>
            </w:r>
            <w:r>
              <w:rPr>
                <w:vertAlign w:val="subscript"/>
              </w:rPr>
              <w:t>Cr</w:t>
            </w:r>
            <w:r>
              <w:t xml:space="preserve"> less than 90 mL/min)</w:t>
            </w:r>
          </w:p>
        </w:tc>
        <w:tc>
          <w:tcPr>
            <w:tcW w:w="1843" w:type="dxa"/>
          </w:tcPr>
          <w:p w:rsidR="009E3481" w:rsidRDefault="00CC5E9F">
            <w:pPr>
              <w:pStyle w:val="TextPI"/>
              <w:spacing w:before="0" w:after="0" w:line="240" w:lineRule="auto"/>
            </w:pPr>
            <w:r>
              <w:t>59%</w:t>
            </w:r>
          </w:p>
        </w:tc>
      </w:tr>
      <w:tr w:rsidR="009E3481">
        <w:tc>
          <w:tcPr>
            <w:tcW w:w="6521" w:type="dxa"/>
          </w:tcPr>
          <w:p w:rsidR="009E3481" w:rsidRDefault="00CC5E9F">
            <w:pPr>
              <w:pStyle w:val="TextPI"/>
              <w:spacing w:before="0" w:after="0" w:line="240" w:lineRule="auto"/>
            </w:pPr>
            <w:r>
              <w:t>History of Hypertension</w:t>
            </w:r>
          </w:p>
        </w:tc>
        <w:tc>
          <w:tcPr>
            <w:tcW w:w="1843" w:type="dxa"/>
          </w:tcPr>
          <w:p w:rsidR="009E3481" w:rsidRDefault="00CC5E9F">
            <w:pPr>
              <w:pStyle w:val="TextPI"/>
              <w:spacing w:before="0" w:after="0" w:line="240" w:lineRule="auto"/>
            </w:pPr>
            <w:r>
              <w:t>49%</w:t>
            </w:r>
          </w:p>
        </w:tc>
      </w:tr>
      <w:tr w:rsidR="009E3481">
        <w:tc>
          <w:tcPr>
            <w:tcW w:w="6521" w:type="dxa"/>
          </w:tcPr>
          <w:p w:rsidR="009E3481" w:rsidRDefault="00CC5E9F">
            <w:pPr>
              <w:pStyle w:val="TextPI"/>
              <w:spacing w:before="0" w:after="0" w:line="240" w:lineRule="auto"/>
            </w:pPr>
            <w:r>
              <w:t>History of Hyperlipidemia</w:t>
            </w:r>
          </w:p>
        </w:tc>
        <w:tc>
          <w:tcPr>
            <w:tcW w:w="1843" w:type="dxa"/>
          </w:tcPr>
          <w:p w:rsidR="009E3481" w:rsidRDefault="00CC5E9F">
            <w:pPr>
              <w:pStyle w:val="TextPI"/>
              <w:spacing w:before="0" w:after="0" w:line="240" w:lineRule="auto"/>
            </w:pPr>
            <w:r>
              <w:t>38%</w:t>
            </w:r>
          </w:p>
        </w:tc>
      </w:tr>
      <w:tr w:rsidR="009E3481">
        <w:tc>
          <w:tcPr>
            <w:tcW w:w="6521" w:type="dxa"/>
          </w:tcPr>
          <w:p w:rsidR="009E3481" w:rsidRDefault="00CC5E9F">
            <w:pPr>
              <w:pStyle w:val="TextPI"/>
              <w:spacing w:before="0" w:after="0" w:line="240" w:lineRule="auto"/>
            </w:pPr>
            <w:r>
              <w:t xml:space="preserve">BMI </w:t>
            </w:r>
            <w:r>
              <w:rPr>
                <w:rFonts w:cs="Arial"/>
              </w:rPr>
              <w:t>≥</w:t>
            </w:r>
            <w:r>
              <w:t xml:space="preserve"> </w:t>
            </w:r>
            <w:r w:rsidR="002F4F23">
              <w:t xml:space="preserve"> </w:t>
            </w:r>
            <w:r>
              <w:t>30 kg/m</w:t>
            </w:r>
            <w:r>
              <w:rPr>
                <w:vertAlign w:val="superscript"/>
              </w:rPr>
              <w:t>2</w:t>
            </w:r>
          </w:p>
        </w:tc>
        <w:tc>
          <w:tcPr>
            <w:tcW w:w="1843" w:type="dxa"/>
          </w:tcPr>
          <w:p w:rsidR="009E3481" w:rsidRDefault="00CC5E9F">
            <w:pPr>
              <w:pStyle w:val="TextPI"/>
              <w:spacing w:before="0" w:after="0" w:line="240" w:lineRule="auto"/>
            </w:pPr>
            <w:r>
              <w:t>63%</w:t>
            </w:r>
          </w:p>
        </w:tc>
      </w:tr>
      <w:tr w:rsidR="009E3481">
        <w:tc>
          <w:tcPr>
            <w:tcW w:w="6521" w:type="dxa"/>
          </w:tcPr>
          <w:p w:rsidR="009E3481" w:rsidRDefault="00CC5E9F">
            <w:pPr>
              <w:pStyle w:val="TextPI"/>
              <w:spacing w:before="0" w:after="0" w:line="240" w:lineRule="auto"/>
            </w:pPr>
            <w:r>
              <w:t>Mean BMI</w:t>
            </w:r>
          </w:p>
        </w:tc>
        <w:tc>
          <w:tcPr>
            <w:tcW w:w="1843" w:type="dxa"/>
          </w:tcPr>
          <w:p w:rsidR="009E3481" w:rsidRDefault="00CC5E9F">
            <w:pPr>
              <w:pStyle w:val="TextPI"/>
              <w:spacing w:before="0" w:after="0" w:line="240" w:lineRule="auto"/>
            </w:pPr>
            <w:r>
              <w:t>33 kg/m</w:t>
            </w:r>
            <w:r>
              <w:rPr>
                <w:vertAlign w:val="superscript"/>
              </w:rPr>
              <w:t>2</w:t>
            </w:r>
          </w:p>
        </w:tc>
      </w:tr>
      <w:tr w:rsidR="009E3481">
        <w:tc>
          <w:tcPr>
            <w:tcW w:w="6521" w:type="dxa"/>
          </w:tcPr>
          <w:p w:rsidR="009E3481" w:rsidRDefault="00CC5E9F">
            <w:pPr>
              <w:pStyle w:val="TextPI"/>
              <w:spacing w:before="0" w:after="0" w:line="240" w:lineRule="auto"/>
              <w:rPr>
                <w:lang w:val="it-IT"/>
              </w:rPr>
            </w:pPr>
            <w:r>
              <w:rPr>
                <w:lang w:val="it-IT"/>
              </w:rPr>
              <w:t xml:space="preserve">Baseline sUA </w:t>
            </w:r>
            <w:r>
              <w:rPr>
                <w:rFonts w:cs="Arial"/>
                <w:lang w:val="it-IT"/>
              </w:rPr>
              <w:t>≥</w:t>
            </w:r>
            <w:r>
              <w:rPr>
                <w:lang w:val="it-IT"/>
              </w:rPr>
              <w:t xml:space="preserve"> </w:t>
            </w:r>
            <w:r w:rsidR="002F4F23">
              <w:rPr>
                <w:lang w:val="it-IT"/>
              </w:rPr>
              <w:t xml:space="preserve"> </w:t>
            </w:r>
            <w:r>
              <w:rPr>
                <w:lang w:val="it-IT"/>
              </w:rPr>
              <w:t xml:space="preserve">595 </w:t>
            </w:r>
            <w:r>
              <w:rPr>
                <w:rFonts w:cs="Arial"/>
                <w:lang w:val="it-IT"/>
              </w:rPr>
              <w:t>µ</w:t>
            </w:r>
            <w:r>
              <w:rPr>
                <w:lang w:val="it-IT"/>
              </w:rPr>
              <w:t>mol/L  (10 mg/dL)</w:t>
            </w:r>
          </w:p>
        </w:tc>
        <w:tc>
          <w:tcPr>
            <w:tcW w:w="1843" w:type="dxa"/>
          </w:tcPr>
          <w:p w:rsidR="009E3481" w:rsidRDefault="00CC5E9F">
            <w:pPr>
              <w:pStyle w:val="TextPI"/>
              <w:spacing w:before="0" w:after="0" w:line="240" w:lineRule="auto"/>
            </w:pPr>
            <w:r>
              <w:t>36%</w:t>
            </w:r>
          </w:p>
        </w:tc>
      </w:tr>
      <w:tr w:rsidR="009E3481">
        <w:tc>
          <w:tcPr>
            <w:tcW w:w="6521" w:type="dxa"/>
          </w:tcPr>
          <w:p w:rsidR="009E3481" w:rsidRDefault="00CC5E9F">
            <w:pPr>
              <w:pStyle w:val="TextPI"/>
              <w:spacing w:before="0" w:after="0" w:line="240" w:lineRule="auto"/>
            </w:pPr>
            <w:r>
              <w:t>Mean baseline sUA</w:t>
            </w:r>
          </w:p>
        </w:tc>
        <w:tc>
          <w:tcPr>
            <w:tcW w:w="1843" w:type="dxa"/>
          </w:tcPr>
          <w:p w:rsidR="009E3481" w:rsidRDefault="00CC5E9F">
            <w:pPr>
              <w:pStyle w:val="TextPI"/>
              <w:spacing w:before="0" w:after="0" w:line="240" w:lineRule="auto"/>
            </w:pPr>
            <w:r>
              <w:t xml:space="preserve">577 </w:t>
            </w:r>
            <w:r>
              <w:rPr>
                <w:rFonts w:cs="Arial"/>
              </w:rPr>
              <w:t>µ</w:t>
            </w:r>
            <w:r>
              <w:t xml:space="preserve">mol/L </w:t>
            </w:r>
          </w:p>
          <w:p w:rsidR="009E3481" w:rsidRDefault="00CC5E9F">
            <w:pPr>
              <w:pStyle w:val="TextPI"/>
              <w:spacing w:before="0" w:after="0" w:line="240" w:lineRule="auto"/>
            </w:pPr>
            <w:r>
              <w:t>(9.7 mg/dL)</w:t>
            </w:r>
          </w:p>
        </w:tc>
      </w:tr>
      <w:tr w:rsidR="009E3481">
        <w:tc>
          <w:tcPr>
            <w:tcW w:w="6521" w:type="dxa"/>
          </w:tcPr>
          <w:p w:rsidR="009E3481" w:rsidRDefault="00CC5E9F">
            <w:pPr>
              <w:pStyle w:val="TextPI"/>
              <w:spacing w:before="0" w:after="0" w:line="240" w:lineRule="auto"/>
            </w:pPr>
            <w:r>
              <w:lastRenderedPageBreak/>
              <w:t>Experienced a gout flare in previous year</w:t>
            </w:r>
          </w:p>
        </w:tc>
        <w:tc>
          <w:tcPr>
            <w:tcW w:w="1843" w:type="dxa"/>
          </w:tcPr>
          <w:p w:rsidR="009E3481" w:rsidRDefault="00CC5E9F">
            <w:pPr>
              <w:pStyle w:val="TextPI"/>
              <w:spacing w:before="0" w:after="0" w:line="240" w:lineRule="auto"/>
            </w:pPr>
            <w:r>
              <w:t>85%</w:t>
            </w:r>
          </w:p>
        </w:tc>
      </w:tr>
    </w:tbl>
    <w:p w:rsidR="00896B14" w:rsidRDefault="00896B14">
      <w:pPr>
        <w:pStyle w:val="TextPI"/>
      </w:pPr>
    </w:p>
    <w:p w:rsidR="006C3AE1" w:rsidRDefault="006C3AE1">
      <w:pPr>
        <w:pStyle w:val="TextPI"/>
      </w:pPr>
    </w:p>
    <w:p w:rsidR="009E3481" w:rsidRDefault="00CC5E9F">
      <w:pPr>
        <w:pStyle w:val="TextPI"/>
      </w:pPr>
      <w:r>
        <w:rPr>
          <w:b/>
        </w:rPr>
        <w:t>Table 2</w:t>
      </w:r>
      <w:r>
        <w:t xml:space="preserve"> </w:t>
      </w:r>
      <w:proofErr w:type="spellStart"/>
      <w:r>
        <w:t>summarises</w:t>
      </w:r>
      <w:proofErr w:type="spellEnd"/>
      <w:r>
        <w:t xml:space="preserve"> the efficacy endpoint results in all 3 studies:</w:t>
      </w:r>
    </w:p>
    <w:p w:rsidR="005A754D" w:rsidRDefault="005A754D">
      <w:pPr>
        <w:pStyle w:val="TextPI"/>
      </w:pPr>
    </w:p>
    <w:p w:rsidR="006C3AE1" w:rsidRDefault="006C3AE1">
      <w:pPr>
        <w:pStyle w:val="TextPI"/>
      </w:pPr>
    </w:p>
    <w:tbl>
      <w:tblPr>
        <w:tblW w:w="10958" w:type="dxa"/>
        <w:jc w:val="center"/>
        <w:tblInd w:w="20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7"/>
        <w:gridCol w:w="1276"/>
        <w:gridCol w:w="1276"/>
        <w:gridCol w:w="1559"/>
        <w:gridCol w:w="1276"/>
        <w:gridCol w:w="1276"/>
        <w:gridCol w:w="1628"/>
      </w:tblGrid>
      <w:tr w:rsidR="005240FB" w:rsidTr="006C3AE1">
        <w:trPr>
          <w:jc w:val="center"/>
        </w:trPr>
        <w:tc>
          <w:tcPr>
            <w:tcW w:w="10958" w:type="dxa"/>
            <w:gridSpan w:val="7"/>
            <w:vAlign w:val="center"/>
          </w:tcPr>
          <w:p w:rsidR="005240FB" w:rsidRDefault="005240FB" w:rsidP="006C3AE1">
            <w:pPr>
              <w:pStyle w:val="TextPI"/>
              <w:spacing w:before="0" w:after="0" w:line="240" w:lineRule="auto"/>
              <w:rPr>
                <w:b/>
                <w:bCs/>
              </w:rPr>
            </w:pPr>
            <w:r>
              <w:rPr>
                <w:b/>
                <w:bCs/>
              </w:rPr>
              <w:t>Table 2: Proportion of Patients with Serum Uric Acid Levels &lt; 357µmol/L (6.0 mg/</w:t>
            </w:r>
            <w:proofErr w:type="spellStart"/>
            <w:r>
              <w:rPr>
                <w:b/>
                <w:bCs/>
              </w:rPr>
              <w:t>dL</w:t>
            </w:r>
            <w:proofErr w:type="spellEnd"/>
            <w:r>
              <w:rPr>
                <w:b/>
                <w:bCs/>
              </w:rPr>
              <w:t>) at</w:t>
            </w:r>
          </w:p>
          <w:p w:rsidR="005240FB" w:rsidRPr="00120F29" w:rsidRDefault="005240FB" w:rsidP="006C3AE1">
            <w:pPr>
              <w:pStyle w:val="TextPI"/>
              <w:spacing w:before="0" w:after="0" w:line="240" w:lineRule="auto"/>
              <w:rPr>
                <w:b/>
                <w:bCs/>
              </w:rPr>
            </w:pPr>
            <w:r>
              <w:rPr>
                <w:b/>
                <w:bCs/>
              </w:rPr>
              <w:t xml:space="preserve"> Last Three Monthly Visits and Final Visit</w:t>
            </w:r>
          </w:p>
        </w:tc>
      </w:tr>
      <w:tr w:rsidR="005240FB" w:rsidTr="006C3AE1">
        <w:trPr>
          <w:jc w:val="center"/>
        </w:trPr>
        <w:tc>
          <w:tcPr>
            <w:tcW w:w="2667" w:type="dxa"/>
            <w:vMerge w:val="restart"/>
            <w:vAlign w:val="center"/>
          </w:tcPr>
          <w:p w:rsidR="005240FB" w:rsidRPr="00752982" w:rsidRDefault="005240FB" w:rsidP="006C3AE1">
            <w:pPr>
              <w:pStyle w:val="TextPI"/>
              <w:spacing w:after="0" w:line="240" w:lineRule="auto"/>
              <w:jc w:val="center"/>
              <w:rPr>
                <w:b/>
                <w:sz w:val="20"/>
                <w:szCs w:val="20"/>
              </w:rPr>
            </w:pPr>
            <w:r w:rsidRPr="00752982">
              <w:rPr>
                <w:b/>
                <w:sz w:val="20"/>
                <w:szCs w:val="20"/>
              </w:rPr>
              <w:t xml:space="preserve">STUDY </w:t>
            </w:r>
          </w:p>
        </w:tc>
        <w:tc>
          <w:tcPr>
            <w:tcW w:w="5387" w:type="dxa"/>
            <w:gridSpan w:val="4"/>
            <w:vAlign w:val="center"/>
          </w:tcPr>
          <w:p w:rsidR="005240FB" w:rsidRDefault="005240FB" w:rsidP="006C3AE1">
            <w:pPr>
              <w:pStyle w:val="TextPI"/>
              <w:spacing w:before="0" w:after="0" w:line="240" w:lineRule="auto"/>
              <w:jc w:val="center"/>
              <w:rPr>
                <w:b/>
                <w:sz w:val="18"/>
                <w:szCs w:val="18"/>
              </w:rPr>
            </w:pPr>
            <w:r>
              <w:rPr>
                <w:b/>
                <w:sz w:val="18"/>
                <w:szCs w:val="18"/>
              </w:rPr>
              <w:t xml:space="preserve">Treatment Group </w:t>
            </w:r>
          </w:p>
        </w:tc>
        <w:tc>
          <w:tcPr>
            <w:tcW w:w="2904" w:type="dxa"/>
            <w:gridSpan w:val="2"/>
            <w:vMerge w:val="restart"/>
          </w:tcPr>
          <w:p w:rsidR="005240FB" w:rsidRDefault="005240FB" w:rsidP="006C3AE1">
            <w:pPr>
              <w:pStyle w:val="TextPI"/>
              <w:spacing w:before="0" w:after="0" w:line="240" w:lineRule="auto"/>
              <w:jc w:val="center"/>
              <w:rPr>
                <w:b/>
                <w:sz w:val="18"/>
                <w:szCs w:val="18"/>
              </w:rPr>
            </w:pPr>
            <w:r>
              <w:rPr>
                <w:b/>
                <w:sz w:val="18"/>
                <w:szCs w:val="18"/>
              </w:rPr>
              <w:t>Difference in Proportion</w:t>
            </w:r>
          </w:p>
          <w:p w:rsidR="005240FB" w:rsidRDefault="005240FB" w:rsidP="006C3AE1">
            <w:pPr>
              <w:pStyle w:val="TextPI"/>
              <w:spacing w:after="0" w:line="240" w:lineRule="auto"/>
              <w:jc w:val="center"/>
              <w:rPr>
                <w:b/>
                <w:sz w:val="18"/>
                <w:szCs w:val="18"/>
              </w:rPr>
            </w:pPr>
            <w:r>
              <w:rPr>
                <w:b/>
                <w:sz w:val="18"/>
                <w:szCs w:val="18"/>
              </w:rPr>
              <w:t>(95% CI)</w:t>
            </w:r>
          </w:p>
        </w:tc>
      </w:tr>
      <w:tr w:rsidR="005240FB" w:rsidTr="006C3AE1">
        <w:trPr>
          <w:trHeight w:val="350"/>
          <w:jc w:val="center"/>
        </w:trPr>
        <w:tc>
          <w:tcPr>
            <w:tcW w:w="2667" w:type="dxa"/>
            <w:vMerge/>
            <w:vAlign w:val="center"/>
          </w:tcPr>
          <w:p w:rsidR="005240FB" w:rsidRPr="00752982" w:rsidRDefault="005240FB" w:rsidP="006C3AE1">
            <w:pPr>
              <w:pStyle w:val="TextPI"/>
              <w:spacing w:after="0" w:line="240" w:lineRule="auto"/>
              <w:jc w:val="center"/>
              <w:rPr>
                <w:b/>
                <w:sz w:val="20"/>
                <w:szCs w:val="20"/>
              </w:rPr>
            </w:pPr>
          </w:p>
        </w:tc>
        <w:tc>
          <w:tcPr>
            <w:tcW w:w="1276" w:type="dxa"/>
            <w:vMerge w:val="restart"/>
            <w:vAlign w:val="center"/>
          </w:tcPr>
          <w:p w:rsidR="005240FB" w:rsidRDefault="005240FB" w:rsidP="006C3AE1">
            <w:pPr>
              <w:pStyle w:val="TextPI"/>
              <w:spacing w:after="0" w:line="240" w:lineRule="auto"/>
              <w:jc w:val="center"/>
              <w:rPr>
                <w:sz w:val="18"/>
                <w:szCs w:val="18"/>
              </w:rPr>
            </w:pPr>
            <w:r>
              <w:rPr>
                <w:sz w:val="18"/>
                <w:szCs w:val="18"/>
              </w:rPr>
              <w:t>ADENURIC 40mg daily</w:t>
            </w:r>
          </w:p>
        </w:tc>
        <w:tc>
          <w:tcPr>
            <w:tcW w:w="1276" w:type="dxa"/>
            <w:vMerge w:val="restart"/>
            <w:vAlign w:val="center"/>
            <w:hideMark/>
          </w:tcPr>
          <w:p w:rsidR="005240FB" w:rsidRDefault="005240FB" w:rsidP="006C3AE1">
            <w:pPr>
              <w:pStyle w:val="TextPI"/>
              <w:spacing w:after="0" w:line="240" w:lineRule="auto"/>
              <w:jc w:val="center"/>
              <w:rPr>
                <w:sz w:val="18"/>
                <w:szCs w:val="18"/>
              </w:rPr>
            </w:pPr>
            <w:r>
              <w:rPr>
                <w:sz w:val="18"/>
                <w:szCs w:val="18"/>
              </w:rPr>
              <w:t>ADENURIC 80 mg daily</w:t>
            </w:r>
          </w:p>
        </w:tc>
        <w:tc>
          <w:tcPr>
            <w:tcW w:w="1559" w:type="dxa"/>
            <w:vMerge w:val="restart"/>
            <w:vAlign w:val="center"/>
            <w:hideMark/>
          </w:tcPr>
          <w:p w:rsidR="005240FB" w:rsidRDefault="005240FB" w:rsidP="006C3AE1">
            <w:pPr>
              <w:pStyle w:val="TextPI"/>
              <w:spacing w:before="0" w:after="0" w:line="240" w:lineRule="auto"/>
              <w:jc w:val="center"/>
              <w:rPr>
                <w:sz w:val="18"/>
                <w:szCs w:val="18"/>
              </w:rPr>
            </w:pPr>
            <w:r>
              <w:rPr>
                <w:sz w:val="18"/>
                <w:szCs w:val="18"/>
              </w:rPr>
              <w:t>Allopurinol</w:t>
            </w:r>
          </w:p>
          <w:p w:rsidR="005240FB" w:rsidRDefault="005240FB" w:rsidP="006C3AE1">
            <w:pPr>
              <w:pStyle w:val="TextPI"/>
              <w:jc w:val="center"/>
              <w:rPr>
                <w:sz w:val="18"/>
                <w:szCs w:val="18"/>
              </w:rPr>
            </w:pPr>
            <w:r>
              <w:rPr>
                <w:sz w:val="18"/>
                <w:szCs w:val="18"/>
              </w:rPr>
              <w:t xml:space="preserve">300mg daily </w:t>
            </w:r>
            <w:r>
              <w:rPr>
                <w:sz w:val="18"/>
                <w:szCs w:val="18"/>
                <w:vertAlign w:val="superscript"/>
              </w:rPr>
              <w:t>1, 2</w:t>
            </w:r>
          </w:p>
        </w:tc>
        <w:tc>
          <w:tcPr>
            <w:tcW w:w="1276" w:type="dxa"/>
            <w:vMerge w:val="restart"/>
            <w:vAlign w:val="center"/>
            <w:hideMark/>
          </w:tcPr>
          <w:p w:rsidR="005240FB" w:rsidRDefault="005240FB" w:rsidP="006C3AE1">
            <w:pPr>
              <w:pStyle w:val="TextPI"/>
              <w:jc w:val="center"/>
              <w:rPr>
                <w:sz w:val="18"/>
                <w:szCs w:val="18"/>
              </w:rPr>
            </w:pPr>
            <w:r>
              <w:rPr>
                <w:sz w:val="18"/>
                <w:szCs w:val="18"/>
              </w:rPr>
              <w:t>Placebo</w:t>
            </w:r>
          </w:p>
        </w:tc>
        <w:tc>
          <w:tcPr>
            <w:tcW w:w="2904" w:type="dxa"/>
            <w:gridSpan w:val="2"/>
            <w:vMerge/>
          </w:tcPr>
          <w:p w:rsidR="005240FB" w:rsidRDefault="005240FB" w:rsidP="006C3AE1">
            <w:pPr>
              <w:pStyle w:val="TextPI"/>
              <w:spacing w:before="0" w:after="0" w:line="240" w:lineRule="auto"/>
              <w:jc w:val="center"/>
              <w:rPr>
                <w:sz w:val="18"/>
                <w:szCs w:val="18"/>
                <w:lang w:val="it-IT"/>
              </w:rPr>
            </w:pPr>
          </w:p>
        </w:tc>
      </w:tr>
      <w:tr w:rsidR="005240FB" w:rsidTr="006C3AE1">
        <w:trPr>
          <w:jc w:val="center"/>
        </w:trPr>
        <w:tc>
          <w:tcPr>
            <w:tcW w:w="2667" w:type="dxa"/>
            <w:vMerge/>
            <w:vAlign w:val="center"/>
          </w:tcPr>
          <w:p w:rsidR="005240FB" w:rsidRPr="00752982" w:rsidRDefault="005240FB" w:rsidP="006C3AE1">
            <w:pPr>
              <w:pStyle w:val="TextPI"/>
              <w:spacing w:before="0" w:after="0" w:line="240" w:lineRule="auto"/>
              <w:jc w:val="center"/>
              <w:rPr>
                <w:b/>
                <w:sz w:val="20"/>
                <w:szCs w:val="20"/>
              </w:rPr>
            </w:pPr>
          </w:p>
        </w:tc>
        <w:tc>
          <w:tcPr>
            <w:tcW w:w="1276" w:type="dxa"/>
            <w:vMerge/>
            <w:vAlign w:val="center"/>
          </w:tcPr>
          <w:p w:rsidR="005240FB" w:rsidRDefault="005240FB" w:rsidP="006C3AE1">
            <w:pPr>
              <w:pStyle w:val="TextPI"/>
              <w:spacing w:before="0" w:after="0" w:line="240" w:lineRule="auto"/>
              <w:jc w:val="center"/>
              <w:rPr>
                <w:sz w:val="18"/>
                <w:szCs w:val="18"/>
              </w:rPr>
            </w:pPr>
          </w:p>
        </w:tc>
        <w:tc>
          <w:tcPr>
            <w:tcW w:w="1276" w:type="dxa"/>
            <w:vMerge/>
            <w:vAlign w:val="center"/>
            <w:hideMark/>
          </w:tcPr>
          <w:p w:rsidR="005240FB" w:rsidRDefault="005240FB" w:rsidP="006C3AE1">
            <w:pPr>
              <w:pStyle w:val="TextPI"/>
              <w:spacing w:before="0" w:after="0" w:line="240" w:lineRule="auto"/>
              <w:jc w:val="center"/>
              <w:rPr>
                <w:sz w:val="18"/>
                <w:szCs w:val="18"/>
              </w:rPr>
            </w:pPr>
          </w:p>
        </w:tc>
        <w:tc>
          <w:tcPr>
            <w:tcW w:w="1559" w:type="dxa"/>
            <w:vMerge/>
            <w:vAlign w:val="center"/>
            <w:hideMark/>
          </w:tcPr>
          <w:p w:rsidR="005240FB" w:rsidRDefault="005240FB" w:rsidP="006C3AE1">
            <w:pPr>
              <w:pStyle w:val="TextPI"/>
              <w:jc w:val="center"/>
              <w:rPr>
                <w:sz w:val="18"/>
                <w:szCs w:val="18"/>
              </w:rPr>
            </w:pPr>
          </w:p>
        </w:tc>
        <w:tc>
          <w:tcPr>
            <w:tcW w:w="1276" w:type="dxa"/>
            <w:vMerge/>
            <w:vAlign w:val="center"/>
            <w:hideMark/>
          </w:tcPr>
          <w:p w:rsidR="005240FB" w:rsidRDefault="005240FB" w:rsidP="006C3AE1">
            <w:pPr>
              <w:pStyle w:val="TextPI"/>
              <w:jc w:val="center"/>
              <w:rPr>
                <w:sz w:val="18"/>
                <w:szCs w:val="18"/>
              </w:rPr>
            </w:pPr>
          </w:p>
        </w:tc>
        <w:tc>
          <w:tcPr>
            <w:tcW w:w="1276" w:type="dxa"/>
          </w:tcPr>
          <w:p w:rsidR="005240FB" w:rsidRDefault="005240FB" w:rsidP="006C3AE1">
            <w:pPr>
              <w:pStyle w:val="TextPI"/>
              <w:spacing w:before="0" w:after="0" w:line="240" w:lineRule="auto"/>
              <w:jc w:val="center"/>
              <w:rPr>
                <w:sz w:val="18"/>
                <w:szCs w:val="18"/>
                <w:lang w:val="it-IT"/>
              </w:rPr>
            </w:pPr>
            <w:r>
              <w:rPr>
                <w:sz w:val="18"/>
                <w:szCs w:val="18"/>
                <w:lang w:val="it-IT"/>
              </w:rPr>
              <w:t>ADENURIC 40mg</w:t>
            </w:r>
          </w:p>
          <w:p w:rsidR="005240FB" w:rsidRDefault="005240FB" w:rsidP="006C3AE1">
            <w:pPr>
              <w:pStyle w:val="TextPI"/>
              <w:spacing w:before="0" w:after="0" w:line="240" w:lineRule="auto"/>
              <w:jc w:val="center"/>
              <w:rPr>
                <w:sz w:val="18"/>
                <w:szCs w:val="18"/>
                <w:lang w:val="it-IT"/>
              </w:rPr>
            </w:pPr>
            <w:r>
              <w:rPr>
                <w:sz w:val="18"/>
                <w:szCs w:val="18"/>
                <w:lang w:val="it-IT"/>
              </w:rPr>
              <w:t xml:space="preserve"> vs allopurinol</w:t>
            </w:r>
          </w:p>
          <w:p w:rsidR="005240FB" w:rsidRDefault="005240FB" w:rsidP="006C3AE1">
            <w:pPr>
              <w:pStyle w:val="TextPI"/>
              <w:spacing w:before="0" w:after="0" w:line="240" w:lineRule="auto"/>
              <w:jc w:val="center"/>
              <w:rPr>
                <w:sz w:val="18"/>
                <w:szCs w:val="18"/>
                <w:lang w:val="it-IT"/>
              </w:rPr>
            </w:pPr>
          </w:p>
        </w:tc>
        <w:tc>
          <w:tcPr>
            <w:tcW w:w="1628" w:type="dxa"/>
          </w:tcPr>
          <w:p w:rsidR="005240FB" w:rsidRDefault="005240FB" w:rsidP="006C3AE1">
            <w:pPr>
              <w:pStyle w:val="TextPI"/>
              <w:spacing w:before="0" w:after="0" w:line="240" w:lineRule="auto"/>
              <w:jc w:val="center"/>
              <w:rPr>
                <w:sz w:val="18"/>
                <w:szCs w:val="18"/>
                <w:lang w:val="it-IT"/>
              </w:rPr>
            </w:pPr>
            <w:r>
              <w:rPr>
                <w:sz w:val="18"/>
                <w:szCs w:val="18"/>
                <w:lang w:val="it-IT"/>
              </w:rPr>
              <w:t xml:space="preserve">ADENURIC 80mg </w:t>
            </w:r>
          </w:p>
          <w:p w:rsidR="005240FB" w:rsidRDefault="005240FB" w:rsidP="006C3AE1">
            <w:pPr>
              <w:pStyle w:val="TextPI"/>
              <w:spacing w:before="0" w:after="0" w:line="240" w:lineRule="auto"/>
              <w:jc w:val="center"/>
              <w:rPr>
                <w:sz w:val="18"/>
                <w:szCs w:val="18"/>
                <w:lang w:val="it-IT"/>
              </w:rPr>
            </w:pPr>
            <w:r>
              <w:rPr>
                <w:sz w:val="18"/>
                <w:szCs w:val="18"/>
                <w:lang w:val="it-IT"/>
              </w:rPr>
              <w:t xml:space="preserve">vs </w:t>
            </w:r>
          </w:p>
          <w:p w:rsidR="005240FB" w:rsidRDefault="005240FB" w:rsidP="006C3AE1">
            <w:pPr>
              <w:pStyle w:val="TextPI"/>
              <w:spacing w:before="0" w:after="0" w:line="240" w:lineRule="auto"/>
              <w:jc w:val="center"/>
              <w:rPr>
                <w:sz w:val="18"/>
                <w:szCs w:val="18"/>
                <w:lang w:val="it-IT"/>
              </w:rPr>
            </w:pPr>
            <w:r>
              <w:rPr>
                <w:sz w:val="18"/>
                <w:szCs w:val="18"/>
                <w:lang w:val="it-IT"/>
              </w:rPr>
              <w:t>allopurinol</w:t>
            </w:r>
          </w:p>
          <w:p w:rsidR="005240FB" w:rsidRDefault="005240FB" w:rsidP="006C3AE1">
            <w:pPr>
              <w:pStyle w:val="TextPI"/>
              <w:spacing w:before="0" w:after="0" w:line="240" w:lineRule="auto"/>
              <w:jc w:val="center"/>
              <w:rPr>
                <w:sz w:val="18"/>
                <w:szCs w:val="18"/>
                <w:lang w:val="it-IT"/>
              </w:rPr>
            </w:pPr>
          </w:p>
        </w:tc>
      </w:tr>
      <w:tr w:rsidR="005240FB" w:rsidTr="006C3AE1">
        <w:trPr>
          <w:cantSplit/>
          <w:trHeight w:val="135"/>
          <w:jc w:val="center"/>
        </w:trPr>
        <w:tc>
          <w:tcPr>
            <w:tcW w:w="2667" w:type="dxa"/>
            <w:hideMark/>
          </w:tcPr>
          <w:p w:rsidR="005240FB" w:rsidRPr="003D67F9" w:rsidRDefault="005240FB" w:rsidP="006C3AE1">
            <w:pPr>
              <w:pStyle w:val="TextPI"/>
              <w:spacing w:before="0" w:after="0"/>
              <w:rPr>
                <w:b/>
                <w:i/>
                <w:sz w:val="20"/>
                <w:szCs w:val="20"/>
              </w:rPr>
            </w:pPr>
            <w:r w:rsidRPr="003D67F9">
              <w:rPr>
                <w:b/>
                <w:i/>
                <w:sz w:val="20"/>
                <w:szCs w:val="20"/>
              </w:rPr>
              <w:t xml:space="preserve">LAST THREE MONTHLY VISITS </w:t>
            </w:r>
          </w:p>
        </w:tc>
        <w:tc>
          <w:tcPr>
            <w:tcW w:w="8291" w:type="dxa"/>
            <w:gridSpan w:val="6"/>
            <w:shd w:val="clear" w:color="auto" w:fill="FFFFFF" w:themeFill="background1"/>
          </w:tcPr>
          <w:p w:rsidR="005240FB" w:rsidRDefault="005240FB" w:rsidP="006C3AE1">
            <w:pPr>
              <w:pStyle w:val="TextPI"/>
              <w:spacing w:before="0" w:after="0"/>
              <w:jc w:val="center"/>
              <w:rPr>
                <w:sz w:val="18"/>
                <w:szCs w:val="18"/>
              </w:rPr>
            </w:pPr>
          </w:p>
        </w:tc>
      </w:tr>
      <w:tr w:rsidR="005240FB" w:rsidTr="006C3AE1">
        <w:trPr>
          <w:cantSplit/>
          <w:trHeight w:val="135"/>
          <w:jc w:val="center"/>
        </w:trPr>
        <w:tc>
          <w:tcPr>
            <w:tcW w:w="2667" w:type="dxa"/>
            <w:hideMark/>
          </w:tcPr>
          <w:p w:rsidR="005240FB" w:rsidRDefault="005240FB" w:rsidP="006C3AE1">
            <w:pPr>
              <w:pStyle w:val="TextPI"/>
              <w:spacing w:before="0" w:after="0"/>
              <w:rPr>
                <w:sz w:val="18"/>
                <w:szCs w:val="18"/>
              </w:rPr>
            </w:pPr>
            <w:r>
              <w:rPr>
                <w:sz w:val="18"/>
                <w:szCs w:val="18"/>
              </w:rPr>
              <w:t xml:space="preserve">APEX </w:t>
            </w:r>
          </w:p>
          <w:p w:rsidR="005240FB" w:rsidRDefault="005240FB" w:rsidP="006C3AE1">
            <w:pPr>
              <w:pStyle w:val="TextPI"/>
              <w:spacing w:before="0" w:after="0"/>
              <w:rPr>
                <w:sz w:val="18"/>
                <w:szCs w:val="18"/>
              </w:rPr>
            </w:pPr>
            <w:r>
              <w:rPr>
                <w:sz w:val="18"/>
                <w:szCs w:val="18"/>
              </w:rPr>
              <w:t>(6 months)</w:t>
            </w:r>
          </w:p>
        </w:tc>
        <w:tc>
          <w:tcPr>
            <w:tcW w:w="1276" w:type="dxa"/>
            <w:shd w:val="clear" w:color="auto" w:fill="D9D9D9" w:themeFill="background1" w:themeFillShade="D9"/>
          </w:tcPr>
          <w:p w:rsidR="005240FB" w:rsidRDefault="005240FB" w:rsidP="006C3AE1">
            <w:pPr>
              <w:pStyle w:val="TextPI"/>
              <w:spacing w:before="0" w:after="0"/>
              <w:jc w:val="center"/>
              <w:rPr>
                <w:sz w:val="18"/>
                <w:szCs w:val="18"/>
              </w:rPr>
            </w:pPr>
          </w:p>
        </w:tc>
        <w:tc>
          <w:tcPr>
            <w:tcW w:w="1276" w:type="dxa"/>
            <w:shd w:val="clear" w:color="auto" w:fill="auto"/>
            <w:vAlign w:val="center"/>
            <w:hideMark/>
          </w:tcPr>
          <w:p w:rsidR="005240FB" w:rsidRDefault="005240FB" w:rsidP="006C3AE1">
            <w:pPr>
              <w:pStyle w:val="TextPI"/>
              <w:spacing w:before="0" w:after="0"/>
              <w:jc w:val="center"/>
              <w:rPr>
                <w:sz w:val="18"/>
                <w:szCs w:val="18"/>
              </w:rPr>
            </w:pPr>
            <w:r>
              <w:rPr>
                <w:sz w:val="18"/>
                <w:szCs w:val="18"/>
              </w:rPr>
              <w:t>48%*</w:t>
            </w:r>
          </w:p>
          <w:p w:rsidR="005240FB" w:rsidRDefault="005240FB" w:rsidP="006C3AE1">
            <w:pPr>
              <w:pStyle w:val="TextPI"/>
              <w:spacing w:before="0" w:after="0"/>
              <w:jc w:val="center"/>
              <w:rPr>
                <w:sz w:val="18"/>
                <w:szCs w:val="18"/>
              </w:rPr>
            </w:pPr>
            <w:r>
              <w:rPr>
                <w:sz w:val="18"/>
                <w:szCs w:val="18"/>
              </w:rPr>
              <w:t>(126/262)</w:t>
            </w:r>
          </w:p>
        </w:tc>
        <w:tc>
          <w:tcPr>
            <w:tcW w:w="1559" w:type="dxa"/>
            <w:shd w:val="clear" w:color="auto" w:fill="auto"/>
            <w:vAlign w:val="center"/>
            <w:hideMark/>
          </w:tcPr>
          <w:p w:rsidR="005240FB" w:rsidRDefault="005240FB" w:rsidP="006C3AE1">
            <w:pPr>
              <w:pStyle w:val="TextPI"/>
              <w:spacing w:before="0" w:after="0"/>
              <w:jc w:val="center"/>
              <w:rPr>
                <w:sz w:val="18"/>
                <w:szCs w:val="18"/>
              </w:rPr>
            </w:pPr>
            <w:r>
              <w:rPr>
                <w:sz w:val="18"/>
                <w:szCs w:val="18"/>
              </w:rPr>
              <w:t>22%</w:t>
            </w:r>
          </w:p>
          <w:p w:rsidR="005240FB" w:rsidRDefault="005240FB" w:rsidP="006C3AE1">
            <w:pPr>
              <w:pStyle w:val="TextPI"/>
              <w:spacing w:before="0" w:after="0"/>
              <w:jc w:val="center"/>
              <w:rPr>
                <w:sz w:val="18"/>
                <w:szCs w:val="18"/>
              </w:rPr>
            </w:pPr>
            <w:r>
              <w:rPr>
                <w:sz w:val="18"/>
                <w:szCs w:val="18"/>
              </w:rPr>
              <w:t>(60/268)</w:t>
            </w:r>
          </w:p>
        </w:tc>
        <w:tc>
          <w:tcPr>
            <w:tcW w:w="1276" w:type="dxa"/>
            <w:shd w:val="clear" w:color="auto" w:fill="auto"/>
            <w:vAlign w:val="center"/>
            <w:hideMark/>
          </w:tcPr>
          <w:p w:rsidR="005240FB" w:rsidRDefault="005240FB" w:rsidP="006C3AE1">
            <w:pPr>
              <w:pStyle w:val="TextPI"/>
              <w:spacing w:before="0" w:after="0"/>
              <w:jc w:val="center"/>
              <w:rPr>
                <w:sz w:val="18"/>
                <w:szCs w:val="18"/>
              </w:rPr>
            </w:pPr>
            <w:r>
              <w:rPr>
                <w:sz w:val="18"/>
                <w:szCs w:val="18"/>
              </w:rPr>
              <w:t>0%</w:t>
            </w:r>
          </w:p>
          <w:p w:rsidR="005240FB" w:rsidRDefault="005240FB" w:rsidP="006C3AE1">
            <w:pPr>
              <w:pStyle w:val="TextPI"/>
              <w:spacing w:before="0" w:after="0"/>
              <w:jc w:val="center"/>
              <w:rPr>
                <w:sz w:val="18"/>
                <w:szCs w:val="18"/>
              </w:rPr>
            </w:pPr>
            <w:r>
              <w:rPr>
                <w:sz w:val="18"/>
                <w:szCs w:val="18"/>
              </w:rPr>
              <w:t>(0/134)</w:t>
            </w:r>
          </w:p>
        </w:tc>
        <w:tc>
          <w:tcPr>
            <w:tcW w:w="1276" w:type="dxa"/>
            <w:shd w:val="clear" w:color="auto" w:fill="D9D9D9" w:themeFill="background1" w:themeFillShade="D9"/>
            <w:vAlign w:val="center"/>
          </w:tcPr>
          <w:p w:rsidR="005240FB" w:rsidRDefault="005240FB" w:rsidP="006C3AE1">
            <w:pPr>
              <w:pStyle w:val="TextPI"/>
              <w:spacing w:before="0" w:after="0"/>
              <w:jc w:val="center"/>
              <w:rPr>
                <w:sz w:val="18"/>
                <w:szCs w:val="18"/>
              </w:rPr>
            </w:pPr>
          </w:p>
        </w:tc>
        <w:tc>
          <w:tcPr>
            <w:tcW w:w="1628" w:type="dxa"/>
            <w:shd w:val="clear" w:color="auto" w:fill="auto"/>
            <w:vAlign w:val="center"/>
          </w:tcPr>
          <w:p w:rsidR="005240FB" w:rsidRDefault="005240FB" w:rsidP="006C3AE1">
            <w:pPr>
              <w:pStyle w:val="TextPI"/>
              <w:spacing w:before="0" w:after="0"/>
              <w:jc w:val="center"/>
              <w:rPr>
                <w:sz w:val="18"/>
                <w:szCs w:val="18"/>
              </w:rPr>
            </w:pPr>
            <w:r>
              <w:rPr>
                <w:sz w:val="18"/>
                <w:szCs w:val="18"/>
              </w:rPr>
              <w:t>26%</w:t>
            </w:r>
          </w:p>
          <w:p w:rsidR="005240FB" w:rsidRDefault="005240FB" w:rsidP="006C3AE1">
            <w:pPr>
              <w:pStyle w:val="TextPI"/>
              <w:spacing w:before="0" w:after="0"/>
              <w:jc w:val="center"/>
              <w:rPr>
                <w:sz w:val="18"/>
                <w:szCs w:val="18"/>
              </w:rPr>
            </w:pPr>
            <w:r>
              <w:rPr>
                <w:sz w:val="18"/>
                <w:szCs w:val="18"/>
              </w:rPr>
              <w:t>(19%-37%)</w:t>
            </w:r>
          </w:p>
        </w:tc>
      </w:tr>
      <w:tr w:rsidR="005240FB" w:rsidTr="006C3AE1">
        <w:trPr>
          <w:cantSplit/>
          <w:trHeight w:val="801"/>
          <w:jc w:val="center"/>
        </w:trPr>
        <w:tc>
          <w:tcPr>
            <w:tcW w:w="2667" w:type="dxa"/>
            <w:tcBorders>
              <w:bottom w:val="triple" w:sz="4" w:space="0" w:color="auto"/>
            </w:tcBorders>
            <w:hideMark/>
          </w:tcPr>
          <w:p w:rsidR="005240FB" w:rsidRDefault="005240FB" w:rsidP="006C3AE1">
            <w:pPr>
              <w:pStyle w:val="TextPI"/>
              <w:spacing w:before="0" w:after="0"/>
              <w:rPr>
                <w:sz w:val="18"/>
                <w:szCs w:val="18"/>
              </w:rPr>
            </w:pPr>
            <w:r>
              <w:rPr>
                <w:sz w:val="18"/>
                <w:szCs w:val="18"/>
              </w:rPr>
              <w:t xml:space="preserve">FACT </w:t>
            </w:r>
          </w:p>
          <w:p w:rsidR="005240FB" w:rsidRDefault="005240FB" w:rsidP="006C3AE1">
            <w:pPr>
              <w:pStyle w:val="TextPI"/>
              <w:spacing w:before="0" w:after="0"/>
              <w:rPr>
                <w:sz w:val="18"/>
                <w:szCs w:val="18"/>
              </w:rPr>
            </w:pPr>
            <w:r>
              <w:rPr>
                <w:sz w:val="18"/>
                <w:szCs w:val="18"/>
              </w:rPr>
              <w:t>(12 months)</w:t>
            </w:r>
          </w:p>
        </w:tc>
        <w:tc>
          <w:tcPr>
            <w:tcW w:w="1276" w:type="dxa"/>
            <w:tcBorders>
              <w:bottom w:val="triple" w:sz="4" w:space="0" w:color="auto"/>
            </w:tcBorders>
            <w:shd w:val="clear" w:color="auto" w:fill="D9D9D9" w:themeFill="background1" w:themeFillShade="D9"/>
          </w:tcPr>
          <w:p w:rsidR="005240FB" w:rsidRDefault="005240FB" w:rsidP="006C3AE1">
            <w:pPr>
              <w:pStyle w:val="TextPI"/>
              <w:spacing w:before="0" w:after="0"/>
              <w:jc w:val="center"/>
              <w:rPr>
                <w:sz w:val="18"/>
                <w:szCs w:val="18"/>
              </w:rPr>
            </w:pPr>
          </w:p>
        </w:tc>
        <w:tc>
          <w:tcPr>
            <w:tcW w:w="1276" w:type="dxa"/>
            <w:tcBorders>
              <w:bottom w:val="triple" w:sz="4" w:space="0" w:color="auto"/>
            </w:tcBorders>
            <w:shd w:val="clear" w:color="auto" w:fill="auto"/>
            <w:vAlign w:val="center"/>
            <w:hideMark/>
          </w:tcPr>
          <w:p w:rsidR="005240FB" w:rsidRDefault="005240FB" w:rsidP="006C3AE1">
            <w:pPr>
              <w:pStyle w:val="TextPI"/>
              <w:spacing w:before="0" w:after="0"/>
              <w:jc w:val="center"/>
              <w:rPr>
                <w:sz w:val="18"/>
                <w:szCs w:val="18"/>
              </w:rPr>
            </w:pPr>
            <w:r>
              <w:rPr>
                <w:sz w:val="18"/>
                <w:szCs w:val="18"/>
              </w:rPr>
              <w:t>53%*</w:t>
            </w:r>
          </w:p>
          <w:p w:rsidR="005240FB" w:rsidRDefault="005240FB" w:rsidP="006C3AE1">
            <w:pPr>
              <w:pStyle w:val="TextPI"/>
              <w:spacing w:before="0" w:after="0"/>
              <w:jc w:val="center"/>
              <w:rPr>
                <w:sz w:val="18"/>
                <w:szCs w:val="18"/>
              </w:rPr>
            </w:pPr>
            <w:r>
              <w:rPr>
                <w:sz w:val="18"/>
                <w:szCs w:val="18"/>
              </w:rPr>
              <w:t>(136/255)</w:t>
            </w:r>
          </w:p>
        </w:tc>
        <w:tc>
          <w:tcPr>
            <w:tcW w:w="1559" w:type="dxa"/>
            <w:tcBorders>
              <w:bottom w:val="triple" w:sz="4" w:space="0" w:color="auto"/>
            </w:tcBorders>
            <w:shd w:val="clear" w:color="auto" w:fill="auto"/>
            <w:vAlign w:val="center"/>
            <w:hideMark/>
          </w:tcPr>
          <w:p w:rsidR="005240FB" w:rsidRDefault="005240FB" w:rsidP="006C3AE1">
            <w:pPr>
              <w:pStyle w:val="TextPI"/>
              <w:spacing w:before="0" w:after="0"/>
              <w:jc w:val="center"/>
              <w:rPr>
                <w:sz w:val="18"/>
                <w:szCs w:val="18"/>
              </w:rPr>
            </w:pPr>
            <w:r>
              <w:rPr>
                <w:sz w:val="18"/>
                <w:szCs w:val="18"/>
              </w:rPr>
              <w:t>21%</w:t>
            </w:r>
          </w:p>
          <w:p w:rsidR="005240FB" w:rsidRDefault="005240FB" w:rsidP="006C3AE1">
            <w:pPr>
              <w:pStyle w:val="TextPI"/>
              <w:spacing w:before="0" w:after="0"/>
              <w:jc w:val="center"/>
              <w:rPr>
                <w:sz w:val="18"/>
                <w:szCs w:val="18"/>
              </w:rPr>
            </w:pPr>
            <w:r>
              <w:rPr>
                <w:sz w:val="18"/>
                <w:szCs w:val="18"/>
              </w:rPr>
              <w:t>(53/251)</w:t>
            </w:r>
          </w:p>
        </w:tc>
        <w:tc>
          <w:tcPr>
            <w:tcW w:w="1276" w:type="dxa"/>
            <w:tcBorders>
              <w:bottom w:val="triple" w:sz="4" w:space="0" w:color="auto"/>
            </w:tcBorders>
            <w:shd w:val="clear" w:color="auto" w:fill="D9D9D9" w:themeFill="background1" w:themeFillShade="D9"/>
            <w:vAlign w:val="center"/>
            <w:hideMark/>
          </w:tcPr>
          <w:p w:rsidR="005240FB" w:rsidRDefault="005240FB" w:rsidP="006C3AE1">
            <w:pPr>
              <w:pStyle w:val="TextPI"/>
              <w:spacing w:before="0" w:after="0"/>
              <w:jc w:val="center"/>
              <w:rPr>
                <w:sz w:val="18"/>
                <w:szCs w:val="18"/>
              </w:rPr>
            </w:pPr>
          </w:p>
        </w:tc>
        <w:tc>
          <w:tcPr>
            <w:tcW w:w="1276" w:type="dxa"/>
            <w:tcBorders>
              <w:bottom w:val="triple" w:sz="4" w:space="0" w:color="auto"/>
            </w:tcBorders>
            <w:shd w:val="clear" w:color="auto" w:fill="D9D9D9" w:themeFill="background1" w:themeFillShade="D9"/>
            <w:vAlign w:val="center"/>
          </w:tcPr>
          <w:p w:rsidR="005240FB" w:rsidRDefault="005240FB" w:rsidP="006C3AE1">
            <w:pPr>
              <w:pStyle w:val="TextPI"/>
              <w:spacing w:before="0" w:after="0"/>
              <w:jc w:val="center"/>
              <w:rPr>
                <w:sz w:val="18"/>
                <w:szCs w:val="18"/>
              </w:rPr>
            </w:pPr>
          </w:p>
        </w:tc>
        <w:tc>
          <w:tcPr>
            <w:tcW w:w="1628" w:type="dxa"/>
            <w:tcBorders>
              <w:bottom w:val="triple" w:sz="4" w:space="0" w:color="auto"/>
            </w:tcBorders>
            <w:shd w:val="clear" w:color="auto" w:fill="auto"/>
            <w:vAlign w:val="center"/>
          </w:tcPr>
          <w:p w:rsidR="005240FB" w:rsidRDefault="005240FB" w:rsidP="006C3AE1">
            <w:pPr>
              <w:pStyle w:val="TextPI"/>
              <w:spacing w:before="0" w:after="0"/>
              <w:jc w:val="center"/>
              <w:rPr>
                <w:sz w:val="18"/>
                <w:szCs w:val="18"/>
              </w:rPr>
            </w:pPr>
            <w:r>
              <w:rPr>
                <w:sz w:val="18"/>
                <w:szCs w:val="18"/>
              </w:rPr>
              <w:t>32%</w:t>
            </w:r>
          </w:p>
          <w:p w:rsidR="005240FB" w:rsidRDefault="005240FB" w:rsidP="006C3AE1">
            <w:pPr>
              <w:pStyle w:val="TextPI"/>
              <w:spacing w:before="0" w:after="0"/>
              <w:jc w:val="center"/>
              <w:rPr>
                <w:sz w:val="18"/>
                <w:szCs w:val="18"/>
              </w:rPr>
            </w:pPr>
            <w:r>
              <w:rPr>
                <w:sz w:val="18"/>
                <w:szCs w:val="18"/>
              </w:rPr>
              <w:t>( 25%-43%)</w:t>
            </w:r>
          </w:p>
        </w:tc>
      </w:tr>
      <w:tr w:rsidR="005240FB" w:rsidTr="006C3AE1">
        <w:trPr>
          <w:cantSplit/>
          <w:trHeight w:val="135"/>
          <w:jc w:val="center"/>
        </w:trPr>
        <w:tc>
          <w:tcPr>
            <w:tcW w:w="2667" w:type="dxa"/>
            <w:hideMark/>
          </w:tcPr>
          <w:p w:rsidR="005240FB" w:rsidRPr="003D67F9" w:rsidRDefault="005240FB" w:rsidP="006C3AE1">
            <w:pPr>
              <w:pStyle w:val="TextPI"/>
              <w:spacing w:before="0" w:after="0"/>
              <w:rPr>
                <w:b/>
                <w:i/>
                <w:sz w:val="20"/>
                <w:szCs w:val="20"/>
              </w:rPr>
            </w:pPr>
            <w:r w:rsidRPr="003D67F9">
              <w:rPr>
                <w:b/>
                <w:i/>
                <w:sz w:val="20"/>
                <w:szCs w:val="20"/>
              </w:rPr>
              <w:t xml:space="preserve">FINAL VISIT </w:t>
            </w:r>
          </w:p>
        </w:tc>
        <w:tc>
          <w:tcPr>
            <w:tcW w:w="8291" w:type="dxa"/>
            <w:gridSpan w:val="6"/>
            <w:tcBorders>
              <w:top w:val="triple" w:sz="4" w:space="0" w:color="auto"/>
            </w:tcBorders>
            <w:shd w:val="clear" w:color="auto" w:fill="auto"/>
          </w:tcPr>
          <w:p w:rsidR="005240FB" w:rsidRDefault="005240FB" w:rsidP="006C3AE1">
            <w:pPr>
              <w:pStyle w:val="TextPI"/>
              <w:spacing w:before="0" w:after="0"/>
              <w:jc w:val="center"/>
              <w:rPr>
                <w:sz w:val="18"/>
                <w:szCs w:val="18"/>
              </w:rPr>
            </w:pPr>
          </w:p>
        </w:tc>
      </w:tr>
      <w:tr w:rsidR="005240FB" w:rsidTr="006C3AE1">
        <w:trPr>
          <w:cantSplit/>
          <w:trHeight w:val="135"/>
          <w:jc w:val="center"/>
        </w:trPr>
        <w:tc>
          <w:tcPr>
            <w:tcW w:w="2667" w:type="dxa"/>
            <w:hideMark/>
          </w:tcPr>
          <w:p w:rsidR="005240FB" w:rsidRDefault="005240FB" w:rsidP="006C3AE1">
            <w:pPr>
              <w:pStyle w:val="TextPI"/>
              <w:spacing w:before="0" w:after="0"/>
              <w:rPr>
                <w:sz w:val="18"/>
                <w:szCs w:val="18"/>
              </w:rPr>
            </w:pPr>
            <w:r>
              <w:rPr>
                <w:sz w:val="18"/>
                <w:szCs w:val="18"/>
              </w:rPr>
              <w:t xml:space="preserve">CONFIRMS </w:t>
            </w:r>
          </w:p>
          <w:p w:rsidR="005240FB" w:rsidRDefault="005240FB" w:rsidP="006C3AE1">
            <w:pPr>
              <w:pStyle w:val="TextPI"/>
              <w:spacing w:before="0" w:after="0"/>
              <w:rPr>
                <w:sz w:val="18"/>
                <w:szCs w:val="18"/>
              </w:rPr>
            </w:pPr>
            <w:r>
              <w:rPr>
                <w:sz w:val="18"/>
                <w:szCs w:val="18"/>
              </w:rPr>
              <w:t>(6 months)</w:t>
            </w:r>
          </w:p>
        </w:tc>
        <w:tc>
          <w:tcPr>
            <w:tcW w:w="1276" w:type="dxa"/>
          </w:tcPr>
          <w:p w:rsidR="005240FB" w:rsidRDefault="005240FB" w:rsidP="006C3AE1">
            <w:pPr>
              <w:pStyle w:val="TextPI"/>
              <w:spacing w:before="0" w:after="0"/>
              <w:jc w:val="center"/>
              <w:rPr>
                <w:sz w:val="18"/>
                <w:szCs w:val="18"/>
              </w:rPr>
            </w:pPr>
            <w:r>
              <w:rPr>
                <w:sz w:val="18"/>
                <w:szCs w:val="18"/>
              </w:rPr>
              <w:t>45%</w:t>
            </w:r>
          </w:p>
          <w:p w:rsidR="005240FB" w:rsidRDefault="005240FB" w:rsidP="006C3AE1">
            <w:pPr>
              <w:pStyle w:val="TextPI"/>
              <w:spacing w:before="0" w:after="0"/>
              <w:jc w:val="center"/>
              <w:rPr>
                <w:sz w:val="18"/>
                <w:szCs w:val="18"/>
              </w:rPr>
            </w:pPr>
            <w:r>
              <w:rPr>
                <w:sz w:val="18"/>
                <w:szCs w:val="18"/>
              </w:rPr>
              <w:t>(345/757)</w:t>
            </w:r>
          </w:p>
        </w:tc>
        <w:tc>
          <w:tcPr>
            <w:tcW w:w="1276" w:type="dxa"/>
            <w:vAlign w:val="center"/>
            <w:hideMark/>
          </w:tcPr>
          <w:p w:rsidR="005240FB" w:rsidRDefault="005240FB" w:rsidP="006C3AE1">
            <w:pPr>
              <w:pStyle w:val="TextPI"/>
              <w:spacing w:before="0" w:after="0"/>
              <w:jc w:val="center"/>
              <w:rPr>
                <w:sz w:val="18"/>
                <w:szCs w:val="18"/>
              </w:rPr>
            </w:pPr>
            <w:r>
              <w:rPr>
                <w:sz w:val="18"/>
                <w:szCs w:val="18"/>
              </w:rPr>
              <w:t>67%*</w:t>
            </w:r>
          </w:p>
          <w:p w:rsidR="005240FB" w:rsidRDefault="005240FB" w:rsidP="006C3AE1">
            <w:pPr>
              <w:pStyle w:val="TextPI"/>
              <w:spacing w:before="0" w:after="0"/>
              <w:jc w:val="center"/>
              <w:rPr>
                <w:sz w:val="18"/>
                <w:szCs w:val="18"/>
              </w:rPr>
            </w:pPr>
            <w:r>
              <w:rPr>
                <w:sz w:val="18"/>
                <w:szCs w:val="18"/>
              </w:rPr>
              <w:t>(507/756)</w:t>
            </w:r>
          </w:p>
        </w:tc>
        <w:tc>
          <w:tcPr>
            <w:tcW w:w="1559" w:type="dxa"/>
            <w:vAlign w:val="center"/>
            <w:hideMark/>
          </w:tcPr>
          <w:p w:rsidR="005240FB" w:rsidRDefault="005240FB" w:rsidP="006C3AE1">
            <w:pPr>
              <w:pStyle w:val="TextPI"/>
              <w:spacing w:before="0" w:after="0"/>
              <w:jc w:val="center"/>
              <w:rPr>
                <w:sz w:val="18"/>
                <w:szCs w:val="18"/>
              </w:rPr>
            </w:pPr>
            <w:r>
              <w:rPr>
                <w:sz w:val="18"/>
                <w:szCs w:val="18"/>
              </w:rPr>
              <w:t>42%</w:t>
            </w:r>
          </w:p>
          <w:p w:rsidR="005240FB" w:rsidRDefault="005240FB" w:rsidP="006C3AE1">
            <w:pPr>
              <w:pStyle w:val="TextPI"/>
              <w:spacing w:before="0" w:after="0"/>
              <w:jc w:val="center"/>
              <w:rPr>
                <w:sz w:val="18"/>
                <w:szCs w:val="18"/>
              </w:rPr>
            </w:pPr>
            <w:r>
              <w:rPr>
                <w:sz w:val="18"/>
                <w:szCs w:val="18"/>
              </w:rPr>
              <w:t>(318/755)</w:t>
            </w:r>
          </w:p>
        </w:tc>
        <w:tc>
          <w:tcPr>
            <w:tcW w:w="1276" w:type="dxa"/>
            <w:shd w:val="clear" w:color="auto" w:fill="D9D9D9" w:themeFill="background1" w:themeFillShade="D9"/>
            <w:vAlign w:val="center"/>
            <w:hideMark/>
          </w:tcPr>
          <w:p w:rsidR="005240FB" w:rsidRDefault="005240FB" w:rsidP="006C3AE1">
            <w:pPr>
              <w:pStyle w:val="TextPI"/>
              <w:tabs>
                <w:tab w:val="left" w:pos="1127"/>
              </w:tabs>
              <w:spacing w:before="0" w:after="0"/>
              <w:jc w:val="center"/>
              <w:rPr>
                <w:sz w:val="18"/>
                <w:szCs w:val="18"/>
              </w:rPr>
            </w:pPr>
          </w:p>
        </w:tc>
        <w:tc>
          <w:tcPr>
            <w:tcW w:w="1276" w:type="dxa"/>
            <w:vAlign w:val="center"/>
          </w:tcPr>
          <w:p w:rsidR="005240FB" w:rsidRDefault="005240FB" w:rsidP="006C3AE1">
            <w:pPr>
              <w:pStyle w:val="TextPI"/>
              <w:spacing w:before="0" w:after="0"/>
              <w:jc w:val="center"/>
              <w:rPr>
                <w:sz w:val="18"/>
                <w:szCs w:val="18"/>
              </w:rPr>
            </w:pPr>
            <w:r>
              <w:rPr>
                <w:sz w:val="18"/>
                <w:szCs w:val="18"/>
              </w:rPr>
              <w:t>3%</w:t>
            </w:r>
          </w:p>
          <w:p w:rsidR="005240FB" w:rsidRDefault="005240FB" w:rsidP="006C3AE1">
            <w:pPr>
              <w:pStyle w:val="TextPI"/>
              <w:spacing w:before="0" w:after="0"/>
              <w:jc w:val="center"/>
              <w:rPr>
                <w:sz w:val="18"/>
                <w:szCs w:val="18"/>
              </w:rPr>
            </w:pPr>
            <w:r>
              <w:rPr>
                <w:sz w:val="18"/>
                <w:szCs w:val="18"/>
              </w:rPr>
              <w:t>(-2%, 8%)</w:t>
            </w:r>
          </w:p>
        </w:tc>
        <w:tc>
          <w:tcPr>
            <w:tcW w:w="1628" w:type="dxa"/>
            <w:vAlign w:val="center"/>
          </w:tcPr>
          <w:p w:rsidR="005240FB" w:rsidRDefault="005240FB" w:rsidP="006C3AE1">
            <w:pPr>
              <w:pStyle w:val="TextPI"/>
              <w:spacing w:before="0" w:after="0"/>
              <w:jc w:val="center"/>
              <w:rPr>
                <w:sz w:val="18"/>
                <w:szCs w:val="18"/>
              </w:rPr>
            </w:pPr>
            <w:r>
              <w:rPr>
                <w:sz w:val="18"/>
                <w:szCs w:val="18"/>
              </w:rPr>
              <w:t>25%</w:t>
            </w:r>
          </w:p>
          <w:p w:rsidR="005240FB" w:rsidRDefault="005240FB" w:rsidP="006C3AE1">
            <w:pPr>
              <w:pStyle w:val="TextPI"/>
              <w:spacing w:before="0" w:after="0"/>
              <w:jc w:val="center"/>
              <w:rPr>
                <w:sz w:val="18"/>
                <w:szCs w:val="18"/>
              </w:rPr>
            </w:pPr>
            <w:r>
              <w:rPr>
                <w:sz w:val="18"/>
                <w:szCs w:val="18"/>
              </w:rPr>
              <w:t>(20%, 30%)</w:t>
            </w:r>
          </w:p>
        </w:tc>
      </w:tr>
      <w:tr w:rsidR="005240FB" w:rsidTr="006C3AE1">
        <w:trPr>
          <w:cantSplit/>
          <w:trHeight w:val="135"/>
          <w:jc w:val="center"/>
        </w:trPr>
        <w:tc>
          <w:tcPr>
            <w:tcW w:w="2667" w:type="dxa"/>
            <w:hideMark/>
          </w:tcPr>
          <w:p w:rsidR="005240FB" w:rsidRDefault="005240FB" w:rsidP="006C3AE1">
            <w:pPr>
              <w:pStyle w:val="TextPI"/>
              <w:spacing w:before="0" w:after="0"/>
              <w:rPr>
                <w:sz w:val="18"/>
                <w:szCs w:val="18"/>
              </w:rPr>
            </w:pPr>
            <w:r>
              <w:rPr>
                <w:sz w:val="18"/>
                <w:szCs w:val="18"/>
              </w:rPr>
              <w:t xml:space="preserve">APEX </w:t>
            </w:r>
          </w:p>
          <w:p w:rsidR="005240FB" w:rsidRDefault="005240FB" w:rsidP="006C3AE1">
            <w:pPr>
              <w:pStyle w:val="TextPI"/>
              <w:spacing w:before="0" w:after="0"/>
              <w:rPr>
                <w:sz w:val="18"/>
                <w:szCs w:val="18"/>
              </w:rPr>
            </w:pPr>
            <w:r>
              <w:rPr>
                <w:sz w:val="18"/>
                <w:szCs w:val="18"/>
              </w:rPr>
              <w:t>(6 months)</w:t>
            </w:r>
          </w:p>
        </w:tc>
        <w:tc>
          <w:tcPr>
            <w:tcW w:w="1276" w:type="dxa"/>
            <w:shd w:val="clear" w:color="auto" w:fill="D9D9D9" w:themeFill="background1" w:themeFillShade="D9"/>
          </w:tcPr>
          <w:p w:rsidR="005240FB" w:rsidRDefault="005240FB" w:rsidP="006C3AE1">
            <w:pPr>
              <w:pStyle w:val="TextPI"/>
              <w:spacing w:before="0" w:after="0"/>
              <w:jc w:val="center"/>
              <w:rPr>
                <w:sz w:val="18"/>
                <w:szCs w:val="18"/>
              </w:rPr>
            </w:pPr>
          </w:p>
        </w:tc>
        <w:tc>
          <w:tcPr>
            <w:tcW w:w="1276" w:type="dxa"/>
            <w:vAlign w:val="center"/>
            <w:hideMark/>
          </w:tcPr>
          <w:p w:rsidR="005240FB" w:rsidRDefault="005240FB" w:rsidP="006C3AE1">
            <w:pPr>
              <w:pStyle w:val="TextPI"/>
              <w:spacing w:before="0" w:after="0"/>
              <w:jc w:val="center"/>
              <w:rPr>
                <w:sz w:val="18"/>
                <w:szCs w:val="18"/>
              </w:rPr>
            </w:pPr>
            <w:r>
              <w:rPr>
                <w:sz w:val="18"/>
                <w:szCs w:val="18"/>
              </w:rPr>
              <w:t>72%</w:t>
            </w:r>
          </w:p>
          <w:p w:rsidR="005240FB" w:rsidRDefault="005240FB" w:rsidP="006C3AE1">
            <w:pPr>
              <w:pStyle w:val="TextPI"/>
              <w:spacing w:before="0" w:after="0"/>
              <w:jc w:val="center"/>
              <w:rPr>
                <w:sz w:val="18"/>
                <w:szCs w:val="18"/>
              </w:rPr>
            </w:pPr>
            <w:r>
              <w:rPr>
                <w:sz w:val="18"/>
                <w:szCs w:val="18"/>
              </w:rPr>
              <w:t>(183/253)</w:t>
            </w:r>
          </w:p>
        </w:tc>
        <w:tc>
          <w:tcPr>
            <w:tcW w:w="1559" w:type="dxa"/>
            <w:vAlign w:val="center"/>
            <w:hideMark/>
          </w:tcPr>
          <w:p w:rsidR="005240FB" w:rsidRDefault="005240FB" w:rsidP="006C3AE1">
            <w:pPr>
              <w:pStyle w:val="TextPI"/>
              <w:spacing w:before="0" w:after="0"/>
              <w:jc w:val="center"/>
              <w:rPr>
                <w:sz w:val="18"/>
                <w:szCs w:val="18"/>
              </w:rPr>
            </w:pPr>
            <w:r>
              <w:rPr>
                <w:sz w:val="18"/>
                <w:szCs w:val="18"/>
              </w:rPr>
              <w:t>39%</w:t>
            </w:r>
          </w:p>
          <w:p w:rsidR="005240FB" w:rsidRDefault="005240FB" w:rsidP="006C3AE1">
            <w:pPr>
              <w:pStyle w:val="TextPI"/>
              <w:spacing w:before="0" w:after="0"/>
              <w:jc w:val="center"/>
              <w:rPr>
                <w:sz w:val="18"/>
                <w:szCs w:val="18"/>
              </w:rPr>
            </w:pPr>
            <w:r>
              <w:rPr>
                <w:sz w:val="18"/>
                <w:szCs w:val="18"/>
              </w:rPr>
              <w:t>(102/263)</w:t>
            </w:r>
          </w:p>
        </w:tc>
        <w:tc>
          <w:tcPr>
            <w:tcW w:w="1276" w:type="dxa"/>
            <w:vAlign w:val="center"/>
            <w:hideMark/>
          </w:tcPr>
          <w:p w:rsidR="005240FB" w:rsidRDefault="005240FB" w:rsidP="006C3AE1">
            <w:pPr>
              <w:pStyle w:val="TextPI"/>
              <w:spacing w:before="0" w:after="0"/>
              <w:jc w:val="center"/>
              <w:rPr>
                <w:sz w:val="18"/>
                <w:szCs w:val="18"/>
              </w:rPr>
            </w:pPr>
            <w:r>
              <w:rPr>
                <w:sz w:val="18"/>
                <w:szCs w:val="18"/>
              </w:rPr>
              <w:t>1%</w:t>
            </w:r>
          </w:p>
          <w:p w:rsidR="005240FB" w:rsidRDefault="005240FB" w:rsidP="006C3AE1">
            <w:pPr>
              <w:pStyle w:val="TextPI"/>
              <w:spacing w:before="0" w:after="0"/>
              <w:jc w:val="center"/>
              <w:rPr>
                <w:sz w:val="18"/>
                <w:szCs w:val="18"/>
              </w:rPr>
            </w:pPr>
            <w:r w:rsidRPr="00F56BCD">
              <w:rPr>
                <w:sz w:val="18"/>
                <w:szCs w:val="18"/>
              </w:rPr>
              <w:t>(1/134)</w:t>
            </w:r>
          </w:p>
        </w:tc>
        <w:tc>
          <w:tcPr>
            <w:tcW w:w="1276" w:type="dxa"/>
            <w:shd w:val="clear" w:color="auto" w:fill="D9D9D9" w:themeFill="background1" w:themeFillShade="D9"/>
            <w:vAlign w:val="center"/>
          </w:tcPr>
          <w:p w:rsidR="005240FB" w:rsidRDefault="005240FB" w:rsidP="006C3AE1">
            <w:pPr>
              <w:pStyle w:val="TextPI"/>
              <w:spacing w:before="0" w:after="0"/>
              <w:jc w:val="center"/>
              <w:rPr>
                <w:sz w:val="18"/>
                <w:szCs w:val="18"/>
              </w:rPr>
            </w:pPr>
          </w:p>
        </w:tc>
        <w:tc>
          <w:tcPr>
            <w:tcW w:w="1628" w:type="dxa"/>
            <w:vAlign w:val="center"/>
          </w:tcPr>
          <w:p w:rsidR="005240FB" w:rsidRDefault="005240FB" w:rsidP="006C3AE1">
            <w:pPr>
              <w:pStyle w:val="TextPI"/>
              <w:spacing w:before="0" w:after="0"/>
              <w:jc w:val="center"/>
              <w:rPr>
                <w:sz w:val="18"/>
                <w:szCs w:val="18"/>
              </w:rPr>
            </w:pPr>
            <w:r>
              <w:rPr>
                <w:sz w:val="18"/>
                <w:szCs w:val="18"/>
              </w:rPr>
              <w:t>33%</w:t>
            </w:r>
          </w:p>
          <w:p w:rsidR="005240FB" w:rsidRDefault="005240FB" w:rsidP="006C3AE1">
            <w:pPr>
              <w:pStyle w:val="TextPI"/>
              <w:spacing w:before="0" w:after="0"/>
              <w:jc w:val="center"/>
              <w:rPr>
                <w:sz w:val="18"/>
                <w:szCs w:val="18"/>
              </w:rPr>
            </w:pPr>
            <w:r>
              <w:rPr>
                <w:sz w:val="18"/>
                <w:szCs w:val="18"/>
              </w:rPr>
              <w:t>(26%, 42%)</w:t>
            </w:r>
          </w:p>
        </w:tc>
      </w:tr>
      <w:tr w:rsidR="005240FB" w:rsidTr="006C3AE1">
        <w:trPr>
          <w:cantSplit/>
          <w:trHeight w:val="135"/>
          <w:jc w:val="center"/>
        </w:trPr>
        <w:tc>
          <w:tcPr>
            <w:tcW w:w="2667" w:type="dxa"/>
            <w:hideMark/>
          </w:tcPr>
          <w:p w:rsidR="005240FB" w:rsidRDefault="005240FB" w:rsidP="006C3AE1">
            <w:pPr>
              <w:pStyle w:val="TextPI"/>
              <w:spacing w:before="0" w:after="0"/>
              <w:rPr>
                <w:sz w:val="18"/>
                <w:szCs w:val="18"/>
              </w:rPr>
            </w:pPr>
            <w:r>
              <w:rPr>
                <w:sz w:val="18"/>
                <w:szCs w:val="18"/>
              </w:rPr>
              <w:t xml:space="preserve">FACT </w:t>
            </w:r>
          </w:p>
          <w:p w:rsidR="005240FB" w:rsidRDefault="005240FB" w:rsidP="006C3AE1">
            <w:pPr>
              <w:pStyle w:val="TextPI"/>
              <w:spacing w:before="0" w:after="0"/>
              <w:rPr>
                <w:sz w:val="18"/>
                <w:szCs w:val="18"/>
              </w:rPr>
            </w:pPr>
            <w:r>
              <w:rPr>
                <w:sz w:val="18"/>
                <w:szCs w:val="18"/>
              </w:rPr>
              <w:t xml:space="preserve">(12 months) </w:t>
            </w:r>
          </w:p>
        </w:tc>
        <w:tc>
          <w:tcPr>
            <w:tcW w:w="1276" w:type="dxa"/>
            <w:shd w:val="clear" w:color="auto" w:fill="D9D9D9" w:themeFill="background1" w:themeFillShade="D9"/>
          </w:tcPr>
          <w:p w:rsidR="005240FB" w:rsidRDefault="005240FB" w:rsidP="006C3AE1">
            <w:pPr>
              <w:pStyle w:val="TextPI"/>
              <w:spacing w:before="0" w:after="0"/>
              <w:jc w:val="center"/>
              <w:rPr>
                <w:sz w:val="18"/>
                <w:szCs w:val="18"/>
              </w:rPr>
            </w:pPr>
          </w:p>
        </w:tc>
        <w:tc>
          <w:tcPr>
            <w:tcW w:w="1276" w:type="dxa"/>
            <w:vAlign w:val="center"/>
            <w:hideMark/>
          </w:tcPr>
          <w:p w:rsidR="005240FB" w:rsidRDefault="005240FB" w:rsidP="006C3AE1">
            <w:pPr>
              <w:pStyle w:val="TextPI"/>
              <w:spacing w:before="0" w:after="0"/>
              <w:jc w:val="center"/>
              <w:rPr>
                <w:sz w:val="18"/>
                <w:szCs w:val="18"/>
              </w:rPr>
            </w:pPr>
            <w:r>
              <w:rPr>
                <w:sz w:val="18"/>
                <w:szCs w:val="18"/>
              </w:rPr>
              <w:t>74%</w:t>
            </w:r>
          </w:p>
          <w:p w:rsidR="005240FB" w:rsidRDefault="005240FB" w:rsidP="006C3AE1">
            <w:pPr>
              <w:pStyle w:val="TextPI"/>
              <w:spacing w:before="0" w:after="0"/>
              <w:jc w:val="center"/>
              <w:rPr>
                <w:sz w:val="18"/>
                <w:szCs w:val="18"/>
              </w:rPr>
            </w:pPr>
            <w:r>
              <w:rPr>
                <w:sz w:val="18"/>
                <w:szCs w:val="18"/>
              </w:rPr>
              <w:t>(185/249)</w:t>
            </w:r>
          </w:p>
        </w:tc>
        <w:tc>
          <w:tcPr>
            <w:tcW w:w="1559" w:type="dxa"/>
            <w:vAlign w:val="center"/>
            <w:hideMark/>
          </w:tcPr>
          <w:p w:rsidR="005240FB" w:rsidRDefault="005240FB" w:rsidP="006C3AE1">
            <w:pPr>
              <w:pStyle w:val="TextPI"/>
              <w:spacing w:before="0" w:after="0"/>
              <w:jc w:val="center"/>
              <w:rPr>
                <w:sz w:val="18"/>
                <w:szCs w:val="18"/>
              </w:rPr>
            </w:pPr>
            <w:r>
              <w:rPr>
                <w:sz w:val="18"/>
                <w:szCs w:val="18"/>
              </w:rPr>
              <w:t>36%</w:t>
            </w:r>
          </w:p>
          <w:p w:rsidR="005240FB" w:rsidRDefault="005240FB" w:rsidP="006C3AE1">
            <w:pPr>
              <w:pStyle w:val="TextPI"/>
              <w:spacing w:before="0" w:after="0"/>
              <w:jc w:val="center"/>
              <w:rPr>
                <w:sz w:val="18"/>
                <w:szCs w:val="18"/>
              </w:rPr>
            </w:pPr>
            <w:r>
              <w:rPr>
                <w:sz w:val="18"/>
                <w:szCs w:val="18"/>
              </w:rPr>
              <w:t>(88/242)</w:t>
            </w:r>
          </w:p>
        </w:tc>
        <w:tc>
          <w:tcPr>
            <w:tcW w:w="1276" w:type="dxa"/>
            <w:shd w:val="clear" w:color="auto" w:fill="D9D9D9" w:themeFill="background1" w:themeFillShade="D9"/>
            <w:vAlign w:val="center"/>
            <w:hideMark/>
          </w:tcPr>
          <w:p w:rsidR="005240FB" w:rsidRDefault="005240FB" w:rsidP="006C3AE1">
            <w:pPr>
              <w:pStyle w:val="TextPI"/>
              <w:spacing w:before="0" w:after="0"/>
              <w:jc w:val="center"/>
              <w:rPr>
                <w:sz w:val="18"/>
                <w:szCs w:val="18"/>
              </w:rPr>
            </w:pPr>
          </w:p>
        </w:tc>
        <w:tc>
          <w:tcPr>
            <w:tcW w:w="1276" w:type="dxa"/>
            <w:shd w:val="clear" w:color="auto" w:fill="D9D9D9" w:themeFill="background1" w:themeFillShade="D9"/>
            <w:vAlign w:val="center"/>
          </w:tcPr>
          <w:p w:rsidR="005240FB" w:rsidRDefault="005240FB" w:rsidP="006C3AE1">
            <w:pPr>
              <w:pStyle w:val="TextPI"/>
              <w:spacing w:before="0" w:after="0"/>
              <w:jc w:val="center"/>
              <w:rPr>
                <w:sz w:val="18"/>
                <w:szCs w:val="18"/>
              </w:rPr>
            </w:pPr>
          </w:p>
        </w:tc>
        <w:tc>
          <w:tcPr>
            <w:tcW w:w="1628" w:type="dxa"/>
            <w:vAlign w:val="center"/>
          </w:tcPr>
          <w:p w:rsidR="005240FB" w:rsidRDefault="005240FB" w:rsidP="006C3AE1">
            <w:pPr>
              <w:pStyle w:val="TextPI"/>
              <w:spacing w:before="0" w:after="0"/>
              <w:jc w:val="center"/>
              <w:rPr>
                <w:sz w:val="18"/>
                <w:szCs w:val="18"/>
              </w:rPr>
            </w:pPr>
            <w:r>
              <w:rPr>
                <w:sz w:val="18"/>
                <w:szCs w:val="18"/>
              </w:rPr>
              <w:t>38%</w:t>
            </w:r>
          </w:p>
          <w:p w:rsidR="005240FB" w:rsidRDefault="005240FB" w:rsidP="006C3AE1">
            <w:pPr>
              <w:pStyle w:val="TextPI"/>
              <w:spacing w:before="0" w:after="0"/>
              <w:jc w:val="center"/>
              <w:rPr>
                <w:sz w:val="18"/>
                <w:szCs w:val="18"/>
              </w:rPr>
            </w:pPr>
            <w:r>
              <w:rPr>
                <w:sz w:val="18"/>
                <w:szCs w:val="18"/>
              </w:rPr>
              <w:t>(30%, 46%)</w:t>
            </w:r>
          </w:p>
        </w:tc>
      </w:tr>
      <w:tr w:rsidR="005240FB" w:rsidTr="006C3AE1">
        <w:trPr>
          <w:cantSplit/>
          <w:trHeight w:val="135"/>
          <w:jc w:val="center"/>
        </w:trPr>
        <w:tc>
          <w:tcPr>
            <w:tcW w:w="10958" w:type="dxa"/>
            <w:gridSpan w:val="7"/>
          </w:tcPr>
          <w:p w:rsidR="005240FB" w:rsidRDefault="005240FB" w:rsidP="006C3AE1">
            <w:pPr>
              <w:pStyle w:val="TextPI"/>
              <w:spacing w:before="0" w:after="0"/>
              <w:rPr>
                <w:sz w:val="16"/>
                <w:szCs w:val="16"/>
                <w:vertAlign w:val="superscript"/>
              </w:rPr>
            </w:pPr>
            <w:r>
              <w:rPr>
                <w:sz w:val="16"/>
                <w:szCs w:val="16"/>
                <w:vertAlign w:val="superscript"/>
              </w:rPr>
              <w:t>1</w:t>
            </w:r>
            <w:r>
              <w:rPr>
                <w:sz w:val="16"/>
                <w:szCs w:val="16"/>
              </w:rPr>
              <w:t xml:space="preserve"> Allopurinol was administered at reduced doses of 200mg (CONFIRMS study)  and 100mg (APEX / FACT studies) depending on renal function. </w:t>
            </w:r>
          </w:p>
          <w:p w:rsidR="005240FB" w:rsidRDefault="005240FB" w:rsidP="006C3AE1">
            <w:pPr>
              <w:pStyle w:val="TextPI"/>
              <w:spacing w:before="0" w:after="0"/>
              <w:rPr>
                <w:sz w:val="16"/>
                <w:szCs w:val="16"/>
              </w:rPr>
            </w:pPr>
            <w:r>
              <w:rPr>
                <w:sz w:val="16"/>
                <w:szCs w:val="16"/>
                <w:vertAlign w:val="superscript"/>
              </w:rPr>
              <w:t xml:space="preserve">2   </w:t>
            </w:r>
            <w:r>
              <w:rPr>
                <w:sz w:val="16"/>
                <w:szCs w:val="16"/>
              </w:rPr>
              <w:t xml:space="preserve">Results from subjects receiving either 100 mg daily (n=10:  patients with serum creatinine &gt; 1.5 and </w:t>
            </w:r>
            <w:r>
              <w:rPr>
                <w:sz w:val="16"/>
                <w:szCs w:val="16"/>
              </w:rPr>
              <w:sym w:font="Symbol" w:char="F0A3"/>
            </w:r>
            <w:r>
              <w:rPr>
                <w:sz w:val="16"/>
                <w:szCs w:val="16"/>
              </w:rPr>
              <w:t xml:space="preserve"> 2.0 mg/</w:t>
            </w:r>
            <w:proofErr w:type="spellStart"/>
            <w:r>
              <w:rPr>
                <w:sz w:val="16"/>
                <w:szCs w:val="16"/>
              </w:rPr>
              <w:t>dL</w:t>
            </w:r>
            <w:proofErr w:type="spellEnd"/>
            <w:r>
              <w:rPr>
                <w:sz w:val="16"/>
                <w:szCs w:val="16"/>
              </w:rPr>
              <w:t>) or 300 mg daily (n=509) were pooled for analyses.</w:t>
            </w:r>
          </w:p>
          <w:p w:rsidR="005240FB" w:rsidRDefault="005240FB" w:rsidP="006C3AE1">
            <w:pPr>
              <w:pStyle w:val="TextPI"/>
              <w:spacing w:before="0" w:after="0"/>
              <w:rPr>
                <w:sz w:val="16"/>
                <w:szCs w:val="16"/>
              </w:rPr>
            </w:pPr>
            <w:r>
              <w:rPr>
                <w:sz w:val="16"/>
                <w:szCs w:val="16"/>
              </w:rPr>
              <w:t xml:space="preserve">* p &lt; 0.001 vs allopurinol </w:t>
            </w:r>
          </w:p>
        </w:tc>
      </w:tr>
    </w:tbl>
    <w:p w:rsidR="009E3481" w:rsidRDefault="00CC5E9F" w:rsidP="0014131A">
      <w:pPr>
        <w:pStyle w:val="PIheading2"/>
        <w:spacing w:beforeLines="60" w:before="144" w:after="60"/>
        <w:rPr>
          <w:b w:val="0"/>
        </w:rPr>
      </w:pPr>
      <w:r>
        <w:rPr>
          <w:b w:val="0"/>
        </w:rPr>
        <w:t xml:space="preserve">The ability of ADENURIC to lower serum uric acid levels was prompt and persistent. Reduction in serum uric acid level to &lt; 357 µmol/L (6.0 mg/dL) was noted by the Week 2 visit and was maintained throughout treatment. </w:t>
      </w:r>
    </w:p>
    <w:p w:rsidR="006C3AE1" w:rsidRDefault="00CC5E9F" w:rsidP="0014131A">
      <w:pPr>
        <w:pStyle w:val="PIheading2"/>
        <w:spacing w:beforeLines="60" w:before="144" w:after="60"/>
      </w:pPr>
      <w:r>
        <w:t>Primary endpoint in the sub-group of patients with renal impairment</w:t>
      </w:r>
    </w:p>
    <w:p w:rsidR="006C3AE1" w:rsidRDefault="00CC5E9F" w:rsidP="0014131A">
      <w:pPr>
        <w:pStyle w:val="TextPI"/>
        <w:spacing w:beforeLines="60" w:before="144" w:after="60"/>
      </w:pPr>
      <w:r>
        <w:t xml:space="preserve">An analysis in patients with gout who had mild to moderate renal impairment (Clcr 30 to 89 mL/min, Stages 2-3 CKD) was prospectively defined in the CONFIRMS study. As shown in </w:t>
      </w:r>
      <w:r>
        <w:rPr>
          <w:b/>
        </w:rPr>
        <w:t>Table 3</w:t>
      </w:r>
      <w:r>
        <w:t xml:space="preserve">, febuxostat 80mg was significantly more effective in lowering sUA to &lt; 357 </w:t>
      </w:r>
      <w:r>
        <w:rPr>
          <w:rFonts w:cs="Arial"/>
        </w:rPr>
        <w:t>µmol/L (</w:t>
      </w:r>
      <w:r>
        <w:t xml:space="preserve">6 mg/dL) compared to allopurinol 300 mg/200 mg or febuxostat 40mg.  </w:t>
      </w:r>
    </w:p>
    <w:p w:rsidR="009E3481" w:rsidRDefault="00CC5E9F">
      <w:pPr>
        <w:pStyle w:val="TextPI"/>
        <w:rPr>
          <w:b/>
          <w:sz w:val="20"/>
          <w:szCs w:val="20"/>
        </w:rPr>
      </w:pPr>
      <w:r>
        <w:rPr>
          <w:b/>
          <w:sz w:val="20"/>
          <w:szCs w:val="20"/>
        </w:rPr>
        <w:t>Table 3</w:t>
      </w:r>
      <w:r w:rsidR="00663324">
        <w:rPr>
          <w:b/>
          <w:sz w:val="20"/>
          <w:szCs w:val="20"/>
        </w:rPr>
        <w:t>:</w:t>
      </w:r>
      <w:r>
        <w:rPr>
          <w:b/>
          <w:sz w:val="20"/>
          <w:szCs w:val="20"/>
        </w:rPr>
        <w:t xml:space="preserve"> Proportion of subjects with Serum Urate Level &lt; 357 µmol/L (6mg/ dL) at Final Visit by Renal Function in CONFIRMS Study</w:t>
      </w:r>
    </w:p>
    <w:tbl>
      <w:tblPr>
        <w:tblStyle w:val="TableGrid"/>
        <w:tblW w:w="0" w:type="auto"/>
        <w:tblLook w:val="04A0" w:firstRow="1" w:lastRow="0" w:firstColumn="1" w:lastColumn="0" w:noHBand="0" w:noVBand="1"/>
      </w:tblPr>
      <w:tblGrid>
        <w:gridCol w:w="2235"/>
        <w:gridCol w:w="1461"/>
        <w:gridCol w:w="1848"/>
        <w:gridCol w:w="1849"/>
        <w:gridCol w:w="1849"/>
      </w:tblGrid>
      <w:tr w:rsidR="009E3481">
        <w:tc>
          <w:tcPr>
            <w:tcW w:w="2235" w:type="dxa"/>
            <w:vMerge w:val="restart"/>
            <w:vAlign w:val="center"/>
          </w:tcPr>
          <w:p w:rsidR="009E3481" w:rsidRDefault="00CC5E9F">
            <w:pPr>
              <w:jc w:val="center"/>
              <w:rPr>
                <w:rFonts w:ascii="Arial" w:hAnsi="Arial" w:cs="Arial"/>
                <w:b/>
                <w:sz w:val="18"/>
                <w:szCs w:val="18"/>
              </w:rPr>
            </w:pPr>
            <w:r>
              <w:rPr>
                <w:rFonts w:ascii="Arial" w:hAnsi="Arial" w:cs="Arial"/>
                <w:b/>
                <w:sz w:val="18"/>
                <w:szCs w:val="18"/>
              </w:rPr>
              <w:t>Renal Function</w:t>
            </w:r>
          </w:p>
        </w:tc>
        <w:tc>
          <w:tcPr>
            <w:tcW w:w="7007" w:type="dxa"/>
            <w:gridSpan w:val="4"/>
          </w:tcPr>
          <w:p w:rsidR="009E3481" w:rsidRDefault="00CC5E9F">
            <w:pPr>
              <w:jc w:val="center"/>
              <w:rPr>
                <w:rFonts w:ascii="Arial" w:hAnsi="Arial" w:cs="Arial"/>
                <w:b/>
                <w:sz w:val="18"/>
                <w:szCs w:val="18"/>
              </w:rPr>
            </w:pPr>
            <w:r>
              <w:rPr>
                <w:rFonts w:ascii="Arial" w:hAnsi="Arial" w:cs="Arial"/>
                <w:b/>
                <w:sz w:val="18"/>
                <w:szCs w:val="18"/>
              </w:rPr>
              <w:t>Number (%) Subjects</w:t>
            </w:r>
          </w:p>
        </w:tc>
      </w:tr>
      <w:tr w:rsidR="009E3481">
        <w:tc>
          <w:tcPr>
            <w:tcW w:w="2235" w:type="dxa"/>
            <w:vMerge/>
          </w:tcPr>
          <w:p w:rsidR="009E3481" w:rsidRDefault="009E3481">
            <w:pPr>
              <w:rPr>
                <w:rFonts w:ascii="Arial" w:hAnsi="Arial" w:cs="Arial"/>
                <w:sz w:val="18"/>
                <w:szCs w:val="18"/>
              </w:rPr>
            </w:pPr>
          </w:p>
        </w:tc>
        <w:tc>
          <w:tcPr>
            <w:tcW w:w="1461" w:type="dxa"/>
          </w:tcPr>
          <w:p w:rsidR="009E3481" w:rsidRDefault="00CC5E9F">
            <w:pPr>
              <w:jc w:val="center"/>
              <w:rPr>
                <w:rFonts w:ascii="Arial" w:hAnsi="Arial" w:cs="Arial"/>
                <w:sz w:val="18"/>
                <w:szCs w:val="18"/>
              </w:rPr>
            </w:pPr>
            <w:r>
              <w:rPr>
                <w:rFonts w:ascii="Arial" w:hAnsi="Arial" w:cs="Arial"/>
                <w:sz w:val="18"/>
                <w:szCs w:val="18"/>
              </w:rPr>
              <w:t xml:space="preserve">Febuxostat </w:t>
            </w:r>
          </w:p>
          <w:p w:rsidR="009E3481" w:rsidRDefault="00CC5E9F" w:rsidP="009F4984">
            <w:pPr>
              <w:jc w:val="center"/>
              <w:rPr>
                <w:rFonts w:ascii="Arial" w:hAnsi="Arial" w:cs="Arial"/>
                <w:sz w:val="18"/>
                <w:szCs w:val="18"/>
              </w:rPr>
            </w:pPr>
            <w:r>
              <w:rPr>
                <w:rFonts w:ascii="Arial" w:hAnsi="Arial" w:cs="Arial"/>
                <w:sz w:val="18"/>
                <w:szCs w:val="18"/>
              </w:rPr>
              <w:t xml:space="preserve">40mg </w:t>
            </w:r>
            <w:r w:rsidR="009F4984">
              <w:rPr>
                <w:rFonts w:ascii="Arial" w:hAnsi="Arial" w:cs="Arial"/>
                <w:sz w:val="18"/>
                <w:szCs w:val="18"/>
              </w:rPr>
              <w:t>daily</w:t>
            </w:r>
          </w:p>
        </w:tc>
        <w:tc>
          <w:tcPr>
            <w:tcW w:w="1848" w:type="dxa"/>
          </w:tcPr>
          <w:p w:rsidR="009E3481" w:rsidRDefault="00CC5E9F">
            <w:pPr>
              <w:jc w:val="center"/>
              <w:rPr>
                <w:rFonts w:ascii="Arial" w:hAnsi="Arial" w:cs="Arial"/>
                <w:sz w:val="18"/>
                <w:szCs w:val="18"/>
              </w:rPr>
            </w:pPr>
            <w:r>
              <w:rPr>
                <w:rFonts w:ascii="Arial" w:hAnsi="Arial" w:cs="Arial"/>
                <w:sz w:val="18"/>
                <w:szCs w:val="18"/>
              </w:rPr>
              <w:t xml:space="preserve">Febuxostat </w:t>
            </w:r>
          </w:p>
          <w:p w:rsidR="009E3481" w:rsidRDefault="00CC5E9F" w:rsidP="009F4984">
            <w:pPr>
              <w:jc w:val="center"/>
              <w:rPr>
                <w:rFonts w:ascii="Arial" w:hAnsi="Arial" w:cs="Arial"/>
                <w:sz w:val="18"/>
                <w:szCs w:val="18"/>
              </w:rPr>
            </w:pPr>
            <w:r>
              <w:rPr>
                <w:rFonts w:ascii="Arial" w:hAnsi="Arial" w:cs="Arial"/>
                <w:sz w:val="18"/>
                <w:szCs w:val="18"/>
              </w:rPr>
              <w:t xml:space="preserve">80mg </w:t>
            </w:r>
            <w:r w:rsidR="009F4984">
              <w:rPr>
                <w:rFonts w:ascii="Arial" w:hAnsi="Arial" w:cs="Arial"/>
                <w:sz w:val="18"/>
                <w:szCs w:val="18"/>
              </w:rPr>
              <w:t>daily</w:t>
            </w:r>
          </w:p>
        </w:tc>
        <w:tc>
          <w:tcPr>
            <w:tcW w:w="1849" w:type="dxa"/>
            <w:vAlign w:val="center"/>
          </w:tcPr>
          <w:p w:rsidR="009E3481" w:rsidRDefault="00CC5E9F">
            <w:pPr>
              <w:jc w:val="center"/>
              <w:rPr>
                <w:rFonts w:ascii="Arial" w:hAnsi="Arial" w:cs="Arial"/>
                <w:sz w:val="18"/>
                <w:szCs w:val="18"/>
              </w:rPr>
            </w:pPr>
            <w:r>
              <w:rPr>
                <w:rFonts w:ascii="Arial" w:hAnsi="Arial" w:cs="Arial"/>
                <w:sz w:val="18"/>
                <w:szCs w:val="18"/>
              </w:rPr>
              <w:t>Allopurinol 300mg</w:t>
            </w:r>
          </w:p>
        </w:tc>
        <w:tc>
          <w:tcPr>
            <w:tcW w:w="1849" w:type="dxa"/>
            <w:vAlign w:val="center"/>
          </w:tcPr>
          <w:p w:rsidR="009E3481" w:rsidRDefault="00CC5E9F">
            <w:pPr>
              <w:jc w:val="center"/>
              <w:rPr>
                <w:rFonts w:ascii="Arial" w:hAnsi="Arial" w:cs="Arial"/>
                <w:sz w:val="18"/>
                <w:szCs w:val="18"/>
              </w:rPr>
            </w:pPr>
            <w:r>
              <w:rPr>
                <w:rFonts w:ascii="Arial" w:hAnsi="Arial" w:cs="Arial"/>
                <w:sz w:val="18"/>
                <w:szCs w:val="18"/>
              </w:rPr>
              <w:t>Allopurinol 200mg</w:t>
            </w:r>
          </w:p>
        </w:tc>
      </w:tr>
      <w:tr w:rsidR="009E3481">
        <w:tc>
          <w:tcPr>
            <w:tcW w:w="2235" w:type="dxa"/>
          </w:tcPr>
          <w:p w:rsidR="009E3481" w:rsidRDefault="00CC5E9F">
            <w:pPr>
              <w:jc w:val="center"/>
              <w:rPr>
                <w:rFonts w:ascii="Arial" w:hAnsi="Arial" w:cs="Arial"/>
                <w:b/>
                <w:sz w:val="18"/>
                <w:szCs w:val="18"/>
              </w:rPr>
            </w:pPr>
            <w:r>
              <w:rPr>
                <w:rFonts w:ascii="Arial" w:hAnsi="Arial" w:cs="Arial"/>
                <w:b/>
                <w:sz w:val="18"/>
                <w:szCs w:val="18"/>
              </w:rPr>
              <w:t>Normal</w:t>
            </w:r>
          </w:p>
          <w:p w:rsidR="009E3481" w:rsidRDefault="00CC5E9F">
            <w:pPr>
              <w:jc w:val="center"/>
              <w:rPr>
                <w:rFonts w:ascii="Arial" w:hAnsi="Arial" w:cs="Arial"/>
                <w:sz w:val="18"/>
                <w:szCs w:val="18"/>
              </w:rPr>
            </w:pPr>
            <w:r>
              <w:rPr>
                <w:rFonts w:ascii="Arial" w:hAnsi="Arial" w:cs="Arial"/>
                <w:sz w:val="18"/>
                <w:szCs w:val="18"/>
              </w:rPr>
              <w:t xml:space="preserve">CL </w:t>
            </w:r>
            <w:r>
              <w:rPr>
                <w:rFonts w:ascii="Arial" w:hAnsi="Arial" w:cs="Arial"/>
                <w:sz w:val="18"/>
                <w:szCs w:val="18"/>
                <w:vertAlign w:val="subscript"/>
              </w:rPr>
              <w:t>cr</w:t>
            </w:r>
            <w:r>
              <w:rPr>
                <w:rFonts w:ascii="Arial" w:hAnsi="Arial" w:cs="Arial"/>
                <w:sz w:val="18"/>
                <w:szCs w:val="18"/>
              </w:rPr>
              <w:t xml:space="preserve"> &gt; 90mL/min</w:t>
            </w:r>
          </w:p>
        </w:tc>
        <w:tc>
          <w:tcPr>
            <w:tcW w:w="1461" w:type="dxa"/>
          </w:tcPr>
          <w:p w:rsidR="009E3481" w:rsidRDefault="00CC5E9F">
            <w:pPr>
              <w:jc w:val="center"/>
              <w:rPr>
                <w:rFonts w:ascii="Arial" w:hAnsi="Arial" w:cs="Arial"/>
                <w:sz w:val="18"/>
                <w:szCs w:val="18"/>
              </w:rPr>
            </w:pPr>
            <w:r>
              <w:rPr>
                <w:rFonts w:ascii="Arial" w:hAnsi="Arial" w:cs="Arial"/>
                <w:sz w:val="18"/>
                <w:szCs w:val="18"/>
              </w:rPr>
              <w:t>104/278</w:t>
            </w:r>
          </w:p>
          <w:p w:rsidR="009E3481" w:rsidRDefault="00CC5E9F">
            <w:pPr>
              <w:jc w:val="center"/>
              <w:rPr>
                <w:rFonts w:ascii="Arial" w:hAnsi="Arial" w:cs="Arial"/>
                <w:sz w:val="18"/>
                <w:szCs w:val="18"/>
              </w:rPr>
            </w:pPr>
            <w:r>
              <w:rPr>
                <w:rFonts w:ascii="Arial" w:hAnsi="Arial" w:cs="Arial"/>
                <w:sz w:val="18"/>
                <w:szCs w:val="18"/>
              </w:rPr>
              <w:t>(37%)</w:t>
            </w:r>
            <w:r>
              <w:rPr>
                <w:rFonts w:ascii="Arial" w:hAnsi="Arial" w:cs="Arial"/>
                <w:sz w:val="18"/>
                <w:szCs w:val="18"/>
                <w:vertAlign w:val="superscript"/>
              </w:rPr>
              <w:t>a</w:t>
            </w:r>
          </w:p>
        </w:tc>
        <w:tc>
          <w:tcPr>
            <w:tcW w:w="1848" w:type="dxa"/>
          </w:tcPr>
          <w:p w:rsidR="009E3481" w:rsidRDefault="00CC5E9F">
            <w:pPr>
              <w:jc w:val="center"/>
              <w:rPr>
                <w:rFonts w:ascii="Arial" w:hAnsi="Arial" w:cs="Arial"/>
                <w:sz w:val="18"/>
                <w:szCs w:val="18"/>
              </w:rPr>
            </w:pPr>
            <w:r>
              <w:rPr>
                <w:rFonts w:ascii="Arial" w:hAnsi="Arial" w:cs="Arial"/>
                <w:sz w:val="18"/>
                <w:szCs w:val="18"/>
              </w:rPr>
              <w:t>147/253</w:t>
            </w:r>
          </w:p>
          <w:p w:rsidR="009E3481" w:rsidRDefault="00CC5E9F">
            <w:pPr>
              <w:jc w:val="center"/>
              <w:rPr>
                <w:rFonts w:ascii="Arial" w:hAnsi="Arial" w:cs="Arial"/>
                <w:sz w:val="18"/>
                <w:szCs w:val="18"/>
              </w:rPr>
            </w:pPr>
            <w:r>
              <w:rPr>
                <w:rFonts w:ascii="Arial" w:hAnsi="Arial" w:cs="Arial"/>
                <w:sz w:val="18"/>
                <w:szCs w:val="18"/>
              </w:rPr>
              <w:t>(58%)</w:t>
            </w:r>
            <w:r>
              <w:rPr>
                <w:rFonts w:ascii="Arial" w:hAnsi="Arial" w:cs="Arial"/>
                <w:sz w:val="18"/>
                <w:szCs w:val="18"/>
                <w:vertAlign w:val="superscript"/>
              </w:rPr>
              <w:t>b</w:t>
            </w:r>
          </w:p>
        </w:tc>
        <w:tc>
          <w:tcPr>
            <w:tcW w:w="1849" w:type="dxa"/>
          </w:tcPr>
          <w:p w:rsidR="009E3481" w:rsidRDefault="00CC5E9F">
            <w:pPr>
              <w:jc w:val="center"/>
              <w:rPr>
                <w:rFonts w:ascii="Arial" w:hAnsi="Arial" w:cs="Arial"/>
                <w:sz w:val="18"/>
                <w:szCs w:val="18"/>
              </w:rPr>
            </w:pPr>
            <w:r>
              <w:rPr>
                <w:rFonts w:ascii="Arial" w:hAnsi="Arial" w:cs="Arial"/>
                <w:sz w:val="18"/>
                <w:szCs w:val="18"/>
              </w:rPr>
              <w:t>106/254</w:t>
            </w:r>
          </w:p>
          <w:p w:rsidR="009E3481" w:rsidRDefault="00CC5E9F">
            <w:pPr>
              <w:jc w:val="center"/>
              <w:rPr>
                <w:rFonts w:ascii="Arial" w:hAnsi="Arial" w:cs="Arial"/>
                <w:sz w:val="18"/>
                <w:szCs w:val="18"/>
              </w:rPr>
            </w:pPr>
            <w:r>
              <w:rPr>
                <w:rFonts w:ascii="Arial" w:hAnsi="Arial" w:cs="Arial"/>
                <w:sz w:val="18"/>
                <w:szCs w:val="18"/>
              </w:rPr>
              <w:t xml:space="preserve">(42%) </w:t>
            </w:r>
          </w:p>
        </w:tc>
        <w:tc>
          <w:tcPr>
            <w:tcW w:w="1849" w:type="dxa"/>
            <w:vAlign w:val="center"/>
          </w:tcPr>
          <w:p w:rsidR="009E3481" w:rsidRDefault="00CC5E9F">
            <w:pPr>
              <w:jc w:val="center"/>
              <w:rPr>
                <w:rFonts w:ascii="Arial" w:hAnsi="Arial" w:cs="Arial"/>
                <w:sz w:val="18"/>
                <w:szCs w:val="18"/>
              </w:rPr>
            </w:pPr>
            <w:r>
              <w:rPr>
                <w:rFonts w:ascii="Arial" w:hAnsi="Arial" w:cs="Arial"/>
                <w:sz w:val="18"/>
                <w:szCs w:val="18"/>
              </w:rPr>
              <w:t>NA</w:t>
            </w:r>
          </w:p>
          <w:p w:rsidR="009E3481" w:rsidRDefault="009E3481">
            <w:pPr>
              <w:jc w:val="center"/>
              <w:rPr>
                <w:rFonts w:ascii="Arial" w:hAnsi="Arial" w:cs="Arial"/>
                <w:sz w:val="18"/>
                <w:szCs w:val="18"/>
              </w:rPr>
            </w:pPr>
          </w:p>
        </w:tc>
      </w:tr>
      <w:tr w:rsidR="009E3481">
        <w:tc>
          <w:tcPr>
            <w:tcW w:w="2235" w:type="dxa"/>
          </w:tcPr>
          <w:p w:rsidR="005A754D" w:rsidRDefault="00CC5E9F">
            <w:pPr>
              <w:jc w:val="center"/>
              <w:rPr>
                <w:rFonts w:ascii="Arial" w:hAnsi="Arial" w:cs="Arial"/>
                <w:b/>
                <w:sz w:val="18"/>
                <w:szCs w:val="18"/>
              </w:rPr>
            </w:pPr>
            <w:r>
              <w:rPr>
                <w:rFonts w:ascii="Arial" w:hAnsi="Arial" w:cs="Arial"/>
                <w:b/>
                <w:sz w:val="18"/>
                <w:szCs w:val="18"/>
              </w:rPr>
              <w:t xml:space="preserve">Mildly impaired </w:t>
            </w:r>
          </w:p>
          <w:p w:rsidR="009E3481" w:rsidRDefault="00CC5E9F">
            <w:pPr>
              <w:jc w:val="center"/>
              <w:rPr>
                <w:rFonts w:ascii="Arial" w:hAnsi="Arial" w:cs="Arial"/>
                <w:b/>
                <w:sz w:val="18"/>
                <w:szCs w:val="18"/>
              </w:rPr>
            </w:pPr>
            <w:r>
              <w:rPr>
                <w:rFonts w:ascii="Arial" w:hAnsi="Arial" w:cs="Arial"/>
                <w:b/>
                <w:sz w:val="18"/>
                <w:szCs w:val="18"/>
              </w:rPr>
              <w:lastRenderedPageBreak/>
              <w:t>(Stage 2 CKD)</w:t>
            </w:r>
          </w:p>
          <w:p w:rsidR="009E3481" w:rsidRDefault="00CC5E9F">
            <w:pPr>
              <w:jc w:val="center"/>
              <w:rPr>
                <w:rFonts w:ascii="Arial" w:hAnsi="Arial" w:cs="Arial"/>
                <w:sz w:val="18"/>
                <w:szCs w:val="18"/>
              </w:rPr>
            </w:pPr>
            <w:r>
              <w:rPr>
                <w:rFonts w:ascii="Arial" w:hAnsi="Arial" w:cs="Arial"/>
                <w:sz w:val="18"/>
                <w:szCs w:val="18"/>
              </w:rPr>
              <w:t xml:space="preserve">CL </w:t>
            </w:r>
            <w:r>
              <w:rPr>
                <w:rFonts w:ascii="Arial" w:hAnsi="Arial" w:cs="Arial"/>
                <w:sz w:val="18"/>
                <w:szCs w:val="18"/>
                <w:vertAlign w:val="subscript"/>
              </w:rPr>
              <w:t>cr</w:t>
            </w:r>
            <w:r>
              <w:rPr>
                <w:rFonts w:ascii="Arial" w:hAnsi="Arial" w:cs="Arial"/>
                <w:sz w:val="18"/>
                <w:szCs w:val="18"/>
              </w:rPr>
              <w:t xml:space="preserve"> 60- 89 mL/min</w:t>
            </w:r>
          </w:p>
        </w:tc>
        <w:tc>
          <w:tcPr>
            <w:tcW w:w="1461" w:type="dxa"/>
          </w:tcPr>
          <w:p w:rsidR="009E3481" w:rsidRDefault="00CC5E9F">
            <w:pPr>
              <w:jc w:val="center"/>
              <w:rPr>
                <w:rFonts w:ascii="Arial" w:hAnsi="Arial" w:cs="Arial"/>
                <w:sz w:val="18"/>
                <w:szCs w:val="18"/>
              </w:rPr>
            </w:pPr>
            <w:r>
              <w:rPr>
                <w:rFonts w:ascii="Arial" w:hAnsi="Arial" w:cs="Arial"/>
                <w:sz w:val="18"/>
                <w:szCs w:val="18"/>
              </w:rPr>
              <w:lastRenderedPageBreak/>
              <w:t>182/349</w:t>
            </w:r>
          </w:p>
          <w:p w:rsidR="009E3481" w:rsidRDefault="00CC5E9F">
            <w:pPr>
              <w:jc w:val="center"/>
              <w:rPr>
                <w:rFonts w:ascii="Arial" w:hAnsi="Arial" w:cs="Arial"/>
                <w:sz w:val="18"/>
                <w:szCs w:val="18"/>
              </w:rPr>
            </w:pPr>
            <w:r>
              <w:rPr>
                <w:rFonts w:ascii="Arial" w:hAnsi="Arial" w:cs="Arial"/>
                <w:sz w:val="18"/>
                <w:szCs w:val="18"/>
              </w:rPr>
              <w:lastRenderedPageBreak/>
              <w:t>(52%)</w:t>
            </w:r>
            <w:r>
              <w:rPr>
                <w:rFonts w:ascii="Arial" w:hAnsi="Arial" w:cs="Arial"/>
                <w:sz w:val="18"/>
                <w:szCs w:val="18"/>
                <w:vertAlign w:val="superscript"/>
              </w:rPr>
              <w:t>a</w:t>
            </w:r>
          </w:p>
        </w:tc>
        <w:tc>
          <w:tcPr>
            <w:tcW w:w="1848" w:type="dxa"/>
          </w:tcPr>
          <w:p w:rsidR="009E3481" w:rsidRDefault="00CC5E9F">
            <w:pPr>
              <w:jc w:val="center"/>
              <w:rPr>
                <w:rFonts w:ascii="Arial" w:hAnsi="Arial" w:cs="Arial"/>
                <w:sz w:val="18"/>
                <w:szCs w:val="18"/>
              </w:rPr>
            </w:pPr>
            <w:r>
              <w:rPr>
                <w:rFonts w:ascii="Arial" w:hAnsi="Arial" w:cs="Arial"/>
                <w:sz w:val="18"/>
                <w:szCs w:val="18"/>
              </w:rPr>
              <w:lastRenderedPageBreak/>
              <w:t>263/367</w:t>
            </w:r>
          </w:p>
          <w:p w:rsidR="009E3481" w:rsidRDefault="00CC5E9F">
            <w:pPr>
              <w:jc w:val="center"/>
              <w:rPr>
                <w:rFonts w:ascii="Arial" w:hAnsi="Arial" w:cs="Arial"/>
                <w:sz w:val="18"/>
                <w:szCs w:val="18"/>
              </w:rPr>
            </w:pPr>
            <w:r>
              <w:rPr>
                <w:rFonts w:ascii="Arial" w:hAnsi="Arial" w:cs="Arial"/>
                <w:sz w:val="18"/>
                <w:szCs w:val="18"/>
              </w:rPr>
              <w:lastRenderedPageBreak/>
              <w:t>(72%)</w:t>
            </w:r>
            <w:r>
              <w:rPr>
                <w:rFonts w:ascii="Arial" w:hAnsi="Arial" w:cs="Arial"/>
                <w:sz w:val="18"/>
                <w:szCs w:val="18"/>
                <w:vertAlign w:val="superscript"/>
              </w:rPr>
              <w:t>b</w:t>
            </w:r>
          </w:p>
        </w:tc>
        <w:tc>
          <w:tcPr>
            <w:tcW w:w="1849" w:type="dxa"/>
          </w:tcPr>
          <w:p w:rsidR="009E3481" w:rsidRDefault="00CC5E9F">
            <w:pPr>
              <w:jc w:val="center"/>
              <w:rPr>
                <w:rFonts w:ascii="Arial" w:hAnsi="Arial" w:cs="Arial"/>
                <w:sz w:val="18"/>
                <w:szCs w:val="18"/>
              </w:rPr>
            </w:pPr>
            <w:r>
              <w:rPr>
                <w:rFonts w:ascii="Arial" w:hAnsi="Arial" w:cs="Arial"/>
                <w:sz w:val="18"/>
                <w:szCs w:val="18"/>
              </w:rPr>
              <w:lastRenderedPageBreak/>
              <w:t>169/365</w:t>
            </w:r>
          </w:p>
          <w:p w:rsidR="009E3481" w:rsidRDefault="00CC5E9F">
            <w:pPr>
              <w:jc w:val="center"/>
              <w:rPr>
                <w:rFonts w:ascii="Arial" w:hAnsi="Arial" w:cs="Arial"/>
                <w:sz w:val="18"/>
                <w:szCs w:val="18"/>
              </w:rPr>
            </w:pPr>
            <w:r>
              <w:rPr>
                <w:rFonts w:ascii="Arial" w:hAnsi="Arial" w:cs="Arial"/>
                <w:sz w:val="18"/>
                <w:szCs w:val="18"/>
              </w:rPr>
              <w:lastRenderedPageBreak/>
              <w:t>(46%)</w:t>
            </w:r>
          </w:p>
        </w:tc>
        <w:tc>
          <w:tcPr>
            <w:tcW w:w="1849" w:type="dxa"/>
            <w:vAlign w:val="center"/>
          </w:tcPr>
          <w:p w:rsidR="009E3481" w:rsidRDefault="00CC5E9F">
            <w:pPr>
              <w:jc w:val="center"/>
              <w:rPr>
                <w:rFonts w:ascii="Arial" w:hAnsi="Arial" w:cs="Arial"/>
                <w:sz w:val="18"/>
                <w:szCs w:val="18"/>
              </w:rPr>
            </w:pPr>
            <w:r>
              <w:rPr>
                <w:rFonts w:ascii="Arial" w:hAnsi="Arial" w:cs="Arial"/>
                <w:sz w:val="18"/>
                <w:szCs w:val="18"/>
              </w:rPr>
              <w:lastRenderedPageBreak/>
              <w:t>NA</w:t>
            </w:r>
          </w:p>
        </w:tc>
      </w:tr>
      <w:tr w:rsidR="009E3481">
        <w:tc>
          <w:tcPr>
            <w:tcW w:w="2235" w:type="dxa"/>
          </w:tcPr>
          <w:p w:rsidR="009E3481" w:rsidRDefault="00CC5E9F">
            <w:pPr>
              <w:jc w:val="center"/>
              <w:rPr>
                <w:rFonts w:ascii="Arial" w:hAnsi="Arial" w:cs="Arial"/>
                <w:b/>
                <w:sz w:val="18"/>
                <w:szCs w:val="18"/>
              </w:rPr>
            </w:pPr>
            <w:r>
              <w:rPr>
                <w:rFonts w:ascii="Arial" w:hAnsi="Arial" w:cs="Arial"/>
                <w:b/>
                <w:sz w:val="18"/>
                <w:szCs w:val="18"/>
              </w:rPr>
              <w:lastRenderedPageBreak/>
              <w:t>Moderately impaired (Stage 3 CKD)</w:t>
            </w:r>
          </w:p>
          <w:p w:rsidR="009E3481" w:rsidRDefault="00CC5E9F">
            <w:pPr>
              <w:jc w:val="center"/>
              <w:rPr>
                <w:rFonts w:ascii="Arial" w:hAnsi="Arial" w:cs="Arial"/>
                <w:sz w:val="18"/>
                <w:szCs w:val="18"/>
              </w:rPr>
            </w:pPr>
            <w:r>
              <w:rPr>
                <w:rFonts w:ascii="Arial" w:hAnsi="Arial" w:cs="Arial"/>
                <w:sz w:val="18"/>
                <w:szCs w:val="18"/>
              </w:rPr>
              <w:t xml:space="preserve">CL </w:t>
            </w:r>
            <w:r>
              <w:rPr>
                <w:rFonts w:ascii="Arial" w:hAnsi="Arial" w:cs="Arial"/>
                <w:sz w:val="18"/>
                <w:szCs w:val="18"/>
                <w:vertAlign w:val="subscript"/>
              </w:rPr>
              <w:t>cr</w:t>
            </w:r>
            <w:r>
              <w:rPr>
                <w:rFonts w:ascii="Arial" w:hAnsi="Arial" w:cs="Arial"/>
                <w:sz w:val="18"/>
                <w:szCs w:val="18"/>
              </w:rPr>
              <w:t xml:space="preserve"> 30- 59 mL/min</w:t>
            </w:r>
          </w:p>
        </w:tc>
        <w:tc>
          <w:tcPr>
            <w:tcW w:w="1461" w:type="dxa"/>
          </w:tcPr>
          <w:p w:rsidR="009E3481" w:rsidRDefault="00CC5E9F">
            <w:pPr>
              <w:jc w:val="center"/>
              <w:rPr>
                <w:rFonts w:ascii="Arial" w:hAnsi="Arial" w:cs="Arial"/>
                <w:sz w:val="18"/>
                <w:szCs w:val="18"/>
              </w:rPr>
            </w:pPr>
            <w:r>
              <w:rPr>
                <w:rFonts w:ascii="Arial" w:hAnsi="Arial" w:cs="Arial"/>
                <w:sz w:val="18"/>
                <w:szCs w:val="18"/>
              </w:rPr>
              <w:t>56/130</w:t>
            </w:r>
          </w:p>
          <w:p w:rsidR="009E3481" w:rsidRDefault="00CC5E9F">
            <w:pPr>
              <w:jc w:val="center"/>
              <w:rPr>
                <w:rFonts w:ascii="Arial" w:hAnsi="Arial" w:cs="Arial"/>
                <w:sz w:val="18"/>
                <w:szCs w:val="18"/>
              </w:rPr>
            </w:pPr>
            <w:r>
              <w:rPr>
                <w:rFonts w:ascii="Arial" w:hAnsi="Arial" w:cs="Arial"/>
                <w:sz w:val="18"/>
                <w:szCs w:val="18"/>
              </w:rPr>
              <w:t>(43%)</w:t>
            </w:r>
            <w:r>
              <w:rPr>
                <w:rFonts w:ascii="Arial" w:hAnsi="Arial" w:cs="Arial"/>
                <w:sz w:val="18"/>
                <w:szCs w:val="18"/>
                <w:vertAlign w:val="superscript"/>
              </w:rPr>
              <w:t>a</w:t>
            </w:r>
          </w:p>
        </w:tc>
        <w:tc>
          <w:tcPr>
            <w:tcW w:w="1848" w:type="dxa"/>
          </w:tcPr>
          <w:p w:rsidR="009E3481" w:rsidRDefault="00CC5E9F">
            <w:pPr>
              <w:jc w:val="center"/>
              <w:rPr>
                <w:rFonts w:ascii="Arial" w:hAnsi="Arial" w:cs="Arial"/>
                <w:sz w:val="18"/>
                <w:szCs w:val="18"/>
              </w:rPr>
            </w:pPr>
            <w:r>
              <w:rPr>
                <w:rFonts w:ascii="Arial" w:hAnsi="Arial" w:cs="Arial"/>
                <w:sz w:val="18"/>
                <w:szCs w:val="18"/>
              </w:rPr>
              <w:t>97/136</w:t>
            </w:r>
          </w:p>
          <w:p w:rsidR="009E3481" w:rsidRDefault="00CC5E9F">
            <w:pPr>
              <w:jc w:val="center"/>
              <w:rPr>
                <w:rFonts w:ascii="Arial" w:hAnsi="Arial" w:cs="Arial"/>
                <w:sz w:val="18"/>
                <w:szCs w:val="18"/>
              </w:rPr>
            </w:pPr>
            <w:r>
              <w:rPr>
                <w:rFonts w:ascii="Arial" w:hAnsi="Arial" w:cs="Arial"/>
                <w:sz w:val="18"/>
                <w:szCs w:val="18"/>
              </w:rPr>
              <w:t>(71%)</w:t>
            </w:r>
            <w:r>
              <w:rPr>
                <w:rFonts w:ascii="Arial" w:hAnsi="Arial" w:cs="Arial"/>
                <w:sz w:val="18"/>
                <w:szCs w:val="18"/>
                <w:vertAlign w:val="superscript"/>
              </w:rPr>
              <w:t>b</w:t>
            </w:r>
          </w:p>
        </w:tc>
        <w:tc>
          <w:tcPr>
            <w:tcW w:w="1849" w:type="dxa"/>
            <w:vAlign w:val="center"/>
          </w:tcPr>
          <w:p w:rsidR="009E3481" w:rsidRDefault="00CC5E9F">
            <w:pPr>
              <w:jc w:val="center"/>
              <w:rPr>
                <w:rFonts w:ascii="Arial" w:hAnsi="Arial" w:cs="Arial"/>
                <w:sz w:val="18"/>
                <w:szCs w:val="18"/>
              </w:rPr>
            </w:pPr>
            <w:r>
              <w:rPr>
                <w:rFonts w:ascii="Arial" w:hAnsi="Arial" w:cs="Arial"/>
                <w:sz w:val="18"/>
                <w:szCs w:val="18"/>
              </w:rPr>
              <w:t>NA</w:t>
            </w:r>
          </w:p>
        </w:tc>
        <w:tc>
          <w:tcPr>
            <w:tcW w:w="1849" w:type="dxa"/>
          </w:tcPr>
          <w:p w:rsidR="009E3481" w:rsidRDefault="00CC5E9F">
            <w:pPr>
              <w:jc w:val="center"/>
              <w:rPr>
                <w:rFonts w:ascii="Arial" w:hAnsi="Arial" w:cs="Arial"/>
                <w:sz w:val="18"/>
                <w:szCs w:val="18"/>
              </w:rPr>
            </w:pPr>
            <w:r>
              <w:rPr>
                <w:rFonts w:ascii="Arial" w:hAnsi="Arial" w:cs="Arial"/>
                <w:sz w:val="18"/>
                <w:szCs w:val="18"/>
              </w:rPr>
              <w:t>43/136</w:t>
            </w:r>
          </w:p>
          <w:p w:rsidR="009E3481" w:rsidRDefault="00CC5E9F">
            <w:pPr>
              <w:jc w:val="center"/>
              <w:rPr>
                <w:rFonts w:ascii="Arial" w:hAnsi="Arial" w:cs="Arial"/>
                <w:sz w:val="18"/>
                <w:szCs w:val="18"/>
              </w:rPr>
            </w:pPr>
            <w:r>
              <w:rPr>
                <w:rFonts w:ascii="Arial" w:hAnsi="Arial" w:cs="Arial"/>
                <w:sz w:val="18"/>
                <w:szCs w:val="18"/>
              </w:rPr>
              <w:t>(32%)</w:t>
            </w:r>
          </w:p>
        </w:tc>
      </w:tr>
    </w:tbl>
    <w:p w:rsidR="009E3481" w:rsidRDefault="00CC5E9F">
      <w:pPr>
        <w:pStyle w:val="TextPI"/>
        <w:spacing w:before="0" w:after="0" w:line="240" w:lineRule="auto"/>
        <w:rPr>
          <w:sz w:val="16"/>
          <w:szCs w:val="16"/>
        </w:rPr>
      </w:pPr>
      <w:r>
        <w:rPr>
          <w:sz w:val="16"/>
          <w:szCs w:val="16"/>
        </w:rPr>
        <w:t>Note: Allopurinol dose was adjusted to renal function</w:t>
      </w:r>
    </w:p>
    <w:p w:rsidR="009E3481" w:rsidRDefault="00CC5E9F">
      <w:pPr>
        <w:pStyle w:val="TextPI"/>
        <w:spacing w:before="0" w:after="0" w:line="240" w:lineRule="auto"/>
        <w:rPr>
          <w:sz w:val="16"/>
          <w:szCs w:val="16"/>
        </w:rPr>
      </w:pPr>
      <w:r>
        <w:rPr>
          <w:sz w:val="16"/>
          <w:szCs w:val="16"/>
        </w:rPr>
        <w:t xml:space="preserve">a. p&lt; 0.01 Febuxostat 40mg vs febuxostat 80mg </w:t>
      </w:r>
    </w:p>
    <w:p w:rsidR="009E3481" w:rsidRDefault="00CC5E9F">
      <w:pPr>
        <w:pStyle w:val="TextPI"/>
        <w:spacing w:before="0" w:after="0" w:line="240" w:lineRule="auto"/>
        <w:rPr>
          <w:sz w:val="16"/>
          <w:szCs w:val="16"/>
        </w:rPr>
      </w:pPr>
      <w:r>
        <w:rPr>
          <w:sz w:val="16"/>
          <w:szCs w:val="16"/>
        </w:rPr>
        <w:t>b. p&lt; 0.001 Febuxostat 80mg vs allopurinol 300/200mg</w:t>
      </w:r>
    </w:p>
    <w:p w:rsidR="009E3481" w:rsidRDefault="00CC5E9F">
      <w:pPr>
        <w:pStyle w:val="PIheading2"/>
      </w:pPr>
      <w:r>
        <w:t xml:space="preserve">Primary endpoint in the sub group of patients with sUA ≥  595 </w:t>
      </w:r>
      <w:r>
        <w:rPr>
          <w:rFonts w:cs="Arial"/>
        </w:rPr>
        <w:t>µ</w:t>
      </w:r>
      <w:r>
        <w:t xml:space="preserve">mol/L (10 mg/dL) </w:t>
      </w:r>
    </w:p>
    <w:p w:rsidR="009E3481" w:rsidRDefault="00CC5E9F">
      <w:pPr>
        <w:pStyle w:val="TextPI"/>
      </w:pPr>
      <w:r>
        <w:t xml:space="preserve">Approximately 40% of patients (combined APEX and FACT) had a baseline sUA of ≥ 595 </w:t>
      </w:r>
      <w:r>
        <w:rPr>
          <w:rFonts w:cs="Arial"/>
        </w:rPr>
        <w:t>µ</w:t>
      </w:r>
      <w:r>
        <w:t>ol/L (10 mg/dL). In this subgroup ADENURIC achieved the primary efficacy endpoint (sUA &lt; 357</w:t>
      </w:r>
      <w:r>
        <w:rPr>
          <w:rFonts w:cs="Arial"/>
        </w:rPr>
        <w:t>µ</w:t>
      </w:r>
      <w:r>
        <w:t xml:space="preserve">mol/L [6.0 mg/dL] at the last 3 visits) in 41% (80 mg </w:t>
      </w:r>
      <w:r w:rsidR="009F4984">
        <w:t>daily</w:t>
      </w:r>
      <w:r>
        <w:t xml:space="preserve">)  of patients compared to 9% in the allopurinol 300 mg/100 mg </w:t>
      </w:r>
      <w:r w:rsidR="009F4984">
        <w:t xml:space="preserve">daily </w:t>
      </w:r>
      <w:r>
        <w:t>and 0 % in the placebo groups.</w:t>
      </w:r>
    </w:p>
    <w:p w:rsidR="009E3481" w:rsidRDefault="00CC5E9F">
      <w:pPr>
        <w:pStyle w:val="TextPI"/>
      </w:pPr>
      <w:r>
        <w:t xml:space="preserve">In the CONFIRMS study, the proportion of patients achieving the primary efficacy endpoint (sUA &lt; 357 </w:t>
      </w:r>
      <w:r>
        <w:rPr>
          <w:rFonts w:cs="Arial"/>
        </w:rPr>
        <w:t>µ</w:t>
      </w:r>
      <w:r>
        <w:t xml:space="preserve">mol/L [6.0 mg/dL] at the final visit) for patients with a baseline serum urate level of ≥ 595 </w:t>
      </w:r>
      <w:r>
        <w:rPr>
          <w:rFonts w:cs="Arial"/>
        </w:rPr>
        <w:t>µ</w:t>
      </w:r>
      <w:proofErr w:type="spellStart"/>
      <w:r>
        <w:t>mol</w:t>
      </w:r>
      <w:proofErr w:type="spellEnd"/>
      <w:r>
        <w:t>/L (10 mg/</w:t>
      </w:r>
      <w:proofErr w:type="spellStart"/>
      <w:r>
        <w:t>dL</w:t>
      </w:r>
      <w:proofErr w:type="spellEnd"/>
      <w:r>
        <w:t xml:space="preserve">) treated with </w:t>
      </w:r>
      <w:proofErr w:type="spellStart"/>
      <w:r>
        <w:t>febuxostat</w:t>
      </w:r>
      <w:proofErr w:type="spellEnd"/>
      <w:r>
        <w:t xml:space="preserve"> 40 mg </w:t>
      </w:r>
      <w:r w:rsidR="009F4984">
        <w:t>daily</w:t>
      </w:r>
      <w:r>
        <w:t xml:space="preserve"> was 27% (66/249), with febuxostat 80 mg </w:t>
      </w:r>
      <w:r w:rsidR="009F4984">
        <w:t xml:space="preserve">daily </w:t>
      </w:r>
      <w:r>
        <w:t xml:space="preserve">49% (125/254) and with allopurinol 300 mg/200 mg </w:t>
      </w:r>
      <w:r w:rsidR="009F4984">
        <w:t xml:space="preserve">daily </w:t>
      </w:r>
      <w:r>
        <w:t>31% (72/230), respectively.</w:t>
      </w:r>
    </w:p>
    <w:p w:rsidR="009E3481" w:rsidRDefault="00CC5E9F">
      <w:pPr>
        <w:pStyle w:val="PIheading2"/>
      </w:pPr>
      <w:r>
        <w:t xml:space="preserve">Clinical Outcomes: proportion of patients requiring treatment for a gout flare </w:t>
      </w:r>
    </w:p>
    <w:p w:rsidR="009E3481" w:rsidRDefault="00CC5E9F">
      <w:pPr>
        <w:pStyle w:val="TextPI"/>
      </w:pPr>
      <w:r>
        <w:t>APEX study: During the 8-week prophylaxis period, the proportion of subjects who required treatment for gout flare was 28% -febuxostat 80 mg,  23% -allopurinol 300 mg, and 20%-placebo treatment groups. Flares increased following the prophylaxis period and gradually decreased over time. Between 46% and 55% of subjects received treatment for gout flares from Week 8 and Week 28. Gout flares during the last 4 weeks of the study (Weeks 24-28) were observed in 15% (febuxostat 80mg ), 14% (allopurinol 300 mg) and 20% (placebo) of subjects.</w:t>
      </w:r>
    </w:p>
    <w:p w:rsidR="009E3481" w:rsidRDefault="00CC5E9F">
      <w:pPr>
        <w:pStyle w:val="TextPI"/>
      </w:pPr>
      <w:r>
        <w:t>FACT study: During the 8-week prophylaxis period, the proportion of subjects who  required treatment for a gout flare  was 22% and 21% for febuxostat 80 mg and allopurinol 300 mg treatment groups respectively. After the 8-week prophylaxis period, the incidences of flares increased and gradually decreased over time (64% and 70% of subjects received treatment for gout flares from Week 8-52). Gout flares during the last 4 weeks of the study (Weeks 49-52) were observed in 6% (febuxostat 80 mg), and 11% (allopurinol 300 mg) of subjects.</w:t>
      </w:r>
    </w:p>
    <w:p w:rsidR="009E3481" w:rsidRDefault="00CC5E9F">
      <w:pPr>
        <w:pStyle w:val="TextPI"/>
      </w:pPr>
      <w:r>
        <w:t xml:space="preserve">The proportion of subjects requiring treatment for a gout flare (APEX and FACT Study) was numerically lower in the groups that achieved an average post-baseline serum urate level  &lt; 357 </w:t>
      </w:r>
      <w:r>
        <w:rPr>
          <w:rFonts w:cs="Arial"/>
        </w:rPr>
        <w:t>µ</w:t>
      </w:r>
      <w:r>
        <w:t xml:space="preserve">mol/L, &lt; 297 </w:t>
      </w:r>
      <w:r>
        <w:rPr>
          <w:rFonts w:cs="Arial"/>
        </w:rPr>
        <w:t>µ</w:t>
      </w:r>
      <w:r>
        <w:t xml:space="preserve">mol/L, or &lt; 238 </w:t>
      </w:r>
      <w:r>
        <w:rPr>
          <w:rFonts w:cs="Arial"/>
        </w:rPr>
        <w:t>µ</w:t>
      </w:r>
      <w:r>
        <w:t>mol/L compared to the group that achieved an average post-baseline serum urate level ≥  357</w:t>
      </w:r>
      <w:r>
        <w:rPr>
          <w:rFonts w:cs="Arial"/>
        </w:rPr>
        <w:t>µ</w:t>
      </w:r>
      <w:r>
        <w:t>mol/L during the last 32 weeks of the treatment period (Week 20-Week 24 to Week 49 - 52 intervals).</w:t>
      </w:r>
    </w:p>
    <w:p w:rsidR="009E3481" w:rsidRDefault="00CC5E9F">
      <w:pPr>
        <w:pStyle w:val="TextPI"/>
      </w:pPr>
      <w:r>
        <w:t>CONFIRMS study:  the percentages of patients who required treatment for gout</w:t>
      </w:r>
      <w:r>
        <w:rPr>
          <w:lang w:eastAsia="ja-JP"/>
        </w:rPr>
        <w:t xml:space="preserve"> flares (Day 1 through Month 6) were 31% and 25% for the febuxostat 80 mg and allopurinol groups, respectively.  No difference in the proportion of patients requiring treatment for gout flares was observed between the febuxostat 80 mg and 40 mg groups. </w:t>
      </w:r>
    </w:p>
    <w:p w:rsidR="005A754D" w:rsidRDefault="005A754D">
      <w:pPr>
        <w:pStyle w:val="PIHeading1"/>
        <w:spacing w:before="120" w:after="120"/>
        <w:rPr>
          <w:rFonts w:hint="eastAsia"/>
        </w:rPr>
      </w:pPr>
    </w:p>
    <w:p w:rsidR="009E3481" w:rsidRDefault="00CC5E9F">
      <w:pPr>
        <w:pStyle w:val="PIHeading1"/>
        <w:spacing w:before="120" w:after="120"/>
        <w:rPr>
          <w:rFonts w:hint="eastAsia"/>
        </w:rPr>
      </w:pPr>
      <w:r>
        <w:t>INDICATIONS</w:t>
      </w:r>
    </w:p>
    <w:p w:rsidR="009E3481" w:rsidRDefault="00CC5E9F">
      <w:pPr>
        <w:pStyle w:val="TextPI"/>
        <w:rPr>
          <w:lang w:val="en-AU"/>
        </w:rPr>
      </w:pPr>
      <w:r>
        <w:rPr>
          <w:lang w:val="en-AU"/>
        </w:rPr>
        <w:t>Treatment of chronic symptomatic hyperuricaemia in conditions where urate deposition has already occurred (gouty arthritis and/or tophus formation) in adults with gout.</w:t>
      </w:r>
    </w:p>
    <w:p w:rsidR="009E3481" w:rsidRDefault="009E3481">
      <w:pPr>
        <w:pStyle w:val="PIHeading1"/>
        <w:spacing w:before="120" w:after="120"/>
        <w:rPr>
          <w:rFonts w:hint="eastAsia"/>
          <w:lang w:val="en-AU"/>
        </w:rPr>
      </w:pPr>
    </w:p>
    <w:p w:rsidR="009E3481" w:rsidRDefault="00CC5E9F">
      <w:pPr>
        <w:pStyle w:val="PIHeading1"/>
        <w:spacing w:before="120" w:after="60"/>
        <w:rPr>
          <w:rFonts w:hint="eastAsia"/>
        </w:rPr>
      </w:pPr>
      <w:r>
        <w:t>CONTRAINDICATIONS</w:t>
      </w:r>
    </w:p>
    <w:p w:rsidR="009E3481" w:rsidRDefault="00CC5E9F">
      <w:pPr>
        <w:pStyle w:val="TextPI"/>
        <w:rPr>
          <w:lang w:val="en-AU"/>
        </w:rPr>
      </w:pPr>
      <w:r>
        <w:rPr>
          <w:lang w:val="en-AU"/>
        </w:rPr>
        <w:t xml:space="preserve">Hypersensitivity to febuxostat or to any other ingredients in the product. </w:t>
      </w:r>
    </w:p>
    <w:p w:rsidR="009E3481" w:rsidRDefault="009E3481">
      <w:pPr>
        <w:pStyle w:val="PIHeading1"/>
        <w:spacing w:before="120" w:after="120"/>
        <w:rPr>
          <w:rFonts w:hint="eastAsia"/>
        </w:rPr>
      </w:pPr>
    </w:p>
    <w:p w:rsidR="009E3481" w:rsidRDefault="00CC5E9F">
      <w:pPr>
        <w:pStyle w:val="PIHeading1"/>
        <w:spacing w:before="120" w:after="60"/>
        <w:rPr>
          <w:rFonts w:hint="eastAsia"/>
        </w:rPr>
      </w:pPr>
      <w:r>
        <w:t>PRECAUTIONS</w:t>
      </w:r>
    </w:p>
    <w:p w:rsidR="009E3481" w:rsidRDefault="00CC5E9F">
      <w:pPr>
        <w:pStyle w:val="PIHeading3"/>
        <w:spacing w:after="120"/>
      </w:pPr>
      <w:r>
        <w:t>Cardio-vascular disorders</w:t>
      </w:r>
    </w:p>
    <w:p w:rsidR="009E3481" w:rsidRDefault="00CC5E9F">
      <w:pPr>
        <w:pStyle w:val="TextPI"/>
      </w:pPr>
      <w:r>
        <w:t>Treatment with febuxostat in patients with ischaemic heart disease or congestive heart failure is not recommended.</w:t>
      </w:r>
    </w:p>
    <w:p w:rsidR="009E3481" w:rsidRDefault="00CC5E9F">
      <w:pPr>
        <w:pStyle w:val="TextPI"/>
      </w:pPr>
      <w:r>
        <w:t xml:space="preserve">A numerical greater incidence of investigator-reported cardiovascular APTC events (defined endpoints from the Anti-Platelet Trialists’ Collaboration (APTC) including cardiovascular death, non-fatal myocardial infarction, non-fatal stroke) was observed in the febuxostat total group compared to the allopurinol group in the APEX and FACT studies (1.3 vs. 0.3 events per 100 Patient Years (PYs)), but not in the CONFIRMS study (see </w:t>
      </w:r>
      <w:r>
        <w:rPr>
          <w:b/>
        </w:rPr>
        <w:t>CLINICAL TRIALS</w:t>
      </w:r>
      <w:r>
        <w:t xml:space="preserve"> for detailed characteristics of the studies). The incidence of investigator-reported cardiovascular APTC events in the combined Phase 3 studies (APEX, FACT and CONFIRMS studies) was 0.7 vs. 0.6 events per 100 PYs. In the long-term extension studies the incidences of investigator-reported APTC events were 1.2 and 0.6 events per 100 PYs for febuxostat and allopurinol, respectively. No statistically significant differences were found and no causal relationship with febuxostat was established. Identified risk factors among these patients were a medical history of atherosclerotic disease and/or myocardial infarction, or of congestive heart failure. </w:t>
      </w:r>
      <w:r>
        <w:rPr>
          <w:sz w:val="23"/>
          <w:szCs w:val="23"/>
        </w:rPr>
        <w:t>Monitor for signs and symptoms of myocardial infarction (MI) and stroke.</w:t>
      </w:r>
    </w:p>
    <w:p w:rsidR="009E3481" w:rsidRDefault="00CC5E9F">
      <w:pPr>
        <w:pStyle w:val="PIHeading3"/>
      </w:pPr>
      <w:r>
        <w:t>Medicinal product allergy / hypersensitivity</w:t>
      </w:r>
    </w:p>
    <w:p w:rsidR="009E3481" w:rsidRDefault="00CC5E9F">
      <w:pPr>
        <w:pStyle w:val="TextPI"/>
      </w:pPr>
      <w:r>
        <w:t>Rare reports of serious allergic/hypersensitivity reactions, including life-threatening Stevens</w:t>
      </w:r>
      <w:r>
        <w:noBreakHyphen/>
        <w:t>Johnson Syndrome, Toxic epidermal necrolysis and acute anaphylactic reaction/shock, have been collected in the post-marketing experience. In most cases, these reactions occurred during the first month of therapy with febuxostat. Some, but not all of these patients reported renal impairment and/or previous hypersensitivity to allopurinol. Severe hypersensitivity, including Drug Reaction with Eosinophilia and Systemic Symptoms (DRESS) reactions were associated with fever, haematological, renal or hepatic involvement in some cases.</w:t>
      </w:r>
    </w:p>
    <w:p w:rsidR="009E3481" w:rsidRDefault="00CC5E9F">
      <w:pPr>
        <w:pStyle w:val="TextPI"/>
      </w:pPr>
      <w:r>
        <w:t>Patients should be advised of the signs and symptoms and monitored closely for symptoms of allergic/hypersensitivity reactions. Febuxostat treatment should be immediately stopped if serious allergic/hypersensitivity reactions, including Stevens-Johnson Syndrome, occur since early withdrawal is associated with a better prognosis. If patient has developed allergic/hypersensitivity reactions including Stevens-Johnson Syndrome and acute anaphylactic reaction/shock, febuxostat must not be re-started in this patient at any time.</w:t>
      </w:r>
    </w:p>
    <w:p w:rsidR="009E3481" w:rsidRDefault="00CC5E9F">
      <w:pPr>
        <w:pStyle w:val="PIHeading3"/>
      </w:pPr>
      <w:r>
        <w:t>Acute gouty attacks (gout flare)</w:t>
      </w:r>
    </w:p>
    <w:p w:rsidR="009E3481" w:rsidRDefault="00CC5E9F">
      <w:pPr>
        <w:pStyle w:val="TextPI"/>
      </w:pPr>
      <w:r>
        <w:t xml:space="preserve">Febuxostat treatment should not be started until an acute attack of gout has completely subsided. After initiation of febuxostat, an increase in gout flares is frequently observed. This increase is due to changing serum uric acid levels resulting in mobilization of urate from tissue deposits. </w:t>
      </w:r>
      <w:r>
        <w:rPr>
          <w:sz w:val="23"/>
          <w:szCs w:val="23"/>
        </w:rPr>
        <w:t xml:space="preserve">In order to prevent gout flares when febuxostat is initiated, </w:t>
      </w:r>
      <w:r>
        <w:t>concurrent prophylaxis for up to 6 months with an NSAID or colchicine is recommended.</w:t>
      </w:r>
    </w:p>
    <w:p w:rsidR="009E3481" w:rsidRDefault="00CC5E9F">
      <w:pPr>
        <w:pStyle w:val="TextPI"/>
      </w:pPr>
      <w:r>
        <w:t>If a gout flare occurs during febuxostat treatment, it should not be discontinued. The gout flare should be managed concurrently as appropriate for the individual patient. Continuous treatment with febuxostat decreases frequency and intensity of gout flares.</w:t>
      </w:r>
    </w:p>
    <w:p w:rsidR="009E3481" w:rsidRDefault="00CC5E9F">
      <w:pPr>
        <w:pStyle w:val="PIHeading3"/>
      </w:pPr>
      <w:r>
        <w:lastRenderedPageBreak/>
        <w:t>Populations with markedly increased urate production</w:t>
      </w:r>
    </w:p>
    <w:p w:rsidR="009E3481" w:rsidRDefault="00CC5E9F">
      <w:pPr>
        <w:pStyle w:val="TextPI"/>
      </w:pPr>
      <w:r>
        <w:t>In patients in whom the rate of urate formation is greatly increased (e.g. malignant disease and its treatment, Lesch-Nyhan syndrome) the absolute concentration of xanthine in urine could, in rare cases, rise sufficiently to allow deposition in the urinary tract. As there has been no experience with febuxostat, its use in these populations is not recommended.</w:t>
      </w:r>
    </w:p>
    <w:p w:rsidR="009E3481" w:rsidRDefault="00CC5E9F">
      <w:pPr>
        <w:pStyle w:val="PIHeading3"/>
      </w:pPr>
      <w:r>
        <w:t>Mercaptopurine/azathioprine</w:t>
      </w:r>
    </w:p>
    <w:p w:rsidR="009E3481" w:rsidRDefault="00CC5E9F">
      <w:pPr>
        <w:pStyle w:val="TextPI"/>
      </w:pPr>
      <w:r>
        <w:t xml:space="preserve">Febuxostat use is not recommended in patients concomitantly treated with mercaptopurine/azathioprine. Where the combination cannot be avoided patients should be closely monitored. A reduction of dosage of mercaptopurine or azathioprine is recommended in order to avoid possible haematological effects (see </w:t>
      </w:r>
      <w:r>
        <w:rPr>
          <w:b/>
        </w:rPr>
        <w:t>INTERACTIONS WITH OTHER MEDICINES</w:t>
      </w:r>
      <w:r>
        <w:t>).</w:t>
      </w:r>
    </w:p>
    <w:p w:rsidR="009E3481" w:rsidRDefault="00CC5E9F">
      <w:pPr>
        <w:pStyle w:val="PIHeading3"/>
      </w:pPr>
      <w:r>
        <w:t>Organ transplant recipients</w:t>
      </w:r>
    </w:p>
    <w:p w:rsidR="009E3481" w:rsidRDefault="00CC5E9F">
      <w:pPr>
        <w:pStyle w:val="TextPI"/>
        <w:rPr>
          <w:i/>
        </w:rPr>
      </w:pPr>
      <w:r>
        <w:t xml:space="preserve">As there has been no experience in organ transplant recipients, the use of febuxostat in such patients is not recommended. </w:t>
      </w:r>
    </w:p>
    <w:p w:rsidR="002F4F23" w:rsidRDefault="002F4F23">
      <w:pPr>
        <w:pStyle w:val="BodyText3"/>
        <w:rPr>
          <w:rFonts w:ascii="Arial" w:hAnsi="Arial"/>
          <w:sz w:val="22"/>
          <w:szCs w:val="22"/>
          <w:u w:val="single"/>
          <w:lang w:val="en-US" w:eastAsia="en-US"/>
        </w:rPr>
      </w:pPr>
    </w:p>
    <w:p w:rsidR="002F4F23" w:rsidRDefault="002F4F23">
      <w:pPr>
        <w:pStyle w:val="BodyText3"/>
        <w:rPr>
          <w:rFonts w:ascii="Arial" w:hAnsi="Arial"/>
          <w:sz w:val="22"/>
          <w:szCs w:val="22"/>
          <w:u w:val="single"/>
          <w:lang w:val="en-US" w:eastAsia="en-US"/>
        </w:rPr>
      </w:pPr>
    </w:p>
    <w:p w:rsidR="009E3481" w:rsidRDefault="00CC5E9F">
      <w:pPr>
        <w:pStyle w:val="BodyText3"/>
        <w:rPr>
          <w:rFonts w:ascii="Arial" w:hAnsi="Arial"/>
          <w:sz w:val="22"/>
          <w:szCs w:val="22"/>
          <w:u w:val="single"/>
          <w:lang w:val="en-US" w:eastAsia="en-US"/>
        </w:rPr>
      </w:pPr>
      <w:r>
        <w:rPr>
          <w:rFonts w:ascii="Arial" w:hAnsi="Arial"/>
          <w:sz w:val="22"/>
          <w:szCs w:val="22"/>
          <w:u w:val="single"/>
          <w:lang w:val="en-US" w:eastAsia="en-US"/>
        </w:rPr>
        <w:t>Theophylline</w:t>
      </w:r>
    </w:p>
    <w:p w:rsidR="009E3481" w:rsidRDefault="00CC5E9F">
      <w:pPr>
        <w:pStyle w:val="BodyText3"/>
        <w:jc w:val="both"/>
        <w:rPr>
          <w:rFonts w:ascii="Arial" w:hAnsi="Arial"/>
          <w:sz w:val="22"/>
          <w:szCs w:val="22"/>
          <w:lang w:val="en-US" w:eastAsia="en-US"/>
        </w:rPr>
      </w:pPr>
      <w:r>
        <w:rPr>
          <w:rFonts w:ascii="Arial" w:hAnsi="Arial"/>
          <w:sz w:val="22"/>
          <w:szCs w:val="22"/>
          <w:lang w:val="en-US" w:eastAsia="en-US"/>
        </w:rPr>
        <w:t xml:space="preserve">No dose adjustment is necessary for theophylline when coadministered with febuxostat. Co-administration of febuxostat 80 mg and theophylline in healthy participants  showed no statisitically significant interaction (see </w:t>
      </w:r>
      <w:r>
        <w:rPr>
          <w:rFonts w:ascii="Arial" w:hAnsi="Arial"/>
          <w:b/>
          <w:sz w:val="22"/>
          <w:szCs w:val="22"/>
          <w:lang w:val="en-US" w:eastAsia="en-US"/>
        </w:rPr>
        <w:t>INTERACTIONS WITH OTHER MEDICINES</w:t>
      </w:r>
      <w:r>
        <w:rPr>
          <w:rFonts w:ascii="Arial" w:hAnsi="Arial"/>
          <w:sz w:val="22"/>
          <w:szCs w:val="22"/>
          <w:lang w:val="en-US" w:eastAsia="en-US"/>
        </w:rPr>
        <w:t>). However, the study also showed an approximately 400-fold increase in the amount of 1-methylxanthine (one of the major theophylline metabolites) excreted in urine as a result of XO inhibition by febuxostat. The safety of long-term exposure to 1-methylxanthine has not been evaluated. This should be taken into consideration when deciding to coadminister febuxostat and theophylline.</w:t>
      </w:r>
    </w:p>
    <w:p w:rsidR="009E3481" w:rsidRDefault="00CC5E9F">
      <w:pPr>
        <w:pStyle w:val="TextPI"/>
        <w:rPr>
          <w:u w:val="single"/>
        </w:rPr>
      </w:pPr>
      <w:r>
        <w:rPr>
          <w:u w:val="single"/>
        </w:rPr>
        <w:t>Liver disorders</w:t>
      </w:r>
    </w:p>
    <w:p w:rsidR="009E3481" w:rsidRDefault="00CC5E9F">
      <w:pPr>
        <w:pStyle w:val="TextPI"/>
      </w:pPr>
      <w:r>
        <w:t>During the combined phase 3 clinical studies, mild liver function test abnormalities were observed in patients treated with febuxostat</w:t>
      </w:r>
      <w:r w:rsidR="00D50782">
        <w:t xml:space="preserve"> (s</w:t>
      </w:r>
      <w:r w:rsidR="00AD06CC">
        <w:t>ee Table 7</w:t>
      </w:r>
      <w:r w:rsidR="00D50782">
        <w:t>)</w:t>
      </w:r>
      <w:r w:rsidR="00AD06CC">
        <w:t>.</w:t>
      </w:r>
      <w:r w:rsidR="0008561D">
        <w:t xml:space="preserve"> </w:t>
      </w:r>
      <w:r>
        <w:t xml:space="preserve">Liver function test is recommended prior to the initiation of therapy with febuxostat and periodically thereafter based on clinical judgement. </w:t>
      </w:r>
    </w:p>
    <w:p w:rsidR="009E3481" w:rsidRDefault="00CC5E9F">
      <w:pPr>
        <w:pStyle w:val="BodyText3"/>
        <w:jc w:val="both"/>
        <w:rPr>
          <w:sz w:val="22"/>
          <w:szCs w:val="22"/>
          <w:lang w:val="en-US" w:eastAsia="en-US"/>
        </w:rPr>
      </w:pPr>
      <w:r>
        <w:rPr>
          <w:rFonts w:ascii="Arial" w:hAnsi="Arial"/>
          <w:sz w:val="22"/>
          <w:szCs w:val="22"/>
          <w:lang w:val="en-US" w:eastAsia="en-US"/>
        </w:rPr>
        <w:t xml:space="preserve">There have been post-marketing reports of fatal and non-fatal hepatic failure in patients taking ADENURIC, although the reports contain insufficient information necessary to establish the probable cause. During randomized controlled studies, transaminase elevations greater than three times the upper limit of normal (ULN) were observed (AST: 2%, 2%, and ALT: 3%, 2% in ADENURIC and allopurinol-treated patients, respectively). </w:t>
      </w:r>
    </w:p>
    <w:p w:rsidR="009E3481" w:rsidRDefault="00CC5E9F">
      <w:pPr>
        <w:pStyle w:val="BodyText3"/>
        <w:jc w:val="both"/>
        <w:rPr>
          <w:sz w:val="22"/>
          <w:szCs w:val="22"/>
          <w:lang w:val="en-US" w:eastAsia="en-US"/>
        </w:rPr>
      </w:pPr>
      <w:r>
        <w:rPr>
          <w:rFonts w:ascii="Arial" w:hAnsi="Arial"/>
          <w:sz w:val="22"/>
          <w:szCs w:val="22"/>
          <w:lang w:val="en-US" w:eastAsia="en-US"/>
        </w:rPr>
        <w:t xml:space="preserve">Measure liver tests promptly in patients who report symptoms that may indicate liver injury, including fatigue, anorexia, right upper abdominal discomfort, dark urine or jaundice. In this clinical context, if the patient is found to have abnormal liver tests (ALT greater than three times the upper limit of the reference range), ADENURIC treatment should be interrupted and investigation done to establish the probable cause. ADENURIC should not be restarted in these patients without another explanation for the liver test abnormalities. </w:t>
      </w:r>
    </w:p>
    <w:p w:rsidR="009E3481" w:rsidRDefault="00CC5E9F">
      <w:pPr>
        <w:pStyle w:val="BodyText3"/>
        <w:jc w:val="both"/>
      </w:pPr>
      <w:r>
        <w:rPr>
          <w:rFonts w:ascii="Arial" w:hAnsi="Arial"/>
          <w:sz w:val="22"/>
          <w:szCs w:val="22"/>
          <w:lang w:val="en-US" w:eastAsia="en-US"/>
        </w:rPr>
        <w:t>Patients who have serum ALT greater than three times the reference range with serum total bilirubin greater than two times the reference range without alternative etiologies are at risk for severe drug-induced liver injury and should not be restarted on ADENURIC. For patients with lesser elevations of serum ALT or bilirubin and with an alternate probable cause, treatment with ADENURIC can be used with caution.</w:t>
      </w:r>
    </w:p>
    <w:p w:rsidR="009E3481" w:rsidRDefault="00CC5E9F">
      <w:pPr>
        <w:pStyle w:val="PIHeading3"/>
      </w:pPr>
      <w:r>
        <w:lastRenderedPageBreak/>
        <w:t xml:space="preserve">Thyroid disorders </w:t>
      </w:r>
    </w:p>
    <w:p w:rsidR="009E3481" w:rsidRDefault="00CC5E9F">
      <w:pPr>
        <w:pStyle w:val="TextPI"/>
      </w:pPr>
      <w:r>
        <w:t>Increased TSH values (&gt; 5.5 µIU/mL) were observed in patients on long-term treatment with febuxostat (5.5%) in the long term open label extension studies. Caution is required when febuxostat is used in patients with alteration of thyroid function.</w:t>
      </w:r>
    </w:p>
    <w:p w:rsidR="009E3481" w:rsidRDefault="00CC5E9F">
      <w:pPr>
        <w:pStyle w:val="PIHeading3"/>
      </w:pPr>
      <w:r>
        <w:t>Lactose</w:t>
      </w:r>
    </w:p>
    <w:p w:rsidR="009E3481" w:rsidRDefault="00CC5E9F">
      <w:pPr>
        <w:pStyle w:val="TextPI"/>
      </w:pPr>
      <w:r>
        <w:t>Febuxostat tablets contain lactose. Patients with rare hereditary problems of galactose intolerance, the Lapp lactase deficiency or glucose-galactose malabsorption should not take this medicine.</w:t>
      </w:r>
    </w:p>
    <w:p w:rsidR="009E3481" w:rsidRDefault="00CC5E9F">
      <w:pPr>
        <w:pStyle w:val="PIHeading3"/>
        <w:rPr>
          <w:lang w:val="en-AU"/>
        </w:rPr>
      </w:pPr>
      <w:r>
        <w:rPr>
          <w:lang w:val="en-AU"/>
        </w:rPr>
        <w:t>Effects on fertility</w:t>
      </w:r>
    </w:p>
    <w:p w:rsidR="009E3481" w:rsidRDefault="00CC5E9F">
      <w:pPr>
        <w:pStyle w:val="TextPI"/>
      </w:pPr>
      <w:r>
        <w:t>In rats, reproduction studies up to 48 mg/kg/day (20 to 25 times human exposure at the MRHD based on AUC) showed no dose-dependent adverse effects on male or female fertility. The effect of ADENURIC on human fertility is unknown.</w:t>
      </w:r>
    </w:p>
    <w:p w:rsidR="009E3481" w:rsidRDefault="00CC5E9F">
      <w:pPr>
        <w:pStyle w:val="PIHeading3"/>
        <w:rPr>
          <w:lang w:val="en-AU"/>
        </w:rPr>
      </w:pPr>
      <w:r>
        <w:rPr>
          <w:lang w:val="en-AU"/>
        </w:rPr>
        <w:t>Use in pregnancy (Category B1)</w:t>
      </w:r>
    </w:p>
    <w:p w:rsidR="009E3481" w:rsidRDefault="00CC5E9F">
      <w:pPr>
        <w:pStyle w:val="TextPI"/>
      </w:pPr>
      <w:r>
        <w:t>Data on a very limited number of exposed pregnancies have not indicated any adverse effects of febuxostat on pregnancy or on the health of the fetus/new born child. Studies in rats and rabbits found no evidence of fetal abnormalities at doses up to 48 mg/kg/day (25 to 33 times the clinical exposure at the MRHD based on AUC), consistent with the minimal placental transfer of febuxostat found in pharmacokinetic studies. As the potential risk of foetal harm in humans is unknown. Febuxostat is not recommended for use during pregnancy.</w:t>
      </w:r>
    </w:p>
    <w:p w:rsidR="009E3481" w:rsidRDefault="00CC5E9F">
      <w:pPr>
        <w:pStyle w:val="PIHeading3"/>
        <w:keepNext/>
        <w:keepLines/>
        <w:rPr>
          <w:lang w:val="en-AU"/>
        </w:rPr>
      </w:pPr>
      <w:r>
        <w:rPr>
          <w:lang w:val="en-AU"/>
        </w:rPr>
        <w:t>Use in lactation</w:t>
      </w:r>
    </w:p>
    <w:p w:rsidR="009E3481" w:rsidRDefault="00CC5E9F">
      <w:pPr>
        <w:pStyle w:val="TextPI"/>
      </w:pPr>
      <w:r>
        <w:t>It is unknown whether febuxostat is excreted in human breast milk. Febuxostat is readily excreted in breast milk in rats (milk:plasma ratio of 7.9 at 4 h post-maternal dose). Rats exposed to febuxostat during the lactation period at 48 mg/kg/day (25 times the clinical exposure at the MRHD based on AUC) showed maternal toxicity accompanied by a reduction in weaning index and reduced development of offspring. At the NOAEL for maternal and pup developmental effects of 3 mg/kg/day the AUC-based relative exposure was similar to that anticipated clinically at the maximum daily dose. A risk to a breastfeeding infant cannot be excluded. Febuxostat should not be used while breastfeeding.</w:t>
      </w:r>
    </w:p>
    <w:p w:rsidR="009E3481" w:rsidRDefault="00CC5E9F">
      <w:pPr>
        <w:pStyle w:val="PIHeading3"/>
        <w:rPr>
          <w:lang w:val="en-AU"/>
        </w:rPr>
      </w:pPr>
      <w:r>
        <w:rPr>
          <w:lang w:val="en-AU"/>
        </w:rPr>
        <w:t>Paediatric use</w:t>
      </w:r>
    </w:p>
    <w:p w:rsidR="009E3481" w:rsidRDefault="00CC5E9F">
      <w:pPr>
        <w:pStyle w:val="TextPI"/>
      </w:pPr>
      <w:r>
        <w:t>The safety and the efficacy of ADENURIC in children aged below the age of 18 years have not been established. No data are available.</w:t>
      </w:r>
    </w:p>
    <w:p w:rsidR="009E3481" w:rsidRDefault="00CC5E9F">
      <w:pPr>
        <w:pStyle w:val="PIHeading3"/>
        <w:rPr>
          <w:lang w:val="en-AU"/>
        </w:rPr>
      </w:pPr>
      <w:r>
        <w:rPr>
          <w:lang w:val="en-AU"/>
        </w:rPr>
        <w:t>Use in the elderly</w:t>
      </w:r>
    </w:p>
    <w:p w:rsidR="009E3481" w:rsidRDefault="00CC5E9F">
      <w:pPr>
        <w:pStyle w:val="TextPI"/>
      </w:pPr>
      <w:r>
        <w:t>No dose adjustment is required in the elderly. Of the total number of participants in clinical studies of ADENURIC, 16% were 65 and over, while 4% were 75 and over. Comparing subjects in different age groups, no clinically significant differences in safety or effectiveness were observed but greater sensitivity of some older individuals cannot be ruled out. The C</w:t>
      </w:r>
      <w:r>
        <w:rPr>
          <w:vertAlign w:val="subscript"/>
        </w:rPr>
        <w:t xml:space="preserve">max </w:t>
      </w:r>
      <w:r>
        <w:t>and AUC</w:t>
      </w:r>
      <w:r>
        <w:rPr>
          <w:vertAlign w:val="subscript"/>
        </w:rPr>
        <w:t>24</w:t>
      </w:r>
      <w:r>
        <w:t xml:space="preserve"> of febuxostat following multiple oral doses of ADENURIC in geriatric subjects (≥ 65 years) were similar to those in younger subjects (18 to 40 years) (see </w:t>
      </w:r>
      <w:r>
        <w:rPr>
          <w:b/>
        </w:rPr>
        <w:t>Pharmacokinetics</w:t>
      </w:r>
      <w:r>
        <w:t>).</w:t>
      </w:r>
    </w:p>
    <w:p w:rsidR="009E3481" w:rsidRDefault="00CC5E9F">
      <w:pPr>
        <w:pStyle w:val="PIHeading3"/>
        <w:rPr>
          <w:lang w:val="en-AU"/>
        </w:rPr>
      </w:pPr>
      <w:r>
        <w:rPr>
          <w:lang w:val="en-AU"/>
        </w:rPr>
        <w:t>Use in Renal impairment</w:t>
      </w:r>
    </w:p>
    <w:p w:rsidR="009E3481" w:rsidRDefault="00CC5E9F">
      <w:pPr>
        <w:pStyle w:val="TextPI"/>
        <w:rPr>
          <w:i/>
          <w:iCs/>
        </w:rPr>
      </w:pPr>
      <w:r>
        <w:t>There are insufficient data in patients with severe renal impairment (Clcr less than 30 mL/min, Stage 4 CKD); therefore caution should be exercised in these patients.</w:t>
      </w:r>
    </w:p>
    <w:p w:rsidR="009E3481" w:rsidRDefault="00CC5E9F">
      <w:pPr>
        <w:pStyle w:val="PIHeading3"/>
        <w:rPr>
          <w:lang w:val="en-AU"/>
        </w:rPr>
      </w:pPr>
      <w:r>
        <w:rPr>
          <w:lang w:val="en-AU"/>
        </w:rPr>
        <w:t>Use in Hepatic impairment</w:t>
      </w:r>
    </w:p>
    <w:p w:rsidR="009E3481" w:rsidRDefault="00CC5E9F">
      <w:pPr>
        <w:pStyle w:val="TextPI"/>
        <w:rPr>
          <w:i/>
          <w:iCs/>
        </w:rPr>
      </w:pPr>
      <w:r>
        <w:lastRenderedPageBreak/>
        <w:t xml:space="preserve">No studies have been conducted in patients with severe hepatic impairment (Child-Pugh Class C); therefore caution should be exercised in these patients. </w:t>
      </w:r>
      <w:r>
        <w:rPr>
          <w:i/>
          <w:iCs/>
        </w:rPr>
        <w:t xml:space="preserve"> </w:t>
      </w:r>
    </w:p>
    <w:p w:rsidR="009E3481" w:rsidRDefault="00CC5E9F">
      <w:pPr>
        <w:pStyle w:val="PIHeading3"/>
        <w:rPr>
          <w:lang w:val="en-AU"/>
        </w:rPr>
      </w:pPr>
      <w:r>
        <w:rPr>
          <w:lang w:val="en-AU"/>
        </w:rPr>
        <w:t>Use in Asian Populations</w:t>
      </w:r>
    </w:p>
    <w:p w:rsidR="0089499E" w:rsidRDefault="00CC5E9F">
      <w:pPr>
        <w:pStyle w:val="TextPI"/>
      </w:pPr>
      <w:r>
        <w:rPr>
          <w:iCs/>
          <w:lang w:val="en-GB"/>
        </w:rPr>
        <w:t xml:space="preserve">About 3% of patients enrolled in phase 3 studies were of Asian ethnicity. Although the clinical experience is limited, the overall incidence rates of treatment-emergent adverse events were not significantly different between races within each of the treatment groups. </w:t>
      </w:r>
      <w:r w:rsidR="0089499E">
        <w:rPr>
          <w:rFonts w:hint="eastAsia"/>
          <w:lang w:eastAsia="ja-JP"/>
        </w:rPr>
        <w:t>There have been post-marketing reports of serious skin/hypersensitivity reactions in some Asian population</w:t>
      </w:r>
      <w:r w:rsidR="00DA236B">
        <w:rPr>
          <w:lang w:eastAsia="ja-JP"/>
        </w:rPr>
        <w:t>s</w:t>
      </w:r>
      <w:r w:rsidR="0089499E">
        <w:rPr>
          <w:rFonts w:hint="eastAsia"/>
          <w:lang w:eastAsia="ja-JP"/>
        </w:rPr>
        <w:t>.</w:t>
      </w:r>
    </w:p>
    <w:p w:rsidR="009E3481" w:rsidRDefault="00CC5E9F">
      <w:pPr>
        <w:pStyle w:val="PIHeading3"/>
        <w:rPr>
          <w:lang w:val="en-AU"/>
        </w:rPr>
      </w:pPr>
      <w:r>
        <w:rPr>
          <w:lang w:val="en-AU"/>
        </w:rPr>
        <w:t>Genotoxicity</w:t>
      </w:r>
    </w:p>
    <w:p w:rsidR="009E3481" w:rsidRDefault="00CC5E9F">
      <w:pPr>
        <w:pStyle w:val="PIHeading3"/>
        <w:rPr>
          <w:u w:val="none"/>
        </w:rPr>
      </w:pPr>
      <w:r>
        <w:rPr>
          <w:u w:val="none"/>
        </w:rPr>
        <w:t xml:space="preserve">Febuxostat was not genotoxic in a bacterial reverse mutation assay, an </w:t>
      </w:r>
      <w:r>
        <w:rPr>
          <w:i/>
          <w:u w:val="none"/>
        </w:rPr>
        <w:t>in vitro</w:t>
      </w:r>
      <w:r>
        <w:rPr>
          <w:u w:val="none"/>
        </w:rPr>
        <w:t xml:space="preserve"> chromosomal aberration test in human lymphocytes, two </w:t>
      </w:r>
      <w:r>
        <w:rPr>
          <w:i/>
          <w:u w:val="none"/>
        </w:rPr>
        <w:t>in vivo</w:t>
      </w:r>
      <w:r>
        <w:rPr>
          <w:u w:val="none"/>
        </w:rPr>
        <w:t xml:space="preserve"> chromosomal aberration tests in mice and rats, and an </w:t>
      </w:r>
      <w:r>
        <w:rPr>
          <w:i/>
          <w:u w:val="none"/>
        </w:rPr>
        <w:t>ex vivo</w:t>
      </w:r>
      <w:r>
        <w:rPr>
          <w:u w:val="none"/>
        </w:rPr>
        <w:t xml:space="preserve"> unscheduled DNA synthesis assay in rats. While febuxostat was positive for chromosomal aberrations in Chinese Hamster Lung fibroblasts, the weight of evidence suggests that it does not pose a genotoxic risk.</w:t>
      </w:r>
    </w:p>
    <w:p w:rsidR="009E3481" w:rsidRDefault="00CC5E9F">
      <w:pPr>
        <w:pStyle w:val="PIHeading3"/>
      </w:pPr>
      <w:r>
        <w:t>Carcinogenicity</w:t>
      </w:r>
    </w:p>
    <w:p w:rsidR="009E3481" w:rsidRDefault="00CC5E9F">
      <w:pPr>
        <w:pStyle w:val="TextPI"/>
      </w:pPr>
      <w:r>
        <w:t xml:space="preserve">In a two year carcinogenicity study in male rats, a statistically significant increase in urinary bladder tumours (transitional cell papilloma and carcinoma) was found only in association with xanthine calculi in the high dose group, at approximately 17 times human exposure (based on AUC). In mice, these tumour types were only seen in females at approximately 8 times human exposure. Chronic irritation of bladder epithelium by the presence of calculi is believed to elicit pre-neoplastic and neoplastic changes. However, differences in species specific purine metabolism and urine composition mean that xanthine calculi form less readily in humans than in rodents such that urinary bladder tumours are not considered to be of likely clinical significance. </w:t>
      </w:r>
    </w:p>
    <w:p w:rsidR="009E3481" w:rsidRDefault="00CC5E9F">
      <w:pPr>
        <w:pStyle w:val="PIHeading3"/>
      </w:pPr>
      <w:r>
        <w:t>Effects on ability to drive and use machines</w:t>
      </w:r>
    </w:p>
    <w:p w:rsidR="009E3481" w:rsidRDefault="00CC5E9F">
      <w:pPr>
        <w:pStyle w:val="TextPI"/>
      </w:pPr>
      <w:r>
        <w:t>Somnolence, dizziness, paraesthesia and blurred vision have been reported with the use of Febuxostat. Patients should exercise caution before driving, using machinery or participating in dangerous activities until they are reasonably certain that ADENURIC does not adversely affect performance.</w:t>
      </w:r>
    </w:p>
    <w:p w:rsidR="009E3481" w:rsidRDefault="00CC5E9F">
      <w:pPr>
        <w:pStyle w:val="PIHeading1"/>
        <w:rPr>
          <w:rFonts w:hint="eastAsia"/>
          <w:lang w:val="en-AU"/>
        </w:rPr>
      </w:pPr>
      <w:r>
        <w:rPr>
          <w:lang w:val="en-AU"/>
        </w:rPr>
        <w:t>Interactions with other medicines</w:t>
      </w:r>
    </w:p>
    <w:p w:rsidR="009E3481" w:rsidRDefault="00CC5E9F">
      <w:pPr>
        <w:pStyle w:val="PIHeading3"/>
      </w:pPr>
      <w:r>
        <w:t>Mercaptopurine/azathioprine</w:t>
      </w:r>
    </w:p>
    <w:p w:rsidR="009E3481" w:rsidRDefault="00CC5E9F">
      <w:pPr>
        <w:pStyle w:val="TextPI"/>
      </w:pPr>
      <w:r>
        <w:t xml:space="preserve">On the basis of the mechanism of action of febuxostat on xanthine oxidase (XO) inhibition concomitant use is not recommended. Inhibition of XO by febuxostat may substantially increase plasma concentrations of these drugs leading to severe toxicity (see </w:t>
      </w:r>
      <w:r>
        <w:rPr>
          <w:b/>
        </w:rPr>
        <w:t>PRECAUTIONS</w:t>
      </w:r>
      <w:r>
        <w:t>). Drug interaction studies of febuxostat with drugs that are metabolized by XO have not been performed.</w:t>
      </w:r>
    </w:p>
    <w:p w:rsidR="009E3481" w:rsidRDefault="00CC5E9F">
      <w:pPr>
        <w:pStyle w:val="TextPI"/>
      </w:pPr>
      <w:r>
        <w:t>Drug interaction studies of febuxostat with cytotoxic chemotherapy have not been conducted. No data is available regarding the safety of febuxostat during cytotoxic therapy.</w:t>
      </w:r>
    </w:p>
    <w:p w:rsidR="009E3481" w:rsidRDefault="00CC5E9F">
      <w:pPr>
        <w:shd w:val="clear" w:color="auto" w:fill="FFFFFF"/>
        <w:spacing w:before="120" w:after="60"/>
        <w:rPr>
          <w:rFonts w:ascii="Arial" w:hAnsi="Arial"/>
          <w:sz w:val="22"/>
          <w:szCs w:val="22"/>
          <w:u w:val="single"/>
        </w:rPr>
      </w:pPr>
      <w:r>
        <w:rPr>
          <w:rFonts w:ascii="Arial" w:hAnsi="Arial"/>
          <w:sz w:val="22"/>
          <w:szCs w:val="22"/>
          <w:u w:val="single"/>
        </w:rPr>
        <w:t>Rosiglitazone/CYP2C8 substrates</w:t>
      </w:r>
    </w:p>
    <w:p w:rsidR="009E3481" w:rsidRDefault="00CC5E9F">
      <w:pPr>
        <w:jc w:val="both"/>
        <w:rPr>
          <w:rFonts w:ascii="Arial" w:hAnsi="Arial"/>
          <w:sz w:val="22"/>
          <w:szCs w:val="22"/>
        </w:rPr>
      </w:pPr>
      <w:r>
        <w:rPr>
          <w:rFonts w:ascii="Arial" w:hAnsi="Arial"/>
          <w:sz w:val="22"/>
          <w:szCs w:val="22"/>
        </w:rPr>
        <w:t xml:space="preserve">Febuxostat was shown to be a weak inhibitor of CYP2C8 </w:t>
      </w:r>
      <w:r>
        <w:rPr>
          <w:rFonts w:ascii="Arial" w:hAnsi="Arial"/>
          <w:i/>
          <w:sz w:val="22"/>
          <w:szCs w:val="22"/>
        </w:rPr>
        <w:t>in vitro</w:t>
      </w:r>
      <w:r>
        <w:rPr>
          <w:rFonts w:ascii="Arial" w:hAnsi="Arial"/>
          <w:sz w:val="22"/>
          <w:szCs w:val="22"/>
        </w:rPr>
        <w:t xml:space="preserve">. In a study in healthy subjects, coadministration of 120 mg febuxostat </w:t>
      </w:r>
      <w:r w:rsidR="009F4984">
        <w:rPr>
          <w:rFonts w:ascii="Arial" w:hAnsi="Arial"/>
          <w:sz w:val="22"/>
          <w:szCs w:val="22"/>
        </w:rPr>
        <w:t xml:space="preserve">daily </w:t>
      </w:r>
      <w:r>
        <w:rPr>
          <w:rFonts w:ascii="Arial" w:hAnsi="Arial"/>
          <w:sz w:val="22"/>
          <w:szCs w:val="22"/>
        </w:rPr>
        <w:t xml:space="preserve">with a single 4 mg oral dose of rosiglitazone had no effect on the pharmacokinetics of rosiglitazone and its metabolite N-desmethyl rosiglitazone, indicating that febuxostat is not a CYP2C8 enzyme inhibitor </w:t>
      </w:r>
      <w:r>
        <w:rPr>
          <w:rFonts w:ascii="Arial" w:hAnsi="Arial"/>
          <w:i/>
          <w:sz w:val="22"/>
          <w:szCs w:val="22"/>
        </w:rPr>
        <w:t>in vivo</w:t>
      </w:r>
      <w:r>
        <w:rPr>
          <w:rFonts w:ascii="Arial" w:hAnsi="Arial"/>
          <w:sz w:val="22"/>
          <w:szCs w:val="22"/>
        </w:rPr>
        <w:t>. Thus, co</w:t>
      </w:r>
      <w:r>
        <w:rPr>
          <w:rFonts w:ascii="Arial" w:hAnsi="Arial"/>
          <w:sz w:val="22"/>
          <w:szCs w:val="22"/>
        </w:rPr>
        <w:noBreakHyphen/>
        <w:t>administration of febuxostat with rosiglitazone or other CYP2C8 substrates is not expected to require any dose adjustment for those compounds.</w:t>
      </w:r>
    </w:p>
    <w:p w:rsidR="009E3481" w:rsidRDefault="00CC5E9F">
      <w:pPr>
        <w:pStyle w:val="PIHeading3"/>
      </w:pPr>
      <w:r>
        <w:lastRenderedPageBreak/>
        <w:t>Theophylline</w:t>
      </w:r>
    </w:p>
    <w:p w:rsidR="009E3481" w:rsidRDefault="00CC5E9F">
      <w:pPr>
        <w:pStyle w:val="TextPI"/>
      </w:pPr>
      <w:r>
        <w:t>No dose adjustment is necessary for theophylline when coadministered with febuxostat. Administration of febuxostat (80 mg once daily) with theophylline resulted in an increase of 6% in Cmax and 6.5% in AUC of theophylline. These changes were not considered statistically significant. However, the study also showed an approximately 400-fold increase in the amount of 1-methylxanthine (one of the major theophylline metabolites) excreted in urine as a result of XO inhibition by febuxostat. The safety of long-term exposure to 1-methylxanthine has not been evaluated. This should be taken into consideration when deciding to coadminister febuxostat and theophylline</w:t>
      </w:r>
      <w:r>
        <w:rPr>
          <w:sz w:val="23"/>
          <w:szCs w:val="23"/>
        </w:rPr>
        <w:t>.</w:t>
      </w:r>
    </w:p>
    <w:p w:rsidR="009E3481" w:rsidRDefault="00CC5E9F">
      <w:pPr>
        <w:pStyle w:val="PIHeading3"/>
      </w:pPr>
      <w:r>
        <w:t>Naproxen and other inhibitors of glucuronidation</w:t>
      </w:r>
    </w:p>
    <w:p w:rsidR="009E3481" w:rsidRDefault="00CC5E9F">
      <w:pPr>
        <w:pStyle w:val="TextPI"/>
      </w:pPr>
      <w:r>
        <w:t>Febuxostat metabolism depends on Uridine Glucuronosyl Transferase (UGT) enzymes. Medicinal products that inhibit glucuronidation, such as NSAIDs and probenecid, could in theory affect the elimination of febuxostat. In healthy subjects concomitant use of febuxostat and naproxen 250 mg twice daily was associated with an increase in febuxostat exposure (C</w:t>
      </w:r>
      <w:r>
        <w:rPr>
          <w:vertAlign w:val="subscript"/>
        </w:rPr>
        <w:t>max</w:t>
      </w:r>
      <w:r>
        <w:t xml:space="preserve"> 28%, AUC 41% and t</w:t>
      </w:r>
      <w:r>
        <w:rPr>
          <w:vertAlign w:val="subscript"/>
        </w:rPr>
        <w:t xml:space="preserve">1/2 </w:t>
      </w:r>
      <w:r>
        <w:t>26%). In clinical studies the use of naproxen or other NSAIDs/COX-2 inhibitors was not related to any clinically significant increase in adverse events.</w:t>
      </w:r>
    </w:p>
    <w:p w:rsidR="009E3481" w:rsidRDefault="00CC5E9F">
      <w:pPr>
        <w:pStyle w:val="TextPI"/>
      </w:pPr>
      <w:r>
        <w:t>Febuxostat can be co-administered with naproxen with no dose adjustment of febuxostat or naproxen being necessary.</w:t>
      </w:r>
    </w:p>
    <w:p w:rsidR="009E3481" w:rsidRDefault="00CC5E9F">
      <w:pPr>
        <w:pStyle w:val="PIHeading3"/>
      </w:pPr>
      <w:r>
        <w:t xml:space="preserve">Inducers of </w:t>
      </w:r>
      <w:proofErr w:type="spellStart"/>
      <w:r>
        <w:t>glucuronidation</w:t>
      </w:r>
      <w:proofErr w:type="spellEnd"/>
    </w:p>
    <w:p w:rsidR="009E3481" w:rsidRDefault="00CC5E9F">
      <w:pPr>
        <w:pStyle w:val="TextPI"/>
      </w:pPr>
      <w:r>
        <w:t>Potent inducers of UGT enzymes such as phenytoin might possibly lead to increased metabolism and decreased efficacy of febuxostat. Monitoring of serum uric acid is therefore recommended 1-2 weeks after start of treatment with a potent inducer of glucuronidation. Conversely, cessation of treatment of an inducer might lead to increased plasma levels of febuxostat.</w:t>
      </w:r>
    </w:p>
    <w:p w:rsidR="009E3481" w:rsidRDefault="00CC5E9F">
      <w:pPr>
        <w:pStyle w:val="PIHeading3"/>
      </w:pPr>
      <w:r>
        <w:t>Colchicine/ indomethacin/ hydrochlorothiazide/ warfarin</w:t>
      </w:r>
    </w:p>
    <w:p w:rsidR="009E3481" w:rsidRDefault="00CC5E9F">
      <w:pPr>
        <w:pStyle w:val="TextPI"/>
      </w:pPr>
      <w:r>
        <w:t>Febuxostat can be co-administered with colchicine or indomethacin with no dose adjustment of febuxostat or the co-administered active substance being necessary.</w:t>
      </w:r>
    </w:p>
    <w:p w:rsidR="009E3481" w:rsidRDefault="00CC5E9F">
      <w:pPr>
        <w:pStyle w:val="TextPI"/>
      </w:pPr>
      <w:r>
        <w:t xml:space="preserve">No dose adjustment is necessary for febuxostat when administered with hydrochlorothiazide.  </w:t>
      </w:r>
    </w:p>
    <w:p w:rsidR="009E3481" w:rsidRDefault="00CC5E9F">
      <w:pPr>
        <w:pStyle w:val="TextPI"/>
      </w:pPr>
      <w:r>
        <w:t>No dose adjustment is necessary for warfarin when administered with febuxostat. Administration of febuxostat (80 mg or 120 mg once daily) with warfarin had no effect on the pharmacokinetics of warfarin in healthy subjects. INR and Factor VII activity were also not affected by the co-administration of febuxostat.</w:t>
      </w:r>
    </w:p>
    <w:p w:rsidR="009E3481" w:rsidRDefault="00CC5E9F">
      <w:pPr>
        <w:pStyle w:val="PIHeading3"/>
      </w:pPr>
      <w:r>
        <w:t>Desipramine/CYP2D6 substrates</w:t>
      </w:r>
    </w:p>
    <w:p w:rsidR="009E3481" w:rsidRDefault="00CC5E9F">
      <w:pPr>
        <w:pStyle w:val="TextPI"/>
      </w:pPr>
      <w:r>
        <w:t xml:space="preserve">Febuxostat was shown to be a weak inhibitor of CYP2D6 </w:t>
      </w:r>
      <w:r>
        <w:rPr>
          <w:i/>
        </w:rPr>
        <w:t>in vitro</w:t>
      </w:r>
      <w:r>
        <w:t xml:space="preserve">. In a study in healthy subjects, 120 mg ADENURIC </w:t>
      </w:r>
      <w:r w:rsidR="009F4984">
        <w:t xml:space="preserve">daily </w:t>
      </w:r>
      <w:r>
        <w:t xml:space="preserve">resulted in a mean 22% increase in AUC of desipramine, a CYP2D6 substrate indicating a potential weak inhibitory effect of febuxostat on the CYP2D6 enzyme </w:t>
      </w:r>
      <w:r>
        <w:rPr>
          <w:i/>
        </w:rPr>
        <w:t>in vivo</w:t>
      </w:r>
      <w:r>
        <w:t>. Thus, co</w:t>
      </w:r>
      <w:r>
        <w:noBreakHyphen/>
        <w:t>administration of febuxostat with other CYP2D6 substrates is not expected to require any dose adjustment for those compounds.</w:t>
      </w:r>
    </w:p>
    <w:p w:rsidR="009E3481" w:rsidRDefault="00CC5E9F">
      <w:pPr>
        <w:pStyle w:val="PIHeading3"/>
      </w:pPr>
      <w:r>
        <w:t>Antacids</w:t>
      </w:r>
    </w:p>
    <w:p w:rsidR="009E3481" w:rsidRDefault="00CC5E9F">
      <w:pPr>
        <w:pStyle w:val="TextPI"/>
      </w:pPr>
      <w:r>
        <w:t>Concomitant ingestion of an antacid containing magnesium hydroxide and aluminium hydroxide has been shown to delay absorption of febuxostat (approximately 1 hour) and to cause a 32% decrease in C</w:t>
      </w:r>
      <w:r>
        <w:rPr>
          <w:vertAlign w:val="subscript"/>
        </w:rPr>
        <w:t>max</w:t>
      </w:r>
      <w:r>
        <w:t>, but no significant change in AUC was observed. Therefore, febuxostat may be taken without regard to antacid use.</w:t>
      </w:r>
    </w:p>
    <w:p w:rsidR="009E3481" w:rsidRDefault="00CC5E9F">
      <w:pPr>
        <w:pStyle w:val="TextPI"/>
        <w:rPr>
          <w:u w:val="single"/>
        </w:rPr>
      </w:pPr>
      <w:r>
        <w:rPr>
          <w:u w:val="single"/>
        </w:rPr>
        <w:t>Tacrolimus</w:t>
      </w:r>
    </w:p>
    <w:p w:rsidR="009E3481" w:rsidRDefault="00CC5E9F">
      <w:pPr>
        <w:jc w:val="both"/>
        <w:rPr>
          <w:rFonts w:ascii="Arial" w:hAnsi="Arial"/>
          <w:sz w:val="22"/>
          <w:szCs w:val="22"/>
        </w:rPr>
      </w:pPr>
      <w:r>
        <w:rPr>
          <w:rFonts w:ascii="Arial" w:hAnsi="Arial"/>
          <w:sz w:val="22"/>
          <w:szCs w:val="22"/>
        </w:rPr>
        <w:lastRenderedPageBreak/>
        <w:t>Attention should be paid when introducing febuxostat in patients taking tacrolimus: although no specific interaction study between tacrolimus and febuxostat has been performed, a documented increase in tacrolimus plasma levels has been reported after febuxostat administration in some post-marketing cases concerning renal transplanted patients.</w:t>
      </w:r>
    </w:p>
    <w:p w:rsidR="009E3481" w:rsidRDefault="00CC5E9F">
      <w:pPr>
        <w:pStyle w:val="PIHeading1"/>
        <w:rPr>
          <w:rFonts w:hint="eastAsia"/>
        </w:rPr>
      </w:pPr>
      <w:r>
        <w:t>ADVERSE EFFECTS</w:t>
      </w:r>
    </w:p>
    <w:p w:rsidR="009E3481" w:rsidRDefault="00CC5E9F">
      <w:pPr>
        <w:pStyle w:val="TextPI"/>
      </w:pPr>
      <w:bookmarkStart w:id="1" w:name="_Toc425574037"/>
      <w:r>
        <w:t>A total of 2757 subjects with hyperuricaemia and gout were treated with febuxostat 40 mg or 80 mg daily in clinical studies. For febuxostat 40 mg, 559 patients were treated for ≥  6 months. For febuxostat 80 mg, 1377 subjects were treated for ≥  6 months, 674 patients were treated for ≥  1 year and 515 patients were treated for ≥  2 years.</w:t>
      </w:r>
    </w:p>
    <w:p w:rsidR="009E3481" w:rsidRDefault="00CC5E9F">
      <w:pPr>
        <w:pStyle w:val="TextPI"/>
      </w:pPr>
      <w:r>
        <w:t>The most commonly reported adverse reactions in clinical trials (4,072 subjects treated at least with a dose from 10 mg to 300 mg) and post-marketing experience are gout flares, liver function abnormalities, diarrhoea, nausea, headache, rash and oedema. These adverse reactions were mostly mild or moderate in severity. Rare serious hypersensitivity reactions to febuxostat, some of which were associated to systemic symptoms, have occurred in the post-marketing experience.</w:t>
      </w:r>
    </w:p>
    <w:p w:rsidR="009E3481" w:rsidRDefault="00CC5E9F">
      <w:pPr>
        <w:pStyle w:val="TextPI"/>
      </w:pPr>
      <w:r>
        <w:rPr>
          <w:b/>
        </w:rPr>
        <w:t>Table 4</w:t>
      </w:r>
      <w:r>
        <w:t xml:space="preserve"> summarises the adverse events from the three placebo-controlled clinical trials that occurred with a frequency of ≥ 1% in the febuxostat, placebo and allopurinol groups.</w:t>
      </w:r>
    </w:p>
    <w:p w:rsidR="009E3481" w:rsidRDefault="00CC5E9F">
      <w:pPr>
        <w:pStyle w:val="TextPI"/>
        <w:rPr>
          <w:b/>
          <w:sz w:val="20"/>
          <w:szCs w:val="20"/>
        </w:rPr>
      </w:pPr>
      <w:r>
        <w:rPr>
          <w:b/>
          <w:sz w:val="20"/>
          <w:szCs w:val="20"/>
        </w:rPr>
        <w:t>Table 4: Adverse effects (% Patients) in Phase III Clinical Trials</w:t>
      </w:r>
    </w:p>
    <w:tbl>
      <w:tblPr>
        <w:tblStyle w:val="TableGrid"/>
        <w:tblW w:w="7836" w:type="dxa"/>
        <w:tblLook w:val="04A0" w:firstRow="1" w:lastRow="0" w:firstColumn="1" w:lastColumn="0" w:noHBand="0" w:noVBand="1"/>
      </w:tblPr>
      <w:tblGrid>
        <w:gridCol w:w="2500"/>
        <w:gridCol w:w="1239"/>
        <w:gridCol w:w="1278"/>
        <w:gridCol w:w="1417"/>
        <w:gridCol w:w="1402"/>
      </w:tblGrid>
      <w:tr w:rsidR="009E3481">
        <w:tc>
          <w:tcPr>
            <w:tcW w:w="2500" w:type="dxa"/>
          </w:tcPr>
          <w:p w:rsidR="009E3481" w:rsidRDefault="00CC5E9F">
            <w:pPr>
              <w:pStyle w:val="TextPI"/>
              <w:spacing w:before="0" w:after="0" w:line="240" w:lineRule="auto"/>
              <w:rPr>
                <w:b/>
              </w:rPr>
            </w:pPr>
            <w:r>
              <w:rPr>
                <w:b/>
              </w:rPr>
              <w:t>System Organ Class</w:t>
            </w:r>
          </w:p>
          <w:p w:rsidR="009E3481" w:rsidRDefault="00CC5E9F">
            <w:pPr>
              <w:pStyle w:val="TextPI"/>
              <w:spacing w:before="0" w:after="0" w:line="240" w:lineRule="auto"/>
            </w:pPr>
            <w:r>
              <w:t>Adverse Effect</w:t>
            </w:r>
          </w:p>
        </w:tc>
        <w:tc>
          <w:tcPr>
            <w:tcW w:w="1239" w:type="dxa"/>
          </w:tcPr>
          <w:p w:rsidR="009E3481" w:rsidRDefault="00CC5E9F">
            <w:pPr>
              <w:pStyle w:val="Default"/>
              <w:jc w:val="center"/>
              <w:rPr>
                <w:sz w:val="23"/>
                <w:szCs w:val="23"/>
              </w:rPr>
            </w:pPr>
            <w:r>
              <w:rPr>
                <w:sz w:val="23"/>
                <w:szCs w:val="23"/>
              </w:rPr>
              <w:t>Placebo</w:t>
            </w:r>
          </w:p>
          <w:p w:rsidR="009E3481" w:rsidRDefault="00CC5E9F">
            <w:pPr>
              <w:pStyle w:val="TextPI"/>
              <w:spacing w:before="0" w:after="0" w:line="240" w:lineRule="auto"/>
              <w:jc w:val="center"/>
            </w:pPr>
            <w:r>
              <w:rPr>
                <w:sz w:val="23"/>
                <w:szCs w:val="23"/>
              </w:rPr>
              <w:t>(N=134)</w:t>
            </w:r>
          </w:p>
        </w:tc>
        <w:tc>
          <w:tcPr>
            <w:tcW w:w="1278" w:type="dxa"/>
          </w:tcPr>
          <w:p w:rsidR="009E3481" w:rsidRDefault="00CC5E9F">
            <w:pPr>
              <w:pStyle w:val="Default"/>
              <w:jc w:val="center"/>
              <w:rPr>
                <w:sz w:val="23"/>
                <w:szCs w:val="23"/>
              </w:rPr>
            </w:pPr>
            <w:r>
              <w:rPr>
                <w:sz w:val="23"/>
                <w:szCs w:val="23"/>
              </w:rPr>
              <w:t>febuxostat 40 mg</w:t>
            </w:r>
          </w:p>
          <w:p w:rsidR="009E3481" w:rsidRDefault="00CC5E9F">
            <w:pPr>
              <w:pStyle w:val="Default"/>
              <w:jc w:val="center"/>
              <w:rPr>
                <w:sz w:val="23"/>
                <w:szCs w:val="23"/>
              </w:rPr>
            </w:pPr>
            <w:r>
              <w:rPr>
                <w:sz w:val="23"/>
                <w:szCs w:val="23"/>
              </w:rPr>
              <w:t>(N=757)</w:t>
            </w:r>
          </w:p>
        </w:tc>
        <w:tc>
          <w:tcPr>
            <w:tcW w:w="1417" w:type="dxa"/>
          </w:tcPr>
          <w:p w:rsidR="009E3481" w:rsidRDefault="00CC5E9F">
            <w:pPr>
              <w:pStyle w:val="Default"/>
              <w:jc w:val="center"/>
              <w:rPr>
                <w:sz w:val="23"/>
                <w:szCs w:val="23"/>
              </w:rPr>
            </w:pPr>
            <w:r>
              <w:rPr>
                <w:sz w:val="23"/>
                <w:szCs w:val="23"/>
              </w:rPr>
              <w:t>febuxostat 80 mg</w:t>
            </w:r>
          </w:p>
          <w:p w:rsidR="009E3481" w:rsidRDefault="00CC5E9F">
            <w:pPr>
              <w:pStyle w:val="TextPI"/>
              <w:spacing w:before="0" w:after="0" w:line="240" w:lineRule="auto"/>
              <w:jc w:val="center"/>
            </w:pPr>
            <w:r>
              <w:rPr>
                <w:sz w:val="23"/>
                <w:szCs w:val="23"/>
              </w:rPr>
              <w:t>(N=1279)</w:t>
            </w:r>
          </w:p>
        </w:tc>
        <w:tc>
          <w:tcPr>
            <w:tcW w:w="1402" w:type="dxa"/>
          </w:tcPr>
          <w:p w:rsidR="009E3481" w:rsidRDefault="00CC5E9F">
            <w:pPr>
              <w:pStyle w:val="Default"/>
              <w:jc w:val="center"/>
              <w:rPr>
                <w:sz w:val="23"/>
                <w:szCs w:val="23"/>
              </w:rPr>
            </w:pPr>
            <w:r>
              <w:rPr>
                <w:sz w:val="23"/>
                <w:szCs w:val="23"/>
              </w:rPr>
              <w:t>Allopurinol</w:t>
            </w:r>
          </w:p>
          <w:p w:rsidR="009E3481" w:rsidRDefault="00CC5E9F">
            <w:pPr>
              <w:pStyle w:val="Default"/>
              <w:jc w:val="center"/>
              <w:rPr>
                <w:sz w:val="23"/>
                <w:szCs w:val="23"/>
              </w:rPr>
            </w:pPr>
            <w:r>
              <w:rPr>
                <w:sz w:val="23"/>
                <w:szCs w:val="23"/>
              </w:rPr>
              <w:t>(N=1277)</w:t>
            </w:r>
          </w:p>
        </w:tc>
      </w:tr>
      <w:tr w:rsidR="009E3481">
        <w:tc>
          <w:tcPr>
            <w:tcW w:w="2500" w:type="dxa"/>
          </w:tcPr>
          <w:p w:rsidR="009E3481" w:rsidRDefault="00CC5E9F">
            <w:pPr>
              <w:pStyle w:val="TextPI"/>
              <w:spacing w:before="0" w:after="0" w:line="240" w:lineRule="auto"/>
              <w:jc w:val="left"/>
              <w:rPr>
                <w:rFonts w:cs="Arial"/>
                <w:b/>
              </w:rPr>
            </w:pPr>
            <w:r>
              <w:rPr>
                <w:rFonts w:cs="Arial"/>
                <w:b/>
              </w:rPr>
              <w:t>Metabolism and nutrition disorders</w:t>
            </w:r>
          </w:p>
          <w:p w:rsidR="009E3481" w:rsidRDefault="00CC5E9F">
            <w:pPr>
              <w:pStyle w:val="TextPI"/>
              <w:spacing w:before="0" w:after="0" w:line="240" w:lineRule="auto"/>
              <w:jc w:val="left"/>
            </w:pPr>
            <w:r>
              <w:rPr>
                <w:rFonts w:cs="Arial"/>
              </w:rPr>
              <w:t>Gout flares*</w:t>
            </w:r>
          </w:p>
        </w:tc>
        <w:tc>
          <w:tcPr>
            <w:tcW w:w="1239" w:type="dxa"/>
          </w:tcPr>
          <w:p w:rsidR="009E3481" w:rsidRDefault="00CC5E9F">
            <w:pPr>
              <w:pStyle w:val="TextPI"/>
              <w:spacing w:before="0" w:after="0" w:line="240" w:lineRule="auto"/>
              <w:jc w:val="center"/>
            </w:pPr>
            <w:r>
              <w:t>55.2%</w:t>
            </w:r>
          </w:p>
        </w:tc>
        <w:tc>
          <w:tcPr>
            <w:tcW w:w="1278" w:type="dxa"/>
          </w:tcPr>
          <w:p w:rsidR="009E3481" w:rsidRDefault="00CC5E9F">
            <w:pPr>
              <w:pStyle w:val="TextPI"/>
              <w:spacing w:before="0" w:after="0" w:line="240" w:lineRule="auto"/>
              <w:jc w:val="center"/>
            </w:pPr>
            <w:r>
              <w:t>31.3%</w:t>
            </w:r>
          </w:p>
        </w:tc>
        <w:tc>
          <w:tcPr>
            <w:tcW w:w="1417" w:type="dxa"/>
          </w:tcPr>
          <w:p w:rsidR="009E3481" w:rsidRDefault="00CC5E9F">
            <w:pPr>
              <w:pStyle w:val="TextPI"/>
              <w:spacing w:before="0" w:after="0" w:line="240" w:lineRule="auto"/>
              <w:jc w:val="center"/>
            </w:pPr>
            <w:r>
              <w:t>43.1%</w:t>
            </w:r>
          </w:p>
        </w:tc>
        <w:tc>
          <w:tcPr>
            <w:tcW w:w="1402" w:type="dxa"/>
          </w:tcPr>
          <w:p w:rsidR="009E3481" w:rsidRDefault="00CC5E9F">
            <w:pPr>
              <w:pStyle w:val="TextPI"/>
              <w:spacing w:before="0" w:after="0" w:line="240" w:lineRule="auto"/>
              <w:jc w:val="center"/>
            </w:pPr>
            <w:r>
              <w:t>38.2%</w:t>
            </w:r>
          </w:p>
        </w:tc>
      </w:tr>
      <w:tr w:rsidR="009E3481">
        <w:tc>
          <w:tcPr>
            <w:tcW w:w="2500" w:type="dxa"/>
          </w:tcPr>
          <w:p w:rsidR="009E3481" w:rsidRDefault="00CC5E9F">
            <w:pPr>
              <w:pStyle w:val="TextPI"/>
              <w:spacing w:before="0" w:after="0" w:line="240" w:lineRule="auto"/>
              <w:jc w:val="left"/>
              <w:rPr>
                <w:rFonts w:cs="Arial"/>
                <w:b/>
              </w:rPr>
            </w:pPr>
            <w:r>
              <w:rPr>
                <w:rFonts w:cs="Arial"/>
                <w:b/>
              </w:rPr>
              <w:t>Nervous system disorders</w:t>
            </w:r>
          </w:p>
          <w:p w:rsidR="009E3481" w:rsidRDefault="00CC5E9F">
            <w:pPr>
              <w:pStyle w:val="TextPI"/>
              <w:spacing w:before="0" w:after="0" w:line="240" w:lineRule="auto"/>
              <w:jc w:val="left"/>
            </w:pPr>
            <w:r>
              <w:rPr>
                <w:rFonts w:cs="Arial"/>
              </w:rPr>
              <w:t>Headaches</w:t>
            </w:r>
          </w:p>
        </w:tc>
        <w:tc>
          <w:tcPr>
            <w:tcW w:w="1239" w:type="dxa"/>
          </w:tcPr>
          <w:p w:rsidR="009E3481" w:rsidRDefault="00CC5E9F">
            <w:pPr>
              <w:pStyle w:val="TextPI"/>
              <w:spacing w:before="0" w:after="0" w:line="240" w:lineRule="auto"/>
              <w:jc w:val="center"/>
            </w:pPr>
            <w:r>
              <w:t>5.2%</w:t>
            </w:r>
          </w:p>
        </w:tc>
        <w:tc>
          <w:tcPr>
            <w:tcW w:w="1278" w:type="dxa"/>
          </w:tcPr>
          <w:p w:rsidR="009E3481" w:rsidRDefault="00CC5E9F">
            <w:pPr>
              <w:pStyle w:val="TextPI"/>
              <w:spacing w:before="0" w:after="0" w:line="240" w:lineRule="auto"/>
              <w:jc w:val="center"/>
            </w:pPr>
            <w:r>
              <w:t>2.8%</w:t>
            </w:r>
          </w:p>
        </w:tc>
        <w:tc>
          <w:tcPr>
            <w:tcW w:w="1417" w:type="dxa"/>
          </w:tcPr>
          <w:p w:rsidR="009E3481" w:rsidRDefault="00CC5E9F">
            <w:pPr>
              <w:pStyle w:val="TextPI"/>
              <w:spacing w:before="0" w:after="0" w:line="240" w:lineRule="auto"/>
              <w:jc w:val="center"/>
            </w:pPr>
            <w:r>
              <w:t>4.1%</w:t>
            </w:r>
          </w:p>
        </w:tc>
        <w:tc>
          <w:tcPr>
            <w:tcW w:w="1402" w:type="dxa"/>
          </w:tcPr>
          <w:p w:rsidR="009E3481" w:rsidRDefault="00CC5E9F">
            <w:pPr>
              <w:pStyle w:val="TextPI"/>
              <w:spacing w:before="0" w:after="0" w:line="240" w:lineRule="auto"/>
              <w:jc w:val="center"/>
            </w:pPr>
            <w:r>
              <w:t>4.9%</w:t>
            </w:r>
          </w:p>
        </w:tc>
      </w:tr>
      <w:tr w:rsidR="009E3481">
        <w:tc>
          <w:tcPr>
            <w:tcW w:w="2500" w:type="dxa"/>
          </w:tcPr>
          <w:p w:rsidR="009E3481" w:rsidRDefault="00CC5E9F">
            <w:pPr>
              <w:pStyle w:val="TextPI"/>
              <w:spacing w:before="0" w:after="0" w:line="240" w:lineRule="auto"/>
              <w:jc w:val="left"/>
              <w:rPr>
                <w:rFonts w:cs="Arial"/>
                <w:b/>
              </w:rPr>
            </w:pPr>
            <w:r>
              <w:rPr>
                <w:rFonts w:cs="Arial"/>
                <w:b/>
              </w:rPr>
              <w:t>Gastrointestinal disorders</w:t>
            </w:r>
          </w:p>
          <w:p w:rsidR="009E3481" w:rsidRDefault="00CC5E9F">
            <w:pPr>
              <w:pStyle w:val="BodyText2"/>
              <w:rPr>
                <w:rFonts w:ascii="Arial" w:hAnsi="Arial" w:cs="Arial"/>
                <w:sz w:val="22"/>
                <w:szCs w:val="22"/>
              </w:rPr>
            </w:pPr>
            <w:r>
              <w:rPr>
                <w:rFonts w:ascii="Arial" w:hAnsi="Arial" w:cs="Arial"/>
                <w:sz w:val="22"/>
                <w:szCs w:val="22"/>
              </w:rPr>
              <w:t>Diarrhoea**</w:t>
            </w:r>
          </w:p>
          <w:p w:rsidR="009E3481" w:rsidRDefault="00CC5E9F">
            <w:pPr>
              <w:pStyle w:val="BodyText2"/>
              <w:rPr>
                <w:rFonts w:ascii="Arial" w:hAnsi="Arial" w:cs="Arial"/>
                <w:sz w:val="22"/>
                <w:szCs w:val="22"/>
              </w:rPr>
            </w:pPr>
            <w:r>
              <w:rPr>
                <w:rFonts w:ascii="Arial" w:hAnsi="Arial" w:cs="Arial"/>
                <w:sz w:val="22"/>
                <w:szCs w:val="22"/>
              </w:rPr>
              <w:t>Nausea</w:t>
            </w:r>
          </w:p>
        </w:tc>
        <w:tc>
          <w:tcPr>
            <w:tcW w:w="1239" w:type="dxa"/>
          </w:tcPr>
          <w:p w:rsidR="009E3481" w:rsidRDefault="00CC5E9F">
            <w:pPr>
              <w:pStyle w:val="TextPI"/>
              <w:spacing w:before="0" w:after="0" w:line="240" w:lineRule="auto"/>
              <w:jc w:val="center"/>
            </w:pPr>
            <w:r>
              <w:t>9.0%</w:t>
            </w:r>
          </w:p>
          <w:p w:rsidR="009E3481" w:rsidRDefault="00CC5E9F">
            <w:pPr>
              <w:pStyle w:val="TextPI"/>
              <w:spacing w:before="0" w:after="0" w:line="240" w:lineRule="auto"/>
              <w:jc w:val="center"/>
            </w:pPr>
            <w:r>
              <w:t>2.2%</w:t>
            </w:r>
          </w:p>
        </w:tc>
        <w:tc>
          <w:tcPr>
            <w:tcW w:w="1278" w:type="dxa"/>
          </w:tcPr>
          <w:p w:rsidR="009E3481" w:rsidRDefault="00CC5E9F">
            <w:pPr>
              <w:pStyle w:val="TextPI"/>
              <w:spacing w:before="0" w:after="0" w:line="240" w:lineRule="auto"/>
              <w:jc w:val="center"/>
            </w:pPr>
            <w:r>
              <w:t>5.9%</w:t>
            </w:r>
          </w:p>
          <w:p w:rsidR="009E3481" w:rsidRDefault="00CC5E9F">
            <w:pPr>
              <w:pStyle w:val="TextPI"/>
              <w:spacing w:before="0" w:after="0" w:line="240" w:lineRule="auto"/>
              <w:jc w:val="center"/>
            </w:pPr>
            <w:r>
              <w:t>2.6%</w:t>
            </w:r>
          </w:p>
        </w:tc>
        <w:tc>
          <w:tcPr>
            <w:tcW w:w="1417" w:type="dxa"/>
          </w:tcPr>
          <w:p w:rsidR="009E3481" w:rsidRDefault="00CC5E9F">
            <w:pPr>
              <w:pStyle w:val="TextPI"/>
              <w:spacing w:before="0" w:after="0" w:line="240" w:lineRule="auto"/>
              <w:jc w:val="center"/>
            </w:pPr>
            <w:r>
              <w:t>7.3%</w:t>
            </w:r>
          </w:p>
          <w:p w:rsidR="009E3481" w:rsidRDefault="00CC5E9F">
            <w:pPr>
              <w:pStyle w:val="TextPI"/>
              <w:spacing w:before="0" w:after="0" w:line="240" w:lineRule="auto"/>
              <w:jc w:val="center"/>
            </w:pPr>
            <w:r>
              <w:t>3.0%</w:t>
            </w:r>
          </w:p>
        </w:tc>
        <w:tc>
          <w:tcPr>
            <w:tcW w:w="1402" w:type="dxa"/>
          </w:tcPr>
          <w:p w:rsidR="009E3481" w:rsidRDefault="00CC5E9F">
            <w:pPr>
              <w:pStyle w:val="TextPI"/>
              <w:spacing w:before="0" w:after="0" w:line="240" w:lineRule="auto"/>
              <w:jc w:val="center"/>
            </w:pPr>
            <w:r>
              <w:t>7.1%</w:t>
            </w:r>
          </w:p>
          <w:p w:rsidR="009E3481" w:rsidRDefault="00CC5E9F">
            <w:pPr>
              <w:pStyle w:val="TextPI"/>
              <w:spacing w:before="0" w:after="0" w:line="240" w:lineRule="auto"/>
              <w:jc w:val="center"/>
            </w:pPr>
            <w:r>
              <w:t>1.6%</w:t>
            </w:r>
          </w:p>
        </w:tc>
      </w:tr>
      <w:tr w:rsidR="009E3481">
        <w:tc>
          <w:tcPr>
            <w:tcW w:w="2500" w:type="dxa"/>
          </w:tcPr>
          <w:p w:rsidR="009E3481" w:rsidRDefault="00CC5E9F">
            <w:pPr>
              <w:pStyle w:val="TextPI"/>
              <w:spacing w:before="0" w:after="0" w:line="240" w:lineRule="auto"/>
              <w:jc w:val="left"/>
              <w:rPr>
                <w:rFonts w:cs="Arial"/>
                <w:b/>
              </w:rPr>
            </w:pPr>
            <w:r>
              <w:rPr>
                <w:rFonts w:cs="Arial"/>
                <w:b/>
              </w:rPr>
              <w:t>Hepato-biliary disorders</w:t>
            </w:r>
          </w:p>
          <w:p w:rsidR="009E3481" w:rsidRDefault="00CC5E9F">
            <w:pPr>
              <w:pStyle w:val="BodyText2"/>
              <w:rPr>
                <w:rFonts w:ascii="Arial" w:hAnsi="Arial" w:cs="Arial"/>
                <w:sz w:val="22"/>
                <w:szCs w:val="22"/>
              </w:rPr>
            </w:pPr>
            <w:r>
              <w:rPr>
                <w:rFonts w:ascii="Arial" w:hAnsi="Arial" w:cs="Arial"/>
                <w:sz w:val="22"/>
                <w:szCs w:val="22"/>
              </w:rPr>
              <w:t>Liver function abnormalities**</w:t>
            </w:r>
          </w:p>
        </w:tc>
        <w:tc>
          <w:tcPr>
            <w:tcW w:w="1239" w:type="dxa"/>
          </w:tcPr>
          <w:p w:rsidR="009E3481" w:rsidRDefault="00CC5E9F">
            <w:pPr>
              <w:pStyle w:val="TextPI"/>
              <w:spacing w:before="0" w:after="0" w:line="240" w:lineRule="auto"/>
              <w:jc w:val="center"/>
            </w:pPr>
            <w:r>
              <w:t>2.2%</w:t>
            </w:r>
          </w:p>
        </w:tc>
        <w:tc>
          <w:tcPr>
            <w:tcW w:w="1278" w:type="dxa"/>
          </w:tcPr>
          <w:p w:rsidR="009E3481" w:rsidRDefault="00CC5E9F">
            <w:pPr>
              <w:pStyle w:val="TextPI"/>
              <w:spacing w:before="0" w:after="0" w:line="240" w:lineRule="auto"/>
              <w:jc w:val="center"/>
            </w:pPr>
            <w:r>
              <w:t>8.3%</w:t>
            </w:r>
          </w:p>
        </w:tc>
        <w:tc>
          <w:tcPr>
            <w:tcW w:w="1417" w:type="dxa"/>
          </w:tcPr>
          <w:p w:rsidR="009E3481" w:rsidRDefault="00CC5E9F">
            <w:pPr>
              <w:pStyle w:val="TextPI"/>
              <w:spacing w:before="0" w:after="0" w:line="240" w:lineRule="auto"/>
              <w:jc w:val="center"/>
            </w:pPr>
            <w:r>
              <w:t>6.4%</w:t>
            </w:r>
          </w:p>
        </w:tc>
        <w:tc>
          <w:tcPr>
            <w:tcW w:w="1402" w:type="dxa"/>
          </w:tcPr>
          <w:p w:rsidR="009E3481" w:rsidRDefault="00CC5E9F">
            <w:pPr>
              <w:pStyle w:val="TextPI"/>
              <w:spacing w:before="0" w:after="0" w:line="240" w:lineRule="auto"/>
              <w:jc w:val="center"/>
            </w:pPr>
            <w:r>
              <w:t>6.0%</w:t>
            </w:r>
          </w:p>
        </w:tc>
      </w:tr>
      <w:tr w:rsidR="009E3481">
        <w:tc>
          <w:tcPr>
            <w:tcW w:w="2500" w:type="dxa"/>
          </w:tcPr>
          <w:p w:rsidR="009E3481" w:rsidRDefault="00CC5E9F">
            <w:pPr>
              <w:pStyle w:val="TextPI"/>
              <w:spacing w:before="0" w:after="0" w:line="240" w:lineRule="auto"/>
              <w:jc w:val="left"/>
              <w:rPr>
                <w:rFonts w:cs="Arial"/>
              </w:rPr>
            </w:pPr>
            <w:r>
              <w:rPr>
                <w:rFonts w:cs="Arial"/>
                <w:b/>
              </w:rPr>
              <w:t>Skin and subcutaneous</w:t>
            </w:r>
            <w:r>
              <w:rPr>
                <w:rFonts w:cs="Arial"/>
              </w:rPr>
              <w:t xml:space="preserve"> </w:t>
            </w:r>
            <w:r>
              <w:rPr>
                <w:rFonts w:cs="Arial"/>
                <w:b/>
              </w:rPr>
              <w:t>tissue disorders</w:t>
            </w:r>
          </w:p>
          <w:p w:rsidR="009E3481" w:rsidRDefault="00CC5E9F">
            <w:pPr>
              <w:pStyle w:val="TextPI"/>
              <w:spacing w:before="0" w:after="0" w:line="240" w:lineRule="auto"/>
              <w:jc w:val="left"/>
            </w:pPr>
            <w:r>
              <w:rPr>
                <w:rFonts w:cs="Arial"/>
              </w:rPr>
              <w:t>Rash</w:t>
            </w:r>
          </w:p>
        </w:tc>
        <w:tc>
          <w:tcPr>
            <w:tcW w:w="1239" w:type="dxa"/>
          </w:tcPr>
          <w:p w:rsidR="009E3481" w:rsidRDefault="00CC5E9F">
            <w:pPr>
              <w:pStyle w:val="TextPI"/>
              <w:spacing w:before="0" w:after="0" w:line="240" w:lineRule="auto"/>
              <w:jc w:val="center"/>
            </w:pPr>
            <w:r>
              <w:t>2.2%</w:t>
            </w:r>
          </w:p>
        </w:tc>
        <w:tc>
          <w:tcPr>
            <w:tcW w:w="1278" w:type="dxa"/>
          </w:tcPr>
          <w:p w:rsidR="009E3481" w:rsidRDefault="00CC5E9F">
            <w:pPr>
              <w:pStyle w:val="TextPI"/>
              <w:spacing w:before="0" w:after="0" w:line="240" w:lineRule="auto"/>
              <w:jc w:val="center"/>
            </w:pPr>
            <w:r>
              <w:t>1.7%</w:t>
            </w:r>
          </w:p>
        </w:tc>
        <w:tc>
          <w:tcPr>
            <w:tcW w:w="1417" w:type="dxa"/>
          </w:tcPr>
          <w:p w:rsidR="009E3481" w:rsidRDefault="00CC5E9F">
            <w:pPr>
              <w:pStyle w:val="TextPI"/>
              <w:spacing w:before="0" w:after="0" w:line="240" w:lineRule="auto"/>
              <w:jc w:val="center"/>
            </w:pPr>
            <w:r>
              <w:t>2.0%</w:t>
            </w:r>
          </w:p>
        </w:tc>
        <w:tc>
          <w:tcPr>
            <w:tcW w:w="1402" w:type="dxa"/>
          </w:tcPr>
          <w:p w:rsidR="009E3481" w:rsidRDefault="00CC5E9F">
            <w:pPr>
              <w:pStyle w:val="TextPI"/>
              <w:spacing w:before="0" w:after="0" w:line="240" w:lineRule="auto"/>
              <w:jc w:val="center"/>
            </w:pPr>
            <w:r>
              <w:t>1.3%</w:t>
            </w:r>
          </w:p>
        </w:tc>
      </w:tr>
      <w:tr w:rsidR="009E3481">
        <w:tc>
          <w:tcPr>
            <w:tcW w:w="2500" w:type="dxa"/>
          </w:tcPr>
          <w:p w:rsidR="009E3481" w:rsidRDefault="00CC5E9F">
            <w:pPr>
              <w:pStyle w:val="TextPI"/>
              <w:spacing w:before="0" w:after="0" w:line="240" w:lineRule="auto"/>
              <w:jc w:val="left"/>
              <w:rPr>
                <w:rFonts w:cs="Arial"/>
                <w:b/>
              </w:rPr>
            </w:pPr>
            <w:r>
              <w:rPr>
                <w:rFonts w:cs="Arial"/>
                <w:b/>
              </w:rPr>
              <w:t>General disorders and administration site conditions</w:t>
            </w:r>
          </w:p>
          <w:p w:rsidR="009E3481" w:rsidRDefault="00CC5E9F">
            <w:pPr>
              <w:pStyle w:val="TextPI"/>
              <w:spacing w:before="0" w:after="0" w:line="240" w:lineRule="auto"/>
              <w:jc w:val="left"/>
            </w:pPr>
            <w:r>
              <w:rPr>
                <w:rFonts w:cs="Arial"/>
              </w:rPr>
              <w:t>Oedema</w:t>
            </w:r>
          </w:p>
        </w:tc>
        <w:tc>
          <w:tcPr>
            <w:tcW w:w="1239" w:type="dxa"/>
          </w:tcPr>
          <w:p w:rsidR="009E3481" w:rsidRDefault="00CC5E9F">
            <w:pPr>
              <w:pStyle w:val="TextPI"/>
              <w:spacing w:before="0" w:after="0" w:line="240" w:lineRule="auto"/>
              <w:jc w:val="center"/>
            </w:pPr>
            <w:r>
              <w:t>0.7%</w:t>
            </w:r>
          </w:p>
        </w:tc>
        <w:tc>
          <w:tcPr>
            <w:tcW w:w="1278" w:type="dxa"/>
          </w:tcPr>
          <w:p w:rsidR="009E3481" w:rsidRDefault="00CC5E9F">
            <w:pPr>
              <w:pStyle w:val="TextPI"/>
              <w:spacing w:before="0" w:after="0" w:line="240" w:lineRule="auto"/>
              <w:jc w:val="center"/>
            </w:pPr>
            <w:r>
              <w:t>1.3%</w:t>
            </w:r>
          </w:p>
        </w:tc>
        <w:tc>
          <w:tcPr>
            <w:tcW w:w="1417" w:type="dxa"/>
          </w:tcPr>
          <w:p w:rsidR="009E3481" w:rsidRDefault="00CC5E9F">
            <w:pPr>
              <w:pStyle w:val="TextPI"/>
              <w:spacing w:before="0" w:after="0" w:line="240" w:lineRule="auto"/>
              <w:jc w:val="center"/>
            </w:pPr>
            <w:r>
              <w:t>2.7%</w:t>
            </w:r>
          </w:p>
        </w:tc>
        <w:tc>
          <w:tcPr>
            <w:tcW w:w="1402" w:type="dxa"/>
          </w:tcPr>
          <w:p w:rsidR="009E3481" w:rsidRDefault="00CC5E9F">
            <w:pPr>
              <w:pStyle w:val="TextPI"/>
              <w:spacing w:before="0" w:after="0" w:line="240" w:lineRule="auto"/>
              <w:jc w:val="center"/>
            </w:pPr>
            <w:r>
              <w:t>2.5%</w:t>
            </w:r>
          </w:p>
        </w:tc>
      </w:tr>
    </w:tbl>
    <w:p w:rsidR="009E3481" w:rsidRDefault="00CC5E9F">
      <w:pPr>
        <w:pStyle w:val="TextPI"/>
        <w:spacing w:before="0" w:after="0" w:line="240" w:lineRule="auto"/>
        <w:rPr>
          <w:sz w:val="18"/>
          <w:szCs w:val="18"/>
        </w:rPr>
      </w:pPr>
      <w:r>
        <w:rPr>
          <w:sz w:val="18"/>
          <w:szCs w:val="18"/>
        </w:rPr>
        <w:t xml:space="preserve">* See </w:t>
      </w:r>
      <w:r w:rsidR="00967543">
        <w:rPr>
          <w:sz w:val="18"/>
          <w:szCs w:val="18"/>
        </w:rPr>
        <w:t xml:space="preserve">Clinical Trials </w:t>
      </w:r>
      <w:r>
        <w:rPr>
          <w:sz w:val="18"/>
          <w:szCs w:val="18"/>
        </w:rPr>
        <w:t>for incidences of gout flares in the individual Phase 3 randomized controlled studies.</w:t>
      </w:r>
    </w:p>
    <w:p w:rsidR="009E3481" w:rsidRDefault="00CC5E9F">
      <w:pPr>
        <w:pStyle w:val="TextPI"/>
        <w:spacing w:before="0" w:after="0" w:line="240" w:lineRule="auto"/>
        <w:rPr>
          <w:sz w:val="18"/>
          <w:szCs w:val="18"/>
        </w:rPr>
      </w:pPr>
      <w:r>
        <w:rPr>
          <w:sz w:val="18"/>
          <w:szCs w:val="18"/>
        </w:rPr>
        <w:t>** Treatment-emergent non-infective diarrhoea and abnormal liver function tests in the combined Phase 3 studies are more frequent in patients concomitantly treated with colchicine.</w:t>
      </w:r>
    </w:p>
    <w:p w:rsidR="009E3481" w:rsidRDefault="00CC5E9F">
      <w:pPr>
        <w:pStyle w:val="TextPI"/>
      </w:pPr>
      <w:r>
        <w:t>The most common adverse reaction leading to discontinuation from therapy was liver function abnormalities in 1.8% of febuxostat 40 mg, 1.2% of febuxostat 80mg and in 0.9% of allopurinol-treated subjects.</w:t>
      </w:r>
    </w:p>
    <w:p w:rsidR="009E3481" w:rsidRDefault="00CC5E9F">
      <w:pPr>
        <w:pStyle w:val="TextPI"/>
      </w:pPr>
      <w:r>
        <w:lastRenderedPageBreak/>
        <w:t>Tabulated list of adverse reactions:</w:t>
      </w:r>
    </w:p>
    <w:p w:rsidR="009E3481" w:rsidRDefault="00CC5E9F">
      <w:pPr>
        <w:pStyle w:val="TextPI"/>
      </w:pPr>
      <w:r>
        <w:t>Uncommon (≥ 1/1,000 to &lt; 1/100) and rare (</w:t>
      </w:r>
      <w:r>
        <w:sym w:font="Symbol" w:char="F0B3"/>
      </w:r>
      <w:r>
        <w:t xml:space="preserve"> 1/10,000 to &lt; 1/1000) adverse reactions occurring in patients treated with febuxostat are listed in </w:t>
      </w:r>
      <w:r>
        <w:rPr>
          <w:b/>
        </w:rPr>
        <w:t>Tables 5</w:t>
      </w:r>
      <w:r>
        <w:t xml:space="preserve"> and </w:t>
      </w:r>
      <w:r>
        <w:rPr>
          <w:b/>
        </w:rPr>
        <w:t>6</w:t>
      </w:r>
      <w:r>
        <w:t xml:space="preserve"> below.</w:t>
      </w:r>
    </w:p>
    <w:p w:rsidR="009E3481" w:rsidRDefault="00CC5E9F">
      <w:pPr>
        <w:pStyle w:val="TextPI"/>
      </w:pPr>
      <w:r>
        <w:t>Within each frequency grouping, adverse reactions are presented in order of decreasing seriousness.</w:t>
      </w:r>
    </w:p>
    <w:p w:rsidR="009E3481" w:rsidRDefault="009E3481">
      <w:pPr>
        <w:pStyle w:val="TextPI"/>
        <w:keepNext/>
        <w:keepLines/>
        <w:spacing w:before="0" w:after="0"/>
        <w:ind w:left="1134" w:hanging="1134"/>
        <w:rPr>
          <w:b/>
          <w:bCs/>
        </w:rPr>
      </w:pPr>
    </w:p>
    <w:p w:rsidR="009E3481" w:rsidRDefault="00CC5E9F">
      <w:pPr>
        <w:pStyle w:val="TextPI"/>
        <w:keepNext/>
        <w:keepLines/>
        <w:spacing w:before="0" w:after="0"/>
        <w:ind w:left="1134" w:hanging="1134"/>
        <w:rPr>
          <w:b/>
          <w:bCs/>
        </w:rPr>
      </w:pPr>
      <w:r>
        <w:rPr>
          <w:b/>
          <w:bCs/>
        </w:rPr>
        <w:t>Table 5:</w:t>
      </w:r>
      <w:r w:rsidR="005A754D">
        <w:rPr>
          <w:b/>
          <w:bCs/>
        </w:rPr>
        <w:tab/>
        <w:t>Adverse reactions in combined P</w:t>
      </w:r>
      <w:r>
        <w:rPr>
          <w:b/>
          <w:bCs/>
        </w:rPr>
        <w:t xml:space="preserve">hase 3, long-term extension studies  </w:t>
      </w:r>
    </w:p>
    <w:p w:rsidR="009E3481" w:rsidRDefault="00CC5E9F">
      <w:pPr>
        <w:pStyle w:val="TextPI"/>
        <w:keepNext/>
        <w:keepLines/>
        <w:spacing w:before="0" w:after="0"/>
        <w:ind w:left="1134" w:hanging="12"/>
        <w:rPr>
          <w:b/>
          <w:bCs/>
        </w:rPr>
      </w:pPr>
      <w:r>
        <w:rPr>
          <w:b/>
          <w:bCs/>
        </w:rPr>
        <w:t xml:space="preserve">( </w:t>
      </w:r>
      <w:r>
        <w:rPr>
          <w:rFonts w:cs="Arial"/>
          <w:b/>
          <w:bCs/>
        </w:rPr>
        <w:t>≤</w:t>
      </w:r>
      <w:r>
        <w:rPr>
          <w:b/>
          <w:bCs/>
        </w:rPr>
        <w:t xml:space="preserve">  1%)</w:t>
      </w:r>
    </w:p>
    <w:p w:rsidR="009E3481" w:rsidRDefault="009E3481">
      <w:pPr>
        <w:pStyle w:val="TextPI"/>
        <w:keepNext/>
        <w:keepLines/>
        <w:spacing w:before="0" w:after="0"/>
        <w:ind w:left="1134" w:hanging="12"/>
        <w:rPr>
          <w:b/>
          <w:bC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6237"/>
      </w:tblGrid>
      <w:tr w:rsidR="009E3481">
        <w:tc>
          <w:tcPr>
            <w:tcW w:w="3085" w:type="dxa"/>
            <w:hideMark/>
          </w:tcPr>
          <w:p w:rsidR="009E3481" w:rsidRDefault="00CC5E9F">
            <w:pPr>
              <w:pStyle w:val="BodyText2"/>
              <w:keepNext/>
              <w:keepLines/>
              <w:rPr>
                <w:rFonts w:ascii="Arial" w:hAnsi="Arial" w:cs="Arial"/>
                <w:sz w:val="18"/>
                <w:szCs w:val="18"/>
              </w:rPr>
            </w:pPr>
            <w:r>
              <w:rPr>
                <w:rFonts w:ascii="Arial" w:hAnsi="Arial" w:cs="Arial"/>
                <w:sz w:val="18"/>
                <w:szCs w:val="18"/>
              </w:rPr>
              <w:t>Blood and lymphatic system disorders</w:t>
            </w:r>
          </w:p>
        </w:tc>
        <w:tc>
          <w:tcPr>
            <w:tcW w:w="6237" w:type="dxa"/>
            <w:hideMark/>
          </w:tcPr>
          <w:p w:rsidR="009E3481" w:rsidRDefault="00CC5E9F">
            <w:pPr>
              <w:pStyle w:val="BodyText2"/>
              <w:keepNext/>
              <w:keepLines/>
              <w:rPr>
                <w:rFonts w:ascii="Arial" w:hAnsi="Arial" w:cs="Arial"/>
                <w:sz w:val="18"/>
                <w:szCs w:val="18"/>
                <w:u w:val="single"/>
              </w:rPr>
            </w:pPr>
            <w:r>
              <w:rPr>
                <w:rFonts w:ascii="Arial" w:hAnsi="Arial" w:cs="Arial"/>
                <w:sz w:val="18"/>
                <w:szCs w:val="18"/>
                <w:u w:val="single"/>
              </w:rPr>
              <w:t>Rare</w:t>
            </w:r>
          </w:p>
          <w:p w:rsidR="009E3481" w:rsidRDefault="00CC5E9F">
            <w:pPr>
              <w:pStyle w:val="BodyText2"/>
              <w:keepNext/>
              <w:keepLines/>
              <w:rPr>
                <w:rFonts w:ascii="Arial" w:hAnsi="Arial" w:cs="Arial"/>
                <w:sz w:val="18"/>
                <w:szCs w:val="18"/>
              </w:rPr>
            </w:pPr>
            <w:r>
              <w:rPr>
                <w:rFonts w:ascii="Arial" w:hAnsi="Arial" w:cs="Arial"/>
                <w:sz w:val="18"/>
                <w:szCs w:val="18"/>
              </w:rPr>
              <w:t>Pancytopenia, thrombocytopenia</w:t>
            </w:r>
          </w:p>
        </w:tc>
      </w:tr>
      <w:tr w:rsidR="009E3481">
        <w:tc>
          <w:tcPr>
            <w:tcW w:w="3085" w:type="dxa"/>
            <w:hideMark/>
          </w:tcPr>
          <w:p w:rsidR="009E3481" w:rsidRDefault="00CC5E9F">
            <w:pPr>
              <w:pStyle w:val="BodyText2"/>
              <w:rPr>
                <w:rFonts w:ascii="Arial" w:hAnsi="Arial" w:cs="Arial"/>
                <w:sz w:val="18"/>
                <w:szCs w:val="18"/>
              </w:rPr>
            </w:pPr>
            <w:r>
              <w:rPr>
                <w:rFonts w:ascii="Arial" w:hAnsi="Arial" w:cs="Arial"/>
                <w:sz w:val="18"/>
                <w:szCs w:val="18"/>
              </w:rPr>
              <w:t>Endocrine disorders</w:t>
            </w:r>
          </w:p>
        </w:tc>
        <w:tc>
          <w:tcPr>
            <w:tcW w:w="6237" w:type="dxa"/>
            <w:hideMark/>
          </w:tcPr>
          <w:p w:rsidR="009E3481" w:rsidRDefault="00CC5E9F">
            <w:pPr>
              <w:pStyle w:val="BodyText2"/>
              <w:rPr>
                <w:rFonts w:ascii="Arial" w:hAnsi="Arial" w:cs="Arial"/>
                <w:sz w:val="18"/>
                <w:szCs w:val="18"/>
                <w:u w:val="single"/>
              </w:rPr>
            </w:pPr>
            <w:r>
              <w:rPr>
                <w:rFonts w:ascii="Arial" w:hAnsi="Arial" w:cs="Arial"/>
                <w:sz w:val="18"/>
                <w:szCs w:val="18"/>
                <w:u w:val="single"/>
              </w:rPr>
              <w:t>Uncommon</w:t>
            </w:r>
          </w:p>
          <w:p w:rsidR="009E3481" w:rsidRDefault="00CC5E9F">
            <w:pPr>
              <w:pStyle w:val="BodyText2"/>
              <w:rPr>
                <w:rFonts w:ascii="Arial" w:hAnsi="Arial" w:cs="Arial"/>
                <w:sz w:val="18"/>
                <w:szCs w:val="18"/>
              </w:rPr>
            </w:pPr>
            <w:r>
              <w:rPr>
                <w:rFonts w:ascii="Arial" w:hAnsi="Arial" w:cs="Arial"/>
                <w:sz w:val="18"/>
                <w:szCs w:val="18"/>
              </w:rPr>
              <w:t>Blood thyroid stimulating hormone increased</w:t>
            </w:r>
          </w:p>
        </w:tc>
      </w:tr>
      <w:tr w:rsidR="009E3481">
        <w:tc>
          <w:tcPr>
            <w:tcW w:w="3085" w:type="dxa"/>
            <w:hideMark/>
          </w:tcPr>
          <w:p w:rsidR="009E3481" w:rsidRDefault="00CC5E9F">
            <w:pPr>
              <w:pStyle w:val="BodyText2"/>
              <w:rPr>
                <w:rFonts w:ascii="Arial" w:hAnsi="Arial" w:cs="Arial"/>
                <w:sz w:val="18"/>
                <w:szCs w:val="18"/>
              </w:rPr>
            </w:pPr>
            <w:r>
              <w:rPr>
                <w:rFonts w:ascii="Arial" w:hAnsi="Arial" w:cs="Arial"/>
                <w:sz w:val="18"/>
                <w:szCs w:val="18"/>
              </w:rPr>
              <w:t>Eye disorders</w:t>
            </w:r>
          </w:p>
        </w:tc>
        <w:tc>
          <w:tcPr>
            <w:tcW w:w="6237" w:type="dxa"/>
            <w:hideMark/>
          </w:tcPr>
          <w:p w:rsidR="009E3481" w:rsidRDefault="00CC5E9F">
            <w:pPr>
              <w:pStyle w:val="BodyText2"/>
              <w:rPr>
                <w:rFonts w:ascii="Arial" w:hAnsi="Arial" w:cs="Arial"/>
                <w:sz w:val="18"/>
                <w:szCs w:val="18"/>
                <w:u w:val="single"/>
              </w:rPr>
            </w:pPr>
            <w:r>
              <w:rPr>
                <w:rFonts w:ascii="Arial" w:hAnsi="Arial" w:cs="Arial"/>
                <w:sz w:val="18"/>
                <w:szCs w:val="18"/>
                <w:u w:val="single"/>
              </w:rPr>
              <w:t>Rare</w:t>
            </w:r>
          </w:p>
          <w:p w:rsidR="009E3481" w:rsidRDefault="00CC5E9F">
            <w:pPr>
              <w:pStyle w:val="BodyText2"/>
              <w:rPr>
                <w:rFonts w:ascii="Arial" w:hAnsi="Arial" w:cs="Arial"/>
                <w:sz w:val="18"/>
                <w:szCs w:val="18"/>
              </w:rPr>
            </w:pPr>
            <w:r>
              <w:rPr>
                <w:rFonts w:ascii="Arial" w:hAnsi="Arial" w:cs="Arial"/>
                <w:sz w:val="18"/>
                <w:szCs w:val="18"/>
              </w:rPr>
              <w:t>Blurred vision</w:t>
            </w:r>
          </w:p>
        </w:tc>
      </w:tr>
      <w:tr w:rsidR="009E3481">
        <w:tc>
          <w:tcPr>
            <w:tcW w:w="3085" w:type="dxa"/>
            <w:hideMark/>
          </w:tcPr>
          <w:p w:rsidR="009E3481" w:rsidRDefault="00CC5E9F">
            <w:pPr>
              <w:pStyle w:val="BodyText2"/>
              <w:rPr>
                <w:rFonts w:ascii="Arial" w:hAnsi="Arial" w:cs="Arial"/>
                <w:sz w:val="18"/>
                <w:szCs w:val="18"/>
              </w:rPr>
            </w:pPr>
            <w:r>
              <w:rPr>
                <w:rFonts w:ascii="Arial" w:hAnsi="Arial" w:cs="Arial"/>
                <w:sz w:val="18"/>
                <w:szCs w:val="18"/>
              </w:rPr>
              <w:t>Metabolism and nutrition disorders</w:t>
            </w:r>
          </w:p>
        </w:tc>
        <w:tc>
          <w:tcPr>
            <w:tcW w:w="6237" w:type="dxa"/>
            <w:hideMark/>
          </w:tcPr>
          <w:p w:rsidR="009E3481" w:rsidRDefault="00CC5E9F">
            <w:pPr>
              <w:pStyle w:val="BodyText2"/>
              <w:rPr>
                <w:rFonts w:ascii="Arial" w:hAnsi="Arial" w:cs="Arial"/>
                <w:sz w:val="18"/>
                <w:szCs w:val="18"/>
                <w:u w:val="single"/>
              </w:rPr>
            </w:pPr>
            <w:r>
              <w:rPr>
                <w:rFonts w:ascii="Arial" w:hAnsi="Arial" w:cs="Arial"/>
                <w:sz w:val="18"/>
                <w:szCs w:val="18"/>
                <w:u w:val="single"/>
              </w:rPr>
              <w:t>Uncommon</w:t>
            </w:r>
          </w:p>
          <w:p w:rsidR="009E3481" w:rsidRDefault="00CC5E9F">
            <w:pPr>
              <w:pStyle w:val="BodyText2"/>
              <w:rPr>
                <w:rFonts w:ascii="Arial" w:hAnsi="Arial" w:cs="Arial"/>
                <w:sz w:val="18"/>
                <w:szCs w:val="18"/>
              </w:rPr>
            </w:pPr>
            <w:r>
              <w:rPr>
                <w:rFonts w:ascii="Arial" w:hAnsi="Arial" w:cs="Arial"/>
                <w:sz w:val="18"/>
                <w:szCs w:val="18"/>
              </w:rPr>
              <w:t>Diabetes mellitus, hyperlipidemia, decrease appetite, weight increase</w:t>
            </w:r>
          </w:p>
          <w:p w:rsidR="009E3481" w:rsidRDefault="00CC5E9F">
            <w:pPr>
              <w:pStyle w:val="BodyText2"/>
              <w:rPr>
                <w:rFonts w:ascii="Arial" w:hAnsi="Arial" w:cs="Arial"/>
                <w:sz w:val="18"/>
                <w:szCs w:val="18"/>
                <w:u w:val="single"/>
              </w:rPr>
            </w:pPr>
            <w:r>
              <w:rPr>
                <w:rFonts w:ascii="Arial" w:hAnsi="Arial" w:cs="Arial"/>
                <w:sz w:val="18"/>
                <w:szCs w:val="18"/>
                <w:u w:val="single"/>
              </w:rPr>
              <w:t>Rare</w:t>
            </w:r>
          </w:p>
          <w:p w:rsidR="009E3481" w:rsidRDefault="00CC5E9F">
            <w:pPr>
              <w:pStyle w:val="BodyText2"/>
              <w:rPr>
                <w:rFonts w:ascii="Arial" w:hAnsi="Arial" w:cs="Arial"/>
                <w:sz w:val="18"/>
                <w:szCs w:val="18"/>
              </w:rPr>
            </w:pPr>
            <w:r>
              <w:rPr>
                <w:rFonts w:ascii="Arial" w:hAnsi="Arial" w:cs="Arial"/>
                <w:sz w:val="18"/>
                <w:szCs w:val="18"/>
              </w:rPr>
              <w:t>Weight decrease, increase appetite, anorexia</w:t>
            </w:r>
          </w:p>
        </w:tc>
      </w:tr>
      <w:tr w:rsidR="009E3481">
        <w:tc>
          <w:tcPr>
            <w:tcW w:w="3085" w:type="dxa"/>
            <w:hideMark/>
          </w:tcPr>
          <w:p w:rsidR="009E3481" w:rsidRDefault="00CC5E9F">
            <w:pPr>
              <w:pStyle w:val="BodyText2"/>
              <w:rPr>
                <w:rFonts w:ascii="Arial" w:hAnsi="Arial" w:cs="Arial"/>
                <w:sz w:val="18"/>
                <w:szCs w:val="18"/>
              </w:rPr>
            </w:pPr>
            <w:r>
              <w:rPr>
                <w:rFonts w:ascii="Arial" w:hAnsi="Arial" w:cs="Arial"/>
                <w:sz w:val="18"/>
                <w:szCs w:val="18"/>
              </w:rPr>
              <w:t>Psychiatric disorders</w:t>
            </w:r>
          </w:p>
        </w:tc>
        <w:tc>
          <w:tcPr>
            <w:tcW w:w="6237" w:type="dxa"/>
            <w:hideMark/>
          </w:tcPr>
          <w:p w:rsidR="009E3481" w:rsidRDefault="00CC5E9F">
            <w:pPr>
              <w:pStyle w:val="BodyText2"/>
              <w:rPr>
                <w:rFonts w:ascii="Arial" w:hAnsi="Arial" w:cs="Arial"/>
                <w:sz w:val="18"/>
                <w:szCs w:val="18"/>
                <w:u w:val="single"/>
              </w:rPr>
            </w:pPr>
            <w:r>
              <w:rPr>
                <w:rFonts w:ascii="Arial" w:hAnsi="Arial" w:cs="Arial"/>
                <w:sz w:val="18"/>
                <w:szCs w:val="18"/>
                <w:u w:val="single"/>
              </w:rPr>
              <w:t>Uncommon</w:t>
            </w:r>
          </w:p>
          <w:p w:rsidR="009E3481" w:rsidRDefault="00CC5E9F">
            <w:pPr>
              <w:pStyle w:val="BodyText2"/>
              <w:rPr>
                <w:rFonts w:ascii="Arial" w:hAnsi="Arial" w:cs="Arial"/>
                <w:sz w:val="18"/>
                <w:szCs w:val="18"/>
              </w:rPr>
            </w:pPr>
            <w:r>
              <w:rPr>
                <w:rFonts w:ascii="Arial" w:hAnsi="Arial" w:cs="Arial"/>
                <w:sz w:val="18"/>
                <w:szCs w:val="18"/>
              </w:rPr>
              <w:t>Libido decreased, insomnia</w:t>
            </w:r>
          </w:p>
          <w:p w:rsidR="009E3481" w:rsidRDefault="00CC5E9F">
            <w:pPr>
              <w:pStyle w:val="BodyText2"/>
              <w:rPr>
                <w:rFonts w:ascii="Arial" w:hAnsi="Arial" w:cs="Arial"/>
                <w:sz w:val="18"/>
                <w:szCs w:val="18"/>
                <w:u w:val="single"/>
              </w:rPr>
            </w:pPr>
            <w:r>
              <w:rPr>
                <w:rFonts w:ascii="Arial" w:hAnsi="Arial" w:cs="Arial"/>
                <w:sz w:val="18"/>
                <w:szCs w:val="18"/>
                <w:u w:val="single"/>
              </w:rPr>
              <w:t>Rare</w:t>
            </w:r>
          </w:p>
          <w:p w:rsidR="009E3481" w:rsidRDefault="00CC5E9F">
            <w:pPr>
              <w:pStyle w:val="BodyText2"/>
              <w:rPr>
                <w:rFonts w:ascii="Arial" w:hAnsi="Arial" w:cs="Arial"/>
                <w:sz w:val="18"/>
                <w:szCs w:val="18"/>
              </w:rPr>
            </w:pPr>
            <w:r>
              <w:rPr>
                <w:rFonts w:ascii="Arial" w:hAnsi="Arial" w:cs="Arial"/>
                <w:sz w:val="18"/>
                <w:szCs w:val="18"/>
              </w:rPr>
              <w:t>Nervousness</w:t>
            </w:r>
          </w:p>
        </w:tc>
      </w:tr>
      <w:tr w:rsidR="009E3481">
        <w:tc>
          <w:tcPr>
            <w:tcW w:w="3085" w:type="dxa"/>
            <w:hideMark/>
          </w:tcPr>
          <w:p w:rsidR="009E3481" w:rsidRDefault="00CC5E9F">
            <w:pPr>
              <w:pStyle w:val="BodyText2"/>
              <w:rPr>
                <w:rFonts w:ascii="Arial" w:hAnsi="Arial" w:cs="Arial"/>
                <w:sz w:val="18"/>
                <w:szCs w:val="18"/>
              </w:rPr>
            </w:pPr>
            <w:r>
              <w:rPr>
                <w:rFonts w:ascii="Arial" w:hAnsi="Arial" w:cs="Arial"/>
                <w:sz w:val="18"/>
                <w:szCs w:val="18"/>
              </w:rPr>
              <w:t>Nervous system disorders</w:t>
            </w:r>
          </w:p>
        </w:tc>
        <w:tc>
          <w:tcPr>
            <w:tcW w:w="6237" w:type="dxa"/>
            <w:hideMark/>
          </w:tcPr>
          <w:p w:rsidR="009E3481" w:rsidRDefault="00CC5E9F">
            <w:pPr>
              <w:pStyle w:val="BodyText2"/>
              <w:rPr>
                <w:rFonts w:ascii="Arial" w:hAnsi="Arial" w:cs="Arial"/>
                <w:sz w:val="18"/>
                <w:szCs w:val="18"/>
                <w:u w:val="single"/>
              </w:rPr>
            </w:pPr>
            <w:r>
              <w:rPr>
                <w:rFonts w:ascii="Arial" w:hAnsi="Arial" w:cs="Arial"/>
                <w:sz w:val="18"/>
                <w:szCs w:val="18"/>
                <w:u w:val="single"/>
              </w:rPr>
              <w:t>Uncommon</w:t>
            </w:r>
          </w:p>
          <w:p w:rsidR="009E3481" w:rsidRDefault="00CC5E9F">
            <w:pPr>
              <w:pStyle w:val="BodyText2"/>
              <w:rPr>
                <w:rFonts w:ascii="Arial" w:hAnsi="Arial" w:cs="Arial"/>
                <w:sz w:val="18"/>
                <w:szCs w:val="18"/>
              </w:rPr>
            </w:pPr>
            <w:r>
              <w:rPr>
                <w:rFonts w:ascii="Arial" w:hAnsi="Arial" w:cs="Arial"/>
                <w:sz w:val="18"/>
                <w:szCs w:val="18"/>
              </w:rPr>
              <w:t>Dizziness, paraesthesia, hemiparesis, somnolence, altered taste, hypoaesthesia, hyposmia</w:t>
            </w:r>
          </w:p>
        </w:tc>
      </w:tr>
      <w:tr w:rsidR="009E3481">
        <w:tc>
          <w:tcPr>
            <w:tcW w:w="3085" w:type="dxa"/>
            <w:hideMark/>
          </w:tcPr>
          <w:p w:rsidR="009E3481" w:rsidRDefault="00CC5E9F">
            <w:pPr>
              <w:pStyle w:val="BodyText2"/>
              <w:rPr>
                <w:rFonts w:ascii="Arial" w:hAnsi="Arial" w:cs="Arial"/>
                <w:sz w:val="18"/>
                <w:szCs w:val="18"/>
              </w:rPr>
            </w:pPr>
            <w:r>
              <w:rPr>
                <w:rFonts w:ascii="Arial" w:hAnsi="Arial" w:cs="Arial"/>
                <w:sz w:val="18"/>
                <w:szCs w:val="18"/>
              </w:rPr>
              <w:t>Ear and labyrinth disorders</w:t>
            </w:r>
          </w:p>
        </w:tc>
        <w:tc>
          <w:tcPr>
            <w:tcW w:w="6237" w:type="dxa"/>
            <w:hideMark/>
          </w:tcPr>
          <w:p w:rsidR="009E3481" w:rsidRDefault="00CC5E9F">
            <w:pPr>
              <w:pStyle w:val="BodyText2"/>
              <w:rPr>
                <w:rFonts w:ascii="Arial" w:hAnsi="Arial" w:cs="Arial"/>
                <w:sz w:val="18"/>
                <w:szCs w:val="18"/>
                <w:u w:val="single"/>
              </w:rPr>
            </w:pPr>
            <w:r>
              <w:rPr>
                <w:rFonts w:ascii="Arial" w:hAnsi="Arial" w:cs="Arial"/>
                <w:sz w:val="18"/>
                <w:szCs w:val="18"/>
                <w:u w:val="single"/>
              </w:rPr>
              <w:t>Rare</w:t>
            </w:r>
          </w:p>
          <w:p w:rsidR="009E3481" w:rsidRDefault="00CC5E9F">
            <w:pPr>
              <w:pStyle w:val="BodyText2"/>
              <w:rPr>
                <w:rFonts w:ascii="Arial" w:hAnsi="Arial" w:cs="Arial"/>
                <w:sz w:val="18"/>
                <w:szCs w:val="18"/>
              </w:rPr>
            </w:pPr>
            <w:r>
              <w:rPr>
                <w:rFonts w:ascii="Arial" w:hAnsi="Arial" w:cs="Arial"/>
                <w:sz w:val="18"/>
                <w:szCs w:val="18"/>
              </w:rPr>
              <w:t>Tinnitus</w:t>
            </w:r>
          </w:p>
        </w:tc>
      </w:tr>
      <w:tr w:rsidR="009E3481">
        <w:tc>
          <w:tcPr>
            <w:tcW w:w="3085" w:type="dxa"/>
            <w:hideMark/>
          </w:tcPr>
          <w:p w:rsidR="009E3481" w:rsidRDefault="00CC5E9F">
            <w:pPr>
              <w:pStyle w:val="BodyText2"/>
              <w:rPr>
                <w:rFonts w:ascii="Arial" w:hAnsi="Arial" w:cs="Arial"/>
                <w:sz w:val="18"/>
                <w:szCs w:val="18"/>
              </w:rPr>
            </w:pPr>
            <w:r>
              <w:rPr>
                <w:rFonts w:ascii="Arial" w:hAnsi="Arial" w:cs="Arial"/>
                <w:sz w:val="18"/>
                <w:szCs w:val="18"/>
              </w:rPr>
              <w:t>Cardiac disorders</w:t>
            </w:r>
          </w:p>
        </w:tc>
        <w:tc>
          <w:tcPr>
            <w:tcW w:w="6237" w:type="dxa"/>
            <w:hideMark/>
          </w:tcPr>
          <w:p w:rsidR="009E3481" w:rsidRDefault="00CC5E9F">
            <w:pPr>
              <w:pStyle w:val="Body"/>
              <w:rPr>
                <w:rFonts w:ascii="Arial" w:hAnsi="Arial" w:cs="Arial"/>
                <w:sz w:val="18"/>
                <w:szCs w:val="18"/>
                <w:u w:val="single"/>
                <w:lang w:val="en-AU" w:eastAsia="en-AU"/>
              </w:rPr>
            </w:pPr>
            <w:r>
              <w:rPr>
                <w:rFonts w:ascii="Arial" w:hAnsi="Arial" w:cs="Arial"/>
                <w:sz w:val="18"/>
                <w:szCs w:val="18"/>
                <w:u w:val="single"/>
                <w:lang w:val="en-AU" w:eastAsia="en-AU"/>
              </w:rPr>
              <w:t>Uncommon</w:t>
            </w:r>
          </w:p>
          <w:p w:rsidR="009E3481" w:rsidRDefault="00CC5E9F">
            <w:pPr>
              <w:pStyle w:val="BodyText2"/>
              <w:rPr>
                <w:rFonts w:ascii="Arial" w:hAnsi="Arial" w:cs="Arial"/>
                <w:sz w:val="18"/>
                <w:szCs w:val="18"/>
              </w:rPr>
            </w:pPr>
            <w:r>
              <w:rPr>
                <w:rFonts w:ascii="Arial" w:hAnsi="Arial" w:cs="Arial"/>
                <w:sz w:val="18"/>
                <w:szCs w:val="18"/>
              </w:rPr>
              <w:t>Atrial fibrillation, palpitations, ECG abnormal</w:t>
            </w:r>
          </w:p>
        </w:tc>
      </w:tr>
      <w:tr w:rsidR="009E3481">
        <w:tc>
          <w:tcPr>
            <w:tcW w:w="3085" w:type="dxa"/>
            <w:hideMark/>
          </w:tcPr>
          <w:p w:rsidR="009E3481" w:rsidRDefault="00CC5E9F">
            <w:pPr>
              <w:pStyle w:val="BodyText2"/>
              <w:rPr>
                <w:rFonts w:ascii="Arial" w:hAnsi="Arial" w:cs="Arial"/>
                <w:sz w:val="18"/>
                <w:szCs w:val="18"/>
              </w:rPr>
            </w:pPr>
            <w:r>
              <w:rPr>
                <w:rFonts w:ascii="Arial" w:hAnsi="Arial" w:cs="Arial"/>
                <w:sz w:val="18"/>
                <w:szCs w:val="18"/>
              </w:rPr>
              <w:t>Vascular disorders</w:t>
            </w:r>
          </w:p>
        </w:tc>
        <w:tc>
          <w:tcPr>
            <w:tcW w:w="6237" w:type="dxa"/>
            <w:hideMark/>
          </w:tcPr>
          <w:p w:rsidR="009E3481" w:rsidRDefault="00CC5E9F">
            <w:pPr>
              <w:pStyle w:val="BodyText2"/>
              <w:rPr>
                <w:rFonts w:ascii="Arial" w:hAnsi="Arial" w:cs="Arial"/>
                <w:sz w:val="18"/>
                <w:szCs w:val="18"/>
                <w:u w:val="single"/>
              </w:rPr>
            </w:pPr>
            <w:r>
              <w:rPr>
                <w:rFonts w:ascii="Arial" w:hAnsi="Arial" w:cs="Arial"/>
                <w:sz w:val="18"/>
                <w:szCs w:val="18"/>
                <w:u w:val="single"/>
              </w:rPr>
              <w:t>Uncommon</w:t>
            </w:r>
          </w:p>
          <w:p w:rsidR="009E3481" w:rsidRDefault="00CC5E9F">
            <w:pPr>
              <w:pStyle w:val="BodyText2"/>
              <w:rPr>
                <w:rFonts w:ascii="Arial" w:hAnsi="Arial" w:cs="Arial"/>
                <w:sz w:val="18"/>
                <w:szCs w:val="18"/>
              </w:rPr>
            </w:pPr>
            <w:r>
              <w:rPr>
                <w:rFonts w:ascii="Arial" w:hAnsi="Arial" w:cs="Arial"/>
                <w:sz w:val="18"/>
                <w:szCs w:val="18"/>
              </w:rPr>
              <w:t>Hypertension, flushing, hot flush</w:t>
            </w:r>
          </w:p>
        </w:tc>
      </w:tr>
      <w:tr w:rsidR="009E3481">
        <w:tc>
          <w:tcPr>
            <w:tcW w:w="3085" w:type="dxa"/>
            <w:hideMark/>
          </w:tcPr>
          <w:p w:rsidR="009E3481" w:rsidRDefault="00CC5E9F">
            <w:pPr>
              <w:pStyle w:val="BodyText2"/>
              <w:rPr>
                <w:rFonts w:ascii="Arial" w:hAnsi="Arial" w:cs="Arial"/>
                <w:sz w:val="18"/>
                <w:szCs w:val="18"/>
              </w:rPr>
            </w:pPr>
            <w:r>
              <w:rPr>
                <w:rFonts w:ascii="Arial" w:hAnsi="Arial" w:cs="Arial"/>
                <w:sz w:val="18"/>
                <w:szCs w:val="18"/>
              </w:rPr>
              <w:t>Respiratory system disorders</w:t>
            </w:r>
          </w:p>
        </w:tc>
        <w:tc>
          <w:tcPr>
            <w:tcW w:w="6237" w:type="dxa"/>
            <w:hideMark/>
          </w:tcPr>
          <w:p w:rsidR="009E3481" w:rsidRDefault="00CC5E9F">
            <w:pPr>
              <w:pStyle w:val="BodyText2"/>
              <w:rPr>
                <w:rFonts w:ascii="Arial" w:hAnsi="Arial" w:cs="Arial"/>
                <w:sz w:val="18"/>
                <w:szCs w:val="18"/>
                <w:u w:val="single"/>
              </w:rPr>
            </w:pPr>
            <w:r>
              <w:rPr>
                <w:rFonts w:ascii="Arial" w:hAnsi="Arial" w:cs="Arial"/>
                <w:sz w:val="18"/>
                <w:szCs w:val="18"/>
                <w:u w:val="single"/>
              </w:rPr>
              <w:t>Uncommon</w:t>
            </w:r>
          </w:p>
          <w:p w:rsidR="009E3481" w:rsidRDefault="00CC5E9F">
            <w:pPr>
              <w:pStyle w:val="BodyText2"/>
              <w:rPr>
                <w:rFonts w:ascii="Arial" w:hAnsi="Arial" w:cs="Arial"/>
                <w:sz w:val="18"/>
                <w:szCs w:val="18"/>
              </w:rPr>
            </w:pPr>
            <w:r>
              <w:rPr>
                <w:rFonts w:ascii="Arial" w:hAnsi="Arial" w:cs="Arial"/>
                <w:sz w:val="18"/>
                <w:szCs w:val="18"/>
              </w:rPr>
              <w:t>Dyspnoea, bronchitis, upper respiratory tract infection, cough</w:t>
            </w:r>
          </w:p>
        </w:tc>
      </w:tr>
      <w:tr w:rsidR="009E3481">
        <w:tc>
          <w:tcPr>
            <w:tcW w:w="3085" w:type="dxa"/>
            <w:hideMark/>
          </w:tcPr>
          <w:p w:rsidR="009E3481" w:rsidRDefault="00CC5E9F">
            <w:pPr>
              <w:pStyle w:val="BodyText2"/>
              <w:rPr>
                <w:rFonts w:ascii="Arial" w:hAnsi="Arial" w:cs="Arial"/>
                <w:sz w:val="18"/>
                <w:szCs w:val="18"/>
              </w:rPr>
            </w:pPr>
            <w:r>
              <w:rPr>
                <w:rFonts w:ascii="Arial" w:hAnsi="Arial" w:cs="Arial"/>
                <w:sz w:val="18"/>
                <w:szCs w:val="18"/>
              </w:rPr>
              <w:t>Gastrointestinal disorders</w:t>
            </w:r>
          </w:p>
        </w:tc>
        <w:tc>
          <w:tcPr>
            <w:tcW w:w="6237" w:type="dxa"/>
            <w:hideMark/>
          </w:tcPr>
          <w:p w:rsidR="009E3481" w:rsidRDefault="00CC5E9F">
            <w:pPr>
              <w:pStyle w:val="BodyText2"/>
              <w:rPr>
                <w:rFonts w:ascii="Arial" w:hAnsi="Arial" w:cs="Arial"/>
                <w:sz w:val="18"/>
                <w:szCs w:val="18"/>
                <w:u w:val="single"/>
              </w:rPr>
            </w:pPr>
            <w:r>
              <w:rPr>
                <w:rFonts w:ascii="Arial" w:hAnsi="Arial" w:cs="Arial"/>
                <w:sz w:val="18"/>
                <w:szCs w:val="18"/>
                <w:u w:val="single"/>
              </w:rPr>
              <w:t>Uncommon</w:t>
            </w:r>
          </w:p>
          <w:p w:rsidR="009E3481" w:rsidRDefault="00CC5E9F">
            <w:pPr>
              <w:pStyle w:val="BodyText2"/>
              <w:rPr>
                <w:rFonts w:ascii="Arial" w:hAnsi="Arial" w:cs="Arial"/>
                <w:sz w:val="18"/>
                <w:szCs w:val="18"/>
              </w:rPr>
            </w:pPr>
            <w:r>
              <w:rPr>
                <w:rFonts w:ascii="Arial" w:hAnsi="Arial" w:cs="Arial"/>
                <w:sz w:val="18"/>
                <w:szCs w:val="18"/>
              </w:rPr>
              <w:t>Abdominal pain, abdominal distension, gastro-oesophageal reflux disease, vomiting, dry mouth, dyspepsia, constipation, frequent stools, flatulence, gastrointestinal discomfort</w:t>
            </w:r>
          </w:p>
          <w:p w:rsidR="009E3481" w:rsidRDefault="00CC5E9F">
            <w:pPr>
              <w:pStyle w:val="BodyText2"/>
              <w:rPr>
                <w:rFonts w:ascii="Arial" w:hAnsi="Arial" w:cs="Arial"/>
                <w:sz w:val="18"/>
                <w:szCs w:val="18"/>
                <w:u w:val="single"/>
              </w:rPr>
            </w:pPr>
            <w:r>
              <w:rPr>
                <w:rFonts w:ascii="Arial" w:hAnsi="Arial" w:cs="Arial"/>
                <w:sz w:val="18"/>
                <w:szCs w:val="18"/>
                <w:u w:val="single"/>
              </w:rPr>
              <w:t>Rare</w:t>
            </w:r>
          </w:p>
          <w:p w:rsidR="009E3481" w:rsidRDefault="00CC5E9F">
            <w:pPr>
              <w:pStyle w:val="BodyText2"/>
              <w:rPr>
                <w:rFonts w:ascii="Arial" w:hAnsi="Arial" w:cs="Arial"/>
                <w:sz w:val="18"/>
                <w:szCs w:val="18"/>
              </w:rPr>
            </w:pPr>
            <w:r>
              <w:rPr>
                <w:rFonts w:ascii="Arial" w:hAnsi="Arial" w:cs="Arial"/>
                <w:sz w:val="18"/>
                <w:szCs w:val="18"/>
              </w:rPr>
              <w:t>Pancreatitis, mouth ulceration</w:t>
            </w:r>
          </w:p>
        </w:tc>
      </w:tr>
      <w:tr w:rsidR="009E3481">
        <w:tc>
          <w:tcPr>
            <w:tcW w:w="3085" w:type="dxa"/>
            <w:hideMark/>
          </w:tcPr>
          <w:p w:rsidR="009E3481" w:rsidRDefault="00CC5E9F">
            <w:pPr>
              <w:pStyle w:val="BodyText2"/>
              <w:rPr>
                <w:rFonts w:ascii="Arial" w:hAnsi="Arial" w:cs="Arial"/>
                <w:sz w:val="18"/>
                <w:szCs w:val="18"/>
              </w:rPr>
            </w:pPr>
            <w:r>
              <w:rPr>
                <w:rFonts w:ascii="Arial" w:hAnsi="Arial" w:cs="Arial"/>
                <w:sz w:val="18"/>
                <w:szCs w:val="18"/>
              </w:rPr>
              <w:t>Hepato-biliary disorders</w:t>
            </w:r>
          </w:p>
        </w:tc>
        <w:tc>
          <w:tcPr>
            <w:tcW w:w="6237" w:type="dxa"/>
            <w:hideMark/>
          </w:tcPr>
          <w:p w:rsidR="009E3481" w:rsidRDefault="00CC5E9F">
            <w:pPr>
              <w:pStyle w:val="BodyText2"/>
              <w:rPr>
                <w:rFonts w:ascii="Arial" w:hAnsi="Arial" w:cs="Arial"/>
                <w:sz w:val="18"/>
                <w:szCs w:val="18"/>
                <w:u w:val="single"/>
              </w:rPr>
            </w:pPr>
            <w:r>
              <w:rPr>
                <w:rFonts w:ascii="Arial" w:hAnsi="Arial" w:cs="Arial"/>
                <w:sz w:val="18"/>
                <w:szCs w:val="18"/>
                <w:u w:val="single"/>
              </w:rPr>
              <w:t>Uncommon</w:t>
            </w:r>
          </w:p>
          <w:p w:rsidR="009E3481" w:rsidRDefault="00CC5E9F">
            <w:pPr>
              <w:pStyle w:val="BodyText2"/>
              <w:rPr>
                <w:rFonts w:ascii="Arial" w:hAnsi="Arial" w:cs="Arial"/>
                <w:sz w:val="18"/>
                <w:szCs w:val="18"/>
              </w:rPr>
            </w:pPr>
            <w:r>
              <w:rPr>
                <w:rFonts w:ascii="Arial" w:hAnsi="Arial" w:cs="Arial"/>
                <w:sz w:val="18"/>
                <w:szCs w:val="18"/>
              </w:rPr>
              <w:t>Cholelithiasis</w:t>
            </w:r>
          </w:p>
          <w:p w:rsidR="009E3481" w:rsidRDefault="00CC5E9F">
            <w:pPr>
              <w:pStyle w:val="BodyText2"/>
              <w:rPr>
                <w:rFonts w:ascii="Arial" w:hAnsi="Arial" w:cs="Arial"/>
                <w:sz w:val="18"/>
                <w:szCs w:val="18"/>
                <w:u w:val="single"/>
              </w:rPr>
            </w:pPr>
            <w:r>
              <w:rPr>
                <w:rFonts w:ascii="Arial" w:hAnsi="Arial" w:cs="Arial"/>
                <w:sz w:val="18"/>
                <w:szCs w:val="18"/>
                <w:u w:val="single"/>
              </w:rPr>
              <w:t>Rare</w:t>
            </w:r>
          </w:p>
          <w:p w:rsidR="009E3481" w:rsidRDefault="00CC5E9F">
            <w:pPr>
              <w:pStyle w:val="BodyText2"/>
              <w:rPr>
                <w:rFonts w:ascii="Arial" w:hAnsi="Arial" w:cs="Arial"/>
                <w:sz w:val="18"/>
                <w:szCs w:val="18"/>
              </w:rPr>
            </w:pPr>
            <w:r>
              <w:rPr>
                <w:rFonts w:ascii="Arial" w:hAnsi="Arial" w:cs="Arial"/>
                <w:sz w:val="18"/>
                <w:szCs w:val="18"/>
              </w:rPr>
              <w:t>Hepatitis</w:t>
            </w:r>
          </w:p>
        </w:tc>
      </w:tr>
      <w:tr w:rsidR="009E3481">
        <w:tc>
          <w:tcPr>
            <w:tcW w:w="3085" w:type="dxa"/>
            <w:hideMark/>
          </w:tcPr>
          <w:p w:rsidR="009E3481" w:rsidRDefault="00CC5E9F">
            <w:pPr>
              <w:pStyle w:val="BodyText2"/>
              <w:rPr>
                <w:rFonts w:ascii="Arial" w:hAnsi="Arial" w:cs="Arial"/>
                <w:sz w:val="18"/>
                <w:szCs w:val="18"/>
              </w:rPr>
            </w:pPr>
            <w:r>
              <w:rPr>
                <w:rFonts w:ascii="Arial" w:hAnsi="Arial" w:cs="Arial"/>
                <w:sz w:val="18"/>
                <w:szCs w:val="18"/>
              </w:rPr>
              <w:t>Skin and subcutaneous tissue disorders</w:t>
            </w:r>
          </w:p>
        </w:tc>
        <w:tc>
          <w:tcPr>
            <w:tcW w:w="6237" w:type="dxa"/>
            <w:hideMark/>
          </w:tcPr>
          <w:p w:rsidR="009E3481" w:rsidRDefault="00CC5E9F">
            <w:pPr>
              <w:pStyle w:val="BodyText2"/>
              <w:rPr>
                <w:rFonts w:ascii="Arial" w:hAnsi="Arial" w:cs="Arial"/>
                <w:sz w:val="18"/>
                <w:szCs w:val="18"/>
                <w:u w:val="single"/>
              </w:rPr>
            </w:pPr>
            <w:r>
              <w:rPr>
                <w:rFonts w:ascii="Arial" w:hAnsi="Arial" w:cs="Arial"/>
                <w:sz w:val="18"/>
                <w:szCs w:val="18"/>
                <w:u w:val="single"/>
              </w:rPr>
              <w:t>Uncommon</w:t>
            </w:r>
          </w:p>
          <w:p w:rsidR="009E3481" w:rsidRDefault="00CC5E9F">
            <w:pPr>
              <w:pStyle w:val="BodyText2"/>
              <w:rPr>
                <w:rFonts w:ascii="Arial" w:hAnsi="Arial" w:cs="Arial"/>
                <w:sz w:val="18"/>
                <w:szCs w:val="18"/>
              </w:rPr>
            </w:pPr>
            <w:r>
              <w:rPr>
                <w:rFonts w:ascii="Arial" w:hAnsi="Arial" w:cs="Arial"/>
                <w:sz w:val="18"/>
                <w:szCs w:val="18"/>
              </w:rPr>
              <w:t>Dermatitis, urticaria, pruritus, skin discolouration, skin lesion, petechiae, rash macular, rash maculopapular, rash papular</w:t>
            </w:r>
          </w:p>
          <w:p w:rsidR="009E3481" w:rsidRDefault="00CC5E9F">
            <w:pPr>
              <w:pStyle w:val="BodyText2"/>
              <w:rPr>
                <w:rFonts w:ascii="Arial" w:hAnsi="Arial" w:cs="Arial"/>
                <w:sz w:val="18"/>
                <w:szCs w:val="18"/>
                <w:u w:val="single"/>
              </w:rPr>
            </w:pPr>
            <w:r>
              <w:rPr>
                <w:rFonts w:ascii="Arial" w:hAnsi="Arial" w:cs="Arial"/>
                <w:sz w:val="18"/>
                <w:szCs w:val="18"/>
                <w:u w:val="single"/>
              </w:rPr>
              <w:t>Rare</w:t>
            </w:r>
          </w:p>
          <w:p w:rsidR="009E3481" w:rsidRDefault="00CC5E9F">
            <w:pPr>
              <w:pStyle w:val="BodyText2"/>
              <w:rPr>
                <w:rFonts w:ascii="Arial" w:hAnsi="Arial" w:cs="Arial"/>
                <w:sz w:val="18"/>
                <w:szCs w:val="18"/>
              </w:rPr>
            </w:pPr>
            <w:r>
              <w:rPr>
                <w:rFonts w:ascii="Arial" w:hAnsi="Arial" w:cs="Arial"/>
                <w:sz w:val="18"/>
                <w:szCs w:val="18"/>
              </w:rPr>
              <w:t>Erythema, exfoliative rash, rash follicular, rash vesicular, rash pustular, rash erythematous, rash morbillifom, alopecia, hyperhidrosis</w:t>
            </w:r>
          </w:p>
        </w:tc>
      </w:tr>
      <w:tr w:rsidR="009E3481">
        <w:tc>
          <w:tcPr>
            <w:tcW w:w="3085" w:type="dxa"/>
            <w:hideMark/>
          </w:tcPr>
          <w:p w:rsidR="009E3481" w:rsidRDefault="00CC5E9F">
            <w:pPr>
              <w:pStyle w:val="BodyText2"/>
              <w:rPr>
                <w:rFonts w:ascii="Arial" w:hAnsi="Arial" w:cs="Arial"/>
                <w:sz w:val="18"/>
                <w:szCs w:val="18"/>
              </w:rPr>
            </w:pPr>
            <w:r>
              <w:rPr>
                <w:rFonts w:ascii="Arial" w:hAnsi="Arial" w:cs="Arial"/>
                <w:sz w:val="18"/>
                <w:szCs w:val="18"/>
              </w:rPr>
              <w:t>Musculoskeletal and connective tissue disorders</w:t>
            </w:r>
          </w:p>
        </w:tc>
        <w:tc>
          <w:tcPr>
            <w:tcW w:w="6237" w:type="dxa"/>
            <w:hideMark/>
          </w:tcPr>
          <w:p w:rsidR="009E3481" w:rsidRDefault="00CC5E9F">
            <w:pPr>
              <w:pStyle w:val="BodyText2"/>
              <w:rPr>
                <w:rFonts w:ascii="Arial" w:hAnsi="Arial" w:cs="Arial"/>
                <w:sz w:val="18"/>
                <w:szCs w:val="18"/>
                <w:u w:val="single"/>
              </w:rPr>
            </w:pPr>
            <w:r>
              <w:rPr>
                <w:rFonts w:ascii="Arial" w:hAnsi="Arial" w:cs="Arial"/>
                <w:sz w:val="18"/>
                <w:szCs w:val="18"/>
                <w:u w:val="single"/>
              </w:rPr>
              <w:t>Uncommon</w:t>
            </w:r>
          </w:p>
          <w:p w:rsidR="009E3481" w:rsidRDefault="00CC5E9F">
            <w:pPr>
              <w:pStyle w:val="BodyText2"/>
              <w:rPr>
                <w:rFonts w:ascii="Arial" w:hAnsi="Arial" w:cs="Arial"/>
                <w:sz w:val="18"/>
                <w:szCs w:val="18"/>
              </w:rPr>
            </w:pPr>
            <w:r>
              <w:rPr>
                <w:rFonts w:ascii="Arial" w:hAnsi="Arial" w:cs="Arial"/>
                <w:sz w:val="18"/>
                <w:szCs w:val="18"/>
              </w:rPr>
              <w:t>Arthralgia, arthritis, myalgia, musculoskeletal pain, muscle weakness, muscle spasm, muscle tightness, bursitis</w:t>
            </w:r>
          </w:p>
          <w:p w:rsidR="009E3481" w:rsidRDefault="00CC5E9F">
            <w:pPr>
              <w:pStyle w:val="BodyText2"/>
              <w:rPr>
                <w:rFonts w:ascii="Arial" w:hAnsi="Arial" w:cs="Arial"/>
                <w:sz w:val="18"/>
                <w:szCs w:val="18"/>
                <w:u w:val="single"/>
              </w:rPr>
            </w:pPr>
            <w:r>
              <w:rPr>
                <w:rFonts w:ascii="Arial" w:hAnsi="Arial" w:cs="Arial"/>
                <w:sz w:val="18"/>
                <w:szCs w:val="18"/>
                <w:u w:val="single"/>
              </w:rPr>
              <w:t>Rare</w:t>
            </w:r>
          </w:p>
          <w:p w:rsidR="009E3481" w:rsidRDefault="00CC5E9F">
            <w:pPr>
              <w:pStyle w:val="BodyText2"/>
              <w:rPr>
                <w:rFonts w:ascii="Arial" w:hAnsi="Arial" w:cs="Arial"/>
                <w:sz w:val="18"/>
                <w:szCs w:val="18"/>
              </w:rPr>
            </w:pPr>
            <w:r>
              <w:rPr>
                <w:rFonts w:ascii="Arial" w:hAnsi="Arial" w:cs="Arial"/>
                <w:sz w:val="18"/>
                <w:szCs w:val="18"/>
              </w:rPr>
              <w:t>Joint stiffness, musculoskeletal stiffness</w:t>
            </w:r>
          </w:p>
        </w:tc>
      </w:tr>
      <w:tr w:rsidR="009E3481">
        <w:tc>
          <w:tcPr>
            <w:tcW w:w="3085" w:type="dxa"/>
            <w:hideMark/>
          </w:tcPr>
          <w:p w:rsidR="009E3481" w:rsidRDefault="00CC5E9F">
            <w:pPr>
              <w:pStyle w:val="BodyText2"/>
              <w:rPr>
                <w:rFonts w:ascii="Arial" w:hAnsi="Arial" w:cs="Arial"/>
                <w:sz w:val="18"/>
                <w:szCs w:val="18"/>
              </w:rPr>
            </w:pPr>
            <w:r>
              <w:rPr>
                <w:rFonts w:ascii="Arial" w:hAnsi="Arial" w:cs="Arial"/>
                <w:sz w:val="18"/>
                <w:szCs w:val="18"/>
              </w:rPr>
              <w:t>Renal and urinary disorders</w:t>
            </w:r>
          </w:p>
        </w:tc>
        <w:tc>
          <w:tcPr>
            <w:tcW w:w="6237" w:type="dxa"/>
            <w:hideMark/>
          </w:tcPr>
          <w:p w:rsidR="009E3481" w:rsidRDefault="00CC5E9F">
            <w:pPr>
              <w:pStyle w:val="BodyText2"/>
              <w:rPr>
                <w:rFonts w:ascii="Arial" w:hAnsi="Arial" w:cs="Arial"/>
                <w:sz w:val="18"/>
                <w:szCs w:val="18"/>
                <w:u w:val="single"/>
              </w:rPr>
            </w:pPr>
            <w:r>
              <w:rPr>
                <w:rFonts w:ascii="Arial" w:hAnsi="Arial" w:cs="Arial"/>
                <w:sz w:val="18"/>
                <w:szCs w:val="18"/>
                <w:u w:val="single"/>
              </w:rPr>
              <w:t>Uncommon</w:t>
            </w:r>
          </w:p>
          <w:p w:rsidR="009E3481" w:rsidRDefault="00CC5E9F">
            <w:pPr>
              <w:pStyle w:val="BodyText2"/>
              <w:rPr>
                <w:rFonts w:ascii="Arial" w:hAnsi="Arial" w:cs="Arial"/>
                <w:sz w:val="18"/>
                <w:szCs w:val="18"/>
              </w:rPr>
            </w:pPr>
            <w:r>
              <w:rPr>
                <w:rFonts w:ascii="Arial" w:hAnsi="Arial" w:cs="Arial"/>
                <w:sz w:val="18"/>
                <w:szCs w:val="18"/>
              </w:rPr>
              <w:t>Renal failure, nephrolithiasis, haematuria, pollakiuria, proteinuria</w:t>
            </w:r>
          </w:p>
          <w:p w:rsidR="009E3481" w:rsidRDefault="00CC5E9F">
            <w:pPr>
              <w:pStyle w:val="BodyText2"/>
              <w:rPr>
                <w:rFonts w:ascii="Arial" w:hAnsi="Arial" w:cs="Arial"/>
                <w:sz w:val="18"/>
                <w:szCs w:val="18"/>
                <w:u w:val="single"/>
              </w:rPr>
            </w:pPr>
            <w:r>
              <w:rPr>
                <w:rFonts w:ascii="Arial" w:hAnsi="Arial" w:cs="Arial"/>
                <w:sz w:val="18"/>
                <w:szCs w:val="18"/>
                <w:u w:val="single"/>
              </w:rPr>
              <w:t>Rare</w:t>
            </w:r>
          </w:p>
          <w:p w:rsidR="009E3481" w:rsidRDefault="00CC5E9F">
            <w:pPr>
              <w:pStyle w:val="BodyText2"/>
              <w:rPr>
                <w:rFonts w:ascii="Arial" w:hAnsi="Arial" w:cs="Arial"/>
                <w:sz w:val="18"/>
                <w:szCs w:val="18"/>
              </w:rPr>
            </w:pPr>
            <w:r>
              <w:rPr>
                <w:rFonts w:ascii="Arial" w:hAnsi="Arial" w:cs="Arial"/>
                <w:sz w:val="18"/>
                <w:szCs w:val="18"/>
              </w:rPr>
              <w:t>Micturition urgency</w:t>
            </w:r>
          </w:p>
        </w:tc>
      </w:tr>
      <w:tr w:rsidR="009E3481">
        <w:tc>
          <w:tcPr>
            <w:tcW w:w="3085" w:type="dxa"/>
            <w:hideMark/>
          </w:tcPr>
          <w:p w:rsidR="009E3481" w:rsidRDefault="00CC5E9F">
            <w:pPr>
              <w:pStyle w:val="BodyText2"/>
              <w:rPr>
                <w:rFonts w:ascii="Arial" w:hAnsi="Arial" w:cs="Arial"/>
                <w:sz w:val="18"/>
                <w:szCs w:val="18"/>
              </w:rPr>
            </w:pPr>
            <w:r>
              <w:rPr>
                <w:rFonts w:ascii="Arial" w:hAnsi="Arial" w:cs="Arial"/>
                <w:sz w:val="18"/>
                <w:szCs w:val="18"/>
              </w:rPr>
              <w:t>Reproductive system and breast disorder</w:t>
            </w:r>
          </w:p>
        </w:tc>
        <w:tc>
          <w:tcPr>
            <w:tcW w:w="6237" w:type="dxa"/>
            <w:hideMark/>
          </w:tcPr>
          <w:p w:rsidR="009E3481" w:rsidRDefault="00CC5E9F">
            <w:pPr>
              <w:pStyle w:val="BodyText2"/>
              <w:rPr>
                <w:rFonts w:ascii="Arial" w:hAnsi="Arial" w:cs="Arial"/>
                <w:sz w:val="18"/>
                <w:szCs w:val="18"/>
                <w:u w:val="single"/>
              </w:rPr>
            </w:pPr>
            <w:r>
              <w:rPr>
                <w:rFonts w:ascii="Arial" w:hAnsi="Arial" w:cs="Arial"/>
                <w:sz w:val="18"/>
                <w:szCs w:val="18"/>
                <w:u w:val="single"/>
              </w:rPr>
              <w:t>Uncommon</w:t>
            </w:r>
          </w:p>
          <w:p w:rsidR="009E3481" w:rsidRDefault="00CC5E9F">
            <w:pPr>
              <w:pStyle w:val="BodyText2"/>
              <w:rPr>
                <w:rFonts w:ascii="Arial" w:hAnsi="Arial" w:cs="Arial"/>
                <w:sz w:val="18"/>
                <w:szCs w:val="18"/>
              </w:rPr>
            </w:pPr>
            <w:r>
              <w:rPr>
                <w:rFonts w:ascii="Arial" w:hAnsi="Arial" w:cs="Arial"/>
                <w:sz w:val="18"/>
                <w:szCs w:val="18"/>
              </w:rPr>
              <w:t>Erectile dysfunction</w:t>
            </w:r>
          </w:p>
        </w:tc>
      </w:tr>
      <w:tr w:rsidR="009E3481">
        <w:tc>
          <w:tcPr>
            <w:tcW w:w="3085" w:type="dxa"/>
            <w:hideMark/>
          </w:tcPr>
          <w:p w:rsidR="009E3481" w:rsidRDefault="00CC5E9F">
            <w:pPr>
              <w:pStyle w:val="BodyText2"/>
              <w:rPr>
                <w:rFonts w:ascii="Arial" w:hAnsi="Arial" w:cs="Arial"/>
                <w:sz w:val="18"/>
                <w:szCs w:val="18"/>
              </w:rPr>
            </w:pPr>
            <w:r>
              <w:rPr>
                <w:rFonts w:ascii="Arial" w:hAnsi="Arial" w:cs="Arial"/>
                <w:sz w:val="18"/>
                <w:szCs w:val="18"/>
              </w:rPr>
              <w:lastRenderedPageBreak/>
              <w:t>General disorders and administration site conditions</w:t>
            </w:r>
          </w:p>
        </w:tc>
        <w:tc>
          <w:tcPr>
            <w:tcW w:w="6237" w:type="dxa"/>
            <w:hideMark/>
          </w:tcPr>
          <w:p w:rsidR="009E3481" w:rsidRDefault="00CC5E9F">
            <w:pPr>
              <w:pStyle w:val="BodyText2"/>
              <w:rPr>
                <w:rFonts w:ascii="Arial" w:hAnsi="Arial" w:cs="Arial"/>
                <w:sz w:val="18"/>
                <w:szCs w:val="18"/>
                <w:u w:val="single"/>
              </w:rPr>
            </w:pPr>
            <w:r>
              <w:rPr>
                <w:rFonts w:ascii="Arial" w:hAnsi="Arial" w:cs="Arial"/>
                <w:sz w:val="18"/>
                <w:szCs w:val="18"/>
                <w:u w:val="single"/>
              </w:rPr>
              <w:t>Uncommon</w:t>
            </w:r>
          </w:p>
          <w:p w:rsidR="009E3481" w:rsidRDefault="00CC5E9F">
            <w:pPr>
              <w:pStyle w:val="BodyText2"/>
              <w:rPr>
                <w:rFonts w:ascii="Arial" w:hAnsi="Arial" w:cs="Arial"/>
                <w:sz w:val="18"/>
                <w:szCs w:val="18"/>
              </w:rPr>
            </w:pPr>
            <w:r>
              <w:rPr>
                <w:rFonts w:ascii="Arial" w:hAnsi="Arial" w:cs="Arial"/>
                <w:sz w:val="18"/>
                <w:szCs w:val="18"/>
              </w:rPr>
              <w:t xml:space="preserve">Fatigue, chest pain, chest discomfort </w:t>
            </w:r>
          </w:p>
          <w:p w:rsidR="009E3481" w:rsidRDefault="00CC5E9F">
            <w:pPr>
              <w:pStyle w:val="BodyText2"/>
              <w:rPr>
                <w:rFonts w:ascii="Arial" w:hAnsi="Arial" w:cs="Arial"/>
                <w:sz w:val="18"/>
                <w:szCs w:val="18"/>
                <w:u w:val="single"/>
              </w:rPr>
            </w:pPr>
            <w:r>
              <w:rPr>
                <w:rFonts w:ascii="Arial" w:hAnsi="Arial" w:cs="Arial"/>
                <w:sz w:val="18"/>
                <w:szCs w:val="18"/>
                <w:u w:val="single"/>
              </w:rPr>
              <w:t>Rare</w:t>
            </w:r>
          </w:p>
          <w:p w:rsidR="009E3481" w:rsidRDefault="00CC5E9F">
            <w:pPr>
              <w:pStyle w:val="BodyText2"/>
              <w:rPr>
                <w:rFonts w:ascii="Arial" w:hAnsi="Arial" w:cs="Arial"/>
                <w:sz w:val="18"/>
                <w:szCs w:val="18"/>
              </w:rPr>
            </w:pPr>
            <w:r>
              <w:rPr>
                <w:rFonts w:ascii="Arial" w:hAnsi="Arial" w:cs="Arial"/>
                <w:sz w:val="18"/>
                <w:szCs w:val="18"/>
              </w:rPr>
              <w:t>Thirst</w:t>
            </w:r>
          </w:p>
        </w:tc>
      </w:tr>
      <w:tr w:rsidR="009E3481">
        <w:tc>
          <w:tcPr>
            <w:tcW w:w="3085" w:type="dxa"/>
            <w:hideMark/>
          </w:tcPr>
          <w:p w:rsidR="009E3481" w:rsidRDefault="00CC5E9F">
            <w:pPr>
              <w:pStyle w:val="BodyText2"/>
              <w:rPr>
                <w:rFonts w:ascii="Arial" w:hAnsi="Arial" w:cs="Arial"/>
                <w:sz w:val="18"/>
                <w:szCs w:val="18"/>
              </w:rPr>
            </w:pPr>
            <w:r>
              <w:rPr>
                <w:rFonts w:ascii="Arial" w:hAnsi="Arial" w:cs="Arial"/>
                <w:sz w:val="18"/>
                <w:szCs w:val="18"/>
              </w:rPr>
              <w:t>Investigations</w:t>
            </w:r>
          </w:p>
        </w:tc>
        <w:tc>
          <w:tcPr>
            <w:tcW w:w="6237" w:type="dxa"/>
            <w:hideMark/>
          </w:tcPr>
          <w:p w:rsidR="009E3481" w:rsidRDefault="00CC5E9F">
            <w:pPr>
              <w:pStyle w:val="BodyText2"/>
              <w:rPr>
                <w:rFonts w:ascii="Arial" w:hAnsi="Arial" w:cs="Arial"/>
                <w:sz w:val="18"/>
                <w:szCs w:val="18"/>
                <w:u w:val="single"/>
              </w:rPr>
            </w:pPr>
            <w:r>
              <w:rPr>
                <w:rFonts w:ascii="Arial" w:hAnsi="Arial" w:cs="Arial"/>
                <w:sz w:val="18"/>
                <w:szCs w:val="18"/>
                <w:u w:val="single"/>
              </w:rPr>
              <w:t>Uncommon</w:t>
            </w:r>
          </w:p>
          <w:p w:rsidR="009E3481" w:rsidRDefault="00CC5E9F">
            <w:pPr>
              <w:pStyle w:val="BodyText2"/>
              <w:rPr>
                <w:rFonts w:ascii="Arial" w:hAnsi="Arial" w:cs="Arial"/>
                <w:sz w:val="18"/>
                <w:szCs w:val="18"/>
              </w:rPr>
            </w:pPr>
            <w:r>
              <w:rPr>
                <w:rFonts w:ascii="Arial" w:hAnsi="Arial" w:cs="Arial"/>
                <w:sz w:val="18"/>
                <w:szCs w:val="18"/>
              </w:rPr>
              <w:t>Blood amylase increase, platelet count decrease, WBC decrease, lymphocyte count decrease, blood creatine increase, blood creatinine increase, haemoglobin decrease, blood urea increase, blood triglycerides increase, blood cholesterol increase, haematocritic decrease, blood lactate dehydrogenase increased, blood potassium increase</w:t>
            </w:r>
          </w:p>
          <w:p w:rsidR="009E3481" w:rsidRDefault="00CC5E9F">
            <w:pPr>
              <w:pStyle w:val="BodyText2"/>
              <w:rPr>
                <w:rFonts w:ascii="Arial" w:hAnsi="Arial" w:cs="Arial"/>
                <w:sz w:val="18"/>
                <w:szCs w:val="18"/>
                <w:u w:val="single"/>
              </w:rPr>
            </w:pPr>
            <w:r>
              <w:rPr>
                <w:rFonts w:ascii="Arial" w:hAnsi="Arial" w:cs="Arial"/>
                <w:sz w:val="18"/>
                <w:szCs w:val="18"/>
                <w:u w:val="single"/>
              </w:rPr>
              <w:t>Rare</w:t>
            </w:r>
          </w:p>
          <w:p w:rsidR="009E3481" w:rsidRDefault="00CC5E9F">
            <w:pPr>
              <w:pStyle w:val="BodyText2"/>
              <w:rPr>
                <w:rFonts w:ascii="Arial" w:hAnsi="Arial" w:cs="Arial"/>
                <w:sz w:val="18"/>
                <w:szCs w:val="18"/>
              </w:rPr>
            </w:pPr>
            <w:r>
              <w:rPr>
                <w:rFonts w:ascii="Arial" w:hAnsi="Arial" w:cs="Arial"/>
                <w:sz w:val="18"/>
                <w:szCs w:val="18"/>
              </w:rPr>
              <w:t>Blood glucose increase, activated partial thromboplastin time prolonged, red blood cell count decrease, blood alkaline phosphatase increase</w:t>
            </w:r>
          </w:p>
        </w:tc>
      </w:tr>
    </w:tbl>
    <w:p w:rsidR="009E3481" w:rsidRDefault="009E3481">
      <w:pPr>
        <w:ind w:left="142"/>
        <w:rPr>
          <w:rFonts w:ascii="Arial" w:hAnsi="Arial"/>
          <w:sz w:val="22"/>
          <w:szCs w:val="22"/>
        </w:rPr>
      </w:pPr>
    </w:p>
    <w:p w:rsidR="009E3481" w:rsidRDefault="00CC5E9F">
      <w:pPr>
        <w:pStyle w:val="PIHeading3"/>
        <w:keepNext/>
        <w:keepLines/>
      </w:pPr>
      <w:r>
        <w:t>Post marketing experience</w:t>
      </w:r>
    </w:p>
    <w:p w:rsidR="009E3481" w:rsidRDefault="00CC5E9F">
      <w:pPr>
        <w:pStyle w:val="PIHeading3"/>
        <w:keepNext/>
        <w:keepLines/>
        <w:rPr>
          <w:u w:val="none"/>
        </w:rPr>
      </w:pPr>
      <w:r>
        <w:rPr>
          <w:b/>
          <w:bCs/>
          <w:u w:val="none"/>
        </w:rPr>
        <w:t>Table 6:</w:t>
      </w:r>
      <w:r>
        <w:rPr>
          <w:b/>
          <w:bCs/>
          <w:u w:val="none"/>
        </w:rPr>
        <w:tab/>
        <w:t>Adverse reactions post-marketing</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6237"/>
      </w:tblGrid>
      <w:tr w:rsidR="009E3481">
        <w:tc>
          <w:tcPr>
            <w:tcW w:w="2977" w:type="dxa"/>
            <w:hideMark/>
          </w:tcPr>
          <w:p w:rsidR="009E3481" w:rsidRDefault="00CC5E9F">
            <w:pPr>
              <w:pStyle w:val="BodyText2"/>
              <w:rPr>
                <w:rFonts w:ascii="Arial" w:hAnsi="Arial" w:cs="Arial"/>
                <w:sz w:val="18"/>
                <w:szCs w:val="18"/>
              </w:rPr>
            </w:pPr>
            <w:r>
              <w:rPr>
                <w:rFonts w:ascii="Arial" w:hAnsi="Arial" w:cs="Arial"/>
                <w:sz w:val="18"/>
                <w:szCs w:val="18"/>
              </w:rPr>
              <w:t>Immune system disorders</w:t>
            </w:r>
          </w:p>
        </w:tc>
        <w:tc>
          <w:tcPr>
            <w:tcW w:w="6237" w:type="dxa"/>
            <w:hideMark/>
          </w:tcPr>
          <w:p w:rsidR="009E3481" w:rsidRDefault="00CC5E9F">
            <w:pPr>
              <w:pStyle w:val="BodyText2"/>
              <w:rPr>
                <w:rFonts w:ascii="Arial" w:hAnsi="Arial" w:cs="Arial"/>
                <w:sz w:val="18"/>
                <w:szCs w:val="18"/>
                <w:u w:val="single"/>
              </w:rPr>
            </w:pPr>
            <w:r>
              <w:rPr>
                <w:rFonts w:ascii="Arial" w:hAnsi="Arial" w:cs="Arial"/>
                <w:sz w:val="18"/>
                <w:szCs w:val="18"/>
                <w:u w:val="single"/>
              </w:rPr>
              <w:t>Rare</w:t>
            </w:r>
          </w:p>
          <w:p w:rsidR="009E3481" w:rsidRDefault="00CC5E9F">
            <w:pPr>
              <w:pStyle w:val="BodyText2"/>
              <w:rPr>
                <w:rFonts w:ascii="Arial" w:hAnsi="Arial" w:cs="Arial"/>
                <w:sz w:val="18"/>
                <w:szCs w:val="18"/>
              </w:rPr>
            </w:pPr>
            <w:r>
              <w:rPr>
                <w:rFonts w:ascii="Arial" w:hAnsi="Arial" w:cs="Arial"/>
                <w:sz w:val="18"/>
                <w:szCs w:val="18"/>
              </w:rPr>
              <w:t>Anaphylactic reaction, drug hypersensitivity</w:t>
            </w:r>
          </w:p>
        </w:tc>
      </w:tr>
      <w:tr w:rsidR="009E3481">
        <w:tc>
          <w:tcPr>
            <w:tcW w:w="2977" w:type="dxa"/>
            <w:hideMark/>
          </w:tcPr>
          <w:p w:rsidR="009E3481" w:rsidRDefault="00CC5E9F">
            <w:pPr>
              <w:pStyle w:val="BodyText2"/>
              <w:rPr>
                <w:rFonts w:ascii="Arial" w:hAnsi="Arial" w:cs="Arial"/>
                <w:sz w:val="18"/>
                <w:szCs w:val="18"/>
              </w:rPr>
            </w:pPr>
            <w:r>
              <w:rPr>
                <w:rFonts w:ascii="Arial" w:hAnsi="Arial" w:cs="Arial"/>
                <w:sz w:val="18"/>
                <w:szCs w:val="18"/>
              </w:rPr>
              <w:t>Hepato-biliary disorders</w:t>
            </w:r>
          </w:p>
        </w:tc>
        <w:tc>
          <w:tcPr>
            <w:tcW w:w="6237" w:type="dxa"/>
            <w:hideMark/>
          </w:tcPr>
          <w:p w:rsidR="009E3481" w:rsidRDefault="00CC5E9F">
            <w:pPr>
              <w:pStyle w:val="BodyText2"/>
              <w:rPr>
                <w:rFonts w:ascii="Arial" w:hAnsi="Arial" w:cs="Arial"/>
                <w:sz w:val="18"/>
                <w:szCs w:val="18"/>
                <w:u w:val="single"/>
              </w:rPr>
            </w:pPr>
            <w:r>
              <w:rPr>
                <w:rFonts w:ascii="Arial" w:hAnsi="Arial" w:cs="Arial"/>
                <w:sz w:val="18"/>
                <w:szCs w:val="18"/>
                <w:u w:val="single"/>
              </w:rPr>
              <w:t>Rare</w:t>
            </w:r>
          </w:p>
          <w:p w:rsidR="009E3481" w:rsidRDefault="00CC5E9F">
            <w:pPr>
              <w:pStyle w:val="BodyText2"/>
              <w:rPr>
                <w:rFonts w:ascii="Arial" w:hAnsi="Arial" w:cs="Arial"/>
                <w:sz w:val="18"/>
                <w:szCs w:val="18"/>
              </w:rPr>
            </w:pPr>
            <w:r>
              <w:rPr>
                <w:rFonts w:ascii="Arial" w:hAnsi="Arial" w:cs="Arial"/>
                <w:sz w:val="18"/>
                <w:szCs w:val="18"/>
              </w:rPr>
              <w:t xml:space="preserve">Jaundice, </w:t>
            </w:r>
            <w:r>
              <w:rPr>
                <w:rFonts w:ascii="Arial" w:eastAsia="Times New Roman" w:hAnsi="Arial" w:cs="Arial"/>
                <w:color w:val="auto"/>
                <w:sz w:val="18"/>
                <w:szCs w:val="18"/>
              </w:rPr>
              <w:t>liver injury</w:t>
            </w:r>
          </w:p>
        </w:tc>
      </w:tr>
      <w:tr w:rsidR="009E3481">
        <w:tc>
          <w:tcPr>
            <w:tcW w:w="2977" w:type="dxa"/>
            <w:hideMark/>
          </w:tcPr>
          <w:p w:rsidR="009E3481" w:rsidRDefault="00CC5E9F">
            <w:pPr>
              <w:pStyle w:val="BodyText2"/>
              <w:rPr>
                <w:rFonts w:ascii="Arial" w:hAnsi="Arial" w:cs="Arial"/>
                <w:sz w:val="18"/>
                <w:szCs w:val="18"/>
              </w:rPr>
            </w:pPr>
            <w:r>
              <w:rPr>
                <w:rFonts w:ascii="Arial" w:hAnsi="Arial" w:cs="Arial"/>
                <w:sz w:val="18"/>
                <w:szCs w:val="18"/>
              </w:rPr>
              <w:t>Skin and subcutaneous tissue disorders</w:t>
            </w:r>
          </w:p>
        </w:tc>
        <w:tc>
          <w:tcPr>
            <w:tcW w:w="6237" w:type="dxa"/>
            <w:hideMark/>
          </w:tcPr>
          <w:p w:rsidR="009E3481" w:rsidRDefault="00CC5E9F">
            <w:pPr>
              <w:pStyle w:val="BodyText2"/>
              <w:rPr>
                <w:rFonts w:ascii="Arial" w:hAnsi="Arial" w:cs="Arial"/>
                <w:sz w:val="18"/>
                <w:szCs w:val="18"/>
                <w:u w:val="single"/>
              </w:rPr>
            </w:pPr>
            <w:r>
              <w:rPr>
                <w:rFonts w:ascii="Arial" w:hAnsi="Arial" w:cs="Arial"/>
                <w:sz w:val="18"/>
                <w:szCs w:val="18"/>
                <w:u w:val="single"/>
              </w:rPr>
              <w:t>Rare</w:t>
            </w:r>
          </w:p>
          <w:p w:rsidR="009E3481" w:rsidRDefault="00CC5E9F">
            <w:pPr>
              <w:pStyle w:val="BodyText2"/>
              <w:rPr>
                <w:rFonts w:ascii="Arial" w:hAnsi="Arial" w:cs="Arial"/>
                <w:sz w:val="18"/>
                <w:szCs w:val="18"/>
                <w:u w:val="single"/>
              </w:rPr>
            </w:pPr>
            <w:r>
              <w:rPr>
                <w:rFonts w:ascii="Arial" w:eastAsia="Times New Roman" w:hAnsi="Arial" w:cs="Arial"/>
                <w:color w:val="auto"/>
                <w:sz w:val="18"/>
                <w:szCs w:val="18"/>
              </w:rPr>
              <w:t>Toxic epidermal necrolysis</w:t>
            </w:r>
            <w:r>
              <w:rPr>
                <w:color w:val="auto"/>
                <w:sz w:val="18"/>
                <w:szCs w:val="18"/>
              </w:rPr>
              <w:t xml:space="preserve">, </w:t>
            </w:r>
            <w:r>
              <w:rPr>
                <w:rFonts w:ascii="Arial" w:hAnsi="Arial" w:cs="Arial"/>
                <w:sz w:val="18"/>
                <w:szCs w:val="18"/>
              </w:rPr>
              <w:t xml:space="preserve">Stevens-Johnson Syndrome, angioedema, </w:t>
            </w:r>
            <w:r>
              <w:rPr>
                <w:rFonts w:ascii="Arial" w:eastAsia="Times New Roman" w:hAnsi="Arial" w:cs="Arial"/>
                <w:color w:val="auto"/>
                <w:sz w:val="18"/>
                <w:szCs w:val="18"/>
              </w:rPr>
              <w:t>drug reaction with eosinophilia and systemic symptoms</w:t>
            </w:r>
            <w:r>
              <w:rPr>
                <w:rFonts w:ascii="Arial" w:hAnsi="Arial" w:cs="Arial"/>
                <w:sz w:val="18"/>
                <w:szCs w:val="18"/>
              </w:rPr>
              <w:t>, generalized rash (serious), rash pruritic</w:t>
            </w:r>
          </w:p>
        </w:tc>
      </w:tr>
      <w:tr w:rsidR="009E3481" w:rsidTr="005A754D">
        <w:tc>
          <w:tcPr>
            <w:tcW w:w="2977" w:type="dxa"/>
            <w:tcBorders>
              <w:bottom w:val="single" w:sz="4" w:space="0" w:color="auto"/>
            </w:tcBorders>
            <w:hideMark/>
          </w:tcPr>
          <w:p w:rsidR="009E3481" w:rsidRDefault="00CC5E9F">
            <w:pPr>
              <w:pStyle w:val="BodyText2"/>
              <w:rPr>
                <w:rFonts w:ascii="Arial" w:hAnsi="Arial" w:cs="Arial"/>
                <w:sz w:val="18"/>
                <w:szCs w:val="18"/>
              </w:rPr>
            </w:pPr>
            <w:r>
              <w:rPr>
                <w:rFonts w:ascii="Arial" w:hAnsi="Arial" w:cs="Arial"/>
                <w:sz w:val="18"/>
                <w:szCs w:val="18"/>
              </w:rPr>
              <w:t>Musculoskeletal and connective tissue disorders</w:t>
            </w:r>
          </w:p>
        </w:tc>
        <w:tc>
          <w:tcPr>
            <w:tcW w:w="6237" w:type="dxa"/>
            <w:tcBorders>
              <w:bottom w:val="single" w:sz="4" w:space="0" w:color="auto"/>
            </w:tcBorders>
            <w:hideMark/>
          </w:tcPr>
          <w:p w:rsidR="009E3481" w:rsidRDefault="00CC5E9F">
            <w:pPr>
              <w:pStyle w:val="BodyText2"/>
              <w:rPr>
                <w:rFonts w:ascii="Arial" w:hAnsi="Arial" w:cs="Arial"/>
                <w:sz w:val="18"/>
                <w:szCs w:val="18"/>
                <w:u w:val="single"/>
              </w:rPr>
            </w:pPr>
            <w:r>
              <w:rPr>
                <w:rFonts w:ascii="Arial" w:hAnsi="Arial" w:cs="Arial"/>
                <w:sz w:val="18"/>
                <w:szCs w:val="18"/>
                <w:u w:val="single"/>
              </w:rPr>
              <w:t>Rare</w:t>
            </w:r>
          </w:p>
          <w:p w:rsidR="009E3481" w:rsidRDefault="00CC5E9F">
            <w:pPr>
              <w:pStyle w:val="BodyText2"/>
              <w:rPr>
                <w:rFonts w:ascii="Arial" w:hAnsi="Arial" w:cs="Arial"/>
                <w:sz w:val="18"/>
                <w:szCs w:val="18"/>
                <w:u w:val="single"/>
              </w:rPr>
            </w:pPr>
            <w:r>
              <w:rPr>
                <w:rFonts w:ascii="Arial" w:hAnsi="Arial" w:cs="Arial"/>
                <w:sz w:val="18"/>
                <w:szCs w:val="18"/>
              </w:rPr>
              <w:t>Rhabdomyolysis*</w:t>
            </w:r>
          </w:p>
        </w:tc>
      </w:tr>
      <w:tr w:rsidR="009E3481" w:rsidTr="005A754D">
        <w:tc>
          <w:tcPr>
            <w:tcW w:w="2977" w:type="dxa"/>
            <w:tcBorders>
              <w:bottom w:val="single" w:sz="4" w:space="0" w:color="auto"/>
            </w:tcBorders>
            <w:hideMark/>
          </w:tcPr>
          <w:p w:rsidR="009E3481" w:rsidRDefault="00CC5E9F">
            <w:pPr>
              <w:pStyle w:val="BodyText2"/>
              <w:rPr>
                <w:rFonts w:ascii="Arial" w:hAnsi="Arial" w:cs="Arial"/>
                <w:sz w:val="18"/>
                <w:szCs w:val="18"/>
              </w:rPr>
            </w:pPr>
            <w:r>
              <w:rPr>
                <w:rFonts w:ascii="Arial" w:hAnsi="Arial" w:cs="Arial"/>
                <w:sz w:val="18"/>
                <w:szCs w:val="18"/>
              </w:rPr>
              <w:t>Renal and urinary disorders</w:t>
            </w:r>
          </w:p>
        </w:tc>
        <w:tc>
          <w:tcPr>
            <w:tcW w:w="6237" w:type="dxa"/>
            <w:tcBorders>
              <w:bottom w:val="single" w:sz="4" w:space="0" w:color="auto"/>
            </w:tcBorders>
            <w:hideMark/>
          </w:tcPr>
          <w:p w:rsidR="009E3481" w:rsidRDefault="00CC5E9F">
            <w:pPr>
              <w:pStyle w:val="BodyText2"/>
              <w:rPr>
                <w:rFonts w:ascii="Arial" w:hAnsi="Arial" w:cs="Arial"/>
                <w:sz w:val="18"/>
                <w:szCs w:val="18"/>
                <w:u w:val="single"/>
              </w:rPr>
            </w:pPr>
            <w:r>
              <w:rPr>
                <w:rFonts w:ascii="Arial" w:hAnsi="Arial" w:cs="Arial"/>
                <w:sz w:val="18"/>
                <w:szCs w:val="18"/>
                <w:u w:val="single"/>
              </w:rPr>
              <w:t>Rare</w:t>
            </w:r>
          </w:p>
          <w:p w:rsidR="009E3481" w:rsidRDefault="00CC5E9F">
            <w:pPr>
              <w:pStyle w:val="BodyText2"/>
              <w:rPr>
                <w:rFonts w:ascii="Arial" w:hAnsi="Arial" w:cs="Arial"/>
                <w:sz w:val="18"/>
                <w:szCs w:val="18"/>
                <w:u w:val="single"/>
              </w:rPr>
            </w:pPr>
            <w:proofErr w:type="spellStart"/>
            <w:r>
              <w:rPr>
                <w:rFonts w:ascii="Arial" w:hAnsi="Arial" w:cs="Arial"/>
                <w:sz w:val="18"/>
                <w:szCs w:val="18"/>
              </w:rPr>
              <w:t>Tubulointerstitial</w:t>
            </w:r>
            <w:proofErr w:type="spellEnd"/>
            <w:r>
              <w:rPr>
                <w:rFonts w:ascii="Arial" w:hAnsi="Arial" w:cs="Arial"/>
                <w:sz w:val="18"/>
                <w:szCs w:val="18"/>
              </w:rPr>
              <w:t xml:space="preserve"> nephritis</w:t>
            </w:r>
          </w:p>
        </w:tc>
      </w:tr>
      <w:tr w:rsidR="005A754D" w:rsidTr="005A754D">
        <w:tc>
          <w:tcPr>
            <w:tcW w:w="9214" w:type="dxa"/>
            <w:gridSpan w:val="2"/>
            <w:tcBorders>
              <w:top w:val="single" w:sz="4" w:space="0" w:color="auto"/>
              <w:left w:val="nil"/>
              <w:bottom w:val="nil"/>
              <w:right w:val="nil"/>
            </w:tcBorders>
          </w:tcPr>
          <w:p w:rsidR="005A754D" w:rsidRDefault="005A754D" w:rsidP="005A754D">
            <w:pPr>
              <w:pStyle w:val="PIHeading3"/>
              <w:keepNext/>
              <w:keepLines/>
              <w:rPr>
                <w:sz w:val="16"/>
                <w:szCs w:val="16"/>
                <w:u w:val="none"/>
              </w:rPr>
            </w:pPr>
            <w:r>
              <w:rPr>
                <w:sz w:val="16"/>
                <w:szCs w:val="16"/>
                <w:u w:val="none"/>
              </w:rPr>
              <w:t xml:space="preserve">*The majority of these patients were receiving a statin and </w:t>
            </w:r>
            <w:proofErr w:type="spellStart"/>
            <w:r>
              <w:rPr>
                <w:sz w:val="16"/>
                <w:szCs w:val="16"/>
                <w:u w:val="none"/>
              </w:rPr>
              <w:t>colchicines</w:t>
            </w:r>
            <w:proofErr w:type="spellEnd"/>
            <w:r>
              <w:rPr>
                <w:sz w:val="16"/>
                <w:szCs w:val="16"/>
                <w:u w:val="none"/>
              </w:rPr>
              <w:t xml:space="preserve"> as concomitant medications. Also, some patients had renal impairment or failure. </w:t>
            </w:r>
          </w:p>
          <w:p w:rsidR="005A754D" w:rsidRDefault="005A754D">
            <w:pPr>
              <w:pStyle w:val="BodyText2"/>
              <w:rPr>
                <w:rFonts w:ascii="Arial" w:hAnsi="Arial" w:cs="Arial"/>
                <w:sz w:val="18"/>
                <w:szCs w:val="18"/>
                <w:u w:val="single"/>
              </w:rPr>
            </w:pPr>
          </w:p>
        </w:tc>
      </w:tr>
      <w:tr w:rsidR="005A754D" w:rsidTr="005A754D">
        <w:tc>
          <w:tcPr>
            <w:tcW w:w="9214" w:type="dxa"/>
            <w:gridSpan w:val="2"/>
            <w:tcBorders>
              <w:top w:val="nil"/>
              <w:left w:val="nil"/>
              <w:bottom w:val="nil"/>
              <w:right w:val="nil"/>
            </w:tcBorders>
          </w:tcPr>
          <w:p w:rsidR="005A754D" w:rsidRDefault="005A754D">
            <w:pPr>
              <w:pStyle w:val="BodyText2"/>
              <w:rPr>
                <w:rFonts w:ascii="Arial" w:hAnsi="Arial" w:cs="Arial"/>
                <w:sz w:val="18"/>
                <w:szCs w:val="18"/>
                <w:u w:val="single"/>
              </w:rPr>
            </w:pPr>
          </w:p>
        </w:tc>
      </w:tr>
      <w:tr w:rsidR="005A754D" w:rsidTr="005A754D">
        <w:tc>
          <w:tcPr>
            <w:tcW w:w="9214" w:type="dxa"/>
            <w:gridSpan w:val="2"/>
            <w:tcBorders>
              <w:top w:val="nil"/>
              <w:left w:val="nil"/>
              <w:bottom w:val="nil"/>
              <w:right w:val="nil"/>
            </w:tcBorders>
          </w:tcPr>
          <w:p w:rsidR="005A754D" w:rsidRDefault="005A754D">
            <w:pPr>
              <w:pStyle w:val="BodyText2"/>
              <w:rPr>
                <w:rFonts w:ascii="Arial" w:hAnsi="Arial" w:cs="Arial"/>
                <w:sz w:val="18"/>
                <w:szCs w:val="18"/>
                <w:u w:val="single"/>
              </w:rPr>
            </w:pPr>
          </w:p>
        </w:tc>
      </w:tr>
    </w:tbl>
    <w:p w:rsidR="009E3481" w:rsidRDefault="00CC5E9F">
      <w:pPr>
        <w:pStyle w:val="PIHeading3"/>
        <w:keepNext/>
        <w:keepLines/>
      </w:pPr>
      <w:r>
        <w:t>Description of selected adverse reactions</w:t>
      </w:r>
    </w:p>
    <w:p w:rsidR="009E3481" w:rsidRDefault="00CC5E9F">
      <w:pPr>
        <w:pStyle w:val="TextPI"/>
        <w:keepNext/>
        <w:keepLines/>
      </w:pPr>
      <w:r>
        <w:t>Rare serious hypersensitivity reactions to febuxostat, including Stevens-Johnson Syndrome, Toxic epidermal necrolysis and anaphylactic reaction/shock, have occurred in the post-marketing experience. Stevens-Johnson Syndrome and Toxic epidermal necrolysis are characterised by progressive skin rashes associated with blisters or mucosal lesions and eye irritation. Hypersensitivity reactions to febuxostat can be associated to the following symptoms: skin reactions characterised by infiltrated maculopapular eruption, generalised or exfoliative rashes, but also skin lesions, facial oedema, fever, haematologic abnormalities such as thrombocytopenia and eosinophilia, and single or multiple organ involvement (liver and kidney including tubulointerstitial nephritis).</w:t>
      </w:r>
    </w:p>
    <w:p w:rsidR="009E3481" w:rsidRDefault="00CC5E9F">
      <w:pPr>
        <w:pStyle w:val="TextPI"/>
      </w:pPr>
      <w:r>
        <w:t>Gout flares were commonly observed soon after the start of treatment and during the first months. Thereafter, the frequency of gout flare decreases in a time-dependent manner. Gout flare prophylaxis is recommended.</w:t>
      </w:r>
    </w:p>
    <w:p w:rsidR="009E3481" w:rsidRDefault="00CC5E9F">
      <w:pPr>
        <w:pStyle w:val="Default"/>
        <w:rPr>
          <w:sz w:val="23"/>
          <w:szCs w:val="23"/>
        </w:rPr>
      </w:pPr>
      <w:r>
        <w:rPr>
          <w:rFonts w:cs="Times New Roman"/>
          <w:color w:val="auto"/>
          <w:sz w:val="22"/>
          <w:szCs w:val="22"/>
          <w:u w:val="single"/>
          <w:lang w:val="en-US" w:eastAsia="en-US"/>
        </w:rPr>
        <w:t xml:space="preserve">Cardiovascular Safety </w:t>
      </w:r>
    </w:p>
    <w:p w:rsidR="009E3481" w:rsidRDefault="00CC5E9F">
      <w:pPr>
        <w:pStyle w:val="Default"/>
        <w:jc w:val="both"/>
        <w:rPr>
          <w:sz w:val="23"/>
          <w:szCs w:val="23"/>
        </w:rPr>
      </w:pPr>
      <w:r>
        <w:rPr>
          <w:sz w:val="23"/>
          <w:szCs w:val="23"/>
        </w:rPr>
        <w:t xml:space="preserve">Cardiovascular events and deaths were adjudicated to one of the pre-defined endpoints from the Anti-Platelet Trialists’ Collaborations (APTC) (cardiovascular death, non-fatal myocardial infarction, and non-fatal stroke) in the randomized controlled and long-term extension studies. In the Phase 3 randomized controlled studies, the incidences of adjudicated APTC events per 100 patient-years of exposure were: Placebo 0 (95% CI 0.00-6.16), febuxostat 40mg 0 (95% CI 0.00 – 1.08),  febuxostat 80 mg 1.09 (95% CI 0.44-2.24) and allopurinol 0.60 (95% CI 0.16-1.53).  </w:t>
      </w:r>
    </w:p>
    <w:p w:rsidR="009E3481" w:rsidRDefault="009E3481">
      <w:pPr>
        <w:pStyle w:val="Default"/>
        <w:jc w:val="both"/>
        <w:rPr>
          <w:sz w:val="23"/>
          <w:szCs w:val="23"/>
        </w:rPr>
      </w:pPr>
    </w:p>
    <w:p w:rsidR="009E3481" w:rsidRDefault="00CC5E9F">
      <w:pPr>
        <w:pStyle w:val="Default"/>
        <w:jc w:val="both"/>
        <w:rPr>
          <w:sz w:val="23"/>
          <w:szCs w:val="23"/>
        </w:rPr>
      </w:pPr>
      <w:r>
        <w:rPr>
          <w:sz w:val="23"/>
          <w:szCs w:val="23"/>
        </w:rPr>
        <w:t>In the long-term extension studies, the incidences of adjudicated APTC events were: febuxostat 80 mg 0.97 (95% CI 0.57-1.56) and allopurinol 0.58 (95% CI 0.02-3.24).</w:t>
      </w:r>
    </w:p>
    <w:p w:rsidR="009E3481" w:rsidRDefault="00CC5E9F">
      <w:pPr>
        <w:pStyle w:val="PIHeading3"/>
        <w:keepNext/>
        <w:keepLines/>
        <w:rPr>
          <w:u w:val="none"/>
        </w:rPr>
      </w:pPr>
      <w:r>
        <w:rPr>
          <w:sz w:val="23"/>
          <w:szCs w:val="23"/>
          <w:u w:val="none"/>
        </w:rPr>
        <w:t xml:space="preserve">Overall, a higher rate of APTC events was observed in febuxostat than in allopurinol-treated patients. A causal relationship with febuxostat has not been established. Monitor for signs and symptoms of myocardial infarction and stroke (see </w:t>
      </w:r>
      <w:r>
        <w:rPr>
          <w:b/>
          <w:sz w:val="23"/>
          <w:szCs w:val="23"/>
          <w:u w:val="none"/>
        </w:rPr>
        <w:t>PRECAUTIONS</w:t>
      </w:r>
      <w:r>
        <w:rPr>
          <w:sz w:val="23"/>
          <w:szCs w:val="23"/>
          <w:u w:val="none"/>
        </w:rPr>
        <w:t>).</w:t>
      </w:r>
    </w:p>
    <w:p w:rsidR="009E3481" w:rsidRDefault="00CC5E9F">
      <w:pPr>
        <w:pStyle w:val="PIHeading3"/>
        <w:keepNext/>
        <w:keepLines/>
      </w:pPr>
      <w:r>
        <w:t xml:space="preserve">Abnormal Hematologic and Clinical Chemistry Findings </w:t>
      </w:r>
    </w:p>
    <w:p w:rsidR="009E3481" w:rsidRDefault="00CC5E9F">
      <w:pPr>
        <w:pStyle w:val="TextPI"/>
        <w:rPr>
          <w:b/>
          <w:bCs/>
        </w:rPr>
      </w:pPr>
      <w:r>
        <w:t xml:space="preserve">During the 3 randomized controlled studies, transaminase elevations greater than 3 times the upper limit of normal were observed. The clinically important abnormalities in liver function tests reported in the controlled studies are shown in </w:t>
      </w:r>
      <w:r>
        <w:rPr>
          <w:b/>
        </w:rPr>
        <w:t>Table 7.</w:t>
      </w:r>
    </w:p>
    <w:p w:rsidR="009E3481" w:rsidRDefault="00CC5E9F">
      <w:pPr>
        <w:pStyle w:val="TextPI"/>
        <w:rPr>
          <w:b/>
          <w:bCs/>
        </w:rPr>
      </w:pPr>
      <w:r>
        <w:rPr>
          <w:b/>
          <w:bCs/>
        </w:rPr>
        <w:t>Table 7:</w:t>
      </w:r>
      <w:r>
        <w:rPr>
          <w:b/>
          <w:bCs/>
        </w:rPr>
        <w:tab/>
        <w:t xml:space="preserve">Incidence of Clinically Important Laboratory Abnormalities Reported in Controlled Studies </w:t>
      </w:r>
    </w:p>
    <w:tbl>
      <w:tblPr>
        <w:tblStyle w:val="TableGrid"/>
        <w:tblW w:w="9180" w:type="dxa"/>
        <w:tblLayout w:type="fixed"/>
        <w:tblLook w:val="04A0" w:firstRow="1" w:lastRow="0" w:firstColumn="1" w:lastColumn="0" w:noHBand="0" w:noVBand="1"/>
      </w:tblPr>
      <w:tblGrid>
        <w:gridCol w:w="1635"/>
        <w:gridCol w:w="2159"/>
        <w:gridCol w:w="1134"/>
        <w:gridCol w:w="1417"/>
        <w:gridCol w:w="1417"/>
        <w:gridCol w:w="1418"/>
      </w:tblGrid>
      <w:tr w:rsidR="009E3481">
        <w:tc>
          <w:tcPr>
            <w:tcW w:w="3794" w:type="dxa"/>
            <w:gridSpan w:val="2"/>
          </w:tcPr>
          <w:p w:rsidR="009E3481" w:rsidRDefault="009E3481">
            <w:pPr>
              <w:pStyle w:val="Default"/>
              <w:jc w:val="both"/>
              <w:rPr>
                <w:sz w:val="18"/>
                <w:szCs w:val="18"/>
              </w:rPr>
            </w:pPr>
          </w:p>
        </w:tc>
        <w:tc>
          <w:tcPr>
            <w:tcW w:w="5386" w:type="dxa"/>
            <w:gridSpan w:val="4"/>
          </w:tcPr>
          <w:p w:rsidR="009E3481" w:rsidRPr="005754E5" w:rsidRDefault="00CC5E9F">
            <w:pPr>
              <w:pStyle w:val="TextPI"/>
              <w:spacing w:before="0" w:after="0" w:line="240" w:lineRule="auto"/>
              <w:jc w:val="center"/>
              <w:rPr>
                <w:b/>
                <w:sz w:val="18"/>
                <w:szCs w:val="18"/>
              </w:rPr>
            </w:pPr>
            <w:r w:rsidRPr="005754E5">
              <w:rPr>
                <w:b/>
                <w:sz w:val="18"/>
                <w:szCs w:val="18"/>
              </w:rPr>
              <w:t>Treatment Group (%)</w:t>
            </w:r>
          </w:p>
        </w:tc>
      </w:tr>
      <w:tr w:rsidR="009E3481">
        <w:tc>
          <w:tcPr>
            <w:tcW w:w="1635" w:type="dxa"/>
          </w:tcPr>
          <w:p w:rsidR="009E3481" w:rsidRPr="005754E5" w:rsidRDefault="00CC5E9F">
            <w:pPr>
              <w:pStyle w:val="Default"/>
              <w:jc w:val="both"/>
              <w:rPr>
                <w:rFonts w:cs="Times New Roman"/>
                <w:b/>
                <w:color w:val="auto"/>
                <w:sz w:val="18"/>
                <w:szCs w:val="18"/>
                <w:lang w:val="en-US" w:eastAsia="en-US"/>
              </w:rPr>
            </w:pPr>
            <w:r w:rsidRPr="005754E5">
              <w:rPr>
                <w:rFonts w:cs="Times New Roman"/>
                <w:b/>
                <w:color w:val="auto"/>
                <w:sz w:val="18"/>
                <w:szCs w:val="18"/>
                <w:lang w:val="en-US" w:eastAsia="en-US"/>
              </w:rPr>
              <w:t xml:space="preserve">Laboratory Abnormality </w:t>
            </w:r>
          </w:p>
        </w:tc>
        <w:tc>
          <w:tcPr>
            <w:tcW w:w="2159" w:type="dxa"/>
          </w:tcPr>
          <w:p w:rsidR="009E3481" w:rsidRPr="005754E5" w:rsidRDefault="00CC5E9F">
            <w:pPr>
              <w:pStyle w:val="Default"/>
              <w:jc w:val="both"/>
              <w:rPr>
                <w:b/>
                <w:sz w:val="18"/>
                <w:szCs w:val="18"/>
              </w:rPr>
            </w:pPr>
            <w:r w:rsidRPr="005754E5">
              <w:rPr>
                <w:b/>
                <w:sz w:val="18"/>
                <w:szCs w:val="18"/>
              </w:rPr>
              <w:t xml:space="preserve">Normal Values* </w:t>
            </w:r>
          </w:p>
        </w:tc>
        <w:tc>
          <w:tcPr>
            <w:tcW w:w="1134" w:type="dxa"/>
          </w:tcPr>
          <w:p w:rsidR="009E3481" w:rsidRDefault="00CC5E9F">
            <w:pPr>
              <w:pStyle w:val="Default"/>
              <w:jc w:val="center"/>
              <w:rPr>
                <w:sz w:val="18"/>
                <w:szCs w:val="18"/>
              </w:rPr>
            </w:pPr>
            <w:r>
              <w:rPr>
                <w:sz w:val="18"/>
                <w:szCs w:val="18"/>
              </w:rPr>
              <w:t>Placebo</w:t>
            </w:r>
          </w:p>
          <w:p w:rsidR="009E3481" w:rsidRDefault="00CC5E9F">
            <w:pPr>
              <w:pStyle w:val="TextPI"/>
              <w:spacing w:before="0" w:after="0" w:line="240" w:lineRule="auto"/>
              <w:jc w:val="center"/>
              <w:rPr>
                <w:sz w:val="18"/>
                <w:szCs w:val="18"/>
              </w:rPr>
            </w:pPr>
            <w:r>
              <w:rPr>
                <w:sz w:val="18"/>
                <w:szCs w:val="18"/>
              </w:rPr>
              <w:t>(N=134)</w:t>
            </w:r>
          </w:p>
        </w:tc>
        <w:tc>
          <w:tcPr>
            <w:tcW w:w="1417" w:type="dxa"/>
          </w:tcPr>
          <w:p w:rsidR="009E3481" w:rsidRDefault="00CC5E9F">
            <w:pPr>
              <w:pStyle w:val="Default"/>
              <w:jc w:val="center"/>
              <w:rPr>
                <w:sz w:val="18"/>
                <w:szCs w:val="18"/>
                <w:lang w:val="en-US" w:eastAsia="en-US"/>
              </w:rPr>
            </w:pPr>
            <w:r>
              <w:rPr>
                <w:sz w:val="18"/>
                <w:szCs w:val="18"/>
              </w:rPr>
              <w:t xml:space="preserve">febuxostat </w:t>
            </w:r>
          </w:p>
          <w:p w:rsidR="009E3481" w:rsidRDefault="00CC5E9F">
            <w:pPr>
              <w:pStyle w:val="Default"/>
              <w:jc w:val="center"/>
              <w:rPr>
                <w:sz w:val="18"/>
                <w:szCs w:val="18"/>
              </w:rPr>
            </w:pPr>
            <w:r>
              <w:rPr>
                <w:sz w:val="18"/>
                <w:szCs w:val="18"/>
              </w:rPr>
              <w:t>40 mg</w:t>
            </w:r>
          </w:p>
          <w:p w:rsidR="009E3481" w:rsidRDefault="00CC5E9F">
            <w:pPr>
              <w:pStyle w:val="Default"/>
              <w:jc w:val="center"/>
              <w:rPr>
                <w:sz w:val="18"/>
                <w:szCs w:val="18"/>
              </w:rPr>
            </w:pPr>
            <w:r>
              <w:rPr>
                <w:sz w:val="18"/>
                <w:szCs w:val="18"/>
              </w:rPr>
              <w:t>(N=757)</w:t>
            </w:r>
          </w:p>
        </w:tc>
        <w:tc>
          <w:tcPr>
            <w:tcW w:w="1417" w:type="dxa"/>
          </w:tcPr>
          <w:p w:rsidR="009E3481" w:rsidRDefault="00CC5E9F">
            <w:pPr>
              <w:pStyle w:val="Default"/>
              <w:jc w:val="center"/>
              <w:rPr>
                <w:sz w:val="18"/>
                <w:szCs w:val="18"/>
                <w:lang w:val="en-US" w:eastAsia="en-US"/>
              </w:rPr>
            </w:pPr>
            <w:r>
              <w:rPr>
                <w:sz w:val="18"/>
                <w:szCs w:val="18"/>
              </w:rPr>
              <w:t xml:space="preserve">febuxostat </w:t>
            </w:r>
          </w:p>
          <w:p w:rsidR="009E3481" w:rsidRDefault="00CC5E9F">
            <w:pPr>
              <w:pStyle w:val="Default"/>
              <w:jc w:val="center"/>
              <w:rPr>
                <w:sz w:val="18"/>
                <w:szCs w:val="18"/>
              </w:rPr>
            </w:pPr>
            <w:r>
              <w:rPr>
                <w:sz w:val="18"/>
                <w:szCs w:val="18"/>
              </w:rPr>
              <w:t>80 mg</w:t>
            </w:r>
          </w:p>
          <w:p w:rsidR="009E3481" w:rsidRDefault="00CC5E9F">
            <w:pPr>
              <w:pStyle w:val="TextPI"/>
              <w:spacing w:before="0" w:after="0" w:line="240" w:lineRule="auto"/>
              <w:jc w:val="center"/>
              <w:rPr>
                <w:sz w:val="18"/>
                <w:szCs w:val="18"/>
              </w:rPr>
            </w:pPr>
            <w:r>
              <w:rPr>
                <w:sz w:val="18"/>
                <w:szCs w:val="18"/>
              </w:rPr>
              <w:t>(N=1279)</w:t>
            </w:r>
          </w:p>
        </w:tc>
        <w:tc>
          <w:tcPr>
            <w:tcW w:w="1418" w:type="dxa"/>
          </w:tcPr>
          <w:p w:rsidR="009E3481" w:rsidRDefault="00CC5E9F">
            <w:pPr>
              <w:pStyle w:val="Default"/>
              <w:jc w:val="center"/>
              <w:rPr>
                <w:sz w:val="18"/>
                <w:szCs w:val="18"/>
              </w:rPr>
            </w:pPr>
            <w:r>
              <w:rPr>
                <w:sz w:val="18"/>
                <w:szCs w:val="18"/>
              </w:rPr>
              <w:t>Allopurinol</w:t>
            </w:r>
            <w:r>
              <w:rPr>
                <w:sz w:val="18"/>
                <w:szCs w:val="18"/>
                <w:vertAlign w:val="superscript"/>
              </w:rPr>
              <w:t>†</w:t>
            </w:r>
          </w:p>
          <w:p w:rsidR="009E3481" w:rsidRDefault="00CC5E9F">
            <w:pPr>
              <w:pStyle w:val="TextPI"/>
              <w:spacing w:before="0" w:after="0" w:line="240" w:lineRule="auto"/>
              <w:jc w:val="center"/>
              <w:rPr>
                <w:sz w:val="18"/>
                <w:szCs w:val="18"/>
              </w:rPr>
            </w:pPr>
            <w:r>
              <w:rPr>
                <w:sz w:val="18"/>
                <w:szCs w:val="18"/>
              </w:rPr>
              <w:t>(N=1277)</w:t>
            </w:r>
          </w:p>
        </w:tc>
      </w:tr>
      <w:tr w:rsidR="009E3481">
        <w:tc>
          <w:tcPr>
            <w:tcW w:w="1635" w:type="dxa"/>
          </w:tcPr>
          <w:p w:rsidR="009E3481" w:rsidRDefault="00CC5E9F">
            <w:pPr>
              <w:pStyle w:val="Default"/>
              <w:jc w:val="both"/>
              <w:rPr>
                <w:sz w:val="18"/>
                <w:szCs w:val="18"/>
              </w:rPr>
            </w:pPr>
            <w:r>
              <w:rPr>
                <w:sz w:val="18"/>
                <w:szCs w:val="18"/>
              </w:rPr>
              <w:t xml:space="preserve">Alkaline phosphatase </w:t>
            </w:r>
          </w:p>
          <w:p w:rsidR="009E3481" w:rsidRDefault="00CC5E9F">
            <w:pPr>
              <w:pStyle w:val="Default"/>
              <w:jc w:val="both"/>
              <w:rPr>
                <w:sz w:val="18"/>
                <w:szCs w:val="18"/>
              </w:rPr>
            </w:pPr>
            <w:r>
              <w:rPr>
                <w:sz w:val="18"/>
                <w:szCs w:val="18"/>
              </w:rPr>
              <w:t xml:space="preserve">≥  2xULN </w:t>
            </w:r>
          </w:p>
        </w:tc>
        <w:tc>
          <w:tcPr>
            <w:tcW w:w="2159" w:type="dxa"/>
          </w:tcPr>
          <w:p w:rsidR="009E3481" w:rsidRDefault="00CC5E9F">
            <w:pPr>
              <w:pStyle w:val="Default"/>
              <w:rPr>
                <w:sz w:val="18"/>
                <w:szCs w:val="18"/>
              </w:rPr>
            </w:pPr>
            <w:r>
              <w:rPr>
                <w:sz w:val="18"/>
                <w:szCs w:val="18"/>
              </w:rPr>
              <w:t>Males: 31-131 U/L</w:t>
            </w:r>
          </w:p>
          <w:p w:rsidR="009E3481" w:rsidRDefault="00CC5E9F">
            <w:pPr>
              <w:pStyle w:val="TextPI"/>
              <w:spacing w:before="0" w:after="0"/>
              <w:jc w:val="left"/>
              <w:rPr>
                <w:sz w:val="18"/>
                <w:szCs w:val="18"/>
              </w:rPr>
            </w:pPr>
            <w:r>
              <w:rPr>
                <w:sz w:val="18"/>
                <w:szCs w:val="18"/>
              </w:rPr>
              <w:t>Females: 31-135 U/L</w:t>
            </w:r>
          </w:p>
        </w:tc>
        <w:tc>
          <w:tcPr>
            <w:tcW w:w="1134" w:type="dxa"/>
          </w:tcPr>
          <w:p w:rsidR="009E3481" w:rsidRDefault="00CC5E9F">
            <w:pPr>
              <w:pStyle w:val="TextPI"/>
              <w:spacing w:before="0" w:after="0"/>
              <w:jc w:val="center"/>
              <w:rPr>
                <w:sz w:val="18"/>
                <w:szCs w:val="18"/>
              </w:rPr>
            </w:pPr>
            <w:r>
              <w:rPr>
                <w:sz w:val="18"/>
                <w:szCs w:val="18"/>
              </w:rPr>
              <w:t>0.0%</w:t>
            </w:r>
          </w:p>
          <w:p w:rsidR="009E3481" w:rsidRDefault="00CC5E9F">
            <w:pPr>
              <w:pStyle w:val="TextPI"/>
              <w:spacing w:before="0" w:after="0"/>
              <w:jc w:val="center"/>
              <w:rPr>
                <w:sz w:val="18"/>
                <w:szCs w:val="18"/>
              </w:rPr>
            </w:pPr>
            <w:r>
              <w:rPr>
                <w:sz w:val="18"/>
                <w:szCs w:val="18"/>
              </w:rPr>
              <w:t>(0/129)</w:t>
            </w:r>
          </w:p>
          <w:p w:rsidR="009E3481" w:rsidRDefault="00CC5E9F">
            <w:pPr>
              <w:pStyle w:val="TextPI"/>
              <w:spacing w:before="0" w:after="0"/>
              <w:jc w:val="center"/>
              <w:rPr>
                <w:sz w:val="18"/>
                <w:szCs w:val="18"/>
              </w:rPr>
            </w:pPr>
            <w:r>
              <w:rPr>
                <w:sz w:val="18"/>
                <w:szCs w:val="18"/>
              </w:rPr>
              <w:t xml:space="preserve"> </w:t>
            </w:r>
          </w:p>
        </w:tc>
        <w:tc>
          <w:tcPr>
            <w:tcW w:w="1417" w:type="dxa"/>
          </w:tcPr>
          <w:p w:rsidR="009E3481" w:rsidRDefault="00CC5E9F">
            <w:pPr>
              <w:pStyle w:val="TextPI"/>
              <w:spacing w:before="0" w:after="0"/>
              <w:jc w:val="center"/>
              <w:rPr>
                <w:sz w:val="18"/>
                <w:szCs w:val="18"/>
              </w:rPr>
            </w:pPr>
            <w:r>
              <w:rPr>
                <w:sz w:val="18"/>
                <w:szCs w:val="18"/>
              </w:rPr>
              <w:t>0.0%</w:t>
            </w:r>
          </w:p>
          <w:p w:rsidR="009E3481" w:rsidRDefault="00CC5E9F">
            <w:pPr>
              <w:pStyle w:val="TextPI"/>
              <w:spacing w:before="0" w:after="0"/>
              <w:jc w:val="center"/>
              <w:rPr>
                <w:sz w:val="18"/>
                <w:szCs w:val="18"/>
              </w:rPr>
            </w:pPr>
            <w:r>
              <w:rPr>
                <w:sz w:val="18"/>
                <w:szCs w:val="18"/>
              </w:rPr>
              <w:t>(0/711)</w:t>
            </w:r>
          </w:p>
          <w:p w:rsidR="009E3481" w:rsidRDefault="009E3481">
            <w:pPr>
              <w:pStyle w:val="TextPI"/>
              <w:spacing w:before="0" w:after="0"/>
              <w:jc w:val="center"/>
              <w:rPr>
                <w:sz w:val="18"/>
                <w:szCs w:val="18"/>
              </w:rPr>
            </w:pPr>
          </w:p>
        </w:tc>
        <w:tc>
          <w:tcPr>
            <w:tcW w:w="1417" w:type="dxa"/>
          </w:tcPr>
          <w:p w:rsidR="009E3481" w:rsidRDefault="00CC5E9F">
            <w:pPr>
              <w:pStyle w:val="TextPI"/>
              <w:spacing w:before="0" w:after="0"/>
              <w:jc w:val="center"/>
              <w:rPr>
                <w:sz w:val="18"/>
                <w:szCs w:val="18"/>
              </w:rPr>
            </w:pPr>
            <w:r>
              <w:rPr>
                <w:sz w:val="18"/>
                <w:szCs w:val="18"/>
              </w:rPr>
              <w:t>0.4%</w:t>
            </w:r>
          </w:p>
          <w:p w:rsidR="009E3481" w:rsidRDefault="00CC5E9F">
            <w:pPr>
              <w:pStyle w:val="TextPI"/>
              <w:spacing w:before="0" w:after="0"/>
              <w:jc w:val="center"/>
              <w:rPr>
                <w:sz w:val="18"/>
                <w:szCs w:val="18"/>
              </w:rPr>
            </w:pPr>
            <w:r>
              <w:rPr>
                <w:sz w:val="18"/>
                <w:szCs w:val="18"/>
              </w:rPr>
              <w:t>(5/1204)</w:t>
            </w:r>
          </w:p>
          <w:p w:rsidR="009E3481" w:rsidRDefault="009E3481">
            <w:pPr>
              <w:pStyle w:val="TextPI"/>
              <w:spacing w:before="0" w:after="0"/>
              <w:jc w:val="center"/>
              <w:rPr>
                <w:sz w:val="18"/>
                <w:szCs w:val="18"/>
              </w:rPr>
            </w:pPr>
          </w:p>
        </w:tc>
        <w:tc>
          <w:tcPr>
            <w:tcW w:w="1418" w:type="dxa"/>
          </w:tcPr>
          <w:p w:rsidR="009E3481" w:rsidRDefault="00CC5E9F">
            <w:pPr>
              <w:pStyle w:val="TextPI"/>
              <w:spacing w:before="0" w:after="0"/>
              <w:jc w:val="center"/>
              <w:rPr>
                <w:sz w:val="18"/>
                <w:szCs w:val="18"/>
              </w:rPr>
            </w:pPr>
            <w:r>
              <w:rPr>
                <w:sz w:val="18"/>
                <w:szCs w:val="18"/>
              </w:rPr>
              <w:t>0.0%</w:t>
            </w:r>
          </w:p>
          <w:p w:rsidR="009E3481" w:rsidRDefault="00CC5E9F">
            <w:pPr>
              <w:pStyle w:val="TextPI"/>
              <w:spacing w:before="0" w:after="0"/>
              <w:jc w:val="center"/>
              <w:rPr>
                <w:sz w:val="18"/>
                <w:szCs w:val="18"/>
              </w:rPr>
            </w:pPr>
            <w:r>
              <w:rPr>
                <w:sz w:val="18"/>
                <w:szCs w:val="18"/>
              </w:rPr>
              <w:t>(0/1200)</w:t>
            </w:r>
          </w:p>
          <w:p w:rsidR="009E3481" w:rsidRDefault="009E3481">
            <w:pPr>
              <w:pStyle w:val="TextPI"/>
              <w:spacing w:before="0" w:after="0"/>
              <w:jc w:val="center"/>
              <w:rPr>
                <w:sz w:val="18"/>
                <w:szCs w:val="18"/>
              </w:rPr>
            </w:pPr>
          </w:p>
        </w:tc>
      </w:tr>
      <w:tr w:rsidR="009E3481">
        <w:tc>
          <w:tcPr>
            <w:tcW w:w="1635" w:type="dxa"/>
          </w:tcPr>
          <w:p w:rsidR="009E3481" w:rsidRDefault="00CC5E9F">
            <w:pPr>
              <w:pStyle w:val="Default"/>
              <w:jc w:val="both"/>
              <w:rPr>
                <w:sz w:val="18"/>
                <w:szCs w:val="18"/>
              </w:rPr>
            </w:pPr>
            <w:r>
              <w:rPr>
                <w:sz w:val="18"/>
                <w:szCs w:val="18"/>
              </w:rPr>
              <w:t xml:space="preserve">ALT ≥  3xULN </w:t>
            </w:r>
          </w:p>
        </w:tc>
        <w:tc>
          <w:tcPr>
            <w:tcW w:w="2159" w:type="dxa"/>
          </w:tcPr>
          <w:p w:rsidR="009E3481" w:rsidRDefault="00CC5E9F">
            <w:pPr>
              <w:pStyle w:val="Default"/>
              <w:rPr>
                <w:sz w:val="18"/>
                <w:szCs w:val="18"/>
              </w:rPr>
            </w:pPr>
            <w:r>
              <w:rPr>
                <w:sz w:val="18"/>
                <w:szCs w:val="18"/>
              </w:rPr>
              <w:t>Males: 6-43 U/L</w:t>
            </w:r>
          </w:p>
          <w:p w:rsidR="009E3481" w:rsidRDefault="00CC5E9F">
            <w:pPr>
              <w:pStyle w:val="TextPI"/>
              <w:spacing w:before="0" w:after="0"/>
              <w:jc w:val="left"/>
              <w:rPr>
                <w:sz w:val="18"/>
                <w:szCs w:val="18"/>
              </w:rPr>
            </w:pPr>
            <w:r>
              <w:rPr>
                <w:sz w:val="18"/>
                <w:szCs w:val="18"/>
              </w:rPr>
              <w:t>Females: 6-34 U/L</w:t>
            </w:r>
          </w:p>
        </w:tc>
        <w:tc>
          <w:tcPr>
            <w:tcW w:w="1134" w:type="dxa"/>
          </w:tcPr>
          <w:p w:rsidR="009E3481" w:rsidRDefault="00CC5E9F">
            <w:pPr>
              <w:pStyle w:val="TextPI"/>
              <w:spacing w:before="0" w:after="0"/>
              <w:jc w:val="center"/>
              <w:rPr>
                <w:sz w:val="18"/>
                <w:szCs w:val="18"/>
              </w:rPr>
            </w:pPr>
            <w:r>
              <w:rPr>
                <w:sz w:val="18"/>
                <w:szCs w:val="18"/>
              </w:rPr>
              <w:t>0.8%</w:t>
            </w:r>
          </w:p>
          <w:p w:rsidR="009E3481" w:rsidRDefault="00CC5E9F">
            <w:pPr>
              <w:pStyle w:val="TextPI"/>
              <w:spacing w:before="0" w:after="0"/>
              <w:jc w:val="center"/>
              <w:rPr>
                <w:sz w:val="18"/>
                <w:szCs w:val="18"/>
              </w:rPr>
            </w:pPr>
            <w:r>
              <w:rPr>
                <w:sz w:val="18"/>
                <w:szCs w:val="18"/>
              </w:rPr>
              <w:t>(1/129)</w:t>
            </w:r>
          </w:p>
          <w:p w:rsidR="009E3481" w:rsidRDefault="00CC5E9F">
            <w:pPr>
              <w:pStyle w:val="TextPI"/>
              <w:spacing w:before="0" w:after="0"/>
              <w:jc w:val="center"/>
              <w:rPr>
                <w:sz w:val="18"/>
                <w:szCs w:val="18"/>
              </w:rPr>
            </w:pPr>
            <w:r>
              <w:rPr>
                <w:sz w:val="18"/>
                <w:szCs w:val="18"/>
              </w:rPr>
              <w:t xml:space="preserve"> </w:t>
            </w:r>
          </w:p>
        </w:tc>
        <w:tc>
          <w:tcPr>
            <w:tcW w:w="1417" w:type="dxa"/>
          </w:tcPr>
          <w:p w:rsidR="009E3481" w:rsidRDefault="00CC5E9F">
            <w:pPr>
              <w:pStyle w:val="TextPI"/>
              <w:spacing w:before="0" w:after="0"/>
              <w:jc w:val="center"/>
              <w:rPr>
                <w:sz w:val="18"/>
                <w:szCs w:val="18"/>
              </w:rPr>
            </w:pPr>
            <w:r>
              <w:rPr>
                <w:sz w:val="18"/>
                <w:szCs w:val="18"/>
              </w:rPr>
              <w:t>3.2%</w:t>
            </w:r>
          </w:p>
          <w:p w:rsidR="009E3481" w:rsidRDefault="00CC5E9F">
            <w:pPr>
              <w:pStyle w:val="TextPI"/>
              <w:spacing w:before="0" w:after="0"/>
              <w:jc w:val="center"/>
              <w:rPr>
                <w:sz w:val="18"/>
                <w:szCs w:val="18"/>
              </w:rPr>
            </w:pPr>
            <w:r>
              <w:rPr>
                <w:sz w:val="18"/>
                <w:szCs w:val="18"/>
              </w:rPr>
              <w:t>(23/711)</w:t>
            </w:r>
          </w:p>
          <w:p w:rsidR="009E3481" w:rsidRDefault="009E3481">
            <w:pPr>
              <w:pStyle w:val="TextPI"/>
              <w:spacing w:before="0" w:after="0"/>
              <w:rPr>
                <w:sz w:val="18"/>
                <w:szCs w:val="18"/>
              </w:rPr>
            </w:pPr>
          </w:p>
        </w:tc>
        <w:tc>
          <w:tcPr>
            <w:tcW w:w="1417" w:type="dxa"/>
          </w:tcPr>
          <w:p w:rsidR="009E3481" w:rsidRDefault="00CC5E9F">
            <w:pPr>
              <w:pStyle w:val="TextPI"/>
              <w:spacing w:before="0" w:after="0"/>
              <w:jc w:val="center"/>
              <w:rPr>
                <w:sz w:val="18"/>
                <w:szCs w:val="18"/>
              </w:rPr>
            </w:pPr>
            <w:r>
              <w:rPr>
                <w:sz w:val="18"/>
                <w:szCs w:val="18"/>
              </w:rPr>
              <w:t>3.2%</w:t>
            </w:r>
          </w:p>
          <w:p w:rsidR="009E3481" w:rsidRDefault="00CC5E9F">
            <w:pPr>
              <w:pStyle w:val="TextPI"/>
              <w:spacing w:before="0" w:after="0"/>
              <w:jc w:val="center"/>
              <w:rPr>
                <w:sz w:val="18"/>
                <w:szCs w:val="18"/>
              </w:rPr>
            </w:pPr>
            <w:r>
              <w:rPr>
                <w:sz w:val="18"/>
                <w:szCs w:val="18"/>
              </w:rPr>
              <w:t>(39/1204)</w:t>
            </w:r>
          </w:p>
          <w:p w:rsidR="009E3481" w:rsidRDefault="009E3481">
            <w:pPr>
              <w:pStyle w:val="TextPI"/>
              <w:spacing w:before="0" w:after="0"/>
              <w:jc w:val="center"/>
              <w:rPr>
                <w:sz w:val="18"/>
                <w:szCs w:val="18"/>
              </w:rPr>
            </w:pPr>
          </w:p>
        </w:tc>
        <w:tc>
          <w:tcPr>
            <w:tcW w:w="1418" w:type="dxa"/>
          </w:tcPr>
          <w:p w:rsidR="009E3481" w:rsidRDefault="00CC5E9F">
            <w:pPr>
              <w:pStyle w:val="TextPI"/>
              <w:spacing w:before="0" w:after="0"/>
              <w:jc w:val="center"/>
              <w:rPr>
                <w:sz w:val="18"/>
                <w:szCs w:val="18"/>
              </w:rPr>
            </w:pPr>
            <w:r>
              <w:rPr>
                <w:sz w:val="18"/>
                <w:szCs w:val="18"/>
              </w:rPr>
              <w:t>1.9%</w:t>
            </w:r>
          </w:p>
          <w:p w:rsidR="009E3481" w:rsidRDefault="00CC5E9F">
            <w:pPr>
              <w:pStyle w:val="TextPI"/>
              <w:spacing w:before="0" w:after="0"/>
              <w:jc w:val="center"/>
              <w:rPr>
                <w:sz w:val="18"/>
                <w:szCs w:val="18"/>
              </w:rPr>
            </w:pPr>
            <w:r>
              <w:rPr>
                <w:sz w:val="18"/>
                <w:szCs w:val="18"/>
              </w:rPr>
              <w:t>(23/1200)</w:t>
            </w:r>
          </w:p>
        </w:tc>
      </w:tr>
      <w:tr w:rsidR="009E3481">
        <w:tc>
          <w:tcPr>
            <w:tcW w:w="1635" w:type="dxa"/>
          </w:tcPr>
          <w:p w:rsidR="009E3481" w:rsidRDefault="00CC5E9F">
            <w:pPr>
              <w:pStyle w:val="Default"/>
              <w:jc w:val="both"/>
              <w:rPr>
                <w:sz w:val="18"/>
                <w:szCs w:val="18"/>
              </w:rPr>
            </w:pPr>
            <w:r>
              <w:rPr>
                <w:sz w:val="18"/>
                <w:szCs w:val="18"/>
              </w:rPr>
              <w:t xml:space="preserve">AST ≥  3xULN </w:t>
            </w:r>
          </w:p>
        </w:tc>
        <w:tc>
          <w:tcPr>
            <w:tcW w:w="2159" w:type="dxa"/>
          </w:tcPr>
          <w:p w:rsidR="009E3481" w:rsidRDefault="00CC5E9F">
            <w:pPr>
              <w:pStyle w:val="Default"/>
              <w:rPr>
                <w:sz w:val="18"/>
                <w:szCs w:val="18"/>
              </w:rPr>
            </w:pPr>
            <w:r>
              <w:rPr>
                <w:sz w:val="18"/>
                <w:szCs w:val="18"/>
              </w:rPr>
              <w:t>Males: 11-36 U/L</w:t>
            </w:r>
          </w:p>
          <w:p w:rsidR="009E3481" w:rsidRDefault="00CC5E9F">
            <w:pPr>
              <w:pStyle w:val="TextPI"/>
              <w:spacing w:before="0" w:after="0"/>
              <w:jc w:val="left"/>
              <w:rPr>
                <w:sz w:val="18"/>
                <w:szCs w:val="18"/>
              </w:rPr>
            </w:pPr>
            <w:r>
              <w:rPr>
                <w:sz w:val="18"/>
                <w:szCs w:val="18"/>
              </w:rPr>
              <w:t>Females: 9-34 U/L</w:t>
            </w:r>
          </w:p>
        </w:tc>
        <w:tc>
          <w:tcPr>
            <w:tcW w:w="1134" w:type="dxa"/>
          </w:tcPr>
          <w:p w:rsidR="009E3481" w:rsidRDefault="00CC5E9F">
            <w:pPr>
              <w:pStyle w:val="TextPI"/>
              <w:spacing w:before="0" w:after="0"/>
              <w:jc w:val="center"/>
              <w:rPr>
                <w:sz w:val="18"/>
                <w:szCs w:val="18"/>
              </w:rPr>
            </w:pPr>
            <w:r>
              <w:rPr>
                <w:sz w:val="18"/>
                <w:szCs w:val="18"/>
              </w:rPr>
              <w:t>0.8%</w:t>
            </w:r>
          </w:p>
          <w:p w:rsidR="009E3481" w:rsidRDefault="00CC5E9F">
            <w:pPr>
              <w:pStyle w:val="TextPI"/>
              <w:spacing w:before="0" w:after="0"/>
              <w:jc w:val="center"/>
              <w:rPr>
                <w:sz w:val="18"/>
                <w:szCs w:val="18"/>
              </w:rPr>
            </w:pPr>
            <w:r>
              <w:rPr>
                <w:sz w:val="18"/>
                <w:szCs w:val="18"/>
              </w:rPr>
              <w:t>(1/129)</w:t>
            </w:r>
          </w:p>
          <w:p w:rsidR="009E3481" w:rsidRDefault="00CC5E9F">
            <w:pPr>
              <w:pStyle w:val="TextPI"/>
              <w:spacing w:before="0" w:after="0"/>
              <w:jc w:val="center"/>
              <w:rPr>
                <w:sz w:val="18"/>
                <w:szCs w:val="18"/>
              </w:rPr>
            </w:pPr>
            <w:r>
              <w:rPr>
                <w:sz w:val="18"/>
                <w:szCs w:val="18"/>
              </w:rPr>
              <w:t xml:space="preserve"> </w:t>
            </w:r>
          </w:p>
        </w:tc>
        <w:tc>
          <w:tcPr>
            <w:tcW w:w="1417" w:type="dxa"/>
          </w:tcPr>
          <w:p w:rsidR="009E3481" w:rsidRDefault="00CC5E9F">
            <w:pPr>
              <w:pStyle w:val="TextPI"/>
              <w:spacing w:before="0" w:after="0"/>
              <w:jc w:val="center"/>
              <w:rPr>
                <w:sz w:val="18"/>
                <w:szCs w:val="18"/>
              </w:rPr>
            </w:pPr>
            <w:r>
              <w:rPr>
                <w:sz w:val="18"/>
                <w:szCs w:val="18"/>
              </w:rPr>
              <w:t>1.4%</w:t>
            </w:r>
          </w:p>
          <w:p w:rsidR="009E3481" w:rsidRDefault="00CC5E9F">
            <w:pPr>
              <w:pStyle w:val="TextPI"/>
              <w:spacing w:before="0" w:after="0"/>
              <w:jc w:val="center"/>
              <w:rPr>
                <w:sz w:val="18"/>
                <w:szCs w:val="18"/>
              </w:rPr>
            </w:pPr>
            <w:r>
              <w:rPr>
                <w:sz w:val="18"/>
                <w:szCs w:val="18"/>
              </w:rPr>
              <w:t>(10/710)</w:t>
            </w:r>
          </w:p>
          <w:p w:rsidR="009E3481" w:rsidRDefault="009E3481">
            <w:pPr>
              <w:pStyle w:val="TextPI"/>
              <w:spacing w:before="0" w:after="0"/>
              <w:rPr>
                <w:sz w:val="18"/>
                <w:szCs w:val="18"/>
              </w:rPr>
            </w:pPr>
          </w:p>
        </w:tc>
        <w:tc>
          <w:tcPr>
            <w:tcW w:w="1417" w:type="dxa"/>
          </w:tcPr>
          <w:p w:rsidR="009E3481" w:rsidRDefault="00CC5E9F">
            <w:pPr>
              <w:pStyle w:val="TextPI"/>
              <w:spacing w:before="0" w:after="0"/>
              <w:jc w:val="center"/>
              <w:rPr>
                <w:sz w:val="18"/>
                <w:szCs w:val="18"/>
              </w:rPr>
            </w:pPr>
            <w:r>
              <w:rPr>
                <w:sz w:val="18"/>
                <w:szCs w:val="18"/>
              </w:rPr>
              <w:t>1.3%</w:t>
            </w:r>
          </w:p>
          <w:p w:rsidR="009E3481" w:rsidRDefault="00CC5E9F">
            <w:pPr>
              <w:pStyle w:val="TextPI"/>
              <w:spacing w:before="0" w:after="0"/>
              <w:jc w:val="center"/>
              <w:rPr>
                <w:sz w:val="18"/>
                <w:szCs w:val="18"/>
              </w:rPr>
            </w:pPr>
            <w:r>
              <w:rPr>
                <w:sz w:val="18"/>
                <w:szCs w:val="18"/>
              </w:rPr>
              <w:t>(16/1204)</w:t>
            </w:r>
          </w:p>
          <w:p w:rsidR="009E3481" w:rsidRDefault="009E3481">
            <w:pPr>
              <w:pStyle w:val="TextPI"/>
              <w:spacing w:before="0" w:after="0"/>
              <w:jc w:val="center"/>
              <w:rPr>
                <w:sz w:val="18"/>
                <w:szCs w:val="18"/>
              </w:rPr>
            </w:pPr>
          </w:p>
        </w:tc>
        <w:tc>
          <w:tcPr>
            <w:tcW w:w="1418" w:type="dxa"/>
          </w:tcPr>
          <w:p w:rsidR="009E3481" w:rsidRDefault="00CC5E9F">
            <w:pPr>
              <w:pStyle w:val="TextPI"/>
              <w:spacing w:before="0" w:after="0"/>
              <w:jc w:val="center"/>
              <w:rPr>
                <w:sz w:val="18"/>
                <w:szCs w:val="18"/>
              </w:rPr>
            </w:pPr>
            <w:r>
              <w:rPr>
                <w:sz w:val="18"/>
                <w:szCs w:val="18"/>
              </w:rPr>
              <w:t>2.0%</w:t>
            </w:r>
          </w:p>
          <w:p w:rsidR="009E3481" w:rsidRDefault="00CC5E9F">
            <w:pPr>
              <w:pStyle w:val="TextPI"/>
              <w:spacing w:before="0" w:after="0"/>
              <w:jc w:val="center"/>
              <w:rPr>
                <w:sz w:val="18"/>
                <w:szCs w:val="18"/>
              </w:rPr>
            </w:pPr>
            <w:r>
              <w:rPr>
                <w:sz w:val="18"/>
                <w:szCs w:val="18"/>
              </w:rPr>
              <w:t>(24/1200)</w:t>
            </w:r>
          </w:p>
        </w:tc>
      </w:tr>
      <w:tr w:rsidR="009E3481">
        <w:tc>
          <w:tcPr>
            <w:tcW w:w="1635" w:type="dxa"/>
          </w:tcPr>
          <w:p w:rsidR="009E3481" w:rsidRDefault="00CC5E9F">
            <w:pPr>
              <w:pStyle w:val="Default"/>
              <w:jc w:val="both"/>
              <w:rPr>
                <w:sz w:val="18"/>
                <w:szCs w:val="18"/>
              </w:rPr>
            </w:pPr>
            <w:r>
              <w:rPr>
                <w:sz w:val="18"/>
                <w:szCs w:val="18"/>
              </w:rPr>
              <w:t xml:space="preserve">Total bilirubin </w:t>
            </w:r>
          </w:p>
          <w:p w:rsidR="009E3481" w:rsidRDefault="00CC5E9F">
            <w:pPr>
              <w:pStyle w:val="Default"/>
              <w:jc w:val="both"/>
              <w:rPr>
                <w:sz w:val="18"/>
                <w:szCs w:val="18"/>
              </w:rPr>
            </w:pPr>
            <w:r>
              <w:rPr>
                <w:sz w:val="18"/>
                <w:szCs w:val="18"/>
              </w:rPr>
              <w:t xml:space="preserve">≥  2.0 mg/dL </w:t>
            </w:r>
          </w:p>
        </w:tc>
        <w:tc>
          <w:tcPr>
            <w:tcW w:w="2159" w:type="dxa"/>
          </w:tcPr>
          <w:p w:rsidR="009E3481" w:rsidRDefault="00CC5E9F">
            <w:pPr>
              <w:pStyle w:val="Default"/>
              <w:rPr>
                <w:sz w:val="18"/>
                <w:szCs w:val="18"/>
              </w:rPr>
            </w:pPr>
            <w:r>
              <w:rPr>
                <w:sz w:val="18"/>
                <w:szCs w:val="18"/>
              </w:rPr>
              <w:t>Both genders: 0.2-1.2 mg/dL</w:t>
            </w:r>
          </w:p>
        </w:tc>
        <w:tc>
          <w:tcPr>
            <w:tcW w:w="1134" w:type="dxa"/>
          </w:tcPr>
          <w:p w:rsidR="009E3481" w:rsidRDefault="00CC5E9F">
            <w:pPr>
              <w:pStyle w:val="TextPI"/>
              <w:spacing w:before="0" w:after="0"/>
              <w:jc w:val="center"/>
              <w:rPr>
                <w:sz w:val="18"/>
                <w:szCs w:val="18"/>
              </w:rPr>
            </w:pPr>
            <w:r>
              <w:rPr>
                <w:sz w:val="18"/>
                <w:szCs w:val="18"/>
              </w:rPr>
              <w:t>0.8%</w:t>
            </w:r>
          </w:p>
          <w:p w:rsidR="009E3481" w:rsidRDefault="00CC5E9F">
            <w:pPr>
              <w:pStyle w:val="TextPI"/>
              <w:spacing w:before="0" w:after="0"/>
              <w:jc w:val="center"/>
              <w:rPr>
                <w:sz w:val="18"/>
                <w:szCs w:val="18"/>
              </w:rPr>
            </w:pPr>
            <w:r>
              <w:rPr>
                <w:sz w:val="18"/>
                <w:szCs w:val="18"/>
              </w:rPr>
              <w:t>(1/129)</w:t>
            </w:r>
          </w:p>
        </w:tc>
        <w:tc>
          <w:tcPr>
            <w:tcW w:w="1417" w:type="dxa"/>
          </w:tcPr>
          <w:p w:rsidR="009E3481" w:rsidRDefault="00CC5E9F">
            <w:pPr>
              <w:pStyle w:val="TextPI"/>
              <w:spacing w:before="0" w:after="0"/>
              <w:jc w:val="center"/>
              <w:rPr>
                <w:sz w:val="18"/>
                <w:szCs w:val="18"/>
              </w:rPr>
            </w:pPr>
            <w:r>
              <w:rPr>
                <w:sz w:val="18"/>
                <w:szCs w:val="18"/>
              </w:rPr>
              <w:t>0.3%</w:t>
            </w:r>
          </w:p>
          <w:p w:rsidR="009E3481" w:rsidRDefault="00CC5E9F">
            <w:pPr>
              <w:pStyle w:val="TextPI"/>
              <w:spacing w:before="0" w:after="0"/>
              <w:jc w:val="center"/>
              <w:rPr>
                <w:sz w:val="18"/>
                <w:szCs w:val="18"/>
              </w:rPr>
            </w:pPr>
            <w:r>
              <w:rPr>
                <w:sz w:val="18"/>
                <w:szCs w:val="18"/>
              </w:rPr>
              <w:t>(2/711)</w:t>
            </w:r>
          </w:p>
        </w:tc>
        <w:tc>
          <w:tcPr>
            <w:tcW w:w="1417" w:type="dxa"/>
          </w:tcPr>
          <w:p w:rsidR="009E3481" w:rsidRDefault="00CC5E9F">
            <w:pPr>
              <w:pStyle w:val="TextPI"/>
              <w:spacing w:before="0" w:after="0"/>
              <w:jc w:val="center"/>
              <w:rPr>
                <w:sz w:val="18"/>
                <w:szCs w:val="18"/>
              </w:rPr>
            </w:pPr>
            <w:r>
              <w:rPr>
                <w:sz w:val="18"/>
                <w:szCs w:val="18"/>
              </w:rPr>
              <w:t>0.5%</w:t>
            </w:r>
          </w:p>
          <w:p w:rsidR="009E3481" w:rsidRDefault="00CC5E9F">
            <w:pPr>
              <w:pStyle w:val="TextPI"/>
              <w:spacing w:before="0" w:after="0"/>
              <w:jc w:val="center"/>
              <w:rPr>
                <w:sz w:val="18"/>
                <w:szCs w:val="18"/>
              </w:rPr>
            </w:pPr>
            <w:r>
              <w:rPr>
                <w:sz w:val="18"/>
                <w:szCs w:val="18"/>
              </w:rPr>
              <w:t>(6/1204)</w:t>
            </w:r>
          </w:p>
        </w:tc>
        <w:tc>
          <w:tcPr>
            <w:tcW w:w="1418" w:type="dxa"/>
          </w:tcPr>
          <w:p w:rsidR="009E3481" w:rsidRDefault="00CC5E9F">
            <w:pPr>
              <w:pStyle w:val="TextPI"/>
              <w:spacing w:before="0" w:after="0"/>
              <w:jc w:val="center"/>
              <w:rPr>
                <w:sz w:val="18"/>
                <w:szCs w:val="18"/>
              </w:rPr>
            </w:pPr>
            <w:r>
              <w:rPr>
                <w:sz w:val="18"/>
                <w:szCs w:val="18"/>
              </w:rPr>
              <w:t>1.0%</w:t>
            </w:r>
          </w:p>
          <w:p w:rsidR="009E3481" w:rsidRDefault="00CC5E9F">
            <w:pPr>
              <w:pStyle w:val="TextPI"/>
              <w:spacing w:before="0" w:after="0"/>
              <w:jc w:val="center"/>
              <w:rPr>
                <w:sz w:val="18"/>
                <w:szCs w:val="18"/>
              </w:rPr>
            </w:pPr>
            <w:r>
              <w:rPr>
                <w:sz w:val="18"/>
                <w:szCs w:val="18"/>
              </w:rPr>
              <w:t>(12/1200)</w:t>
            </w:r>
          </w:p>
        </w:tc>
      </w:tr>
    </w:tbl>
    <w:p w:rsidR="009E3481" w:rsidRDefault="00CC5E9F">
      <w:pPr>
        <w:autoSpaceDE w:val="0"/>
        <w:autoSpaceDN w:val="0"/>
        <w:adjustRightInd w:val="0"/>
        <w:rPr>
          <w:rFonts w:ascii="Arial" w:hAnsi="Arial" w:cs="Arial"/>
          <w:sz w:val="16"/>
          <w:szCs w:val="16"/>
        </w:rPr>
      </w:pPr>
      <w:r>
        <w:rPr>
          <w:rFonts w:ascii="Arial" w:hAnsi="Arial" w:cs="Arial"/>
          <w:sz w:val="16"/>
          <w:szCs w:val="16"/>
        </w:rPr>
        <w:t xml:space="preserve">Percentages are based on the number of patients with post-baseline laboratory data. </w:t>
      </w:r>
    </w:p>
    <w:p w:rsidR="009E3481" w:rsidRDefault="00CC5E9F">
      <w:pPr>
        <w:autoSpaceDE w:val="0"/>
        <w:autoSpaceDN w:val="0"/>
        <w:adjustRightInd w:val="0"/>
        <w:rPr>
          <w:rFonts w:ascii="Arial" w:hAnsi="Arial" w:cs="Arial"/>
          <w:sz w:val="16"/>
          <w:szCs w:val="16"/>
        </w:rPr>
      </w:pPr>
      <w:r>
        <w:rPr>
          <w:rFonts w:ascii="Arial" w:hAnsi="Arial" w:cs="Arial"/>
          <w:sz w:val="16"/>
          <w:szCs w:val="16"/>
        </w:rPr>
        <w:t xml:space="preserve">* Normal values across age groups as reported by the central laboratory. ULN = upper limit of normal. </w:t>
      </w:r>
    </w:p>
    <w:p w:rsidR="009E3481" w:rsidRDefault="00CC5E9F">
      <w:pPr>
        <w:pStyle w:val="TextPI"/>
        <w:spacing w:before="0" w:after="0" w:line="240" w:lineRule="auto"/>
        <w:rPr>
          <w:rFonts w:cs="Arial"/>
          <w:sz w:val="16"/>
          <w:szCs w:val="16"/>
        </w:rPr>
      </w:pPr>
      <w:r>
        <w:rPr>
          <w:rFonts w:cs="Arial"/>
          <w:sz w:val="16"/>
          <w:szCs w:val="16"/>
          <w:vertAlign w:val="superscript"/>
        </w:rPr>
        <w:t>†</w:t>
      </w:r>
      <w:r>
        <w:rPr>
          <w:rFonts w:cs="Arial"/>
          <w:sz w:val="16"/>
          <w:szCs w:val="16"/>
        </w:rPr>
        <w:t>Of the patients who received allopurinol, 10 received 100 mg, 145 received 200 mg, and 1122 received 300 mg based on the level of renal impairment.</w:t>
      </w:r>
    </w:p>
    <w:bookmarkEnd w:id="1"/>
    <w:p w:rsidR="005A754D" w:rsidRDefault="005A754D">
      <w:pPr>
        <w:pStyle w:val="TextPI"/>
        <w:rPr>
          <w:b/>
        </w:rPr>
      </w:pPr>
    </w:p>
    <w:p w:rsidR="009E3481" w:rsidRDefault="00CC5E9F">
      <w:pPr>
        <w:pStyle w:val="TextPI"/>
      </w:pPr>
      <w:r>
        <w:rPr>
          <w:b/>
        </w:rPr>
        <w:t>DOSAGE AND ADMINISTRATION</w:t>
      </w:r>
    </w:p>
    <w:p w:rsidR="00A61EE8" w:rsidRPr="006C3AE1" w:rsidRDefault="00A61EE8" w:rsidP="006C3AE1">
      <w:pPr>
        <w:pStyle w:val="TextPI"/>
      </w:pPr>
      <w:r w:rsidRPr="006C3AE1">
        <w:t>The recommended oral dose of ADENURIC is 40mg or 80mg once daily with or without food.  The recommended starting dose of ADENURIC is 40 mg once daily. If serum uric acid (</w:t>
      </w:r>
      <w:proofErr w:type="spellStart"/>
      <w:r w:rsidRPr="006C3AE1">
        <w:t>sUA</w:t>
      </w:r>
      <w:proofErr w:type="spellEnd"/>
      <w:r w:rsidRPr="006C3AE1">
        <w:t>) is greater than 357μmol/L (6 mg/</w:t>
      </w:r>
      <w:proofErr w:type="spellStart"/>
      <w:r w:rsidRPr="006C3AE1">
        <w:t>dL</w:t>
      </w:r>
      <w:proofErr w:type="spellEnd"/>
      <w:r w:rsidRPr="006C3AE1">
        <w:t>) after 2-4  weeks, ADENURIC</w:t>
      </w:r>
      <w:r>
        <w:t xml:space="preserve"> </w:t>
      </w:r>
      <w:r w:rsidRPr="006C3AE1">
        <w:t>80 mg once daily is recommended. The 80mg tablet can be split into two equal halves in order to provide a 40mg dose. Prescribers should advise patients on how to break the tablets in half.</w:t>
      </w:r>
      <w:r w:rsidRPr="006C3AE1">
        <w:br/>
      </w:r>
      <w:r w:rsidRPr="006C3AE1">
        <w:br/>
        <w:t>Testing for the target serum uric acid level of less than 357μmol/L (6 mg/</w:t>
      </w:r>
      <w:proofErr w:type="spellStart"/>
      <w:r w:rsidRPr="006C3AE1">
        <w:t>dL</w:t>
      </w:r>
      <w:proofErr w:type="spellEnd"/>
      <w:r w:rsidRPr="006C3AE1">
        <w:t>)  may be performed as early as two weeks after initiating ADENURIC</w:t>
      </w:r>
      <w:r>
        <w:t xml:space="preserve"> </w:t>
      </w:r>
      <w:r w:rsidRPr="006C3AE1">
        <w:t>therapy.</w:t>
      </w:r>
    </w:p>
    <w:p w:rsidR="009E3481" w:rsidRDefault="00CC5E9F" w:rsidP="003B6DEB">
      <w:pPr>
        <w:pStyle w:val="TextPI"/>
        <w:rPr>
          <w:b/>
        </w:rPr>
      </w:pPr>
      <w:r>
        <w:t xml:space="preserve">Gout flare prophylaxis of up to 6 months is recommended </w:t>
      </w:r>
      <w:r>
        <w:rPr>
          <w:b/>
        </w:rPr>
        <w:t>(</w:t>
      </w:r>
      <w:r w:rsidR="003B6DEB">
        <w:rPr>
          <w:b/>
        </w:rPr>
        <w:t>s</w:t>
      </w:r>
      <w:r>
        <w:rPr>
          <w:b/>
        </w:rPr>
        <w:t>ee Precautions, Acute Gouty Attacks</w:t>
      </w:r>
      <w:r w:rsidR="003B6DEB">
        <w:rPr>
          <w:b/>
        </w:rPr>
        <w:t xml:space="preserve"> </w:t>
      </w:r>
      <w:r>
        <w:rPr>
          <w:b/>
        </w:rPr>
        <w:t>(gout flares)).</w:t>
      </w:r>
    </w:p>
    <w:p w:rsidR="009E3481" w:rsidRDefault="00CC5E9F">
      <w:pPr>
        <w:pStyle w:val="TextPI"/>
      </w:pPr>
      <w:r>
        <w:rPr>
          <w:u w:val="single"/>
        </w:rPr>
        <w:t>Elderly</w:t>
      </w:r>
    </w:p>
    <w:p w:rsidR="009E3481" w:rsidRDefault="00CC5E9F">
      <w:pPr>
        <w:pStyle w:val="TextPI"/>
        <w:rPr>
          <w:i/>
        </w:rPr>
      </w:pPr>
      <w:r>
        <w:t>No dose adjustment is required in the elderly.</w:t>
      </w:r>
    </w:p>
    <w:p w:rsidR="009E3481" w:rsidRDefault="00CC5E9F">
      <w:pPr>
        <w:pStyle w:val="PIHeading3"/>
      </w:pPr>
      <w:r>
        <w:t xml:space="preserve">Renal impairment </w:t>
      </w:r>
    </w:p>
    <w:p w:rsidR="009E3481" w:rsidRDefault="00CC5E9F">
      <w:pPr>
        <w:pStyle w:val="TextPI"/>
      </w:pPr>
      <w:r>
        <w:t>No dosage adjustment is necessary in patients with mild or moderate renal impairment (Clcr 30 to 89 mL/min, Stages 2-3 CKD</w:t>
      </w:r>
      <w:r w:rsidR="00D61288">
        <w:t>).</w:t>
      </w:r>
    </w:p>
    <w:p w:rsidR="009E3481" w:rsidRDefault="00CC5E9F">
      <w:pPr>
        <w:pStyle w:val="TextPI"/>
      </w:pPr>
      <w:r>
        <w:lastRenderedPageBreak/>
        <w:t>Caution should be exercised in patients with severe renal i</w:t>
      </w:r>
      <w:r w:rsidR="003B6DEB">
        <w:t xml:space="preserve">mpairment (creatinine clearance </w:t>
      </w:r>
      <w:r>
        <w:t xml:space="preserve">&lt; 30ml/ min, Stage 4 CKD, see </w:t>
      </w:r>
      <w:r>
        <w:rPr>
          <w:b/>
        </w:rPr>
        <w:t>Pharmacokinetics</w:t>
      </w:r>
      <w:r>
        <w:t>). The efficacy and safety has not been full</w:t>
      </w:r>
      <w:r w:rsidR="003B6DEB">
        <w:t>y evaluated in these patients (s</w:t>
      </w:r>
      <w:r>
        <w:t xml:space="preserve">ee </w:t>
      </w:r>
      <w:r>
        <w:rPr>
          <w:b/>
        </w:rPr>
        <w:t>Precautions</w:t>
      </w:r>
      <w:r>
        <w:t>).</w:t>
      </w:r>
    </w:p>
    <w:p w:rsidR="009E3481" w:rsidRDefault="00CC5E9F">
      <w:pPr>
        <w:pStyle w:val="PIHeading3"/>
      </w:pPr>
      <w:r>
        <w:t>Hepatic impairment</w:t>
      </w:r>
    </w:p>
    <w:p w:rsidR="009E3481" w:rsidRDefault="00CC5E9F">
      <w:pPr>
        <w:pStyle w:val="TextPI"/>
      </w:pPr>
      <w:r>
        <w:t>The efficacy and safety of febuxostat has not been studied in patients with severe hepatic impairment (Child Pugh Class C). Caution should b</w:t>
      </w:r>
      <w:r w:rsidR="003B6DEB">
        <w:t>e exercised in these patients (s</w:t>
      </w:r>
      <w:r>
        <w:t xml:space="preserve">ee </w:t>
      </w:r>
      <w:r>
        <w:rPr>
          <w:b/>
        </w:rPr>
        <w:t>Precautions</w:t>
      </w:r>
      <w:r>
        <w:t xml:space="preserve">). </w:t>
      </w:r>
    </w:p>
    <w:p w:rsidR="009E3481" w:rsidRDefault="00CC5E9F">
      <w:pPr>
        <w:pStyle w:val="TextPI"/>
      </w:pPr>
      <w:r>
        <w:t>Limited information is available in patients with moderate hepatic impairment.</w:t>
      </w:r>
      <w:r>
        <w:rPr>
          <w:lang w:eastAsia="ja-JP"/>
        </w:rPr>
        <w:t xml:space="preserve"> No dosage adjustment is necessary in patients with mild hepatic impairment.</w:t>
      </w:r>
    </w:p>
    <w:p w:rsidR="009E3481" w:rsidRDefault="00CC5E9F">
      <w:pPr>
        <w:pStyle w:val="PIHeading1"/>
        <w:rPr>
          <w:rFonts w:hint="eastAsia"/>
        </w:rPr>
      </w:pPr>
      <w:r>
        <w:t>OVERDOSAGE</w:t>
      </w:r>
    </w:p>
    <w:p w:rsidR="009E3481" w:rsidRDefault="00CC5E9F">
      <w:pPr>
        <w:pStyle w:val="TextPI"/>
      </w:pPr>
      <w:r>
        <w:t>In case of overdose, immediately contact the Poisons Information Centre on 13 11 26 for advice. Patients with an overdose should be managed by symptomatic and supportive care.</w:t>
      </w:r>
    </w:p>
    <w:p w:rsidR="009E3481" w:rsidRDefault="00CC5E9F">
      <w:pPr>
        <w:pStyle w:val="PIHeading1"/>
        <w:rPr>
          <w:rFonts w:hint="eastAsia"/>
        </w:rPr>
      </w:pPr>
      <w:r>
        <w:t>PRESENTATION and storage conditions</w:t>
      </w:r>
    </w:p>
    <w:p w:rsidR="009E3481" w:rsidRDefault="00CC5E9F">
      <w:pPr>
        <w:pStyle w:val="TextPI"/>
      </w:pPr>
      <w:r>
        <w:t>ADENURIC 80 mg tablets are pale yellow to yellow, film-coated, rectangular shaped tablets  with a break line on one side and ‘80’  engraved on the other side.  They are immediate release tablets containing 80 mg of febuxostat as the active substance.</w:t>
      </w:r>
    </w:p>
    <w:p w:rsidR="009E3481" w:rsidRDefault="00CC5E9F">
      <w:pPr>
        <w:pStyle w:val="TextPI"/>
      </w:pPr>
      <w:r>
        <w:t>Shelf life: 3 years</w:t>
      </w:r>
    </w:p>
    <w:p w:rsidR="009E3481" w:rsidRDefault="00CC5E9F">
      <w:pPr>
        <w:pStyle w:val="TextPI"/>
      </w:pPr>
      <w:r>
        <w:t>Store below 30°C.</w:t>
      </w:r>
    </w:p>
    <w:p w:rsidR="009E3481" w:rsidRDefault="00CC5E9F">
      <w:pPr>
        <w:pStyle w:val="TextPI"/>
      </w:pPr>
      <w:r>
        <w:t xml:space="preserve">ADENURIC tablets are packed in clear (Aclar/PVC/Aluminium) blisters of 14 film-coated tablets. Two blisters are available in each pack of 28 tablets. Packs of 4 or 8 tablets contain either one or two blisters of 4 tablets, respectively. </w:t>
      </w:r>
    </w:p>
    <w:p w:rsidR="009E3481" w:rsidRDefault="00CC5E9F">
      <w:pPr>
        <w:pStyle w:val="TextPI"/>
        <w:rPr>
          <w:lang w:val="en-AU"/>
        </w:rPr>
      </w:pPr>
      <w:r>
        <w:t>ADENURIC 80 mg tablets are available in packs of 4, 8 or 28 film-coated tablets*.</w:t>
      </w:r>
    </w:p>
    <w:p w:rsidR="009E3481" w:rsidRDefault="00CC5E9F">
      <w:pPr>
        <w:pStyle w:val="TextPI"/>
        <w:rPr>
          <w:lang w:val="en-AU"/>
        </w:rPr>
      </w:pPr>
      <w:r>
        <w:t>*Not all pack sizes may be marketed.</w:t>
      </w:r>
    </w:p>
    <w:p w:rsidR="009E3481" w:rsidRDefault="00CC5E9F">
      <w:pPr>
        <w:pStyle w:val="PIHeading1"/>
        <w:rPr>
          <w:rFonts w:hint="eastAsia"/>
        </w:rPr>
      </w:pPr>
      <w:r>
        <w:t xml:space="preserve">NAME </w:t>
      </w:r>
      <w:smartTag w:uri="urn:schemas-microsoft-com:office:smarttags" w:element="stockticker">
        <w:r>
          <w:t>AND</w:t>
        </w:r>
      </w:smartTag>
      <w:r>
        <w:t xml:space="preserve"> ADDRESS OF THE SPONSOR</w:t>
      </w:r>
    </w:p>
    <w:p w:rsidR="009E3481" w:rsidRDefault="00CC5E9F">
      <w:pPr>
        <w:pStyle w:val="TextPI"/>
        <w:spacing w:before="0" w:after="0" w:line="240" w:lineRule="auto"/>
      </w:pPr>
      <w:r>
        <w:t>A. Menarini Australia Pty Ltd</w:t>
      </w:r>
    </w:p>
    <w:p w:rsidR="009E3481" w:rsidRDefault="00CC5E9F">
      <w:pPr>
        <w:pStyle w:val="TextPI"/>
        <w:spacing w:before="0" w:after="0" w:line="240" w:lineRule="auto"/>
      </w:pPr>
      <w:r>
        <w:t>Level 8, 67 Albert Ave,</w:t>
      </w:r>
    </w:p>
    <w:p w:rsidR="009E3481" w:rsidRDefault="00CC5E9F">
      <w:pPr>
        <w:pStyle w:val="TextPI"/>
        <w:spacing w:before="0" w:after="0" w:line="240" w:lineRule="auto"/>
      </w:pPr>
      <w:r>
        <w:t>Chatswood NSW 2067</w:t>
      </w:r>
    </w:p>
    <w:p w:rsidR="009E3481" w:rsidRDefault="00CC5E9F">
      <w:pPr>
        <w:pStyle w:val="PIHeading1"/>
        <w:rPr>
          <w:rFonts w:hint="eastAsia"/>
        </w:rPr>
      </w:pPr>
      <w:r>
        <w:t>POISON SCHEDULE OF THE MEDICINE</w:t>
      </w:r>
    </w:p>
    <w:p w:rsidR="009E3481" w:rsidRDefault="00CC5E9F">
      <w:pPr>
        <w:pStyle w:val="TextPI"/>
      </w:pPr>
      <w:r>
        <w:t>S4 – Prescription Only Medicine</w:t>
      </w:r>
    </w:p>
    <w:p w:rsidR="009E3481" w:rsidRDefault="00CC5E9F">
      <w:pPr>
        <w:pStyle w:val="PIHeading1"/>
        <w:tabs>
          <w:tab w:val="clear" w:pos="1418"/>
          <w:tab w:val="left" w:pos="0"/>
        </w:tabs>
        <w:ind w:left="0" w:firstLine="0"/>
        <w:jc w:val="left"/>
        <w:rPr>
          <w:rFonts w:hint="eastAsia"/>
          <w:bCs/>
          <w:lang w:val="en-AU"/>
        </w:rPr>
      </w:pPr>
      <w:r>
        <w:rPr>
          <w:bCs/>
          <w:lang w:val="en-AU"/>
        </w:rPr>
        <w:t>Date of first inclusion in the Australian Register of Therapeutic Goods (the ARTG)</w:t>
      </w:r>
    </w:p>
    <w:p w:rsidR="009E3481" w:rsidRDefault="00CC5E9F">
      <w:pPr>
        <w:pStyle w:val="TextPI"/>
      </w:pPr>
      <w:r>
        <w:t>DD Month YYYY</w:t>
      </w:r>
    </w:p>
    <w:p w:rsidR="009E3481" w:rsidRDefault="00CC5E9F">
      <w:pPr>
        <w:pStyle w:val="PIHeading1"/>
        <w:tabs>
          <w:tab w:val="clear" w:pos="1418"/>
          <w:tab w:val="left" w:pos="0"/>
        </w:tabs>
        <w:ind w:left="0" w:firstLine="0"/>
        <w:jc w:val="left"/>
        <w:rPr>
          <w:rFonts w:hint="eastAsia"/>
        </w:rPr>
      </w:pPr>
      <w:r>
        <w:t>Date of most recent amendment</w:t>
      </w:r>
    </w:p>
    <w:p w:rsidR="005A754D" w:rsidRDefault="005A754D" w:rsidP="005A754D">
      <w:pPr>
        <w:pStyle w:val="TextPI"/>
      </w:pPr>
      <w:r>
        <w:t>DD Month YYYY</w:t>
      </w:r>
    </w:p>
    <w:p w:rsidR="009E3481" w:rsidRDefault="009E3481">
      <w:pPr>
        <w:pStyle w:val="TextPI"/>
        <w:rPr>
          <w:lang w:val="en-AU"/>
        </w:rPr>
      </w:pPr>
    </w:p>
    <w:p w:rsidR="009E3481" w:rsidRDefault="009E3481">
      <w:pPr>
        <w:pStyle w:val="TextPI"/>
        <w:rPr>
          <w:lang w:val="en-AU"/>
        </w:rPr>
      </w:pPr>
    </w:p>
    <w:p w:rsidR="009E3481" w:rsidRDefault="00CC5E9F">
      <w:pPr>
        <w:pStyle w:val="TextPI"/>
      </w:pPr>
      <w:r>
        <w:t>ADENURIC® is a trademark of Teijin Limited, Tokyo, Japan.</w:t>
      </w:r>
    </w:p>
    <w:sectPr w:rsidR="009E3481" w:rsidSect="009E3481">
      <w:headerReference w:type="even" r:id="rId10"/>
      <w:headerReference w:type="default" r:id="rId11"/>
      <w:footerReference w:type="even" r:id="rId12"/>
      <w:footerReference w:type="default" r:id="rId13"/>
      <w:headerReference w:type="first" r:id="rId14"/>
      <w:footerReference w:type="first" r:id="rId15"/>
      <w:pgSz w:w="11923" w:h="16834" w:code="9"/>
      <w:pgMar w:top="1276"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3AE1" w:rsidRDefault="006C3AE1">
      <w:r>
        <w:separator/>
      </w:r>
    </w:p>
  </w:endnote>
  <w:endnote w:type="continuationSeparator" w:id="0">
    <w:p w:rsidR="006C3AE1" w:rsidRDefault="006C3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Arial Bold">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TimesNewRoman">
    <w:altName w:val="MS Mincho"/>
    <w:panose1 w:val="00000000000000000000"/>
    <w:charset w:val="80"/>
    <w:family w:val="auto"/>
    <w:notTrueType/>
    <w:pitch w:val="default"/>
    <w:sig w:usb0="00000003" w:usb1="08070000" w:usb2="00000010" w:usb3="00000000" w:csb0="00020001"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1C22" w:rsidRDefault="008E1C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097344"/>
      <w:docPartObj>
        <w:docPartGallery w:val="Page Numbers (Bottom of Page)"/>
        <w:docPartUnique/>
      </w:docPartObj>
    </w:sdtPr>
    <w:sdtEndPr/>
    <w:sdtContent>
      <w:p w:rsidR="006C3AE1" w:rsidRDefault="0014131A">
        <w:pPr>
          <w:pStyle w:val="Footer"/>
          <w:jc w:val="right"/>
        </w:pPr>
        <w:r>
          <w:fldChar w:fldCharType="begin"/>
        </w:r>
        <w:r>
          <w:instrText xml:space="preserve"> PAGE   \* MERGEFORMAT </w:instrText>
        </w:r>
        <w:r>
          <w:fldChar w:fldCharType="separate"/>
        </w:r>
        <w:r w:rsidR="00A74845">
          <w:rPr>
            <w:noProof/>
          </w:rPr>
          <w:t>1</w:t>
        </w:r>
        <w:r>
          <w:rPr>
            <w:noProof/>
          </w:rPr>
          <w:fldChar w:fldCharType="end"/>
        </w:r>
      </w:p>
    </w:sdtContent>
  </w:sdt>
  <w:p w:rsidR="006C3AE1" w:rsidRDefault="006C3AE1">
    <w:pPr>
      <w:pStyle w:val="Footer"/>
    </w:pPr>
    <w:proofErr w:type="spellStart"/>
    <w:r>
      <w:t>ADEi</w:t>
    </w:r>
    <w:proofErr w:type="spellEnd"/>
    <w:r>
      <w:t>-Draft 140618</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1C22" w:rsidRDefault="008E1C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3AE1" w:rsidRDefault="006C3AE1">
      <w:r>
        <w:separator/>
      </w:r>
    </w:p>
  </w:footnote>
  <w:footnote w:type="continuationSeparator" w:id="0">
    <w:p w:rsidR="006C3AE1" w:rsidRDefault="006C3A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1C22" w:rsidRDefault="008E1C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shd w:val="clear" w:color="auto" w:fill="E4F2E0"/>
      <w:tblLook w:val="04A0" w:firstRow="1" w:lastRow="0" w:firstColumn="1" w:lastColumn="0" w:noHBand="0" w:noVBand="1"/>
    </w:tblPr>
    <w:tblGrid>
      <w:gridCol w:w="8720"/>
    </w:tblGrid>
    <w:tr w:rsidR="008E1C22" w:rsidTr="00D41DDD">
      <w:tc>
        <w:tcPr>
          <w:tcW w:w="8720" w:type="dxa"/>
          <w:shd w:val="clear" w:color="auto" w:fill="E4F2E0"/>
        </w:tcPr>
        <w:p w:rsidR="008E1C22" w:rsidRPr="008E1C22" w:rsidRDefault="008E1C22" w:rsidP="00D41DDD">
          <w:pPr>
            <w:spacing w:before="40" w:after="40"/>
            <w:rPr>
              <w:rFonts w:ascii="Cambria" w:hAnsi="Cambria"/>
              <w:b/>
              <w:sz w:val="20"/>
            </w:rPr>
          </w:pPr>
          <w:r w:rsidRPr="008E1C22">
            <w:rPr>
              <w:rFonts w:ascii="Cambria" w:hAnsi="Cambria"/>
              <w:b/>
              <w:sz w:val="20"/>
            </w:rPr>
            <w:t xml:space="preserve">Attachment 1: Product information for </w:t>
          </w:r>
          <w:proofErr w:type="spellStart"/>
          <w:r w:rsidRPr="008E1C22">
            <w:rPr>
              <w:rFonts w:ascii="Cambria" w:hAnsi="Cambria"/>
              <w:b/>
              <w:sz w:val="20"/>
            </w:rPr>
            <w:t>AusPAR</w:t>
          </w:r>
          <w:proofErr w:type="spellEnd"/>
          <w:r w:rsidRPr="008E1C22">
            <w:rPr>
              <w:rFonts w:ascii="Cambria" w:hAnsi="Cambria"/>
              <w:b/>
              <w:sz w:val="20"/>
            </w:rPr>
            <w:t xml:space="preserve"> </w:t>
          </w:r>
          <w:proofErr w:type="spellStart"/>
          <w:r w:rsidRPr="008E1C22">
            <w:rPr>
              <w:rFonts w:ascii="Cambria" w:hAnsi="Cambria"/>
              <w:b/>
              <w:sz w:val="20"/>
            </w:rPr>
            <w:t>Adenuric</w:t>
          </w:r>
          <w:proofErr w:type="spellEnd"/>
          <w:r w:rsidRPr="008E1C22">
            <w:rPr>
              <w:rFonts w:ascii="Cambria" w:hAnsi="Cambria"/>
              <w:b/>
              <w:sz w:val="20"/>
            </w:rPr>
            <w:t xml:space="preserve"> </w:t>
          </w:r>
          <w:proofErr w:type="spellStart"/>
          <w:r w:rsidRPr="008E1C22">
            <w:rPr>
              <w:rFonts w:ascii="Cambria" w:hAnsi="Cambria"/>
              <w:b/>
              <w:sz w:val="20"/>
            </w:rPr>
            <w:t>Febuxostat</w:t>
          </w:r>
          <w:proofErr w:type="spellEnd"/>
          <w:r w:rsidRPr="008E1C22">
            <w:rPr>
              <w:rFonts w:ascii="Cambria" w:hAnsi="Cambria"/>
              <w:b/>
              <w:sz w:val="20"/>
            </w:rPr>
            <w:t xml:space="preserve"> </w:t>
          </w:r>
          <w:r w:rsidRPr="008E1C22">
            <w:rPr>
              <w:rFonts w:ascii="Cambria" w:hAnsi="Cambria"/>
              <w:b/>
              <w:kern w:val="2"/>
              <w:sz w:val="20"/>
            </w:rPr>
            <w:t xml:space="preserve">A. </w:t>
          </w:r>
          <w:proofErr w:type="spellStart"/>
          <w:r w:rsidRPr="008E1C22">
            <w:rPr>
              <w:rFonts w:ascii="Cambria" w:hAnsi="Cambria"/>
              <w:b/>
              <w:kern w:val="2"/>
              <w:sz w:val="20"/>
            </w:rPr>
            <w:t>Menarini</w:t>
          </w:r>
          <w:proofErr w:type="spellEnd"/>
          <w:r w:rsidRPr="008E1C22">
            <w:rPr>
              <w:rFonts w:ascii="Cambria" w:hAnsi="Cambria"/>
              <w:b/>
              <w:kern w:val="2"/>
              <w:sz w:val="20"/>
            </w:rPr>
            <w:t xml:space="preserve"> Australia Pty Ltd</w:t>
          </w:r>
          <w:r w:rsidRPr="008E1C22">
            <w:rPr>
              <w:rFonts w:ascii="Cambria" w:hAnsi="Cambria"/>
              <w:b/>
              <w:sz w:val="20"/>
            </w:rPr>
            <w:t xml:space="preserve"> </w:t>
          </w:r>
          <w:r w:rsidRPr="008E1C22">
            <w:rPr>
              <w:rFonts w:ascii="Cambria" w:hAnsi="Cambria"/>
              <w:b/>
              <w:kern w:val="2"/>
              <w:sz w:val="20"/>
            </w:rPr>
            <w:t xml:space="preserve">PM-2012-03425-1-3  8 </w:t>
          </w:r>
          <w:r w:rsidRPr="008E1C22">
            <w:rPr>
              <w:rFonts w:ascii="Cambria" w:hAnsi="Cambria"/>
              <w:b/>
              <w:sz w:val="20"/>
            </w:rPr>
            <w:t>January 2015. This Product Information was approved at the time this AusPAR was published.</w:t>
          </w:r>
        </w:p>
      </w:tc>
    </w:tr>
  </w:tbl>
  <w:p w:rsidR="006C3AE1" w:rsidRDefault="006C3AE1">
    <w:pPr>
      <w:tabs>
        <w:tab w:val="left" w:pos="3403"/>
        <w:tab w:val="center" w:pos="7938"/>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1C22" w:rsidRDefault="008E1C2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55CB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204016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nsid w:val="02576E8D"/>
    <w:multiLevelType w:val="singleLevel"/>
    <w:tmpl w:val="0809000F"/>
    <w:lvl w:ilvl="0">
      <w:start w:val="1"/>
      <w:numFmt w:val="decimal"/>
      <w:lvlText w:val="%1."/>
      <w:lvlJc w:val="left"/>
      <w:pPr>
        <w:tabs>
          <w:tab w:val="num" w:pos="360"/>
        </w:tabs>
        <w:ind w:left="360" w:hanging="360"/>
      </w:pPr>
    </w:lvl>
  </w:abstractNum>
  <w:abstractNum w:abstractNumId="3">
    <w:nsid w:val="098859E4"/>
    <w:multiLevelType w:val="singleLevel"/>
    <w:tmpl w:val="4DE4A550"/>
    <w:lvl w:ilvl="0">
      <w:numFmt w:val="bullet"/>
      <w:lvlText w:val="-"/>
      <w:lvlJc w:val="left"/>
      <w:pPr>
        <w:tabs>
          <w:tab w:val="num" w:pos="384"/>
        </w:tabs>
        <w:ind w:left="384" w:hanging="384"/>
      </w:pPr>
      <w:rPr>
        <w:rFonts w:hint="default"/>
      </w:rPr>
    </w:lvl>
  </w:abstractNum>
  <w:abstractNum w:abstractNumId="4">
    <w:nsid w:val="0A853A2F"/>
    <w:multiLevelType w:val="hybridMultilevel"/>
    <w:tmpl w:val="B2FE6638"/>
    <w:lvl w:ilvl="0" w:tplc="CB40CDF8">
      <w:start w:val="1"/>
      <w:numFmt w:val="bullet"/>
      <w:lvlText w:val=""/>
      <w:lvlJc w:val="left"/>
      <w:pPr>
        <w:ind w:left="360" w:hanging="360"/>
      </w:pPr>
      <w:rPr>
        <w:rFonts w:ascii="Symbol" w:hAnsi="Symbol" w:hint="default"/>
      </w:rPr>
    </w:lvl>
    <w:lvl w:ilvl="1" w:tplc="3FC84530" w:tentative="1">
      <w:start w:val="1"/>
      <w:numFmt w:val="bullet"/>
      <w:lvlText w:val="o"/>
      <w:lvlJc w:val="left"/>
      <w:pPr>
        <w:ind w:left="1080" w:hanging="360"/>
      </w:pPr>
      <w:rPr>
        <w:rFonts w:ascii="Courier New" w:hAnsi="Courier New" w:cs="Courier New" w:hint="default"/>
      </w:rPr>
    </w:lvl>
    <w:lvl w:ilvl="2" w:tplc="C80AC516" w:tentative="1">
      <w:start w:val="1"/>
      <w:numFmt w:val="bullet"/>
      <w:lvlText w:val=""/>
      <w:lvlJc w:val="left"/>
      <w:pPr>
        <w:ind w:left="1800" w:hanging="360"/>
      </w:pPr>
      <w:rPr>
        <w:rFonts w:ascii="Wingdings" w:hAnsi="Wingdings" w:hint="default"/>
      </w:rPr>
    </w:lvl>
    <w:lvl w:ilvl="3" w:tplc="5AC8451C" w:tentative="1">
      <w:start w:val="1"/>
      <w:numFmt w:val="bullet"/>
      <w:lvlText w:val=""/>
      <w:lvlJc w:val="left"/>
      <w:pPr>
        <w:ind w:left="2520" w:hanging="360"/>
      </w:pPr>
      <w:rPr>
        <w:rFonts w:ascii="Symbol" w:hAnsi="Symbol" w:hint="default"/>
      </w:rPr>
    </w:lvl>
    <w:lvl w:ilvl="4" w:tplc="B29A4D4A" w:tentative="1">
      <w:start w:val="1"/>
      <w:numFmt w:val="bullet"/>
      <w:lvlText w:val="o"/>
      <w:lvlJc w:val="left"/>
      <w:pPr>
        <w:ind w:left="3240" w:hanging="360"/>
      </w:pPr>
      <w:rPr>
        <w:rFonts w:ascii="Courier New" w:hAnsi="Courier New" w:cs="Courier New" w:hint="default"/>
      </w:rPr>
    </w:lvl>
    <w:lvl w:ilvl="5" w:tplc="9C6AF47A" w:tentative="1">
      <w:start w:val="1"/>
      <w:numFmt w:val="bullet"/>
      <w:lvlText w:val=""/>
      <w:lvlJc w:val="left"/>
      <w:pPr>
        <w:ind w:left="3960" w:hanging="360"/>
      </w:pPr>
      <w:rPr>
        <w:rFonts w:ascii="Wingdings" w:hAnsi="Wingdings" w:hint="default"/>
      </w:rPr>
    </w:lvl>
    <w:lvl w:ilvl="6" w:tplc="939062D8" w:tentative="1">
      <w:start w:val="1"/>
      <w:numFmt w:val="bullet"/>
      <w:lvlText w:val=""/>
      <w:lvlJc w:val="left"/>
      <w:pPr>
        <w:ind w:left="4680" w:hanging="360"/>
      </w:pPr>
      <w:rPr>
        <w:rFonts w:ascii="Symbol" w:hAnsi="Symbol" w:hint="default"/>
      </w:rPr>
    </w:lvl>
    <w:lvl w:ilvl="7" w:tplc="7C2E731C" w:tentative="1">
      <w:start w:val="1"/>
      <w:numFmt w:val="bullet"/>
      <w:lvlText w:val="o"/>
      <w:lvlJc w:val="left"/>
      <w:pPr>
        <w:ind w:left="5400" w:hanging="360"/>
      </w:pPr>
      <w:rPr>
        <w:rFonts w:ascii="Courier New" w:hAnsi="Courier New" w:cs="Courier New" w:hint="default"/>
      </w:rPr>
    </w:lvl>
    <w:lvl w:ilvl="8" w:tplc="7AC2EE8A" w:tentative="1">
      <w:start w:val="1"/>
      <w:numFmt w:val="bullet"/>
      <w:lvlText w:val=""/>
      <w:lvlJc w:val="left"/>
      <w:pPr>
        <w:ind w:left="6120" w:hanging="360"/>
      </w:pPr>
      <w:rPr>
        <w:rFonts w:ascii="Wingdings" w:hAnsi="Wingdings" w:hint="default"/>
      </w:rPr>
    </w:lvl>
  </w:abstractNum>
  <w:abstractNum w:abstractNumId="5">
    <w:nsid w:val="0D8C5BC3"/>
    <w:multiLevelType w:val="hybridMultilevel"/>
    <w:tmpl w:val="8D30F236"/>
    <w:lvl w:ilvl="0" w:tplc="0C090001">
      <w:start w:val="1"/>
      <w:numFmt w:val="upperLetter"/>
      <w:lvlText w:val="%1."/>
      <w:lvlJc w:val="left"/>
      <w:pPr>
        <w:ind w:left="720" w:hanging="360"/>
      </w:pPr>
      <w:rPr>
        <w:rFonts w:hint="default"/>
      </w:rPr>
    </w:lvl>
    <w:lvl w:ilvl="1" w:tplc="0C090003" w:tentative="1">
      <w:start w:val="1"/>
      <w:numFmt w:val="lowerLetter"/>
      <w:lvlText w:val="%2."/>
      <w:lvlJc w:val="left"/>
      <w:pPr>
        <w:ind w:left="1440" w:hanging="360"/>
      </w:pPr>
    </w:lvl>
    <w:lvl w:ilvl="2" w:tplc="0C090005" w:tentative="1">
      <w:start w:val="1"/>
      <w:numFmt w:val="lowerRoman"/>
      <w:lvlText w:val="%3."/>
      <w:lvlJc w:val="right"/>
      <w:pPr>
        <w:ind w:left="2160" w:hanging="180"/>
      </w:pPr>
    </w:lvl>
    <w:lvl w:ilvl="3" w:tplc="0C090001" w:tentative="1">
      <w:start w:val="1"/>
      <w:numFmt w:val="decimal"/>
      <w:lvlText w:val="%4."/>
      <w:lvlJc w:val="left"/>
      <w:pPr>
        <w:ind w:left="2880" w:hanging="360"/>
      </w:pPr>
    </w:lvl>
    <w:lvl w:ilvl="4" w:tplc="0C090003" w:tentative="1">
      <w:start w:val="1"/>
      <w:numFmt w:val="lowerLetter"/>
      <w:lvlText w:val="%5."/>
      <w:lvlJc w:val="left"/>
      <w:pPr>
        <w:ind w:left="3600" w:hanging="360"/>
      </w:pPr>
    </w:lvl>
    <w:lvl w:ilvl="5" w:tplc="0C090005" w:tentative="1">
      <w:start w:val="1"/>
      <w:numFmt w:val="lowerRoman"/>
      <w:lvlText w:val="%6."/>
      <w:lvlJc w:val="right"/>
      <w:pPr>
        <w:ind w:left="4320" w:hanging="180"/>
      </w:pPr>
    </w:lvl>
    <w:lvl w:ilvl="6" w:tplc="0C090001" w:tentative="1">
      <w:start w:val="1"/>
      <w:numFmt w:val="decimal"/>
      <w:lvlText w:val="%7."/>
      <w:lvlJc w:val="left"/>
      <w:pPr>
        <w:ind w:left="5040" w:hanging="360"/>
      </w:pPr>
    </w:lvl>
    <w:lvl w:ilvl="7" w:tplc="0C090003" w:tentative="1">
      <w:start w:val="1"/>
      <w:numFmt w:val="lowerLetter"/>
      <w:lvlText w:val="%8."/>
      <w:lvlJc w:val="left"/>
      <w:pPr>
        <w:ind w:left="5760" w:hanging="360"/>
      </w:pPr>
    </w:lvl>
    <w:lvl w:ilvl="8" w:tplc="0C090005" w:tentative="1">
      <w:start w:val="1"/>
      <w:numFmt w:val="lowerRoman"/>
      <w:lvlText w:val="%9."/>
      <w:lvlJc w:val="right"/>
      <w:pPr>
        <w:ind w:left="6480" w:hanging="180"/>
      </w:pPr>
    </w:lvl>
  </w:abstractNum>
  <w:abstractNum w:abstractNumId="6">
    <w:nsid w:val="12690BA6"/>
    <w:multiLevelType w:val="hybridMultilevel"/>
    <w:tmpl w:val="FC16A40E"/>
    <w:lvl w:ilvl="0" w:tplc="0C090015">
      <w:start w:val="1"/>
      <w:numFmt w:val="bullet"/>
      <w:lvlText w:val="o"/>
      <w:lvlJc w:val="left"/>
      <w:pPr>
        <w:ind w:left="360" w:hanging="360"/>
      </w:pPr>
      <w:rPr>
        <w:rFonts w:ascii="Courier New" w:hAnsi="Courier New" w:cs="Courier New" w:hint="default"/>
      </w:rPr>
    </w:lvl>
    <w:lvl w:ilvl="1" w:tplc="0C090019" w:tentative="1">
      <w:start w:val="1"/>
      <w:numFmt w:val="bulle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7">
    <w:nsid w:val="12811F73"/>
    <w:multiLevelType w:val="hybridMultilevel"/>
    <w:tmpl w:val="C8062D2C"/>
    <w:lvl w:ilvl="0" w:tplc="0C090003">
      <w:start w:val="1"/>
      <w:numFmt w:val="upperLetter"/>
      <w:lvlText w:val="%1."/>
      <w:lvlJc w:val="left"/>
      <w:pPr>
        <w:ind w:left="420" w:hanging="360"/>
      </w:pPr>
      <w:rPr>
        <w:rFonts w:hint="default"/>
      </w:rPr>
    </w:lvl>
    <w:lvl w:ilvl="1" w:tplc="0C090003" w:tentative="1">
      <w:start w:val="1"/>
      <w:numFmt w:val="lowerLetter"/>
      <w:lvlText w:val="%2."/>
      <w:lvlJc w:val="left"/>
      <w:pPr>
        <w:ind w:left="1140" w:hanging="360"/>
      </w:pPr>
    </w:lvl>
    <w:lvl w:ilvl="2" w:tplc="0C090005" w:tentative="1">
      <w:start w:val="1"/>
      <w:numFmt w:val="lowerRoman"/>
      <w:lvlText w:val="%3."/>
      <w:lvlJc w:val="right"/>
      <w:pPr>
        <w:ind w:left="1860" w:hanging="180"/>
      </w:pPr>
    </w:lvl>
    <w:lvl w:ilvl="3" w:tplc="0C090001" w:tentative="1">
      <w:start w:val="1"/>
      <w:numFmt w:val="decimal"/>
      <w:lvlText w:val="%4."/>
      <w:lvlJc w:val="left"/>
      <w:pPr>
        <w:ind w:left="2580" w:hanging="360"/>
      </w:pPr>
    </w:lvl>
    <w:lvl w:ilvl="4" w:tplc="0C090003" w:tentative="1">
      <w:start w:val="1"/>
      <w:numFmt w:val="lowerLetter"/>
      <w:lvlText w:val="%5."/>
      <w:lvlJc w:val="left"/>
      <w:pPr>
        <w:ind w:left="3300" w:hanging="360"/>
      </w:pPr>
    </w:lvl>
    <w:lvl w:ilvl="5" w:tplc="0C090005" w:tentative="1">
      <w:start w:val="1"/>
      <w:numFmt w:val="lowerRoman"/>
      <w:lvlText w:val="%6."/>
      <w:lvlJc w:val="right"/>
      <w:pPr>
        <w:ind w:left="4020" w:hanging="180"/>
      </w:pPr>
    </w:lvl>
    <w:lvl w:ilvl="6" w:tplc="0C090001" w:tentative="1">
      <w:start w:val="1"/>
      <w:numFmt w:val="decimal"/>
      <w:lvlText w:val="%7."/>
      <w:lvlJc w:val="left"/>
      <w:pPr>
        <w:ind w:left="4740" w:hanging="360"/>
      </w:pPr>
    </w:lvl>
    <w:lvl w:ilvl="7" w:tplc="0C090003" w:tentative="1">
      <w:start w:val="1"/>
      <w:numFmt w:val="lowerLetter"/>
      <w:lvlText w:val="%8."/>
      <w:lvlJc w:val="left"/>
      <w:pPr>
        <w:ind w:left="5460" w:hanging="360"/>
      </w:pPr>
    </w:lvl>
    <w:lvl w:ilvl="8" w:tplc="0C090005" w:tentative="1">
      <w:start w:val="1"/>
      <w:numFmt w:val="lowerRoman"/>
      <w:lvlText w:val="%9."/>
      <w:lvlJc w:val="right"/>
      <w:pPr>
        <w:ind w:left="6180" w:hanging="180"/>
      </w:pPr>
    </w:lvl>
  </w:abstractNum>
  <w:abstractNum w:abstractNumId="8">
    <w:nsid w:val="1616036B"/>
    <w:multiLevelType w:val="hybridMultilevel"/>
    <w:tmpl w:val="FA9483DC"/>
    <w:lvl w:ilvl="0" w:tplc="FDDA1908">
      <w:start w:val="1"/>
      <w:numFmt w:val="bullet"/>
      <w:lvlText w:val=""/>
      <w:lvlJc w:val="left"/>
      <w:pPr>
        <w:ind w:left="360" w:hanging="360"/>
      </w:pPr>
      <w:rPr>
        <w:rFonts w:ascii="Symbol" w:hAnsi="Symbol" w:hint="default"/>
      </w:rPr>
    </w:lvl>
    <w:lvl w:ilvl="1" w:tplc="0C090019" w:tentative="1">
      <w:start w:val="1"/>
      <w:numFmt w:val="bulle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9">
    <w:nsid w:val="1C5B7F35"/>
    <w:multiLevelType w:val="hybridMultilevel"/>
    <w:tmpl w:val="EF6222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1F066889"/>
    <w:multiLevelType w:val="hybridMultilevel"/>
    <w:tmpl w:val="1CBCC704"/>
    <w:lvl w:ilvl="0" w:tplc="0C090001">
      <w:start w:val="1"/>
      <w:numFmt w:val="bullet"/>
      <w:pStyle w:val="TextPI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2CCA70AC"/>
    <w:multiLevelType w:val="hybridMultilevel"/>
    <w:tmpl w:val="A13605AC"/>
    <w:lvl w:ilvl="0" w:tplc="1ACEC3B2">
      <w:start w:val="1"/>
      <w:numFmt w:val="bullet"/>
      <w:lvlText w:val="o"/>
      <w:lvlJc w:val="left"/>
      <w:pPr>
        <w:ind w:left="921" w:hanging="360"/>
      </w:pPr>
      <w:rPr>
        <w:rFonts w:ascii="Courier New" w:hAnsi="Courier New" w:cs="Courier New" w:hint="default"/>
      </w:rPr>
    </w:lvl>
    <w:lvl w:ilvl="1" w:tplc="0C090003" w:tentative="1">
      <w:start w:val="1"/>
      <w:numFmt w:val="bullet"/>
      <w:lvlText w:val="o"/>
      <w:lvlJc w:val="left"/>
      <w:pPr>
        <w:ind w:left="1641" w:hanging="360"/>
      </w:pPr>
      <w:rPr>
        <w:rFonts w:ascii="Courier New" w:hAnsi="Courier New" w:cs="Courier New" w:hint="default"/>
      </w:rPr>
    </w:lvl>
    <w:lvl w:ilvl="2" w:tplc="0C090005" w:tentative="1">
      <w:start w:val="1"/>
      <w:numFmt w:val="bullet"/>
      <w:lvlText w:val=""/>
      <w:lvlJc w:val="left"/>
      <w:pPr>
        <w:ind w:left="2361" w:hanging="360"/>
      </w:pPr>
      <w:rPr>
        <w:rFonts w:ascii="Wingdings" w:hAnsi="Wingdings" w:hint="default"/>
      </w:rPr>
    </w:lvl>
    <w:lvl w:ilvl="3" w:tplc="0C090001" w:tentative="1">
      <w:start w:val="1"/>
      <w:numFmt w:val="bullet"/>
      <w:lvlText w:val=""/>
      <w:lvlJc w:val="left"/>
      <w:pPr>
        <w:ind w:left="3081" w:hanging="360"/>
      </w:pPr>
      <w:rPr>
        <w:rFonts w:ascii="Symbol" w:hAnsi="Symbol" w:hint="default"/>
      </w:rPr>
    </w:lvl>
    <w:lvl w:ilvl="4" w:tplc="0C090003" w:tentative="1">
      <w:start w:val="1"/>
      <w:numFmt w:val="bullet"/>
      <w:lvlText w:val="o"/>
      <w:lvlJc w:val="left"/>
      <w:pPr>
        <w:ind w:left="3801" w:hanging="360"/>
      </w:pPr>
      <w:rPr>
        <w:rFonts w:ascii="Courier New" w:hAnsi="Courier New" w:cs="Courier New" w:hint="default"/>
      </w:rPr>
    </w:lvl>
    <w:lvl w:ilvl="5" w:tplc="0C090005" w:tentative="1">
      <w:start w:val="1"/>
      <w:numFmt w:val="bullet"/>
      <w:lvlText w:val=""/>
      <w:lvlJc w:val="left"/>
      <w:pPr>
        <w:ind w:left="4521" w:hanging="360"/>
      </w:pPr>
      <w:rPr>
        <w:rFonts w:ascii="Wingdings" w:hAnsi="Wingdings" w:hint="default"/>
      </w:rPr>
    </w:lvl>
    <w:lvl w:ilvl="6" w:tplc="0C090001" w:tentative="1">
      <w:start w:val="1"/>
      <w:numFmt w:val="bullet"/>
      <w:lvlText w:val=""/>
      <w:lvlJc w:val="left"/>
      <w:pPr>
        <w:ind w:left="5241" w:hanging="360"/>
      </w:pPr>
      <w:rPr>
        <w:rFonts w:ascii="Symbol" w:hAnsi="Symbol" w:hint="default"/>
      </w:rPr>
    </w:lvl>
    <w:lvl w:ilvl="7" w:tplc="0C090003" w:tentative="1">
      <w:start w:val="1"/>
      <w:numFmt w:val="bullet"/>
      <w:lvlText w:val="o"/>
      <w:lvlJc w:val="left"/>
      <w:pPr>
        <w:ind w:left="5961" w:hanging="360"/>
      </w:pPr>
      <w:rPr>
        <w:rFonts w:ascii="Courier New" w:hAnsi="Courier New" w:cs="Courier New" w:hint="default"/>
      </w:rPr>
    </w:lvl>
    <w:lvl w:ilvl="8" w:tplc="0C090005" w:tentative="1">
      <w:start w:val="1"/>
      <w:numFmt w:val="bullet"/>
      <w:lvlText w:val=""/>
      <w:lvlJc w:val="left"/>
      <w:pPr>
        <w:ind w:left="6681" w:hanging="360"/>
      </w:pPr>
      <w:rPr>
        <w:rFonts w:ascii="Wingdings" w:hAnsi="Wingdings" w:hint="default"/>
      </w:rPr>
    </w:lvl>
  </w:abstractNum>
  <w:abstractNum w:abstractNumId="12">
    <w:nsid w:val="2E8554B4"/>
    <w:multiLevelType w:val="singleLevel"/>
    <w:tmpl w:val="08090011"/>
    <w:lvl w:ilvl="0">
      <w:start w:val="2"/>
      <w:numFmt w:val="decimal"/>
      <w:lvlText w:val="%1)"/>
      <w:lvlJc w:val="left"/>
      <w:pPr>
        <w:tabs>
          <w:tab w:val="num" w:pos="360"/>
        </w:tabs>
        <w:ind w:left="360" w:hanging="360"/>
      </w:pPr>
      <w:rPr>
        <w:rFonts w:hint="default"/>
      </w:rPr>
    </w:lvl>
  </w:abstractNum>
  <w:abstractNum w:abstractNumId="13">
    <w:nsid w:val="2EA94D92"/>
    <w:multiLevelType w:val="hybridMultilevel"/>
    <w:tmpl w:val="3946968A"/>
    <w:lvl w:ilvl="0" w:tplc="3FB20D9C">
      <w:start w:val="1"/>
      <w:numFmt w:val="bullet"/>
      <w:lvlText w:val=""/>
      <w:lvlJc w:val="left"/>
      <w:pPr>
        <w:ind w:left="720" w:hanging="360"/>
      </w:pPr>
      <w:rPr>
        <w:rFonts w:ascii="Symbol" w:hAnsi="Symbol" w:hint="default"/>
      </w:rPr>
    </w:lvl>
    <w:lvl w:ilvl="1" w:tplc="74A41662" w:tentative="1">
      <w:start w:val="1"/>
      <w:numFmt w:val="bullet"/>
      <w:lvlText w:val="o"/>
      <w:lvlJc w:val="left"/>
      <w:pPr>
        <w:ind w:left="1440" w:hanging="360"/>
      </w:pPr>
      <w:rPr>
        <w:rFonts w:ascii="Courier New" w:hAnsi="Courier New" w:cs="Courier New" w:hint="default"/>
      </w:rPr>
    </w:lvl>
    <w:lvl w:ilvl="2" w:tplc="FE92C29E" w:tentative="1">
      <w:start w:val="1"/>
      <w:numFmt w:val="bullet"/>
      <w:lvlText w:val=""/>
      <w:lvlJc w:val="left"/>
      <w:pPr>
        <w:ind w:left="2160" w:hanging="360"/>
      </w:pPr>
      <w:rPr>
        <w:rFonts w:ascii="Wingdings" w:hAnsi="Wingdings" w:hint="default"/>
      </w:rPr>
    </w:lvl>
    <w:lvl w:ilvl="3" w:tplc="AAC277AA" w:tentative="1">
      <w:start w:val="1"/>
      <w:numFmt w:val="bullet"/>
      <w:lvlText w:val=""/>
      <w:lvlJc w:val="left"/>
      <w:pPr>
        <w:ind w:left="2880" w:hanging="360"/>
      </w:pPr>
      <w:rPr>
        <w:rFonts w:ascii="Symbol" w:hAnsi="Symbol" w:hint="default"/>
      </w:rPr>
    </w:lvl>
    <w:lvl w:ilvl="4" w:tplc="278EE60A" w:tentative="1">
      <w:start w:val="1"/>
      <w:numFmt w:val="bullet"/>
      <w:lvlText w:val="o"/>
      <w:lvlJc w:val="left"/>
      <w:pPr>
        <w:ind w:left="3600" w:hanging="360"/>
      </w:pPr>
      <w:rPr>
        <w:rFonts w:ascii="Courier New" w:hAnsi="Courier New" w:cs="Courier New" w:hint="default"/>
      </w:rPr>
    </w:lvl>
    <w:lvl w:ilvl="5" w:tplc="C810CBAE" w:tentative="1">
      <w:start w:val="1"/>
      <w:numFmt w:val="bullet"/>
      <w:lvlText w:val=""/>
      <w:lvlJc w:val="left"/>
      <w:pPr>
        <w:ind w:left="4320" w:hanging="360"/>
      </w:pPr>
      <w:rPr>
        <w:rFonts w:ascii="Wingdings" w:hAnsi="Wingdings" w:hint="default"/>
      </w:rPr>
    </w:lvl>
    <w:lvl w:ilvl="6" w:tplc="608EBFF8" w:tentative="1">
      <w:start w:val="1"/>
      <w:numFmt w:val="bullet"/>
      <w:lvlText w:val=""/>
      <w:lvlJc w:val="left"/>
      <w:pPr>
        <w:ind w:left="5040" w:hanging="360"/>
      </w:pPr>
      <w:rPr>
        <w:rFonts w:ascii="Symbol" w:hAnsi="Symbol" w:hint="default"/>
      </w:rPr>
    </w:lvl>
    <w:lvl w:ilvl="7" w:tplc="08FE6992" w:tentative="1">
      <w:start w:val="1"/>
      <w:numFmt w:val="bullet"/>
      <w:lvlText w:val="o"/>
      <w:lvlJc w:val="left"/>
      <w:pPr>
        <w:ind w:left="5760" w:hanging="360"/>
      </w:pPr>
      <w:rPr>
        <w:rFonts w:ascii="Courier New" w:hAnsi="Courier New" w:cs="Courier New" w:hint="default"/>
      </w:rPr>
    </w:lvl>
    <w:lvl w:ilvl="8" w:tplc="6B3EBAA8" w:tentative="1">
      <w:start w:val="1"/>
      <w:numFmt w:val="bullet"/>
      <w:lvlText w:val=""/>
      <w:lvlJc w:val="left"/>
      <w:pPr>
        <w:ind w:left="6480" w:hanging="360"/>
      </w:pPr>
      <w:rPr>
        <w:rFonts w:ascii="Wingdings" w:hAnsi="Wingdings" w:hint="default"/>
      </w:rPr>
    </w:lvl>
  </w:abstractNum>
  <w:abstractNum w:abstractNumId="14">
    <w:nsid w:val="36A34F7D"/>
    <w:multiLevelType w:val="singleLevel"/>
    <w:tmpl w:val="4DE4A550"/>
    <w:lvl w:ilvl="0">
      <w:numFmt w:val="bullet"/>
      <w:lvlText w:val="-"/>
      <w:lvlJc w:val="left"/>
      <w:pPr>
        <w:tabs>
          <w:tab w:val="num" w:pos="384"/>
        </w:tabs>
        <w:ind w:left="384" w:hanging="384"/>
      </w:pPr>
      <w:rPr>
        <w:rFonts w:hint="default"/>
      </w:rPr>
    </w:lvl>
  </w:abstractNum>
  <w:abstractNum w:abstractNumId="15">
    <w:nsid w:val="3CD9003A"/>
    <w:multiLevelType w:val="singleLevel"/>
    <w:tmpl w:val="0809000F"/>
    <w:lvl w:ilvl="0">
      <w:start w:val="1"/>
      <w:numFmt w:val="decimal"/>
      <w:lvlText w:val="%1."/>
      <w:lvlJc w:val="left"/>
      <w:pPr>
        <w:tabs>
          <w:tab w:val="num" w:pos="360"/>
        </w:tabs>
        <w:ind w:left="360" w:hanging="360"/>
      </w:pPr>
    </w:lvl>
  </w:abstractNum>
  <w:abstractNum w:abstractNumId="16">
    <w:nsid w:val="40663F67"/>
    <w:multiLevelType w:val="hybridMultilevel"/>
    <w:tmpl w:val="1988CEFC"/>
    <w:lvl w:ilvl="0" w:tplc="975E6972">
      <w:start w:val="1"/>
      <w:numFmt w:val="bullet"/>
      <w:lvlText w:val=""/>
      <w:lvlJc w:val="left"/>
      <w:pPr>
        <w:ind w:left="720" w:hanging="360"/>
      </w:pPr>
      <w:rPr>
        <w:rFonts w:ascii="Symbol" w:hAnsi="Symbol" w:hint="default"/>
      </w:rPr>
    </w:lvl>
    <w:lvl w:ilvl="1" w:tplc="989E49B6" w:tentative="1">
      <w:start w:val="1"/>
      <w:numFmt w:val="bullet"/>
      <w:lvlText w:val="o"/>
      <w:lvlJc w:val="left"/>
      <w:pPr>
        <w:ind w:left="1440" w:hanging="360"/>
      </w:pPr>
      <w:rPr>
        <w:rFonts w:ascii="Courier New" w:hAnsi="Courier New" w:cs="Courier New" w:hint="default"/>
      </w:rPr>
    </w:lvl>
    <w:lvl w:ilvl="2" w:tplc="475C05CC" w:tentative="1">
      <w:start w:val="1"/>
      <w:numFmt w:val="bullet"/>
      <w:lvlText w:val=""/>
      <w:lvlJc w:val="left"/>
      <w:pPr>
        <w:ind w:left="2160" w:hanging="360"/>
      </w:pPr>
      <w:rPr>
        <w:rFonts w:ascii="Wingdings" w:hAnsi="Wingdings" w:hint="default"/>
      </w:rPr>
    </w:lvl>
    <w:lvl w:ilvl="3" w:tplc="DFAA318C" w:tentative="1">
      <w:start w:val="1"/>
      <w:numFmt w:val="bullet"/>
      <w:lvlText w:val=""/>
      <w:lvlJc w:val="left"/>
      <w:pPr>
        <w:ind w:left="2880" w:hanging="360"/>
      </w:pPr>
      <w:rPr>
        <w:rFonts w:ascii="Symbol" w:hAnsi="Symbol" w:hint="default"/>
      </w:rPr>
    </w:lvl>
    <w:lvl w:ilvl="4" w:tplc="534850F0" w:tentative="1">
      <w:start w:val="1"/>
      <w:numFmt w:val="bullet"/>
      <w:lvlText w:val="o"/>
      <w:lvlJc w:val="left"/>
      <w:pPr>
        <w:ind w:left="3600" w:hanging="360"/>
      </w:pPr>
      <w:rPr>
        <w:rFonts w:ascii="Courier New" w:hAnsi="Courier New" w:cs="Courier New" w:hint="default"/>
      </w:rPr>
    </w:lvl>
    <w:lvl w:ilvl="5" w:tplc="7CFC6EBE" w:tentative="1">
      <w:start w:val="1"/>
      <w:numFmt w:val="bullet"/>
      <w:lvlText w:val=""/>
      <w:lvlJc w:val="left"/>
      <w:pPr>
        <w:ind w:left="4320" w:hanging="360"/>
      </w:pPr>
      <w:rPr>
        <w:rFonts w:ascii="Wingdings" w:hAnsi="Wingdings" w:hint="default"/>
      </w:rPr>
    </w:lvl>
    <w:lvl w:ilvl="6" w:tplc="DB8060F8" w:tentative="1">
      <w:start w:val="1"/>
      <w:numFmt w:val="bullet"/>
      <w:lvlText w:val=""/>
      <w:lvlJc w:val="left"/>
      <w:pPr>
        <w:ind w:left="5040" w:hanging="360"/>
      </w:pPr>
      <w:rPr>
        <w:rFonts w:ascii="Symbol" w:hAnsi="Symbol" w:hint="default"/>
      </w:rPr>
    </w:lvl>
    <w:lvl w:ilvl="7" w:tplc="64A68DA4" w:tentative="1">
      <w:start w:val="1"/>
      <w:numFmt w:val="bullet"/>
      <w:lvlText w:val="o"/>
      <w:lvlJc w:val="left"/>
      <w:pPr>
        <w:ind w:left="5760" w:hanging="360"/>
      </w:pPr>
      <w:rPr>
        <w:rFonts w:ascii="Courier New" w:hAnsi="Courier New" w:cs="Courier New" w:hint="default"/>
      </w:rPr>
    </w:lvl>
    <w:lvl w:ilvl="8" w:tplc="6868CA64" w:tentative="1">
      <w:start w:val="1"/>
      <w:numFmt w:val="bullet"/>
      <w:lvlText w:val=""/>
      <w:lvlJc w:val="left"/>
      <w:pPr>
        <w:ind w:left="6480" w:hanging="360"/>
      </w:pPr>
      <w:rPr>
        <w:rFonts w:ascii="Wingdings" w:hAnsi="Wingdings" w:hint="default"/>
      </w:rPr>
    </w:lvl>
  </w:abstractNum>
  <w:abstractNum w:abstractNumId="17">
    <w:nsid w:val="41464F61"/>
    <w:multiLevelType w:val="singleLevel"/>
    <w:tmpl w:val="EDC05F18"/>
    <w:lvl w:ilvl="0">
      <w:start w:val="1"/>
      <w:numFmt w:val="decimal"/>
      <w:lvlText w:val="(%1)"/>
      <w:lvlJc w:val="left"/>
      <w:pPr>
        <w:tabs>
          <w:tab w:val="num" w:pos="360"/>
        </w:tabs>
        <w:ind w:left="360" w:hanging="360"/>
      </w:pPr>
      <w:rPr>
        <w:rFonts w:hint="default"/>
      </w:rPr>
    </w:lvl>
  </w:abstractNum>
  <w:abstractNum w:abstractNumId="18">
    <w:nsid w:val="438C149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nsid w:val="43EF6A73"/>
    <w:multiLevelType w:val="singleLevel"/>
    <w:tmpl w:val="0809000F"/>
    <w:lvl w:ilvl="0">
      <w:start w:val="1"/>
      <w:numFmt w:val="decimal"/>
      <w:lvlText w:val="%1."/>
      <w:lvlJc w:val="left"/>
      <w:pPr>
        <w:tabs>
          <w:tab w:val="num" w:pos="360"/>
        </w:tabs>
        <w:ind w:left="360" w:hanging="360"/>
      </w:pPr>
    </w:lvl>
  </w:abstractNum>
  <w:abstractNum w:abstractNumId="20">
    <w:nsid w:val="45046562"/>
    <w:multiLevelType w:val="hybridMultilevel"/>
    <w:tmpl w:val="ED546626"/>
    <w:lvl w:ilvl="0" w:tplc="C4B03D64">
      <w:start w:val="1"/>
      <w:numFmt w:val="upperLetter"/>
      <w:lvlText w:val="%1&gt;"/>
      <w:lvlJc w:val="left"/>
      <w:pPr>
        <w:ind w:left="720" w:hanging="360"/>
      </w:pPr>
      <w:rPr>
        <w:rFonts w:hint="default"/>
      </w:rPr>
    </w:lvl>
    <w:lvl w:ilvl="1" w:tplc="B49C53D4" w:tentative="1">
      <w:start w:val="1"/>
      <w:numFmt w:val="lowerLetter"/>
      <w:lvlText w:val="%2."/>
      <w:lvlJc w:val="left"/>
      <w:pPr>
        <w:ind w:left="1440" w:hanging="360"/>
      </w:pPr>
    </w:lvl>
    <w:lvl w:ilvl="2" w:tplc="3EBAE65C" w:tentative="1">
      <w:start w:val="1"/>
      <w:numFmt w:val="lowerRoman"/>
      <w:lvlText w:val="%3."/>
      <w:lvlJc w:val="right"/>
      <w:pPr>
        <w:ind w:left="2160" w:hanging="180"/>
      </w:pPr>
    </w:lvl>
    <w:lvl w:ilvl="3" w:tplc="E0F83A96" w:tentative="1">
      <w:start w:val="1"/>
      <w:numFmt w:val="decimal"/>
      <w:lvlText w:val="%4."/>
      <w:lvlJc w:val="left"/>
      <w:pPr>
        <w:ind w:left="2880" w:hanging="360"/>
      </w:pPr>
    </w:lvl>
    <w:lvl w:ilvl="4" w:tplc="0F9C2B60" w:tentative="1">
      <w:start w:val="1"/>
      <w:numFmt w:val="lowerLetter"/>
      <w:lvlText w:val="%5."/>
      <w:lvlJc w:val="left"/>
      <w:pPr>
        <w:ind w:left="3600" w:hanging="360"/>
      </w:pPr>
    </w:lvl>
    <w:lvl w:ilvl="5" w:tplc="5DF6F96C" w:tentative="1">
      <w:start w:val="1"/>
      <w:numFmt w:val="lowerRoman"/>
      <w:lvlText w:val="%6."/>
      <w:lvlJc w:val="right"/>
      <w:pPr>
        <w:ind w:left="4320" w:hanging="180"/>
      </w:pPr>
    </w:lvl>
    <w:lvl w:ilvl="6" w:tplc="47723C78" w:tentative="1">
      <w:start w:val="1"/>
      <w:numFmt w:val="decimal"/>
      <w:lvlText w:val="%7."/>
      <w:lvlJc w:val="left"/>
      <w:pPr>
        <w:ind w:left="5040" w:hanging="360"/>
      </w:pPr>
    </w:lvl>
    <w:lvl w:ilvl="7" w:tplc="24BA447C" w:tentative="1">
      <w:start w:val="1"/>
      <w:numFmt w:val="lowerLetter"/>
      <w:lvlText w:val="%8."/>
      <w:lvlJc w:val="left"/>
      <w:pPr>
        <w:ind w:left="5760" w:hanging="360"/>
      </w:pPr>
    </w:lvl>
    <w:lvl w:ilvl="8" w:tplc="D09EDFFC" w:tentative="1">
      <w:start w:val="1"/>
      <w:numFmt w:val="lowerRoman"/>
      <w:lvlText w:val="%9."/>
      <w:lvlJc w:val="right"/>
      <w:pPr>
        <w:ind w:left="6480" w:hanging="180"/>
      </w:pPr>
    </w:lvl>
  </w:abstractNum>
  <w:abstractNum w:abstractNumId="21">
    <w:nsid w:val="46086326"/>
    <w:multiLevelType w:val="singleLevel"/>
    <w:tmpl w:val="4DE4A550"/>
    <w:lvl w:ilvl="0">
      <w:numFmt w:val="bullet"/>
      <w:lvlText w:val="-"/>
      <w:lvlJc w:val="left"/>
      <w:pPr>
        <w:tabs>
          <w:tab w:val="num" w:pos="384"/>
        </w:tabs>
        <w:ind w:left="384" w:hanging="384"/>
      </w:pPr>
      <w:rPr>
        <w:rFonts w:hint="default"/>
      </w:rPr>
    </w:lvl>
  </w:abstractNum>
  <w:abstractNum w:abstractNumId="22">
    <w:nsid w:val="47206095"/>
    <w:multiLevelType w:val="hybridMultilevel"/>
    <w:tmpl w:val="E7C6502E"/>
    <w:lvl w:ilvl="0" w:tplc="557021DC">
      <w:start w:val="1"/>
      <w:numFmt w:val="bullet"/>
      <w:lvlText w:val="o"/>
      <w:lvlJc w:val="left"/>
      <w:pPr>
        <w:ind w:left="720" w:hanging="360"/>
      </w:pPr>
      <w:rPr>
        <w:rFonts w:ascii="Courier New" w:hAnsi="Courier New" w:cs="Courier New" w:hint="default"/>
      </w:rPr>
    </w:lvl>
    <w:lvl w:ilvl="1" w:tplc="48F6974A" w:tentative="1">
      <w:start w:val="1"/>
      <w:numFmt w:val="bullet"/>
      <w:lvlText w:val="o"/>
      <w:lvlJc w:val="left"/>
      <w:pPr>
        <w:ind w:left="1440" w:hanging="360"/>
      </w:pPr>
      <w:rPr>
        <w:rFonts w:ascii="Courier New" w:hAnsi="Courier New" w:cs="Courier New" w:hint="default"/>
      </w:rPr>
    </w:lvl>
    <w:lvl w:ilvl="2" w:tplc="80D600B2" w:tentative="1">
      <w:start w:val="1"/>
      <w:numFmt w:val="bullet"/>
      <w:lvlText w:val=""/>
      <w:lvlJc w:val="left"/>
      <w:pPr>
        <w:ind w:left="2160" w:hanging="360"/>
      </w:pPr>
      <w:rPr>
        <w:rFonts w:ascii="Wingdings" w:hAnsi="Wingdings" w:hint="default"/>
      </w:rPr>
    </w:lvl>
    <w:lvl w:ilvl="3" w:tplc="2CBC7B9E" w:tentative="1">
      <w:start w:val="1"/>
      <w:numFmt w:val="bullet"/>
      <w:lvlText w:val=""/>
      <w:lvlJc w:val="left"/>
      <w:pPr>
        <w:ind w:left="2880" w:hanging="360"/>
      </w:pPr>
      <w:rPr>
        <w:rFonts w:ascii="Symbol" w:hAnsi="Symbol" w:hint="default"/>
      </w:rPr>
    </w:lvl>
    <w:lvl w:ilvl="4" w:tplc="FA96EA8A" w:tentative="1">
      <w:start w:val="1"/>
      <w:numFmt w:val="bullet"/>
      <w:lvlText w:val="o"/>
      <w:lvlJc w:val="left"/>
      <w:pPr>
        <w:ind w:left="3600" w:hanging="360"/>
      </w:pPr>
      <w:rPr>
        <w:rFonts w:ascii="Courier New" w:hAnsi="Courier New" w:cs="Courier New" w:hint="default"/>
      </w:rPr>
    </w:lvl>
    <w:lvl w:ilvl="5" w:tplc="3296F978" w:tentative="1">
      <w:start w:val="1"/>
      <w:numFmt w:val="bullet"/>
      <w:lvlText w:val=""/>
      <w:lvlJc w:val="left"/>
      <w:pPr>
        <w:ind w:left="4320" w:hanging="360"/>
      </w:pPr>
      <w:rPr>
        <w:rFonts w:ascii="Wingdings" w:hAnsi="Wingdings" w:hint="default"/>
      </w:rPr>
    </w:lvl>
    <w:lvl w:ilvl="6" w:tplc="2E32B1B2" w:tentative="1">
      <w:start w:val="1"/>
      <w:numFmt w:val="bullet"/>
      <w:lvlText w:val=""/>
      <w:lvlJc w:val="left"/>
      <w:pPr>
        <w:ind w:left="5040" w:hanging="360"/>
      </w:pPr>
      <w:rPr>
        <w:rFonts w:ascii="Symbol" w:hAnsi="Symbol" w:hint="default"/>
      </w:rPr>
    </w:lvl>
    <w:lvl w:ilvl="7" w:tplc="A07082C0" w:tentative="1">
      <w:start w:val="1"/>
      <w:numFmt w:val="bullet"/>
      <w:lvlText w:val="o"/>
      <w:lvlJc w:val="left"/>
      <w:pPr>
        <w:ind w:left="5760" w:hanging="360"/>
      </w:pPr>
      <w:rPr>
        <w:rFonts w:ascii="Courier New" w:hAnsi="Courier New" w:cs="Courier New" w:hint="default"/>
      </w:rPr>
    </w:lvl>
    <w:lvl w:ilvl="8" w:tplc="6A606D26" w:tentative="1">
      <w:start w:val="1"/>
      <w:numFmt w:val="bullet"/>
      <w:lvlText w:val=""/>
      <w:lvlJc w:val="left"/>
      <w:pPr>
        <w:ind w:left="6480" w:hanging="360"/>
      </w:pPr>
      <w:rPr>
        <w:rFonts w:ascii="Wingdings" w:hAnsi="Wingdings" w:hint="default"/>
      </w:rPr>
    </w:lvl>
  </w:abstractNum>
  <w:abstractNum w:abstractNumId="23">
    <w:nsid w:val="48B16E06"/>
    <w:multiLevelType w:val="hybridMultilevel"/>
    <w:tmpl w:val="F8B02DA0"/>
    <w:lvl w:ilvl="0" w:tplc="0C090003">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4DDA6C9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nsid w:val="5209725B"/>
    <w:multiLevelType w:val="singleLevel"/>
    <w:tmpl w:val="CC126DBC"/>
    <w:lvl w:ilvl="0">
      <w:start w:val="1"/>
      <w:numFmt w:val="decimal"/>
      <w:pStyle w:val="bullet1"/>
      <w:lvlText w:val="%1."/>
      <w:lvlJc w:val="left"/>
      <w:pPr>
        <w:tabs>
          <w:tab w:val="num" w:pos="1134"/>
        </w:tabs>
        <w:ind w:left="1134" w:hanging="1134"/>
      </w:pPr>
    </w:lvl>
  </w:abstractNum>
  <w:abstractNum w:abstractNumId="26">
    <w:nsid w:val="56E01D6E"/>
    <w:multiLevelType w:val="hybridMultilevel"/>
    <w:tmpl w:val="64F23356"/>
    <w:lvl w:ilvl="0" w:tplc="0C090001">
      <w:start w:val="2"/>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57CA1D38"/>
    <w:multiLevelType w:val="hybridMultilevel"/>
    <w:tmpl w:val="70ECAFBC"/>
    <w:lvl w:ilvl="0" w:tplc="AECE8138">
      <w:start w:val="1"/>
      <w:numFmt w:val="bullet"/>
      <w:lvlText w:val=""/>
      <w:lvlJc w:val="left"/>
      <w:pPr>
        <w:ind w:left="360" w:hanging="360"/>
      </w:pPr>
      <w:rPr>
        <w:rFonts w:ascii="Symbol" w:hAnsi="Symbol" w:hint="default"/>
      </w:rPr>
    </w:lvl>
    <w:lvl w:ilvl="1" w:tplc="E422AEA2">
      <w:start w:val="1"/>
      <w:numFmt w:val="bullet"/>
      <w:lvlText w:val="o"/>
      <w:lvlJc w:val="left"/>
      <w:pPr>
        <w:ind w:left="1080" w:hanging="360"/>
      </w:pPr>
      <w:rPr>
        <w:rFonts w:ascii="Courier New" w:hAnsi="Courier New" w:cs="Courier New" w:hint="default"/>
      </w:rPr>
    </w:lvl>
    <w:lvl w:ilvl="2" w:tplc="1F52D758" w:tentative="1">
      <w:start w:val="1"/>
      <w:numFmt w:val="bullet"/>
      <w:lvlText w:val=""/>
      <w:lvlJc w:val="left"/>
      <w:pPr>
        <w:ind w:left="1800" w:hanging="360"/>
      </w:pPr>
      <w:rPr>
        <w:rFonts w:ascii="Wingdings" w:hAnsi="Wingdings" w:hint="default"/>
      </w:rPr>
    </w:lvl>
    <w:lvl w:ilvl="3" w:tplc="EA4AD28E" w:tentative="1">
      <w:start w:val="1"/>
      <w:numFmt w:val="bullet"/>
      <w:lvlText w:val=""/>
      <w:lvlJc w:val="left"/>
      <w:pPr>
        <w:ind w:left="2520" w:hanging="360"/>
      </w:pPr>
      <w:rPr>
        <w:rFonts w:ascii="Symbol" w:hAnsi="Symbol" w:hint="default"/>
      </w:rPr>
    </w:lvl>
    <w:lvl w:ilvl="4" w:tplc="23A02532" w:tentative="1">
      <w:start w:val="1"/>
      <w:numFmt w:val="bullet"/>
      <w:lvlText w:val="o"/>
      <w:lvlJc w:val="left"/>
      <w:pPr>
        <w:ind w:left="3240" w:hanging="360"/>
      </w:pPr>
      <w:rPr>
        <w:rFonts w:ascii="Courier New" w:hAnsi="Courier New" w:cs="Courier New" w:hint="default"/>
      </w:rPr>
    </w:lvl>
    <w:lvl w:ilvl="5" w:tplc="6E9852B4" w:tentative="1">
      <w:start w:val="1"/>
      <w:numFmt w:val="bullet"/>
      <w:lvlText w:val=""/>
      <w:lvlJc w:val="left"/>
      <w:pPr>
        <w:ind w:left="3960" w:hanging="360"/>
      </w:pPr>
      <w:rPr>
        <w:rFonts w:ascii="Wingdings" w:hAnsi="Wingdings" w:hint="default"/>
      </w:rPr>
    </w:lvl>
    <w:lvl w:ilvl="6" w:tplc="5B505DD2" w:tentative="1">
      <w:start w:val="1"/>
      <w:numFmt w:val="bullet"/>
      <w:lvlText w:val=""/>
      <w:lvlJc w:val="left"/>
      <w:pPr>
        <w:ind w:left="4680" w:hanging="360"/>
      </w:pPr>
      <w:rPr>
        <w:rFonts w:ascii="Symbol" w:hAnsi="Symbol" w:hint="default"/>
      </w:rPr>
    </w:lvl>
    <w:lvl w:ilvl="7" w:tplc="A1D6124A" w:tentative="1">
      <w:start w:val="1"/>
      <w:numFmt w:val="bullet"/>
      <w:lvlText w:val="o"/>
      <w:lvlJc w:val="left"/>
      <w:pPr>
        <w:ind w:left="5400" w:hanging="360"/>
      </w:pPr>
      <w:rPr>
        <w:rFonts w:ascii="Courier New" w:hAnsi="Courier New" w:cs="Courier New" w:hint="default"/>
      </w:rPr>
    </w:lvl>
    <w:lvl w:ilvl="8" w:tplc="26A00A18" w:tentative="1">
      <w:start w:val="1"/>
      <w:numFmt w:val="bullet"/>
      <w:lvlText w:val=""/>
      <w:lvlJc w:val="left"/>
      <w:pPr>
        <w:ind w:left="6120" w:hanging="360"/>
      </w:pPr>
      <w:rPr>
        <w:rFonts w:ascii="Wingdings" w:hAnsi="Wingdings" w:hint="default"/>
      </w:rPr>
    </w:lvl>
  </w:abstractNum>
  <w:abstractNum w:abstractNumId="28">
    <w:nsid w:val="63FE441D"/>
    <w:multiLevelType w:val="singleLevel"/>
    <w:tmpl w:val="4DE4A550"/>
    <w:lvl w:ilvl="0">
      <w:numFmt w:val="bullet"/>
      <w:lvlText w:val="-"/>
      <w:lvlJc w:val="left"/>
      <w:pPr>
        <w:tabs>
          <w:tab w:val="num" w:pos="384"/>
        </w:tabs>
        <w:ind w:left="384" w:hanging="384"/>
      </w:pPr>
      <w:rPr>
        <w:rFonts w:hint="default"/>
      </w:rPr>
    </w:lvl>
  </w:abstractNum>
  <w:abstractNum w:abstractNumId="29">
    <w:nsid w:val="67F16775"/>
    <w:multiLevelType w:val="hybridMultilevel"/>
    <w:tmpl w:val="73A26C5E"/>
    <w:lvl w:ilvl="0" w:tplc="A8F2D05E">
      <w:start w:val="1"/>
      <w:numFmt w:val="bullet"/>
      <w:lvlText w:val=""/>
      <w:lvlJc w:val="left"/>
      <w:pPr>
        <w:ind w:left="921" w:hanging="360"/>
      </w:pPr>
      <w:rPr>
        <w:rFonts w:ascii="Symbol" w:hAnsi="Symbol" w:hint="default"/>
      </w:rPr>
    </w:lvl>
    <w:lvl w:ilvl="1" w:tplc="2630876E" w:tentative="1">
      <w:start w:val="1"/>
      <w:numFmt w:val="bullet"/>
      <w:lvlText w:val="o"/>
      <w:lvlJc w:val="left"/>
      <w:pPr>
        <w:ind w:left="1641" w:hanging="360"/>
      </w:pPr>
      <w:rPr>
        <w:rFonts w:ascii="Courier New" w:hAnsi="Courier New" w:cs="Courier New" w:hint="default"/>
      </w:rPr>
    </w:lvl>
    <w:lvl w:ilvl="2" w:tplc="1932F21A" w:tentative="1">
      <w:start w:val="1"/>
      <w:numFmt w:val="bullet"/>
      <w:lvlText w:val=""/>
      <w:lvlJc w:val="left"/>
      <w:pPr>
        <w:ind w:left="2361" w:hanging="360"/>
      </w:pPr>
      <w:rPr>
        <w:rFonts w:ascii="Wingdings" w:hAnsi="Wingdings" w:hint="default"/>
      </w:rPr>
    </w:lvl>
    <w:lvl w:ilvl="3" w:tplc="54ACB4C6" w:tentative="1">
      <w:start w:val="1"/>
      <w:numFmt w:val="bullet"/>
      <w:lvlText w:val=""/>
      <w:lvlJc w:val="left"/>
      <w:pPr>
        <w:ind w:left="3081" w:hanging="360"/>
      </w:pPr>
      <w:rPr>
        <w:rFonts w:ascii="Symbol" w:hAnsi="Symbol" w:hint="default"/>
      </w:rPr>
    </w:lvl>
    <w:lvl w:ilvl="4" w:tplc="AA6A23F2" w:tentative="1">
      <w:start w:val="1"/>
      <w:numFmt w:val="bullet"/>
      <w:lvlText w:val="o"/>
      <w:lvlJc w:val="left"/>
      <w:pPr>
        <w:ind w:left="3801" w:hanging="360"/>
      </w:pPr>
      <w:rPr>
        <w:rFonts w:ascii="Courier New" w:hAnsi="Courier New" w:cs="Courier New" w:hint="default"/>
      </w:rPr>
    </w:lvl>
    <w:lvl w:ilvl="5" w:tplc="593CC580" w:tentative="1">
      <w:start w:val="1"/>
      <w:numFmt w:val="bullet"/>
      <w:lvlText w:val=""/>
      <w:lvlJc w:val="left"/>
      <w:pPr>
        <w:ind w:left="4521" w:hanging="360"/>
      </w:pPr>
      <w:rPr>
        <w:rFonts w:ascii="Wingdings" w:hAnsi="Wingdings" w:hint="default"/>
      </w:rPr>
    </w:lvl>
    <w:lvl w:ilvl="6" w:tplc="64E2CCFC" w:tentative="1">
      <w:start w:val="1"/>
      <w:numFmt w:val="bullet"/>
      <w:lvlText w:val=""/>
      <w:lvlJc w:val="left"/>
      <w:pPr>
        <w:ind w:left="5241" w:hanging="360"/>
      </w:pPr>
      <w:rPr>
        <w:rFonts w:ascii="Symbol" w:hAnsi="Symbol" w:hint="default"/>
      </w:rPr>
    </w:lvl>
    <w:lvl w:ilvl="7" w:tplc="93B877D8" w:tentative="1">
      <w:start w:val="1"/>
      <w:numFmt w:val="bullet"/>
      <w:lvlText w:val="o"/>
      <w:lvlJc w:val="left"/>
      <w:pPr>
        <w:ind w:left="5961" w:hanging="360"/>
      </w:pPr>
      <w:rPr>
        <w:rFonts w:ascii="Courier New" w:hAnsi="Courier New" w:cs="Courier New" w:hint="default"/>
      </w:rPr>
    </w:lvl>
    <w:lvl w:ilvl="8" w:tplc="07E2B33C" w:tentative="1">
      <w:start w:val="1"/>
      <w:numFmt w:val="bullet"/>
      <w:lvlText w:val=""/>
      <w:lvlJc w:val="left"/>
      <w:pPr>
        <w:ind w:left="6681" w:hanging="360"/>
      </w:pPr>
      <w:rPr>
        <w:rFonts w:ascii="Wingdings" w:hAnsi="Wingdings" w:hint="default"/>
      </w:rPr>
    </w:lvl>
  </w:abstractNum>
  <w:abstractNum w:abstractNumId="30">
    <w:nsid w:val="681652C2"/>
    <w:multiLevelType w:val="hybridMultilevel"/>
    <w:tmpl w:val="A08A6D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68723C12"/>
    <w:multiLevelType w:val="singleLevel"/>
    <w:tmpl w:val="0809000F"/>
    <w:lvl w:ilvl="0">
      <w:start w:val="1"/>
      <w:numFmt w:val="decimal"/>
      <w:lvlText w:val="%1."/>
      <w:lvlJc w:val="left"/>
      <w:pPr>
        <w:tabs>
          <w:tab w:val="num" w:pos="360"/>
        </w:tabs>
        <w:ind w:left="360" w:hanging="360"/>
      </w:pPr>
    </w:lvl>
  </w:abstractNum>
  <w:abstractNum w:abstractNumId="32">
    <w:nsid w:val="692D3C9A"/>
    <w:multiLevelType w:val="singleLevel"/>
    <w:tmpl w:val="0809000F"/>
    <w:lvl w:ilvl="0">
      <w:start w:val="1"/>
      <w:numFmt w:val="decimal"/>
      <w:lvlText w:val="%1."/>
      <w:lvlJc w:val="left"/>
      <w:pPr>
        <w:tabs>
          <w:tab w:val="num" w:pos="360"/>
        </w:tabs>
        <w:ind w:left="360" w:hanging="360"/>
      </w:pPr>
    </w:lvl>
  </w:abstractNum>
  <w:abstractNum w:abstractNumId="33">
    <w:nsid w:val="6C2213B2"/>
    <w:multiLevelType w:val="hybridMultilevel"/>
    <w:tmpl w:val="B516B98A"/>
    <w:lvl w:ilvl="0" w:tplc="FA74BB2A">
      <w:start w:val="1"/>
      <w:numFmt w:val="bullet"/>
      <w:lvlText w:val=""/>
      <w:lvlJc w:val="left"/>
      <w:pPr>
        <w:ind w:left="720" w:hanging="360"/>
      </w:pPr>
      <w:rPr>
        <w:rFonts w:ascii="Symbol" w:hAnsi="Symbol" w:hint="default"/>
      </w:rPr>
    </w:lvl>
    <w:lvl w:ilvl="1" w:tplc="B07E6C70" w:tentative="1">
      <w:start w:val="1"/>
      <w:numFmt w:val="bullet"/>
      <w:lvlText w:val="o"/>
      <w:lvlJc w:val="left"/>
      <w:pPr>
        <w:ind w:left="1440" w:hanging="360"/>
      </w:pPr>
      <w:rPr>
        <w:rFonts w:ascii="Courier New" w:hAnsi="Courier New" w:cs="Courier New" w:hint="default"/>
      </w:rPr>
    </w:lvl>
    <w:lvl w:ilvl="2" w:tplc="93661E60" w:tentative="1">
      <w:start w:val="1"/>
      <w:numFmt w:val="bullet"/>
      <w:lvlText w:val=""/>
      <w:lvlJc w:val="left"/>
      <w:pPr>
        <w:ind w:left="2160" w:hanging="360"/>
      </w:pPr>
      <w:rPr>
        <w:rFonts w:ascii="Wingdings" w:hAnsi="Wingdings" w:hint="default"/>
      </w:rPr>
    </w:lvl>
    <w:lvl w:ilvl="3" w:tplc="9A8A04B0" w:tentative="1">
      <w:start w:val="1"/>
      <w:numFmt w:val="bullet"/>
      <w:lvlText w:val=""/>
      <w:lvlJc w:val="left"/>
      <w:pPr>
        <w:ind w:left="2880" w:hanging="360"/>
      </w:pPr>
      <w:rPr>
        <w:rFonts w:ascii="Symbol" w:hAnsi="Symbol" w:hint="default"/>
      </w:rPr>
    </w:lvl>
    <w:lvl w:ilvl="4" w:tplc="1DB4074E" w:tentative="1">
      <w:start w:val="1"/>
      <w:numFmt w:val="bullet"/>
      <w:lvlText w:val="o"/>
      <w:lvlJc w:val="left"/>
      <w:pPr>
        <w:ind w:left="3600" w:hanging="360"/>
      </w:pPr>
      <w:rPr>
        <w:rFonts w:ascii="Courier New" w:hAnsi="Courier New" w:cs="Courier New" w:hint="default"/>
      </w:rPr>
    </w:lvl>
    <w:lvl w:ilvl="5" w:tplc="855C8D08" w:tentative="1">
      <w:start w:val="1"/>
      <w:numFmt w:val="bullet"/>
      <w:lvlText w:val=""/>
      <w:lvlJc w:val="left"/>
      <w:pPr>
        <w:ind w:left="4320" w:hanging="360"/>
      </w:pPr>
      <w:rPr>
        <w:rFonts w:ascii="Wingdings" w:hAnsi="Wingdings" w:hint="default"/>
      </w:rPr>
    </w:lvl>
    <w:lvl w:ilvl="6" w:tplc="F5845750" w:tentative="1">
      <w:start w:val="1"/>
      <w:numFmt w:val="bullet"/>
      <w:lvlText w:val=""/>
      <w:lvlJc w:val="left"/>
      <w:pPr>
        <w:ind w:left="5040" w:hanging="360"/>
      </w:pPr>
      <w:rPr>
        <w:rFonts w:ascii="Symbol" w:hAnsi="Symbol" w:hint="default"/>
      </w:rPr>
    </w:lvl>
    <w:lvl w:ilvl="7" w:tplc="34D8B0E4" w:tentative="1">
      <w:start w:val="1"/>
      <w:numFmt w:val="bullet"/>
      <w:lvlText w:val="o"/>
      <w:lvlJc w:val="left"/>
      <w:pPr>
        <w:ind w:left="5760" w:hanging="360"/>
      </w:pPr>
      <w:rPr>
        <w:rFonts w:ascii="Courier New" w:hAnsi="Courier New" w:cs="Courier New" w:hint="default"/>
      </w:rPr>
    </w:lvl>
    <w:lvl w:ilvl="8" w:tplc="A4805168" w:tentative="1">
      <w:start w:val="1"/>
      <w:numFmt w:val="bullet"/>
      <w:lvlText w:val=""/>
      <w:lvlJc w:val="left"/>
      <w:pPr>
        <w:ind w:left="6480" w:hanging="360"/>
      </w:pPr>
      <w:rPr>
        <w:rFonts w:ascii="Wingdings" w:hAnsi="Wingdings" w:hint="default"/>
      </w:rPr>
    </w:lvl>
  </w:abstractNum>
  <w:abstractNum w:abstractNumId="34">
    <w:nsid w:val="718D0F2C"/>
    <w:multiLevelType w:val="hybridMultilevel"/>
    <w:tmpl w:val="709A436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nsid w:val="728531C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6">
    <w:nsid w:val="78760FA7"/>
    <w:multiLevelType w:val="hybridMultilevel"/>
    <w:tmpl w:val="36C4754A"/>
    <w:lvl w:ilvl="0" w:tplc="E52425F8">
      <w:start w:val="1"/>
      <w:numFmt w:val="bullet"/>
      <w:lvlText w:val=""/>
      <w:lvlJc w:val="left"/>
      <w:pPr>
        <w:ind w:left="360" w:hanging="360"/>
      </w:pPr>
      <w:rPr>
        <w:rFonts w:ascii="Symbol" w:hAnsi="Symbol" w:hint="default"/>
      </w:rPr>
    </w:lvl>
    <w:lvl w:ilvl="1" w:tplc="1CCC44A0" w:tentative="1">
      <w:start w:val="1"/>
      <w:numFmt w:val="bullet"/>
      <w:lvlText w:val="o"/>
      <w:lvlJc w:val="left"/>
      <w:pPr>
        <w:ind w:left="1080" w:hanging="360"/>
      </w:pPr>
      <w:rPr>
        <w:rFonts w:ascii="Courier New" w:hAnsi="Courier New" w:cs="Courier New" w:hint="default"/>
      </w:rPr>
    </w:lvl>
    <w:lvl w:ilvl="2" w:tplc="253839F0" w:tentative="1">
      <w:start w:val="1"/>
      <w:numFmt w:val="bullet"/>
      <w:lvlText w:val=""/>
      <w:lvlJc w:val="left"/>
      <w:pPr>
        <w:ind w:left="1800" w:hanging="360"/>
      </w:pPr>
      <w:rPr>
        <w:rFonts w:ascii="Wingdings" w:hAnsi="Wingdings" w:hint="default"/>
      </w:rPr>
    </w:lvl>
    <w:lvl w:ilvl="3" w:tplc="F660749E" w:tentative="1">
      <w:start w:val="1"/>
      <w:numFmt w:val="bullet"/>
      <w:lvlText w:val=""/>
      <w:lvlJc w:val="left"/>
      <w:pPr>
        <w:ind w:left="2520" w:hanging="360"/>
      </w:pPr>
      <w:rPr>
        <w:rFonts w:ascii="Symbol" w:hAnsi="Symbol" w:hint="default"/>
      </w:rPr>
    </w:lvl>
    <w:lvl w:ilvl="4" w:tplc="67964B2C" w:tentative="1">
      <w:start w:val="1"/>
      <w:numFmt w:val="bullet"/>
      <w:lvlText w:val="o"/>
      <w:lvlJc w:val="left"/>
      <w:pPr>
        <w:ind w:left="3240" w:hanging="360"/>
      </w:pPr>
      <w:rPr>
        <w:rFonts w:ascii="Courier New" w:hAnsi="Courier New" w:cs="Courier New" w:hint="default"/>
      </w:rPr>
    </w:lvl>
    <w:lvl w:ilvl="5" w:tplc="5BCE563A" w:tentative="1">
      <w:start w:val="1"/>
      <w:numFmt w:val="bullet"/>
      <w:lvlText w:val=""/>
      <w:lvlJc w:val="left"/>
      <w:pPr>
        <w:ind w:left="3960" w:hanging="360"/>
      </w:pPr>
      <w:rPr>
        <w:rFonts w:ascii="Wingdings" w:hAnsi="Wingdings" w:hint="default"/>
      </w:rPr>
    </w:lvl>
    <w:lvl w:ilvl="6" w:tplc="53685028" w:tentative="1">
      <w:start w:val="1"/>
      <w:numFmt w:val="bullet"/>
      <w:lvlText w:val=""/>
      <w:lvlJc w:val="left"/>
      <w:pPr>
        <w:ind w:left="4680" w:hanging="360"/>
      </w:pPr>
      <w:rPr>
        <w:rFonts w:ascii="Symbol" w:hAnsi="Symbol" w:hint="default"/>
      </w:rPr>
    </w:lvl>
    <w:lvl w:ilvl="7" w:tplc="970C1524" w:tentative="1">
      <w:start w:val="1"/>
      <w:numFmt w:val="bullet"/>
      <w:lvlText w:val="o"/>
      <w:lvlJc w:val="left"/>
      <w:pPr>
        <w:ind w:left="5400" w:hanging="360"/>
      </w:pPr>
      <w:rPr>
        <w:rFonts w:ascii="Courier New" w:hAnsi="Courier New" w:cs="Courier New" w:hint="default"/>
      </w:rPr>
    </w:lvl>
    <w:lvl w:ilvl="8" w:tplc="691CCB4A" w:tentative="1">
      <w:start w:val="1"/>
      <w:numFmt w:val="bullet"/>
      <w:lvlText w:val=""/>
      <w:lvlJc w:val="left"/>
      <w:pPr>
        <w:ind w:left="6120" w:hanging="360"/>
      </w:pPr>
      <w:rPr>
        <w:rFonts w:ascii="Wingdings" w:hAnsi="Wingdings" w:hint="default"/>
      </w:rPr>
    </w:lvl>
  </w:abstractNum>
  <w:abstractNum w:abstractNumId="37">
    <w:nsid w:val="7A530D32"/>
    <w:multiLevelType w:val="hybridMultilevel"/>
    <w:tmpl w:val="D3BC93E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nsid w:val="7C6874A9"/>
    <w:multiLevelType w:val="singleLevel"/>
    <w:tmpl w:val="0809000F"/>
    <w:lvl w:ilvl="0">
      <w:start w:val="1"/>
      <w:numFmt w:val="decimal"/>
      <w:lvlText w:val="%1."/>
      <w:lvlJc w:val="left"/>
      <w:pPr>
        <w:tabs>
          <w:tab w:val="num" w:pos="360"/>
        </w:tabs>
        <w:ind w:left="360" w:hanging="360"/>
      </w:pPr>
    </w:lvl>
  </w:abstractNum>
  <w:abstractNum w:abstractNumId="39">
    <w:nsid w:val="7E3D2CCD"/>
    <w:multiLevelType w:val="singleLevel"/>
    <w:tmpl w:val="0809000F"/>
    <w:lvl w:ilvl="0">
      <w:start w:val="1"/>
      <w:numFmt w:val="decimal"/>
      <w:lvlText w:val="%1."/>
      <w:lvlJc w:val="left"/>
      <w:pPr>
        <w:tabs>
          <w:tab w:val="num" w:pos="360"/>
        </w:tabs>
        <w:ind w:left="360" w:hanging="360"/>
      </w:pPr>
    </w:lvl>
  </w:abstractNum>
  <w:num w:numId="1">
    <w:abstractNumId w:val="1"/>
  </w:num>
  <w:num w:numId="2">
    <w:abstractNumId w:val="12"/>
  </w:num>
  <w:num w:numId="3">
    <w:abstractNumId w:val="18"/>
  </w:num>
  <w:num w:numId="4">
    <w:abstractNumId w:val="31"/>
  </w:num>
  <w:num w:numId="5">
    <w:abstractNumId w:val="19"/>
  </w:num>
  <w:num w:numId="6">
    <w:abstractNumId w:val="0"/>
  </w:num>
  <w:num w:numId="7">
    <w:abstractNumId w:val="38"/>
  </w:num>
  <w:num w:numId="8">
    <w:abstractNumId w:val="15"/>
  </w:num>
  <w:num w:numId="9">
    <w:abstractNumId w:val="14"/>
  </w:num>
  <w:num w:numId="10">
    <w:abstractNumId w:val="21"/>
  </w:num>
  <w:num w:numId="11">
    <w:abstractNumId w:val="28"/>
  </w:num>
  <w:num w:numId="12">
    <w:abstractNumId w:val="24"/>
  </w:num>
  <w:num w:numId="13">
    <w:abstractNumId w:val="35"/>
  </w:num>
  <w:num w:numId="14">
    <w:abstractNumId w:val="2"/>
  </w:num>
  <w:num w:numId="15">
    <w:abstractNumId w:val="3"/>
  </w:num>
  <w:num w:numId="16">
    <w:abstractNumId w:val="39"/>
  </w:num>
  <w:num w:numId="17">
    <w:abstractNumId w:val="32"/>
  </w:num>
  <w:num w:numId="18">
    <w:abstractNumId w:val="17"/>
  </w:num>
  <w:num w:numId="19">
    <w:abstractNumId w:val="10"/>
  </w:num>
  <w:num w:numId="20">
    <w:abstractNumId w:val="30"/>
  </w:num>
  <w:num w:numId="21">
    <w:abstractNumId w:val="13"/>
  </w:num>
  <w:num w:numId="22">
    <w:abstractNumId w:val="33"/>
  </w:num>
  <w:num w:numId="23">
    <w:abstractNumId w:val="9"/>
  </w:num>
  <w:num w:numId="24">
    <w:abstractNumId w:val="8"/>
  </w:num>
  <w:num w:numId="25">
    <w:abstractNumId w:val="34"/>
  </w:num>
  <w:num w:numId="26">
    <w:abstractNumId w:val="23"/>
  </w:num>
  <w:num w:numId="27">
    <w:abstractNumId w:val="37"/>
  </w:num>
  <w:num w:numId="28">
    <w:abstractNumId w:val="29"/>
  </w:num>
  <w:num w:numId="29">
    <w:abstractNumId w:val="27"/>
  </w:num>
  <w:num w:numId="30">
    <w:abstractNumId w:val="16"/>
  </w:num>
  <w:num w:numId="31">
    <w:abstractNumId w:val="36"/>
  </w:num>
  <w:num w:numId="32">
    <w:abstractNumId w:val="22"/>
  </w:num>
  <w:num w:numId="33">
    <w:abstractNumId w:val="11"/>
  </w:num>
  <w:num w:numId="34">
    <w:abstractNumId w:val="6"/>
  </w:num>
  <w:num w:numId="35">
    <w:abstractNumId w:val="4"/>
  </w:num>
  <w:num w:numId="36">
    <w:abstractNumId w:val="25"/>
  </w:num>
  <w:num w:numId="37">
    <w:abstractNumId w:val="5"/>
  </w:num>
  <w:num w:numId="38">
    <w:abstractNumId w:val="20"/>
  </w:num>
  <w:num w:numId="39">
    <w:abstractNumId w:val="7"/>
  </w:num>
  <w:num w:numId="4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activeWritingStyle w:appName="MSWord" w:lang="en-US" w:vendorID="8" w:dllVersion="513" w:checkStyle="1"/>
  <w:activeWritingStyle w:appName="MSWord" w:lang="en-GB" w:vendorID="8" w:dllVersion="513" w:checkStyle="1"/>
  <w:activeWritingStyle w:appName="MSWord" w:lang="it-IT" w:vendorID="3" w:dllVersion="517"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1"/>
  <w:hyphenationZone w:val="283"/>
  <w:doNotHyphenateCaps/>
  <w:displayHorizontalDrawingGridEvery w:val="0"/>
  <w:displayVerticalDrawingGridEvery w:val="0"/>
  <w:doNotUseMarginsForDrawingGridOrigin/>
  <w:doNotShadeFormData/>
  <w:noPunctuationKerning/>
  <w:characterSpacingControl w:val="doNotCompress"/>
  <w:hdrShapeDefaults>
    <o:shapedefaults v:ext="edit" spidmax="43009">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
  <w:rsids>
    <w:rsidRoot w:val="009E3481"/>
    <w:rsid w:val="00015E93"/>
    <w:rsid w:val="00071783"/>
    <w:rsid w:val="00073631"/>
    <w:rsid w:val="00084B4B"/>
    <w:rsid w:val="0008561D"/>
    <w:rsid w:val="0014131A"/>
    <w:rsid w:val="0022379A"/>
    <w:rsid w:val="002A7A2A"/>
    <w:rsid w:val="002C6676"/>
    <w:rsid w:val="002F24AD"/>
    <w:rsid w:val="002F4F23"/>
    <w:rsid w:val="00346A0E"/>
    <w:rsid w:val="003A1457"/>
    <w:rsid w:val="003B6DEB"/>
    <w:rsid w:val="003D0961"/>
    <w:rsid w:val="00492575"/>
    <w:rsid w:val="004944CA"/>
    <w:rsid w:val="004D762F"/>
    <w:rsid w:val="004F5853"/>
    <w:rsid w:val="005240FB"/>
    <w:rsid w:val="005561CF"/>
    <w:rsid w:val="005754E5"/>
    <w:rsid w:val="005A754D"/>
    <w:rsid w:val="00650753"/>
    <w:rsid w:val="00663324"/>
    <w:rsid w:val="006C3AE1"/>
    <w:rsid w:val="00703610"/>
    <w:rsid w:val="007C44EA"/>
    <w:rsid w:val="00820C12"/>
    <w:rsid w:val="0089499E"/>
    <w:rsid w:val="00896B14"/>
    <w:rsid w:val="00896B95"/>
    <w:rsid w:val="008E1C22"/>
    <w:rsid w:val="00954BA5"/>
    <w:rsid w:val="00967543"/>
    <w:rsid w:val="009737FA"/>
    <w:rsid w:val="00997338"/>
    <w:rsid w:val="009E3481"/>
    <w:rsid w:val="009F4984"/>
    <w:rsid w:val="00A100C0"/>
    <w:rsid w:val="00A54F60"/>
    <w:rsid w:val="00A61EE8"/>
    <w:rsid w:val="00A74845"/>
    <w:rsid w:val="00AD06CC"/>
    <w:rsid w:val="00BA4E4A"/>
    <w:rsid w:val="00BF0F67"/>
    <w:rsid w:val="00CC5E9F"/>
    <w:rsid w:val="00D50782"/>
    <w:rsid w:val="00D61288"/>
    <w:rsid w:val="00D850F4"/>
    <w:rsid w:val="00DA236B"/>
    <w:rsid w:val="00E5351F"/>
    <w:rsid w:val="00EB0844"/>
    <w:rsid w:val="00F042C4"/>
    <w:rsid w:val="00F525E2"/>
    <w:rsid w:val="00FA6F0E"/>
    <w:rsid w:val="00FA73D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4300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3481"/>
    <w:rPr>
      <w:sz w:val="24"/>
      <w:lang w:val="en-US" w:eastAsia="en-US"/>
    </w:rPr>
  </w:style>
  <w:style w:type="paragraph" w:styleId="Heading1">
    <w:name w:val="heading 1"/>
    <w:basedOn w:val="Normal"/>
    <w:next w:val="Normal"/>
    <w:qFormat/>
    <w:rsid w:val="009E3481"/>
    <w:pPr>
      <w:keepNext/>
      <w:keepLines/>
      <w:spacing w:before="720"/>
      <w:ind w:left="907" w:right="567" w:hanging="907"/>
      <w:outlineLvl w:val="0"/>
    </w:pPr>
    <w:rPr>
      <w:rFonts w:ascii="Arial" w:hAnsi="Arial"/>
      <w:b/>
      <w:sz w:val="32"/>
    </w:rPr>
  </w:style>
  <w:style w:type="paragraph" w:styleId="Heading2">
    <w:name w:val="heading 2"/>
    <w:basedOn w:val="Normal"/>
    <w:next w:val="Normal"/>
    <w:qFormat/>
    <w:rsid w:val="009E3481"/>
    <w:pPr>
      <w:keepNext/>
      <w:keepLines/>
      <w:spacing w:before="480"/>
      <w:ind w:left="907" w:right="567" w:hanging="907"/>
      <w:outlineLvl w:val="1"/>
    </w:pPr>
    <w:rPr>
      <w:rFonts w:ascii="Arial" w:hAnsi="Arial"/>
      <w:b/>
      <w:sz w:val="28"/>
    </w:rPr>
  </w:style>
  <w:style w:type="paragraph" w:styleId="Heading3">
    <w:name w:val="heading 3"/>
    <w:basedOn w:val="Normal"/>
    <w:next w:val="Normal"/>
    <w:link w:val="Heading3Char"/>
    <w:qFormat/>
    <w:rsid w:val="009E3481"/>
    <w:pPr>
      <w:keepNext/>
      <w:keepLines/>
      <w:spacing w:before="240"/>
      <w:ind w:left="907" w:right="567" w:hanging="907"/>
      <w:outlineLvl w:val="2"/>
    </w:pPr>
    <w:rPr>
      <w:rFonts w:ascii="Arial" w:hAnsi="Arial"/>
      <w:b/>
    </w:rPr>
  </w:style>
  <w:style w:type="paragraph" w:styleId="Heading4">
    <w:name w:val="heading 4"/>
    <w:basedOn w:val="Normal"/>
    <w:next w:val="Normal"/>
    <w:link w:val="Heading4Char"/>
    <w:qFormat/>
    <w:rsid w:val="009E3481"/>
    <w:pPr>
      <w:keepNext/>
      <w:keepLines/>
      <w:spacing w:before="240"/>
      <w:outlineLvl w:val="3"/>
    </w:pPr>
    <w:rPr>
      <w:rFonts w:ascii="Arial" w:hAnsi="Arial"/>
      <w:b/>
      <w:sz w:val="22"/>
    </w:rPr>
  </w:style>
  <w:style w:type="paragraph" w:styleId="Heading5">
    <w:name w:val="heading 5"/>
    <w:basedOn w:val="Heading4"/>
    <w:next w:val="Normal"/>
    <w:qFormat/>
    <w:rsid w:val="009E3481"/>
    <w:pPr>
      <w:outlineLvl w:val="4"/>
    </w:pPr>
    <w:rPr>
      <w:b w:val="0"/>
    </w:rPr>
  </w:style>
  <w:style w:type="paragraph" w:styleId="Heading6">
    <w:name w:val="heading 6"/>
    <w:basedOn w:val="Normal"/>
    <w:next w:val="Normal"/>
    <w:qFormat/>
    <w:rsid w:val="009E3481"/>
    <w:pPr>
      <w:keepNext/>
      <w:keepLines/>
      <w:spacing w:before="240" w:after="120"/>
      <w:ind w:left="1701" w:hanging="1701"/>
      <w:outlineLvl w:val="5"/>
    </w:pPr>
    <w:rPr>
      <w:rFonts w:ascii="Arial" w:hAnsi="Arial"/>
      <w:b/>
    </w:rPr>
  </w:style>
  <w:style w:type="paragraph" w:styleId="Heading7">
    <w:name w:val="heading 7"/>
    <w:basedOn w:val="Normal"/>
    <w:next w:val="Normal"/>
    <w:qFormat/>
    <w:rsid w:val="009E3481"/>
    <w:pPr>
      <w:keepNext/>
      <w:keepLines/>
      <w:spacing w:before="240" w:after="120"/>
      <w:ind w:left="1701" w:hanging="1701"/>
      <w:outlineLvl w:val="6"/>
    </w:pPr>
    <w:rPr>
      <w:rFonts w:ascii="Arial" w:hAnsi="Arial"/>
      <w:b/>
    </w:rPr>
  </w:style>
  <w:style w:type="paragraph" w:styleId="Heading8">
    <w:name w:val="heading 8"/>
    <w:basedOn w:val="Normal"/>
    <w:qFormat/>
    <w:rsid w:val="009E3481"/>
    <w:pPr>
      <w:ind w:left="720"/>
      <w:outlineLvl w:val="7"/>
    </w:pPr>
    <w:rPr>
      <w:i/>
      <w:sz w:val="20"/>
    </w:rPr>
  </w:style>
  <w:style w:type="paragraph" w:styleId="Heading9">
    <w:name w:val="heading 9"/>
    <w:basedOn w:val="Normal"/>
    <w:next w:val="Normal"/>
    <w:qFormat/>
    <w:rsid w:val="009E3481"/>
    <w:pPr>
      <w:ind w:left="720"/>
      <w:outlineLvl w:val="8"/>
    </w:pPr>
    <w:rPr>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9E3481"/>
    <w:rPr>
      <w:rFonts w:ascii="Arial" w:hAnsi="Arial"/>
      <w:b/>
      <w:sz w:val="24"/>
      <w:lang w:val="en-US" w:eastAsia="en-US" w:bidi="ar-SA"/>
    </w:rPr>
  </w:style>
  <w:style w:type="character" w:customStyle="1" w:styleId="Heading4Char">
    <w:name w:val="Heading 4 Char"/>
    <w:basedOn w:val="DefaultParagraphFont"/>
    <w:link w:val="Heading4"/>
    <w:rsid w:val="009E3481"/>
    <w:rPr>
      <w:rFonts w:ascii="Arial" w:hAnsi="Arial"/>
      <w:b/>
      <w:sz w:val="22"/>
      <w:lang w:val="en-US" w:eastAsia="en-US" w:bidi="ar-SA"/>
    </w:rPr>
  </w:style>
  <w:style w:type="character" w:styleId="CommentReference">
    <w:name w:val="annotation reference"/>
    <w:basedOn w:val="DefaultParagraphFont"/>
    <w:semiHidden/>
    <w:rsid w:val="009E3481"/>
    <w:rPr>
      <w:sz w:val="16"/>
    </w:rPr>
  </w:style>
  <w:style w:type="paragraph" w:styleId="CommentText">
    <w:name w:val="annotation text"/>
    <w:basedOn w:val="Normal"/>
    <w:link w:val="CommentTextChar"/>
    <w:semiHidden/>
    <w:rsid w:val="009E3481"/>
    <w:rPr>
      <w:sz w:val="20"/>
    </w:rPr>
  </w:style>
  <w:style w:type="paragraph" w:styleId="TOC8">
    <w:name w:val="toc 8"/>
    <w:basedOn w:val="Normal"/>
    <w:next w:val="Normal"/>
    <w:semiHidden/>
    <w:rsid w:val="009E3481"/>
    <w:pPr>
      <w:tabs>
        <w:tab w:val="left" w:leader="dot" w:pos="8280"/>
        <w:tab w:val="right" w:pos="8640"/>
      </w:tabs>
      <w:ind w:left="5040" w:right="720"/>
    </w:pPr>
  </w:style>
  <w:style w:type="paragraph" w:styleId="TOC7">
    <w:name w:val="toc 7"/>
    <w:basedOn w:val="Normal"/>
    <w:semiHidden/>
    <w:rsid w:val="009E3481"/>
    <w:pPr>
      <w:tabs>
        <w:tab w:val="right" w:leader="dot" w:pos="9072"/>
      </w:tabs>
      <w:spacing w:after="72"/>
      <w:ind w:left="1701" w:hanging="1701"/>
    </w:pPr>
  </w:style>
  <w:style w:type="paragraph" w:styleId="TOC6">
    <w:name w:val="toc 6"/>
    <w:basedOn w:val="Normal"/>
    <w:semiHidden/>
    <w:rsid w:val="009E3481"/>
    <w:pPr>
      <w:tabs>
        <w:tab w:val="right" w:leader="dot" w:pos="9072"/>
      </w:tabs>
      <w:spacing w:after="72"/>
      <w:ind w:left="1701" w:hanging="1701"/>
    </w:pPr>
  </w:style>
  <w:style w:type="paragraph" w:styleId="TOC5">
    <w:name w:val="toc 5"/>
    <w:basedOn w:val="Normal"/>
    <w:next w:val="Normal"/>
    <w:semiHidden/>
    <w:rsid w:val="009E3481"/>
    <w:pPr>
      <w:tabs>
        <w:tab w:val="left" w:leader="dot" w:pos="8280"/>
        <w:tab w:val="right" w:pos="8640"/>
      </w:tabs>
      <w:ind w:left="2880" w:right="720"/>
    </w:pPr>
  </w:style>
  <w:style w:type="paragraph" w:styleId="TOC4">
    <w:name w:val="toc 4"/>
    <w:basedOn w:val="Normal"/>
    <w:next w:val="Normal"/>
    <w:semiHidden/>
    <w:rsid w:val="009E3481"/>
    <w:pPr>
      <w:tabs>
        <w:tab w:val="left" w:leader="dot" w:pos="8280"/>
        <w:tab w:val="right" w:pos="8640"/>
      </w:tabs>
      <w:ind w:left="2160" w:right="720"/>
    </w:pPr>
  </w:style>
  <w:style w:type="paragraph" w:styleId="TOC3">
    <w:name w:val="toc 3"/>
    <w:basedOn w:val="TOC2"/>
    <w:semiHidden/>
    <w:rsid w:val="009E3481"/>
    <w:pPr>
      <w:ind w:left="2127" w:hanging="993"/>
    </w:pPr>
  </w:style>
  <w:style w:type="paragraph" w:styleId="TOC2">
    <w:name w:val="toc 2"/>
    <w:basedOn w:val="TOC1"/>
    <w:semiHidden/>
    <w:rsid w:val="009E3481"/>
    <w:pPr>
      <w:ind w:left="1134" w:hanging="709"/>
    </w:pPr>
  </w:style>
  <w:style w:type="paragraph" w:styleId="TOC1">
    <w:name w:val="toc 1"/>
    <w:basedOn w:val="Normal"/>
    <w:semiHidden/>
    <w:rsid w:val="009E3481"/>
    <w:pPr>
      <w:tabs>
        <w:tab w:val="right" w:leader="dot" w:pos="9073"/>
      </w:tabs>
      <w:spacing w:after="72"/>
      <w:ind w:left="426" w:hanging="426"/>
    </w:pPr>
  </w:style>
  <w:style w:type="paragraph" w:styleId="Index7">
    <w:name w:val="index 7"/>
    <w:basedOn w:val="Normal"/>
    <w:next w:val="Normal"/>
    <w:semiHidden/>
    <w:rsid w:val="009E3481"/>
    <w:pPr>
      <w:ind w:left="2160"/>
    </w:pPr>
  </w:style>
  <w:style w:type="paragraph" w:styleId="Index6">
    <w:name w:val="index 6"/>
    <w:basedOn w:val="Normal"/>
    <w:next w:val="Normal"/>
    <w:semiHidden/>
    <w:rsid w:val="009E3481"/>
    <w:pPr>
      <w:ind w:left="1800"/>
    </w:pPr>
  </w:style>
  <w:style w:type="paragraph" w:styleId="Index5">
    <w:name w:val="index 5"/>
    <w:basedOn w:val="Normal"/>
    <w:next w:val="Normal"/>
    <w:semiHidden/>
    <w:rsid w:val="009E3481"/>
    <w:pPr>
      <w:ind w:left="1440"/>
    </w:pPr>
  </w:style>
  <w:style w:type="paragraph" w:styleId="Index4">
    <w:name w:val="index 4"/>
    <w:basedOn w:val="Normal"/>
    <w:next w:val="Normal"/>
    <w:semiHidden/>
    <w:rsid w:val="009E3481"/>
    <w:pPr>
      <w:ind w:left="1080"/>
    </w:pPr>
  </w:style>
  <w:style w:type="paragraph" w:styleId="Index3">
    <w:name w:val="index 3"/>
    <w:basedOn w:val="Normal"/>
    <w:next w:val="Normal"/>
    <w:semiHidden/>
    <w:rsid w:val="009E3481"/>
    <w:pPr>
      <w:ind w:left="720"/>
    </w:pPr>
  </w:style>
  <w:style w:type="paragraph" w:styleId="Index2">
    <w:name w:val="index 2"/>
    <w:basedOn w:val="Normal"/>
    <w:next w:val="Normal"/>
    <w:semiHidden/>
    <w:rsid w:val="009E3481"/>
    <w:pPr>
      <w:ind w:left="360"/>
    </w:pPr>
  </w:style>
  <w:style w:type="paragraph" w:styleId="Index1">
    <w:name w:val="index 1"/>
    <w:basedOn w:val="Normal"/>
    <w:next w:val="Normal"/>
    <w:semiHidden/>
    <w:rsid w:val="009E3481"/>
  </w:style>
  <w:style w:type="paragraph" w:styleId="IndexHeading">
    <w:name w:val="index heading"/>
    <w:basedOn w:val="Normal"/>
    <w:next w:val="Index1"/>
    <w:semiHidden/>
    <w:rsid w:val="009E3481"/>
  </w:style>
  <w:style w:type="character" w:styleId="FootnoteReference">
    <w:name w:val="footnote reference"/>
    <w:basedOn w:val="DefaultParagraphFont"/>
    <w:semiHidden/>
    <w:rsid w:val="009E3481"/>
    <w:rPr>
      <w:position w:val="6"/>
      <w:sz w:val="16"/>
    </w:rPr>
  </w:style>
  <w:style w:type="paragraph" w:styleId="FootnoteText">
    <w:name w:val="footnote text"/>
    <w:basedOn w:val="Normal"/>
    <w:semiHidden/>
    <w:rsid w:val="009E3481"/>
    <w:rPr>
      <w:sz w:val="20"/>
    </w:rPr>
  </w:style>
  <w:style w:type="paragraph" w:customStyle="1" w:styleId="ActiveIngredientPI">
    <w:name w:val="Active Ingredient PI"/>
    <w:basedOn w:val="Normal"/>
    <w:rsid w:val="009E3481"/>
    <w:pPr>
      <w:spacing w:after="60"/>
      <w:jc w:val="center"/>
    </w:pPr>
    <w:rPr>
      <w:rFonts w:ascii="Arial" w:hAnsi="Arial"/>
      <w:b/>
    </w:rPr>
  </w:style>
  <w:style w:type="paragraph" w:customStyle="1" w:styleId="PIHeading1">
    <w:name w:val="PI Heading 1"/>
    <w:basedOn w:val="Heading1"/>
    <w:rsid w:val="009E3481"/>
    <w:pPr>
      <w:keepLines w:val="0"/>
      <w:tabs>
        <w:tab w:val="left" w:pos="1418"/>
      </w:tabs>
      <w:spacing w:before="240" w:after="240"/>
      <w:ind w:left="1418" w:right="0" w:hanging="1418"/>
      <w:jc w:val="both"/>
    </w:pPr>
    <w:rPr>
      <w:rFonts w:ascii="Arial Bold" w:hAnsi="Arial Bold"/>
      <w:caps/>
      <w:sz w:val="22"/>
      <w:szCs w:val="22"/>
    </w:rPr>
  </w:style>
  <w:style w:type="paragraph" w:customStyle="1" w:styleId="PIheading2">
    <w:name w:val="PI heading 2"/>
    <w:basedOn w:val="Heading2"/>
    <w:rsid w:val="009E3481"/>
    <w:pPr>
      <w:keepLines w:val="0"/>
      <w:tabs>
        <w:tab w:val="left" w:pos="1418"/>
      </w:tabs>
      <w:spacing w:before="240" w:after="120"/>
      <w:ind w:left="0" w:right="0" w:firstLine="0"/>
    </w:pPr>
    <w:rPr>
      <w:sz w:val="22"/>
      <w:szCs w:val="22"/>
    </w:rPr>
  </w:style>
  <w:style w:type="paragraph" w:customStyle="1" w:styleId="PIHeading3">
    <w:name w:val="PI Heading 3"/>
    <w:basedOn w:val="Normal"/>
    <w:rsid w:val="009E3481"/>
    <w:pPr>
      <w:tabs>
        <w:tab w:val="left" w:pos="1418"/>
      </w:tabs>
      <w:spacing w:before="120" w:after="60"/>
      <w:jc w:val="both"/>
    </w:pPr>
    <w:rPr>
      <w:rFonts w:ascii="Arial" w:hAnsi="Arial"/>
      <w:sz w:val="22"/>
      <w:szCs w:val="22"/>
      <w:u w:val="single"/>
    </w:rPr>
  </w:style>
  <w:style w:type="paragraph" w:styleId="EndnoteText">
    <w:name w:val="endnote text"/>
    <w:basedOn w:val="Normal"/>
    <w:semiHidden/>
    <w:rsid w:val="009E3481"/>
    <w:pPr>
      <w:spacing w:before="80" w:after="60"/>
      <w:ind w:left="907" w:hanging="907"/>
    </w:pPr>
    <w:rPr>
      <w:lang w:val="en-GB"/>
    </w:rPr>
  </w:style>
  <w:style w:type="paragraph" w:styleId="BalloonText">
    <w:name w:val="Balloon Text"/>
    <w:basedOn w:val="Normal"/>
    <w:semiHidden/>
    <w:rsid w:val="009E3481"/>
    <w:rPr>
      <w:rFonts w:ascii="Tahoma" w:hAnsi="Tahoma" w:cs="Tahoma"/>
      <w:sz w:val="16"/>
      <w:szCs w:val="16"/>
    </w:rPr>
  </w:style>
  <w:style w:type="paragraph" w:customStyle="1" w:styleId="BrandNamePI">
    <w:name w:val="Brand Name PI"/>
    <w:basedOn w:val="ActiveIngredientPI"/>
    <w:rsid w:val="009E3481"/>
    <w:rPr>
      <w:sz w:val="28"/>
      <w:szCs w:val="28"/>
    </w:rPr>
  </w:style>
  <w:style w:type="paragraph" w:customStyle="1" w:styleId="PItextbolditalic">
    <w:name w:val="PI text bold  italic"/>
    <w:basedOn w:val="Normal"/>
    <w:rsid w:val="009E3481"/>
    <w:pPr>
      <w:tabs>
        <w:tab w:val="left" w:pos="1418"/>
      </w:tabs>
      <w:spacing w:before="120" w:after="120"/>
      <w:jc w:val="both"/>
    </w:pPr>
    <w:rPr>
      <w:rFonts w:ascii="Arial" w:hAnsi="Arial"/>
      <w:b/>
      <w:i/>
      <w:sz w:val="22"/>
      <w:szCs w:val="22"/>
    </w:rPr>
  </w:style>
  <w:style w:type="paragraph" w:customStyle="1" w:styleId="TextPI">
    <w:name w:val="Text PI"/>
    <w:basedOn w:val="Normal"/>
    <w:link w:val="TextPIChar"/>
    <w:rsid w:val="009E3481"/>
    <w:pPr>
      <w:spacing w:before="120" w:after="120" w:line="240" w:lineRule="atLeast"/>
      <w:jc w:val="both"/>
    </w:pPr>
    <w:rPr>
      <w:rFonts w:ascii="Arial" w:hAnsi="Arial"/>
      <w:sz w:val="22"/>
      <w:szCs w:val="22"/>
    </w:rPr>
  </w:style>
  <w:style w:type="character" w:customStyle="1" w:styleId="TextPIChar">
    <w:name w:val="Text PI Char"/>
    <w:basedOn w:val="DefaultParagraphFont"/>
    <w:link w:val="TextPI"/>
    <w:rsid w:val="009E3481"/>
    <w:rPr>
      <w:rFonts w:ascii="Arial" w:hAnsi="Arial"/>
      <w:sz w:val="22"/>
      <w:szCs w:val="22"/>
      <w:lang w:val="en-US" w:eastAsia="en-US"/>
    </w:rPr>
  </w:style>
  <w:style w:type="paragraph" w:customStyle="1" w:styleId="TextPIBullet">
    <w:name w:val="Text PI Bullet"/>
    <w:basedOn w:val="TextPI"/>
    <w:rsid w:val="009E3481"/>
    <w:pPr>
      <w:numPr>
        <w:numId w:val="19"/>
      </w:numPr>
      <w:tabs>
        <w:tab w:val="clear" w:pos="720"/>
        <w:tab w:val="num" w:pos="360"/>
      </w:tabs>
      <w:spacing w:before="0" w:after="0"/>
      <w:ind w:left="0" w:firstLine="0"/>
    </w:pPr>
  </w:style>
  <w:style w:type="paragraph" w:customStyle="1" w:styleId="TextPItable">
    <w:name w:val="Text PI table"/>
    <w:basedOn w:val="Normal"/>
    <w:rsid w:val="009E3481"/>
    <w:pPr>
      <w:tabs>
        <w:tab w:val="left" w:pos="1418"/>
      </w:tabs>
      <w:jc w:val="both"/>
    </w:pPr>
    <w:rPr>
      <w:rFonts w:ascii="Arial" w:hAnsi="Arial"/>
      <w:sz w:val="22"/>
      <w:szCs w:val="22"/>
    </w:rPr>
  </w:style>
  <w:style w:type="paragraph" w:customStyle="1" w:styleId="TextPIunderline">
    <w:name w:val="Text PI underline"/>
    <w:basedOn w:val="Normal"/>
    <w:rsid w:val="009E3481"/>
    <w:pPr>
      <w:tabs>
        <w:tab w:val="left" w:pos="1418"/>
      </w:tabs>
      <w:jc w:val="both"/>
    </w:pPr>
    <w:rPr>
      <w:rFonts w:ascii="Arial" w:hAnsi="Arial"/>
      <w:iCs/>
      <w:sz w:val="22"/>
      <w:szCs w:val="22"/>
      <w:u w:val="single"/>
    </w:rPr>
  </w:style>
  <w:style w:type="paragraph" w:styleId="Header">
    <w:name w:val="header"/>
    <w:basedOn w:val="Normal"/>
    <w:link w:val="HeaderChar"/>
    <w:unhideWhenUsed/>
    <w:rsid w:val="009E3481"/>
    <w:pPr>
      <w:tabs>
        <w:tab w:val="center" w:pos="4513"/>
        <w:tab w:val="right" w:pos="9026"/>
      </w:tabs>
    </w:pPr>
  </w:style>
  <w:style w:type="character" w:customStyle="1" w:styleId="HeaderChar">
    <w:name w:val="Header Char"/>
    <w:basedOn w:val="DefaultParagraphFont"/>
    <w:link w:val="Header"/>
    <w:uiPriority w:val="99"/>
    <w:semiHidden/>
    <w:rsid w:val="009E3481"/>
    <w:rPr>
      <w:sz w:val="24"/>
      <w:lang w:val="en-US" w:eastAsia="en-US"/>
    </w:rPr>
  </w:style>
  <w:style w:type="paragraph" w:styleId="Footer">
    <w:name w:val="footer"/>
    <w:basedOn w:val="Normal"/>
    <w:link w:val="FooterChar"/>
    <w:uiPriority w:val="99"/>
    <w:unhideWhenUsed/>
    <w:rsid w:val="009E3481"/>
    <w:pPr>
      <w:tabs>
        <w:tab w:val="center" w:pos="4513"/>
        <w:tab w:val="right" w:pos="9026"/>
      </w:tabs>
    </w:pPr>
  </w:style>
  <w:style w:type="character" w:customStyle="1" w:styleId="FooterChar">
    <w:name w:val="Footer Char"/>
    <w:basedOn w:val="DefaultParagraphFont"/>
    <w:link w:val="Footer"/>
    <w:uiPriority w:val="99"/>
    <w:rsid w:val="009E3481"/>
    <w:rPr>
      <w:sz w:val="24"/>
      <w:lang w:val="en-US" w:eastAsia="en-US"/>
    </w:rPr>
  </w:style>
  <w:style w:type="paragraph" w:customStyle="1" w:styleId="bullet1">
    <w:name w:val="bullet 1"/>
    <w:basedOn w:val="Normal"/>
    <w:rsid w:val="009E3481"/>
    <w:pPr>
      <w:widowControl w:val="0"/>
      <w:numPr>
        <w:numId w:val="36"/>
      </w:numPr>
      <w:tabs>
        <w:tab w:val="left" w:pos="680"/>
      </w:tabs>
      <w:spacing w:after="240"/>
      <w:ind w:left="680" w:hanging="680"/>
      <w:jc w:val="both"/>
    </w:pPr>
    <w:rPr>
      <w:snapToGrid w:val="0"/>
      <w:lang w:val="en-AU"/>
    </w:rPr>
  </w:style>
  <w:style w:type="character" w:styleId="PageNumber">
    <w:name w:val="page number"/>
    <w:basedOn w:val="DefaultParagraphFont"/>
    <w:rsid w:val="009E3481"/>
  </w:style>
  <w:style w:type="paragraph" w:styleId="CommentSubject">
    <w:name w:val="annotation subject"/>
    <w:basedOn w:val="CommentText"/>
    <w:next w:val="CommentText"/>
    <w:link w:val="CommentSubjectChar"/>
    <w:uiPriority w:val="99"/>
    <w:semiHidden/>
    <w:unhideWhenUsed/>
    <w:rsid w:val="009E3481"/>
    <w:rPr>
      <w:b/>
      <w:bCs/>
      <w:lang w:val="en-AU" w:eastAsia="en-AU"/>
    </w:rPr>
  </w:style>
  <w:style w:type="character" w:customStyle="1" w:styleId="CommentTextChar">
    <w:name w:val="Comment Text Char"/>
    <w:basedOn w:val="DefaultParagraphFont"/>
    <w:link w:val="CommentText"/>
    <w:semiHidden/>
    <w:rsid w:val="009E3481"/>
    <w:rPr>
      <w:lang w:val="en-US" w:eastAsia="en-US"/>
    </w:rPr>
  </w:style>
  <w:style w:type="character" w:customStyle="1" w:styleId="CommentSubjectChar">
    <w:name w:val="Comment Subject Char"/>
    <w:basedOn w:val="CommentTextChar"/>
    <w:link w:val="CommentSubject"/>
    <w:uiPriority w:val="99"/>
    <w:semiHidden/>
    <w:rsid w:val="009E3481"/>
    <w:rPr>
      <w:b/>
      <w:bCs/>
      <w:lang w:val="en-US" w:eastAsia="en-US"/>
    </w:rPr>
  </w:style>
  <w:style w:type="paragraph" w:customStyle="1" w:styleId="Style1">
    <w:name w:val="Style1"/>
    <w:basedOn w:val="Normal"/>
    <w:rsid w:val="009E3481"/>
    <w:pPr>
      <w:suppressAutoHyphens/>
      <w:spacing w:before="60" w:after="60"/>
      <w:ind w:left="935"/>
      <w:jc w:val="both"/>
    </w:pPr>
    <w:rPr>
      <w:rFonts w:eastAsia="MS Mincho"/>
      <w:szCs w:val="24"/>
      <w:lang w:val="en-GB"/>
    </w:rPr>
  </w:style>
  <w:style w:type="paragraph" w:styleId="BodyText2">
    <w:name w:val="Body Text 2"/>
    <w:basedOn w:val="Normal"/>
    <w:link w:val="BodyText2Char"/>
    <w:rsid w:val="009E3481"/>
    <w:rPr>
      <w:rFonts w:eastAsia="MS Mincho"/>
      <w:color w:val="000000"/>
      <w:szCs w:val="24"/>
    </w:rPr>
  </w:style>
  <w:style w:type="character" w:customStyle="1" w:styleId="BodyText2Char">
    <w:name w:val="Body Text 2 Char"/>
    <w:basedOn w:val="DefaultParagraphFont"/>
    <w:link w:val="BodyText2"/>
    <w:rsid w:val="009E3481"/>
    <w:rPr>
      <w:rFonts w:eastAsia="MS Mincho"/>
      <w:color w:val="000000"/>
      <w:sz w:val="24"/>
      <w:szCs w:val="24"/>
      <w:lang w:val="en-US" w:eastAsia="en-US"/>
    </w:rPr>
  </w:style>
  <w:style w:type="paragraph" w:styleId="BodyText">
    <w:name w:val="Body Text"/>
    <w:link w:val="BodyTextChar"/>
    <w:rsid w:val="009E3481"/>
    <w:pPr>
      <w:spacing w:after="120"/>
    </w:pPr>
    <w:rPr>
      <w:rFonts w:eastAsia="MS Mincho"/>
      <w:sz w:val="24"/>
      <w:szCs w:val="24"/>
      <w:lang w:val="en-GB" w:eastAsia="en-US"/>
    </w:rPr>
  </w:style>
  <w:style w:type="character" w:customStyle="1" w:styleId="BodyTextChar">
    <w:name w:val="Body Text Char"/>
    <w:basedOn w:val="DefaultParagraphFont"/>
    <w:link w:val="BodyText"/>
    <w:rsid w:val="009E3481"/>
    <w:rPr>
      <w:rFonts w:eastAsia="MS Mincho"/>
      <w:sz w:val="24"/>
      <w:szCs w:val="24"/>
      <w:lang w:val="en-GB" w:eastAsia="en-US"/>
    </w:rPr>
  </w:style>
  <w:style w:type="paragraph" w:styleId="BodyText3">
    <w:name w:val="Body Text 3"/>
    <w:basedOn w:val="Normal"/>
    <w:link w:val="BodyText3Char"/>
    <w:uiPriority w:val="99"/>
    <w:unhideWhenUsed/>
    <w:rsid w:val="009E3481"/>
    <w:pPr>
      <w:spacing w:after="120"/>
    </w:pPr>
    <w:rPr>
      <w:sz w:val="16"/>
      <w:szCs w:val="16"/>
      <w:lang w:val="en-AU" w:eastAsia="en-AU"/>
    </w:rPr>
  </w:style>
  <w:style w:type="character" w:customStyle="1" w:styleId="BodyText3Char">
    <w:name w:val="Body Text 3 Char"/>
    <w:basedOn w:val="DefaultParagraphFont"/>
    <w:link w:val="BodyText3"/>
    <w:uiPriority w:val="99"/>
    <w:rsid w:val="009E3481"/>
    <w:rPr>
      <w:sz w:val="16"/>
      <w:szCs w:val="16"/>
    </w:rPr>
  </w:style>
  <w:style w:type="paragraph" w:customStyle="1" w:styleId="Text1">
    <w:name w:val="Text1"/>
    <w:basedOn w:val="Normal"/>
    <w:rsid w:val="009E3481"/>
    <w:pPr>
      <w:spacing w:before="120" w:after="120" w:line="360" w:lineRule="auto"/>
    </w:pPr>
    <w:rPr>
      <w:rFonts w:eastAsia="MS Mincho"/>
      <w:szCs w:val="24"/>
    </w:rPr>
  </w:style>
  <w:style w:type="paragraph" w:customStyle="1" w:styleId="Body">
    <w:name w:val="Body"/>
    <w:rsid w:val="009E3481"/>
    <w:rPr>
      <w:rFonts w:eastAsia="MS Mincho"/>
      <w:sz w:val="24"/>
      <w:szCs w:val="24"/>
      <w:lang w:val="en-GB" w:eastAsia="en-US"/>
    </w:rPr>
  </w:style>
  <w:style w:type="paragraph" w:customStyle="1" w:styleId="level5">
    <w:name w:val="level5"/>
    <w:basedOn w:val="Normal"/>
    <w:rsid w:val="009E3481"/>
    <w:pPr>
      <w:tabs>
        <w:tab w:val="num" w:pos="1389"/>
      </w:tabs>
      <w:suppressAutoHyphens/>
      <w:spacing w:before="120" w:after="60"/>
      <w:ind w:left="1389" w:hanging="453"/>
      <w:jc w:val="both"/>
    </w:pPr>
    <w:rPr>
      <w:rFonts w:eastAsia="MS Mincho"/>
      <w:szCs w:val="24"/>
      <w:lang w:val="en-GB"/>
    </w:rPr>
  </w:style>
  <w:style w:type="paragraph" w:customStyle="1" w:styleId="level6">
    <w:name w:val="level6"/>
    <w:basedOn w:val="Normal"/>
    <w:rsid w:val="009E3481"/>
    <w:pPr>
      <w:tabs>
        <w:tab w:val="num" w:pos="1843"/>
      </w:tabs>
      <w:suppressAutoHyphens/>
      <w:spacing w:before="120" w:after="60"/>
      <w:ind w:left="1843" w:hanging="454"/>
      <w:jc w:val="both"/>
    </w:pPr>
    <w:rPr>
      <w:rFonts w:eastAsia="MS Mincho"/>
      <w:szCs w:val="24"/>
      <w:lang w:val="en-GB"/>
    </w:rPr>
  </w:style>
  <w:style w:type="paragraph" w:customStyle="1" w:styleId="Level7">
    <w:name w:val="Level7"/>
    <w:basedOn w:val="Normal"/>
    <w:rsid w:val="009E3481"/>
    <w:pPr>
      <w:tabs>
        <w:tab w:val="num" w:pos="3811"/>
      </w:tabs>
      <w:suppressAutoHyphens/>
      <w:spacing w:before="120" w:after="60"/>
      <w:ind w:left="3811" w:hanging="385"/>
      <w:jc w:val="both"/>
    </w:pPr>
    <w:rPr>
      <w:rFonts w:eastAsia="MS Mincho"/>
      <w:szCs w:val="24"/>
      <w:lang w:val="en-GB"/>
    </w:rPr>
  </w:style>
  <w:style w:type="table" w:styleId="TableGrid">
    <w:name w:val="Table Grid"/>
    <w:basedOn w:val="TableNormal"/>
    <w:uiPriority w:val="59"/>
    <w:rsid w:val="009E34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E3481"/>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val="en-US" w:eastAsia="en-US"/>
    </w:rPr>
  </w:style>
  <w:style w:type="paragraph" w:styleId="Heading1">
    <w:name w:val="heading 1"/>
    <w:basedOn w:val="Normal"/>
    <w:next w:val="Normal"/>
    <w:qFormat/>
    <w:pPr>
      <w:keepNext/>
      <w:keepLines/>
      <w:spacing w:before="720"/>
      <w:ind w:left="907" w:right="567" w:hanging="907"/>
      <w:outlineLvl w:val="0"/>
    </w:pPr>
    <w:rPr>
      <w:rFonts w:ascii="Arial" w:hAnsi="Arial"/>
      <w:b/>
      <w:sz w:val="32"/>
    </w:rPr>
  </w:style>
  <w:style w:type="paragraph" w:styleId="Heading2">
    <w:name w:val="heading 2"/>
    <w:basedOn w:val="Normal"/>
    <w:next w:val="Normal"/>
    <w:qFormat/>
    <w:pPr>
      <w:keepNext/>
      <w:keepLines/>
      <w:spacing w:before="480"/>
      <w:ind w:left="907" w:right="567" w:hanging="907"/>
      <w:outlineLvl w:val="1"/>
    </w:pPr>
    <w:rPr>
      <w:rFonts w:ascii="Arial" w:hAnsi="Arial"/>
      <w:b/>
      <w:sz w:val="28"/>
    </w:rPr>
  </w:style>
  <w:style w:type="paragraph" w:styleId="Heading3">
    <w:name w:val="heading 3"/>
    <w:basedOn w:val="Normal"/>
    <w:next w:val="Normal"/>
    <w:link w:val="Heading3Char"/>
    <w:qFormat/>
    <w:pPr>
      <w:keepNext/>
      <w:keepLines/>
      <w:spacing w:before="240"/>
      <w:ind w:left="907" w:right="567" w:hanging="907"/>
      <w:outlineLvl w:val="2"/>
    </w:pPr>
    <w:rPr>
      <w:rFonts w:ascii="Arial" w:hAnsi="Arial"/>
      <w:b/>
    </w:rPr>
  </w:style>
  <w:style w:type="paragraph" w:styleId="Heading4">
    <w:name w:val="heading 4"/>
    <w:basedOn w:val="Normal"/>
    <w:next w:val="Normal"/>
    <w:link w:val="Heading4Char"/>
    <w:qFormat/>
    <w:pPr>
      <w:keepNext/>
      <w:keepLines/>
      <w:spacing w:before="240"/>
      <w:outlineLvl w:val="3"/>
    </w:pPr>
    <w:rPr>
      <w:rFonts w:ascii="Arial" w:hAnsi="Arial"/>
      <w:b/>
      <w:sz w:val="22"/>
    </w:rPr>
  </w:style>
  <w:style w:type="paragraph" w:styleId="Heading5">
    <w:name w:val="heading 5"/>
    <w:basedOn w:val="Heading4"/>
    <w:next w:val="Normal"/>
    <w:qFormat/>
    <w:pPr>
      <w:outlineLvl w:val="4"/>
    </w:pPr>
    <w:rPr>
      <w:b w:val="0"/>
    </w:rPr>
  </w:style>
  <w:style w:type="paragraph" w:styleId="Heading6">
    <w:name w:val="heading 6"/>
    <w:basedOn w:val="Normal"/>
    <w:next w:val="Normal"/>
    <w:qFormat/>
    <w:pPr>
      <w:keepNext/>
      <w:keepLines/>
      <w:spacing w:before="240" w:after="120"/>
      <w:ind w:left="1701" w:hanging="1701"/>
      <w:outlineLvl w:val="5"/>
    </w:pPr>
    <w:rPr>
      <w:rFonts w:ascii="Arial" w:hAnsi="Arial"/>
      <w:b/>
    </w:rPr>
  </w:style>
  <w:style w:type="paragraph" w:styleId="Heading7">
    <w:name w:val="heading 7"/>
    <w:basedOn w:val="Normal"/>
    <w:next w:val="Normal"/>
    <w:qFormat/>
    <w:pPr>
      <w:keepNext/>
      <w:keepLines/>
      <w:spacing w:before="240" w:after="120"/>
      <w:ind w:left="1701" w:hanging="1701"/>
      <w:outlineLvl w:val="6"/>
    </w:pPr>
    <w:rPr>
      <w:rFonts w:ascii="Arial" w:hAnsi="Arial"/>
      <w:b/>
    </w:rPr>
  </w:style>
  <w:style w:type="paragraph" w:styleId="Heading8">
    <w:name w:val="heading 8"/>
    <w:basedOn w:val="Normal"/>
    <w:qFormat/>
    <w:pPr>
      <w:ind w:left="720"/>
      <w:outlineLvl w:val="7"/>
    </w:pPr>
    <w:rPr>
      <w:i/>
      <w:sz w:val="20"/>
    </w:rPr>
  </w:style>
  <w:style w:type="paragraph" w:styleId="Heading9">
    <w:name w:val="heading 9"/>
    <w:basedOn w:val="Normal"/>
    <w:next w:val="Normal"/>
    <w:qFormat/>
    <w:pPr>
      <w:ind w:left="720"/>
      <w:outlineLvl w:val="8"/>
    </w:pPr>
    <w:rPr>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Pr>
      <w:rFonts w:ascii="Arial" w:hAnsi="Arial"/>
      <w:b/>
      <w:sz w:val="24"/>
      <w:lang w:val="en-US" w:eastAsia="en-US" w:bidi="ar-SA"/>
    </w:rPr>
  </w:style>
  <w:style w:type="character" w:customStyle="1" w:styleId="Heading4Char">
    <w:name w:val="Heading 4 Char"/>
    <w:basedOn w:val="DefaultParagraphFont"/>
    <w:link w:val="Heading4"/>
    <w:rPr>
      <w:rFonts w:ascii="Arial" w:hAnsi="Arial"/>
      <w:b/>
      <w:sz w:val="22"/>
      <w:lang w:val="en-US" w:eastAsia="en-US" w:bidi="ar-SA"/>
    </w:rPr>
  </w:style>
  <w:style w:type="character" w:styleId="CommentReference">
    <w:name w:val="annotation reference"/>
    <w:basedOn w:val="DefaultParagraphFont"/>
    <w:semiHidden/>
    <w:rPr>
      <w:sz w:val="16"/>
    </w:rPr>
  </w:style>
  <w:style w:type="paragraph" w:styleId="CommentText">
    <w:name w:val="annotation text"/>
    <w:basedOn w:val="Normal"/>
    <w:link w:val="CommentTextChar"/>
    <w:semiHidden/>
    <w:rPr>
      <w:sz w:val="20"/>
    </w:rPr>
  </w:style>
  <w:style w:type="paragraph" w:styleId="TOC8">
    <w:name w:val="toc 8"/>
    <w:basedOn w:val="Normal"/>
    <w:next w:val="Normal"/>
    <w:semiHidden/>
    <w:pPr>
      <w:tabs>
        <w:tab w:val="left" w:leader="dot" w:pos="8280"/>
        <w:tab w:val="right" w:pos="8640"/>
      </w:tabs>
      <w:ind w:left="5040" w:right="720"/>
    </w:pPr>
  </w:style>
  <w:style w:type="paragraph" w:styleId="TOC7">
    <w:name w:val="toc 7"/>
    <w:basedOn w:val="Normal"/>
    <w:semiHidden/>
    <w:pPr>
      <w:tabs>
        <w:tab w:val="right" w:leader="dot" w:pos="9072"/>
      </w:tabs>
      <w:spacing w:after="72"/>
      <w:ind w:left="1701" w:hanging="1701"/>
    </w:pPr>
  </w:style>
  <w:style w:type="paragraph" w:styleId="TOC6">
    <w:name w:val="toc 6"/>
    <w:basedOn w:val="Normal"/>
    <w:semiHidden/>
    <w:pPr>
      <w:tabs>
        <w:tab w:val="right" w:leader="dot" w:pos="9072"/>
      </w:tabs>
      <w:spacing w:after="72"/>
      <w:ind w:left="1701" w:hanging="1701"/>
    </w:pPr>
  </w:style>
  <w:style w:type="paragraph" w:styleId="TOC5">
    <w:name w:val="toc 5"/>
    <w:basedOn w:val="Normal"/>
    <w:next w:val="Normal"/>
    <w:semiHidden/>
    <w:pPr>
      <w:tabs>
        <w:tab w:val="left" w:leader="dot" w:pos="8280"/>
        <w:tab w:val="right" w:pos="8640"/>
      </w:tabs>
      <w:ind w:left="2880" w:right="720"/>
    </w:pPr>
  </w:style>
  <w:style w:type="paragraph" w:styleId="TOC4">
    <w:name w:val="toc 4"/>
    <w:basedOn w:val="Normal"/>
    <w:next w:val="Normal"/>
    <w:semiHidden/>
    <w:pPr>
      <w:tabs>
        <w:tab w:val="left" w:leader="dot" w:pos="8280"/>
        <w:tab w:val="right" w:pos="8640"/>
      </w:tabs>
      <w:ind w:left="2160" w:right="720"/>
    </w:pPr>
  </w:style>
  <w:style w:type="paragraph" w:styleId="TOC3">
    <w:name w:val="toc 3"/>
    <w:basedOn w:val="TOC2"/>
    <w:semiHidden/>
    <w:pPr>
      <w:ind w:left="2127" w:hanging="993"/>
    </w:pPr>
  </w:style>
  <w:style w:type="paragraph" w:styleId="TOC2">
    <w:name w:val="toc 2"/>
    <w:basedOn w:val="TOC1"/>
    <w:semiHidden/>
    <w:pPr>
      <w:ind w:left="1134" w:hanging="709"/>
    </w:pPr>
  </w:style>
  <w:style w:type="paragraph" w:styleId="TOC1">
    <w:name w:val="toc 1"/>
    <w:basedOn w:val="Normal"/>
    <w:semiHidden/>
    <w:pPr>
      <w:tabs>
        <w:tab w:val="right" w:leader="dot" w:pos="9073"/>
      </w:tabs>
      <w:spacing w:after="72"/>
      <w:ind w:left="426" w:hanging="426"/>
    </w:pPr>
  </w:style>
  <w:style w:type="paragraph" w:styleId="Index7">
    <w:name w:val="index 7"/>
    <w:basedOn w:val="Normal"/>
    <w:next w:val="Normal"/>
    <w:semiHidden/>
    <w:pPr>
      <w:ind w:left="2160"/>
    </w:pPr>
  </w:style>
  <w:style w:type="paragraph" w:styleId="Index6">
    <w:name w:val="index 6"/>
    <w:basedOn w:val="Normal"/>
    <w:next w:val="Normal"/>
    <w:semiHidden/>
    <w:pPr>
      <w:ind w:left="1800"/>
    </w:pPr>
  </w:style>
  <w:style w:type="paragraph" w:styleId="Index5">
    <w:name w:val="index 5"/>
    <w:basedOn w:val="Normal"/>
    <w:next w:val="Normal"/>
    <w:semiHidden/>
    <w:pPr>
      <w:ind w:left="1440"/>
    </w:pPr>
  </w:style>
  <w:style w:type="paragraph" w:styleId="Index4">
    <w:name w:val="index 4"/>
    <w:basedOn w:val="Normal"/>
    <w:next w:val="Normal"/>
    <w:semiHidden/>
    <w:pPr>
      <w:ind w:left="1080"/>
    </w:pPr>
  </w:style>
  <w:style w:type="paragraph" w:styleId="Index3">
    <w:name w:val="index 3"/>
    <w:basedOn w:val="Normal"/>
    <w:next w:val="Normal"/>
    <w:semiHidden/>
    <w:pPr>
      <w:ind w:left="720"/>
    </w:pPr>
  </w:style>
  <w:style w:type="paragraph" w:styleId="Index2">
    <w:name w:val="index 2"/>
    <w:basedOn w:val="Normal"/>
    <w:next w:val="Normal"/>
    <w:semiHidden/>
    <w:pPr>
      <w:ind w:left="360"/>
    </w:pPr>
  </w:style>
  <w:style w:type="paragraph" w:styleId="Index1">
    <w:name w:val="index 1"/>
    <w:basedOn w:val="Normal"/>
    <w:next w:val="Normal"/>
    <w:semiHidden/>
  </w:style>
  <w:style w:type="paragraph" w:styleId="IndexHeading">
    <w:name w:val="index heading"/>
    <w:basedOn w:val="Normal"/>
    <w:next w:val="Index1"/>
    <w:semiHidden/>
  </w:style>
  <w:style w:type="character" w:styleId="FootnoteReference">
    <w:name w:val="footnote reference"/>
    <w:basedOn w:val="DefaultParagraphFont"/>
    <w:semiHidden/>
    <w:rPr>
      <w:position w:val="6"/>
      <w:sz w:val="16"/>
    </w:rPr>
  </w:style>
  <w:style w:type="paragraph" w:styleId="FootnoteText">
    <w:name w:val="footnote text"/>
    <w:basedOn w:val="Normal"/>
    <w:semiHidden/>
    <w:rPr>
      <w:sz w:val="20"/>
    </w:rPr>
  </w:style>
  <w:style w:type="paragraph" w:customStyle="1" w:styleId="ActiveIngredientPI">
    <w:name w:val="Active Ingredient PI"/>
    <w:basedOn w:val="Normal"/>
    <w:pPr>
      <w:spacing w:after="60"/>
      <w:jc w:val="center"/>
    </w:pPr>
    <w:rPr>
      <w:rFonts w:ascii="Arial" w:hAnsi="Arial"/>
      <w:b/>
    </w:rPr>
  </w:style>
  <w:style w:type="paragraph" w:customStyle="1" w:styleId="PIHeading1">
    <w:name w:val="PI Heading 1"/>
    <w:basedOn w:val="Heading1"/>
    <w:pPr>
      <w:keepLines w:val="0"/>
      <w:tabs>
        <w:tab w:val="left" w:pos="1418"/>
      </w:tabs>
      <w:spacing w:before="240" w:after="240"/>
      <w:ind w:left="1418" w:right="0" w:hanging="1418"/>
      <w:jc w:val="both"/>
    </w:pPr>
    <w:rPr>
      <w:rFonts w:ascii="Arial Bold" w:hAnsi="Arial Bold"/>
      <w:caps/>
      <w:sz w:val="22"/>
      <w:szCs w:val="22"/>
    </w:rPr>
  </w:style>
  <w:style w:type="paragraph" w:customStyle="1" w:styleId="PIheading2">
    <w:name w:val="PI heading 2"/>
    <w:basedOn w:val="Heading2"/>
    <w:pPr>
      <w:keepLines w:val="0"/>
      <w:tabs>
        <w:tab w:val="left" w:pos="1418"/>
      </w:tabs>
      <w:spacing w:before="240" w:after="120"/>
      <w:ind w:left="0" w:right="0" w:firstLine="0"/>
    </w:pPr>
    <w:rPr>
      <w:sz w:val="22"/>
      <w:szCs w:val="22"/>
    </w:rPr>
  </w:style>
  <w:style w:type="paragraph" w:customStyle="1" w:styleId="PIHeading3">
    <w:name w:val="PI Heading 3"/>
    <w:basedOn w:val="Normal"/>
    <w:pPr>
      <w:tabs>
        <w:tab w:val="left" w:pos="1418"/>
      </w:tabs>
      <w:spacing w:before="120" w:after="60"/>
      <w:jc w:val="both"/>
    </w:pPr>
    <w:rPr>
      <w:rFonts w:ascii="Arial" w:hAnsi="Arial"/>
      <w:sz w:val="22"/>
      <w:szCs w:val="22"/>
      <w:u w:val="single"/>
    </w:rPr>
  </w:style>
  <w:style w:type="paragraph" w:styleId="EndnoteText">
    <w:name w:val="endnote text"/>
    <w:basedOn w:val="Normal"/>
    <w:semiHidden/>
    <w:pPr>
      <w:spacing w:before="80" w:after="60"/>
      <w:ind w:left="907" w:hanging="907"/>
    </w:pPr>
    <w:rPr>
      <w:lang w:val="en-GB"/>
    </w:rPr>
  </w:style>
  <w:style w:type="paragraph" w:styleId="BalloonText">
    <w:name w:val="Balloon Text"/>
    <w:basedOn w:val="Normal"/>
    <w:semiHidden/>
    <w:rPr>
      <w:rFonts w:ascii="Tahoma" w:hAnsi="Tahoma" w:cs="Tahoma"/>
      <w:sz w:val="16"/>
      <w:szCs w:val="16"/>
    </w:rPr>
  </w:style>
  <w:style w:type="paragraph" w:customStyle="1" w:styleId="BrandNamePI">
    <w:name w:val="Brand Name PI"/>
    <w:basedOn w:val="ActiveIngredientPI"/>
    <w:rPr>
      <w:sz w:val="28"/>
      <w:szCs w:val="28"/>
    </w:rPr>
  </w:style>
  <w:style w:type="paragraph" w:customStyle="1" w:styleId="PItextbolditalic">
    <w:name w:val="PI text bold  italic"/>
    <w:basedOn w:val="Normal"/>
    <w:pPr>
      <w:tabs>
        <w:tab w:val="left" w:pos="1418"/>
      </w:tabs>
      <w:spacing w:before="120" w:after="120"/>
      <w:jc w:val="both"/>
    </w:pPr>
    <w:rPr>
      <w:rFonts w:ascii="Arial" w:hAnsi="Arial"/>
      <w:b/>
      <w:i/>
      <w:sz w:val="22"/>
      <w:szCs w:val="22"/>
    </w:rPr>
  </w:style>
  <w:style w:type="paragraph" w:customStyle="1" w:styleId="TextPI">
    <w:name w:val="Text PI"/>
    <w:basedOn w:val="Normal"/>
    <w:link w:val="TextPIChar"/>
    <w:pPr>
      <w:spacing w:before="120" w:after="120" w:line="240" w:lineRule="atLeast"/>
      <w:jc w:val="both"/>
    </w:pPr>
    <w:rPr>
      <w:rFonts w:ascii="Arial" w:hAnsi="Arial"/>
      <w:sz w:val="22"/>
      <w:szCs w:val="22"/>
    </w:rPr>
  </w:style>
  <w:style w:type="character" w:customStyle="1" w:styleId="TextPIChar">
    <w:name w:val="Text PI Char"/>
    <w:basedOn w:val="DefaultParagraphFont"/>
    <w:link w:val="TextPI"/>
    <w:rPr>
      <w:rFonts w:ascii="Arial" w:hAnsi="Arial"/>
      <w:sz w:val="22"/>
      <w:szCs w:val="22"/>
      <w:lang w:val="en-US" w:eastAsia="en-US"/>
    </w:rPr>
  </w:style>
  <w:style w:type="paragraph" w:customStyle="1" w:styleId="TextPIBullet">
    <w:name w:val="Text PI Bullet"/>
    <w:basedOn w:val="TextPI"/>
    <w:pPr>
      <w:numPr>
        <w:numId w:val="19"/>
      </w:numPr>
      <w:tabs>
        <w:tab w:val="clear" w:pos="720"/>
        <w:tab w:val="num" w:pos="360"/>
      </w:tabs>
      <w:spacing w:before="0" w:after="0"/>
      <w:ind w:left="0" w:firstLine="0"/>
    </w:pPr>
  </w:style>
  <w:style w:type="paragraph" w:customStyle="1" w:styleId="TextPItable">
    <w:name w:val="Text PI table"/>
    <w:basedOn w:val="Normal"/>
    <w:pPr>
      <w:tabs>
        <w:tab w:val="left" w:pos="1418"/>
      </w:tabs>
      <w:jc w:val="both"/>
    </w:pPr>
    <w:rPr>
      <w:rFonts w:ascii="Arial" w:hAnsi="Arial"/>
      <w:sz w:val="22"/>
      <w:szCs w:val="22"/>
    </w:rPr>
  </w:style>
  <w:style w:type="paragraph" w:customStyle="1" w:styleId="TextPIunderline">
    <w:name w:val="Text PI underline"/>
    <w:basedOn w:val="Normal"/>
    <w:pPr>
      <w:tabs>
        <w:tab w:val="left" w:pos="1418"/>
      </w:tabs>
      <w:jc w:val="both"/>
    </w:pPr>
    <w:rPr>
      <w:rFonts w:ascii="Arial" w:hAnsi="Arial"/>
      <w:iCs/>
      <w:sz w:val="22"/>
      <w:szCs w:val="22"/>
      <w:u w:val="single"/>
    </w:rPr>
  </w:style>
  <w:style w:type="paragraph" w:styleId="Header">
    <w:name w:val="header"/>
    <w:basedOn w:val="Normal"/>
    <w:link w:val="HeaderChar"/>
    <w:unhideWhenUsed/>
    <w:pPr>
      <w:tabs>
        <w:tab w:val="center" w:pos="4513"/>
        <w:tab w:val="right" w:pos="9026"/>
      </w:tabs>
    </w:pPr>
  </w:style>
  <w:style w:type="character" w:customStyle="1" w:styleId="HeaderChar">
    <w:name w:val="Header Char"/>
    <w:basedOn w:val="DefaultParagraphFont"/>
    <w:link w:val="Header"/>
    <w:uiPriority w:val="99"/>
    <w:semiHidden/>
    <w:rPr>
      <w:sz w:val="24"/>
      <w:lang w:val="en-US" w:eastAsia="en-US"/>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sz w:val="24"/>
      <w:lang w:val="en-US" w:eastAsia="en-US"/>
    </w:rPr>
  </w:style>
  <w:style w:type="paragraph" w:customStyle="1" w:styleId="bullet1">
    <w:name w:val="bullet 1"/>
    <w:basedOn w:val="Normal"/>
    <w:pPr>
      <w:widowControl w:val="0"/>
      <w:numPr>
        <w:numId w:val="36"/>
      </w:numPr>
      <w:tabs>
        <w:tab w:val="left" w:pos="680"/>
      </w:tabs>
      <w:spacing w:after="240"/>
      <w:ind w:left="680" w:hanging="680"/>
      <w:jc w:val="both"/>
    </w:pPr>
    <w:rPr>
      <w:snapToGrid w:val="0"/>
      <w:lang w:val="en-AU"/>
    </w:rPr>
  </w:style>
  <w:style w:type="character" w:styleId="PageNumber">
    <w:name w:val="page number"/>
    <w:basedOn w:val="DefaultParagraphFont"/>
  </w:style>
  <w:style w:type="paragraph" w:styleId="CommentSubject">
    <w:name w:val="annotation subject"/>
    <w:basedOn w:val="CommentText"/>
    <w:next w:val="CommentText"/>
    <w:link w:val="CommentSubjectChar"/>
    <w:uiPriority w:val="99"/>
    <w:semiHidden/>
    <w:unhideWhenUsed/>
    <w:rPr>
      <w:b/>
      <w:bCs/>
      <w:lang w:val="en-AU" w:eastAsia="en-AU"/>
    </w:rPr>
  </w:style>
  <w:style w:type="character" w:customStyle="1" w:styleId="CommentTextChar">
    <w:name w:val="Comment Text Char"/>
    <w:basedOn w:val="DefaultParagraphFont"/>
    <w:link w:val="CommentText"/>
    <w:uiPriority w:val="99"/>
    <w:semiHidden/>
    <w:rPr>
      <w:lang w:val="en-US" w:eastAsia="en-US"/>
    </w:rPr>
  </w:style>
  <w:style w:type="character" w:customStyle="1" w:styleId="CommentSubjectChar">
    <w:name w:val="Comment Subject Char"/>
    <w:basedOn w:val="CommentTextChar"/>
    <w:link w:val="CommentSubject"/>
    <w:uiPriority w:val="99"/>
    <w:semiHidden/>
    <w:rPr>
      <w:b/>
      <w:bCs/>
      <w:lang w:val="en-US" w:eastAsia="en-US"/>
    </w:rPr>
  </w:style>
  <w:style w:type="paragraph" w:customStyle="1" w:styleId="Style1">
    <w:name w:val="Style1"/>
    <w:basedOn w:val="Normal"/>
    <w:pPr>
      <w:suppressAutoHyphens/>
      <w:spacing w:before="60" w:after="60"/>
      <w:ind w:left="935"/>
      <w:jc w:val="both"/>
    </w:pPr>
    <w:rPr>
      <w:rFonts w:eastAsia="MS Mincho"/>
      <w:szCs w:val="24"/>
      <w:lang w:val="en-GB"/>
    </w:rPr>
  </w:style>
  <w:style w:type="paragraph" w:styleId="BodyText2">
    <w:name w:val="Body Text 2"/>
    <w:basedOn w:val="Normal"/>
    <w:link w:val="BodyText2Char"/>
    <w:rPr>
      <w:rFonts w:eastAsia="MS Mincho"/>
      <w:color w:val="000000"/>
      <w:szCs w:val="24"/>
    </w:rPr>
  </w:style>
  <w:style w:type="character" w:customStyle="1" w:styleId="BodyText2Char">
    <w:name w:val="Body Text 2 Char"/>
    <w:basedOn w:val="DefaultParagraphFont"/>
    <w:link w:val="BodyText2"/>
    <w:rPr>
      <w:rFonts w:eastAsia="MS Mincho"/>
      <w:color w:val="000000"/>
      <w:sz w:val="24"/>
      <w:szCs w:val="24"/>
      <w:lang w:val="en-US" w:eastAsia="en-US"/>
    </w:rPr>
  </w:style>
  <w:style w:type="paragraph" w:styleId="BodyText">
    <w:name w:val="Body Text"/>
    <w:link w:val="BodyTextChar"/>
    <w:pPr>
      <w:spacing w:after="120"/>
    </w:pPr>
    <w:rPr>
      <w:rFonts w:eastAsia="MS Mincho"/>
      <w:sz w:val="24"/>
      <w:szCs w:val="24"/>
      <w:lang w:val="en-GB" w:eastAsia="en-US"/>
    </w:rPr>
  </w:style>
  <w:style w:type="character" w:customStyle="1" w:styleId="BodyTextChar">
    <w:name w:val="Body Text Char"/>
    <w:basedOn w:val="DefaultParagraphFont"/>
    <w:link w:val="BodyText"/>
    <w:rPr>
      <w:rFonts w:eastAsia="MS Mincho"/>
      <w:sz w:val="24"/>
      <w:szCs w:val="24"/>
      <w:lang w:val="en-GB" w:eastAsia="en-US"/>
    </w:rPr>
  </w:style>
  <w:style w:type="paragraph" w:styleId="BodyText3">
    <w:name w:val="Body Text 3"/>
    <w:basedOn w:val="Normal"/>
    <w:link w:val="BodyText3Char"/>
    <w:uiPriority w:val="99"/>
    <w:unhideWhenUsed/>
    <w:pPr>
      <w:spacing w:after="120"/>
    </w:pPr>
    <w:rPr>
      <w:sz w:val="16"/>
      <w:szCs w:val="16"/>
      <w:lang w:val="en-AU" w:eastAsia="en-AU"/>
    </w:rPr>
  </w:style>
  <w:style w:type="character" w:customStyle="1" w:styleId="BodyText3Char">
    <w:name w:val="Body Text 3 Char"/>
    <w:basedOn w:val="DefaultParagraphFont"/>
    <w:link w:val="BodyText3"/>
    <w:uiPriority w:val="99"/>
    <w:rPr>
      <w:sz w:val="16"/>
      <w:szCs w:val="16"/>
    </w:rPr>
  </w:style>
  <w:style w:type="paragraph" w:customStyle="1" w:styleId="Text1">
    <w:name w:val="Text1"/>
    <w:basedOn w:val="Normal"/>
    <w:pPr>
      <w:spacing w:before="120" w:after="120" w:line="360" w:lineRule="auto"/>
    </w:pPr>
    <w:rPr>
      <w:rFonts w:eastAsia="MS Mincho"/>
      <w:szCs w:val="24"/>
    </w:rPr>
  </w:style>
  <w:style w:type="paragraph" w:customStyle="1" w:styleId="Body">
    <w:name w:val="Body"/>
    <w:rPr>
      <w:rFonts w:eastAsia="MS Mincho"/>
      <w:sz w:val="24"/>
      <w:szCs w:val="24"/>
      <w:lang w:val="en-GB" w:eastAsia="en-US"/>
    </w:rPr>
  </w:style>
  <w:style w:type="paragraph" w:customStyle="1" w:styleId="level5">
    <w:name w:val="level5"/>
    <w:basedOn w:val="Normal"/>
    <w:pPr>
      <w:tabs>
        <w:tab w:val="num" w:pos="1389"/>
      </w:tabs>
      <w:suppressAutoHyphens/>
      <w:spacing w:before="120" w:after="60"/>
      <w:ind w:left="1389" w:hanging="453"/>
      <w:jc w:val="both"/>
    </w:pPr>
    <w:rPr>
      <w:rFonts w:eastAsia="MS Mincho"/>
      <w:szCs w:val="24"/>
      <w:lang w:val="en-GB"/>
    </w:rPr>
  </w:style>
  <w:style w:type="paragraph" w:customStyle="1" w:styleId="level6">
    <w:name w:val="level6"/>
    <w:basedOn w:val="Normal"/>
    <w:pPr>
      <w:tabs>
        <w:tab w:val="num" w:pos="1843"/>
      </w:tabs>
      <w:suppressAutoHyphens/>
      <w:spacing w:before="120" w:after="60"/>
      <w:ind w:left="1843" w:hanging="454"/>
      <w:jc w:val="both"/>
    </w:pPr>
    <w:rPr>
      <w:rFonts w:eastAsia="MS Mincho"/>
      <w:szCs w:val="24"/>
      <w:lang w:val="en-GB"/>
    </w:rPr>
  </w:style>
  <w:style w:type="paragraph" w:customStyle="1" w:styleId="Level7">
    <w:name w:val="Level7"/>
    <w:basedOn w:val="Normal"/>
    <w:pPr>
      <w:tabs>
        <w:tab w:val="num" w:pos="3811"/>
      </w:tabs>
      <w:suppressAutoHyphens/>
      <w:spacing w:before="120" w:after="60"/>
      <w:ind w:left="3811" w:hanging="385"/>
      <w:jc w:val="both"/>
    </w:pPr>
    <w:rPr>
      <w:rFonts w:eastAsia="MS Mincho"/>
      <w:szCs w:val="24"/>
      <w:lang w:val="en-GB"/>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6129846">
      <w:bodyDiv w:val="1"/>
      <w:marLeft w:val="54"/>
      <w:marRight w:val="54"/>
      <w:marTop w:val="54"/>
      <w:marBottom w:val="14"/>
      <w:divBdr>
        <w:top w:val="none" w:sz="0" w:space="0" w:color="auto"/>
        <w:left w:val="none" w:sz="0" w:space="0" w:color="auto"/>
        <w:bottom w:val="none" w:sz="0" w:space="0" w:color="auto"/>
        <w:right w:val="none" w:sz="0" w:space="0" w:color="auto"/>
      </w:divBdr>
      <w:divsChild>
        <w:div w:id="1247298993">
          <w:marLeft w:val="0"/>
          <w:marRight w:val="0"/>
          <w:marTop w:val="0"/>
          <w:marBottom w:val="0"/>
          <w:divBdr>
            <w:top w:val="none" w:sz="0" w:space="0" w:color="auto"/>
            <w:left w:val="none" w:sz="0" w:space="0" w:color="auto"/>
            <w:bottom w:val="none" w:sz="0" w:space="0" w:color="auto"/>
            <w:right w:val="none" w:sz="0" w:space="0" w:color="auto"/>
          </w:divBdr>
        </w:div>
      </w:divsChild>
    </w:div>
    <w:div w:id="1108085087">
      <w:bodyDiv w:val="1"/>
      <w:marLeft w:val="0"/>
      <w:marRight w:val="0"/>
      <w:marTop w:val="0"/>
      <w:marBottom w:val="0"/>
      <w:divBdr>
        <w:top w:val="none" w:sz="0" w:space="0" w:color="auto"/>
        <w:left w:val="none" w:sz="0" w:space="0" w:color="auto"/>
        <w:bottom w:val="none" w:sz="0" w:space="0" w:color="auto"/>
        <w:right w:val="none" w:sz="0" w:space="0" w:color="auto"/>
      </w:divBdr>
    </w:div>
    <w:div w:id="1124157907">
      <w:bodyDiv w:val="1"/>
      <w:marLeft w:val="0"/>
      <w:marRight w:val="0"/>
      <w:marTop w:val="0"/>
      <w:marBottom w:val="0"/>
      <w:divBdr>
        <w:top w:val="none" w:sz="0" w:space="0" w:color="auto"/>
        <w:left w:val="none" w:sz="0" w:space="0" w:color="auto"/>
        <w:bottom w:val="none" w:sz="0" w:space="0" w:color="auto"/>
        <w:right w:val="none" w:sz="0" w:space="0" w:color="auto"/>
      </w:divBdr>
      <w:divsChild>
        <w:div w:id="1073547440">
          <w:marLeft w:val="0"/>
          <w:marRight w:val="0"/>
          <w:marTop w:val="0"/>
          <w:marBottom w:val="0"/>
          <w:divBdr>
            <w:top w:val="none" w:sz="0" w:space="0" w:color="auto"/>
            <w:left w:val="none" w:sz="0" w:space="0" w:color="auto"/>
            <w:bottom w:val="none" w:sz="0" w:space="0" w:color="auto"/>
            <w:right w:val="none" w:sz="0" w:space="0" w:color="auto"/>
          </w:divBdr>
          <w:divsChild>
            <w:div w:id="1254123636">
              <w:marLeft w:val="0"/>
              <w:marRight w:val="0"/>
              <w:marTop w:val="0"/>
              <w:marBottom w:val="0"/>
              <w:divBdr>
                <w:top w:val="none" w:sz="0" w:space="0" w:color="auto"/>
                <w:left w:val="none" w:sz="0" w:space="0" w:color="auto"/>
                <w:bottom w:val="none" w:sz="0" w:space="0" w:color="auto"/>
                <w:right w:val="none" w:sz="0" w:space="0" w:color="auto"/>
              </w:divBdr>
              <w:divsChild>
                <w:div w:id="691880506">
                  <w:marLeft w:val="0"/>
                  <w:marRight w:val="0"/>
                  <w:marTop w:val="0"/>
                  <w:marBottom w:val="0"/>
                  <w:divBdr>
                    <w:top w:val="none" w:sz="0" w:space="0" w:color="auto"/>
                    <w:left w:val="none" w:sz="0" w:space="0" w:color="auto"/>
                    <w:bottom w:val="none" w:sz="0" w:space="0" w:color="auto"/>
                    <w:right w:val="none" w:sz="0" w:space="0" w:color="auto"/>
                  </w:divBdr>
                  <w:divsChild>
                    <w:div w:id="1124542985">
                      <w:marLeft w:val="0"/>
                      <w:marRight w:val="0"/>
                      <w:marTop w:val="0"/>
                      <w:marBottom w:val="0"/>
                      <w:divBdr>
                        <w:top w:val="none" w:sz="0" w:space="0" w:color="auto"/>
                        <w:left w:val="none" w:sz="0" w:space="0" w:color="auto"/>
                        <w:bottom w:val="none" w:sz="0" w:space="0" w:color="auto"/>
                        <w:right w:val="none" w:sz="0" w:space="0" w:color="auto"/>
                      </w:divBdr>
                      <w:divsChild>
                        <w:div w:id="399911040">
                          <w:marLeft w:val="0"/>
                          <w:marRight w:val="0"/>
                          <w:marTop w:val="0"/>
                          <w:marBottom w:val="0"/>
                          <w:divBdr>
                            <w:top w:val="none" w:sz="0" w:space="0" w:color="auto"/>
                            <w:left w:val="none" w:sz="0" w:space="0" w:color="auto"/>
                            <w:bottom w:val="none" w:sz="0" w:space="0" w:color="auto"/>
                            <w:right w:val="none" w:sz="0" w:space="0" w:color="auto"/>
                          </w:divBdr>
                          <w:divsChild>
                            <w:div w:id="643852322">
                              <w:marLeft w:val="0"/>
                              <w:marRight w:val="0"/>
                              <w:marTop w:val="0"/>
                              <w:marBottom w:val="0"/>
                              <w:divBdr>
                                <w:top w:val="none" w:sz="0" w:space="0" w:color="auto"/>
                                <w:left w:val="none" w:sz="0" w:space="0" w:color="auto"/>
                                <w:bottom w:val="none" w:sz="0" w:space="0" w:color="auto"/>
                                <w:right w:val="none" w:sz="0" w:space="0" w:color="auto"/>
                              </w:divBdr>
                              <w:divsChild>
                                <w:div w:id="1567883355">
                                  <w:marLeft w:val="0"/>
                                  <w:marRight w:val="0"/>
                                  <w:marTop w:val="0"/>
                                  <w:marBottom w:val="0"/>
                                  <w:divBdr>
                                    <w:top w:val="none" w:sz="0" w:space="0" w:color="auto"/>
                                    <w:left w:val="none" w:sz="0" w:space="0" w:color="auto"/>
                                    <w:bottom w:val="none" w:sz="0" w:space="0" w:color="auto"/>
                                    <w:right w:val="none" w:sz="0" w:space="0" w:color="auto"/>
                                  </w:divBdr>
                                  <w:divsChild>
                                    <w:div w:id="638804514">
                                      <w:marLeft w:val="54"/>
                                      <w:marRight w:val="0"/>
                                      <w:marTop w:val="0"/>
                                      <w:marBottom w:val="0"/>
                                      <w:divBdr>
                                        <w:top w:val="none" w:sz="0" w:space="0" w:color="auto"/>
                                        <w:left w:val="none" w:sz="0" w:space="0" w:color="auto"/>
                                        <w:bottom w:val="none" w:sz="0" w:space="0" w:color="auto"/>
                                        <w:right w:val="none" w:sz="0" w:space="0" w:color="auto"/>
                                      </w:divBdr>
                                      <w:divsChild>
                                        <w:div w:id="1768767313">
                                          <w:marLeft w:val="0"/>
                                          <w:marRight w:val="0"/>
                                          <w:marTop w:val="0"/>
                                          <w:marBottom w:val="0"/>
                                          <w:divBdr>
                                            <w:top w:val="none" w:sz="0" w:space="0" w:color="auto"/>
                                            <w:left w:val="none" w:sz="0" w:space="0" w:color="auto"/>
                                            <w:bottom w:val="none" w:sz="0" w:space="0" w:color="auto"/>
                                            <w:right w:val="none" w:sz="0" w:space="0" w:color="auto"/>
                                          </w:divBdr>
                                          <w:divsChild>
                                            <w:div w:id="2022972247">
                                              <w:marLeft w:val="0"/>
                                              <w:marRight w:val="0"/>
                                              <w:marTop w:val="0"/>
                                              <w:marBottom w:val="109"/>
                                              <w:divBdr>
                                                <w:top w:val="single" w:sz="6" w:space="0" w:color="F5F5F5"/>
                                                <w:left w:val="single" w:sz="6" w:space="0" w:color="F5F5F5"/>
                                                <w:bottom w:val="single" w:sz="6" w:space="0" w:color="F5F5F5"/>
                                                <w:right w:val="single" w:sz="6" w:space="0" w:color="F5F5F5"/>
                                              </w:divBdr>
                                              <w:divsChild>
                                                <w:div w:id="916866012">
                                                  <w:marLeft w:val="0"/>
                                                  <w:marRight w:val="0"/>
                                                  <w:marTop w:val="0"/>
                                                  <w:marBottom w:val="0"/>
                                                  <w:divBdr>
                                                    <w:top w:val="none" w:sz="0" w:space="0" w:color="auto"/>
                                                    <w:left w:val="none" w:sz="0" w:space="0" w:color="auto"/>
                                                    <w:bottom w:val="none" w:sz="0" w:space="0" w:color="auto"/>
                                                    <w:right w:val="none" w:sz="0" w:space="0" w:color="auto"/>
                                                  </w:divBdr>
                                                  <w:divsChild>
                                                    <w:div w:id="667900048">
                                                      <w:marLeft w:val="0"/>
                                                      <w:marRight w:val="0"/>
                                                      <w:marTop w:val="0"/>
                                                      <w:marBottom w:val="0"/>
                                                      <w:divBdr>
                                                        <w:top w:val="none" w:sz="0" w:space="0" w:color="auto"/>
                                                        <w:left w:val="none" w:sz="0" w:space="0" w:color="auto"/>
                                                        <w:bottom w:val="none" w:sz="0" w:space="0" w:color="auto"/>
                                                        <w:right w:val="none" w:sz="0" w:space="0" w:color="auto"/>
                                                      </w:divBdr>
                                                      <w:divsChild>
                                                        <w:div w:id="9830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90724179">
      <w:bodyDiv w:val="1"/>
      <w:marLeft w:val="0"/>
      <w:marRight w:val="0"/>
      <w:marTop w:val="0"/>
      <w:marBottom w:val="0"/>
      <w:divBdr>
        <w:top w:val="none" w:sz="0" w:space="0" w:color="auto"/>
        <w:left w:val="none" w:sz="0" w:space="0" w:color="auto"/>
        <w:bottom w:val="none" w:sz="0" w:space="0" w:color="auto"/>
        <w:right w:val="none" w:sz="0" w:space="0" w:color="auto"/>
      </w:divBdr>
      <w:divsChild>
        <w:div w:id="1510676830">
          <w:marLeft w:val="0"/>
          <w:marRight w:val="0"/>
          <w:marTop w:val="0"/>
          <w:marBottom w:val="0"/>
          <w:divBdr>
            <w:top w:val="none" w:sz="0" w:space="0" w:color="auto"/>
            <w:left w:val="none" w:sz="0" w:space="0" w:color="auto"/>
            <w:bottom w:val="none" w:sz="0" w:space="0" w:color="auto"/>
            <w:right w:val="none" w:sz="0" w:space="0" w:color="auto"/>
          </w:divBdr>
          <w:divsChild>
            <w:div w:id="467208592">
              <w:marLeft w:val="0"/>
              <w:marRight w:val="0"/>
              <w:marTop w:val="0"/>
              <w:marBottom w:val="0"/>
              <w:divBdr>
                <w:top w:val="none" w:sz="0" w:space="0" w:color="auto"/>
                <w:left w:val="none" w:sz="0" w:space="0" w:color="auto"/>
                <w:bottom w:val="none" w:sz="0" w:space="0" w:color="auto"/>
                <w:right w:val="none" w:sz="0" w:space="0" w:color="auto"/>
              </w:divBdr>
              <w:divsChild>
                <w:div w:id="1439717326">
                  <w:marLeft w:val="0"/>
                  <w:marRight w:val="0"/>
                  <w:marTop w:val="0"/>
                  <w:marBottom w:val="0"/>
                  <w:divBdr>
                    <w:top w:val="none" w:sz="0" w:space="0" w:color="auto"/>
                    <w:left w:val="none" w:sz="0" w:space="0" w:color="auto"/>
                    <w:bottom w:val="none" w:sz="0" w:space="0" w:color="auto"/>
                    <w:right w:val="none" w:sz="0" w:space="0" w:color="auto"/>
                  </w:divBdr>
                  <w:divsChild>
                    <w:div w:id="533886449">
                      <w:marLeft w:val="0"/>
                      <w:marRight w:val="0"/>
                      <w:marTop w:val="0"/>
                      <w:marBottom w:val="0"/>
                      <w:divBdr>
                        <w:top w:val="none" w:sz="0" w:space="0" w:color="auto"/>
                        <w:left w:val="none" w:sz="0" w:space="0" w:color="auto"/>
                        <w:bottom w:val="none" w:sz="0" w:space="0" w:color="auto"/>
                        <w:right w:val="none" w:sz="0" w:space="0" w:color="auto"/>
                      </w:divBdr>
                      <w:divsChild>
                        <w:div w:id="1062601329">
                          <w:marLeft w:val="0"/>
                          <w:marRight w:val="0"/>
                          <w:marTop w:val="0"/>
                          <w:marBottom w:val="0"/>
                          <w:divBdr>
                            <w:top w:val="none" w:sz="0" w:space="0" w:color="auto"/>
                            <w:left w:val="none" w:sz="0" w:space="0" w:color="auto"/>
                            <w:bottom w:val="none" w:sz="0" w:space="0" w:color="auto"/>
                            <w:right w:val="none" w:sz="0" w:space="0" w:color="auto"/>
                          </w:divBdr>
                          <w:divsChild>
                            <w:div w:id="669018615">
                              <w:marLeft w:val="0"/>
                              <w:marRight w:val="0"/>
                              <w:marTop w:val="0"/>
                              <w:marBottom w:val="0"/>
                              <w:divBdr>
                                <w:top w:val="none" w:sz="0" w:space="0" w:color="auto"/>
                                <w:left w:val="none" w:sz="0" w:space="0" w:color="auto"/>
                                <w:bottom w:val="none" w:sz="0" w:space="0" w:color="auto"/>
                                <w:right w:val="none" w:sz="0" w:space="0" w:color="auto"/>
                              </w:divBdr>
                              <w:divsChild>
                                <w:div w:id="1418401681">
                                  <w:marLeft w:val="0"/>
                                  <w:marRight w:val="0"/>
                                  <w:marTop w:val="0"/>
                                  <w:marBottom w:val="0"/>
                                  <w:divBdr>
                                    <w:top w:val="none" w:sz="0" w:space="0" w:color="auto"/>
                                    <w:left w:val="none" w:sz="0" w:space="0" w:color="auto"/>
                                    <w:bottom w:val="none" w:sz="0" w:space="0" w:color="auto"/>
                                    <w:right w:val="none" w:sz="0" w:space="0" w:color="auto"/>
                                  </w:divBdr>
                                  <w:divsChild>
                                    <w:div w:id="83649415">
                                      <w:marLeft w:val="54"/>
                                      <w:marRight w:val="0"/>
                                      <w:marTop w:val="0"/>
                                      <w:marBottom w:val="0"/>
                                      <w:divBdr>
                                        <w:top w:val="none" w:sz="0" w:space="0" w:color="auto"/>
                                        <w:left w:val="none" w:sz="0" w:space="0" w:color="auto"/>
                                        <w:bottom w:val="none" w:sz="0" w:space="0" w:color="auto"/>
                                        <w:right w:val="none" w:sz="0" w:space="0" w:color="auto"/>
                                      </w:divBdr>
                                      <w:divsChild>
                                        <w:div w:id="465852339">
                                          <w:marLeft w:val="0"/>
                                          <w:marRight w:val="0"/>
                                          <w:marTop w:val="0"/>
                                          <w:marBottom w:val="0"/>
                                          <w:divBdr>
                                            <w:top w:val="none" w:sz="0" w:space="0" w:color="auto"/>
                                            <w:left w:val="none" w:sz="0" w:space="0" w:color="auto"/>
                                            <w:bottom w:val="none" w:sz="0" w:space="0" w:color="auto"/>
                                            <w:right w:val="none" w:sz="0" w:space="0" w:color="auto"/>
                                          </w:divBdr>
                                          <w:divsChild>
                                            <w:div w:id="713383249">
                                              <w:marLeft w:val="0"/>
                                              <w:marRight w:val="0"/>
                                              <w:marTop w:val="0"/>
                                              <w:marBottom w:val="109"/>
                                              <w:divBdr>
                                                <w:top w:val="single" w:sz="6" w:space="0" w:color="F5F5F5"/>
                                                <w:left w:val="single" w:sz="6" w:space="0" w:color="F5F5F5"/>
                                                <w:bottom w:val="single" w:sz="6" w:space="0" w:color="F5F5F5"/>
                                                <w:right w:val="single" w:sz="6" w:space="0" w:color="F5F5F5"/>
                                              </w:divBdr>
                                              <w:divsChild>
                                                <w:div w:id="414668547">
                                                  <w:marLeft w:val="0"/>
                                                  <w:marRight w:val="0"/>
                                                  <w:marTop w:val="0"/>
                                                  <w:marBottom w:val="0"/>
                                                  <w:divBdr>
                                                    <w:top w:val="none" w:sz="0" w:space="0" w:color="auto"/>
                                                    <w:left w:val="none" w:sz="0" w:space="0" w:color="auto"/>
                                                    <w:bottom w:val="none" w:sz="0" w:space="0" w:color="auto"/>
                                                    <w:right w:val="none" w:sz="0" w:space="0" w:color="auto"/>
                                                  </w:divBdr>
                                                  <w:divsChild>
                                                    <w:div w:id="1813134261">
                                                      <w:marLeft w:val="0"/>
                                                      <w:marRight w:val="0"/>
                                                      <w:marTop w:val="0"/>
                                                      <w:marBottom w:val="0"/>
                                                      <w:divBdr>
                                                        <w:top w:val="none" w:sz="0" w:space="0" w:color="auto"/>
                                                        <w:left w:val="none" w:sz="0" w:space="0" w:color="auto"/>
                                                        <w:bottom w:val="none" w:sz="0" w:space="0" w:color="auto"/>
                                                        <w:right w:val="none" w:sz="0" w:space="0" w:color="auto"/>
                                                      </w:divBdr>
                                                      <w:divsChild>
                                                        <w:div w:id="1402558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71356604">
      <w:bodyDiv w:val="1"/>
      <w:marLeft w:val="0"/>
      <w:marRight w:val="0"/>
      <w:marTop w:val="0"/>
      <w:marBottom w:val="0"/>
      <w:divBdr>
        <w:top w:val="none" w:sz="0" w:space="0" w:color="auto"/>
        <w:left w:val="none" w:sz="0" w:space="0" w:color="auto"/>
        <w:bottom w:val="none" w:sz="0" w:space="0" w:color="auto"/>
        <w:right w:val="none" w:sz="0" w:space="0" w:color="auto"/>
      </w:divBdr>
    </w:div>
    <w:div w:id="1308244008">
      <w:bodyDiv w:val="1"/>
      <w:marLeft w:val="54"/>
      <w:marRight w:val="54"/>
      <w:marTop w:val="54"/>
      <w:marBottom w:val="14"/>
      <w:divBdr>
        <w:top w:val="none" w:sz="0" w:space="0" w:color="auto"/>
        <w:left w:val="none" w:sz="0" w:space="0" w:color="auto"/>
        <w:bottom w:val="none" w:sz="0" w:space="0" w:color="auto"/>
        <w:right w:val="none" w:sz="0" w:space="0" w:color="auto"/>
      </w:divBdr>
      <w:divsChild>
        <w:div w:id="19859418">
          <w:marLeft w:val="0"/>
          <w:marRight w:val="0"/>
          <w:marTop w:val="0"/>
          <w:marBottom w:val="0"/>
          <w:divBdr>
            <w:top w:val="none" w:sz="0" w:space="0" w:color="auto"/>
            <w:left w:val="none" w:sz="0" w:space="0" w:color="auto"/>
            <w:bottom w:val="none" w:sz="0" w:space="0" w:color="auto"/>
            <w:right w:val="none" w:sz="0" w:space="0" w:color="auto"/>
          </w:divBdr>
        </w:div>
      </w:divsChild>
    </w:div>
    <w:div w:id="1508979299">
      <w:bodyDiv w:val="1"/>
      <w:marLeft w:val="0"/>
      <w:marRight w:val="0"/>
      <w:marTop w:val="0"/>
      <w:marBottom w:val="0"/>
      <w:divBdr>
        <w:top w:val="none" w:sz="0" w:space="0" w:color="auto"/>
        <w:left w:val="none" w:sz="0" w:space="0" w:color="auto"/>
        <w:bottom w:val="none" w:sz="0" w:space="0" w:color="auto"/>
        <w:right w:val="none" w:sz="0" w:space="0" w:color="auto"/>
      </w:divBdr>
    </w:div>
    <w:div w:id="1971671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BF3DD8-2366-4913-A13E-B8FD16CFC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17</Pages>
  <Words>6993</Words>
  <Characters>40604</Characters>
  <Application>Microsoft Office Word</Application>
  <DocSecurity>0</DocSecurity>
  <Lines>338</Lines>
  <Paragraphs>95</Paragraphs>
  <ScaleCrop>false</ScaleCrop>
  <HeadingPairs>
    <vt:vector size="6" baseType="variant">
      <vt:variant>
        <vt:lpstr>Title</vt:lpstr>
      </vt:variant>
      <vt:variant>
        <vt:i4>1</vt:i4>
      </vt:variant>
      <vt:variant>
        <vt:lpstr>タイトル</vt:lpstr>
      </vt:variant>
      <vt:variant>
        <vt:i4>1</vt:i4>
      </vt:variant>
      <vt:variant>
        <vt:lpstr>Titolo</vt:lpstr>
      </vt:variant>
      <vt:variant>
        <vt:i4>1</vt:i4>
      </vt:variant>
    </vt:vector>
  </HeadingPairs>
  <TitlesOfParts>
    <vt:vector size="3" baseType="lpstr">
      <vt:lpstr>AusPAR Attachment 1 Product Information for Febuxostat A</vt:lpstr>
      <vt:lpstr>Core PI template</vt:lpstr>
      <vt:lpstr>Core PI template</vt:lpstr>
    </vt:vector>
  </TitlesOfParts>
  <Company>A Menarini Australia Pty Ltd</Company>
  <LinksUpToDate>false</LinksUpToDate>
  <CharactersWithSpaces>47502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AusPAR Attachment 1. Product Information for Febuxostat (FBX)</dc:title>
  <dc:subject>prescription medicine regulation</dc:subject>
  <dc:creator>A Menarini Australia Pty Ltd</dc:creator>
  <cp:keywords>product, information, prescription, medicine, regulation, febuxostat, adenuric, a menarini, australia</cp:keywords>
  <cp:lastModifiedBy>Dixon, Jenna</cp:lastModifiedBy>
  <cp:revision>5</cp:revision>
  <cp:lastPrinted>2014-06-17T23:31:00Z</cp:lastPrinted>
  <dcterms:created xsi:type="dcterms:W3CDTF">2014-09-14T23:31:00Z</dcterms:created>
  <dcterms:modified xsi:type="dcterms:W3CDTF">2015-02-18T04:07:00Z</dcterms:modified>
</cp:coreProperties>
</file>