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rsidTr="00BF1190">
        <w:trPr>
          <w:trHeight w:val="1863"/>
        </w:trPr>
        <w:tc>
          <w:tcPr>
            <w:tcW w:w="3652" w:type="dxa"/>
            <w:tcBorders>
              <w:top w:val="nil"/>
              <w:left w:val="nil"/>
              <w:bottom w:val="nil"/>
              <w:right w:val="nil"/>
            </w:tcBorders>
          </w:tcPr>
          <w:p w:rsidR="008E7846" w:rsidRPr="00096AA7" w:rsidRDefault="00AA2007" w:rsidP="009A23B7">
            <w:pPr>
              <w:rPr>
                <w:rFonts w:ascii="Arial" w:hAnsi="Arial" w:cs="Arial"/>
                <w:b/>
                <w:color w:val="002C47"/>
                <w:sz w:val="36"/>
                <w:szCs w:val="36"/>
              </w:rPr>
            </w:pPr>
            <w:r>
              <w:rPr>
                <w:rFonts w:ascii="Arial" w:hAnsi="Arial" w:cs="Arial"/>
                <w:b/>
                <w:color w:val="002C47"/>
                <w:sz w:val="36"/>
                <w:szCs w:val="36"/>
              </w:rPr>
              <w:t>January 2015</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rsidTr="0032583B">
        <w:trPr>
          <w:trHeight w:val="868"/>
        </w:trPr>
        <w:tc>
          <w:tcPr>
            <w:tcW w:w="9079" w:type="dxa"/>
          </w:tcPr>
          <w:p w:rsidR="0032583B" w:rsidRPr="00A964D1" w:rsidRDefault="0032583B" w:rsidP="009A23B7">
            <w:pPr>
              <w:pStyle w:val="Title"/>
              <w:rPr>
                <w:color w:val="FFFFFF" w:themeColor="background1"/>
              </w:rPr>
            </w:pPr>
            <w:r w:rsidRPr="00A964D1">
              <w:rPr>
                <w:color w:val="FFFFFF" w:themeColor="background1"/>
              </w:rPr>
              <w:t>Australia</w:t>
            </w:r>
            <w:r w:rsidR="009A23B7">
              <w:rPr>
                <w:color w:val="FFFFFF" w:themeColor="background1"/>
              </w:rPr>
              <w:t>n Public Assessment Report for E</w:t>
            </w:r>
            <w:r w:rsidR="009A23B7" w:rsidRPr="009A23B7">
              <w:rPr>
                <w:color w:val="FFFFFF" w:themeColor="background1"/>
              </w:rPr>
              <w:t>zetimibe</w:t>
            </w:r>
            <w:r w:rsidR="009A23B7">
              <w:rPr>
                <w:color w:val="FFFFFF" w:themeColor="background1"/>
              </w:rPr>
              <w:t xml:space="preserve"> and R</w:t>
            </w:r>
            <w:r w:rsidR="009A23B7" w:rsidRPr="009A23B7">
              <w:rPr>
                <w:color w:val="FFFFFF" w:themeColor="background1"/>
              </w:rPr>
              <w:t>osuvastatin</w:t>
            </w:r>
          </w:p>
        </w:tc>
      </w:tr>
      <w:tr w:rsidR="0032583B" w:rsidRPr="00B64760" w:rsidTr="0032583B">
        <w:tc>
          <w:tcPr>
            <w:tcW w:w="9079" w:type="dxa"/>
          </w:tcPr>
          <w:p w:rsidR="0032583B" w:rsidRPr="008E7846" w:rsidRDefault="0032583B" w:rsidP="009A23B7">
            <w:pPr>
              <w:pStyle w:val="Subtitle"/>
              <w:rPr>
                <w:color w:val="FFFFFF" w:themeColor="background1"/>
              </w:rPr>
            </w:pPr>
            <w:r w:rsidRPr="008E7846">
              <w:rPr>
                <w:color w:val="FFFFFF" w:themeColor="background1"/>
              </w:rPr>
              <w:t>Proprietary Product Name</w:t>
            </w:r>
            <w:r w:rsidR="009A23B7">
              <w:rPr>
                <w:color w:val="FFFFFF" w:themeColor="background1"/>
              </w:rPr>
              <w:t xml:space="preserve">s: </w:t>
            </w:r>
            <w:proofErr w:type="spellStart"/>
            <w:r w:rsidR="009A23B7" w:rsidRPr="009A23B7">
              <w:rPr>
                <w:color w:val="FFFFFF" w:themeColor="background1"/>
              </w:rPr>
              <w:t>Rosuzet</w:t>
            </w:r>
            <w:proofErr w:type="spellEnd"/>
            <w:r w:rsidR="009A23B7">
              <w:rPr>
                <w:color w:val="FFFFFF" w:themeColor="background1"/>
              </w:rPr>
              <w:t>,</w:t>
            </w:r>
            <w:r w:rsidR="009A23B7" w:rsidRPr="009A23B7">
              <w:rPr>
                <w:color w:val="FFFFFF" w:themeColor="background1"/>
              </w:rPr>
              <w:t xml:space="preserve"> </w:t>
            </w:r>
            <w:proofErr w:type="spellStart"/>
            <w:r w:rsidR="009A23B7" w:rsidRPr="009A23B7">
              <w:rPr>
                <w:color w:val="FFFFFF" w:themeColor="background1"/>
              </w:rPr>
              <w:t>Ezalo</w:t>
            </w:r>
            <w:proofErr w:type="spellEnd"/>
          </w:p>
        </w:tc>
      </w:tr>
      <w:tr w:rsidR="0032583B" w:rsidRPr="00B64760" w:rsidTr="0032583B">
        <w:trPr>
          <w:trHeight w:val="486"/>
        </w:trPr>
        <w:tc>
          <w:tcPr>
            <w:tcW w:w="9079" w:type="dxa"/>
          </w:tcPr>
          <w:p w:rsidR="0032583B" w:rsidRPr="008E7846" w:rsidRDefault="0032583B" w:rsidP="009A23B7">
            <w:pPr>
              <w:pStyle w:val="Subtitle"/>
              <w:rPr>
                <w:color w:val="FFFFFF" w:themeColor="background1"/>
              </w:rPr>
            </w:pPr>
            <w:r w:rsidRPr="008E7846">
              <w:rPr>
                <w:color w:val="FFFFFF" w:themeColor="background1"/>
              </w:rPr>
              <w:t xml:space="preserve">Sponsor: </w:t>
            </w:r>
            <w:r w:rsidR="009A23B7" w:rsidRPr="009A23B7">
              <w:rPr>
                <w:color w:val="FFFFFF" w:themeColor="background1"/>
              </w:rPr>
              <w:t xml:space="preserve">Merck Sharp &amp; </w:t>
            </w:r>
            <w:proofErr w:type="spellStart"/>
            <w:r w:rsidR="009A23B7" w:rsidRPr="009A23B7">
              <w:rPr>
                <w:color w:val="FFFFFF" w:themeColor="background1"/>
              </w:rPr>
              <w:t>Dohme</w:t>
            </w:r>
            <w:proofErr w:type="spellEnd"/>
            <w:r w:rsidR="009A23B7" w:rsidRPr="009A23B7">
              <w:rPr>
                <w:color w:val="FFFFFF" w:themeColor="background1"/>
              </w:rPr>
              <w:t xml:space="preserve"> (Australia) Pty Limited</w:t>
            </w:r>
          </w:p>
        </w:tc>
      </w:tr>
    </w:tbl>
    <w:p w:rsidR="008E7846" w:rsidRPr="0085156D" w:rsidRDefault="008E7846" w:rsidP="0085156D">
      <w:r w:rsidRPr="0085156D">
        <w:br w:type="page"/>
      </w:r>
    </w:p>
    <w:p w:rsidR="008E7846" w:rsidRPr="001F6CBA" w:rsidRDefault="008E7846" w:rsidP="008E7846">
      <w:pPr>
        <w:pStyle w:val="NonTOCHeading2"/>
      </w:pPr>
      <w:r w:rsidRPr="001F6CBA">
        <w:lastRenderedPageBreak/>
        <w:t>About the Therapeutic Goods Administration (TGA)</w:t>
      </w:r>
    </w:p>
    <w:p w:rsidR="008E7846" w:rsidRDefault="008E7846" w:rsidP="0031305B">
      <w:pPr>
        <w:pStyle w:val="ListBullet"/>
        <w:numPr>
          <w:ilvl w:val="0"/>
          <w:numId w:val="1"/>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rsidR="008E7846" w:rsidRDefault="00C80137" w:rsidP="0031305B">
      <w:pPr>
        <w:pStyle w:val="ListBullet"/>
        <w:numPr>
          <w:ilvl w:val="0"/>
          <w:numId w:val="1"/>
        </w:numPr>
        <w:ind w:left="357" w:hanging="357"/>
      </w:pPr>
      <w:r>
        <w:t xml:space="preserve">The </w:t>
      </w:r>
      <w:r w:rsidR="008E7846">
        <w:t xml:space="preserve">TGA administers the </w:t>
      </w:r>
      <w:r w:rsidR="008E7846" w:rsidRPr="00F640B6">
        <w:rPr>
          <w:i/>
        </w:rPr>
        <w:t>Therapeutic Goods Act 1989</w:t>
      </w:r>
      <w:r w:rsidR="008E7846">
        <w:t xml:space="preserve"> (the Act), applying a risk management approach designed to ensure therapeutic goods supplied in Australia meet acceptable standards of quality, safety and efficacy (performance), when necessary.</w:t>
      </w:r>
    </w:p>
    <w:p w:rsidR="008E7846" w:rsidRDefault="008E7846" w:rsidP="0031305B">
      <w:pPr>
        <w:pStyle w:val="ListBullet"/>
        <w:numPr>
          <w:ilvl w:val="0"/>
          <w:numId w:val="1"/>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31305B">
      <w:pPr>
        <w:pStyle w:val="ListBullet"/>
        <w:numPr>
          <w:ilvl w:val="0"/>
          <w:numId w:val="1"/>
        </w:numPr>
        <w:ind w:left="357" w:hanging="357"/>
      </w:pPr>
      <w:r>
        <w:t>The TGA relies on the public, healthcare professionals and industry to report problems with medicines or medical devices. TGA investigates reports received by it to determine any necessary regulatory action.</w:t>
      </w:r>
    </w:p>
    <w:p w:rsidR="008E7846" w:rsidRDefault="008E7846" w:rsidP="0031305B">
      <w:pPr>
        <w:pStyle w:val="ListBullet"/>
        <w:numPr>
          <w:ilvl w:val="0"/>
          <w:numId w:val="1"/>
        </w:numPr>
        <w:ind w:left="357" w:hanging="357"/>
      </w:pPr>
      <w:r>
        <w:t>To report a problem with a medicine or medical device, please see the information on the TGA website</w:t>
      </w:r>
      <w:r w:rsidR="00112F56">
        <w:t xml:space="preserve"> &lt;</w:t>
      </w:r>
      <w:hyperlink r:id="rId9" w:history="1">
        <w:r w:rsidR="00EC7A85" w:rsidRPr="003A5406">
          <w:rPr>
            <w:rStyle w:val="Hyperlink"/>
          </w:rPr>
          <w:t>http://www.tga.gov.au</w:t>
        </w:r>
      </w:hyperlink>
      <w:r w:rsidR="00112F56">
        <w:t>&gt;</w:t>
      </w:r>
      <w:r>
        <w:t>.</w:t>
      </w:r>
    </w:p>
    <w:p w:rsidR="008E7846" w:rsidRDefault="008E7846" w:rsidP="008E7846">
      <w:pPr>
        <w:pStyle w:val="NonTOCHeading2"/>
      </w:pPr>
      <w:r>
        <w:t>About AusPARs</w:t>
      </w:r>
    </w:p>
    <w:p w:rsidR="008E7846" w:rsidRDefault="008E7846" w:rsidP="0031305B">
      <w:pPr>
        <w:pStyle w:val="ListBullet"/>
        <w:numPr>
          <w:ilvl w:val="0"/>
          <w:numId w:val="1"/>
        </w:numPr>
        <w:ind w:left="357" w:hanging="357"/>
      </w:pPr>
      <w:r>
        <w:t xml:space="preserve">An Australian Public Assessment Record (AusPAR) provides information about the evaluation of a prescription medicine and the considerations that led the TGA to approve or not approve a prescription medicine submission. </w:t>
      </w:r>
    </w:p>
    <w:p w:rsidR="008E7846" w:rsidRDefault="008E7846" w:rsidP="0031305B">
      <w:pPr>
        <w:pStyle w:val="ListBullet"/>
        <w:numPr>
          <w:ilvl w:val="0"/>
          <w:numId w:val="1"/>
        </w:numPr>
        <w:ind w:left="357" w:hanging="357"/>
      </w:pPr>
      <w:r>
        <w:t>AusPARs are prepared and published by the TGA.</w:t>
      </w:r>
    </w:p>
    <w:p w:rsidR="008E7846" w:rsidRDefault="008E7846" w:rsidP="0031305B">
      <w:pPr>
        <w:pStyle w:val="ListBullet"/>
        <w:numPr>
          <w:ilvl w:val="0"/>
          <w:numId w:val="1"/>
        </w:numPr>
        <w:ind w:left="357" w:hanging="357"/>
      </w:pPr>
      <w:r>
        <w:t>An AusPAR is prepared for submissions that relate to new chemical entities, generic medicines, major variations, and extensions of indications.</w:t>
      </w:r>
    </w:p>
    <w:p w:rsidR="008E7846" w:rsidRDefault="008E7846" w:rsidP="0031305B">
      <w:pPr>
        <w:pStyle w:val="ListBullet"/>
        <w:numPr>
          <w:ilvl w:val="0"/>
          <w:numId w:val="1"/>
        </w:numPr>
        <w:ind w:left="357" w:hanging="357"/>
      </w:pPr>
      <w:r>
        <w:t>An AusPAR is a static document, in that it will provide information that relates to a submission at a particular point in time.</w:t>
      </w:r>
    </w:p>
    <w:p w:rsidR="00B452CE" w:rsidRDefault="008E7846" w:rsidP="0031305B">
      <w:pPr>
        <w:pStyle w:val="ListBullet"/>
        <w:numPr>
          <w:ilvl w:val="0"/>
          <w:numId w:val="1"/>
        </w:numPr>
        <w:ind w:left="357" w:hanging="357"/>
      </w:pPr>
      <w:r>
        <w:t>A new AusPAR will be developed to reflect changes to indications and/or major variations to a prescription medicine subject to evaluation by the TGA.</w:t>
      </w:r>
    </w:p>
    <w:p w:rsidR="00924482" w:rsidRPr="00DF1D7F" w:rsidRDefault="00924482" w:rsidP="00F54B65">
      <w:pPr>
        <w:pStyle w:val="LegalSubheading"/>
        <w:spacing w:before="31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9A23B7">
        <w:rPr>
          <w:rFonts w:cs="Arial"/>
          <w:lang w:val="en-GB"/>
        </w:rPr>
        <w:t>5</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10"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default" r:id="rId11"/>
          <w:footerReference w:type="default" r:id="rId12"/>
          <w:headerReference w:type="first" r:id="rId13"/>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Contents</w:t>
          </w:r>
        </w:p>
        <w:p w:rsidR="00AD4BB7" w:rsidRDefault="00DB6124">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412706450" w:history="1">
            <w:r w:rsidR="00AD4BB7" w:rsidRPr="00EE26F4">
              <w:rPr>
                <w:rStyle w:val="Hyperlink"/>
                <w:noProof/>
              </w:rPr>
              <w:t>List of the most common abbreviations used in this AusPAR</w:t>
            </w:r>
            <w:r w:rsidR="00AD4BB7">
              <w:rPr>
                <w:noProof/>
                <w:webHidden/>
              </w:rPr>
              <w:tab/>
            </w:r>
            <w:r w:rsidR="00AD4BB7">
              <w:rPr>
                <w:noProof/>
                <w:webHidden/>
              </w:rPr>
              <w:fldChar w:fldCharType="begin"/>
            </w:r>
            <w:r w:rsidR="00AD4BB7">
              <w:rPr>
                <w:noProof/>
                <w:webHidden/>
              </w:rPr>
              <w:instrText xml:space="preserve"> PAGEREF _Toc412706450 \h </w:instrText>
            </w:r>
            <w:r w:rsidR="00AD4BB7">
              <w:rPr>
                <w:noProof/>
                <w:webHidden/>
              </w:rPr>
            </w:r>
            <w:r w:rsidR="00AD4BB7">
              <w:rPr>
                <w:noProof/>
                <w:webHidden/>
              </w:rPr>
              <w:fldChar w:fldCharType="separate"/>
            </w:r>
            <w:r w:rsidR="00AD4BB7">
              <w:rPr>
                <w:noProof/>
                <w:webHidden/>
              </w:rPr>
              <w:t>5</w:t>
            </w:r>
            <w:r w:rsidR="00AD4BB7">
              <w:rPr>
                <w:noProof/>
                <w:webHidden/>
              </w:rPr>
              <w:fldChar w:fldCharType="end"/>
            </w:r>
          </w:hyperlink>
        </w:p>
        <w:p w:rsidR="00AD4BB7" w:rsidRDefault="008B6B24">
          <w:pPr>
            <w:pStyle w:val="TOC2"/>
            <w:rPr>
              <w:rFonts w:asciiTheme="minorHAnsi" w:eastAsiaTheme="minorEastAsia" w:hAnsiTheme="minorHAnsi" w:cstheme="minorBidi"/>
              <w:b w:val="0"/>
              <w:noProof/>
              <w:sz w:val="22"/>
              <w:lang w:eastAsia="en-AU"/>
            </w:rPr>
          </w:pPr>
          <w:hyperlink w:anchor="_Toc412706451" w:history="1">
            <w:r w:rsidR="00AD4BB7" w:rsidRPr="00EE26F4">
              <w:rPr>
                <w:rStyle w:val="Hyperlink"/>
                <w:noProof/>
              </w:rPr>
              <w:t>I. Introduction to product submission</w:t>
            </w:r>
            <w:r w:rsidR="00AD4BB7">
              <w:rPr>
                <w:noProof/>
                <w:webHidden/>
              </w:rPr>
              <w:tab/>
            </w:r>
            <w:r w:rsidR="00AD4BB7">
              <w:rPr>
                <w:noProof/>
                <w:webHidden/>
              </w:rPr>
              <w:fldChar w:fldCharType="begin"/>
            </w:r>
            <w:r w:rsidR="00AD4BB7">
              <w:rPr>
                <w:noProof/>
                <w:webHidden/>
              </w:rPr>
              <w:instrText xml:space="preserve"> PAGEREF _Toc412706451 \h </w:instrText>
            </w:r>
            <w:r w:rsidR="00AD4BB7">
              <w:rPr>
                <w:noProof/>
                <w:webHidden/>
              </w:rPr>
            </w:r>
            <w:r w:rsidR="00AD4BB7">
              <w:rPr>
                <w:noProof/>
                <w:webHidden/>
              </w:rPr>
              <w:fldChar w:fldCharType="separate"/>
            </w:r>
            <w:r w:rsidR="00AD4BB7">
              <w:rPr>
                <w:noProof/>
                <w:webHidden/>
              </w:rPr>
              <w:t>7</w:t>
            </w:r>
            <w:r w:rsidR="00AD4BB7">
              <w:rPr>
                <w:noProof/>
                <w:webHidden/>
              </w:rPr>
              <w:fldChar w:fldCharType="end"/>
            </w:r>
          </w:hyperlink>
        </w:p>
        <w:p w:rsidR="00AD4BB7" w:rsidRDefault="008B6B24">
          <w:pPr>
            <w:pStyle w:val="TOC3"/>
            <w:rPr>
              <w:rFonts w:asciiTheme="minorHAnsi" w:eastAsiaTheme="minorEastAsia" w:hAnsiTheme="minorHAnsi" w:cstheme="minorBidi"/>
              <w:noProof/>
              <w:lang w:eastAsia="en-AU"/>
            </w:rPr>
          </w:pPr>
          <w:hyperlink w:anchor="_Toc412706452" w:history="1">
            <w:r w:rsidR="00AD4BB7" w:rsidRPr="00EE26F4">
              <w:rPr>
                <w:rStyle w:val="Hyperlink"/>
                <w:noProof/>
                <w:lang w:eastAsia="en-AU"/>
              </w:rPr>
              <w:t>Submission details</w:t>
            </w:r>
            <w:r w:rsidR="00AD4BB7">
              <w:rPr>
                <w:noProof/>
                <w:webHidden/>
              </w:rPr>
              <w:tab/>
            </w:r>
            <w:r w:rsidR="00AD4BB7">
              <w:rPr>
                <w:noProof/>
                <w:webHidden/>
              </w:rPr>
              <w:fldChar w:fldCharType="begin"/>
            </w:r>
            <w:r w:rsidR="00AD4BB7">
              <w:rPr>
                <w:noProof/>
                <w:webHidden/>
              </w:rPr>
              <w:instrText xml:space="preserve"> PAGEREF _Toc412706452 \h </w:instrText>
            </w:r>
            <w:r w:rsidR="00AD4BB7">
              <w:rPr>
                <w:noProof/>
                <w:webHidden/>
              </w:rPr>
            </w:r>
            <w:r w:rsidR="00AD4BB7">
              <w:rPr>
                <w:noProof/>
                <w:webHidden/>
              </w:rPr>
              <w:fldChar w:fldCharType="separate"/>
            </w:r>
            <w:r w:rsidR="00AD4BB7">
              <w:rPr>
                <w:noProof/>
                <w:webHidden/>
              </w:rPr>
              <w:t>7</w:t>
            </w:r>
            <w:r w:rsidR="00AD4BB7">
              <w:rPr>
                <w:noProof/>
                <w:webHidden/>
              </w:rPr>
              <w:fldChar w:fldCharType="end"/>
            </w:r>
          </w:hyperlink>
        </w:p>
        <w:p w:rsidR="00AD4BB7" w:rsidRDefault="008B6B24">
          <w:pPr>
            <w:pStyle w:val="TOC3"/>
            <w:rPr>
              <w:rFonts w:asciiTheme="minorHAnsi" w:eastAsiaTheme="minorEastAsia" w:hAnsiTheme="minorHAnsi" w:cstheme="minorBidi"/>
              <w:noProof/>
              <w:lang w:eastAsia="en-AU"/>
            </w:rPr>
          </w:pPr>
          <w:hyperlink w:anchor="_Toc412706453" w:history="1">
            <w:r w:rsidR="00AD4BB7" w:rsidRPr="00EE26F4">
              <w:rPr>
                <w:rStyle w:val="Hyperlink"/>
                <w:noProof/>
              </w:rPr>
              <w:t>Product background</w:t>
            </w:r>
            <w:r w:rsidR="00AD4BB7">
              <w:rPr>
                <w:noProof/>
                <w:webHidden/>
              </w:rPr>
              <w:tab/>
            </w:r>
            <w:r w:rsidR="00AD4BB7">
              <w:rPr>
                <w:noProof/>
                <w:webHidden/>
              </w:rPr>
              <w:fldChar w:fldCharType="begin"/>
            </w:r>
            <w:r w:rsidR="00AD4BB7">
              <w:rPr>
                <w:noProof/>
                <w:webHidden/>
              </w:rPr>
              <w:instrText xml:space="preserve"> PAGEREF _Toc412706453 \h </w:instrText>
            </w:r>
            <w:r w:rsidR="00AD4BB7">
              <w:rPr>
                <w:noProof/>
                <w:webHidden/>
              </w:rPr>
            </w:r>
            <w:r w:rsidR="00AD4BB7">
              <w:rPr>
                <w:noProof/>
                <w:webHidden/>
              </w:rPr>
              <w:fldChar w:fldCharType="separate"/>
            </w:r>
            <w:r w:rsidR="00AD4BB7">
              <w:rPr>
                <w:noProof/>
                <w:webHidden/>
              </w:rPr>
              <w:t>8</w:t>
            </w:r>
            <w:r w:rsidR="00AD4BB7">
              <w:rPr>
                <w:noProof/>
                <w:webHidden/>
              </w:rPr>
              <w:fldChar w:fldCharType="end"/>
            </w:r>
          </w:hyperlink>
        </w:p>
        <w:p w:rsidR="00AD4BB7" w:rsidRDefault="008B6B24">
          <w:pPr>
            <w:pStyle w:val="TOC3"/>
            <w:rPr>
              <w:rFonts w:asciiTheme="minorHAnsi" w:eastAsiaTheme="minorEastAsia" w:hAnsiTheme="minorHAnsi" w:cstheme="minorBidi"/>
              <w:noProof/>
              <w:lang w:eastAsia="en-AU"/>
            </w:rPr>
          </w:pPr>
          <w:hyperlink w:anchor="_Toc412706454" w:history="1">
            <w:r w:rsidR="00AD4BB7" w:rsidRPr="00EE26F4">
              <w:rPr>
                <w:rStyle w:val="Hyperlink"/>
                <w:noProof/>
              </w:rPr>
              <w:t>Regulatory status</w:t>
            </w:r>
            <w:r w:rsidR="00AD4BB7">
              <w:rPr>
                <w:noProof/>
                <w:webHidden/>
              </w:rPr>
              <w:tab/>
            </w:r>
            <w:r w:rsidR="00AD4BB7">
              <w:rPr>
                <w:noProof/>
                <w:webHidden/>
              </w:rPr>
              <w:fldChar w:fldCharType="begin"/>
            </w:r>
            <w:r w:rsidR="00AD4BB7">
              <w:rPr>
                <w:noProof/>
                <w:webHidden/>
              </w:rPr>
              <w:instrText xml:space="preserve"> PAGEREF _Toc412706454 \h </w:instrText>
            </w:r>
            <w:r w:rsidR="00AD4BB7">
              <w:rPr>
                <w:noProof/>
                <w:webHidden/>
              </w:rPr>
            </w:r>
            <w:r w:rsidR="00AD4BB7">
              <w:rPr>
                <w:noProof/>
                <w:webHidden/>
              </w:rPr>
              <w:fldChar w:fldCharType="separate"/>
            </w:r>
            <w:r w:rsidR="00AD4BB7">
              <w:rPr>
                <w:noProof/>
                <w:webHidden/>
              </w:rPr>
              <w:t>8</w:t>
            </w:r>
            <w:r w:rsidR="00AD4BB7">
              <w:rPr>
                <w:noProof/>
                <w:webHidden/>
              </w:rPr>
              <w:fldChar w:fldCharType="end"/>
            </w:r>
          </w:hyperlink>
        </w:p>
        <w:p w:rsidR="00AD4BB7" w:rsidRDefault="008B6B24">
          <w:pPr>
            <w:pStyle w:val="TOC3"/>
            <w:rPr>
              <w:rFonts w:asciiTheme="minorHAnsi" w:eastAsiaTheme="minorEastAsia" w:hAnsiTheme="minorHAnsi" w:cstheme="minorBidi"/>
              <w:noProof/>
              <w:lang w:eastAsia="en-AU"/>
            </w:rPr>
          </w:pPr>
          <w:hyperlink w:anchor="_Toc412706455" w:history="1">
            <w:r w:rsidR="00AD4BB7" w:rsidRPr="00EE26F4">
              <w:rPr>
                <w:rStyle w:val="Hyperlink"/>
                <w:noProof/>
              </w:rPr>
              <w:t>Product Information</w:t>
            </w:r>
            <w:r w:rsidR="00AD4BB7">
              <w:rPr>
                <w:noProof/>
                <w:webHidden/>
              </w:rPr>
              <w:tab/>
            </w:r>
            <w:r w:rsidR="00AD4BB7">
              <w:rPr>
                <w:noProof/>
                <w:webHidden/>
              </w:rPr>
              <w:fldChar w:fldCharType="begin"/>
            </w:r>
            <w:r w:rsidR="00AD4BB7">
              <w:rPr>
                <w:noProof/>
                <w:webHidden/>
              </w:rPr>
              <w:instrText xml:space="preserve"> PAGEREF _Toc412706455 \h </w:instrText>
            </w:r>
            <w:r w:rsidR="00AD4BB7">
              <w:rPr>
                <w:noProof/>
                <w:webHidden/>
              </w:rPr>
            </w:r>
            <w:r w:rsidR="00AD4BB7">
              <w:rPr>
                <w:noProof/>
                <w:webHidden/>
              </w:rPr>
              <w:fldChar w:fldCharType="separate"/>
            </w:r>
            <w:r w:rsidR="00AD4BB7">
              <w:rPr>
                <w:noProof/>
                <w:webHidden/>
              </w:rPr>
              <w:t>8</w:t>
            </w:r>
            <w:r w:rsidR="00AD4BB7">
              <w:rPr>
                <w:noProof/>
                <w:webHidden/>
              </w:rPr>
              <w:fldChar w:fldCharType="end"/>
            </w:r>
          </w:hyperlink>
        </w:p>
        <w:p w:rsidR="00AD4BB7" w:rsidRDefault="008B6B24">
          <w:pPr>
            <w:pStyle w:val="TOC2"/>
            <w:rPr>
              <w:rFonts w:asciiTheme="minorHAnsi" w:eastAsiaTheme="minorEastAsia" w:hAnsiTheme="minorHAnsi" w:cstheme="minorBidi"/>
              <w:b w:val="0"/>
              <w:noProof/>
              <w:sz w:val="22"/>
              <w:lang w:eastAsia="en-AU"/>
            </w:rPr>
          </w:pPr>
          <w:hyperlink w:anchor="_Toc412706456" w:history="1">
            <w:r w:rsidR="00AD4BB7" w:rsidRPr="00EE26F4">
              <w:rPr>
                <w:rStyle w:val="Hyperlink"/>
                <w:noProof/>
              </w:rPr>
              <w:t>II. Quality findings</w:t>
            </w:r>
            <w:r w:rsidR="00AD4BB7">
              <w:rPr>
                <w:noProof/>
                <w:webHidden/>
              </w:rPr>
              <w:tab/>
            </w:r>
            <w:r w:rsidR="00AD4BB7">
              <w:rPr>
                <w:noProof/>
                <w:webHidden/>
              </w:rPr>
              <w:fldChar w:fldCharType="begin"/>
            </w:r>
            <w:r w:rsidR="00AD4BB7">
              <w:rPr>
                <w:noProof/>
                <w:webHidden/>
              </w:rPr>
              <w:instrText xml:space="preserve"> PAGEREF _Toc412706456 \h </w:instrText>
            </w:r>
            <w:r w:rsidR="00AD4BB7">
              <w:rPr>
                <w:noProof/>
                <w:webHidden/>
              </w:rPr>
            </w:r>
            <w:r w:rsidR="00AD4BB7">
              <w:rPr>
                <w:noProof/>
                <w:webHidden/>
              </w:rPr>
              <w:fldChar w:fldCharType="separate"/>
            </w:r>
            <w:r w:rsidR="00AD4BB7">
              <w:rPr>
                <w:noProof/>
                <w:webHidden/>
              </w:rPr>
              <w:t>9</w:t>
            </w:r>
            <w:r w:rsidR="00AD4BB7">
              <w:rPr>
                <w:noProof/>
                <w:webHidden/>
              </w:rPr>
              <w:fldChar w:fldCharType="end"/>
            </w:r>
          </w:hyperlink>
        </w:p>
        <w:p w:rsidR="00AD4BB7" w:rsidRDefault="008B6B24">
          <w:pPr>
            <w:pStyle w:val="TOC3"/>
            <w:rPr>
              <w:rFonts w:asciiTheme="minorHAnsi" w:eastAsiaTheme="minorEastAsia" w:hAnsiTheme="minorHAnsi" w:cstheme="minorBidi"/>
              <w:noProof/>
              <w:lang w:eastAsia="en-AU"/>
            </w:rPr>
          </w:pPr>
          <w:hyperlink w:anchor="_Toc412706457" w:history="1">
            <w:r w:rsidR="00AD4BB7" w:rsidRPr="00EE26F4">
              <w:rPr>
                <w:rStyle w:val="Hyperlink"/>
                <w:noProof/>
              </w:rPr>
              <w:t>Introduction</w:t>
            </w:r>
            <w:r w:rsidR="00AD4BB7">
              <w:rPr>
                <w:noProof/>
                <w:webHidden/>
              </w:rPr>
              <w:tab/>
            </w:r>
            <w:r w:rsidR="00AD4BB7">
              <w:rPr>
                <w:noProof/>
                <w:webHidden/>
              </w:rPr>
              <w:fldChar w:fldCharType="begin"/>
            </w:r>
            <w:r w:rsidR="00AD4BB7">
              <w:rPr>
                <w:noProof/>
                <w:webHidden/>
              </w:rPr>
              <w:instrText xml:space="preserve"> PAGEREF _Toc412706457 \h </w:instrText>
            </w:r>
            <w:r w:rsidR="00AD4BB7">
              <w:rPr>
                <w:noProof/>
                <w:webHidden/>
              </w:rPr>
            </w:r>
            <w:r w:rsidR="00AD4BB7">
              <w:rPr>
                <w:noProof/>
                <w:webHidden/>
              </w:rPr>
              <w:fldChar w:fldCharType="separate"/>
            </w:r>
            <w:r w:rsidR="00AD4BB7">
              <w:rPr>
                <w:noProof/>
                <w:webHidden/>
              </w:rPr>
              <w:t>9</w:t>
            </w:r>
            <w:r w:rsidR="00AD4BB7">
              <w:rPr>
                <w:noProof/>
                <w:webHidden/>
              </w:rPr>
              <w:fldChar w:fldCharType="end"/>
            </w:r>
          </w:hyperlink>
        </w:p>
        <w:p w:rsidR="00AD4BB7" w:rsidRDefault="008B6B24">
          <w:pPr>
            <w:pStyle w:val="TOC3"/>
            <w:rPr>
              <w:rFonts w:asciiTheme="minorHAnsi" w:eastAsiaTheme="minorEastAsia" w:hAnsiTheme="minorHAnsi" w:cstheme="minorBidi"/>
              <w:noProof/>
              <w:lang w:eastAsia="en-AU"/>
            </w:rPr>
          </w:pPr>
          <w:hyperlink w:anchor="_Toc412706458" w:history="1">
            <w:r w:rsidR="00AD4BB7" w:rsidRPr="00EE26F4">
              <w:rPr>
                <w:rStyle w:val="Hyperlink"/>
                <w:noProof/>
              </w:rPr>
              <w:t>Drug substance (active ingredient)</w:t>
            </w:r>
            <w:r w:rsidR="00AD4BB7">
              <w:rPr>
                <w:noProof/>
                <w:webHidden/>
              </w:rPr>
              <w:tab/>
            </w:r>
            <w:r w:rsidR="00AD4BB7">
              <w:rPr>
                <w:noProof/>
                <w:webHidden/>
              </w:rPr>
              <w:fldChar w:fldCharType="begin"/>
            </w:r>
            <w:r w:rsidR="00AD4BB7">
              <w:rPr>
                <w:noProof/>
                <w:webHidden/>
              </w:rPr>
              <w:instrText xml:space="preserve"> PAGEREF _Toc412706458 \h </w:instrText>
            </w:r>
            <w:r w:rsidR="00AD4BB7">
              <w:rPr>
                <w:noProof/>
                <w:webHidden/>
              </w:rPr>
            </w:r>
            <w:r w:rsidR="00AD4BB7">
              <w:rPr>
                <w:noProof/>
                <w:webHidden/>
              </w:rPr>
              <w:fldChar w:fldCharType="separate"/>
            </w:r>
            <w:r w:rsidR="00AD4BB7">
              <w:rPr>
                <w:noProof/>
                <w:webHidden/>
              </w:rPr>
              <w:t>9</w:t>
            </w:r>
            <w:r w:rsidR="00AD4BB7">
              <w:rPr>
                <w:noProof/>
                <w:webHidden/>
              </w:rPr>
              <w:fldChar w:fldCharType="end"/>
            </w:r>
          </w:hyperlink>
        </w:p>
        <w:p w:rsidR="00AD4BB7" w:rsidRDefault="008B6B24">
          <w:pPr>
            <w:pStyle w:val="TOC3"/>
            <w:rPr>
              <w:rFonts w:asciiTheme="minorHAnsi" w:eastAsiaTheme="minorEastAsia" w:hAnsiTheme="minorHAnsi" w:cstheme="minorBidi"/>
              <w:noProof/>
              <w:lang w:eastAsia="en-AU"/>
            </w:rPr>
          </w:pPr>
          <w:hyperlink w:anchor="_Toc412706459" w:history="1">
            <w:r w:rsidR="00AD4BB7" w:rsidRPr="00EE26F4">
              <w:rPr>
                <w:rStyle w:val="Hyperlink"/>
                <w:noProof/>
              </w:rPr>
              <w:t>Drug product</w:t>
            </w:r>
            <w:r w:rsidR="00AD4BB7">
              <w:rPr>
                <w:noProof/>
                <w:webHidden/>
              </w:rPr>
              <w:tab/>
            </w:r>
            <w:r w:rsidR="00AD4BB7">
              <w:rPr>
                <w:noProof/>
                <w:webHidden/>
              </w:rPr>
              <w:fldChar w:fldCharType="begin"/>
            </w:r>
            <w:r w:rsidR="00AD4BB7">
              <w:rPr>
                <w:noProof/>
                <w:webHidden/>
              </w:rPr>
              <w:instrText xml:space="preserve"> PAGEREF _Toc412706459 \h </w:instrText>
            </w:r>
            <w:r w:rsidR="00AD4BB7">
              <w:rPr>
                <w:noProof/>
                <w:webHidden/>
              </w:rPr>
            </w:r>
            <w:r w:rsidR="00AD4BB7">
              <w:rPr>
                <w:noProof/>
                <w:webHidden/>
              </w:rPr>
              <w:fldChar w:fldCharType="separate"/>
            </w:r>
            <w:r w:rsidR="00AD4BB7">
              <w:rPr>
                <w:noProof/>
                <w:webHidden/>
              </w:rPr>
              <w:t>9</w:t>
            </w:r>
            <w:r w:rsidR="00AD4BB7">
              <w:rPr>
                <w:noProof/>
                <w:webHidden/>
              </w:rPr>
              <w:fldChar w:fldCharType="end"/>
            </w:r>
          </w:hyperlink>
        </w:p>
        <w:p w:rsidR="00AD4BB7" w:rsidRDefault="008B6B24">
          <w:pPr>
            <w:pStyle w:val="TOC3"/>
            <w:rPr>
              <w:rFonts w:asciiTheme="minorHAnsi" w:eastAsiaTheme="minorEastAsia" w:hAnsiTheme="minorHAnsi" w:cstheme="minorBidi"/>
              <w:noProof/>
              <w:lang w:eastAsia="en-AU"/>
            </w:rPr>
          </w:pPr>
          <w:hyperlink w:anchor="_Toc412706460" w:history="1">
            <w:r w:rsidR="00AD4BB7" w:rsidRPr="00EE26F4">
              <w:rPr>
                <w:rStyle w:val="Hyperlink"/>
                <w:noProof/>
              </w:rPr>
              <w:t>Biopharmaceutics</w:t>
            </w:r>
            <w:r w:rsidR="00AD4BB7">
              <w:rPr>
                <w:noProof/>
                <w:webHidden/>
              </w:rPr>
              <w:tab/>
            </w:r>
            <w:r w:rsidR="00AD4BB7">
              <w:rPr>
                <w:noProof/>
                <w:webHidden/>
              </w:rPr>
              <w:fldChar w:fldCharType="begin"/>
            </w:r>
            <w:r w:rsidR="00AD4BB7">
              <w:rPr>
                <w:noProof/>
                <w:webHidden/>
              </w:rPr>
              <w:instrText xml:space="preserve"> PAGEREF _Toc412706460 \h </w:instrText>
            </w:r>
            <w:r w:rsidR="00AD4BB7">
              <w:rPr>
                <w:noProof/>
                <w:webHidden/>
              </w:rPr>
            </w:r>
            <w:r w:rsidR="00AD4BB7">
              <w:rPr>
                <w:noProof/>
                <w:webHidden/>
              </w:rPr>
              <w:fldChar w:fldCharType="separate"/>
            </w:r>
            <w:r w:rsidR="00AD4BB7">
              <w:rPr>
                <w:noProof/>
                <w:webHidden/>
              </w:rPr>
              <w:t>10</w:t>
            </w:r>
            <w:r w:rsidR="00AD4BB7">
              <w:rPr>
                <w:noProof/>
                <w:webHidden/>
              </w:rPr>
              <w:fldChar w:fldCharType="end"/>
            </w:r>
          </w:hyperlink>
        </w:p>
        <w:p w:rsidR="00AD4BB7" w:rsidRDefault="008B6B24">
          <w:pPr>
            <w:pStyle w:val="TOC3"/>
            <w:rPr>
              <w:rFonts w:asciiTheme="minorHAnsi" w:eastAsiaTheme="minorEastAsia" w:hAnsiTheme="minorHAnsi" w:cstheme="minorBidi"/>
              <w:noProof/>
              <w:lang w:eastAsia="en-AU"/>
            </w:rPr>
          </w:pPr>
          <w:hyperlink w:anchor="_Toc412706461" w:history="1">
            <w:r w:rsidR="00AD4BB7" w:rsidRPr="00EE26F4">
              <w:rPr>
                <w:rStyle w:val="Hyperlink"/>
                <w:noProof/>
              </w:rPr>
              <w:t>Advisory committee considerations</w:t>
            </w:r>
            <w:r w:rsidR="00AD4BB7">
              <w:rPr>
                <w:noProof/>
                <w:webHidden/>
              </w:rPr>
              <w:tab/>
            </w:r>
            <w:r w:rsidR="00AD4BB7">
              <w:rPr>
                <w:noProof/>
                <w:webHidden/>
              </w:rPr>
              <w:fldChar w:fldCharType="begin"/>
            </w:r>
            <w:r w:rsidR="00AD4BB7">
              <w:rPr>
                <w:noProof/>
                <w:webHidden/>
              </w:rPr>
              <w:instrText xml:space="preserve"> PAGEREF _Toc412706461 \h </w:instrText>
            </w:r>
            <w:r w:rsidR="00AD4BB7">
              <w:rPr>
                <w:noProof/>
                <w:webHidden/>
              </w:rPr>
            </w:r>
            <w:r w:rsidR="00AD4BB7">
              <w:rPr>
                <w:noProof/>
                <w:webHidden/>
              </w:rPr>
              <w:fldChar w:fldCharType="separate"/>
            </w:r>
            <w:r w:rsidR="00AD4BB7">
              <w:rPr>
                <w:noProof/>
                <w:webHidden/>
              </w:rPr>
              <w:t>10</w:t>
            </w:r>
            <w:r w:rsidR="00AD4BB7">
              <w:rPr>
                <w:noProof/>
                <w:webHidden/>
              </w:rPr>
              <w:fldChar w:fldCharType="end"/>
            </w:r>
          </w:hyperlink>
        </w:p>
        <w:p w:rsidR="00AD4BB7" w:rsidRDefault="008B6B24">
          <w:pPr>
            <w:pStyle w:val="TOC3"/>
            <w:rPr>
              <w:rFonts w:asciiTheme="minorHAnsi" w:eastAsiaTheme="minorEastAsia" w:hAnsiTheme="minorHAnsi" w:cstheme="minorBidi"/>
              <w:noProof/>
              <w:lang w:eastAsia="en-AU"/>
            </w:rPr>
          </w:pPr>
          <w:hyperlink w:anchor="_Toc412706462" w:history="1">
            <w:r w:rsidR="00AD4BB7" w:rsidRPr="00EE26F4">
              <w:rPr>
                <w:rStyle w:val="Hyperlink"/>
                <w:noProof/>
              </w:rPr>
              <w:t>Quality summary and conclusions</w:t>
            </w:r>
            <w:r w:rsidR="00AD4BB7">
              <w:rPr>
                <w:noProof/>
                <w:webHidden/>
              </w:rPr>
              <w:tab/>
            </w:r>
            <w:r w:rsidR="00AD4BB7">
              <w:rPr>
                <w:noProof/>
                <w:webHidden/>
              </w:rPr>
              <w:fldChar w:fldCharType="begin"/>
            </w:r>
            <w:r w:rsidR="00AD4BB7">
              <w:rPr>
                <w:noProof/>
                <w:webHidden/>
              </w:rPr>
              <w:instrText xml:space="preserve"> PAGEREF _Toc412706462 \h </w:instrText>
            </w:r>
            <w:r w:rsidR="00AD4BB7">
              <w:rPr>
                <w:noProof/>
                <w:webHidden/>
              </w:rPr>
            </w:r>
            <w:r w:rsidR="00AD4BB7">
              <w:rPr>
                <w:noProof/>
                <w:webHidden/>
              </w:rPr>
              <w:fldChar w:fldCharType="separate"/>
            </w:r>
            <w:r w:rsidR="00AD4BB7">
              <w:rPr>
                <w:noProof/>
                <w:webHidden/>
              </w:rPr>
              <w:t>10</w:t>
            </w:r>
            <w:r w:rsidR="00AD4BB7">
              <w:rPr>
                <w:noProof/>
                <w:webHidden/>
              </w:rPr>
              <w:fldChar w:fldCharType="end"/>
            </w:r>
          </w:hyperlink>
        </w:p>
        <w:p w:rsidR="00AD4BB7" w:rsidRDefault="008B6B24">
          <w:pPr>
            <w:pStyle w:val="TOC2"/>
            <w:rPr>
              <w:rFonts w:asciiTheme="minorHAnsi" w:eastAsiaTheme="minorEastAsia" w:hAnsiTheme="minorHAnsi" w:cstheme="minorBidi"/>
              <w:b w:val="0"/>
              <w:noProof/>
              <w:sz w:val="22"/>
              <w:lang w:eastAsia="en-AU"/>
            </w:rPr>
          </w:pPr>
          <w:hyperlink w:anchor="_Toc412706463" w:history="1">
            <w:r w:rsidR="00AD4BB7" w:rsidRPr="00EE26F4">
              <w:rPr>
                <w:rStyle w:val="Hyperlink"/>
                <w:noProof/>
              </w:rPr>
              <w:t>III. Nonclinical findings</w:t>
            </w:r>
            <w:r w:rsidR="00AD4BB7">
              <w:rPr>
                <w:noProof/>
                <w:webHidden/>
              </w:rPr>
              <w:tab/>
            </w:r>
            <w:r w:rsidR="00AD4BB7">
              <w:rPr>
                <w:noProof/>
                <w:webHidden/>
              </w:rPr>
              <w:fldChar w:fldCharType="begin"/>
            </w:r>
            <w:r w:rsidR="00AD4BB7">
              <w:rPr>
                <w:noProof/>
                <w:webHidden/>
              </w:rPr>
              <w:instrText xml:space="preserve"> PAGEREF _Toc412706463 \h </w:instrText>
            </w:r>
            <w:r w:rsidR="00AD4BB7">
              <w:rPr>
                <w:noProof/>
                <w:webHidden/>
              </w:rPr>
            </w:r>
            <w:r w:rsidR="00AD4BB7">
              <w:rPr>
                <w:noProof/>
                <w:webHidden/>
              </w:rPr>
              <w:fldChar w:fldCharType="separate"/>
            </w:r>
            <w:r w:rsidR="00AD4BB7">
              <w:rPr>
                <w:noProof/>
                <w:webHidden/>
              </w:rPr>
              <w:t>11</w:t>
            </w:r>
            <w:r w:rsidR="00AD4BB7">
              <w:rPr>
                <w:noProof/>
                <w:webHidden/>
              </w:rPr>
              <w:fldChar w:fldCharType="end"/>
            </w:r>
          </w:hyperlink>
        </w:p>
        <w:p w:rsidR="00AD4BB7" w:rsidRDefault="008B6B24">
          <w:pPr>
            <w:pStyle w:val="TOC3"/>
            <w:rPr>
              <w:rFonts w:asciiTheme="minorHAnsi" w:eastAsiaTheme="minorEastAsia" w:hAnsiTheme="minorHAnsi" w:cstheme="minorBidi"/>
              <w:noProof/>
              <w:lang w:eastAsia="en-AU"/>
            </w:rPr>
          </w:pPr>
          <w:hyperlink w:anchor="_Toc412706464" w:history="1">
            <w:r w:rsidR="00AD4BB7" w:rsidRPr="00EE26F4">
              <w:rPr>
                <w:rStyle w:val="Hyperlink"/>
                <w:noProof/>
              </w:rPr>
              <w:t>Introduction</w:t>
            </w:r>
            <w:r w:rsidR="00AD4BB7">
              <w:rPr>
                <w:noProof/>
                <w:webHidden/>
              </w:rPr>
              <w:tab/>
            </w:r>
            <w:r w:rsidR="00AD4BB7">
              <w:rPr>
                <w:noProof/>
                <w:webHidden/>
              </w:rPr>
              <w:fldChar w:fldCharType="begin"/>
            </w:r>
            <w:r w:rsidR="00AD4BB7">
              <w:rPr>
                <w:noProof/>
                <w:webHidden/>
              </w:rPr>
              <w:instrText xml:space="preserve"> PAGEREF _Toc412706464 \h </w:instrText>
            </w:r>
            <w:r w:rsidR="00AD4BB7">
              <w:rPr>
                <w:noProof/>
                <w:webHidden/>
              </w:rPr>
            </w:r>
            <w:r w:rsidR="00AD4BB7">
              <w:rPr>
                <w:noProof/>
                <w:webHidden/>
              </w:rPr>
              <w:fldChar w:fldCharType="separate"/>
            </w:r>
            <w:r w:rsidR="00AD4BB7">
              <w:rPr>
                <w:noProof/>
                <w:webHidden/>
              </w:rPr>
              <w:t>11</w:t>
            </w:r>
            <w:r w:rsidR="00AD4BB7">
              <w:rPr>
                <w:noProof/>
                <w:webHidden/>
              </w:rPr>
              <w:fldChar w:fldCharType="end"/>
            </w:r>
          </w:hyperlink>
        </w:p>
        <w:p w:rsidR="00AD4BB7" w:rsidRDefault="008B6B24">
          <w:pPr>
            <w:pStyle w:val="TOC3"/>
            <w:rPr>
              <w:rFonts w:asciiTheme="minorHAnsi" w:eastAsiaTheme="minorEastAsia" w:hAnsiTheme="minorHAnsi" w:cstheme="minorBidi"/>
              <w:noProof/>
              <w:lang w:eastAsia="en-AU"/>
            </w:rPr>
          </w:pPr>
          <w:hyperlink w:anchor="_Toc412706465" w:history="1">
            <w:r w:rsidR="00AD4BB7" w:rsidRPr="00EE26F4">
              <w:rPr>
                <w:rStyle w:val="Hyperlink"/>
                <w:noProof/>
              </w:rPr>
              <w:t>Updated nonclinical information/data</w:t>
            </w:r>
            <w:r w:rsidR="00AD4BB7">
              <w:rPr>
                <w:noProof/>
                <w:webHidden/>
              </w:rPr>
              <w:tab/>
            </w:r>
            <w:r w:rsidR="00AD4BB7">
              <w:rPr>
                <w:noProof/>
                <w:webHidden/>
              </w:rPr>
              <w:fldChar w:fldCharType="begin"/>
            </w:r>
            <w:r w:rsidR="00AD4BB7">
              <w:rPr>
                <w:noProof/>
                <w:webHidden/>
              </w:rPr>
              <w:instrText xml:space="preserve"> PAGEREF _Toc412706465 \h </w:instrText>
            </w:r>
            <w:r w:rsidR="00AD4BB7">
              <w:rPr>
                <w:noProof/>
                <w:webHidden/>
              </w:rPr>
            </w:r>
            <w:r w:rsidR="00AD4BB7">
              <w:rPr>
                <w:noProof/>
                <w:webHidden/>
              </w:rPr>
              <w:fldChar w:fldCharType="separate"/>
            </w:r>
            <w:r w:rsidR="00AD4BB7">
              <w:rPr>
                <w:noProof/>
                <w:webHidden/>
              </w:rPr>
              <w:t>11</w:t>
            </w:r>
            <w:r w:rsidR="00AD4BB7">
              <w:rPr>
                <w:noProof/>
                <w:webHidden/>
              </w:rPr>
              <w:fldChar w:fldCharType="end"/>
            </w:r>
          </w:hyperlink>
        </w:p>
        <w:p w:rsidR="00AD4BB7" w:rsidRDefault="008B6B24">
          <w:pPr>
            <w:pStyle w:val="TOC3"/>
            <w:rPr>
              <w:rFonts w:asciiTheme="minorHAnsi" w:eastAsiaTheme="minorEastAsia" w:hAnsiTheme="minorHAnsi" w:cstheme="minorBidi"/>
              <w:noProof/>
              <w:lang w:eastAsia="en-AU"/>
            </w:rPr>
          </w:pPr>
          <w:hyperlink w:anchor="_Toc412706466" w:history="1">
            <w:r w:rsidR="00AD4BB7" w:rsidRPr="00EE26F4">
              <w:rPr>
                <w:rStyle w:val="Hyperlink"/>
                <w:noProof/>
              </w:rPr>
              <w:t>Nonclinical summary</w:t>
            </w:r>
            <w:r w:rsidR="00AD4BB7">
              <w:rPr>
                <w:noProof/>
                <w:webHidden/>
              </w:rPr>
              <w:tab/>
            </w:r>
            <w:r w:rsidR="00AD4BB7">
              <w:rPr>
                <w:noProof/>
                <w:webHidden/>
              </w:rPr>
              <w:fldChar w:fldCharType="begin"/>
            </w:r>
            <w:r w:rsidR="00AD4BB7">
              <w:rPr>
                <w:noProof/>
                <w:webHidden/>
              </w:rPr>
              <w:instrText xml:space="preserve"> PAGEREF _Toc412706466 \h </w:instrText>
            </w:r>
            <w:r w:rsidR="00AD4BB7">
              <w:rPr>
                <w:noProof/>
                <w:webHidden/>
              </w:rPr>
            </w:r>
            <w:r w:rsidR="00AD4BB7">
              <w:rPr>
                <w:noProof/>
                <w:webHidden/>
              </w:rPr>
              <w:fldChar w:fldCharType="separate"/>
            </w:r>
            <w:r w:rsidR="00AD4BB7">
              <w:rPr>
                <w:noProof/>
                <w:webHidden/>
              </w:rPr>
              <w:t>11</w:t>
            </w:r>
            <w:r w:rsidR="00AD4BB7">
              <w:rPr>
                <w:noProof/>
                <w:webHidden/>
              </w:rPr>
              <w:fldChar w:fldCharType="end"/>
            </w:r>
          </w:hyperlink>
        </w:p>
        <w:p w:rsidR="00AD4BB7" w:rsidRDefault="008B6B24">
          <w:pPr>
            <w:pStyle w:val="TOC3"/>
            <w:rPr>
              <w:rFonts w:asciiTheme="minorHAnsi" w:eastAsiaTheme="minorEastAsia" w:hAnsiTheme="minorHAnsi" w:cstheme="minorBidi"/>
              <w:noProof/>
              <w:lang w:eastAsia="en-AU"/>
            </w:rPr>
          </w:pPr>
          <w:hyperlink w:anchor="_Toc412706467" w:history="1">
            <w:r w:rsidR="00AD4BB7" w:rsidRPr="00EE26F4">
              <w:rPr>
                <w:rStyle w:val="Hyperlink"/>
                <w:noProof/>
              </w:rPr>
              <w:t>Conclusions and recommendation</w:t>
            </w:r>
            <w:r w:rsidR="00AD4BB7">
              <w:rPr>
                <w:noProof/>
                <w:webHidden/>
              </w:rPr>
              <w:tab/>
            </w:r>
            <w:r w:rsidR="00AD4BB7">
              <w:rPr>
                <w:noProof/>
                <w:webHidden/>
              </w:rPr>
              <w:fldChar w:fldCharType="begin"/>
            </w:r>
            <w:r w:rsidR="00AD4BB7">
              <w:rPr>
                <w:noProof/>
                <w:webHidden/>
              </w:rPr>
              <w:instrText xml:space="preserve"> PAGEREF _Toc412706467 \h </w:instrText>
            </w:r>
            <w:r w:rsidR="00AD4BB7">
              <w:rPr>
                <w:noProof/>
                <w:webHidden/>
              </w:rPr>
            </w:r>
            <w:r w:rsidR="00AD4BB7">
              <w:rPr>
                <w:noProof/>
                <w:webHidden/>
              </w:rPr>
              <w:fldChar w:fldCharType="separate"/>
            </w:r>
            <w:r w:rsidR="00AD4BB7">
              <w:rPr>
                <w:noProof/>
                <w:webHidden/>
              </w:rPr>
              <w:t>12</w:t>
            </w:r>
            <w:r w:rsidR="00AD4BB7">
              <w:rPr>
                <w:noProof/>
                <w:webHidden/>
              </w:rPr>
              <w:fldChar w:fldCharType="end"/>
            </w:r>
          </w:hyperlink>
        </w:p>
        <w:p w:rsidR="00AD4BB7" w:rsidRDefault="008B6B24">
          <w:pPr>
            <w:pStyle w:val="TOC2"/>
            <w:rPr>
              <w:rFonts w:asciiTheme="minorHAnsi" w:eastAsiaTheme="minorEastAsia" w:hAnsiTheme="minorHAnsi" w:cstheme="minorBidi"/>
              <w:b w:val="0"/>
              <w:noProof/>
              <w:sz w:val="22"/>
              <w:lang w:eastAsia="en-AU"/>
            </w:rPr>
          </w:pPr>
          <w:hyperlink w:anchor="_Toc412706468" w:history="1">
            <w:r w:rsidR="00AD4BB7" w:rsidRPr="00EE26F4">
              <w:rPr>
                <w:rStyle w:val="Hyperlink"/>
                <w:noProof/>
              </w:rPr>
              <w:t>IV. Clinical findings</w:t>
            </w:r>
            <w:r w:rsidR="00AD4BB7">
              <w:rPr>
                <w:noProof/>
                <w:webHidden/>
              </w:rPr>
              <w:tab/>
            </w:r>
            <w:r w:rsidR="00AD4BB7">
              <w:rPr>
                <w:noProof/>
                <w:webHidden/>
              </w:rPr>
              <w:fldChar w:fldCharType="begin"/>
            </w:r>
            <w:r w:rsidR="00AD4BB7">
              <w:rPr>
                <w:noProof/>
                <w:webHidden/>
              </w:rPr>
              <w:instrText xml:space="preserve"> PAGEREF _Toc412706468 \h </w:instrText>
            </w:r>
            <w:r w:rsidR="00AD4BB7">
              <w:rPr>
                <w:noProof/>
                <w:webHidden/>
              </w:rPr>
            </w:r>
            <w:r w:rsidR="00AD4BB7">
              <w:rPr>
                <w:noProof/>
                <w:webHidden/>
              </w:rPr>
              <w:fldChar w:fldCharType="separate"/>
            </w:r>
            <w:r w:rsidR="00AD4BB7">
              <w:rPr>
                <w:noProof/>
                <w:webHidden/>
              </w:rPr>
              <w:t>12</w:t>
            </w:r>
            <w:r w:rsidR="00AD4BB7">
              <w:rPr>
                <w:noProof/>
                <w:webHidden/>
              </w:rPr>
              <w:fldChar w:fldCharType="end"/>
            </w:r>
          </w:hyperlink>
        </w:p>
        <w:p w:rsidR="00AD4BB7" w:rsidRDefault="008B6B24">
          <w:pPr>
            <w:pStyle w:val="TOC3"/>
            <w:rPr>
              <w:rFonts w:asciiTheme="minorHAnsi" w:eastAsiaTheme="minorEastAsia" w:hAnsiTheme="minorHAnsi" w:cstheme="minorBidi"/>
              <w:noProof/>
              <w:lang w:eastAsia="en-AU"/>
            </w:rPr>
          </w:pPr>
          <w:hyperlink w:anchor="_Toc412706469" w:history="1">
            <w:r w:rsidR="00AD4BB7" w:rsidRPr="00EE26F4">
              <w:rPr>
                <w:rStyle w:val="Hyperlink"/>
                <w:noProof/>
              </w:rPr>
              <w:t>Introduction</w:t>
            </w:r>
            <w:r w:rsidR="00AD4BB7">
              <w:rPr>
                <w:noProof/>
                <w:webHidden/>
              </w:rPr>
              <w:tab/>
            </w:r>
            <w:r w:rsidR="00AD4BB7">
              <w:rPr>
                <w:noProof/>
                <w:webHidden/>
              </w:rPr>
              <w:fldChar w:fldCharType="begin"/>
            </w:r>
            <w:r w:rsidR="00AD4BB7">
              <w:rPr>
                <w:noProof/>
                <w:webHidden/>
              </w:rPr>
              <w:instrText xml:space="preserve"> PAGEREF _Toc412706469 \h </w:instrText>
            </w:r>
            <w:r w:rsidR="00AD4BB7">
              <w:rPr>
                <w:noProof/>
                <w:webHidden/>
              </w:rPr>
            </w:r>
            <w:r w:rsidR="00AD4BB7">
              <w:rPr>
                <w:noProof/>
                <w:webHidden/>
              </w:rPr>
              <w:fldChar w:fldCharType="separate"/>
            </w:r>
            <w:r w:rsidR="00AD4BB7">
              <w:rPr>
                <w:noProof/>
                <w:webHidden/>
              </w:rPr>
              <w:t>12</w:t>
            </w:r>
            <w:r w:rsidR="00AD4BB7">
              <w:rPr>
                <w:noProof/>
                <w:webHidden/>
              </w:rPr>
              <w:fldChar w:fldCharType="end"/>
            </w:r>
          </w:hyperlink>
        </w:p>
        <w:p w:rsidR="00AD4BB7" w:rsidRDefault="008B6B24">
          <w:pPr>
            <w:pStyle w:val="TOC3"/>
            <w:rPr>
              <w:rFonts w:asciiTheme="minorHAnsi" w:eastAsiaTheme="minorEastAsia" w:hAnsiTheme="minorHAnsi" w:cstheme="minorBidi"/>
              <w:noProof/>
              <w:lang w:eastAsia="en-AU"/>
            </w:rPr>
          </w:pPr>
          <w:hyperlink w:anchor="_Toc412706470" w:history="1">
            <w:r w:rsidR="00AD4BB7" w:rsidRPr="00EE26F4">
              <w:rPr>
                <w:rStyle w:val="Hyperlink"/>
                <w:noProof/>
              </w:rPr>
              <w:t>Pharmacokinetics</w:t>
            </w:r>
            <w:r w:rsidR="00AD4BB7">
              <w:rPr>
                <w:noProof/>
                <w:webHidden/>
              </w:rPr>
              <w:tab/>
            </w:r>
            <w:r w:rsidR="00AD4BB7">
              <w:rPr>
                <w:noProof/>
                <w:webHidden/>
              </w:rPr>
              <w:fldChar w:fldCharType="begin"/>
            </w:r>
            <w:r w:rsidR="00AD4BB7">
              <w:rPr>
                <w:noProof/>
                <w:webHidden/>
              </w:rPr>
              <w:instrText xml:space="preserve"> PAGEREF _Toc412706470 \h </w:instrText>
            </w:r>
            <w:r w:rsidR="00AD4BB7">
              <w:rPr>
                <w:noProof/>
                <w:webHidden/>
              </w:rPr>
            </w:r>
            <w:r w:rsidR="00AD4BB7">
              <w:rPr>
                <w:noProof/>
                <w:webHidden/>
              </w:rPr>
              <w:fldChar w:fldCharType="separate"/>
            </w:r>
            <w:r w:rsidR="00AD4BB7">
              <w:rPr>
                <w:noProof/>
                <w:webHidden/>
              </w:rPr>
              <w:t>16</w:t>
            </w:r>
            <w:r w:rsidR="00AD4BB7">
              <w:rPr>
                <w:noProof/>
                <w:webHidden/>
              </w:rPr>
              <w:fldChar w:fldCharType="end"/>
            </w:r>
          </w:hyperlink>
        </w:p>
        <w:p w:rsidR="00AD4BB7" w:rsidRDefault="008B6B24">
          <w:pPr>
            <w:pStyle w:val="TOC3"/>
            <w:rPr>
              <w:rFonts w:asciiTheme="minorHAnsi" w:eastAsiaTheme="minorEastAsia" w:hAnsiTheme="minorHAnsi" w:cstheme="minorBidi"/>
              <w:noProof/>
              <w:lang w:eastAsia="en-AU"/>
            </w:rPr>
          </w:pPr>
          <w:hyperlink w:anchor="_Toc412706471" w:history="1">
            <w:r w:rsidR="00AD4BB7" w:rsidRPr="00EE26F4">
              <w:rPr>
                <w:rStyle w:val="Hyperlink"/>
                <w:noProof/>
              </w:rPr>
              <w:t>Pharmacodynamics</w:t>
            </w:r>
            <w:r w:rsidR="00AD4BB7">
              <w:rPr>
                <w:noProof/>
                <w:webHidden/>
              </w:rPr>
              <w:tab/>
            </w:r>
            <w:r w:rsidR="00AD4BB7">
              <w:rPr>
                <w:noProof/>
                <w:webHidden/>
              </w:rPr>
              <w:fldChar w:fldCharType="begin"/>
            </w:r>
            <w:r w:rsidR="00AD4BB7">
              <w:rPr>
                <w:noProof/>
                <w:webHidden/>
              </w:rPr>
              <w:instrText xml:space="preserve"> PAGEREF _Toc412706471 \h </w:instrText>
            </w:r>
            <w:r w:rsidR="00AD4BB7">
              <w:rPr>
                <w:noProof/>
                <w:webHidden/>
              </w:rPr>
            </w:r>
            <w:r w:rsidR="00AD4BB7">
              <w:rPr>
                <w:noProof/>
                <w:webHidden/>
              </w:rPr>
              <w:fldChar w:fldCharType="separate"/>
            </w:r>
            <w:r w:rsidR="00AD4BB7">
              <w:rPr>
                <w:noProof/>
                <w:webHidden/>
              </w:rPr>
              <w:t>18</w:t>
            </w:r>
            <w:r w:rsidR="00AD4BB7">
              <w:rPr>
                <w:noProof/>
                <w:webHidden/>
              </w:rPr>
              <w:fldChar w:fldCharType="end"/>
            </w:r>
          </w:hyperlink>
        </w:p>
        <w:p w:rsidR="00AD4BB7" w:rsidRDefault="008B6B24">
          <w:pPr>
            <w:pStyle w:val="TOC3"/>
            <w:rPr>
              <w:rFonts w:asciiTheme="minorHAnsi" w:eastAsiaTheme="minorEastAsia" w:hAnsiTheme="minorHAnsi" w:cstheme="minorBidi"/>
              <w:noProof/>
              <w:lang w:eastAsia="en-AU"/>
            </w:rPr>
          </w:pPr>
          <w:hyperlink w:anchor="_Toc412706472" w:history="1">
            <w:r w:rsidR="00AD4BB7" w:rsidRPr="00EE26F4">
              <w:rPr>
                <w:rStyle w:val="Hyperlink"/>
                <w:noProof/>
              </w:rPr>
              <w:t>Dosage selection for the pivotal studies</w:t>
            </w:r>
            <w:r w:rsidR="00AD4BB7">
              <w:rPr>
                <w:noProof/>
                <w:webHidden/>
              </w:rPr>
              <w:tab/>
            </w:r>
            <w:r w:rsidR="00AD4BB7">
              <w:rPr>
                <w:noProof/>
                <w:webHidden/>
              </w:rPr>
              <w:fldChar w:fldCharType="begin"/>
            </w:r>
            <w:r w:rsidR="00AD4BB7">
              <w:rPr>
                <w:noProof/>
                <w:webHidden/>
              </w:rPr>
              <w:instrText xml:space="preserve"> PAGEREF _Toc412706472 \h </w:instrText>
            </w:r>
            <w:r w:rsidR="00AD4BB7">
              <w:rPr>
                <w:noProof/>
                <w:webHidden/>
              </w:rPr>
            </w:r>
            <w:r w:rsidR="00AD4BB7">
              <w:rPr>
                <w:noProof/>
                <w:webHidden/>
              </w:rPr>
              <w:fldChar w:fldCharType="separate"/>
            </w:r>
            <w:r w:rsidR="00AD4BB7">
              <w:rPr>
                <w:noProof/>
                <w:webHidden/>
              </w:rPr>
              <w:t>18</w:t>
            </w:r>
            <w:r w:rsidR="00AD4BB7">
              <w:rPr>
                <w:noProof/>
                <w:webHidden/>
              </w:rPr>
              <w:fldChar w:fldCharType="end"/>
            </w:r>
          </w:hyperlink>
        </w:p>
        <w:p w:rsidR="00AD4BB7" w:rsidRDefault="008B6B24">
          <w:pPr>
            <w:pStyle w:val="TOC3"/>
            <w:rPr>
              <w:rFonts w:asciiTheme="minorHAnsi" w:eastAsiaTheme="minorEastAsia" w:hAnsiTheme="minorHAnsi" w:cstheme="minorBidi"/>
              <w:noProof/>
              <w:lang w:eastAsia="en-AU"/>
            </w:rPr>
          </w:pPr>
          <w:hyperlink w:anchor="_Toc412706473" w:history="1">
            <w:r w:rsidR="00AD4BB7" w:rsidRPr="00EE26F4">
              <w:rPr>
                <w:rStyle w:val="Hyperlink"/>
                <w:noProof/>
              </w:rPr>
              <w:t>Efficacy</w:t>
            </w:r>
            <w:r w:rsidR="00AD4BB7">
              <w:rPr>
                <w:noProof/>
                <w:webHidden/>
              </w:rPr>
              <w:tab/>
            </w:r>
            <w:r w:rsidR="00AD4BB7">
              <w:rPr>
                <w:noProof/>
                <w:webHidden/>
              </w:rPr>
              <w:fldChar w:fldCharType="begin"/>
            </w:r>
            <w:r w:rsidR="00AD4BB7">
              <w:rPr>
                <w:noProof/>
                <w:webHidden/>
              </w:rPr>
              <w:instrText xml:space="preserve"> PAGEREF _Toc412706473 \h </w:instrText>
            </w:r>
            <w:r w:rsidR="00AD4BB7">
              <w:rPr>
                <w:noProof/>
                <w:webHidden/>
              </w:rPr>
            </w:r>
            <w:r w:rsidR="00AD4BB7">
              <w:rPr>
                <w:noProof/>
                <w:webHidden/>
              </w:rPr>
              <w:fldChar w:fldCharType="separate"/>
            </w:r>
            <w:r w:rsidR="00AD4BB7">
              <w:rPr>
                <w:noProof/>
                <w:webHidden/>
              </w:rPr>
              <w:t>18</w:t>
            </w:r>
            <w:r w:rsidR="00AD4BB7">
              <w:rPr>
                <w:noProof/>
                <w:webHidden/>
              </w:rPr>
              <w:fldChar w:fldCharType="end"/>
            </w:r>
          </w:hyperlink>
        </w:p>
        <w:p w:rsidR="00AD4BB7" w:rsidRDefault="008B6B24">
          <w:pPr>
            <w:pStyle w:val="TOC3"/>
            <w:rPr>
              <w:rFonts w:asciiTheme="minorHAnsi" w:eastAsiaTheme="minorEastAsia" w:hAnsiTheme="minorHAnsi" w:cstheme="minorBidi"/>
              <w:noProof/>
              <w:lang w:eastAsia="en-AU"/>
            </w:rPr>
          </w:pPr>
          <w:hyperlink w:anchor="_Toc412706474" w:history="1">
            <w:r w:rsidR="00AD4BB7" w:rsidRPr="00EE26F4">
              <w:rPr>
                <w:rStyle w:val="Hyperlink"/>
                <w:noProof/>
              </w:rPr>
              <w:t>Safety</w:t>
            </w:r>
            <w:r w:rsidR="00AD4BB7">
              <w:rPr>
                <w:noProof/>
                <w:webHidden/>
              </w:rPr>
              <w:tab/>
            </w:r>
            <w:r w:rsidR="00AD4BB7">
              <w:rPr>
                <w:noProof/>
                <w:webHidden/>
              </w:rPr>
              <w:fldChar w:fldCharType="begin"/>
            </w:r>
            <w:r w:rsidR="00AD4BB7">
              <w:rPr>
                <w:noProof/>
                <w:webHidden/>
              </w:rPr>
              <w:instrText xml:space="preserve"> PAGEREF _Toc412706474 \h </w:instrText>
            </w:r>
            <w:r w:rsidR="00AD4BB7">
              <w:rPr>
                <w:noProof/>
                <w:webHidden/>
              </w:rPr>
            </w:r>
            <w:r w:rsidR="00AD4BB7">
              <w:rPr>
                <w:noProof/>
                <w:webHidden/>
              </w:rPr>
              <w:fldChar w:fldCharType="separate"/>
            </w:r>
            <w:r w:rsidR="00AD4BB7">
              <w:rPr>
                <w:noProof/>
                <w:webHidden/>
              </w:rPr>
              <w:t>20</w:t>
            </w:r>
            <w:r w:rsidR="00AD4BB7">
              <w:rPr>
                <w:noProof/>
                <w:webHidden/>
              </w:rPr>
              <w:fldChar w:fldCharType="end"/>
            </w:r>
          </w:hyperlink>
        </w:p>
        <w:p w:rsidR="00AD4BB7" w:rsidRDefault="008B6B24">
          <w:pPr>
            <w:pStyle w:val="TOC3"/>
            <w:rPr>
              <w:rFonts w:asciiTheme="minorHAnsi" w:eastAsiaTheme="minorEastAsia" w:hAnsiTheme="minorHAnsi" w:cstheme="minorBidi"/>
              <w:noProof/>
              <w:lang w:eastAsia="en-AU"/>
            </w:rPr>
          </w:pPr>
          <w:hyperlink w:anchor="_Toc412706475" w:history="1">
            <w:r w:rsidR="00AD4BB7" w:rsidRPr="00EE26F4">
              <w:rPr>
                <w:rStyle w:val="Hyperlink"/>
                <w:noProof/>
              </w:rPr>
              <w:t>First round benefit-risk assessment</w:t>
            </w:r>
            <w:r w:rsidR="00AD4BB7">
              <w:rPr>
                <w:noProof/>
                <w:webHidden/>
              </w:rPr>
              <w:tab/>
            </w:r>
            <w:r w:rsidR="00AD4BB7">
              <w:rPr>
                <w:noProof/>
                <w:webHidden/>
              </w:rPr>
              <w:fldChar w:fldCharType="begin"/>
            </w:r>
            <w:r w:rsidR="00AD4BB7">
              <w:rPr>
                <w:noProof/>
                <w:webHidden/>
              </w:rPr>
              <w:instrText xml:space="preserve"> PAGEREF _Toc412706475 \h </w:instrText>
            </w:r>
            <w:r w:rsidR="00AD4BB7">
              <w:rPr>
                <w:noProof/>
                <w:webHidden/>
              </w:rPr>
            </w:r>
            <w:r w:rsidR="00AD4BB7">
              <w:rPr>
                <w:noProof/>
                <w:webHidden/>
              </w:rPr>
              <w:fldChar w:fldCharType="separate"/>
            </w:r>
            <w:r w:rsidR="00AD4BB7">
              <w:rPr>
                <w:noProof/>
                <w:webHidden/>
              </w:rPr>
              <w:t>25</w:t>
            </w:r>
            <w:r w:rsidR="00AD4BB7">
              <w:rPr>
                <w:noProof/>
                <w:webHidden/>
              </w:rPr>
              <w:fldChar w:fldCharType="end"/>
            </w:r>
          </w:hyperlink>
        </w:p>
        <w:p w:rsidR="00AD4BB7" w:rsidRDefault="008B6B24">
          <w:pPr>
            <w:pStyle w:val="TOC3"/>
            <w:rPr>
              <w:rFonts w:asciiTheme="minorHAnsi" w:eastAsiaTheme="minorEastAsia" w:hAnsiTheme="minorHAnsi" w:cstheme="minorBidi"/>
              <w:noProof/>
              <w:lang w:eastAsia="en-AU"/>
            </w:rPr>
          </w:pPr>
          <w:hyperlink w:anchor="_Toc412706476" w:history="1">
            <w:r w:rsidR="00AD4BB7" w:rsidRPr="00EE26F4">
              <w:rPr>
                <w:rStyle w:val="Hyperlink"/>
                <w:noProof/>
              </w:rPr>
              <w:t>First round recommendation regarding authorisation</w:t>
            </w:r>
            <w:r w:rsidR="00AD4BB7">
              <w:rPr>
                <w:noProof/>
                <w:webHidden/>
              </w:rPr>
              <w:tab/>
            </w:r>
            <w:r w:rsidR="00AD4BB7">
              <w:rPr>
                <w:noProof/>
                <w:webHidden/>
              </w:rPr>
              <w:fldChar w:fldCharType="begin"/>
            </w:r>
            <w:r w:rsidR="00AD4BB7">
              <w:rPr>
                <w:noProof/>
                <w:webHidden/>
              </w:rPr>
              <w:instrText xml:space="preserve"> PAGEREF _Toc412706476 \h </w:instrText>
            </w:r>
            <w:r w:rsidR="00AD4BB7">
              <w:rPr>
                <w:noProof/>
                <w:webHidden/>
              </w:rPr>
            </w:r>
            <w:r w:rsidR="00AD4BB7">
              <w:rPr>
                <w:noProof/>
                <w:webHidden/>
              </w:rPr>
              <w:fldChar w:fldCharType="separate"/>
            </w:r>
            <w:r w:rsidR="00AD4BB7">
              <w:rPr>
                <w:noProof/>
                <w:webHidden/>
              </w:rPr>
              <w:t>25</w:t>
            </w:r>
            <w:r w:rsidR="00AD4BB7">
              <w:rPr>
                <w:noProof/>
                <w:webHidden/>
              </w:rPr>
              <w:fldChar w:fldCharType="end"/>
            </w:r>
          </w:hyperlink>
        </w:p>
        <w:p w:rsidR="00AD4BB7" w:rsidRDefault="008B6B24">
          <w:pPr>
            <w:pStyle w:val="TOC3"/>
            <w:rPr>
              <w:rFonts w:asciiTheme="minorHAnsi" w:eastAsiaTheme="minorEastAsia" w:hAnsiTheme="minorHAnsi" w:cstheme="minorBidi"/>
              <w:noProof/>
              <w:lang w:eastAsia="en-AU"/>
            </w:rPr>
          </w:pPr>
          <w:hyperlink w:anchor="_Toc412706477" w:history="1">
            <w:r w:rsidR="00AD4BB7" w:rsidRPr="00EE26F4">
              <w:rPr>
                <w:rStyle w:val="Hyperlink"/>
                <w:noProof/>
              </w:rPr>
              <w:t>Clinical questions</w:t>
            </w:r>
            <w:r w:rsidR="00AD4BB7">
              <w:rPr>
                <w:noProof/>
                <w:webHidden/>
              </w:rPr>
              <w:tab/>
            </w:r>
            <w:r w:rsidR="00AD4BB7">
              <w:rPr>
                <w:noProof/>
                <w:webHidden/>
              </w:rPr>
              <w:fldChar w:fldCharType="begin"/>
            </w:r>
            <w:r w:rsidR="00AD4BB7">
              <w:rPr>
                <w:noProof/>
                <w:webHidden/>
              </w:rPr>
              <w:instrText xml:space="preserve"> PAGEREF _Toc412706477 \h </w:instrText>
            </w:r>
            <w:r w:rsidR="00AD4BB7">
              <w:rPr>
                <w:noProof/>
                <w:webHidden/>
              </w:rPr>
            </w:r>
            <w:r w:rsidR="00AD4BB7">
              <w:rPr>
                <w:noProof/>
                <w:webHidden/>
              </w:rPr>
              <w:fldChar w:fldCharType="separate"/>
            </w:r>
            <w:r w:rsidR="00AD4BB7">
              <w:rPr>
                <w:noProof/>
                <w:webHidden/>
              </w:rPr>
              <w:t>26</w:t>
            </w:r>
            <w:r w:rsidR="00AD4BB7">
              <w:rPr>
                <w:noProof/>
                <w:webHidden/>
              </w:rPr>
              <w:fldChar w:fldCharType="end"/>
            </w:r>
          </w:hyperlink>
        </w:p>
        <w:p w:rsidR="00AD4BB7" w:rsidRDefault="008B6B24">
          <w:pPr>
            <w:pStyle w:val="TOC3"/>
            <w:rPr>
              <w:rFonts w:asciiTheme="minorHAnsi" w:eastAsiaTheme="minorEastAsia" w:hAnsiTheme="minorHAnsi" w:cstheme="minorBidi"/>
              <w:noProof/>
              <w:lang w:eastAsia="en-AU"/>
            </w:rPr>
          </w:pPr>
          <w:hyperlink w:anchor="_Toc412706478" w:history="1">
            <w:r w:rsidR="00AD4BB7" w:rsidRPr="00EE26F4">
              <w:rPr>
                <w:rStyle w:val="Hyperlink"/>
                <w:noProof/>
              </w:rPr>
              <w:t>Second round evaluation of clinical data submitted in response to questions</w:t>
            </w:r>
            <w:r w:rsidR="00AD4BB7">
              <w:rPr>
                <w:noProof/>
                <w:webHidden/>
              </w:rPr>
              <w:tab/>
            </w:r>
            <w:r w:rsidR="00AD4BB7">
              <w:rPr>
                <w:noProof/>
                <w:webHidden/>
              </w:rPr>
              <w:fldChar w:fldCharType="begin"/>
            </w:r>
            <w:r w:rsidR="00AD4BB7">
              <w:rPr>
                <w:noProof/>
                <w:webHidden/>
              </w:rPr>
              <w:instrText xml:space="preserve"> PAGEREF _Toc412706478 \h </w:instrText>
            </w:r>
            <w:r w:rsidR="00AD4BB7">
              <w:rPr>
                <w:noProof/>
                <w:webHidden/>
              </w:rPr>
            </w:r>
            <w:r w:rsidR="00AD4BB7">
              <w:rPr>
                <w:noProof/>
                <w:webHidden/>
              </w:rPr>
              <w:fldChar w:fldCharType="separate"/>
            </w:r>
            <w:r w:rsidR="00AD4BB7">
              <w:rPr>
                <w:noProof/>
                <w:webHidden/>
              </w:rPr>
              <w:t>26</w:t>
            </w:r>
            <w:r w:rsidR="00AD4BB7">
              <w:rPr>
                <w:noProof/>
                <w:webHidden/>
              </w:rPr>
              <w:fldChar w:fldCharType="end"/>
            </w:r>
          </w:hyperlink>
        </w:p>
        <w:p w:rsidR="00AD4BB7" w:rsidRDefault="008B6B24">
          <w:pPr>
            <w:pStyle w:val="TOC3"/>
            <w:rPr>
              <w:rFonts w:asciiTheme="minorHAnsi" w:eastAsiaTheme="minorEastAsia" w:hAnsiTheme="minorHAnsi" w:cstheme="minorBidi"/>
              <w:noProof/>
              <w:lang w:eastAsia="en-AU"/>
            </w:rPr>
          </w:pPr>
          <w:hyperlink w:anchor="_Toc412706479" w:history="1">
            <w:r w:rsidR="00AD4BB7" w:rsidRPr="00EE26F4">
              <w:rPr>
                <w:rStyle w:val="Hyperlink"/>
                <w:noProof/>
              </w:rPr>
              <w:t>Second round benefit-risk assessment</w:t>
            </w:r>
            <w:r w:rsidR="00AD4BB7">
              <w:rPr>
                <w:noProof/>
                <w:webHidden/>
              </w:rPr>
              <w:tab/>
            </w:r>
            <w:r w:rsidR="00AD4BB7">
              <w:rPr>
                <w:noProof/>
                <w:webHidden/>
              </w:rPr>
              <w:fldChar w:fldCharType="begin"/>
            </w:r>
            <w:r w:rsidR="00AD4BB7">
              <w:rPr>
                <w:noProof/>
                <w:webHidden/>
              </w:rPr>
              <w:instrText xml:space="preserve"> PAGEREF _Toc412706479 \h </w:instrText>
            </w:r>
            <w:r w:rsidR="00AD4BB7">
              <w:rPr>
                <w:noProof/>
                <w:webHidden/>
              </w:rPr>
            </w:r>
            <w:r w:rsidR="00AD4BB7">
              <w:rPr>
                <w:noProof/>
                <w:webHidden/>
              </w:rPr>
              <w:fldChar w:fldCharType="separate"/>
            </w:r>
            <w:r w:rsidR="00AD4BB7">
              <w:rPr>
                <w:noProof/>
                <w:webHidden/>
              </w:rPr>
              <w:t>31</w:t>
            </w:r>
            <w:r w:rsidR="00AD4BB7">
              <w:rPr>
                <w:noProof/>
                <w:webHidden/>
              </w:rPr>
              <w:fldChar w:fldCharType="end"/>
            </w:r>
          </w:hyperlink>
        </w:p>
        <w:p w:rsidR="00AD4BB7" w:rsidRDefault="008B6B24">
          <w:pPr>
            <w:pStyle w:val="TOC3"/>
            <w:rPr>
              <w:rFonts w:asciiTheme="minorHAnsi" w:eastAsiaTheme="minorEastAsia" w:hAnsiTheme="minorHAnsi" w:cstheme="minorBidi"/>
              <w:noProof/>
              <w:lang w:eastAsia="en-AU"/>
            </w:rPr>
          </w:pPr>
          <w:hyperlink w:anchor="_Toc412706480" w:history="1">
            <w:r w:rsidR="00AD4BB7" w:rsidRPr="00EE26F4">
              <w:rPr>
                <w:rStyle w:val="Hyperlink"/>
                <w:noProof/>
              </w:rPr>
              <w:t>Second round assessment of benefit-risk balance</w:t>
            </w:r>
            <w:r w:rsidR="00AD4BB7">
              <w:rPr>
                <w:noProof/>
                <w:webHidden/>
              </w:rPr>
              <w:tab/>
            </w:r>
            <w:r w:rsidR="00AD4BB7">
              <w:rPr>
                <w:noProof/>
                <w:webHidden/>
              </w:rPr>
              <w:fldChar w:fldCharType="begin"/>
            </w:r>
            <w:r w:rsidR="00AD4BB7">
              <w:rPr>
                <w:noProof/>
                <w:webHidden/>
              </w:rPr>
              <w:instrText xml:space="preserve"> PAGEREF _Toc412706480 \h </w:instrText>
            </w:r>
            <w:r w:rsidR="00AD4BB7">
              <w:rPr>
                <w:noProof/>
                <w:webHidden/>
              </w:rPr>
            </w:r>
            <w:r w:rsidR="00AD4BB7">
              <w:rPr>
                <w:noProof/>
                <w:webHidden/>
              </w:rPr>
              <w:fldChar w:fldCharType="separate"/>
            </w:r>
            <w:r w:rsidR="00AD4BB7">
              <w:rPr>
                <w:noProof/>
                <w:webHidden/>
              </w:rPr>
              <w:t>31</w:t>
            </w:r>
            <w:r w:rsidR="00AD4BB7">
              <w:rPr>
                <w:noProof/>
                <w:webHidden/>
              </w:rPr>
              <w:fldChar w:fldCharType="end"/>
            </w:r>
          </w:hyperlink>
        </w:p>
        <w:p w:rsidR="00AD4BB7" w:rsidRDefault="008B6B24">
          <w:pPr>
            <w:pStyle w:val="TOC2"/>
            <w:rPr>
              <w:rFonts w:asciiTheme="minorHAnsi" w:eastAsiaTheme="minorEastAsia" w:hAnsiTheme="minorHAnsi" w:cstheme="minorBidi"/>
              <w:b w:val="0"/>
              <w:noProof/>
              <w:sz w:val="22"/>
              <w:lang w:eastAsia="en-AU"/>
            </w:rPr>
          </w:pPr>
          <w:hyperlink w:anchor="_Toc412706481" w:history="1">
            <w:r w:rsidR="00AD4BB7" w:rsidRPr="00EE26F4">
              <w:rPr>
                <w:rStyle w:val="Hyperlink"/>
                <w:noProof/>
              </w:rPr>
              <w:t>Second round recommendation regarding authorisation</w:t>
            </w:r>
            <w:r w:rsidR="00AD4BB7">
              <w:rPr>
                <w:noProof/>
                <w:webHidden/>
              </w:rPr>
              <w:tab/>
            </w:r>
            <w:r w:rsidR="00AD4BB7">
              <w:rPr>
                <w:noProof/>
                <w:webHidden/>
              </w:rPr>
              <w:fldChar w:fldCharType="begin"/>
            </w:r>
            <w:r w:rsidR="00AD4BB7">
              <w:rPr>
                <w:noProof/>
                <w:webHidden/>
              </w:rPr>
              <w:instrText xml:space="preserve"> PAGEREF _Toc412706481 \h </w:instrText>
            </w:r>
            <w:r w:rsidR="00AD4BB7">
              <w:rPr>
                <w:noProof/>
                <w:webHidden/>
              </w:rPr>
            </w:r>
            <w:r w:rsidR="00AD4BB7">
              <w:rPr>
                <w:noProof/>
                <w:webHidden/>
              </w:rPr>
              <w:fldChar w:fldCharType="separate"/>
            </w:r>
            <w:r w:rsidR="00AD4BB7">
              <w:rPr>
                <w:noProof/>
                <w:webHidden/>
              </w:rPr>
              <w:t>31</w:t>
            </w:r>
            <w:r w:rsidR="00AD4BB7">
              <w:rPr>
                <w:noProof/>
                <w:webHidden/>
              </w:rPr>
              <w:fldChar w:fldCharType="end"/>
            </w:r>
          </w:hyperlink>
        </w:p>
        <w:p w:rsidR="00AD4BB7" w:rsidRDefault="008B6B24">
          <w:pPr>
            <w:pStyle w:val="TOC2"/>
            <w:rPr>
              <w:rFonts w:asciiTheme="minorHAnsi" w:eastAsiaTheme="minorEastAsia" w:hAnsiTheme="minorHAnsi" w:cstheme="minorBidi"/>
              <w:b w:val="0"/>
              <w:noProof/>
              <w:sz w:val="22"/>
              <w:lang w:eastAsia="en-AU"/>
            </w:rPr>
          </w:pPr>
          <w:hyperlink w:anchor="_Toc412706482" w:history="1">
            <w:r w:rsidR="00AD4BB7" w:rsidRPr="00EE26F4">
              <w:rPr>
                <w:rStyle w:val="Hyperlink"/>
                <w:noProof/>
              </w:rPr>
              <w:t>V. Pharmacovigilance findings</w:t>
            </w:r>
            <w:r w:rsidR="00AD4BB7">
              <w:rPr>
                <w:noProof/>
                <w:webHidden/>
              </w:rPr>
              <w:tab/>
            </w:r>
            <w:r w:rsidR="00AD4BB7">
              <w:rPr>
                <w:noProof/>
                <w:webHidden/>
              </w:rPr>
              <w:fldChar w:fldCharType="begin"/>
            </w:r>
            <w:r w:rsidR="00AD4BB7">
              <w:rPr>
                <w:noProof/>
                <w:webHidden/>
              </w:rPr>
              <w:instrText xml:space="preserve"> PAGEREF _Toc412706482 \h </w:instrText>
            </w:r>
            <w:r w:rsidR="00AD4BB7">
              <w:rPr>
                <w:noProof/>
                <w:webHidden/>
              </w:rPr>
            </w:r>
            <w:r w:rsidR="00AD4BB7">
              <w:rPr>
                <w:noProof/>
                <w:webHidden/>
              </w:rPr>
              <w:fldChar w:fldCharType="separate"/>
            </w:r>
            <w:r w:rsidR="00AD4BB7">
              <w:rPr>
                <w:noProof/>
                <w:webHidden/>
              </w:rPr>
              <w:t>32</w:t>
            </w:r>
            <w:r w:rsidR="00AD4BB7">
              <w:rPr>
                <w:noProof/>
                <w:webHidden/>
              </w:rPr>
              <w:fldChar w:fldCharType="end"/>
            </w:r>
          </w:hyperlink>
        </w:p>
        <w:p w:rsidR="00AD4BB7" w:rsidRDefault="008B6B24">
          <w:pPr>
            <w:pStyle w:val="TOC3"/>
            <w:rPr>
              <w:rFonts w:asciiTheme="minorHAnsi" w:eastAsiaTheme="minorEastAsia" w:hAnsiTheme="minorHAnsi" w:cstheme="minorBidi"/>
              <w:noProof/>
              <w:lang w:eastAsia="en-AU"/>
            </w:rPr>
          </w:pPr>
          <w:hyperlink w:anchor="_Toc412706483" w:history="1">
            <w:r w:rsidR="00AD4BB7" w:rsidRPr="00EE26F4">
              <w:rPr>
                <w:rStyle w:val="Hyperlink"/>
                <w:noProof/>
                <w:lang w:eastAsia="en-AU"/>
              </w:rPr>
              <w:t>Risk management plan</w:t>
            </w:r>
            <w:r w:rsidR="00AD4BB7">
              <w:rPr>
                <w:noProof/>
                <w:webHidden/>
              </w:rPr>
              <w:tab/>
            </w:r>
            <w:r w:rsidR="00AD4BB7">
              <w:rPr>
                <w:noProof/>
                <w:webHidden/>
              </w:rPr>
              <w:fldChar w:fldCharType="begin"/>
            </w:r>
            <w:r w:rsidR="00AD4BB7">
              <w:rPr>
                <w:noProof/>
                <w:webHidden/>
              </w:rPr>
              <w:instrText xml:space="preserve"> PAGEREF _Toc412706483 \h </w:instrText>
            </w:r>
            <w:r w:rsidR="00AD4BB7">
              <w:rPr>
                <w:noProof/>
                <w:webHidden/>
              </w:rPr>
            </w:r>
            <w:r w:rsidR="00AD4BB7">
              <w:rPr>
                <w:noProof/>
                <w:webHidden/>
              </w:rPr>
              <w:fldChar w:fldCharType="separate"/>
            </w:r>
            <w:r w:rsidR="00AD4BB7">
              <w:rPr>
                <w:noProof/>
                <w:webHidden/>
              </w:rPr>
              <w:t>32</w:t>
            </w:r>
            <w:r w:rsidR="00AD4BB7">
              <w:rPr>
                <w:noProof/>
                <w:webHidden/>
              </w:rPr>
              <w:fldChar w:fldCharType="end"/>
            </w:r>
          </w:hyperlink>
        </w:p>
        <w:p w:rsidR="00AD4BB7" w:rsidRDefault="008B6B24">
          <w:pPr>
            <w:pStyle w:val="TOC2"/>
            <w:rPr>
              <w:rFonts w:asciiTheme="minorHAnsi" w:eastAsiaTheme="minorEastAsia" w:hAnsiTheme="minorHAnsi" w:cstheme="minorBidi"/>
              <w:b w:val="0"/>
              <w:noProof/>
              <w:sz w:val="22"/>
              <w:lang w:eastAsia="en-AU"/>
            </w:rPr>
          </w:pPr>
          <w:hyperlink w:anchor="_Toc412706484" w:history="1">
            <w:r w:rsidR="00AD4BB7" w:rsidRPr="00EE26F4">
              <w:rPr>
                <w:rStyle w:val="Hyperlink"/>
                <w:noProof/>
              </w:rPr>
              <w:t>VI. Overall conclusion and risk/benefit assessment</w:t>
            </w:r>
            <w:r w:rsidR="00AD4BB7">
              <w:rPr>
                <w:noProof/>
                <w:webHidden/>
              </w:rPr>
              <w:tab/>
            </w:r>
            <w:r w:rsidR="00AD4BB7">
              <w:rPr>
                <w:noProof/>
                <w:webHidden/>
              </w:rPr>
              <w:fldChar w:fldCharType="begin"/>
            </w:r>
            <w:r w:rsidR="00AD4BB7">
              <w:rPr>
                <w:noProof/>
                <w:webHidden/>
              </w:rPr>
              <w:instrText xml:space="preserve"> PAGEREF _Toc412706484 \h </w:instrText>
            </w:r>
            <w:r w:rsidR="00AD4BB7">
              <w:rPr>
                <w:noProof/>
                <w:webHidden/>
              </w:rPr>
            </w:r>
            <w:r w:rsidR="00AD4BB7">
              <w:rPr>
                <w:noProof/>
                <w:webHidden/>
              </w:rPr>
              <w:fldChar w:fldCharType="separate"/>
            </w:r>
            <w:r w:rsidR="00AD4BB7">
              <w:rPr>
                <w:noProof/>
                <w:webHidden/>
              </w:rPr>
              <w:t>37</w:t>
            </w:r>
            <w:r w:rsidR="00AD4BB7">
              <w:rPr>
                <w:noProof/>
                <w:webHidden/>
              </w:rPr>
              <w:fldChar w:fldCharType="end"/>
            </w:r>
          </w:hyperlink>
        </w:p>
        <w:p w:rsidR="00AD4BB7" w:rsidRDefault="008B6B24">
          <w:pPr>
            <w:pStyle w:val="TOC3"/>
            <w:rPr>
              <w:rFonts w:asciiTheme="minorHAnsi" w:eastAsiaTheme="minorEastAsia" w:hAnsiTheme="minorHAnsi" w:cstheme="minorBidi"/>
              <w:noProof/>
              <w:lang w:eastAsia="en-AU"/>
            </w:rPr>
          </w:pPr>
          <w:hyperlink w:anchor="_Toc412706485" w:history="1">
            <w:r w:rsidR="00AD4BB7" w:rsidRPr="00EE26F4">
              <w:rPr>
                <w:rStyle w:val="Hyperlink"/>
                <w:noProof/>
              </w:rPr>
              <w:t>Introduction</w:t>
            </w:r>
            <w:r w:rsidR="00AD4BB7">
              <w:rPr>
                <w:noProof/>
                <w:webHidden/>
              </w:rPr>
              <w:tab/>
            </w:r>
            <w:r w:rsidR="00AD4BB7">
              <w:rPr>
                <w:noProof/>
                <w:webHidden/>
              </w:rPr>
              <w:fldChar w:fldCharType="begin"/>
            </w:r>
            <w:r w:rsidR="00AD4BB7">
              <w:rPr>
                <w:noProof/>
                <w:webHidden/>
              </w:rPr>
              <w:instrText xml:space="preserve"> PAGEREF _Toc412706485 \h </w:instrText>
            </w:r>
            <w:r w:rsidR="00AD4BB7">
              <w:rPr>
                <w:noProof/>
                <w:webHidden/>
              </w:rPr>
            </w:r>
            <w:r w:rsidR="00AD4BB7">
              <w:rPr>
                <w:noProof/>
                <w:webHidden/>
              </w:rPr>
              <w:fldChar w:fldCharType="separate"/>
            </w:r>
            <w:r w:rsidR="00AD4BB7">
              <w:rPr>
                <w:noProof/>
                <w:webHidden/>
              </w:rPr>
              <w:t>37</w:t>
            </w:r>
            <w:r w:rsidR="00AD4BB7">
              <w:rPr>
                <w:noProof/>
                <w:webHidden/>
              </w:rPr>
              <w:fldChar w:fldCharType="end"/>
            </w:r>
          </w:hyperlink>
        </w:p>
        <w:p w:rsidR="00AD4BB7" w:rsidRDefault="008B6B24">
          <w:pPr>
            <w:pStyle w:val="TOC3"/>
            <w:rPr>
              <w:rFonts w:asciiTheme="minorHAnsi" w:eastAsiaTheme="minorEastAsia" w:hAnsiTheme="minorHAnsi" w:cstheme="minorBidi"/>
              <w:noProof/>
              <w:lang w:eastAsia="en-AU"/>
            </w:rPr>
          </w:pPr>
          <w:hyperlink w:anchor="_Toc412706486" w:history="1">
            <w:r w:rsidR="00AD4BB7" w:rsidRPr="00EE26F4">
              <w:rPr>
                <w:rStyle w:val="Hyperlink"/>
                <w:noProof/>
              </w:rPr>
              <w:t>Quality</w:t>
            </w:r>
            <w:r w:rsidR="00AD4BB7">
              <w:rPr>
                <w:noProof/>
                <w:webHidden/>
              </w:rPr>
              <w:tab/>
            </w:r>
            <w:r w:rsidR="00AD4BB7">
              <w:rPr>
                <w:noProof/>
                <w:webHidden/>
              </w:rPr>
              <w:fldChar w:fldCharType="begin"/>
            </w:r>
            <w:r w:rsidR="00AD4BB7">
              <w:rPr>
                <w:noProof/>
                <w:webHidden/>
              </w:rPr>
              <w:instrText xml:space="preserve"> PAGEREF _Toc412706486 \h </w:instrText>
            </w:r>
            <w:r w:rsidR="00AD4BB7">
              <w:rPr>
                <w:noProof/>
                <w:webHidden/>
              </w:rPr>
            </w:r>
            <w:r w:rsidR="00AD4BB7">
              <w:rPr>
                <w:noProof/>
                <w:webHidden/>
              </w:rPr>
              <w:fldChar w:fldCharType="separate"/>
            </w:r>
            <w:r w:rsidR="00AD4BB7">
              <w:rPr>
                <w:noProof/>
                <w:webHidden/>
              </w:rPr>
              <w:t>38</w:t>
            </w:r>
            <w:r w:rsidR="00AD4BB7">
              <w:rPr>
                <w:noProof/>
                <w:webHidden/>
              </w:rPr>
              <w:fldChar w:fldCharType="end"/>
            </w:r>
          </w:hyperlink>
        </w:p>
        <w:p w:rsidR="00AD4BB7" w:rsidRDefault="008B6B24">
          <w:pPr>
            <w:pStyle w:val="TOC3"/>
            <w:rPr>
              <w:rFonts w:asciiTheme="minorHAnsi" w:eastAsiaTheme="minorEastAsia" w:hAnsiTheme="minorHAnsi" w:cstheme="minorBidi"/>
              <w:noProof/>
              <w:lang w:eastAsia="en-AU"/>
            </w:rPr>
          </w:pPr>
          <w:hyperlink w:anchor="_Toc412706487" w:history="1">
            <w:r w:rsidR="00AD4BB7" w:rsidRPr="00EE26F4">
              <w:rPr>
                <w:rStyle w:val="Hyperlink"/>
                <w:noProof/>
              </w:rPr>
              <w:t>Nonclinical</w:t>
            </w:r>
            <w:r w:rsidR="00AD4BB7">
              <w:rPr>
                <w:noProof/>
                <w:webHidden/>
              </w:rPr>
              <w:tab/>
            </w:r>
            <w:r w:rsidR="00AD4BB7">
              <w:rPr>
                <w:noProof/>
                <w:webHidden/>
              </w:rPr>
              <w:fldChar w:fldCharType="begin"/>
            </w:r>
            <w:r w:rsidR="00AD4BB7">
              <w:rPr>
                <w:noProof/>
                <w:webHidden/>
              </w:rPr>
              <w:instrText xml:space="preserve"> PAGEREF _Toc412706487 \h </w:instrText>
            </w:r>
            <w:r w:rsidR="00AD4BB7">
              <w:rPr>
                <w:noProof/>
                <w:webHidden/>
              </w:rPr>
            </w:r>
            <w:r w:rsidR="00AD4BB7">
              <w:rPr>
                <w:noProof/>
                <w:webHidden/>
              </w:rPr>
              <w:fldChar w:fldCharType="separate"/>
            </w:r>
            <w:r w:rsidR="00AD4BB7">
              <w:rPr>
                <w:noProof/>
                <w:webHidden/>
              </w:rPr>
              <w:t>38</w:t>
            </w:r>
            <w:r w:rsidR="00AD4BB7">
              <w:rPr>
                <w:noProof/>
                <w:webHidden/>
              </w:rPr>
              <w:fldChar w:fldCharType="end"/>
            </w:r>
          </w:hyperlink>
        </w:p>
        <w:p w:rsidR="00AD4BB7" w:rsidRDefault="008B6B24">
          <w:pPr>
            <w:pStyle w:val="TOC3"/>
            <w:rPr>
              <w:rFonts w:asciiTheme="minorHAnsi" w:eastAsiaTheme="minorEastAsia" w:hAnsiTheme="minorHAnsi" w:cstheme="minorBidi"/>
              <w:noProof/>
              <w:lang w:eastAsia="en-AU"/>
            </w:rPr>
          </w:pPr>
          <w:hyperlink w:anchor="_Toc412706488" w:history="1">
            <w:r w:rsidR="00AD4BB7" w:rsidRPr="00EE26F4">
              <w:rPr>
                <w:rStyle w:val="Hyperlink"/>
                <w:noProof/>
              </w:rPr>
              <w:t>Clinical</w:t>
            </w:r>
            <w:r w:rsidR="00AD4BB7">
              <w:rPr>
                <w:noProof/>
                <w:webHidden/>
              </w:rPr>
              <w:tab/>
            </w:r>
            <w:r w:rsidR="00AD4BB7">
              <w:rPr>
                <w:noProof/>
                <w:webHidden/>
              </w:rPr>
              <w:fldChar w:fldCharType="begin"/>
            </w:r>
            <w:r w:rsidR="00AD4BB7">
              <w:rPr>
                <w:noProof/>
                <w:webHidden/>
              </w:rPr>
              <w:instrText xml:space="preserve"> PAGEREF _Toc412706488 \h </w:instrText>
            </w:r>
            <w:r w:rsidR="00AD4BB7">
              <w:rPr>
                <w:noProof/>
                <w:webHidden/>
              </w:rPr>
            </w:r>
            <w:r w:rsidR="00AD4BB7">
              <w:rPr>
                <w:noProof/>
                <w:webHidden/>
              </w:rPr>
              <w:fldChar w:fldCharType="separate"/>
            </w:r>
            <w:r w:rsidR="00AD4BB7">
              <w:rPr>
                <w:noProof/>
                <w:webHidden/>
              </w:rPr>
              <w:t>38</w:t>
            </w:r>
            <w:r w:rsidR="00AD4BB7">
              <w:rPr>
                <w:noProof/>
                <w:webHidden/>
              </w:rPr>
              <w:fldChar w:fldCharType="end"/>
            </w:r>
          </w:hyperlink>
        </w:p>
        <w:p w:rsidR="00AD4BB7" w:rsidRDefault="008B6B24">
          <w:pPr>
            <w:pStyle w:val="TOC3"/>
            <w:rPr>
              <w:rFonts w:asciiTheme="minorHAnsi" w:eastAsiaTheme="minorEastAsia" w:hAnsiTheme="minorHAnsi" w:cstheme="minorBidi"/>
              <w:noProof/>
              <w:lang w:eastAsia="en-AU"/>
            </w:rPr>
          </w:pPr>
          <w:hyperlink w:anchor="_Toc412706489" w:history="1">
            <w:r w:rsidR="00AD4BB7" w:rsidRPr="00EE26F4">
              <w:rPr>
                <w:rStyle w:val="Hyperlink"/>
                <w:noProof/>
                <w:lang w:eastAsia="en-AU"/>
              </w:rPr>
              <w:t>Risk management plan</w:t>
            </w:r>
            <w:r w:rsidR="00AD4BB7">
              <w:rPr>
                <w:noProof/>
                <w:webHidden/>
              </w:rPr>
              <w:tab/>
            </w:r>
            <w:r w:rsidR="00AD4BB7">
              <w:rPr>
                <w:noProof/>
                <w:webHidden/>
              </w:rPr>
              <w:fldChar w:fldCharType="begin"/>
            </w:r>
            <w:r w:rsidR="00AD4BB7">
              <w:rPr>
                <w:noProof/>
                <w:webHidden/>
              </w:rPr>
              <w:instrText xml:space="preserve"> PAGEREF _Toc412706489 \h </w:instrText>
            </w:r>
            <w:r w:rsidR="00AD4BB7">
              <w:rPr>
                <w:noProof/>
                <w:webHidden/>
              </w:rPr>
            </w:r>
            <w:r w:rsidR="00AD4BB7">
              <w:rPr>
                <w:noProof/>
                <w:webHidden/>
              </w:rPr>
              <w:fldChar w:fldCharType="separate"/>
            </w:r>
            <w:r w:rsidR="00AD4BB7">
              <w:rPr>
                <w:noProof/>
                <w:webHidden/>
              </w:rPr>
              <w:t>41</w:t>
            </w:r>
            <w:r w:rsidR="00AD4BB7">
              <w:rPr>
                <w:noProof/>
                <w:webHidden/>
              </w:rPr>
              <w:fldChar w:fldCharType="end"/>
            </w:r>
          </w:hyperlink>
        </w:p>
        <w:p w:rsidR="00AD4BB7" w:rsidRDefault="008B6B24">
          <w:pPr>
            <w:pStyle w:val="TOC3"/>
            <w:rPr>
              <w:rFonts w:asciiTheme="minorHAnsi" w:eastAsiaTheme="minorEastAsia" w:hAnsiTheme="minorHAnsi" w:cstheme="minorBidi"/>
              <w:noProof/>
              <w:lang w:eastAsia="en-AU"/>
            </w:rPr>
          </w:pPr>
          <w:hyperlink w:anchor="_Toc412706490" w:history="1">
            <w:r w:rsidR="00AD4BB7" w:rsidRPr="00EE26F4">
              <w:rPr>
                <w:rStyle w:val="Hyperlink"/>
                <w:noProof/>
              </w:rPr>
              <w:t>Risk-benefit analysis</w:t>
            </w:r>
            <w:r w:rsidR="00AD4BB7">
              <w:rPr>
                <w:noProof/>
                <w:webHidden/>
              </w:rPr>
              <w:tab/>
            </w:r>
            <w:r w:rsidR="00AD4BB7">
              <w:rPr>
                <w:noProof/>
                <w:webHidden/>
              </w:rPr>
              <w:fldChar w:fldCharType="begin"/>
            </w:r>
            <w:r w:rsidR="00AD4BB7">
              <w:rPr>
                <w:noProof/>
                <w:webHidden/>
              </w:rPr>
              <w:instrText xml:space="preserve"> PAGEREF _Toc412706490 \h </w:instrText>
            </w:r>
            <w:r w:rsidR="00AD4BB7">
              <w:rPr>
                <w:noProof/>
                <w:webHidden/>
              </w:rPr>
            </w:r>
            <w:r w:rsidR="00AD4BB7">
              <w:rPr>
                <w:noProof/>
                <w:webHidden/>
              </w:rPr>
              <w:fldChar w:fldCharType="separate"/>
            </w:r>
            <w:r w:rsidR="00AD4BB7">
              <w:rPr>
                <w:noProof/>
                <w:webHidden/>
              </w:rPr>
              <w:t>43</w:t>
            </w:r>
            <w:r w:rsidR="00AD4BB7">
              <w:rPr>
                <w:noProof/>
                <w:webHidden/>
              </w:rPr>
              <w:fldChar w:fldCharType="end"/>
            </w:r>
          </w:hyperlink>
        </w:p>
        <w:p w:rsidR="00AD4BB7" w:rsidRDefault="008B6B24">
          <w:pPr>
            <w:pStyle w:val="TOC3"/>
            <w:rPr>
              <w:rFonts w:asciiTheme="minorHAnsi" w:eastAsiaTheme="minorEastAsia" w:hAnsiTheme="minorHAnsi" w:cstheme="minorBidi"/>
              <w:noProof/>
              <w:lang w:eastAsia="en-AU"/>
            </w:rPr>
          </w:pPr>
          <w:hyperlink w:anchor="_Toc412706491" w:history="1">
            <w:r w:rsidR="00AD4BB7" w:rsidRPr="00EE26F4">
              <w:rPr>
                <w:rStyle w:val="Hyperlink"/>
                <w:noProof/>
              </w:rPr>
              <w:t>Outcome</w:t>
            </w:r>
            <w:r w:rsidR="00AD4BB7">
              <w:rPr>
                <w:noProof/>
                <w:webHidden/>
              </w:rPr>
              <w:tab/>
            </w:r>
            <w:r w:rsidR="00AD4BB7">
              <w:rPr>
                <w:noProof/>
                <w:webHidden/>
              </w:rPr>
              <w:fldChar w:fldCharType="begin"/>
            </w:r>
            <w:r w:rsidR="00AD4BB7">
              <w:rPr>
                <w:noProof/>
                <w:webHidden/>
              </w:rPr>
              <w:instrText xml:space="preserve"> PAGEREF _Toc412706491 \h </w:instrText>
            </w:r>
            <w:r w:rsidR="00AD4BB7">
              <w:rPr>
                <w:noProof/>
                <w:webHidden/>
              </w:rPr>
            </w:r>
            <w:r w:rsidR="00AD4BB7">
              <w:rPr>
                <w:noProof/>
                <w:webHidden/>
              </w:rPr>
              <w:fldChar w:fldCharType="separate"/>
            </w:r>
            <w:r w:rsidR="00AD4BB7">
              <w:rPr>
                <w:noProof/>
                <w:webHidden/>
              </w:rPr>
              <w:t>48</w:t>
            </w:r>
            <w:r w:rsidR="00AD4BB7">
              <w:rPr>
                <w:noProof/>
                <w:webHidden/>
              </w:rPr>
              <w:fldChar w:fldCharType="end"/>
            </w:r>
          </w:hyperlink>
        </w:p>
        <w:p w:rsidR="00AD4BB7" w:rsidRDefault="008B6B24">
          <w:pPr>
            <w:pStyle w:val="TOC2"/>
            <w:rPr>
              <w:rFonts w:asciiTheme="minorHAnsi" w:eastAsiaTheme="minorEastAsia" w:hAnsiTheme="minorHAnsi" w:cstheme="minorBidi"/>
              <w:b w:val="0"/>
              <w:noProof/>
              <w:sz w:val="22"/>
              <w:lang w:eastAsia="en-AU"/>
            </w:rPr>
          </w:pPr>
          <w:hyperlink w:anchor="_Toc412706492" w:history="1">
            <w:r w:rsidR="00AD4BB7" w:rsidRPr="00EE26F4">
              <w:rPr>
                <w:rStyle w:val="Hyperlink"/>
                <w:noProof/>
              </w:rPr>
              <w:t>Attachment 1. Product Information</w:t>
            </w:r>
            <w:r w:rsidR="00AD4BB7">
              <w:rPr>
                <w:noProof/>
                <w:webHidden/>
              </w:rPr>
              <w:tab/>
            </w:r>
            <w:r w:rsidR="00AD4BB7">
              <w:rPr>
                <w:noProof/>
                <w:webHidden/>
              </w:rPr>
              <w:fldChar w:fldCharType="begin"/>
            </w:r>
            <w:r w:rsidR="00AD4BB7">
              <w:rPr>
                <w:noProof/>
                <w:webHidden/>
              </w:rPr>
              <w:instrText xml:space="preserve"> PAGEREF _Toc412706492 \h </w:instrText>
            </w:r>
            <w:r w:rsidR="00AD4BB7">
              <w:rPr>
                <w:noProof/>
                <w:webHidden/>
              </w:rPr>
            </w:r>
            <w:r w:rsidR="00AD4BB7">
              <w:rPr>
                <w:noProof/>
                <w:webHidden/>
              </w:rPr>
              <w:fldChar w:fldCharType="separate"/>
            </w:r>
            <w:r w:rsidR="00AD4BB7">
              <w:rPr>
                <w:noProof/>
                <w:webHidden/>
              </w:rPr>
              <w:t>48</w:t>
            </w:r>
            <w:r w:rsidR="00AD4BB7">
              <w:rPr>
                <w:noProof/>
                <w:webHidden/>
              </w:rPr>
              <w:fldChar w:fldCharType="end"/>
            </w:r>
          </w:hyperlink>
        </w:p>
        <w:p w:rsidR="003A7F6C" w:rsidRPr="00B811C6" w:rsidRDefault="008B6B24" w:rsidP="00B811C6">
          <w:pPr>
            <w:pStyle w:val="TOC2"/>
          </w:pPr>
          <w:hyperlink w:anchor="_Toc412706493" w:history="1">
            <w:r w:rsidR="00AD4BB7" w:rsidRPr="00EE26F4">
              <w:rPr>
                <w:rStyle w:val="Hyperlink"/>
                <w:noProof/>
                <w:lang w:eastAsia="en-AU"/>
              </w:rPr>
              <w:t>Attachment 2. Extract from the Clinical Evaluation</w:t>
            </w:r>
            <w:r w:rsidR="00AD4BB7">
              <w:rPr>
                <w:noProof/>
                <w:webHidden/>
              </w:rPr>
              <w:tab/>
            </w:r>
            <w:r w:rsidR="00AD4BB7">
              <w:rPr>
                <w:noProof/>
                <w:webHidden/>
              </w:rPr>
              <w:fldChar w:fldCharType="begin"/>
            </w:r>
            <w:r w:rsidR="00AD4BB7">
              <w:rPr>
                <w:noProof/>
                <w:webHidden/>
              </w:rPr>
              <w:instrText xml:space="preserve"> PAGEREF _Toc412706493 \h </w:instrText>
            </w:r>
            <w:r w:rsidR="00AD4BB7">
              <w:rPr>
                <w:noProof/>
                <w:webHidden/>
              </w:rPr>
            </w:r>
            <w:r w:rsidR="00AD4BB7">
              <w:rPr>
                <w:noProof/>
                <w:webHidden/>
              </w:rPr>
              <w:fldChar w:fldCharType="separate"/>
            </w:r>
            <w:r w:rsidR="00AD4BB7">
              <w:rPr>
                <w:noProof/>
                <w:webHidden/>
              </w:rPr>
              <w:t>49</w:t>
            </w:r>
            <w:r w:rsidR="00AD4BB7">
              <w:rPr>
                <w:noProof/>
                <w:webHidden/>
              </w:rPr>
              <w:fldChar w:fldCharType="end"/>
            </w:r>
          </w:hyperlink>
          <w:r w:rsidR="00DB6124">
            <w:fldChar w:fldCharType="end"/>
          </w:r>
        </w:p>
      </w:sdtContent>
    </w:sdt>
    <w:bookmarkStart w:id="2" w:name="_Toc314842482" w:displacedByCustomXml="prev"/>
    <w:p w:rsidR="00FD119B" w:rsidRDefault="00FD119B">
      <w:pPr>
        <w:spacing w:before="0" w:after="200" w:line="0" w:lineRule="auto"/>
      </w:pPr>
      <w:r>
        <w:br w:type="page"/>
      </w:r>
    </w:p>
    <w:p w:rsidR="00FD119B" w:rsidRPr="00FD119B" w:rsidRDefault="00FD119B" w:rsidP="004F0C4A">
      <w:pPr>
        <w:pStyle w:val="Heading2"/>
      </w:pPr>
      <w:bookmarkStart w:id="3" w:name="_Toc351716269"/>
      <w:bookmarkStart w:id="4" w:name="_Toc351718881"/>
      <w:bookmarkStart w:id="5" w:name="_Toc355338616"/>
      <w:bookmarkStart w:id="6" w:name="_Toc356306144"/>
      <w:bookmarkStart w:id="7" w:name="_Toc412706450"/>
      <w:r w:rsidRPr="00FD119B">
        <w:lastRenderedPageBreak/>
        <w:t>List of the most common abbreviations</w:t>
      </w:r>
      <w:bookmarkEnd w:id="3"/>
      <w:bookmarkEnd w:id="4"/>
      <w:bookmarkEnd w:id="5"/>
      <w:bookmarkEnd w:id="6"/>
      <w:r w:rsidRPr="00FD119B">
        <w:t xml:space="preserve"> used in this </w:t>
      </w:r>
      <w:r w:rsidRPr="004F0C4A">
        <w:t>AusPAR</w:t>
      </w:r>
      <w:bookmarkEnd w:id="7"/>
    </w:p>
    <w:tbl>
      <w:tblPr>
        <w:tblStyle w:val="TableTGAblue"/>
        <w:tblW w:w="8720" w:type="dxa"/>
        <w:tblLook w:val="04A0" w:firstRow="1" w:lastRow="0" w:firstColumn="1" w:lastColumn="0" w:noHBand="0" w:noVBand="1"/>
      </w:tblPr>
      <w:tblGrid>
        <w:gridCol w:w="2235"/>
        <w:gridCol w:w="6485"/>
      </w:tblGrid>
      <w:tr w:rsidR="004E35AD" w:rsidTr="004E35AD">
        <w:trPr>
          <w:cnfStyle w:val="100000000000" w:firstRow="1" w:lastRow="0" w:firstColumn="0" w:lastColumn="0" w:oddVBand="0" w:evenVBand="0" w:oddHBand="0" w:evenHBand="0" w:firstRowFirstColumn="0" w:firstRowLastColumn="0" w:lastRowFirstColumn="0" w:lastRowLastColumn="0"/>
        </w:trPr>
        <w:tc>
          <w:tcPr>
            <w:tcW w:w="2235" w:type="dxa"/>
          </w:tcPr>
          <w:p w:rsidR="004E35AD" w:rsidRDefault="004E35AD" w:rsidP="008C15A9">
            <w:r>
              <w:t>Abbreviation</w:t>
            </w:r>
          </w:p>
        </w:tc>
        <w:tc>
          <w:tcPr>
            <w:tcW w:w="6485" w:type="dxa"/>
          </w:tcPr>
          <w:p w:rsidR="004E35AD" w:rsidRDefault="004E35AD" w:rsidP="008C15A9">
            <w:r>
              <w:t>Meaning</w:t>
            </w:r>
          </w:p>
        </w:tc>
      </w:tr>
      <w:tr w:rsidR="004E35AD" w:rsidRPr="0009031B" w:rsidTr="004E35AD">
        <w:tc>
          <w:tcPr>
            <w:tcW w:w="2235" w:type="dxa"/>
          </w:tcPr>
          <w:p w:rsidR="004E35AD" w:rsidRPr="0009031B" w:rsidRDefault="004E35AD" w:rsidP="008C15A9">
            <w:r w:rsidRPr="0009031B">
              <w:t>ACPM</w:t>
            </w:r>
          </w:p>
        </w:tc>
        <w:tc>
          <w:tcPr>
            <w:tcW w:w="6485" w:type="dxa"/>
          </w:tcPr>
          <w:p w:rsidR="004E35AD" w:rsidRPr="0009031B" w:rsidRDefault="004E35AD" w:rsidP="008C15A9">
            <w:r w:rsidRPr="0009031B">
              <w:t>Advisory Committee on Prescription Medicines</w:t>
            </w:r>
          </w:p>
        </w:tc>
      </w:tr>
      <w:tr w:rsidR="004E35AD" w:rsidRPr="0009031B" w:rsidTr="004E35AD">
        <w:tc>
          <w:tcPr>
            <w:tcW w:w="2235" w:type="dxa"/>
          </w:tcPr>
          <w:p w:rsidR="004E35AD" w:rsidRPr="0009031B" w:rsidRDefault="004E35AD" w:rsidP="008C15A9">
            <w:r w:rsidRPr="0009031B">
              <w:t>ADR(s)</w:t>
            </w:r>
          </w:p>
        </w:tc>
        <w:tc>
          <w:tcPr>
            <w:tcW w:w="6485" w:type="dxa"/>
          </w:tcPr>
          <w:p w:rsidR="004E35AD" w:rsidRPr="0009031B" w:rsidRDefault="004E35AD" w:rsidP="008C15A9">
            <w:r w:rsidRPr="0009031B">
              <w:t>Adverse drug reaction(s)</w:t>
            </w:r>
          </w:p>
        </w:tc>
      </w:tr>
      <w:tr w:rsidR="00341961" w:rsidRPr="0009031B" w:rsidTr="004E35AD">
        <w:tc>
          <w:tcPr>
            <w:tcW w:w="2235" w:type="dxa"/>
          </w:tcPr>
          <w:p w:rsidR="00341961" w:rsidRPr="0009031B" w:rsidRDefault="00341961" w:rsidP="008C15A9">
            <w:r>
              <w:t>AE(s)</w:t>
            </w:r>
          </w:p>
        </w:tc>
        <w:tc>
          <w:tcPr>
            <w:tcW w:w="6485" w:type="dxa"/>
          </w:tcPr>
          <w:p w:rsidR="00341961" w:rsidRPr="0009031B" w:rsidRDefault="00341961" w:rsidP="008C15A9">
            <w:r>
              <w:t>Adverse event(s)</w:t>
            </w:r>
          </w:p>
        </w:tc>
      </w:tr>
      <w:tr w:rsidR="004E35AD" w:rsidRPr="0009031B" w:rsidTr="004E35AD">
        <w:tc>
          <w:tcPr>
            <w:tcW w:w="2235" w:type="dxa"/>
          </w:tcPr>
          <w:p w:rsidR="004E35AD" w:rsidRPr="0009031B" w:rsidRDefault="004E35AD" w:rsidP="008C15A9">
            <w:r w:rsidRPr="0009031B">
              <w:t>ALT</w:t>
            </w:r>
          </w:p>
        </w:tc>
        <w:tc>
          <w:tcPr>
            <w:tcW w:w="6485" w:type="dxa"/>
          </w:tcPr>
          <w:p w:rsidR="004E35AD" w:rsidRPr="0009031B" w:rsidRDefault="004E35AD" w:rsidP="008C15A9">
            <w:r w:rsidRPr="0009031B">
              <w:t>Alanine aminotransferase</w:t>
            </w:r>
          </w:p>
        </w:tc>
      </w:tr>
      <w:tr w:rsidR="004E35AD" w:rsidRPr="0009031B" w:rsidTr="004E35AD">
        <w:tc>
          <w:tcPr>
            <w:tcW w:w="2235" w:type="dxa"/>
          </w:tcPr>
          <w:p w:rsidR="004E35AD" w:rsidRPr="0009031B" w:rsidRDefault="004E35AD" w:rsidP="008C15A9">
            <w:proofErr w:type="spellStart"/>
            <w:r w:rsidRPr="0009031B">
              <w:t>ApoB</w:t>
            </w:r>
            <w:proofErr w:type="spellEnd"/>
          </w:p>
        </w:tc>
        <w:tc>
          <w:tcPr>
            <w:tcW w:w="6485" w:type="dxa"/>
          </w:tcPr>
          <w:p w:rsidR="004E35AD" w:rsidRPr="0009031B" w:rsidRDefault="004E35AD" w:rsidP="008C15A9">
            <w:proofErr w:type="spellStart"/>
            <w:r w:rsidRPr="0009031B">
              <w:t>Apolipoprotein</w:t>
            </w:r>
            <w:proofErr w:type="spellEnd"/>
            <w:r w:rsidRPr="0009031B">
              <w:t xml:space="preserve"> B</w:t>
            </w:r>
          </w:p>
        </w:tc>
      </w:tr>
      <w:tr w:rsidR="004E35AD" w:rsidRPr="0009031B" w:rsidTr="004E35AD">
        <w:tc>
          <w:tcPr>
            <w:tcW w:w="2235" w:type="dxa"/>
          </w:tcPr>
          <w:p w:rsidR="004E35AD" w:rsidRPr="0009031B" w:rsidRDefault="004E35AD" w:rsidP="008C15A9">
            <w:r w:rsidRPr="0009031B">
              <w:t>ARTG</w:t>
            </w:r>
          </w:p>
        </w:tc>
        <w:tc>
          <w:tcPr>
            <w:tcW w:w="6485" w:type="dxa"/>
          </w:tcPr>
          <w:p w:rsidR="004E35AD" w:rsidRPr="0009031B" w:rsidRDefault="004E35AD" w:rsidP="008C15A9">
            <w:r w:rsidRPr="0009031B">
              <w:t>Australian Register of Therapeutic Goods</w:t>
            </w:r>
          </w:p>
        </w:tc>
      </w:tr>
      <w:tr w:rsidR="004E35AD" w:rsidRPr="0009031B" w:rsidTr="004E35AD">
        <w:tc>
          <w:tcPr>
            <w:tcW w:w="2235" w:type="dxa"/>
          </w:tcPr>
          <w:p w:rsidR="004E35AD" w:rsidRPr="0009031B" w:rsidRDefault="004E35AD" w:rsidP="008C15A9">
            <w:r w:rsidRPr="0009031B">
              <w:t>AUC</w:t>
            </w:r>
            <w:r w:rsidRPr="004E35AD">
              <w:rPr>
                <w:vertAlign w:val="subscript"/>
              </w:rPr>
              <w:t>0-∞</w:t>
            </w:r>
            <w:r w:rsidR="00341961">
              <w:rPr>
                <w:vertAlign w:val="subscript"/>
              </w:rPr>
              <w:t>/t</w:t>
            </w:r>
          </w:p>
        </w:tc>
        <w:tc>
          <w:tcPr>
            <w:tcW w:w="6485" w:type="dxa"/>
          </w:tcPr>
          <w:p w:rsidR="004E35AD" w:rsidRPr="0009031B" w:rsidRDefault="004E35AD" w:rsidP="008C15A9">
            <w:r w:rsidRPr="0009031B">
              <w:t>Area under the concentration-time curve from time zero to infinity (extrapolated)</w:t>
            </w:r>
            <w:r w:rsidR="00341961">
              <w:t>/time of last measurement</w:t>
            </w:r>
          </w:p>
        </w:tc>
      </w:tr>
      <w:tr w:rsidR="004E35AD" w:rsidRPr="0009031B" w:rsidTr="004E35AD">
        <w:tc>
          <w:tcPr>
            <w:tcW w:w="2235" w:type="dxa"/>
          </w:tcPr>
          <w:p w:rsidR="004E35AD" w:rsidRPr="0009031B" w:rsidRDefault="004E35AD" w:rsidP="008C15A9">
            <w:r w:rsidRPr="0009031B">
              <w:t>CI</w:t>
            </w:r>
          </w:p>
        </w:tc>
        <w:tc>
          <w:tcPr>
            <w:tcW w:w="6485" w:type="dxa"/>
          </w:tcPr>
          <w:p w:rsidR="004E35AD" w:rsidRPr="0009031B" w:rsidRDefault="004E35AD" w:rsidP="008C15A9">
            <w:r w:rsidRPr="0009031B">
              <w:t>Confidence interval</w:t>
            </w:r>
          </w:p>
        </w:tc>
      </w:tr>
      <w:tr w:rsidR="004E35AD" w:rsidRPr="0009031B" w:rsidTr="004E35AD">
        <w:tc>
          <w:tcPr>
            <w:tcW w:w="2235" w:type="dxa"/>
          </w:tcPr>
          <w:p w:rsidR="004E35AD" w:rsidRPr="0009031B" w:rsidRDefault="004E35AD" w:rsidP="008C15A9">
            <w:proofErr w:type="spellStart"/>
            <w:r w:rsidRPr="0009031B">
              <w:t>CLcr</w:t>
            </w:r>
            <w:proofErr w:type="spellEnd"/>
          </w:p>
        </w:tc>
        <w:tc>
          <w:tcPr>
            <w:tcW w:w="6485" w:type="dxa"/>
          </w:tcPr>
          <w:p w:rsidR="004E35AD" w:rsidRPr="0009031B" w:rsidRDefault="004E35AD" w:rsidP="008C15A9">
            <w:r w:rsidRPr="0009031B">
              <w:t>Creatinine clearance</w:t>
            </w:r>
          </w:p>
        </w:tc>
      </w:tr>
      <w:tr w:rsidR="004E35AD" w:rsidRPr="0009031B" w:rsidTr="004E35AD">
        <w:tc>
          <w:tcPr>
            <w:tcW w:w="2235" w:type="dxa"/>
          </w:tcPr>
          <w:p w:rsidR="004E35AD" w:rsidRPr="0009031B" w:rsidRDefault="004E35AD" w:rsidP="008C15A9">
            <w:r w:rsidRPr="0009031B">
              <w:t>Cmax</w:t>
            </w:r>
          </w:p>
        </w:tc>
        <w:tc>
          <w:tcPr>
            <w:tcW w:w="6485" w:type="dxa"/>
          </w:tcPr>
          <w:p w:rsidR="004E35AD" w:rsidRPr="0009031B" w:rsidRDefault="004E35AD" w:rsidP="008C15A9">
            <w:r w:rsidRPr="0009031B">
              <w:t>Maximum observed concentration</w:t>
            </w:r>
          </w:p>
        </w:tc>
      </w:tr>
      <w:tr w:rsidR="004E35AD" w:rsidRPr="0009031B" w:rsidTr="004E35AD">
        <w:tc>
          <w:tcPr>
            <w:tcW w:w="2235" w:type="dxa"/>
          </w:tcPr>
          <w:p w:rsidR="004E35AD" w:rsidRPr="0009031B" w:rsidRDefault="004E35AD" w:rsidP="008C15A9">
            <w:r w:rsidRPr="0009031B">
              <w:t>CMI</w:t>
            </w:r>
          </w:p>
        </w:tc>
        <w:tc>
          <w:tcPr>
            <w:tcW w:w="6485" w:type="dxa"/>
          </w:tcPr>
          <w:p w:rsidR="004E35AD" w:rsidRPr="0009031B" w:rsidRDefault="004E35AD" w:rsidP="008C15A9">
            <w:r w:rsidRPr="0009031B">
              <w:t>Consumer Medicine Information</w:t>
            </w:r>
          </w:p>
        </w:tc>
      </w:tr>
      <w:tr w:rsidR="004E35AD" w:rsidRPr="0009031B" w:rsidTr="004E35AD">
        <w:tc>
          <w:tcPr>
            <w:tcW w:w="2235" w:type="dxa"/>
          </w:tcPr>
          <w:p w:rsidR="004E35AD" w:rsidRPr="0009031B" w:rsidRDefault="004E35AD" w:rsidP="008C15A9">
            <w:r w:rsidRPr="0009031B">
              <w:t>CPMP</w:t>
            </w:r>
          </w:p>
        </w:tc>
        <w:tc>
          <w:tcPr>
            <w:tcW w:w="6485" w:type="dxa"/>
          </w:tcPr>
          <w:p w:rsidR="004E35AD" w:rsidRPr="0009031B" w:rsidRDefault="004E35AD" w:rsidP="008C15A9">
            <w:r w:rsidRPr="0009031B">
              <w:t>Committee for Propriety Medicinal Products</w:t>
            </w:r>
          </w:p>
        </w:tc>
      </w:tr>
      <w:tr w:rsidR="004E35AD" w:rsidRPr="0009031B" w:rsidTr="004E35AD">
        <w:tc>
          <w:tcPr>
            <w:tcW w:w="2235" w:type="dxa"/>
          </w:tcPr>
          <w:p w:rsidR="004E35AD" w:rsidRPr="0009031B" w:rsidRDefault="004E35AD" w:rsidP="008C15A9">
            <w:r w:rsidRPr="0009031B">
              <w:t>ECG</w:t>
            </w:r>
          </w:p>
        </w:tc>
        <w:tc>
          <w:tcPr>
            <w:tcW w:w="6485" w:type="dxa"/>
          </w:tcPr>
          <w:p w:rsidR="004E35AD" w:rsidRPr="0009031B" w:rsidRDefault="004E35AD" w:rsidP="008C15A9">
            <w:r w:rsidRPr="0009031B">
              <w:t>Electrocardiogram</w:t>
            </w:r>
          </w:p>
        </w:tc>
      </w:tr>
      <w:tr w:rsidR="004E35AD" w:rsidRPr="0009031B" w:rsidTr="004E35AD">
        <w:tc>
          <w:tcPr>
            <w:tcW w:w="2235" w:type="dxa"/>
          </w:tcPr>
          <w:p w:rsidR="004E35AD" w:rsidRPr="0009031B" w:rsidRDefault="004E35AD" w:rsidP="008C15A9">
            <w:r w:rsidRPr="0009031B">
              <w:t>EMA</w:t>
            </w:r>
          </w:p>
        </w:tc>
        <w:tc>
          <w:tcPr>
            <w:tcW w:w="6485" w:type="dxa"/>
          </w:tcPr>
          <w:p w:rsidR="004E35AD" w:rsidRPr="0009031B" w:rsidRDefault="004E35AD" w:rsidP="008C15A9">
            <w:r w:rsidRPr="0009031B">
              <w:t>European Medicines Agency</w:t>
            </w:r>
          </w:p>
        </w:tc>
      </w:tr>
      <w:tr w:rsidR="004E35AD" w:rsidRPr="0009031B" w:rsidTr="004E35AD">
        <w:tc>
          <w:tcPr>
            <w:tcW w:w="2235" w:type="dxa"/>
          </w:tcPr>
          <w:p w:rsidR="004E35AD" w:rsidRPr="0009031B" w:rsidRDefault="004E35AD" w:rsidP="008C15A9">
            <w:r w:rsidRPr="0009031B">
              <w:t>FH</w:t>
            </w:r>
          </w:p>
        </w:tc>
        <w:tc>
          <w:tcPr>
            <w:tcW w:w="6485" w:type="dxa"/>
          </w:tcPr>
          <w:p w:rsidR="004E35AD" w:rsidRPr="0009031B" w:rsidRDefault="00AA2007" w:rsidP="008C15A9">
            <w:r>
              <w:t xml:space="preserve">Familial </w:t>
            </w:r>
            <w:proofErr w:type="spellStart"/>
            <w:r>
              <w:t>hypercholesterolaemia</w:t>
            </w:r>
            <w:proofErr w:type="spellEnd"/>
          </w:p>
        </w:tc>
      </w:tr>
      <w:tr w:rsidR="004E35AD" w:rsidRPr="0009031B" w:rsidTr="004E35AD">
        <w:tc>
          <w:tcPr>
            <w:tcW w:w="2235" w:type="dxa"/>
          </w:tcPr>
          <w:p w:rsidR="004E35AD" w:rsidRPr="0009031B" w:rsidRDefault="004E35AD" w:rsidP="008C15A9">
            <w:r w:rsidRPr="0009031B">
              <w:t>HCP(s)</w:t>
            </w:r>
          </w:p>
        </w:tc>
        <w:tc>
          <w:tcPr>
            <w:tcW w:w="6485" w:type="dxa"/>
          </w:tcPr>
          <w:p w:rsidR="004E35AD" w:rsidRPr="0009031B" w:rsidRDefault="004E35AD" w:rsidP="008C15A9">
            <w:r w:rsidRPr="0009031B">
              <w:t>Health care provider(s)</w:t>
            </w:r>
          </w:p>
        </w:tc>
      </w:tr>
      <w:tr w:rsidR="004E35AD" w:rsidRPr="0009031B" w:rsidTr="004E35AD">
        <w:tc>
          <w:tcPr>
            <w:tcW w:w="2235" w:type="dxa"/>
          </w:tcPr>
          <w:p w:rsidR="004E35AD" w:rsidRPr="0009031B" w:rsidRDefault="004E35AD" w:rsidP="008C15A9">
            <w:r w:rsidRPr="0009031B">
              <w:t>HDL-C</w:t>
            </w:r>
          </w:p>
        </w:tc>
        <w:tc>
          <w:tcPr>
            <w:tcW w:w="6485" w:type="dxa"/>
          </w:tcPr>
          <w:p w:rsidR="004E35AD" w:rsidRPr="0009031B" w:rsidRDefault="004E35AD" w:rsidP="008C15A9">
            <w:r w:rsidRPr="0009031B">
              <w:t>High density lipoprotein cholesterol</w:t>
            </w:r>
          </w:p>
        </w:tc>
      </w:tr>
      <w:tr w:rsidR="004E35AD" w:rsidRPr="0009031B" w:rsidTr="004E35AD">
        <w:tc>
          <w:tcPr>
            <w:tcW w:w="2235" w:type="dxa"/>
          </w:tcPr>
          <w:p w:rsidR="004E35AD" w:rsidRPr="0009031B" w:rsidRDefault="004E35AD" w:rsidP="008C15A9">
            <w:proofErr w:type="spellStart"/>
            <w:r w:rsidRPr="0009031B">
              <w:t>HeFH</w:t>
            </w:r>
            <w:proofErr w:type="spellEnd"/>
          </w:p>
        </w:tc>
        <w:tc>
          <w:tcPr>
            <w:tcW w:w="6485" w:type="dxa"/>
          </w:tcPr>
          <w:p w:rsidR="004E35AD" w:rsidRPr="0009031B" w:rsidRDefault="004E35AD" w:rsidP="008C15A9">
            <w:r w:rsidRPr="0009031B">
              <w:t>Heterozygous Familial Hypercholesterolaemia</w:t>
            </w:r>
          </w:p>
        </w:tc>
      </w:tr>
      <w:tr w:rsidR="004E35AD" w:rsidRPr="0009031B" w:rsidTr="004E35AD">
        <w:tc>
          <w:tcPr>
            <w:tcW w:w="2235" w:type="dxa"/>
          </w:tcPr>
          <w:p w:rsidR="004E35AD" w:rsidRPr="0009031B" w:rsidRDefault="004E35AD" w:rsidP="008C15A9">
            <w:proofErr w:type="spellStart"/>
            <w:r w:rsidRPr="0009031B">
              <w:t>HoFH</w:t>
            </w:r>
            <w:proofErr w:type="spellEnd"/>
          </w:p>
        </w:tc>
        <w:tc>
          <w:tcPr>
            <w:tcW w:w="6485" w:type="dxa"/>
          </w:tcPr>
          <w:p w:rsidR="004E35AD" w:rsidRPr="0009031B" w:rsidRDefault="004E35AD" w:rsidP="008C15A9">
            <w:r w:rsidRPr="0009031B">
              <w:t>Homozygous Familial Hypercholesterolaemia</w:t>
            </w:r>
          </w:p>
        </w:tc>
      </w:tr>
      <w:tr w:rsidR="004E35AD" w:rsidRPr="0009031B" w:rsidTr="004E35AD">
        <w:tc>
          <w:tcPr>
            <w:tcW w:w="2235" w:type="dxa"/>
          </w:tcPr>
          <w:p w:rsidR="004E35AD" w:rsidRPr="0009031B" w:rsidRDefault="004E35AD" w:rsidP="008C15A9">
            <w:r w:rsidRPr="0009031B">
              <w:t>ICH</w:t>
            </w:r>
          </w:p>
        </w:tc>
        <w:tc>
          <w:tcPr>
            <w:tcW w:w="6485" w:type="dxa"/>
          </w:tcPr>
          <w:p w:rsidR="004E35AD" w:rsidRPr="0009031B" w:rsidRDefault="0016345B" w:rsidP="0016345B">
            <w:r w:rsidRPr="0016345B">
              <w:t>International Conference on Harmonisation of registration requirements fo</w:t>
            </w:r>
            <w:r w:rsidR="00AA2007">
              <w:t>r pharmaceuticals for human use</w:t>
            </w:r>
          </w:p>
        </w:tc>
      </w:tr>
      <w:tr w:rsidR="004E35AD" w:rsidRPr="0009031B" w:rsidTr="004E35AD">
        <w:tc>
          <w:tcPr>
            <w:tcW w:w="2235" w:type="dxa"/>
          </w:tcPr>
          <w:p w:rsidR="004E35AD" w:rsidRPr="0009031B" w:rsidRDefault="004E35AD" w:rsidP="008C15A9">
            <w:r w:rsidRPr="0009031B">
              <w:t>LDL/LDL-C</w:t>
            </w:r>
          </w:p>
        </w:tc>
        <w:tc>
          <w:tcPr>
            <w:tcW w:w="6485" w:type="dxa"/>
          </w:tcPr>
          <w:p w:rsidR="004E35AD" w:rsidRPr="0009031B" w:rsidRDefault="004E35AD" w:rsidP="008C15A9">
            <w:r w:rsidRPr="0009031B">
              <w:t>Low density lipoprotein cholesterol</w:t>
            </w:r>
          </w:p>
        </w:tc>
      </w:tr>
      <w:tr w:rsidR="004E35AD" w:rsidRPr="0009031B" w:rsidTr="004E35AD">
        <w:tc>
          <w:tcPr>
            <w:tcW w:w="2235" w:type="dxa"/>
          </w:tcPr>
          <w:p w:rsidR="004E35AD" w:rsidRPr="0009031B" w:rsidRDefault="004E35AD" w:rsidP="008C15A9">
            <w:r w:rsidRPr="0009031B">
              <w:t>LLD</w:t>
            </w:r>
          </w:p>
        </w:tc>
        <w:tc>
          <w:tcPr>
            <w:tcW w:w="6485" w:type="dxa"/>
          </w:tcPr>
          <w:p w:rsidR="004E35AD" w:rsidRPr="0009031B" w:rsidRDefault="004E35AD" w:rsidP="008C15A9">
            <w:r w:rsidRPr="0009031B">
              <w:t>Lipid-lowering drug</w:t>
            </w:r>
          </w:p>
        </w:tc>
      </w:tr>
      <w:tr w:rsidR="004E35AD" w:rsidRPr="0009031B" w:rsidTr="004E35AD">
        <w:tc>
          <w:tcPr>
            <w:tcW w:w="2235" w:type="dxa"/>
          </w:tcPr>
          <w:p w:rsidR="004E35AD" w:rsidRPr="0009031B" w:rsidRDefault="004E35AD" w:rsidP="008C15A9">
            <w:r w:rsidRPr="0009031B">
              <w:t>PBS</w:t>
            </w:r>
          </w:p>
        </w:tc>
        <w:tc>
          <w:tcPr>
            <w:tcW w:w="6485" w:type="dxa"/>
          </w:tcPr>
          <w:p w:rsidR="004E35AD" w:rsidRPr="0009031B" w:rsidRDefault="004E35AD" w:rsidP="008C15A9">
            <w:r w:rsidRPr="0009031B">
              <w:t>Pharmaceutical Benefits Scheme</w:t>
            </w:r>
          </w:p>
        </w:tc>
      </w:tr>
      <w:tr w:rsidR="00D07E32" w:rsidRPr="0009031B" w:rsidTr="004E35AD">
        <w:tc>
          <w:tcPr>
            <w:tcW w:w="2235" w:type="dxa"/>
          </w:tcPr>
          <w:p w:rsidR="00D07E32" w:rsidRPr="0009031B" w:rsidRDefault="00D07E32" w:rsidP="008C15A9">
            <w:r>
              <w:lastRenderedPageBreak/>
              <w:t>PD</w:t>
            </w:r>
          </w:p>
        </w:tc>
        <w:tc>
          <w:tcPr>
            <w:tcW w:w="6485" w:type="dxa"/>
          </w:tcPr>
          <w:p w:rsidR="00D07E32" w:rsidRPr="0009031B" w:rsidRDefault="00D07E32" w:rsidP="008C15A9">
            <w:r>
              <w:t>Pharmacodynamic/s</w:t>
            </w:r>
          </w:p>
        </w:tc>
      </w:tr>
      <w:tr w:rsidR="004E35AD" w:rsidRPr="0009031B" w:rsidTr="004E35AD">
        <w:tc>
          <w:tcPr>
            <w:tcW w:w="2235" w:type="dxa"/>
          </w:tcPr>
          <w:p w:rsidR="004E35AD" w:rsidRPr="0009031B" w:rsidRDefault="004E35AD" w:rsidP="008C15A9">
            <w:r w:rsidRPr="0009031B">
              <w:t>PI</w:t>
            </w:r>
          </w:p>
        </w:tc>
        <w:tc>
          <w:tcPr>
            <w:tcW w:w="6485" w:type="dxa"/>
          </w:tcPr>
          <w:p w:rsidR="004E35AD" w:rsidRPr="0009031B" w:rsidRDefault="004E35AD" w:rsidP="008C15A9">
            <w:r w:rsidRPr="0009031B">
              <w:t>Product information</w:t>
            </w:r>
          </w:p>
        </w:tc>
      </w:tr>
      <w:tr w:rsidR="004E35AD" w:rsidRPr="0009031B" w:rsidTr="004E35AD">
        <w:tc>
          <w:tcPr>
            <w:tcW w:w="2235" w:type="dxa"/>
          </w:tcPr>
          <w:p w:rsidR="004E35AD" w:rsidRPr="0009031B" w:rsidRDefault="004E35AD" w:rsidP="008C15A9">
            <w:r w:rsidRPr="0009031B">
              <w:t>PK</w:t>
            </w:r>
          </w:p>
        </w:tc>
        <w:tc>
          <w:tcPr>
            <w:tcW w:w="6485" w:type="dxa"/>
          </w:tcPr>
          <w:p w:rsidR="004E35AD" w:rsidRPr="0009031B" w:rsidRDefault="004E35AD" w:rsidP="008C15A9">
            <w:r w:rsidRPr="0009031B">
              <w:t>Pharmacokinetic</w:t>
            </w:r>
            <w:r>
              <w:t>/s</w:t>
            </w:r>
          </w:p>
        </w:tc>
      </w:tr>
      <w:tr w:rsidR="004E35AD" w:rsidRPr="0009031B" w:rsidTr="004E35AD">
        <w:tc>
          <w:tcPr>
            <w:tcW w:w="2235" w:type="dxa"/>
          </w:tcPr>
          <w:p w:rsidR="004E35AD" w:rsidRPr="0009031B" w:rsidRDefault="004E35AD" w:rsidP="008C15A9">
            <w:r w:rsidRPr="0009031B">
              <w:t>PSUR</w:t>
            </w:r>
          </w:p>
        </w:tc>
        <w:tc>
          <w:tcPr>
            <w:tcW w:w="6485" w:type="dxa"/>
          </w:tcPr>
          <w:p w:rsidR="004E35AD" w:rsidRPr="0009031B" w:rsidRDefault="004E35AD" w:rsidP="008C15A9">
            <w:r w:rsidRPr="0009031B">
              <w:t>Periodic Safety Update Report</w:t>
            </w:r>
          </w:p>
        </w:tc>
      </w:tr>
      <w:tr w:rsidR="00C63F3A" w:rsidRPr="0009031B" w:rsidTr="004E35AD">
        <w:tc>
          <w:tcPr>
            <w:tcW w:w="2235" w:type="dxa"/>
          </w:tcPr>
          <w:p w:rsidR="00C63F3A" w:rsidRPr="0009031B" w:rsidRDefault="00C63F3A" w:rsidP="008C15A9">
            <w:r>
              <w:t>RMP</w:t>
            </w:r>
          </w:p>
        </w:tc>
        <w:tc>
          <w:tcPr>
            <w:tcW w:w="6485" w:type="dxa"/>
          </w:tcPr>
          <w:p w:rsidR="00C63F3A" w:rsidRPr="0009031B" w:rsidRDefault="00C63F3A" w:rsidP="008C15A9">
            <w:r w:rsidRPr="00C63F3A">
              <w:t>Risk Management Plan</w:t>
            </w:r>
          </w:p>
        </w:tc>
      </w:tr>
      <w:tr w:rsidR="00D07E32" w:rsidRPr="0009031B" w:rsidTr="004E35AD">
        <w:tc>
          <w:tcPr>
            <w:tcW w:w="2235" w:type="dxa"/>
          </w:tcPr>
          <w:p w:rsidR="00D07E32" w:rsidRPr="0009031B" w:rsidRDefault="00D07E32" w:rsidP="008C15A9">
            <w:r>
              <w:t>SAE</w:t>
            </w:r>
          </w:p>
        </w:tc>
        <w:tc>
          <w:tcPr>
            <w:tcW w:w="6485" w:type="dxa"/>
          </w:tcPr>
          <w:p w:rsidR="00D07E32" w:rsidRPr="0009031B" w:rsidRDefault="00D07E32" w:rsidP="008C15A9">
            <w:r>
              <w:t>Serious adverse event</w:t>
            </w:r>
          </w:p>
        </w:tc>
      </w:tr>
      <w:tr w:rsidR="004E35AD" w:rsidRPr="0009031B" w:rsidTr="004E35AD">
        <w:tc>
          <w:tcPr>
            <w:tcW w:w="2235" w:type="dxa"/>
          </w:tcPr>
          <w:p w:rsidR="004E35AD" w:rsidRPr="0009031B" w:rsidRDefault="004E35AD" w:rsidP="008C15A9">
            <w:r w:rsidRPr="0009031B">
              <w:t>Tmax</w:t>
            </w:r>
          </w:p>
        </w:tc>
        <w:tc>
          <w:tcPr>
            <w:tcW w:w="6485" w:type="dxa"/>
          </w:tcPr>
          <w:p w:rsidR="004E35AD" w:rsidRPr="0009031B" w:rsidRDefault="004E35AD" w:rsidP="008C15A9">
            <w:r w:rsidRPr="0009031B">
              <w:t>Time of observed Cmax</w:t>
            </w:r>
          </w:p>
        </w:tc>
      </w:tr>
    </w:tbl>
    <w:p w:rsidR="00FD119B" w:rsidRDefault="00FD119B" w:rsidP="00FD119B"/>
    <w:p w:rsidR="00FD119B" w:rsidRPr="00FD119B" w:rsidRDefault="00FD119B" w:rsidP="00FD119B">
      <w:pPr>
        <w:spacing w:before="0" w:after="200" w:line="0" w:lineRule="auto"/>
        <w:rPr>
          <w:b/>
          <w:i/>
          <w:sz w:val="24"/>
          <w:szCs w:val="24"/>
        </w:rPr>
      </w:pPr>
      <w:r w:rsidRPr="00FD119B">
        <w:rPr>
          <w:b/>
          <w:i/>
          <w:sz w:val="24"/>
          <w:szCs w:val="24"/>
        </w:rPr>
        <w:br w:type="page"/>
      </w:r>
    </w:p>
    <w:p w:rsidR="008E7846" w:rsidRDefault="00F53C07" w:rsidP="00AA2007">
      <w:pPr>
        <w:pStyle w:val="Heading2"/>
      </w:pPr>
      <w:bookmarkStart w:id="8" w:name="_Toc412706451"/>
      <w:r>
        <w:lastRenderedPageBreak/>
        <w:t>I.</w:t>
      </w:r>
      <w:r w:rsidR="008E7846">
        <w:t xml:space="preserve"> Introduction to product </w:t>
      </w:r>
      <w:r w:rsidR="008E7846" w:rsidRPr="00AA2007">
        <w:t>submission</w:t>
      </w:r>
      <w:bookmarkEnd w:id="8"/>
      <w:bookmarkEnd w:id="2"/>
      <w:bookmarkEnd w:id="0"/>
    </w:p>
    <w:p w:rsidR="008E7846" w:rsidRPr="00AA2007" w:rsidRDefault="008E7846" w:rsidP="00AA2007">
      <w:pPr>
        <w:pStyle w:val="Heading3"/>
      </w:pPr>
      <w:bookmarkStart w:id="9" w:name="_Toc247691502"/>
      <w:bookmarkStart w:id="10" w:name="_Toc314842483"/>
      <w:bookmarkStart w:id="11" w:name="_Toc412706452"/>
      <w:r>
        <w:rPr>
          <w:lang w:eastAsia="en-AU"/>
        </w:rPr>
        <w:t>Submission details</w:t>
      </w:r>
      <w:bookmarkEnd w:id="9"/>
      <w:bookmarkEnd w:id="10"/>
      <w:bookmarkEnd w:id="11"/>
    </w:p>
    <w:tbl>
      <w:tblPr>
        <w:tblW w:w="9497" w:type="dxa"/>
        <w:tblInd w:w="108" w:type="dxa"/>
        <w:tblLook w:val="01E0" w:firstRow="1" w:lastRow="1" w:firstColumn="1" w:lastColumn="1" w:noHBand="0" w:noVBand="0"/>
      </w:tblPr>
      <w:tblGrid>
        <w:gridCol w:w="2907"/>
        <w:gridCol w:w="6307"/>
        <w:gridCol w:w="283"/>
      </w:tblGrid>
      <w:tr w:rsidR="008E7846" w:rsidRPr="003D1E62" w:rsidTr="00AA2007">
        <w:trPr>
          <w:trHeight w:hRule="exact" w:val="454"/>
        </w:trPr>
        <w:tc>
          <w:tcPr>
            <w:tcW w:w="2907" w:type="dxa"/>
          </w:tcPr>
          <w:p w:rsidR="008E7846" w:rsidRPr="003D1E62" w:rsidRDefault="001B5C90" w:rsidP="001B5C90">
            <w:pPr>
              <w:rPr>
                <w:i/>
              </w:rPr>
            </w:pPr>
            <w:r>
              <w:rPr>
                <w:i/>
              </w:rPr>
              <w:t>Type of s</w:t>
            </w:r>
            <w:r w:rsidR="008E7846" w:rsidRPr="003D1E62">
              <w:rPr>
                <w:i/>
              </w:rPr>
              <w:t>ubmission</w:t>
            </w:r>
            <w:r>
              <w:rPr>
                <w:i/>
              </w:rPr>
              <w:t>:</w:t>
            </w:r>
          </w:p>
        </w:tc>
        <w:tc>
          <w:tcPr>
            <w:tcW w:w="6590" w:type="dxa"/>
            <w:gridSpan w:val="2"/>
          </w:tcPr>
          <w:p w:rsidR="008E7846" w:rsidRPr="003D1E62" w:rsidRDefault="008E7846" w:rsidP="0085343B">
            <w:r w:rsidRPr="003D1E62">
              <w:t xml:space="preserve">New </w:t>
            </w:r>
            <w:r w:rsidR="0085343B">
              <w:t>fixed dose combination</w:t>
            </w:r>
          </w:p>
        </w:tc>
      </w:tr>
      <w:tr w:rsidR="008E7846" w:rsidRPr="003D1E62" w:rsidTr="00AA2007">
        <w:trPr>
          <w:trHeight w:hRule="exact" w:val="454"/>
        </w:trPr>
        <w:tc>
          <w:tcPr>
            <w:tcW w:w="2907" w:type="dxa"/>
          </w:tcPr>
          <w:p w:rsidR="008E7846" w:rsidRPr="003D1E62" w:rsidRDefault="008E7846" w:rsidP="003D1E62">
            <w:r w:rsidRPr="003D1E62">
              <w:rPr>
                <w:i/>
              </w:rPr>
              <w:t>Decision</w:t>
            </w:r>
            <w:r w:rsidRPr="003D1E62">
              <w:t>:</w:t>
            </w:r>
          </w:p>
        </w:tc>
        <w:tc>
          <w:tcPr>
            <w:tcW w:w="6590" w:type="dxa"/>
            <w:gridSpan w:val="2"/>
          </w:tcPr>
          <w:p w:rsidR="008E7846" w:rsidRPr="003D1E62" w:rsidRDefault="00AA2007" w:rsidP="0085343B">
            <w:r>
              <w:t>Approved</w:t>
            </w:r>
          </w:p>
        </w:tc>
      </w:tr>
      <w:tr w:rsidR="008E7846" w:rsidRPr="003D1E62" w:rsidTr="00AA2007">
        <w:trPr>
          <w:trHeight w:hRule="exact" w:val="454"/>
        </w:trPr>
        <w:tc>
          <w:tcPr>
            <w:tcW w:w="2907" w:type="dxa"/>
          </w:tcPr>
          <w:p w:rsidR="008E7846" w:rsidRPr="003D1E62" w:rsidRDefault="008E7846" w:rsidP="001B5C90">
            <w:pPr>
              <w:rPr>
                <w:i/>
              </w:rPr>
            </w:pPr>
            <w:r w:rsidRPr="003D1E62">
              <w:rPr>
                <w:i/>
              </w:rPr>
              <w:t xml:space="preserve">Date of </w:t>
            </w:r>
            <w:r w:rsidR="001B5C90">
              <w:rPr>
                <w:i/>
              </w:rPr>
              <w:t>d</w:t>
            </w:r>
            <w:r w:rsidRPr="003D1E62">
              <w:rPr>
                <w:i/>
              </w:rPr>
              <w:t>ecision:</w:t>
            </w:r>
          </w:p>
        </w:tc>
        <w:tc>
          <w:tcPr>
            <w:tcW w:w="6590" w:type="dxa"/>
            <w:gridSpan w:val="2"/>
          </w:tcPr>
          <w:p w:rsidR="008E7846" w:rsidRPr="003D1E62" w:rsidRDefault="00AA2007" w:rsidP="0085343B">
            <w:r>
              <w:t>28 August 2014</w:t>
            </w:r>
          </w:p>
        </w:tc>
      </w:tr>
      <w:tr w:rsidR="008E7846" w:rsidRPr="00487162" w:rsidTr="00AA2007">
        <w:trPr>
          <w:gridAfter w:val="1"/>
          <w:wAfter w:w="283" w:type="dxa"/>
        </w:trPr>
        <w:tc>
          <w:tcPr>
            <w:tcW w:w="2907" w:type="dxa"/>
          </w:tcPr>
          <w:p w:rsidR="008E7846" w:rsidRPr="00487162" w:rsidRDefault="0085343B" w:rsidP="0085343B">
            <w:pPr>
              <w:rPr>
                <w:i/>
              </w:rPr>
            </w:pPr>
            <w:r>
              <w:rPr>
                <w:i/>
              </w:rPr>
              <w:t>Active ingredient</w:t>
            </w:r>
            <w:r w:rsidR="001B5C90">
              <w:rPr>
                <w:i/>
              </w:rPr>
              <w:t>s:</w:t>
            </w:r>
          </w:p>
        </w:tc>
        <w:tc>
          <w:tcPr>
            <w:tcW w:w="6307" w:type="dxa"/>
          </w:tcPr>
          <w:p w:rsidR="008E7846" w:rsidRPr="00487162" w:rsidRDefault="0085343B" w:rsidP="0085343B">
            <w:r>
              <w:t xml:space="preserve">Ezetimibe and </w:t>
            </w:r>
            <w:r w:rsidRPr="0085343B">
              <w:t>rosuvastatin (as calcium)</w:t>
            </w:r>
          </w:p>
        </w:tc>
      </w:tr>
      <w:tr w:rsidR="008E7846" w:rsidRPr="00487162" w:rsidTr="00AA2007">
        <w:trPr>
          <w:gridAfter w:val="1"/>
          <w:wAfter w:w="283" w:type="dxa"/>
        </w:trPr>
        <w:tc>
          <w:tcPr>
            <w:tcW w:w="2907" w:type="dxa"/>
          </w:tcPr>
          <w:p w:rsidR="008E7846" w:rsidRPr="00487162" w:rsidRDefault="008E7846" w:rsidP="0085343B">
            <w:pPr>
              <w:rPr>
                <w:i/>
              </w:rPr>
            </w:pPr>
            <w:r w:rsidRPr="00487162">
              <w:rPr>
                <w:i/>
              </w:rPr>
              <w:t>Product</w:t>
            </w:r>
            <w:r w:rsidR="0085343B">
              <w:rPr>
                <w:i/>
              </w:rPr>
              <w:t xml:space="preserve"> name</w:t>
            </w:r>
            <w:r w:rsidR="001B5C90">
              <w:rPr>
                <w:i/>
              </w:rPr>
              <w:t>s:</w:t>
            </w:r>
          </w:p>
        </w:tc>
        <w:tc>
          <w:tcPr>
            <w:tcW w:w="6307" w:type="dxa"/>
          </w:tcPr>
          <w:p w:rsidR="008E7846" w:rsidRPr="00487162" w:rsidRDefault="0085343B" w:rsidP="00E45619">
            <w:proofErr w:type="spellStart"/>
            <w:r>
              <w:t>Ezalo</w:t>
            </w:r>
            <w:proofErr w:type="spellEnd"/>
            <w:r>
              <w:t xml:space="preserve">, </w:t>
            </w:r>
            <w:proofErr w:type="spellStart"/>
            <w:r>
              <w:t>Rosuzet</w:t>
            </w:r>
            <w:proofErr w:type="spellEnd"/>
          </w:p>
        </w:tc>
      </w:tr>
      <w:tr w:rsidR="008E7846" w:rsidRPr="00487162" w:rsidTr="00AA2007">
        <w:trPr>
          <w:gridAfter w:val="1"/>
          <w:wAfter w:w="283" w:type="dxa"/>
        </w:trPr>
        <w:tc>
          <w:tcPr>
            <w:tcW w:w="2907" w:type="dxa"/>
          </w:tcPr>
          <w:p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rsidR="008E7846" w:rsidRPr="00487162" w:rsidRDefault="0085343B" w:rsidP="00E45619">
            <w:r w:rsidRPr="0085343B">
              <w:t xml:space="preserve">Merck Sharp &amp; </w:t>
            </w:r>
            <w:proofErr w:type="spellStart"/>
            <w:r w:rsidRPr="0085343B">
              <w:t>Dohme</w:t>
            </w:r>
            <w:proofErr w:type="spellEnd"/>
            <w:r w:rsidRPr="0085343B">
              <w:t xml:space="preserve"> (Australia) Pty Limited</w:t>
            </w:r>
            <w:r>
              <w:br/>
              <w:t>Level 1, Building A</w:t>
            </w:r>
            <w:r>
              <w:br/>
              <w:t>26 Talavera Road</w:t>
            </w:r>
            <w:r>
              <w:br/>
              <w:t>Macquarie Park  NSW  2113</w:t>
            </w:r>
          </w:p>
        </w:tc>
      </w:tr>
      <w:tr w:rsidR="008E7846" w:rsidRPr="00487162" w:rsidTr="00AA2007">
        <w:trPr>
          <w:gridAfter w:val="1"/>
          <w:wAfter w:w="283" w:type="dxa"/>
        </w:trPr>
        <w:tc>
          <w:tcPr>
            <w:tcW w:w="2907" w:type="dxa"/>
          </w:tcPr>
          <w:p w:rsidR="008E7846" w:rsidRPr="00487162" w:rsidRDefault="0085343B" w:rsidP="00E45619">
            <w:pPr>
              <w:rPr>
                <w:i/>
              </w:rPr>
            </w:pPr>
            <w:r>
              <w:rPr>
                <w:i/>
              </w:rPr>
              <w:t>Dose form</w:t>
            </w:r>
            <w:r w:rsidR="001B5C90">
              <w:rPr>
                <w:i/>
              </w:rPr>
              <w:t>:</w:t>
            </w:r>
          </w:p>
        </w:tc>
        <w:tc>
          <w:tcPr>
            <w:tcW w:w="6307" w:type="dxa"/>
          </w:tcPr>
          <w:p w:rsidR="008E7846" w:rsidRPr="00487162" w:rsidRDefault="0085343B" w:rsidP="0085343B">
            <w:r>
              <w:t>Fixed dose combination tablet</w:t>
            </w:r>
          </w:p>
        </w:tc>
      </w:tr>
      <w:tr w:rsidR="008E7846" w:rsidRPr="00487162" w:rsidTr="00AA2007">
        <w:trPr>
          <w:gridAfter w:val="1"/>
          <w:wAfter w:w="283" w:type="dxa"/>
        </w:trPr>
        <w:tc>
          <w:tcPr>
            <w:tcW w:w="2907" w:type="dxa"/>
          </w:tcPr>
          <w:p w:rsidR="008E7846" w:rsidRPr="00487162" w:rsidRDefault="00AA2007" w:rsidP="0085343B">
            <w:pPr>
              <w:rPr>
                <w:i/>
              </w:rPr>
            </w:pPr>
            <w:r>
              <w:rPr>
                <w:i/>
              </w:rPr>
              <w:t>Strengths:</w:t>
            </w:r>
          </w:p>
        </w:tc>
        <w:tc>
          <w:tcPr>
            <w:tcW w:w="6307" w:type="dxa"/>
          </w:tcPr>
          <w:p w:rsidR="008E7846" w:rsidRPr="00487162" w:rsidRDefault="0085343B" w:rsidP="0085343B">
            <w:pPr>
              <w:tabs>
                <w:tab w:val="left" w:pos="720"/>
              </w:tabs>
            </w:pPr>
            <w:r w:rsidRPr="00272078">
              <w:rPr>
                <w:rFonts w:asciiTheme="minorHAnsi" w:hAnsiTheme="minorHAnsi"/>
              </w:rPr>
              <w:t>Ezetimibe</w:t>
            </w:r>
            <w:r>
              <w:rPr>
                <w:rFonts w:asciiTheme="minorHAnsi" w:hAnsiTheme="minorHAnsi"/>
              </w:rPr>
              <w:t>/rosuvastatin</w:t>
            </w:r>
            <w:r w:rsidR="0016345B">
              <w:rPr>
                <w:rFonts w:asciiTheme="minorHAnsi" w:hAnsiTheme="minorHAnsi"/>
              </w:rPr>
              <w:t>:</w:t>
            </w:r>
            <w:r w:rsidRPr="00272078">
              <w:rPr>
                <w:rFonts w:asciiTheme="minorHAnsi" w:hAnsiTheme="minorHAnsi"/>
              </w:rPr>
              <w:t xml:space="preserve"> 10</w:t>
            </w:r>
            <w:r>
              <w:rPr>
                <w:rFonts w:asciiTheme="minorHAnsi" w:hAnsiTheme="minorHAnsi"/>
              </w:rPr>
              <w:t xml:space="preserve"> mg/5 </w:t>
            </w:r>
            <w:r w:rsidRPr="00272078">
              <w:rPr>
                <w:rFonts w:asciiTheme="minorHAnsi" w:hAnsiTheme="minorHAnsi"/>
              </w:rPr>
              <w:t>mg</w:t>
            </w:r>
            <w:r>
              <w:rPr>
                <w:rFonts w:asciiTheme="minorHAnsi" w:hAnsiTheme="minorHAnsi"/>
              </w:rPr>
              <w:t>, 10 mg/10 mg, 10 mg</w:t>
            </w:r>
            <w:r w:rsidR="000549DA">
              <w:rPr>
                <w:rFonts w:asciiTheme="minorHAnsi" w:hAnsiTheme="minorHAnsi"/>
              </w:rPr>
              <w:t>/20 mg. and 10 mg</w:t>
            </w:r>
            <w:r>
              <w:rPr>
                <w:rFonts w:asciiTheme="minorHAnsi" w:hAnsiTheme="minorHAnsi"/>
              </w:rPr>
              <w:t>/40 mg</w:t>
            </w:r>
          </w:p>
        </w:tc>
      </w:tr>
      <w:tr w:rsidR="008E7846" w:rsidRPr="00487162" w:rsidTr="00AA2007">
        <w:trPr>
          <w:gridAfter w:val="1"/>
          <w:wAfter w:w="283" w:type="dxa"/>
        </w:trPr>
        <w:tc>
          <w:tcPr>
            <w:tcW w:w="2907" w:type="dxa"/>
          </w:tcPr>
          <w:p w:rsidR="008E7846" w:rsidRPr="00487162" w:rsidRDefault="0085343B" w:rsidP="00AA2007">
            <w:pPr>
              <w:rPr>
                <w:i/>
              </w:rPr>
            </w:pPr>
            <w:r>
              <w:rPr>
                <w:i/>
              </w:rPr>
              <w:t>Container</w:t>
            </w:r>
            <w:r w:rsidR="008E7846" w:rsidRPr="00487162">
              <w:rPr>
                <w:i/>
              </w:rPr>
              <w:t>:</w:t>
            </w:r>
          </w:p>
        </w:tc>
        <w:tc>
          <w:tcPr>
            <w:tcW w:w="6307" w:type="dxa"/>
          </w:tcPr>
          <w:p w:rsidR="008E7846" w:rsidRPr="00487162" w:rsidRDefault="00E91825" w:rsidP="00E45619">
            <w:r>
              <w:t>Blister pack</w:t>
            </w:r>
          </w:p>
        </w:tc>
      </w:tr>
      <w:tr w:rsidR="008E7846" w:rsidRPr="00487162" w:rsidTr="00AA2007">
        <w:trPr>
          <w:gridAfter w:val="1"/>
          <w:wAfter w:w="283" w:type="dxa"/>
        </w:trPr>
        <w:tc>
          <w:tcPr>
            <w:tcW w:w="2907" w:type="dxa"/>
          </w:tcPr>
          <w:p w:rsidR="008E7846" w:rsidRPr="00487162" w:rsidRDefault="00E91825" w:rsidP="00E91825">
            <w:pPr>
              <w:rPr>
                <w:i/>
              </w:rPr>
            </w:pPr>
            <w:r>
              <w:rPr>
                <w:i/>
              </w:rPr>
              <w:t>Pack size</w:t>
            </w:r>
            <w:r w:rsidR="008E7846" w:rsidRPr="00487162">
              <w:rPr>
                <w:i/>
              </w:rPr>
              <w:t>s:</w:t>
            </w:r>
          </w:p>
        </w:tc>
        <w:tc>
          <w:tcPr>
            <w:tcW w:w="6307" w:type="dxa"/>
          </w:tcPr>
          <w:p w:rsidR="008E7846" w:rsidRPr="00487162" w:rsidRDefault="00824073" w:rsidP="00824073">
            <w:r>
              <w:t>9, 10 or 30 tablets</w:t>
            </w:r>
          </w:p>
        </w:tc>
      </w:tr>
      <w:tr w:rsidR="008E7846" w:rsidRPr="00487162" w:rsidTr="00AA2007">
        <w:trPr>
          <w:gridAfter w:val="1"/>
          <w:wAfter w:w="283" w:type="dxa"/>
        </w:trPr>
        <w:tc>
          <w:tcPr>
            <w:tcW w:w="2907" w:type="dxa"/>
          </w:tcPr>
          <w:p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rsidR="00824073" w:rsidRDefault="00E91825" w:rsidP="00824073">
            <w:pPr>
              <w:rPr>
                <w:b/>
                <w:i/>
              </w:rPr>
            </w:pPr>
            <w:r w:rsidRPr="00824073">
              <w:rPr>
                <w:b/>
                <w:i/>
              </w:rPr>
              <w:t>Primary Hypercholesterolaemia</w:t>
            </w:r>
          </w:p>
          <w:p w:rsidR="00824073" w:rsidRDefault="00E91825" w:rsidP="00824073">
            <w:pPr>
              <w:rPr>
                <w:i/>
              </w:rPr>
            </w:pPr>
            <w:proofErr w:type="spellStart"/>
            <w:r w:rsidRPr="00824073">
              <w:rPr>
                <w:i/>
              </w:rPr>
              <w:t>Rosuzet</w:t>
            </w:r>
            <w:proofErr w:type="spellEnd"/>
            <w:r w:rsidRPr="00824073">
              <w:rPr>
                <w:i/>
              </w:rPr>
              <w:t>/</w:t>
            </w:r>
            <w:proofErr w:type="spellStart"/>
            <w:r w:rsidRPr="00824073">
              <w:rPr>
                <w:i/>
              </w:rPr>
              <w:t>Ezalo</w:t>
            </w:r>
            <w:proofErr w:type="spellEnd"/>
            <w:r w:rsidRPr="00824073">
              <w:rPr>
                <w:i/>
              </w:rPr>
              <w:t xml:space="preserve"> is indicated as adjunctive therapy to diet in patients with primary (heterozygous familial and non-familial) hypercholesterolaemia where use of a combination product is appropriate in those patients:</w:t>
            </w:r>
          </w:p>
          <w:p w:rsidR="00824073" w:rsidRPr="00824073" w:rsidRDefault="00E91825" w:rsidP="00824073">
            <w:pPr>
              <w:pStyle w:val="ListBullet"/>
              <w:rPr>
                <w:i/>
              </w:rPr>
            </w:pPr>
            <w:r w:rsidRPr="00824073">
              <w:rPr>
                <w:i/>
              </w:rPr>
              <w:t>not appropriately controlled with rosuvastatin or ezetimibe alone; or</w:t>
            </w:r>
          </w:p>
          <w:p w:rsidR="00E91825" w:rsidRPr="00824073" w:rsidRDefault="00E91825" w:rsidP="00824073">
            <w:pPr>
              <w:pStyle w:val="ListBullet"/>
              <w:rPr>
                <w:i/>
              </w:rPr>
            </w:pPr>
            <w:r w:rsidRPr="00824073">
              <w:rPr>
                <w:i/>
              </w:rPr>
              <w:t>already treated with rosuvastatin and ezetimibe</w:t>
            </w:r>
          </w:p>
          <w:p w:rsidR="00824073" w:rsidRDefault="00E91825" w:rsidP="00824073">
            <w:pPr>
              <w:rPr>
                <w:b/>
                <w:i/>
              </w:rPr>
            </w:pPr>
            <w:r w:rsidRPr="00824073">
              <w:rPr>
                <w:b/>
                <w:i/>
              </w:rPr>
              <w:t xml:space="preserve">Homozygous Familial </w:t>
            </w:r>
            <w:proofErr w:type="spellStart"/>
            <w:r w:rsidRPr="00824073">
              <w:rPr>
                <w:b/>
                <w:i/>
              </w:rPr>
              <w:t>Hypercholesterolaemia</w:t>
            </w:r>
            <w:proofErr w:type="spellEnd"/>
            <w:r w:rsidRPr="00824073">
              <w:rPr>
                <w:b/>
                <w:i/>
              </w:rPr>
              <w:t xml:space="preserve"> (</w:t>
            </w:r>
            <w:proofErr w:type="spellStart"/>
            <w:r w:rsidRPr="00824073">
              <w:rPr>
                <w:b/>
                <w:i/>
              </w:rPr>
              <w:t>HoFH</w:t>
            </w:r>
            <w:proofErr w:type="spellEnd"/>
            <w:r w:rsidRPr="00824073">
              <w:rPr>
                <w:b/>
                <w:i/>
              </w:rPr>
              <w:t>)</w:t>
            </w:r>
          </w:p>
          <w:p w:rsidR="008E7846" w:rsidRPr="00487162" w:rsidRDefault="00E91825" w:rsidP="00824073">
            <w:pPr>
              <w:rPr>
                <w:rFonts w:eastAsia="MS Mincho"/>
                <w:lang w:eastAsia="ja-JP"/>
              </w:rPr>
            </w:pPr>
            <w:proofErr w:type="spellStart"/>
            <w:r w:rsidRPr="00824073">
              <w:rPr>
                <w:i/>
              </w:rPr>
              <w:t>Rosuzet</w:t>
            </w:r>
            <w:proofErr w:type="spellEnd"/>
            <w:r w:rsidRPr="00824073">
              <w:rPr>
                <w:i/>
              </w:rPr>
              <w:t>/</w:t>
            </w:r>
            <w:proofErr w:type="spellStart"/>
            <w:r w:rsidRPr="00824073">
              <w:rPr>
                <w:i/>
              </w:rPr>
              <w:t>Ezalo</w:t>
            </w:r>
            <w:proofErr w:type="spellEnd"/>
            <w:r w:rsidRPr="00824073">
              <w:rPr>
                <w:i/>
              </w:rPr>
              <w:t xml:space="preserve"> is indicated for patients with </w:t>
            </w:r>
            <w:proofErr w:type="spellStart"/>
            <w:r w:rsidRPr="00824073">
              <w:rPr>
                <w:i/>
              </w:rPr>
              <w:t>HoFH</w:t>
            </w:r>
            <w:proofErr w:type="spellEnd"/>
            <w:r w:rsidRPr="00824073">
              <w:rPr>
                <w:i/>
              </w:rPr>
              <w:t>. Patients may also receive adjunctive treatments (e.g., LDL apheresis).</w:t>
            </w:r>
          </w:p>
        </w:tc>
      </w:tr>
      <w:tr w:rsidR="008E7846" w:rsidRPr="00487162" w:rsidTr="00AA2007">
        <w:trPr>
          <w:gridAfter w:val="1"/>
          <w:wAfter w:w="283" w:type="dxa"/>
        </w:trPr>
        <w:tc>
          <w:tcPr>
            <w:tcW w:w="2907" w:type="dxa"/>
          </w:tcPr>
          <w:p w:rsidR="008E7846" w:rsidRPr="00487162" w:rsidRDefault="008E7846" w:rsidP="00E45619">
            <w:pPr>
              <w:rPr>
                <w:i/>
              </w:rPr>
            </w:pPr>
            <w:r w:rsidRPr="00487162">
              <w:rPr>
                <w:i/>
              </w:rPr>
              <w:t>Rout</w:t>
            </w:r>
            <w:r w:rsidR="00E91825">
              <w:rPr>
                <w:i/>
              </w:rPr>
              <w:t>e</w:t>
            </w:r>
            <w:r w:rsidRPr="00487162">
              <w:rPr>
                <w:i/>
              </w:rPr>
              <w:t xml:space="preserve"> of administration:</w:t>
            </w:r>
          </w:p>
        </w:tc>
        <w:tc>
          <w:tcPr>
            <w:tcW w:w="6307" w:type="dxa"/>
          </w:tcPr>
          <w:p w:rsidR="008E7846" w:rsidRPr="00487162" w:rsidRDefault="00E91825" w:rsidP="00E45619">
            <w:r>
              <w:t>Oral</w:t>
            </w:r>
          </w:p>
        </w:tc>
      </w:tr>
      <w:tr w:rsidR="008E7846" w:rsidRPr="00487162" w:rsidTr="00AA2007">
        <w:trPr>
          <w:gridAfter w:val="1"/>
          <w:wAfter w:w="283" w:type="dxa"/>
        </w:trPr>
        <w:tc>
          <w:tcPr>
            <w:tcW w:w="2907" w:type="dxa"/>
          </w:tcPr>
          <w:p w:rsidR="008E7846" w:rsidRPr="00487162" w:rsidRDefault="008E7846" w:rsidP="00E45619">
            <w:pPr>
              <w:rPr>
                <w:i/>
              </w:rPr>
            </w:pPr>
            <w:r w:rsidRPr="00487162">
              <w:rPr>
                <w:i/>
              </w:rPr>
              <w:t>Dosage:</w:t>
            </w:r>
          </w:p>
        </w:tc>
        <w:tc>
          <w:tcPr>
            <w:tcW w:w="6307" w:type="dxa"/>
          </w:tcPr>
          <w:p w:rsidR="008E7846" w:rsidRPr="00487162" w:rsidRDefault="00824073" w:rsidP="00F2473E">
            <w:r>
              <w:t>The dose range is e</w:t>
            </w:r>
            <w:r w:rsidRPr="00824073">
              <w:t xml:space="preserve">zetimibe/rosuvastatin </w:t>
            </w:r>
            <w:r>
              <w:t xml:space="preserve">(as calcium) </w:t>
            </w:r>
            <w:r w:rsidRPr="00824073">
              <w:t>10</w:t>
            </w:r>
            <w:r>
              <w:t> </w:t>
            </w:r>
            <w:r w:rsidRPr="00824073">
              <w:t>mg/5</w:t>
            </w:r>
            <w:r>
              <w:t> </w:t>
            </w:r>
            <w:r w:rsidRPr="00824073">
              <w:t xml:space="preserve">mg </w:t>
            </w:r>
            <w:r>
              <w:t>to 10</w:t>
            </w:r>
            <w:r w:rsidR="000549DA">
              <w:t xml:space="preserve"> mg</w:t>
            </w:r>
            <w:r>
              <w:t>/40 mg once daily. The usual maximum dose is 10</w:t>
            </w:r>
            <w:r w:rsidR="000549DA">
              <w:t xml:space="preserve"> mg</w:t>
            </w:r>
            <w:r>
              <w:t xml:space="preserve">/20 mg once per day </w:t>
            </w:r>
            <w:r w:rsidR="00F2473E">
              <w:br/>
              <w:t>[</w:t>
            </w:r>
            <w:r>
              <w:t xml:space="preserve">see approved Product Information for full </w:t>
            </w:r>
            <w:r w:rsidRPr="00824073">
              <w:rPr>
                <w:i/>
              </w:rPr>
              <w:t>Dosage and Administration</w:t>
            </w:r>
            <w:r w:rsidR="00F2473E">
              <w:t>]</w:t>
            </w:r>
          </w:p>
        </w:tc>
      </w:tr>
      <w:tr w:rsidR="008E7846" w:rsidRPr="00487162" w:rsidTr="00AA2007">
        <w:trPr>
          <w:gridAfter w:val="1"/>
          <w:wAfter w:w="283" w:type="dxa"/>
        </w:trPr>
        <w:tc>
          <w:tcPr>
            <w:tcW w:w="2907" w:type="dxa"/>
          </w:tcPr>
          <w:p w:rsidR="008E7846" w:rsidRPr="00487162" w:rsidRDefault="008E7846" w:rsidP="001B5C90">
            <w:pPr>
              <w:rPr>
                <w:i/>
              </w:rPr>
            </w:pPr>
            <w:r w:rsidRPr="00487162">
              <w:rPr>
                <w:i/>
              </w:rPr>
              <w:t xml:space="preserve">ARTG </w:t>
            </w:r>
            <w:r w:rsidR="001B5C90">
              <w:rPr>
                <w:i/>
              </w:rPr>
              <w:t>n</w:t>
            </w:r>
            <w:r w:rsidR="00E91825">
              <w:rPr>
                <w:i/>
              </w:rPr>
              <w:t>umbers</w:t>
            </w:r>
            <w:r w:rsidR="001B5C90">
              <w:rPr>
                <w:i/>
              </w:rPr>
              <w:t>:</w:t>
            </w:r>
          </w:p>
        </w:tc>
        <w:tc>
          <w:tcPr>
            <w:tcW w:w="6307" w:type="dxa"/>
          </w:tcPr>
          <w:p w:rsidR="008E7846" w:rsidRPr="00487162" w:rsidRDefault="00E91825" w:rsidP="00E91825">
            <w:r w:rsidRPr="00E91825">
              <w:t>214121, 214114, 214119, 214116, 214120, 214115, 214117, and 214118</w:t>
            </w:r>
          </w:p>
        </w:tc>
      </w:tr>
    </w:tbl>
    <w:p w:rsidR="008E7846" w:rsidRDefault="008E7846" w:rsidP="00AA2007">
      <w:pPr>
        <w:pStyle w:val="Heading3"/>
      </w:pPr>
      <w:bookmarkStart w:id="12" w:name="_Toc247691503"/>
      <w:bookmarkStart w:id="13" w:name="_Toc314842484"/>
      <w:bookmarkStart w:id="14" w:name="_Toc412706453"/>
      <w:r>
        <w:lastRenderedPageBreak/>
        <w:t xml:space="preserve">Product </w:t>
      </w:r>
      <w:r w:rsidRPr="00AA2007">
        <w:t>background</w:t>
      </w:r>
      <w:bookmarkEnd w:id="12"/>
      <w:bookmarkEnd w:id="13"/>
      <w:bookmarkEnd w:id="14"/>
    </w:p>
    <w:p w:rsidR="006E33DE" w:rsidRDefault="006E33DE" w:rsidP="00AA2007">
      <w:r>
        <w:t xml:space="preserve">Ezetimibe is a selective inhibitor of intestinal cholesterol and related </w:t>
      </w:r>
      <w:proofErr w:type="spellStart"/>
      <w:r>
        <w:t>phytosterol</w:t>
      </w:r>
      <w:proofErr w:type="spellEnd"/>
      <w:r>
        <w:t xml:space="preserve"> absorption and was registered in Australia </w:t>
      </w:r>
      <w:r w:rsidR="006D51DC">
        <w:t>as 10 mg tablets in June 2003.</w:t>
      </w:r>
      <w:r>
        <w:t xml:space="preserve"> Rosuvastatin (as calcium) is a </w:t>
      </w:r>
      <w:r w:rsidR="00F2473E" w:rsidRPr="00F2473E">
        <w:t xml:space="preserve">3-hydroxy-3-methylglutaryl coenzyme A </w:t>
      </w:r>
      <w:r w:rsidR="00F2473E">
        <w:t>(</w:t>
      </w:r>
      <w:r>
        <w:t>HMG-CoA</w:t>
      </w:r>
      <w:r w:rsidR="00F2473E">
        <w:t>)</w:t>
      </w:r>
      <w:r>
        <w:t xml:space="preserve"> reductase inhibitor and </w:t>
      </w:r>
      <w:r w:rsidR="006D51DC">
        <w:t>wa</w:t>
      </w:r>
      <w:r>
        <w:t xml:space="preserve">s registered </w:t>
      </w:r>
      <w:r w:rsidR="006D51DC">
        <w:t>as 5, 10, 20 a</w:t>
      </w:r>
      <w:r w:rsidR="00AA2007">
        <w:t>nd 40 mg tablets in April 2006.</w:t>
      </w:r>
    </w:p>
    <w:p w:rsidR="004E0B5C" w:rsidRPr="004E0B5C" w:rsidRDefault="004E0B5C" w:rsidP="00AA2007">
      <w:r w:rsidRPr="004E0B5C">
        <w:t xml:space="preserve">The approved indications for ezetimibe monotherapy involve use in primary hypercholesterolaemia or homozygous familial </w:t>
      </w:r>
      <w:proofErr w:type="spellStart"/>
      <w:r w:rsidRPr="004E0B5C">
        <w:t>hypercholesterolaemia</w:t>
      </w:r>
      <w:proofErr w:type="spellEnd"/>
      <w:r w:rsidRPr="004E0B5C">
        <w:t xml:space="preserve"> (</w:t>
      </w:r>
      <w:proofErr w:type="spellStart"/>
      <w:r w:rsidRPr="004E0B5C">
        <w:t>HoFH</w:t>
      </w:r>
      <w:proofErr w:type="spellEnd"/>
      <w:r w:rsidRPr="004E0B5C">
        <w:t xml:space="preserve">) or homozygous </w:t>
      </w:r>
      <w:proofErr w:type="spellStart"/>
      <w:r w:rsidRPr="004E0B5C">
        <w:t>sitosterolaemia</w:t>
      </w:r>
      <w:proofErr w:type="spellEnd"/>
      <w:r w:rsidRPr="004E0B5C">
        <w:t xml:space="preserve"> (</w:t>
      </w:r>
      <w:proofErr w:type="spellStart"/>
      <w:r w:rsidRPr="004E0B5C">
        <w:t>phytosterolaemia</w:t>
      </w:r>
      <w:proofErr w:type="spellEnd"/>
      <w:r w:rsidRPr="004E0B5C">
        <w:t>) while the approved indications for rosuvastatin monotherapy involve prevention of cardiovascular events and use in patients with hypercholesterolaemia.</w:t>
      </w:r>
    </w:p>
    <w:p w:rsidR="00387034" w:rsidRDefault="006D51DC" w:rsidP="00AA2007">
      <w:r w:rsidRPr="006D51DC">
        <w:t xml:space="preserve">The ezetimibe and rosuvastatin tablets are separately registered by Merck Sharp &amp; </w:t>
      </w:r>
      <w:proofErr w:type="spellStart"/>
      <w:r w:rsidRPr="006D51DC">
        <w:t>Dohme</w:t>
      </w:r>
      <w:proofErr w:type="spellEnd"/>
      <w:r w:rsidRPr="006D51DC">
        <w:t xml:space="preserve"> (Australia) Pty Limited under the trade names </w:t>
      </w:r>
      <w:proofErr w:type="spellStart"/>
      <w:r w:rsidRPr="006D51DC">
        <w:t>E</w:t>
      </w:r>
      <w:r>
        <w:t>zetrol</w:t>
      </w:r>
      <w:proofErr w:type="spellEnd"/>
      <w:r>
        <w:t xml:space="preserve"> </w:t>
      </w:r>
      <w:r w:rsidRPr="006D51DC">
        <w:t xml:space="preserve">and MSD </w:t>
      </w:r>
      <w:proofErr w:type="spellStart"/>
      <w:r w:rsidRPr="006D51DC">
        <w:t>Rosuvastatin</w:t>
      </w:r>
      <w:proofErr w:type="spellEnd"/>
      <w:r w:rsidR="00F2473E">
        <w:t>, respectively</w:t>
      </w:r>
      <w:r w:rsidR="00AA2007">
        <w:t>.</w:t>
      </w:r>
    </w:p>
    <w:p w:rsidR="006E33DE" w:rsidRPr="006E33DE" w:rsidRDefault="006D51DC" w:rsidP="00AA2007">
      <w:r w:rsidRPr="006D51DC">
        <w:t xml:space="preserve">Composite packs </w:t>
      </w:r>
      <w:r w:rsidR="0016345B">
        <w:t xml:space="preserve">containing </w:t>
      </w:r>
      <w:r w:rsidRPr="006D51DC">
        <w:t xml:space="preserve">ezetimibe and rosuvastatin </w:t>
      </w:r>
      <w:r w:rsidR="0016345B">
        <w:t xml:space="preserve">tablets </w:t>
      </w:r>
      <w:r w:rsidRPr="006D51DC">
        <w:t xml:space="preserve">were </w:t>
      </w:r>
      <w:r>
        <w:t>registered to the sponsor in November 2013</w:t>
      </w:r>
      <w:r w:rsidR="00387034">
        <w:t xml:space="preserve"> (</w:t>
      </w:r>
      <w:r w:rsidR="00387034" w:rsidRPr="00387034">
        <w:t>PM-2012-03419-1-3</w:t>
      </w:r>
      <w:r w:rsidR="00387034">
        <w:t>)</w:t>
      </w:r>
      <w:r>
        <w:t xml:space="preserve">. </w:t>
      </w:r>
      <w:r w:rsidRPr="006D51DC">
        <w:t xml:space="preserve">These packs contain separate tablets of ezetimibe 10 mg and rosuvastatin 5, 10, 20 or 40 mg, respectively (trade names </w:t>
      </w:r>
      <w:proofErr w:type="spellStart"/>
      <w:r w:rsidRPr="006D51DC">
        <w:t>E</w:t>
      </w:r>
      <w:r>
        <w:t>zalo</w:t>
      </w:r>
      <w:proofErr w:type="spellEnd"/>
      <w:r>
        <w:t xml:space="preserve"> </w:t>
      </w:r>
      <w:r w:rsidRPr="006D51DC">
        <w:t xml:space="preserve">Composite Pack, </w:t>
      </w:r>
      <w:proofErr w:type="spellStart"/>
      <w:r w:rsidRPr="006D51DC">
        <w:t>R</w:t>
      </w:r>
      <w:r>
        <w:t>osuzet</w:t>
      </w:r>
      <w:proofErr w:type="spellEnd"/>
      <w:r>
        <w:t xml:space="preserve"> </w:t>
      </w:r>
      <w:r w:rsidRPr="006D51DC">
        <w:t>Composite Pack)</w:t>
      </w:r>
      <w:r>
        <w:t xml:space="preserve"> and are approved for use </w:t>
      </w:r>
      <w:r w:rsidR="006E33DE" w:rsidRPr="006E33DE">
        <w:t xml:space="preserve">in patients with primary </w:t>
      </w:r>
      <w:proofErr w:type="spellStart"/>
      <w:r w:rsidR="006E33DE" w:rsidRPr="006E33DE">
        <w:t>hypercholesterolaemia</w:t>
      </w:r>
      <w:proofErr w:type="spellEnd"/>
      <w:r w:rsidR="006E33DE" w:rsidRPr="006E33DE">
        <w:t xml:space="preserve"> and </w:t>
      </w:r>
      <w:proofErr w:type="spellStart"/>
      <w:r w:rsidR="006E33DE" w:rsidRPr="006E33DE">
        <w:t>HoFH</w:t>
      </w:r>
      <w:proofErr w:type="spellEnd"/>
      <w:r w:rsidR="006E33DE" w:rsidRPr="006E33DE">
        <w:t>.</w:t>
      </w:r>
      <w:r w:rsidR="00387034">
        <w:t xml:space="preserve"> The AusPARs for the composite pack registration applications are available at </w:t>
      </w:r>
      <w:r w:rsidR="00AA2007">
        <w:t>&lt;</w:t>
      </w:r>
      <w:hyperlink r:id="rId14" w:history="1">
        <w:r w:rsidR="00387034" w:rsidRPr="000275AD">
          <w:rPr>
            <w:rStyle w:val="Hyperlink"/>
          </w:rPr>
          <w:t>http://www.tga.gov.au/australian-public-assessment-reports-prescription-medicines-auspars</w:t>
        </w:r>
      </w:hyperlink>
      <w:r w:rsidR="00AA2007">
        <w:t>&gt;.</w:t>
      </w:r>
    </w:p>
    <w:p w:rsidR="00C84065" w:rsidRDefault="00940A89" w:rsidP="00AA2007">
      <w:r w:rsidRPr="00940A89">
        <w:t xml:space="preserve">This AusPAR describes the application by </w:t>
      </w:r>
      <w:r w:rsidR="00F2473E" w:rsidRPr="00F2473E">
        <w:t xml:space="preserve">Merck Sharp &amp; </w:t>
      </w:r>
      <w:proofErr w:type="spellStart"/>
      <w:r w:rsidR="00F2473E" w:rsidRPr="00F2473E">
        <w:t>Dohme</w:t>
      </w:r>
      <w:proofErr w:type="spellEnd"/>
      <w:r w:rsidR="00F2473E" w:rsidRPr="00F2473E">
        <w:t xml:space="preserve"> (Australia) Pty Limited </w:t>
      </w:r>
      <w:r w:rsidR="00F2473E">
        <w:t>(</w:t>
      </w:r>
      <w:r w:rsidRPr="00940A89">
        <w:t>the sponsor</w:t>
      </w:r>
      <w:r w:rsidR="00F2473E">
        <w:t>)</w:t>
      </w:r>
      <w:r w:rsidRPr="00940A89">
        <w:t xml:space="preserve"> to register </w:t>
      </w:r>
      <w:r w:rsidR="004E0B5C">
        <w:t>fixed dose combination tablets containing ezetimib</w:t>
      </w:r>
      <w:r w:rsidR="00F2473E">
        <w:t>e and rosuvastatin (as calcium)</w:t>
      </w:r>
      <w:r w:rsidRPr="00940A89">
        <w:t xml:space="preserve"> for the following indication</w:t>
      </w:r>
      <w:r w:rsidR="00C84065">
        <w:t>:</w:t>
      </w:r>
    </w:p>
    <w:p w:rsidR="00C84065" w:rsidRPr="00AA2007" w:rsidRDefault="00C84065" w:rsidP="00AA2007">
      <w:pPr>
        <w:rPr>
          <w:b/>
          <w:i/>
        </w:rPr>
      </w:pPr>
      <w:r w:rsidRPr="00AA2007">
        <w:rPr>
          <w:b/>
          <w:i/>
        </w:rPr>
        <w:t xml:space="preserve">Primary Hypercholesterolaemia </w:t>
      </w:r>
    </w:p>
    <w:p w:rsidR="00C84065" w:rsidRPr="00AA2007" w:rsidRDefault="00C84065" w:rsidP="00AA2007">
      <w:pPr>
        <w:rPr>
          <w:i/>
        </w:rPr>
      </w:pPr>
      <w:proofErr w:type="spellStart"/>
      <w:r w:rsidRPr="00AA2007">
        <w:rPr>
          <w:i/>
        </w:rPr>
        <w:t>Ezalo</w:t>
      </w:r>
      <w:proofErr w:type="spellEnd"/>
      <w:r w:rsidRPr="00AA2007">
        <w:rPr>
          <w:i/>
        </w:rPr>
        <w:t>/</w:t>
      </w:r>
      <w:proofErr w:type="spellStart"/>
      <w:r w:rsidRPr="00AA2007">
        <w:rPr>
          <w:i/>
        </w:rPr>
        <w:t>Rosuzet</w:t>
      </w:r>
      <w:proofErr w:type="spellEnd"/>
      <w:r w:rsidRPr="00AA2007">
        <w:rPr>
          <w:i/>
        </w:rPr>
        <w:t xml:space="preserve"> is indicated as adjunctive therapy to diet in patients with primary (heterozygous familial and non-familial) hypercholesterolaemia where use of a combination product is appropriate in those patients: </w:t>
      </w:r>
    </w:p>
    <w:p w:rsidR="00C84065" w:rsidRPr="00AA2007" w:rsidRDefault="00C84065" w:rsidP="00AA2007">
      <w:pPr>
        <w:pStyle w:val="ListBullet"/>
        <w:rPr>
          <w:i/>
        </w:rPr>
      </w:pPr>
      <w:r w:rsidRPr="00AA2007">
        <w:rPr>
          <w:i/>
        </w:rPr>
        <w:t xml:space="preserve">not appropriately controlled with rosuvastatin or ezetimibe alone; or </w:t>
      </w:r>
    </w:p>
    <w:p w:rsidR="00C84065" w:rsidRPr="00AA2007" w:rsidRDefault="00C84065" w:rsidP="00AA2007">
      <w:pPr>
        <w:pStyle w:val="ListBullet"/>
        <w:rPr>
          <w:i/>
        </w:rPr>
      </w:pPr>
      <w:r w:rsidRPr="00AA2007">
        <w:rPr>
          <w:i/>
        </w:rPr>
        <w:t xml:space="preserve">already treated with rosuvastatin and ezetimibe </w:t>
      </w:r>
    </w:p>
    <w:p w:rsidR="00C84065" w:rsidRPr="00AA2007" w:rsidRDefault="00C84065" w:rsidP="00AA2007">
      <w:pPr>
        <w:rPr>
          <w:b/>
          <w:i/>
        </w:rPr>
      </w:pPr>
      <w:r w:rsidRPr="00AA2007">
        <w:rPr>
          <w:b/>
          <w:i/>
        </w:rPr>
        <w:t xml:space="preserve">Homozygous Familial </w:t>
      </w:r>
      <w:proofErr w:type="spellStart"/>
      <w:r w:rsidRPr="00AA2007">
        <w:rPr>
          <w:b/>
          <w:i/>
        </w:rPr>
        <w:t>Hypercholesterolaemia</w:t>
      </w:r>
      <w:proofErr w:type="spellEnd"/>
      <w:r w:rsidRPr="00AA2007">
        <w:rPr>
          <w:b/>
          <w:i/>
        </w:rPr>
        <w:t xml:space="preserve"> (</w:t>
      </w:r>
      <w:proofErr w:type="spellStart"/>
      <w:r w:rsidRPr="00AA2007">
        <w:rPr>
          <w:b/>
          <w:i/>
        </w:rPr>
        <w:t>HoFH</w:t>
      </w:r>
      <w:proofErr w:type="spellEnd"/>
      <w:r w:rsidRPr="00AA2007">
        <w:rPr>
          <w:b/>
          <w:i/>
        </w:rPr>
        <w:t xml:space="preserve">) </w:t>
      </w:r>
    </w:p>
    <w:p w:rsidR="008E7846" w:rsidRPr="00AA2007" w:rsidRDefault="00C84065" w:rsidP="00AA2007">
      <w:pPr>
        <w:rPr>
          <w:i/>
        </w:rPr>
      </w:pPr>
      <w:proofErr w:type="spellStart"/>
      <w:r w:rsidRPr="00AA2007">
        <w:rPr>
          <w:i/>
        </w:rPr>
        <w:t>Ezalo</w:t>
      </w:r>
      <w:proofErr w:type="spellEnd"/>
      <w:r w:rsidRPr="00AA2007">
        <w:rPr>
          <w:i/>
        </w:rPr>
        <w:t>/</w:t>
      </w:r>
      <w:proofErr w:type="spellStart"/>
      <w:r w:rsidRPr="00AA2007">
        <w:rPr>
          <w:i/>
        </w:rPr>
        <w:t>Rosuzet</w:t>
      </w:r>
      <w:proofErr w:type="spellEnd"/>
      <w:r w:rsidRPr="00AA2007">
        <w:rPr>
          <w:i/>
        </w:rPr>
        <w:t xml:space="preserve"> is indicated for patients with </w:t>
      </w:r>
      <w:proofErr w:type="spellStart"/>
      <w:r w:rsidRPr="00AA2007">
        <w:rPr>
          <w:i/>
        </w:rPr>
        <w:t>HoFH</w:t>
      </w:r>
      <w:proofErr w:type="spellEnd"/>
      <w:r w:rsidRPr="00AA2007">
        <w:rPr>
          <w:i/>
        </w:rPr>
        <w:t>. Patients may also receive adjunctive tr</w:t>
      </w:r>
      <w:r w:rsidR="00AA2007">
        <w:rPr>
          <w:i/>
        </w:rPr>
        <w:t>eatments (e.g., LDL apheresis).</w:t>
      </w:r>
    </w:p>
    <w:p w:rsidR="008E7846" w:rsidRPr="00AA2007" w:rsidRDefault="00386150" w:rsidP="00AA2007">
      <w:pPr>
        <w:pStyle w:val="Heading3"/>
      </w:pPr>
      <w:bookmarkStart w:id="15" w:name="_Toc314842485"/>
      <w:bookmarkStart w:id="16" w:name="_Toc247691504"/>
      <w:bookmarkStart w:id="17" w:name="_Toc412706454"/>
      <w:r>
        <w:t>Regulatory s</w:t>
      </w:r>
      <w:r w:rsidR="008E7846">
        <w:t>tatus</w:t>
      </w:r>
      <w:bookmarkEnd w:id="15"/>
      <w:bookmarkEnd w:id="16"/>
      <w:bookmarkEnd w:id="17"/>
    </w:p>
    <w:p w:rsidR="00940A89" w:rsidRPr="00940A89" w:rsidRDefault="00940A89" w:rsidP="00AA2007">
      <w:bookmarkStart w:id="18" w:name="_Toc247691505"/>
      <w:bookmarkStart w:id="19" w:name="_Toc314842486"/>
      <w:r w:rsidRPr="00940A89">
        <w:t>The product</w:t>
      </w:r>
      <w:r w:rsidR="0026677B">
        <w:t>s</w:t>
      </w:r>
      <w:r w:rsidRPr="00940A89">
        <w:t xml:space="preserve"> received initial registration on the Australian Register</w:t>
      </w:r>
      <w:r w:rsidR="003E6CF0">
        <w:t xml:space="preserve"> of Therapeutic Goods (ARTG) on 13 October 2014</w:t>
      </w:r>
      <w:r w:rsidR="0016345B">
        <w:t>.</w:t>
      </w:r>
    </w:p>
    <w:p w:rsidR="00940A89" w:rsidRDefault="00940A89" w:rsidP="00AA2007">
      <w:r w:rsidRPr="00940A89">
        <w:t xml:space="preserve">At the time the TGA considered this application, </w:t>
      </w:r>
      <w:r w:rsidR="00D87DDA">
        <w:t xml:space="preserve">a </w:t>
      </w:r>
      <w:r w:rsidR="00D87DDA" w:rsidRPr="00D87DDA">
        <w:t>submission for a fixed</w:t>
      </w:r>
      <w:r w:rsidR="00D87DDA">
        <w:t xml:space="preserve"> </w:t>
      </w:r>
      <w:r w:rsidR="00D87DDA" w:rsidRPr="00D87DDA">
        <w:t>dose combination of ezetimibe and rosuvastati</w:t>
      </w:r>
      <w:r w:rsidR="00D87DDA">
        <w:t>n had</w:t>
      </w:r>
      <w:r w:rsidR="00D87DDA" w:rsidRPr="00D87DDA">
        <w:t xml:space="preserve"> not been lodged in the EU, USA, Canada or New Zealand and there </w:t>
      </w:r>
      <w:r w:rsidR="00D87DDA">
        <w:t>we</w:t>
      </w:r>
      <w:r w:rsidR="00AA2007">
        <w:t>re no such submissions planned.</w:t>
      </w:r>
    </w:p>
    <w:p w:rsidR="008E7846" w:rsidRPr="00AA2007" w:rsidRDefault="008E7846" w:rsidP="00AA2007">
      <w:pPr>
        <w:pStyle w:val="Heading3"/>
      </w:pPr>
      <w:bookmarkStart w:id="20" w:name="_Toc412706455"/>
      <w:r>
        <w:t>Product Information</w:t>
      </w:r>
      <w:bookmarkEnd w:id="18"/>
      <w:bookmarkEnd w:id="19"/>
      <w:bookmarkEnd w:id="20"/>
    </w:p>
    <w:p w:rsidR="00940A89" w:rsidRDefault="00940A89" w:rsidP="00AA2007">
      <w:pPr>
        <w:rPr>
          <w:b/>
          <w:bCs/>
        </w:rPr>
      </w:pPr>
      <w:bookmarkStart w:id="21" w:name="_Toc247691506"/>
      <w:bookmarkStart w:id="22" w:name="_Toc314842487"/>
      <w:r w:rsidRPr="00940A89">
        <w:t>The approved Product Information (PI) current at the time this AusPAR was prepared can be found as Attachment 1. For the most recent Product Information please refer to the TGA website at &lt;</w:t>
      </w:r>
      <w:hyperlink r:id="rId15" w:history="1">
        <w:r w:rsidR="000F7116" w:rsidRPr="000F7116">
          <w:rPr>
            <w:rStyle w:val="Hyperlink"/>
          </w:rPr>
          <w:t>https://www.tga.gov.au/product-information-pi</w:t>
        </w:r>
      </w:hyperlink>
      <w:r w:rsidRPr="00940A89">
        <w:t>&gt;.</w:t>
      </w:r>
    </w:p>
    <w:p w:rsidR="008E7846" w:rsidRPr="00AA2007" w:rsidRDefault="008E7846" w:rsidP="00AA2007">
      <w:pPr>
        <w:pStyle w:val="Heading2"/>
      </w:pPr>
      <w:bookmarkStart w:id="23" w:name="_Toc412706456"/>
      <w:r>
        <w:lastRenderedPageBreak/>
        <w:t>II. Quality</w:t>
      </w:r>
      <w:bookmarkEnd w:id="1"/>
      <w:r>
        <w:t xml:space="preserve"> findings</w:t>
      </w:r>
      <w:bookmarkEnd w:id="21"/>
      <w:bookmarkEnd w:id="22"/>
      <w:bookmarkEnd w:id="23"/>
    </w:p>
    <w:p w:rsidR="00940A89" w:rsidRDefault="00940A89" w:rsidP="00AA2007">
      <w:pPr>
        <w:pStyle w:val="Heading3"/>
      </w:pPr>
      <w:bookmarkStart w:id="24" w:name="_Toc412706457"/>
      <w:bookmarkStart w:id="25" w:name="_Toc247691507"/>
      <w:bookmarkStart w:id="26" w:name="_Toc314842488"/>
      <w:r w:rsidRPr="00940A89">
        <w:t>Introduction</w:t>
      </w:r>
      <w:bookmarkEnd w:id="24"/>
    </w:p>
    <w:p w:rsidR="00A92A29" w:rsidRPr="004E0B5C" w:rsidRDefault="00A92A29" w:rsidP="00AA2007">
      <w:r w:rsidRPr="004E0B5C">
        <w:t xml:space="preserve">The sponsor has previously registered composite packs containing 10 mg ezetimibe tablets in blisters together with </w:t>
      </w:r>
      <w:r w:rsidR="00F2473E">
        <w:t xml:space="preserve">either </w:t>
      </w:r>
      <w:r w:rsidRPr="004E0B5C">
        <w:t xml:space="preserve">5 mg, 10 mg, 20 mg </w:t>
      </w:r>
      <w:r w:rsidR="00F2473E">
        <w:t>or</w:t>
      </w:r>
      <w:r w:rsidRPr="004E0B5C">
        <w:t xml:space="preserve"> 40 mg rosuvastatin (as calcium) film coated tablets under the trade name </w:t>
      </w:r>
      <w:proofErr w:type="spellStart"/>
      <w:r w:rsidR="006E33DE" w:rsidRPr="004E0B5C">
        <w:t>Ezalo</w:t>
      </w:r>
      <w:proofErr w:type="spellEnd"/>
      <w:r w:rsidR="006E33DE" w:rsidRPr="004E0B5C">
        <w:t>/</w:t>
      </w:r>
      <w:proofErr w:type="spellStart"/>
      <w:r w:rsidRPr="004E0B5C">
        <w:t>Rosuzet</w:t>
      </w:r>
      <w:proofErr w:type="spellEnd"/>
      <w:r w:rsidRPr="004E0B5C">
        <w:t xml:space="preserve"> Composite Pack. The ezetimibe tablets are separately registered by the sponsor under the trade name Ezetrol and the rosuvastatin (as calcium) tablets are registered by </w:t>
      </w:r>
      <w:r w:rsidR="005A334E" w:rsidRPr="004E0B5C">
        <w:t xml:space="preserve">the sponsor </w:t>
      </w:r>
      <w:r w:rsidRPr="004E0B5C">
        <w:t>under t</w:t>
      </w:r>
      <w:r w:rsidR="00AA2007">
        <w:t xml:space="preserve">he trade name MSD </w:t>
      </w:r>
      <w:proofErr w:type="spellStart"/>
      <w:r w:rsidR="00AA2007">
        <w:t>Rosuvastatin</w:t>
      </w:r>
      <w:proofErr w:type="spellEnd"/>
      <w:r w:rsidR="00AA2007">
        <w:t>.</w:t>
      </w:r>
    </w:p>
    <w:p w:rsidR="00A92A29" w:rsidRDefault="00A92A29" w:rsidP="00AA2007">
      <w:r w:rsidRPr="00A92A29">
        <w:t xml:space="preserve">The structures of ezetimibe and rosuvastatin (as </w:t>
      </w:r>
      <w:r w:rsidR="005A334E">
        <w:t>calcium</w:t>
      </w:r>
      <w:r w:rsidRPr="00A92A29">
        <w:t>) are presented below:</w:t>
      </w:r>
    </w:p>
    <w:p w:rsidR="004E0B5C" w:rsidRDefault="004E0B5C" w:rsidP="00AA2007">
      <w:pPr>
        <w:pStyle w:val="FigureTitle"/>
      </w:pPr>
      <w:r>
        <w:t>F</w:t>
      </w:r>
      <w:r w:rsidR="00D87DDA">
        <w:t xml:space="preserve">igure 1: Structure of </w:t>
      </w:r>
      <w:proofErr w:type="spellStart"/>
      <w:r w:rsidR="00D87DDA" w:rsidRPr="00AA2007">
        <w:t>ezetimibe</w:t>
      </w:r>
      <w:proofErr w:type="spellEnd"/>
    </w:p>
    <w:p w:rsidR="00AA2007" w:rsidRPr="00A92A29" w:rsidRDefault="00AA2007" w:rsidP="00AA2007">
      <w:r>
        <w:rPr>
          <w:noProof/>
          <w:lang w:eastAsia="en-AU"/>
        </w:rPr>
        <w:drawing>
          <wp:inline distT="0" distB="0" distL="0" distR="0" wp14:anchorId="00DDC216" wp14:editId="566B756C">
            <wp:extent cx="2363932" cy="1200150"/>
            <wp:effectExtent l="0" t="0" r="0" b="0"/>
            <wp:docPr id="2" name="Picture 1" descr="Figure 1: Structure of ezetimi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EZETIM"/>
                    <pic:cNvPicPr>
                      <a:picLocks noChangeAspect="1" noChangeArrowheads="1"/>
                    </pic:cNvPicPr>
                  </pic:nvPicPr>
                  <pic:blipFill>
                    <a:blip r:embed="rId16" cstate="print"/>
                    <a:srcRect/>
                    <a:stretch>
                      <a:fillRect/>
                    </a:stretch>
                  </pic:blipFill>
                  <pic:spPr bwMode="auto">
                    <a:xfrm>
                      <a:off x="0" y="0"/>
                      <a:ext cx="2363932" cy="1200150"/>
                    </a:xfrm>
                    <a:prstGeom prst="rect">
                      <a:avLst/>
                    </a:prstGeom>
                    <a:noFill/>
                    <a:ln w="9525">
                      <a:noFill/>
                      <a:miter lim="800000"/>
                      <a:headEnd/>
                      <a:tailEnd/>
                    </a:ln>
                  </pic:spPr>
                </pic:pic>
              </a:graphicData>
            </a:graphic>
          </wp:inline>
        </w:drawing>
      </w:r>
    </w:p>
    <w:p w:rsidR="004E0B5C" w:rsidRPr="00A92A29" w:rsidRDefault="004E0B5C" w:rsidP="00AA2007">
      <w:pPr>
        <w:pStyle w:val="FigureTitle"/>
      </w:pPr>
      <w:r>
        <w:t>Figure 2: Structure of rosuvastatin (as calcium)</w:t>
      </w:r>
    </w:p>
    <w:p w:rsidR="00A92A29" w:rsidRPr="00A92A29" w:rsidRDefault="00A92A29" w:rsidP="00AA2007">
      <w:r>
        <w:rPr>
          <w:noProof/>
          <w:lang w:eastAsia="en-AU"/>
        </w:rPr>
        <w:drawing>
          <wp:inline distT="0" distB="0" distL="0" distR="0" wp14:anchorId="7384893F" wp14:editId="3E923976">
            <wp:extent cx="2552700" cy="1666875"/>
            <wp:effectExtent l="0" t="0" r="0" b="9525"/>
            <wp:docPr id="5" name="Picture 1" descr="Figure 2: Structure of rosuvastatin (as calc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ROSCAL"/>
                    <pic:cNvPicPr>
                      <a:picLocks noChangeAspect="1" noChangeArrowheads="1"/>
                    </pic:cNvPicPr>
                  </pic:nvPicPr>
                  <pic:blipFill>
                    <a:blip r:embed="rId17" cstate="print"/>
                    <a:srcRect/>
                    <a:stretch>
                      <a:fillRect/>
                    </a:stretch>
                  </pic:blipFill>
                  <pic:spPr bwMode="auto">
                    <a:xfrm>
                      <a:off x="0" y="0"/>
                      <a:ext cx="2552700" cy="1666875"/>
                    </a:xfrm>
                    <a:prstGeom prst="rect">
                      <a:avLst/>
                    </a:prstGeom>
                    <a:noFill/>
                    <a:ln w="9525">
                      <a:noFill/>
                      <a:miter lim="800000"/>
                      <a:headEnd/>
                      <a:tailEnd/>
                    </a:ln>
                  </pic:spPr>
                </pic:pic>
              </a:graphicData>
            </a:graphic>
          </wp:inline>
        </w:drawing>
      </w:r>
    </w:p>
    <w:p w:rsidR="008E7846" w:rsidRPr="00AA2007" w:rsidRDefault="008E7846" w:rsidP="00AA2007">
      <w:pPr>
        <w:pStyle w:val="Heading3"/>
      </w:pPr>
      <w:bookmarkStart w:id="27" w:name="_Toc412706458"/>
      <w:r w:rsidRPr="008751DC">
        <w:t xml:space="preserve">Drug </w:t>
      </w:r>
      <w:r>
        <w:t>s</w:t>
      </w:r>
      <w:r w:rsidRPr="008751DC">
        <w:t>ubstance</w:t>
      </w:r>
      <w:r>
        <w:t xml:space="preserve"> (active ingredient)</w:t>
      </w:r>
      <w:bookmarkEnd w:id="25"/>
      <w:bookmarkEnd w:id="26"/>
      <w:bookmarkEnd w:id="27"/>
    </w:p>
    <w:p w:rsidR="005A334E" w:rsidRPr="005A334E" w:rsidRDefault="005A334E" w:rsidP="00AA2007">
      <w:r w:rsidRPr="005A334E">
        <w:t xml:space="preserve">There have been no changes with respect to quality of the </w:t>
      </w:r>
      <w:r>
        <w:t>active pharmaceutical ingredients (APIs)</w:t>
      </w:r>
      <w:r w:rsidRPr="005A334E">
        <w:t xml:space="preserve">. The API specifications are the same as those for </w:t>
      </w:r>
      <w:r w:rsidR="00F2473E">
        <w:t xml:space="preserve">the already registered </w:t>
      </w:r>
      <w:proofErr w:type="spellStart"/>
      <w:r w:rsidR="00F2473E">
        <w:t>Ezetrol</w:t>
      </w:r>
      <w:proofErr w:type="spellEnd"/>
      <w:r w:rsidRPr="005A334E">
        <w:t xml:space="preserve"> and </w:t>
      </w:r>
      <w:r w:rsidR="00F2473E">
        <w:t xml:space="preserve">MSD </w:t>
      </w:r>
      <w:proofErr w:type="spellStart"/>
      <w:r w:rsidR="00F2473E">
        <w:t>Rosuvastatin</w:t>
      </w:r>
      <w:proofErr w:type="spellEnd"/>
      <w:r w:rsidR="00AA2007">
        <w:t xml:space="preserve"> tablets.</w:t>
      </w:r>
    </w:p>
    <w:p w:rsidR="008E7846" w:rsidRPr="00AA2007" w:rsidRDefault="008E7846" w:rsidP="00AA2007">
      <w:pPr>
        <w:pStyle w:val="Heading3"/>
      </w:pPr>
      <w:bookmarkStart w:id="28" w:name="_Toc247691508"/>
      <w:bookmarkStart w:id="29" w:name="_Toc314842490"/>
      <w:bookmarkStart w:id="30" w:name="_Toc412706459"/>
      <w:r w:rsidRPr="008751DC">
        <w:t xml:space="preserve">Drug </w:t>
      </w:r>
      <w:r>
        <w:t>p</w:t>
      </w:r>
      <w:r w:rsidRPr="008751DC">
        <w:t>roduct</w:t>
      </w:r>
      <w:bookmarkEnd w:id="28"/>
      <w:bookmarkEnd w:id="29"/>
      <w:bookmarkEnd w:id="30"/>
    </w:p>
    <w:p w:rsidR="005A334E" w:rsidRPr="005A334E" w:rsidRDefault="005A334E" w:rsidP="00AA2007">
      <w:r w:rsidRPr="005A334E">
        <w:t>There have been no changes with respect to qu</w:t>
      </w:r>
      <w:r w:rsidR="00AA2007">
        <w:t>ality of the finished products.</w:t>
      </w:r>
    </w:p>
    <w:p w:rsidR="005A334E" w:rsidRPr="005A334E" w:rsidRDefault="005A334E" w:rsidP="00AA2007">
      <w:r w:rsidRPr="005A334E">
        <w:t>The manufacturing process of the finished product is comprised of different manufacturing steps including preparation of ready to compress blends for ezetimibe and rosuvastatin calcium and compression of both the blends. Compressed tablets are packaged in the intended commercial packs.</w:t>
      </w:r>
    </w:p>
    <w:p w:rsidR="005A334E" w:rsidRPr="005A334E" w:rsidRDefault="005A334E" w:rsidP="00AA2007">
      <w:r w:rsidRPr="005A334E">
        <w:t xml:space="preserve">The </w:t>
      </w:r>
      <w:r>
        <w:t xml:space="preserve">dissolution </w:t>
      </w:r>
      <w:r w:rsidRPr="005A334E">
        <w:t>acceptance criterion for both ezetimibe and rosuva</w:t>
      </w:r>
      <w:r>
        <w:t>statin in ezetimibe/</w:t>
      </w:r>
      <w:r w:rsidRPr="005A334E">
        <w:t xml:space="preserve">rosuvastatin </w:t>
      </w:r>
      <w:r w:rsidR="000549DA">
        <w:t xml:space="preserve">fixed dose combination </w:t>
      </w:r>
      <w:r w:rsidRPr="005A334E">
        <w:t>tablets complies with T</w:t>
      </w:r>
      <w:r>
        <w:t xml:space="preserve">herapeutic </w:t>
      </w:r>
      <w:r w:rsidRPr="005A334E">
        <w:t>G</w:t>
      </w:r>
      <w:r>
        <w:t xml:space="preserve">oods </w:t>
      </w:r>
      <w:r w:rsidRPr="005A334E">
        <w:t>O</w:t>
      </w:r>
      <w:r>
        <w:t>rder</w:t>
      </w:r>
      <w:r w:rsidRPr="005A334E">
        <w:t xml:space="preserve"> 78.</w:t>
      </w:r>
    </w:p>
    <w:p w:rsidR="005A334E" w:rsidRPr="005A334E" w:rsidRDefault="005A334E" w:rsidP="00AA2007">
      <w:r w:rsidRPr="005A334E">
        <w:t xml:space="preserve">The limit for all degradation products of rosuvastatin calcium </w:t>
      </w:r>
      <w:r>
        <w:t xml:space="preserve">and ezetimibe, respectively, </w:t>
      </w:r>
      <w:r w:rsidRPr="005A334E">
        <w:t xml:space="preserve">in the finished product is consistent with </w:t>
      </w:r>
      <w:r w:rsidR="0016345B" w:rsidRPr="0016345B">
        <w:t xml:space="preserve">International Conference on Harmonisation of </w:t>
      </w:r>
      <w:r w:rsidR="0016345B" w:rsidRPr="0016345B">
        <w:lastRenderedPageBreak/>
        <w:t xml:space="preserve">registration requirements for pharmaceuticals for human use </w:t>
      </w:r>
      <w:r w:rsidR="0016345B">
        <w:t>(</w:t>
      </w:r>
      <w:r w:rsidRPr="005A334E">
        <w:t>ICH</w:t>
      </w:r>
      <w:r w:rsidR="0016345B">
        <w:t>)</w:t>
      </w:r>
      <w:r w:rsidRPr="005A334E">
        <w:t xml:space="preserve"> identificatio</w:t>
      </w:r>
      <w:r w:rsidR="00AA2007">
        <w:t>n and qualification thresholds.</w:t>
      </w:r>
    </w:p>
    <w:p w:rsidR="005A334E" w:rsidRPr="005A334E" w:rsidRDefault="005A334E" w:rsidP="00AA2007">
      <w:r w:rsidRPr="005A334E">
        <w:t xml:space="preserve">The fixed </w:t>
      </w:r>
      <w:r w:rsidR="00213AE1">
        <w:t xml:space="preserve">dose </w:t>
      </w:r>
      <w:r w:rsidRPr="005A334E">
        <w:t xml:space="preserve">combination tablets come in strengths of 10 mg/5 mg, 10 mg/10 mg, 10 mg/20 mg and 10 mg/40 mg and are described as white to off white, circular, uncoated, tablet with one side </w:t>
      </w:r>
      <w:proofErr w:type="spellStart"/>
      <w:r w:rsidRPr="005A334E">
        <w:t>debossed</w:t>
      </w:r>
      <w:proofErr w:type="spellEnd"/>
      <w:r w:rsidRPr="005A334E">
        <w:t xml:space="preserve"> with “C1”, “C2</w:t>
      </w:r>
      <w:r w:rsidR="00AA2007">
        <w:t>”, “C3” and “C4”, respectively.</w:t>
      </w:r>
    </w:p>
    <w:p w:rsidR="005A334E" w:rsidRPr="005A334E" w:rsidRDefault="005A334E" w:rsidP="00AA2007">
      <w:pPr>
        <w:rPr>
          <w:highlight w:val="yellow"/>
        </w:rPr>
      </w:pPr>
      <w:r w:rsidRPr="005A334E">
        <w:t xml:space="preserve">The shelf life for the fixed </w:t>
      </w:r>
      <w:r w:rsidR="00213AE1">
        <w:t xml:space="preserve">dose </w:t>
      </w:r>
      <w:r w:rsidRPr="005A334E">
        <w:t>combination tablets is 12 months when stored bel</w:t>
      </w:r>
      <w:r w:rsidR="0016345B">
        <w:t>ow 30</w:t>
      </w:r>
      <w:r w:rsidRPr="005A334E">
        <w:t xml:space="preserve">°C in </w:t>
      </w:r>
      <w:r w:rsidR="0016345B" w:rsidRPr="0016345B">
        <w:t>polyamide</w:t>
      </w:r>
      <w:r w:rsidR="00590AD5">
        <w:t>/</w:t>
      </w:r>
      <w:r w:rsidR="0016345B" w:rsidRPr="0016345B">
        <w:t>alum</w:t>
      </w:r>
      <w:r w:rsidR="0016345B">
        <w:t>inium foil</w:t>
      </w:r>
      <w:r w:rsidR="00590AD5">
        <w:t>/</w:t>
      </w:r>
      <w:r w:rsidR="0016345B">
        <w:t>polyvinylchloride/al</w:t>
      </w:r>
      <w:r w:rsidR="0016345B" w:rsidRPr="0016345B">
        <w:t xml:space="preserve">uminium foil </w:t>
      </w:r>
      <w:r w:rsidR="00590AD5">
        <w:t>(</w:t>
      </w:r>
      <w:r w:rsidRPr="005A334E">
        <w:t>PA/Al/PVC/Al</w:t>
      </w:r>
      <w:r w:rsidR="00590AD5">
        <w:t>)</w:t>
      </w:r>
      <w:r w:rsidRPr="005A334E">
        <w:t xml:space="preserve"> or PVC</w:t>
      </w:r>
      <w:r w:rsidR="0016345B">
        <w:t>/</w:t>
      </w:r>
      <w:r w:rsidR="0016345B" w:rsidRPr="0016345B">
        <w:rPr>
          <w:lang w:val="en"/>
        </w:rPr>
        <w:t xml:space="preserve"> </w:t>
      </w:r>
      <w:proofErr w:type="spellStart"/>
      <w:r w:rsidR="00590AD5">
        <w:rPr>
          <w:lang w:val="en"/>
        </w:rPr>
        <w:t>p</w:t>
      </w:r>
      <w:r w:rsidR="0016345B" w:rsidRPr="0016345B">
        <w:rPr>
          <w:lang w:val="en"/>
        </w:rPr>
        <w:t>olychlorotrifluoro</w:t>
      </w:r>
      <w:proofErr w:type="spellEnd"/>
      <w:r w:rsidR="0016345B" w:rsidRPr="0016345B">
        <w:rPr>
          <w:lang w:val="en"/>
        </w:rPr>
        <w:t xml:space="preserve"> ethylene </w:t>
      </w:r>
      <w:r w:rsidR="00590AD5">
        <w:rPr>
          <w:lang w:val="en"/>
        </w:rPr>
        <w:t>(</w:t>
      </w:r>
      <w:r w:rsidRPr="005A334E">
        <w:t>PCTFE</w:t>
      </w:r>
      <w:r w:rsidR="00590AD5">
        <w:t>)</w:t>
      </w:r>
      <w:r w:rsidRPr="005A334E">
        <w:t xml:space="preserve"> </w:t>
      </w:r>
      <w:r w:rsidR="00590AD5">
        <w:t>(</w:t>
      </w:r>
      <w:proofErr w:type="spellStart"/>
      <w:r w:rsidRPr="005A334E">
        <w:t>Aclar</w:t>
      </w:r>
      <w:proofErr w:type="spellEnd"/>
      <w:r w:rsidRPr="005A334E">
        <w:t xml:space="preserve">)/Al blisters. Final mock-ups labels have been provided. The blister and carton labels are acceptable from a Module 3 </w:t>
      </w:r>
      <w:r w:rsidR="0016345B">
        <w:t xml:space="preserve">(quality) </w:t>
      </w:r>
      <w:r w:rsidR="00AA2007">
        <w:t>perspective.</w:t>
      </w:r>
    </w:p>
    <w:p w:rsidR="008E7846" w:rsidRDefault="008E7846" w:rsidP="00AA2007">
      <w:pPr>
        <w:pStyle w:val="Heading3"/>
      </w:pPr>
      <w:bookmarkStart w:id="31" w:name="_Toc314842491"/>
      <w:bookmarkStart w:id="32" w:name="_Toc412706460"/>
      <w:proofErr w:type="spellStart"/>
      <w:r w:rsidRPr="00AA2007">
        <w:t>Biopharmaceutics</w:t>
      </w:r>
      <w:bookmarkEnd w:id="31"/>
      <w:bookmarkEnd w:id="32"/>
      <w:proofErr w:type="spellEnd"/>
    </w:p>
    <w:p w:rsidR="005A334E" w:rsidRPr="005A334E" w:rsidRDefault="005A334E" w:rsidP="00AA2007">
      <w:pPr>
        <w:rPr>
          <w:highlight w:val="yellow"/>
        </w:rPr>
      </w:pPr>
      <w:r w:rsidRPr="005A334E">
        <w:t>The sponsor has previously submitted data in relation to the registered</w:t>
      </w:r>
      <w:r w:rsidR="00387034">
        <w:t xml:space="preserve"> ezetimibe monotherapy products</w:t>
      </w:r>
      <w:r w:rsidRPr="005A334E">
        <w:t xml:space="preserve"> with respect to co-administration of ezetimibe with statins. Given this, the data have not been re</w:t>
      </w:r>
      <w:r w:rsidR="00AA2007">
        <w:t>viewed again.</w:t>
      </w:r>
    </w:p>
    <w:p w:rsidR="005A334E" w:rsidRPr="005A334E" w:rsidRDefault="005A334E" w:rsidP="00AA2007">
      <w:pPr>
        <w:pStyle w:val="ListBullet"/>
      </w:pPr>
      <w:r w:rsidRPr="005A334E">
        <w:t xml:space="preserve">One 14 day </w:t>
      </w:r>
      <w:r w:rsidR="00387034">
        <w:t>pharmacokinetics/</w:t>
      </w:r>
      <w:r w:rsidR="00387034" w:rsidRPr="00AA2007">
        <w:t>pharmacodynamics</w:t>
      </w:r>
      <w:r w:rsidR="00387034">
        <w:t xml:space="preserve"> (</w:t>
      </w:r>
      <w:r w:rsidRPr="005A334E">
        <w:t>PK/PD</w:t>
      </w:r>
      <w:r w:rsidR="00387034">
        <w:t>)</w:t>
      </w:r>
      <w:r w:rsidRPr="005A334E">
        <w:t xml:space="preserve"> study (P03317, evaluating the effects of ezetimibe 10 mg and rosuvastatin 10 mg either alone or in combination in hypercholesterolaemic subjects) with 3 associated publications has been referred to in relation to co-administration of ezetimibe with rosuvastatin.</w:t>
      </w:r>
    </w:p>
    <w:p w:rsidR="005A334E" w:rsidRPr="005A334E" w:rsidRDefault="005A334E" w:rsidP="00AA2007">
      <w:pPr>
        <w:pStyle w:val="ListBullet"/>
      </w:pPr>
      <w:r w:rsidRPr="005A334E">
        <w:t>Three safety and efficacy clinical studies with 3 associated publications have been referred to in relation to co-administration of ezetimibe with rosuvastatin.</w:t>
      </w:r>
    </w:p>
    <w:p w:rsidR="005A334E" w:rsidRPr="005A334E" w:rsidRDefault="005A334E" w:rsidP="00AA2007">
      <w:pPr>
        <w:pStyle w:val="ListBullet"/>
      </w:pPr>
      <w:r w:rsidRPr="005A334E">
        <w:t>Forty six additional safety and efficacy data sets from 63 literature</w:t>
      </w:r>
      <w:r w:rsidR="00AA2007">
        <w:t xml:space="preserve"> publications were referred to.</w:t>
      </w:r>
    </w:p>
    <w:p w:rsidR="005A334E" w:rsidRPr="005A334E" w:rsidRDefault="005A334E" w:rsidP="00AA2007">
      <w:r w:rsidRPr="005A334E">
        <w:t>The sponsor has also conducted two bioequivalence studies demonstrates that the proposed tablets can be considered bioequivalent to the Australian innovator:</w:t>
      </w:r>
    </w:p>
    <w:p w:rsidR="005A334E" w:rsidRPr="005A334E" w:rsidRDefault="005A334E" w:rsidP="00AA2007">
      <w:pPr>
        <w:pStyle w:val="ListBullet"/>
      </w:pPr>
      <w:r w:rsidRPr="005A334E">
        <w:t>A randomised, open label, two treatment, two period, two sequence, single dose, crossover, bioequivalence study of fixed dose combination of rosuvastatin calcium + ezetimibe 5</w:t>
      </w:r>
      <w:r w:rsidR="000549DA">
        <w:t xml:space="preserve"> mg</w:t>
      </w:r>
      <w:r w:rsidRPr="005A334E">
        <w:t xml:space="preserve">/10 mg tablets of Sun Pharmaceutical Industries Ltd., India and co-administration of Crestor (rosuvastatin calcium) 5 mg tablet of AstraZeneca with Ezetrol (ezetimibe) 10 mg tablets of Merck Sharp &amp; </w:t>
      </w:r>
      <w:proofErr w:type="spellStart"/>
      <w:r w:rsidRPr="005A334E">
        <w:t>Dohme</w:t>
      </w:r>
      <w:proofErr w:type="spellEnd"/>
      <w:r w:rsidRPr="005A334E">
        <w:t>, in 60 healthy human adult subjects, under fasting conditions.</w:t>
      </w:r>
    </w:p>
    <w:p w:rsidR="005A334E" w:rsidRPr="005A334E" w:rsidRDefault="005A334E" w:rsidP="00AA2007">
      <w:pPr>
        <w:pStyle w:val="ListBullet"/>
      </w:pPr>
      <w:r w:rsidRPr="005A334E">
        <w:t>A randomised, open label, two treatment, two period, two sequence, single dose, crossover, bioequivalence study of fixed dose combination of rosuvastatin calcium + ezetimibe 40</w:t>
      </w:r>
      <w:r w:rsidR="000549DA">
        <w:t xml:space="preserve"> mg</w:t>
      </w:r>
      <w:r w:rsidRPr="005A334E">
        <w:t>/10 mg tablets of Sun Pharmaceutical Industries Ltd., India and co-administration of Crestor (rosuvastatin calcium) 40 mg tab</w:t>
      </w:r>
      <w:r w:rsidR="003F0B13">
        <w:t>let of AstraZeneca with Ezetrol</w:t>
      </w:r>
      <w:r w:rsidRPr="005A334E">
        <w:t xml:space="preserve"> (ezetimibe) 10 mg tablets of Merck Sharp &amp; </w:t>
      </w:r>
      <w:proofErr w:type="spellStart"/>
      <w:r w:rsidRPr="005A334E">
        <w:t>Dohme</w:t>
      </w:r>
      <w:proofErr w:type="spellEnd"/>
      <w:r w:rsidRPr="005A334E">
        <w:t>, in 60 healthy human adult subjects, under fasting conditions.</w:t>
      </w:r>
    </w:p>
    <w:p w:rsidR="008E7846" w:rsidRDefault="008E7846" w:rsidP="0031305B">
      <w:pPr>
        <w:pStyle w:val="Heading3"/>
      </w:pPr>
      <w:bookmarkStart w:id="33" w:name="_Toc314842492"/>
      <w:bookmarkStart w:id="34" w:name="_Toc412706461"/>
      <w:r>
        <w:t xml:space="preserve">Advisory committee </w:t>
      </w:r>
      <w:r w:rsidRPr="0031305B">
        <w:t>considerations</w:t>
      </w:r>
      <w:bookmarkEnd w:id="33"/>
      <w:bookmarkEnd w:id="34"/>
    </w:p>
    <w:p w:rsidR="008E7846" w:rsidRPr="00E51CE4" w:rsidRDefault="005A334E" w:rsidP="0031305B">
      <w:r>
        <w:t>Not applicable.</w:t>
      </w:r>
    </w:p>
    <w:p w:rsidR="008E7846" w:rsidRPr="008751DC" w:rsidRDefault="008E7846" w:rsidP="0031305B">
      <w:pPr>
        <w:pStyle w:val="Heading3"/>
      </w:pPr>
      <w:bookmarkStart w:id="35" w:name="_Toc247691509"/>
      <w:bookmarkStart w:id="36" w:name="_Toc314842493"/>
      <w:bookmarkStart w:id="37" w:name="_Toc412706462"/>
      <w:r>
        <w:t>Quality s</w:t>
      </w:r>
      <w:r w:rsidRPr="008751DC">
        <w:t>ummary</w:t>
      </w:r>
      <w:r>
        <w:t xml:space="preserve"> and </w:t>
      </w:r>
      <w:r w:rsidRPr="0031305B">
        <w:t>conclusions</w:t>
      </w:r>
      <w:bookmarkEnd w:id="35"/>
      <w:bookmarkEnd w:id="36"/>
      <w:bookmarkEnd w:id="37"/>
    </w:p>
    <w:p w:rsidR="008E7846" w:rsidRPr="005A334E" w:rsidRDefault="005A334E" w:rsidP="0031305B">
      <w:r w:rsidRPr="005A334E">
        <w:t>A number of issues were raised following the initial evaluation of this application, but all issues have since been satisfactorily resolved. There are now no objections to registration of these products.</w:t>
      </w:r>
    </w:p>
    <w:p w:rsidR="008E7846" w:rsidRPr="0031305B" w:rsidRDefault="008E7846" w:rsidP="0031305B">
      <w:pPr>
        <w:pStyle w:val="Heading2"/>
      </w:pPr>
      <w:bookmarkStart w:id="38" w:name="_Toc196046439"/>
      <w:bookmarkStart w:id="39" w:name="_Toc247691510"/>
      <w:bookmarkStart w:id="40" w:name="_Toc314842494"/>
      <w:bookmarkStart w:id="41" w:name="_Toc412706463"/>
      <w:r>
        <w:lastRenderedPageBreak/>
        <w:t>III. Nonclinical</w:t>
      </w:r>
      <w:bookmarkEnd w:id="38"/>
      <w:r>
        <w:t xml:space="preserve"> findings</w:t>
      </w:r>
      <w:bookmarkEnd w:id="39"/>
      <w:bookmarkEnd w:id="40"/>
      <w:bookmarkEnd w:id="41"/>
    </w:p>
    <w:p w:rsidR="008E7846" w:rsidRPr="0031305B" w:rsidRDefault="008E7846" w:rsidP="0031305B">
      <w:pPr>
        <w:pStyle w:val="Heading3"/>
      </w:pPr>
      <w:bookmarkStart w:id="42" w:name="_Toc247691511"/>
      <w:bookmarkStart w:id="43" w:name="_Toc314842495"/>
      <w:bookmarkStart w:id="44" w:name="_Toc412706464"/>
      <w:r>
        <w:t>Introduction</w:t>
      </w:r>
      <w:bookmarkEnd w:id="42"/>
      <w:bookmarkEnd w:id="43"/>
      <w:bookmarkEnd w:id="44"/>
    </w:p>
    <w:p w:rsidR="004152BB" w:rsidRPr="004152BB" w:rsidRDefault="004152BB" w:rsidP="0031305B">
      <w:r w:rsidRPr="004152BB">
        <w:t xml:space="preserve">The only new </w:t>
      </w:r>
      <w:r w:rsidR="00387034">
        <w:t xml:space="preserve">nonclinical </w:t>
      </w:r>
      <w:r w:rsidRPr="004152BB">
        <w:t xml:space="preserve">data was a published paper by </w:t>
      </w:r>
      <w:proofErr w:type="spellStart"/>
      <w:r w:rsidRPr="004152BB">
        <w:t>Verschuren</w:t>
      </w:r>
      <w:proofErr w:type="spellEnd"/>
      <w:r w:rsidRPr="004152BB">
        <w:t xml:space="preserve"> et al. (2012</w:t>
      </w:r>
      <w:r w:rsidRPr="004152BB">
        <w:rPr>
          <w:vertAlign w:val="superscript"/>
        </w:rPr>
        <w:footnoteReference w:id="1"/>
      </w:r>
      <w:r w:rsidRPr="004152BB">
        <w:t>) which was accompanied by a memorandum from the sponsor with a critical analysis of this paper (Qin et al., 2013</w:t>
      </w:r>
      <w:r w:rsidRPr="004152BB">
        <w:rPr>
          <w:vertAlign w:val="superscript"/>
        </w:rPr>
        <w:footnoteReference w:id="2"/>
      </w:r>
      <w:r w:rsidRPr="004152BB">
        <w:t>).</w:t>
      </w:r>
    </w:p>
    <w:p w:rsidR="004152BB" w:rsidRPr="004152BB" w:rsidRDefault="004152BB" w:rsidP="0031305B">
      <w:r w:rsidRPr="004152BB">
        <w:t>The sponsor has suitably justified the absence of further nonclinical studies in accordance with the following criteria noted in the E</w:t>
      </w:r>
      <w:r w:rsidR="00387034">
        <w:t xml:space="preserve">uropean </w:t>
      </w:r>
      <w:r w:rsidRPr="004152BB">
        <w:t>M</w:t>
      </w:r>
      <w:r w:rsidR="00387034">
        <w:t xml:space="preserve">edicines </w:t>
      </w:r>
      <w:r w:rsidRPr="004152BB">
        <w:t>A</w:t>
      </w:r>
      <w:r w:rsidR="00387034">
        <w:t xml:space="preserve">gency (EMA) guidelines on fixed </w:t>
      </w:r>
      <w:r w:rsidRPr="004152BB">
        <w:t>combination products</w:t>
      </w:r>
      <w:r w:rsidRPr="004152BB">
        <w:rPr>
          <w:vertAlign w:val="superscript"/>
        </w:rPr>
        <w:footnoteReference w:id="3"/>
      </w:r>
      <w:r w:rsidRPr="004152BB">
        <w:t>:</w:t>
      </w:r>
    </w:p>
    <w:p w:rsidR="004152BB" w:rsidRPr="004152BB" w:rsidRDefault="004152BB" w:rsidP="0031305B">
      <w:pPr>
        <w:pStyle w:val="ListBullet"/>
      </w:pPr>
      <w:proofErr w:type="spellStart"/>
      <w:r w:rsidRPr="004152BB">
        <w:t>Ezetimibe</w:t>
      </w:r>
      <w:proofErr w:type="spellEnd"/>
      <w:r w:rsidRPr="004152BB">
        <w:t xml:space="preserve"> and </w:t>
      </w:r>
      <w:proofErr w:type="spellStart"/>
      <w:r w:rsidRPr="0031305B">
        <w:t>rosuvastatin</w:t>
      </w:r>
      <w:proofErr w:type="spellEnd"/>
      <w:r w:rsidRPr="004152BB">
        <w:t xml:space="preserve"> are already individually approved for the proposed indications</w:t>
      </w:r>
      <w:r w:rsidR="00387034">
        <w:t>;</w:t>
      </w:r>
    </w:p>
    <w:p w:rsidR="004152BB" w:rsidRPr="004152BB" w:rsidRDefault="004152BB" w:rsidP="0031305B">
      <w:pPr>
        <w:pStyle w:val="ListBullet"/>
      </w:pPr>
      <w:r w:rsidRPr="004152BB">
        <w:t xml:space="preserve">There is </w:t>
      </w:r>
      <w:r w:rsidRPr="0031305B">
        <w:t>sufficient</w:t>
      </w:r>
      <w:r w:rsidRPr="004152BB">
        <w:t xml:space="preserve"> documented human experience of the individual and combined use of ezetimibe and rosuvastatin</w:t>
      </w:r>
      <w:r w:rsidR="00387034">
        <w:t>;</w:t>
      </w:r>
    </w:p>
    <w:p w:rsidR="004152BB" w:rsidRPr="004152BB" w:rsidRDefault="004152BB" w:rsidP="0031305B">
      <w:pPr>
        <w:pStyle w:val="ListBullet"/>
      </w:pPr>
      <w:r w:rsidRPr="004152BB">
        <w:t>The proposed combination is similar to that found in V</w:t>
      </w:r>
      <w:r w:rsidR="00B47931">
        <w:t>ytorin</w:t>
      </w:r>
      <w:r w:rsidRPr="004152BB">
        <w:t xml:space="preserve">, a combination of </w:t>
      </w:r>
      <w:proofErr w:type="spellStart"/>
      <w:r w:rsidRPr="004152BB">
        <w:t>ezetimibe</w:t>
      </w:r>
      <w:proofErr w:type="spellEnd"/>
      <w:r w:rsidRPr="004152BB">
        <w:t xml:space="preserve"> </w:t>
      </w:r>
      <w:r w:rsidRPr="0031305B">
        <w:t>with</w:t>
      </w:r>
      <w:r w:rsidRPr="004152BB">
        <w:t xml:space="preserve"> simvastatin, a compound in the same class </w:t>
      </w:r>
      <w:r w:rsidR="00387034">
        <w:t xml:space="preserve">as rosuvastatin. This is a </w:t>
      </w:r>
      <w:proofErr w:type="spellStart"/>
      <w:r w:rsidR="00387034">
        <w:t xml:space="preserve">well </w:t>
      </w:r>
      <w:r w:rsidRPr="004152BB">
        <w:t>established</w:t>
      </w:r>
      <w:proofErr w:type="spellEnd"/>
      <w:r w:rsidRPr="004152BB">
        <w:t xml:space="preserve"> combination for which there is considerable clinical experience</w:t>
      </w:r>
      <w:r w:rsidR="00387034">
        <w:t>;</w:t>
      </w:r>
    </w:p>
    <w:p w:rsidR="004152BB" w:rsidRPr="004152BB" w:rsidRDefault="004152BB" w:rsidP="0031305B">
      <w:pPr>
        <w:pStyle w:val="ListBullet"/>
      </w:pPr>
      <w:r w:rsidRPr="004152BB">
        <w:t xml:space="preserve">No </w:t>
      </w:r>
      <w:r w:rsidR="00387034">
        <w:t xml:space="preserve">PK </w:t>
      </w:r>
      <w:r w:rsidRPr="0031305B">
        <w:t>interactions</w:t>
      </w:r>
      <w:r w:rsidRPr="004152BB">
        <w:t xml:space="preserve"> have been identified</w:t>
      </w:r>
      <w:r w:rsidR="00387034">
        <w:t>.</w:t>
      </w:r>
    </w:p>
    <w:p w:rsidR="004152BB" w:rsidRPr="004152BB" w:rsidRDefault="004152BB" w:rsidP="0031305B">
      <w:r w:rsidRPr="004152BB">
        <w:t>The nonclinical development programmes supporting the registrat</w:t>
      </w:r>
      <w:r>
        <w:t>ion of ezetimibe (Ezetrol</w:t>
      </w:r>
      <w:r w:rsidRPr="004152BB">
        <w:t>) and rosuvastatin (C</w:t>
      </w:r>
      <w:r>
        <w:t xml:space="preserve">restor </w:t>
      </w:r>
      <w:r w:rsidRPr="004152BB">
        <w:t>5</w:t>
      </w:r>
      <w:r>
        <w:t xml:space="preserve"> </w:t>
      </w:r>
      <w:r w:rsidRPr="004152BB">
        <w:t>mg, 10</w:t>
      </w:r>
      <w:r>
        <w:t xml:space="preserve"> </w:t>
      </w:r>
      <w:r w:rsidRPr="004152BB">
        <w:t>mg, 20</w:t>
      </w:r>
      <w:r>
        <w:t xml:space="preserve"> </w:t>
      </w:r>
      <w:r w:rsidR="00387034">
        <w:t>mg</w:t>
      </w:r>
      <w:r w:rsidRPr="004152BB">
        <w:t>,</w:t>
      </w:r>
      <w:r w:rsidR="00387034">
        <w:t xml:space="preserve"> and</w:t>
      </w:r>
      <w:r w:rsidRPr="004152BB">
        <w:t xml:space="preserve"> 40</w:t>
      </w:r>
      <w:r>
        <w:t xml:space="preserve"> </w:t>
      </w:r>
      <w:r w:rsidRPr="004152BB">
        <w:t>mg</w:t>
      </w:r>
      <w:r w:rsidR="00387034">
        <w:t xml:space="preserve"> tablets</w:t>
      </w:r>
      <w:r w:rsidRPr="004152BB">
        <w:t>) as monotherapy have been previously evaluated by the TGA. Nonclinical data relating to the combination of ezetimibe with statins have previously been evaluated in the E</w:t>
      </w:r>
      <w:r>
        <w:t xml:space="preserve">zetrol </w:t>
      </w:r>
      <w:r w:rsidRPr="004152BB">
        <w:t>application and were augmented in a later submission (seeking registration of a composite pack of ezetimibe and rosuvastatin) where a literature search identified one new publication (</w:t>
      </w:r>
      <w:proofErr w:type="spellStart"/>
      <w:r w:rsidRPr="004152BB">
        <w:t>Ason</w:t>
      </w:r>
      <w:proofErr w:type="spellEnd"/>
      <w:r w:rsidRPr="004152BB">
        <w:t xml:space="preserve"> et al., 2011</w:t>
      </w:r>
      <w:r w:rsidR="00B47931">
        <w:rPr>
          <w:rStyle w:val="FootnoteReference"/>
        </w:rPr>
        <w:footnoteReference w:id="4"/>
      </w:r>
      <w:r w:rsidR="0031305B">
        <w:t>).</w:t>
      </w:r>
    </w:p>
    <w:p w:rsidR="004152BB" w:rsidRPr="004152BB" w:rsidRDefault="004152BB" w:rsidP="0031305B">
      <w:r w:rsidRPr="004152BB">
        <w:t>No nonclinical objections were raised to the approval of ezetimibe as monotherapy or co-administration with a statin.</w:t>
      </w:r>
    </w:p>
    <w:p w:rsidR="004152BB" w:rsidRPr="004152BB" w:rsidRDefault="004152BB" w:rsidP="0031305B">
      <w:pPr>
        <w:pStyle w:val="Heading3"/>
      </w:pPr>
      <w:bookmarkStart w:id="45" w:name="_Toc412706465"/>
      <w:r w:rsidRPr="004152BB">
        <w:t xml:space="preserve">Updated nonclinical </w:t>
      </w:r>
      <w:r w:rsidRPr="0031305B">
        <w:t>information</w:t>
      </w:r>
      <w:r w:rsidRPr="004152BB">
        <w:t>/data</w:t>
      </w:r>
      <w:bookmarkEnd w:id="45"/>
    </w:p>
    <w:p w:rsidR="004152BB" w:rsidRPr="004152BB" w:rsidRDefault="004152BB" w:rsidP="0031305B">
      <w:r w:rsidRPr="004152BB">
        <w:t xml:space="preserve">An updated literature search was performed by the sponsor on 22 April 2013 (search strategy approved </w:t>
      </w:r>
      <w:r>
        <w:t xml:space="preserve">by TGA </w:t>
      </w:r>
      <w:r w:rsidRPr="004152BB">
        <w:t xml:space="preserve">on 31 May 2013). This search identified an additional publication, </w:t>
      </w:r>
      <w:proofErr w:type="spellStart"/>
      <w:r w:rsidRPr="004152BB">
        <w:t>Verschuren</w:t>
      </w:r>
      <w:proofErr w:type="spellEnd"/>
      <w:r w:rsidRPr="004152BB">
        <w:t xml:space="preserve"> et al. 2012, along with a Merck internal memorandum which critically analysed the gene profiling data used in that publication.</w:t>
      </w:r>
    </w:p>
    <w:p w:rsidR="008E7846" w:rsidRPr="0031305B" w:rsidRDefault="008E7846" w:rsidP="0031305B">
      <w:pPr>
        <w:pStyle w:val="Heading3"/>
      </w:pPr>
      <w:bookmarkStart w:id="46" w:name="_Toc247691515"/>
      <w:bookmarkStart w:id="47" w:name="_Toc314842499"/>
      <w:bookmarkStart w:id="48" w:name="_Toc412706466"/>
      <w:r>
        <w:t>Nonclinical summary</w:t>
      </w:r>
      <w:bookmarkEnd w:id="46"/>
      <w:bookmarkEnd w:id="47"/>
      <w:bookmarkEnd w:id="48"/>
    </w:p>
    <w:p w:rsidR="004152BB" w:rsidRPr="004152BB" w:rsidRDefault="004152BB" w:rsidP="0031305B">
      <w:pPr>
        <w:pStyle w:val="ListBullet"/>
      </w:pPr>
      <w:r w:rsidRPr="004152BB">
        <w:t xml:space="preserve">A new systems </w:t>
      </w:r>
      <w:r w:rsidRPr="0031305B">
        <w:t>biology</w:t>
      </w:r>
      <w:r w:rsidRPr="004152BB">
        <w:t xml:space="preserve"> paper (</w:t>
      </w:r>
      <w:proofErr w:type="spellStart"/>
      <w:r w:rsidRPr="004152BB">
        <w:t>Verschuren</w:t>
      </w:r>
      <w:proofErr w:type="spellEnd"/>
      <w:r w:rsidRPr="004152BB">
        <w:t xml:space="preserve"> et al., 2012) investigated the differential expression of hepatic genes in </w:t>
      </w:r>
      <w:proofErr w:type="spellStart"/>
      <w:r w:rsidRPr="004152BB">
        <w:t>ApoE</w:t>
      </w:r>
      <w:proofErr w:type="spellEnd"/>
      <w:r w:rsidRPr="004152BB">
        <w:t xml:space="preserve">*3Leiden transgenic mice fed an </w:t>
      </w:r>
      <w:proofErr w:type="spellStart"/>
      <w:r w:rsidRPr="004152BB">
        <w:t>ath</w:t>
      </w:r>
      <w:r w:rsidR="00B47931">
        <w:t>erogenic</w:t>
      </w:r>
      <w:proofErr w:type="spellEnd"/>
      <w:r w:rsidR="00B47931">
        <w:t xml:space="preserve">, high cholesterol </w:t>
      </w:r>
      <w:r w:rsidRPr="004152BB">
        <w:t xml:space="preserve">diet and treated with rosuvastatin or ezetimibe, either alone or in combination. The greater effectiveness of the combination treatment in reducing plasma lipids, serum amyloid A and aortic atherosclerotic lesion size was due to the </w:t>
      </w:r>
      <w:proofErr w:type="spellStart"/>
      <w:r w:rsidRPr="004152BB">
        <w:lastRenderedPageBreak/>
        <w:t>additivity</w:t>
      </w:r>
      <w:proofErr w:type="spellEnd"/>
      <w:r w:rsidRPr="004152BB">
        <w:t xml:space="preserve"> of the complementary mechanisms of action of the individual drugs. Differential hepatic gene expression pathway analysis suggested that combination therapy exerted a significant effect on 16 mostly NF-</w:t>
      </w:r>
      <w:proofErr w:type="spellStart"/>
      <w:r w:rsidRPr="004152BB">
        <w:t>κB</w:t>
      </w:r>
      <w:proofErr w:type="spellEnd"/>
      <w:r w:rsidRPr="004152BB">
        <w:t xml:space="preserve"> -linked signalling processes, 11 of which tended to be regulated in a similar direction with monotherapy. ‘Canonical pathways’ associated with these processes included molecular mechanisms of cancer, NF-</w:t>
      </w:r>
      <w:proofErr w:type="spellStart"/>
      <w:r w:rsidRPr="004152BB">
        <w:t>κB</w:t>
      </w:r>
      <w:proofErr w:type="spellEnd"/>
      <w:r w:rsidRPr="004152BB">
        <w:t xml:space="preserve"> signalling, and growth factor signalling, with the authors’ speculating that these results may have implications for the cancer findings in the Simvastatin an</w:t>
      </w:r>
      <w:r w:rsidR="00E1787E">
        <w:t xml:space="preserve">d Ezetimibe in Aortic Stenosis </w:t>
      </w:r>
      <w:r w:rsidRPr="004152BB">
        <w:t>(SEAS) Trial.</w:t>
      </w:r>
    </w:p>
    <w:p w:rsidR="004152BB" w:rsidRPr="004152BB" w:rsidRDefault="004152BB" w:rsidP="0031305B">
      <w:pPr>
        <w:pStyle w:val="ListBullet"/>
      </w:pPr>
      <w:r w:rsidRPr="004152BB">
        <w:t xml:space="preserve">There is no generally accepted canonical </w:t>
      </w:r>
      <w:r w:rsidRPr="0031305B">
        <w:t>pathway</w:t>
      </w:r>
      <w:r w:rsidRPr="004152BB">
        <w:t xml:space="preserve"> for ‘molecular mechanisms of cancer’, despite intense research in this area. Moreover, a careful re-analysis of the </w:t>
      </w:r>
      <w:proofErr w:type="spellStart"/>
      <w:r w:rsidRPr="004152BB">
        <w:t>Verschuren</w:t>
      </w:r>
      <w:proofErr w:type="spellEnd"/>
      <w:r w:rsidRPr="004152BB">
        <w:t xml:space="preserve"> et al. gene profiling data (available in the public domain) by the sponsor using appropriate False Discovery Rate (FDR) statistical corrections for multiple tests showed that there was no evidence of activation of any cancer-associated </w:t>
      </w:r>
      <w:r w:rsidR="006C6859">
        <w:t>g</w:t>
      </w:r>
      <w:r w:rsidRPr="004152BB">
        <w:t xml:space="preserve">rowth </w:t>
      </w:r>
      <w:r w:rsidR="006C6859">
        <w:t>f</w:t>
      </w:r>
      <w:r w:rsidRPr="004152BB">
        <w:t xml:space="preserve">actor </w:t>
      </w:r>
      <w:r w:rsidR="006C6859">
        <w:t>r</w:t>
      </w:r>
      <w:r w:rsidRPr="004152BB">
        <w:t xml:space="preserve">eceptor pathways, such as </w:t>
      </w:r>
      <w:r w:rsidR="006C6859">
        <w:t>platelet derived growth factor (</w:t>
      </w:r>
      <w:r w:rsidRPr="004152BB">
        <w:t>PDGF</w:t>
      </w:r>
      <w:r w:rsidR="006C6859">
        <w:t>)</w:t>
      </w:r>
      <w:r w:rsidRPr="004152BB">
        <w:t xml:space="preserve">, </w:t>
      </w:r>
      <w:r w:rsidR="006C6859">
        <w:t>vascular endothelial growth factor (</w:t>
      </w:r>
      <w:r w:rsidRPr="004152BB">
        <w:t>VEGF</w:t>
      </w:r>
      <w:r w:rsidR="006C6859">
        <w:t>)</w:t>
      </w:r>
      <w:r w:rsidRPr="004152BB">
        <w:t xml:space="preserve">, </w:t>
      </w:r>
      <w:r w:rsidR="006C6859">
        <w:t>epidermal growth factor (</w:t>
      </w:r>
      <w:r w:rsidRPr="004152BB">
        <w:t>EGF</w:t>
      </w:r>
      <w:r w:rsidR="006C6859">
        <w:t>)</w:t>
      </w:r>
      <w:r w:rsidRPr="004152BB">
        <w:t xml:space="preserve">, </w:t>
      </w:r>
      <w:r w:rsidR="006C6859">
        <w:t>stem cell factor (</w:t>
      </w:r>
      <w:r w:rsidRPr="004152BB">
        <w:t>SCF</w:t>
      </w:r>
      <w:r w:rsidR="006C6859">
        <w:t>)</w:t>
      </w:r>
      <w:r w:rsidRPr="004152BB">
        <w:t xml:space="preserve">, and </w:t>
      </w:r>
      <w:r w:rsidR="006C6859">
        <w:t>insulin like growth factor-1 (</w:t>
      </w:r>
      <w:r w:rsidRPr="004152BB">
        <w:t>IGF-1</w:t>
      </w:r>
      <w:r w:rsidR="006C6859">
        <w:t>)</w:t>
      </w:r>
      <w:r w:rsidRPr="004152BB">
        <w:t>. Indeed, portions of the NF-</w:t>
      </w:r>
      <w:proofErr w:type="spellStart"/>
      <w:r w:rsidRPr="004152BB">
        <w:t>κB</w:t>
      </w:r>
      <w:proofErr w:type="spellEnd"/>
      <w:r w:rsidRPr="004152BB">
        <w:t xml:space="preserve"> signalling pathway downstream of the growth factor receptors were actually down regulated. This down regulation would be mostly associated with inhibition of inflammation and inhibition of cancer development. Therefore, the profiling data does not appear to support the speculation by </w:t>
      </w:r>
      <w:proofErr w:type="spellStart"/>
      <w:r w:rsidRPr="004152BB">
        <w:t>Verschuren</w:t>
      </w:r>
      <w:proofErr w:type="spellEnd"/>
      <w:r w:rsidRPr="004152BB">
        <w:t xml:space="preserve"> et al. that the combination </w:t>
      </w:r>
      <w:r w:rsidR="006C6859">
        <w:t xml:space="preserve">ezetimibe + rosuvastatin </w:t>
      </w:r>
      <w:r w:rsidRPr="004152BB">
        <w:t>treatment poses an increased carcinogenicity risk.</w:t>
      </w:r>
    </w:p>
    <w:p w:rsidR="004152BB" w:rsidRDefault="006C6859" w:rsidP="0031305B">
      <w:pPr>
        <w:pStyle w:val="Heading3"/>
      </w:pPr>
      <w:bookmarkStart w:id="49" w:name="_Toc412706467"/>
      <w:r>
        <w:t xml:space="preserve">Conclusions and </w:t>
      </w:r>
      <w:r w:rsidR="0031305B">
        <w:t>r</w:t>
      </w:r>
      <w:r>
        <w:t>ecommendation</w:t>
      </w:r>
      <w:bookmarkEnd w:id="49"/>
    </w:p>
    <w:p w:rsidR="004152BB" w:rsidRPr="004152BB" w:rsidRDefault="004152BB" w:rsidP="0031305B">
      <w:pPr>
        <w:pStyle w:val="ListBullet"/>
      </w:pPr>
      <w:r w:rsidRPr="004152BB">
        <w:t>The sponsor has suitably justified the absence of further nonclinical studies in accordance with the EMA guidelines on fixed-combination products.</w:t>
      </w:r>
    </w:p>
    <w:p w:rsidR="004152BB" w:rsidRPr="004152BB" w:rsidRDefault="004152BB" w:rsidP="0031305B">
      <w:pPr>
        <w:pStyle w:val="ListBullet"/>
      </w:pPr>
      <w:r w:rsidRPr="004152BB">
        <w:t xml:space="preserve">There </w:t>
      </w:r>
      <w:r w:rsidR="00387034">
        <w:t xml:space="preserve">is </w:t>
      </w:r>
      <w:r w:rsidRPr="004152BB">
        <w:t>no novel phar</w:t>
      </w:r>
      <w:r w:rsidR="00387034">
        <w:t>macokinetic or toxicity concern</w:t>
      </w:r>
      <w:r w:rsidRPr="004152BB">
        <w:t xml:space="preserve"> a</w:t>
      </w:r>
      <w:r w:rsidR="0031305B">
        <w:t>ssociated with the combination.</w:t>
      </w:r>
    </w:p>
    <w:p w:rsidR="004152BB" w:rsidRPr="004152BB" w:rsidRDefault="004152BB" w:rsidP="0031305B">
      <w:pPr>
        <w:pStyle w:val="ListBullet"/>
      </w:pPr>
      <w:r w:rsidRPr="004152BB">
        <w:t xml:space="preserve">The </w:t>
      </w:r>
      <w:r w:rsidRPr="0031305B">
        <w:t>registration</w:t>
      </w:r>
      <w:r w:rsidRPr="004152BB">
        <w:t xml:space="preserve"> of </w:t>
      </w:r>
      <w:proofErr w:type="spellStart"/>
      <w:r w:rsidRPr="004152BB">
        <w:t>R</w:t>
      </w:r>
      <w:r>
        <w:t>osuzet</w:t>
      </w:r>
      <w:proofErr w:type="spellEnd"/>
      <w:r w:rsidRPr="004152BB">
        <w:t>/</w:t>
      </w:r>
      <w:proofErr w:type="spellStart"/>
      <w:r w:rsidRPr="004152BB">
        <w:t>E</w:t>
      </w:r>
      <w:r>
        <w:t>zalo</w:t>
      </w:r>
      <w:proofErr w:type="spellEnd"/>
      <w:r w:rsidRPr="004152BB">
        <w:t xml:space="preserve"> is supported on nonclinical grounds.</w:t>
      </w:r>
    </w:p>
    <w:p w:rsidR="004152BB" w:rsidRPr="004152BB" w:rsidRDefault="004152BB" w:rsidP="0031305B">
      <w:pPr>
        <w:pStyle w:val="ListBullet"/>
      </w:pPr>
      <w:r w:rsidRPr="004152BB">
        <w:t xml:space="preserve">No changes </w:t>
      </w:r>
      <w:r w:rsidRPr="0031305B">
        <w:t>are</w:t>
      </w:r>
      <w:r w:rsidRPr="004152BB">
        <w:t xml:space="preserve"> recommended to the sponsor’s draft </w:t>
      </w:r>
      <w:r>
        <w:t>PI</w:t>
      </w:r>
      <w:r w:rsidRPr="004152BB">
        <w:t>.</w:t>
      </w:r>
    </w:p>
    <w:p w:rsidR="008E7846" w:rsidRPr="00254787" w:rsidRDefault="008E7846" w:rsidP="0031305B">
      <w:pPr>
        <w:pStyle w:val="Heading2"/>
      </w:pPr>
      <w:bookmarkStart w:id="50" w:name="_Toc196046462"/>
      <w:bookmarkStart w:id="51" w:name="_Toc247691516"/>
      <w:bookmarkStart w:id="52" w:name="_Toc314842500"/>
      <w:bookmarkStart w:id="53" w:name="_Toc412706468"/>
      <w:bookmarkStart w:id="54" w:name="_Toc163441353"/>
      <w:bookmarkStart w:id="55" w:name="_Toc163441348"/>
      <w:r>
        <w:t xml:space="preserve">IV. </w:t>
      </w:r>
      <w:r w:rsidRPr="00254787">
        <w:t>Clinical</w:t>
      </w:r>
      <w:bookmarkEnd w:id="50"/>
      <w:r>
        <w:t xml:space="preserve"> </w:t>
      </w:r>
      <w:r w:rsidR="003A7F6C">
        <w:t>f</w:t>
      </w:r>
      <w:r>
        <w:t>indings</w:t>
      </w:r>
      <w:bookmarkEnd w:id="51"/>
      <w:bookmarkEnd w:id="52"/>
      <w:bookmarkEnd w:id="53"/>
    </w:p>
    <w:p w:rsidR="00C80137" w:rsidRDefault="00C80137" w:rsidP="0031305B">
      <w:bookmarkStart w:id="56" w:name="_Toc196046463"/>
      <w:r>
        <w:t xml:space="preserve">A summary of the </w:t>
      </w:r>
      <w:r w:rsidRPr="00FD70B8">
        <w:t xml:space="preserve">clinical findings is presented in this section. </w:t>
      </w:r>
      <w:r>
        <w:t xml:space="preserve">Further details of these </w:t>
      </w:r>
      <w:r w:rsidRPr="00FD70B8">
        <w:t>clinical findings can be found in Attachment 2.</w:t>
      </w:r>
    </w:p>
    <w:p w:rsidR="008E7846" w:rsidRPr="0031305B" w:rsidRDefault="008E7846" w:rsidP="0031305B">
      <w:pPr>
        <w:pStyle w:val="Heading3"/>
      </w:pPr>
      <w:bookmarkStart w:id="57" w:name="_Toc247691517"/>
      <w:bookmarkStart w:id="58" w:name="_Toc314842501"/>
      <w:bookmarkStart w:id="59" w:name="_Toc412706469"/>
      <w:r w:rsidRPr="00254787">
        <w:t>Introduction</w:t>
      </w:r>
      <w:bookmarkEnd w:id="56"/>
      <w:bookmarkEnd w:id="57"/>
      <w:bookmarkEnd w:id="58"/>
      <w:bookmarkEnd w:id="59"/>
    </w:p>
    <w:p w:rsidR="008E4CBE" w:rsidRPr="008E4CBE" w:rsidRDefault="008E4CBE" w:rsidP="0031305B">
      <w:r w:rsidRPr="008E4CBE">
        <w:t xml:space="preserve">The proposed indications for the ezetimibe and rosuvastatin (as calcium) fixed dose combination </w:t>
      </w:r>
      <w:r w:rsidR="00096E5F">
        <w:t xml:space="preserve">tablets </w:t>
      </w:r>
      <w:r w:rsidR="0031305B">
        <w:t>are:</w:t>
      </w:r>
    </w:p>
    <w:p w:rsidR="008E4CBE" w:rsidRPr="0031305B" w:rsidRDefault="0031305B" w:rsidP="0031305B">
      <w:pPr>
        <w:rPr>
          <w:b/>
          <w:i/>
        </w:rPr>
      </w:pPr>
      <w:r w:rsidRPr="0031305B">
        <w:rPr>
          <w:b/>
          <w:i/>
        </w:rPr>
        <w:t xml:space="preserve">Primary </w:t>
      </w:r>
      <w:proofErr w:type="spellStart"/>
      <w:r w:rsidRPr="0031305B">
        <w:rPr>
          <w:b/>
          <w:i/>
        </w:rPr>
        <w:t>Hypercholesterolaemia</w:t>
      </w:r>
      <w:proofErr w:type="spellEnd"/>
    </w:p>
    <w:p w:rsidR="008E4CBE" w:rsidRPr="0031305B" w:rsidRDefault="008E4CBE" w:rsidP="0031305B">
      <w:pPr>
        <w:rPr>
          <w:i/>
        </w:rPr>
      </w:pPr>
      <w:proofErr w:type="spellStart"/>
      <w:r w:rsidRPr="0031305B">
        <w:rPr>
          <w:i/>
        </w:rPr>
        <w:t>Rosuzet</w:t>
      </w:r>
      <w:proofErr w:type="spellEnd"/>
      <w:r w:rsidRPr="0031305B">
        <w:rPr>
          <w:i/>
        </w:rPr>
        <w:t>/</w:t>
      </w:r>
      <w:proofErr w:type="spellStart"/>
      <w:r w:rsidRPr="0031305B">
        <w:rPr>
          <w:i/>
        </w:rPr>
        <w:t>Ezalo</w:t>
      </w:r>
      <w:proofErr w:type="spellEnd"/>
      <w:r w:rsidRPr="0031305B">
        <w:rPr>
          <w:i/>
        </w:rPr>
        <w:t xml:space="preserve"> is indicated as adjunctive therapy to diet in patients with primary (heterozygous familial and non-familial) hypercholesterolaemia where use of a combination product is appropriate in those pa</w:t>
      </w:r>
      <w:r w:rsidR="0031305B">
        <w:rPr>
          <w:i/>
        </w:rPr>
        <w:t>tients:</w:t>
      </w:r>
    </w:p>
    <w:p w:rsidR="008E4CBE" w:rsidRPr="0031305B" w:rsidRDefault="008E4CBE" w:rsidP="0031305B">
      <w:pPr>
        <w:pStyle w:val="ListBullet"/>
        <w:rPr>
          <w:i/>
        </w:rPr>
      </w:pPr>
      <w:r w:rsidRPr="0031305B">
        <w:rPr>
          <w:i/>
        </w:rPr>
        <w:t xml:space="preserve">not appropriately controlled with </w:t>
      </w:r>
      <w:proofErr w:type="spellStart"/>
      <w:r w:rsidRPr="0031305B">
        <w:rPr>
          <w:i/>
        </w:rPr>
        <w:t>rosu</w:t>
      </w:r>
      <w:r w:rsidR="0031305B">
        <w:rPr>
          <w:i/>
        </w:rPr>
        <w:t>vastatin</w:t>
      </w:r>
      <w:proofErr w:type="spellEnd"/>
      <w:r w:rsidR="0031305B">
        <w:rPr>
          <w:i/>
        </w:rPr>
        <w:t xml:space="preserve"> or </w:t>
      </w:r>
      <w:proofErr w:type="spellStart"/>
      <w:r w:rsidR="0031305B">
        <w:rPr>
          <w:i/>
        </w:rPr>
        <w:t>ezetimibe</w:t>
      </w:r>
      <w:proofErr w:type="spellEnd"/>
      <w:r w:rsidR="0031305B">
        <w:rPr>
          <w:i/>
        </w:rPr>
        <w:t xml:space="preserve"> alone; or</w:t>
      </w:r>
    </w:p>
    <w:p w:rsidR="008E4CBE" w:rsidRPr="0031305B" w:rsidRDefault="008E4CBE" w:rsidP="0031305B">
      <w:pPr>
        <w:pStyle w:val="ListBullet"/>
        <w:rPr>
          <w:i/>
        </w:rPr>
      </w:pPr>
      <w:proofErr w:type="gramStart"/>
      <w:r w:rsidRPr="0031305B">
        <w:rPr>
          <w:i/>
        </w:rPr>
        <w:t>already</w:t>
      </w:r>
      <w:proofErr w:type="gramEnd"/>
      <w:r w:rsidRPr="0031305B">
        <w:rPr>
          <w:i/>
        </w:rPr>
        <w:t xml:space="preserve"> treated with </w:t>
      </w:r>
      <w:proofErr w:type="spellStart"/>
      <w:r w:rsidRPr="0031305B">
        <w:rPr>
          <w:i/>
        </w:rPr>
        <w:t>rosuvastatin</w:t>
      </w:r>
      <w:proofErr w:type="spellEnd"/>
      <w:r w:rsidRPr="0031305B">
        <w:rPr>
          <w:i/>
        </w:rPr>
        <w:t xml:space="preserve"> and </w:t>
      </w:r>
      <w:proofErr w:type="spellStart"/>
      <w:r w:rsidRPr="0031305B">
        <w:rPr>
          <w:i/>
        </w:rPr>
        <w:t>ezetimibe</w:t>
      </w:r>
      <w:proofErr w:type="spellEnd"/>
      <w:r w:rsidRPr="0031305B">
        <w:rPr>
          <w:i/>
        </w:rPr>
        <w:t>.</w:t>
      </w:r>
    </w:p>
    <w:p w:rsidR="008E4CBE" w:rsidRPr="0031305B" w:rsidRDefault="008E4CBE" w:rsidP="0031305B">
      <w:pPr>
        <w:keepNext/>
        <w:rPr>
          <w:b/>
          <w:i/>
        </w:rPr>
      </w:pPr>
      <w:r w:rsidRPr="0031305B">
        <w:rPr>
          <w:b/>
          <w:i/>
        </w:rPr>
        <w:lastRenderedPageBreak/>
        <w:t>Homozygous Famili</w:t>
      </w:r>
      <w:r w:rsidR="0031305B" w:rsidRPr="0031305B">
        <w:rPr>
          <w:b/>
          <w:i/>
        </w:rPr>
        <w:t xml:space="preserve">al </w:t>
      </w:r>
      <w:proofErr w:type="spellStart"/>
      <w:r w:rsidR="0031305B" w:rsidRPr="0031305B">
        <w:rPr>
          <w:b/>
          <w:i/>
        </w:rPr>
        <w:t>Hypercholesterolaemia</w:t>
      </w:r>
      <w:proofErr w:type="spellEnd"/>
      <w:r w:rsidR="0031305B" w:rsidRPr="0031305B">
        <w:rPr>
          <w:b/>
          <w:i/>
        </w:rPr>
        <w:t xml:space="preserve"> (</w:t>
      </w:r>
      <w:proofErr w:type="spellStart"/>
      <w:r w:rsidR="0031305B" w:rsidRPr="0031305B">
        <w:rPr>
          <w:b/>
          <w:i/>
        </w:rPr>
        <w:t>HoFH</w:t>
      </w:r>
      <w:proofErr w:type="spellEnd"/>
      <w:r w:rsidR="0031305B" w:rsidRPr="0031305B">
        <w:rPr>
          <w:b/>
          <w:i/>
        </w:rPr>
        <w:t>)</w:t>
      </w:r>
    </w:p>
    <w:p w:rsidR="008E4CBE" w:rsidRPr="0031305B" w:rsidRDefault="008E4CBE" w:rsidP="0031305B">
      <w:pPr>
        <w:rPr>
          <w:i/>
        </w:rPr>
      </w:pPr>
      <w:proofErr w:type="spellStart"/>
      <w:r w:rsidRPr="0031305B">
        <w:rPr>
          <w:i/>
        </w:rPr>
        <w:t>Rosuzet</w:t>
      </w:r>
      <w:proofErr w:type="spellEnd"/>
      <w:r w:rsidRPr="0031305B">
        <w:rPr>
          <w:i/>
        </w:rPr>
        <w:t>/</w:t>
      </w:r>
      <w:proofErr w:type="spellStart"/>
      <w:r w:rsidRPr="0031305B">
        <w:rPr>
          <w:i/>
        </w:rPr>
        <w:t>Ezalo</w:t>
      </w:r>
      <w:proofErr w:type="spellEnd"/>
      <w:r w:rsidRPr="0031305B">
        <w:rPr>
          <w:i/>
        </w:rPr>
        <w:t xml:space="preserve"> is indicated in patients with </w:t>
      </w:r>
      <w:proofErr w:type="spellStart"/>
      <w:r w:rsidRPr="0031305B">
        <w:rPr>
          <w:i/>
        </w:rPr>
        <w:t>HoFH</w:t>
      </w:r>
      <w:proofErr w:type="spellEnd"/>
      <w:r w:rsidRPr="0031305B">
        <w:rPr>
          <w:i/>
        </w:rPr>
        <w:t>. Patients may also receive adjunctive treatments (e.g. LDL apheresi</w:t>
      </w:r>
      <w:r w:rsidR="00D4126A" w:rsidRPr="0031305B">
        <w:rPr>
          <w:i/>
        </w:rPr>
        <w:t>s).</w:t>
      </w:r>
    </w:p>
    <w:p w:rsidR="008E4CBE" w:rsidRPr="008E4CBE" w:rsidRDefault="008E4CBE" w:rsidP="0031305B">
      <w:r w:rsidRPr="008E4CBE">
        <w:t xml:space="preserve">Ezetrol can be administered with a statin for the treatment of primary hypercholesterolaemia and is indicated for patients with </w:t>
      </w:r>
      <w:proofErr w:type="spellStart"/>
      <w:r w:rsidRPr="008E4CBE">
        <w:t>HoFH</w:t>
      </w:r>
      <w:proofErr w:type="spellEnd"/>
      <w:r w:rsidRPr="008E4CBE">
        <w:t xml:space="preserve"> when a</w:t>
      </w:r>
      <w:r w:rsidR="00D4126A">
        <w:t xml:space="preserve">dministered with a statin. </w:t>
      </w:r>
      <w:r w:rsidRPr="008E4CBE">
        <w:t>Therefore, the co-administration of ezetimibe and a statin is already approve</w:t>
      </w:r>
      <w:r w:rsidR="0031305B">
        <w:t>d in the proposed indications.</w:t>
      </w:r>
    </w:p>
    <w:p w:rsidR="008E4CBE" w:rsidRPr="008E4CBE" w:rsidRDefault="003A0D42" w:rsidP="0031305B">
      <w:r>
        <w:t xml:space="preserve">For the fixed </w:t>
      </w:r>
      <w:r w:rsidR="008E4CBE" w:rsidRPr="008E4CBE">
        <w:t>dose combination tablets, the proposed indication for the treatment of primary hypercholesterolaemia specifies that use is appropriate in patients who are not appropriately controlled on monotherapy or who are already being treated with both ezetimibe and rosuvastatin, indicating that the patient should not be initiated with concomitant ezetimi</w:t>
      </w:r>
      <w:r w:rsidR="00D4126A">
        <w:t xml:space="preserve">be and rosuvastatin treatment. </w:t>
      </w:r>
      <w:r w:rsidR="008E4CBE" w:rsidRPr="008E4CBE">
        <w:t>In the Ezetrol PI, the indication for the treatment of primary hypercholesterolaemia suggests that Ezetrol and a statin coul</w:t>
      </w:r>
      <w:r w:rsidR="00D4126A">
        <w:t>d be initiated concomitantly</w:t>
      </w:r>
      <w:r w:rsidR="0031305B">
        <w:t>.</w:t>
      </w:r>
    </w:p>
    <w:p w:rsidR="008E4CBE" w:rsidRPr="008E4CBE" w:rsidRDefault="008E4CBE" w:rsidP="0031305B">
      <w:r w:rsidRPr="008E4CBE">
        <w:t xml:space="preserve">The proposed indications for the </w:t>
      </w:r>
      <w:r w:rsidR="00D4126A">
        <w:t>fixed dose combination tablets do not include h</w:t>
      </w:r>
      <w:r w:rsidRPr="008E4CBE">
        <w:t xml:space="preserve">omozygous </w:t>
      </w:r>
      <w:proofErr w:type="spellStart"/>
      <w:r w:rsidR="00D4126A">
        <w:t>s</w:t>
      </w:r>
      <w:r w:rsidRPr="008E4CBE">
        <w:t>itosterolaemia</w:t>
      </w:r>
      <w:proofErr w:type="spellEnd"/>
      <w:r w:rsidRPr="008E4CBE">
        <w:t xml:space="preserve"> (</w:t>
      </w:r>
      <w:proofErr w:type="spellStart"/>
      <w:r w:rsidR="00D4126A">
        <w:t>p</w:t>
      </w:r>
      <w:r w:rsidRPr="008E4CBE">
        <w:t>hytosterolaemia</w:t>
      </w:r>
      <w:proofErr w:type="spellEnd"/>
      <w:r w:rsidRPr="008E4CBE">
        <w:t>), as only ezetimibe is approved for use in this condition, nor does it include prevention of cardiac events, which is an indication only approved for rosuvastatin (as calcium).</w:t>
      </w:r>
    </w:p>
    <w:p w:rsidR="008E4CBE" w:rsidRPr="008E4CBE" w:rsidRDefault="008E4CBE" w:rsidP="0031305B">
      <w:r w:rsidRPr="008E4CBE">
        <w:t>The pro</w:t>
      </w:r>
      <w:r w:rsidR="003A0D42">
        <w:t xml:space="preserve">posed indications for the fixed </w:t>
      </w:r>
      <w:r w:rsidRPr="008E4CBE">
        <w:t xml:space="preserve">dose combination tablets are consistent with the indications approved for the </w:t>
      </w:r>
      <w:proofErr w:type="spellStart"/>
      <w:r w:rsidRPr="008E4CBE">
        <w:t>Rosuzet</w:t>
      </w:r>
      <w:proofErr w:type="spellEnd"/>
      <w:r w:rsidRPr="008E4CBE">
        <w:t xml:space="preserve"> </w:t>
      </w:r>
      <w:r w:rsidR="00D4126A">
        <w:t>C</w:t>
      </w:r>
      <w:r w:rsidRPr="008E4CBE">
        <w:t xml:space="preserve">omposite </w:t>
      </w:r>
      <w:r w:rsidR="00D4126A">
        <w:t>P</w:t>
      </w:r>
      <w:r w:rsidRPr="008E4CBE">
        <w:t xml:space="preserve">ack and </w:t>
      </w:r>
      <w:proofErr w:type="spellStart"/>
      <w:r w:rsidRPr="008E4CBE">
        <w:t>Ezalo</w:t>
      </w:r>
      <w:proofErr w:type="spellEnd"/>
      <w:r w:rsidRPr="008E4CBE">
        <w:t xml:space="preserve"> </w:t>
      </w:r>
      <w:r w:rsidR="00D4126A">
        <w:t>C</w:t>
      </w:r>
      <w:r w:rsidRPr="008E4CBE">
        <w:t xml:space="preserve">omposite </w:t>
      </w:r>
      <w:r w:rsidR="00D4126A">
        <w:t>P</w:t>
      </w:r>
      <w:r w:rsidRPr="008E4CBE">
        <w:t>ack</w:t>
      </w:r>
      <w:r w:rsidR="00D4126A">
        <w:t xml:space="preserve">. </w:t>
      </w:r>
      <w:r w:rsidRPr="008E4CBE">
        <w:t xml:space="preserve">It is indicated in the </w:t>
      </w:r>
      <w:r w:rsidR="00D4126A">
        <w:rPr>
          <w:i/>
        </w:rPr>
        <w:t>D</w:t>
      </w:r>
      <w:r w:rsidR="00D4126A" w:rsidRPr="00D4126A">
        <w:rPr>
          <w:i/>
        </w:rPr>
        <w:t xml:space="preserve">osage and </w:t>
      </w:r>
      <w:r w:rsidR="00D4126A">
        <w:rPr>
          <w:i/>
        </w:rPr>
        <w:t>A</w:t>
      </w:r>
      <w:r w:rsidR="00D4126A" w:rsidRPr="00D4126A">
        <w:rPr>
          <w:i/>
        </w:rPr>
        <w:t>dministration</w:t>
      </w:r>
      <w:r w:rsidRPr="008E4CBE">
        <w:t xml:space="preserve"> section of the PI for the </w:t>
      </w:r>
      <w:proofErr w:type="spellStart"/>
      <w:r w:rsidRPr="008E4CBE">
        <w:t>Rosuzet</w:t>
      </w:r>
      <w:proofErr w:type="spellEnd"/>
      <w:r w:rsidRPr="008E4CBE">
        <w:t>/</w:t>
      </w:r>
      <w:proofErr w:type="spellStart"/>
      <w:r w:rsidRPr="008E4CBE">
        <w:t>Ezalo</w:t>
      </w:r>
      <w:proofErr w:type="spellEnd"/>
      <w:r w:rsidRPr="008E4CBE">
        <w:t xml:space="preserve"> composite pack that the combination product is not</w:t>
      </w:r>
      <w:r w:rsidR="00D4126A">
        <w:t xml:space="preserve"> indicated for first-line use. </w:t>
      </w:r>
      <w:r w:rsidRPr="008E4CBE">
        <w:t xml:space="preserve">This statement should be added to the </w:t>
      </w:r>
      <w:r w:rsidR="00D4126A" w:rsidRPr="00D4126A">
        <w:rPr>
          <w:i/>
        </w:rPr>
        <w:t>Dosage and Administration</w:t>
      </w:r>
      <w:r w:rsidR="00D4126A" w:rsidRPr="008E4CBE">
        <w:t xml:space="preserve"> </w:t>
      </w:r>
      <w:r w:rsidRPr="008E4CBE">
        <w:t xml:space="preserve">section of the PI for the </w:t>
      </w:r>
      <w:proofErr w:type="spellStart"/>
      <w:r w:rsidRPr="008E4CBE">
        <w:t>Rosuzet</w:t>
      </w:r>
      <w:proofErr w:type="spellEnd"/>
      <w:r w:rsidRPr="008E4CBE">
        <w:t>/</w:t>
      </w:r>
      <w:proofErr w:type="spellStart"/>
      <w:r w:rsidRPr="008E4CBE">
        <w:t>Ezalo</w:t>
      </w:r>
      <w:proofErr w:type="spellEnd"/>
      <w:r w:rsidRPr="008E4CBE">
        <w:t xml:space="preserve"> f</w:t>
      </w:r>
      <w:r w:rsidR="0031305B">
        <w:t>ixed dose combination tablets.</w:t>
      </w:r>
    </w:p>
    <w:p w:rsidR="00605AD4" w:rsidRPr="0031305B" w:rsidRDefault="0031305B" w:rsidP="0031305B">
      <w:pPr>
        <w:pStyle w:val="Heading4"/>
      </w:pPr>
      <w:bookmarkStart w:id="60" w:name="_Toc196046464"/>
      <w:bookmarkStart w:id="61" w:name="_Toc247691518"/>
      <w:bookmarkStart w:id="62" w:name="_Toc314842502"/>
      <w:r>
        <w:t>Clinical r</w:t>
      </w:r>
      <w:r w:rsidR="00605AD4" w:rsidRPr="00605AD4">
        <w:t>ationale</w:t>
      </w:r>
    </w:p>
    <w:p w:rsidR="00D4126A" w:rsidRDefault="00D4126A" w:rsidP="0031305B">
      <w:r w:rsidRPr="00D4126A">
        <w:t>The sponsor’s rationale for the proposed fixed dose combination of ezetimibe and rosuvastatin (as calcium) is that these two medicines have different, complementary, mechanisms of action to lower low density lipoprote</w:t>
      </w:r>
      <w:r>
        <w:t xml:space="preserve">in cholesterol (LDL-C) levels. </w:t>
      </w:r>
      <w:r w:rsidRPr="00D4126A">
        <w:t>Both medicines are approved as an adjunctive therapy to d</w:t>
      </w:r>
      <w:r>
        <w:t xml:space="preserve">iet for hypercholesterolaemia. </w:t>
      </w:r>
      <w:r w:rsidRPr="00D4126A">
        <w:t>The sponsor indicates that the fixed dose combination tablet provides both ezetimibe and rosuvastatin in one tablet for once daily dosing, which will be simpler to administer for the patients who require both ezetimibe and rosuvastatin, and may assist adherence to treatment. The fixed dose combination tablet will also be simpler for the prescriber as he/she will prescribe one medicinal product rathe</w:t>
      </w:r>
      <w:r>
        <w:t xml:space="preserve">r than two separate products. </w:t>
      </w:r>
      <w:r w:rsidRPr="00D4126A">
        <w:t>The availability of the fixed dose combination tablet will also provide another option to adminis</w:t>
      </w:r>
      <w:r w:rsidR="0031305B">
        <w:t xml:space="preserve">ter </w:t>
      </w:r>
      <w:proofErr w:type="spellStart"/>
      <w:r w:rsidR="0031305B">
        <w:t>ezetimibe</w:t>
      </w:r>
      <w:proofErr w:type="spellEnd"/>
      <w:r w:rsidR="0031305B">
        <w:t xml:space="preserve"> and </w:t>
      </w:r>
      <w:proofErr w:type="spellStart"/>
      <w:r w:rsidR="0031305B">
        <w:t>rosuvastatin</w:t>
      </w:r>
      <w:proofErr w:type="spellEnd"/>
      <w:r w:rsidR="0031305B">
        <w:t>.</w:t>
      </w:r>
    </w:p>
    <w:p w:rsidR="00D4126A" w:rsidRPr="00D4126A" w:rsidRDefault="00D4126A" w:rsidP="0031305B">
      <w:r w:rsidRPr="00D4126A">
        <w:t>The sponsor proposes four tablet strengths of the fixed dose combination tablet to enable titratio</w:t>
      </w:r>
      <w:r>
        <w:t xml:space="preserve">n of the dose of rosuvastatin. </w:t>
      </w:r>
      <w:r w:rsidRPr="00D4126A">
        <w:t>The sponsor highlights that concomitant use of ezetimibe and rosuvastatin is already prescribed in clinical practice based on Pharmaceutical Benefits Scheme (PBS) claims data.</w:t>
      </w:r>
    </w:p>
    <w:p w:rsidR="00D4126A" w:rsidRPr="00D4126A" w:rsidRDefault="00D4126A" w:rsidP="0031305B">
      <w:r w:rsidRPr="00D4126A">
        <w:t xml:space="preserve">The sponsor indicates that the co-administration of ezetimibe and rosuvastatin meets the criteria for a fixed dose combination in the EMA </w:t>
      </w:r>
      <w:r w:rsidRPr="00D4126A">
        <w:rPr>
          <w:i/>
        </w:rPr>
        <w:t>Guideline on Clinical Development of Fixed Combination Medicinal Products</w:t>
      </w:r>
      <w:r w:rsidR="00D62739">
        <w:rPr>
          <w:i/>
        </w:rPr>
        <w:t xml:space="preserve"> </w:t>
      </w:r>
      <w:r w:rsidR="00D62739" w:rsidRPr="00D62739">
        <w:t>(</w:t>
      </w:r>
      <w:r w:rsidR="00D62739">
        <w:t xml:space="preserve">CHMP/EWP/240/95 Rev.1. </w:t>
      </w:r>
      <w:r w:rsidR="00D62739" w:rsidRPr="00D62739">
        <w:t>19 February 2009</w:t>
      </w:r>
      <w:r w:rsidR="00D62739">
        <w:t>)</w:t>
      </w:r>
      <w:r w:rsidRPr="00D4126A">
        <w:t>, in that it provides an improvement in benefit/risk due to a level of efficacy above the one achievable by a single substance with</w:t>
      </w:r>
      <w:r>
        <w:t xml:space="preserve"> an acceptable safety profile. </w:t>
      </w:r>
      <w:r w:rsidRPr="00D4126A">
        <w:t>The sponsor highlights that the justification for the proposed fixed dose combination tablet was approved by the TGA on 17 May 2013.</w:t>
      </w:r>
    </w:p>
    <w:p w:rsidR="00D4126A" w:rsidRPr="00D4126A" w:rsidRDefault="00D4126A" w:rsidP="0031305B">
      <w:pPr>
        <w:ind w:left="720"/>
      </w:pPr>
      <w:r w:rsidRPr="00D4126A">
        <w:rPr>
          <w:b/>
        </w:rPr>
        <w:t>Evaluator’s comment</w:t>
      </w:r>
      <w:r>
        <w:t xml:space="preserve">: </w:t>
      </w:r>
      <w:r w:rsidRPr="00D4126A">
        <w:t>The primary benefit of the fixed dose combination tablet over th</w:t>
      </w:r>
      <w:r w:rsidR="008D6CC4">
        <w:t>e co-administration of the mono</w:t>
      </w:r>
      <w:r w:rsidRPr="00D4126A">
        <w:t>therapies i</w:t>
      </w:r>
      <w:r>
        <w:t xml:space="preserve">s convenience for the patient. </w:t>
      </w:r>
      <w:r w:rsidRPr="00D4126A">
        <w:lastRenderedPageBreak/>
        <w:t xml:space="preserve">The advantages and disadvantages of the co-administration of ezetimibe and rosuvastatin were evaluated in the submission to register the </w:t>
      </w:r>
      <w:proofErr w:type="spellStart"/>
      <w:r w:rsidRPr="00D4126A">
        <w:t>ezetimibe</w:t>
      </w:r>
      <w:proofErr w:type="spellEnd"/>
      <w:r w:rsidRPr="00D4126A">
        <w:t xml:space="preserve"> and </w:t>
      </w:r>
      <w:proofErr w:type="spellStart"/>
      <w:r w:rsidRPr="00D4126A">
        <w:t>rosuvastatin</w:t>
      </w:r>
      <w:proofErr w:type="spellEnd"/>
      <w:r w:rsidRPr="00D4126A">
        <w:t xml:space="preserve"> (</w:t>
      </w:r>
      <w:proofErr w:type="spellStart"/>
      <w:r w:rsidRPr="00D4126A">
        <w:t>Rosuzet</w:t>
      </w:r>
      <w:proofErr w:type="spellEnd"/>
      <w:r w:rsidRPr="00D4126A">
        <w:t>/</w:t>
      </w:r>
      <w:proofErr w:type="spellStart"/>
      <w:r w:rsidRPr="00D4126A">
        <w:t>Ezalo</w:t>
      </w:r>
      <w:proofErr w:type="spellEnd"/>
      <w:r w:rsidRPr="00D4126A">
        <w:t>) composite pack (PM-2012-03419-1-3) and all four dose stre</w:t>
      </w:r>
      <w:r>
        <w:t xml:space="preserve">ngths proposed were approved. </w:t>
      </w:r>
      <w:r w:rsidRPr="00D4126A">
        <w:t xml:space="preserve">The TGA-adopted </w:t>
      </w:r>
      <w:r w:rsidRPr="00D62739">
        <w:rPr>
          <w:i/>
        </w:rPr>
        <w:t>Guideline on Clinical Development of Fixed Combination Medicinal Products</w:t>
      </w:r>
      <w:r w:rsidRPr="00D4126A">
        <w:t xml:space="preserve"> (</w:t>
      </w:r>
      <w:r w:rsidR="00D62739">
        <w:t>CHMP/EWP/240/95 Rev.1.</w:t>
      </w:r>
      <w:r w:rsidRPr="00D4126A">
        <w:t>) was also applicable to the ezetimibe and</w:t>
      </w:r>
      <w:r>
        <w:t xml:space="preserve"> rosuvastatin composite pack. </w:t>
      </w:r>
      <w:r w:rsidRPr="00D4126A">
        <w:t>Specific safety information was added to the PIs regarding the composite pack containing ezetimib</w:t>
      </w:r>
      <w:r w:rsidR="0031305B">
        <w:t xml:space="preserve">e 10 mg and </w:t>
      </w:r>
      <w:proofErr w:type="spellStart"/>
      <w:r w:rsidR="0031305B">
        <w:t>rosuvastatin</w:t>
      </w:r>
      <w:proofErr w:type="spellEnd"/>
      <w:r w:rsidR="0031305B">
        <w:t xml:space="preserve"> 40 mg.</w:t>
      </w:r>
    </w:p>
    <w:p w:rsidR="00605AD4" w:rsidRPr="0031305B" w:rsidRDefault="00605AD4" w:rsidP="0031305B">
      <w:pPr>
        <w:pStyle w:val="Heading4"/>
      </w:pPr>
      <w:r w:rsidRPr="00605AD4">
        <w:t>Guidance</w:t>
      </w:r>
    </w:p>
    <w:p w:rsidR="00D62739" w:rsidRPr="00D62739" w:rsidRDefault="00D62739" w:rsidP="0031305B">
      <w:r w:rsidRPr="00D62739">
        <w:t>The sponsor requested advice from the TGA w</w:t>
      </w:r>
      <w:r>
        <w:t xml:space="preserve">ith regard to this submission. </w:t>
      </w:r>
      <w:r w:rsidRPr="00D62739">
        <w:t>In particular, the sponsor sought:</w:t>
      </w:r>
    </w:p>
    <w:p w:rsidR="00D62739" w:rsidRPr="00D62739" w:rsidRDefault="00D62739" w:rsidP="0031305B">
      <w:pPr>
        <w:pStyle w:val="ListBullet"/>
      </w:pPr>
      <w:r w:rsidRPr="00D62739">
        <w:t xml:space="preserve">review and acceptance of the justification for a new fixed dose combination product containing </w:t>
      </w:r>
      <w:proofErr w:type="spellStart"/>
      <w:r w:rsidRPr="00D62739">
        <w:t>ezetimibe</w:t>
      </w:r>
      <w:proofErr w:type="spellEnd"/>
      <w:r w:rsidRPr="00D62739">
        <w:t xml:space="preserve"> and </w:t>
      </w:r>
      <w:proofErr w:type="spellStart"/>
      <w:r w:rsidRPr="00D62739">
        <w:t>rosuvastatin</w:t>
      </w:r>
      <w:proofErr w:type="spellEnd"/>
      <w:r w:rsidR="00096E5F">
        <w:t>;</w:t>
      </w:r>
    </w:p>
    <w:p w:rsidR="00D62739" w:rsidRPr="00D62739" w:rsidRDefault="00D62739" w:rsidP="0031305B">
      <w:pPr>
        <w:pStyle w:val="ListBullet"/>
      </w:pPr>
      <w:r w:rsidRPr="00D62739">
        <w:t>review and acceptance of the proposed literature-based submission strategy and inclusion/exclusion criteria</w:t>
      </w:r>
      <w:r w:rsidR="00096E5F">
        <w:t>;</w:t>
      </w:r>
    </w:p>
    <w:p w:rsidR="00D62739" w:rsidRPr="00D62739" w:rsidRDefault="00D62739" w:rsidP="0031305B">
      <w:pPr>
        <w:pStyle w:val="ListBullet"/>
      </w:pPr>
      <w:r w:rsidRPr="00D62739">
        <w:t>advice on the combination of new data from the updated literature search with data previously submitted in the application to register the ezetimibe and rosuvastatin composite pack</w:t>
      </w:r>
      <w:r w:rsidR="00096E5F">
        <w:t>;</w:t>
      </w:r>
    </w:p>
    <w:p w:rsidR="00D62739" w:rsidRPr="00D62739" w:rsidRDefault="00D62739" w:rsidP="0031305B">
      <w:pPr>
        <w:pStyle w:val="ListBullet"/>
      </w:pPr>
      <w:proofErr w:type="gramStart"/>
      <w:r w:rsidRPr="00D62739">
        <w:t>review</w:t>
      </w:r>
      <w:proofErr w:type="gramEnd"/>
      <w:r w:rsidRPr="00D62739">
        <w:t xml:space="preserve"> and acceptance of regulatory </w:t>
      </w:r>
      <w:r w:rsidRPr="0031305B">
        <w:t>strategy</w:t>
      </w:r>
      <w:r w:rsidRPr="00D62739">
        <w:t xml:space="preserve"> for demonstrating bioequivalence between multiple strengths of the fixed dose combination tablets and the co-administration of the individual medications</w:t>
      </w:r>
      <w:r w:rsidR="00096E5F">
        <w:t>.</w:t>
      </w:r>
    </w:p>
    <w:p w:rsidR="00D62739" w:rsidRPr="00D62739" w:rsidRDefault="00D62739" w:rsidP="0031305B">
      <w:r w:rsidRPr="00D62739">
        <w:t xml:space="preserve">The TGA found the justification for the new fixed dose combination product containing of ezetimibe and </w:t>
      </w:r>
      <w:r w:rsidR="002F6BC4">
        <w:t xml:space="preserve">rosuvastatin to be acceptable. </w:t>
      </w:r>
      <w:r w:rsidRPr="00D62739">
        <w:t>The proposed updated literature search strategy was found to be acceptable.</w:t>
      </w:r>
    </w:p>
    <w:p w:rsidR="00D62739" w:rsidRPr="00D62739" w:rsidRDefault="00D62739" w:rsidP="0031305B">
      <w:r w:rsidRPr="00D62739">
        <w:t xml:space="preserve">The TGA requested that the sponsor address the clinical criteria in Section 4 of Appendix 15 </w:t>
      </w:r>
      <w:r w:rsidR="002F6BC4">
        <w:t>(</w:t>
      </w:r>
      <w:r w:rsidR="002F6BC4" w:rsidRPr="002F6BC4">
        <w:rPr>
          <w:lang w:val="en"/>
        </w:rPr>
        <w:t>Guidance 15</w:t>
      </w:r>
      <w:r w:rsidR="002F6BC4">
        <w:rPr>
          <w:lang w:val="en"/>
        </w:rPr>
        <w:t>,</w:t>
      </w:r>
      <w:r w:rsidR="002F6BC4" w:rsidRPr="002F6BC4">
        <w:rPr>
          <w:lang w:val="en"/>
        </w:rPr>
        <w:t xml:space="preserve"> </w:t>
      </w:r>
      <w:proofErr w:type="spellStart"/>
      <w:r w:rsidR="002F6BC4" w:rsidRPr="00096E5F">
        <w:rPr>
          <w:i/>
          <w:lang w:val="en"/>
        </w:rPr>
        <w:t>Biopharmaceutic</w:t>
      </w:r>
      <w:proofErr w:type="spellEnd"/>
      <w:r w:rsidR="002F6BC4" w:rsidRPr="00096E5F">
        <w:rPr>
          <w:i/>
          <w:lang w:val="en"/>
        </w:rPr>
        <w:t xml:space="preserve"> studies</w:t>
      </w:r>
      <w:r w:rsidR="002F6BC4">
        <w:rPr>
          <w:lang w:val="en"/>
        </w:rPr>
        <w:t xml:space="preserve">) </w:t>
      </w:r>
      <w:r w:rsidRPr="00D62739">
        <w:t xml:space="preserve">of </w:t>
      </w:r>
      <w:r w:rsidR="002F6BC4">
        <w:t xml:space="preserve">the </w:t>
      </w:r>
      <w:r w:rsidRPr="00D62739">
        <w:t>A</w:t>
      </w:r>
      <w:r w:rsidR="002F6BC4">
        <w:t xml:space="preserve">ustralian </w:t>
      </w:r>
      <w:r w:rsidRPr="00D62739">
        <w:t>R</w:t>
      </w:r>
      <w:r w:rsidR="002F6BC4">
        <w:t xml:space="preserve">egulatory </w:t>
      </w:r>
      <w:r w:rsidRPr="00D62739">
        <w:t>G</w:t>
      </w:r>
      <w:r w:rsidR="002F6BC4">
        <w:t xml:space="preserve">uidelines for </w:t>
      </w:r>
      <w:r w:rsidRPr="00D62739">
        <w:t>P</w:t>
      </w:r>
      <w:r w:rsidR="002F6BC4">
        <w:t xml:space="preserve">rescription </w:t>
      </w:r>
      <w:r w:rsidRPr="00D62739">
        <w:t>M</w:t>
      </w:r>
      <w:r w:rsidR="002F6BC4">
        <w:t>edicines (ARGPM)</w:t>
      </w:r>
      <w:r w:rsidRPr="00D62739">
        <w:t xml:space="preserve"> for bioequivalence in relation to the sponsor’s proposal not to submit bioequivalence studies for two of the proposed strengths of fixed dose combination tablet.</w:t>
      </w:r>
    </w:p>
    <w:p w:rsidR="00D62739" w:rsidRPr="00D62739" w:rsidRDefault="00D62739" w:rsidP="0031305B">
      <w:r w:rsidRPr="00D62739">
        <w:t>The TGA identified, in the planning letter, specific issues to be addressed by the sponsor in the submission dossier:</w:t>
      </w:r>
    </w:p>
    <w:p w:rsidR="00D62739" w:rsidRPr="00D62739" w:rsidRDefault="00D62739" w:rsidP="0031305B">
      <w:pPr>
        <w:pStyle w:val="ListBullet"/>
      </w:pPr>
      <w:r w:rsidRPr="00D62739">
        <w:t>the sponsor was requested to confirm whether or not the application relied in part on population PK studies</w:t>
      </w:r>
      <w:r w:rsidR="00096E5F">
        <w:t>;</w:t>
      </w:r>
    </w:p>
    <w:p w:rsidR="00D62739" w:rsidRPr="00D62739" w:rsidRDefault="00D62739" w:rsidP="0031305B">
      <w:pPr>
        <w:pStyle w:val="ListBullet"/>
      </w:pPr>
      <w:r w:rsidRPr="00D62739">
        <w:t>the s</w:t>
      </w:r>
      <w:r w:rsidR="00096E5F">
        <w:t>ponsor was requested to provide</w:t>
      </w:r>
      <w:r w:rsidRPr="00D62739">
        <w:t xml:space="preserve"> a comprehensive table of contents which includes the contents of Modules 1 and 2</w:t>
      </w:r>
      <w:r w:rsidR="00096E5F">
        <w:t>;</w:t>
      </w:r>
    </w:p>
    <w:p w:rsidR="00D62739" w:rsidRDefault="00D62739" w:rsidP="0031305B">
      <w:pPr>
        <w:pStyle w:val="ListBullet"/>
      </w:pPr>
      <w:proofErr w:type="gramStart"/>
      <w:r w:rsidRPr="00D62739">
        <w:t>the</w:t>
      </w:r>
      <w:proofErr w:type="gramEnd"/>
      <w:r w:rsidRPr="00D62739">
        <w:t xml:space="preserve"> sponsor was requested to include an </w:t>
      </w:r>
      <w:r w:rsidR="00020CC0">
        <w:t>Risk Management Plan (</w:t>
      </w:r>
      <w:r w:rsidRPr="00D62739">
        <w:t>RMP</w:t>
      </w:r>
      <w:r w:rsidR="00020CC0">
        <w:t>)</w:t>
      </w:r>
      <w:r w:rsidRPr="00D62739">
        <w:t xml:space="preserve"> in the submission.</w:t>
      </w:r>
    </w:p>
    <w:p w:rsidR="002F6BC4" w:rsidRPr="002F6BC4" w:rsidRDefault="002F6BC4" w:rsidP="0031305B">
      <w:r w:rsidRPr="002F6BC4">
        <w:t>The sponsor has addressed issues raised by the TGA in the planning letter.</w:t>
      </w:r>
    </w:p>
    <w:p w:rsidR="00605AD4" w:rsidRDefault="00605AD4" w:rsidP="0031305B">
      <w:pPr>
        <w:pStyle w:val="Heading4"/>
      </w:pPr>
      <w:r w:rsidRPr="0031305B">
        <w:t>Contents</w:t>
      </w:r>
      <w:r w:rsidRPr="00605AD4">
        <w:t xml:space="preserve"> of the clinical dossier</w:t>
      </w:r>
    </w:p>
    <w:p w:rsidR="002F6BC4" w:rsidRPr="002F6BC4" w:rsidRDefault="002F6BC4" w:rsidP="0031305B">
      <w:r w:rsidRPr="002F6BC4">
        <w:t>The clinical dossier consisted of both previously submitted clinic</w:t>
      </w:r>
      <w:r>
        <w:t xml:space="preserve">al data and new clinical data. </w:t>
      </w:r>
      <w:r w:rsidRPr="002F6BC4">
        <w:t>The submission contained the following clinical information:</w:t>
      </w:r>
    </w:p>
    <w:p w:rsidR="002F6BC4" w:rsidRPr="002F6BC4" w:rsidRDefault="002F6BC4" w:rsidP="0031305B">
      <w:r w:rsidRPr="002F6BC4">
        <w:t>Module 5</w:t>
      </w:r>
      <w:r>
        <w:t>:</w:t>
      </w:r>
    </w:p>
    <w:p w:rsidR="002F6BC4" w:rsidRPr="002F6BC4" w:rsidRDefault="002F6BC4" w:rsidP="0031305B">
      <w:pPr>
        <w:pStyle w:val="ListBullet"/>
      </w:pPr>
      <w:r w:rsidRPr="002F6BC4">
        <w:t xml:space="preserve">Two </w:t>
      </w:r>
      <w:r w:rsidRPr="0031305B">
        <w:t>bioequivalence</w:t>
      </w:r>
      <w:r w:rsidRPr="002F6BC4">
        <w:t xml:space="preserve"> studies</w:t>
      </w:r>
      <w:r>
        <w:t>:</w:t>
      </w:r>
      <w:r w:rsidRPr="002F6BC4">
        <w:t xml:space="preserve"> Study P417 and Study P425</w:t>
      </w:r>
    </w:p>
    <w:p w:rsidR="002F6BC4" w:rsidRPr="002F6BC4" w:rsidRDefault="002F6BC4" w:rsidP="0031305B">
      <w:pPr>
        <w:pStyle w:val="ListBullet"/>
      </w:pPr>
      <w:r w:rsidRPr="002F6BC4">
        <w:lastRenderedPageBreak/>
        <w:t xml:space="preserve">One clinical pharmacology study (Study P03317) that provided </w:t>
      </w:r>
      <w:r w:rsidR="00096E5F">
        <w:t xml:space="preserve">PK </w:t>
      </w:r>
      <w:r>
        <w:t xml:space="preserve">data and </w:t>
      </w:r>
      <w:r w:rsidR="00096E5F">
        <w:t xml:space="preserve">PD </w:t>
      </w:r>
      <w:r>
        <w:t xml:space="preserve">data. </w:t>
      </w:r>
      <w:r w:rsidRPr="002F6BC4">
        <w:t xml:space="preserve">This study has previously been evaluated by the TGA as it was included in submission PM-2012-03419-1-3, </w:t>
      </w:r>
      <w:r w:rsidRPr="0031305B">
        <w:t>the</w:t>
      </w:r>
      <w:r w:rsidRPr="002F6BC4">
        <w:t xml:space="preserve"> application to register a new composite pack</w:t>
      </w:r>
      <w:r w:rsidR="00096E5F">
        <w:t xml:space="preserve"> for ezetimibe and rosuvastatin</w:t>
      </w:r>
    </w:p>
    <w:p w:rsidR="002F6BC4" w:rsidRPr="002F6BC4" w:rsidRDefault="002F6BC4" w:rsidP="0031305B">
      <w:pPr>
        <w:pStyle w:val="ListBullet"/>
      </w:pPr>
      <w:r w:rsidRPr="002F6BC4">
        <w:t xml:space="preserve">The synopsis and appendices of one clinical safety and </w:t>
      </w:r>
      <w:r>
        <w:t xml:space="preserve">efficacy study (Study P139V1). </w:t>
      </w:r>
      <w:r w:rsidRPr="002F6BC4">
        <w:t>This study has previously been evaluated by the TGA as it was included in submission PM-2012-03419-1-3, the application to register a new composite pack</w:t>
      </w:r>
      <w:r w:rsidR="00096E5F">
        <w:t xml:space="preserve"> for ezetimibe and rosuvastatin</w:t>
      </w:r>
    </w:p>
    <w:p w:rsidR="002F6BC4" w:rsidRPr="002F6BC4" w:rsidRDefault="002F6BC4" w:rsidP="0031305B">
      <w:pPr>
        <w:pStyle w:val="ListBullet"/>
      </w:pPr>
      <w:r w:rsidRPr="002F6BC4">
        <w:t>75 datasets identified from two systematic reviews of the literature, of which 46 efficacy and safety datasets, derived from 63 publications, were identified in a previous review for submission PM-2012-03419-1</w:t>
      </w:r>
      <w:r>
        <w:t xml:space="preserve">-3 (and previously evaluated). </w:t>
      </w:r>
      <w:r w:rsidRPr="002F6BC4">
        <w:t>The remaining 29 new safety and efficacy datasets were derived from 30 publications identified in the updated literature review (out of 35 datasets with ezetimibe and rosuvastatin co-administration ide</w:t>
      </w:r>
      <w:r w:rsidR="0031305B">
        <w:t>ntified, 33 of which were new.)</w:t>
      </w:r>
    </w:p>
    <w:p w:rsidR="002F6BC4" w:rsidRPr="002F6BC4" w:rsidRDefault="002F6BC4" w:rsidP="0031305B">
      <w:pPr>
        <w:pStyle w:val="ListBullet"/>
      </w:pPr>
      <w:r w:rsidRPr="002F6BC4">
        <w:t xml:space="preserve">Periodic Safety Update Report (PSUR) Addendum Report for </w:t>
      </w:r>
      <w:proofErr w:type="spellStart"/>
      <w:r w:rsidRPr="0031305B">
        <w:t>ezetimibe</w:t>
      </w:r>
      <w:proofErr w:type="spellEnd"/>
      <w:r w:rsidRPr="002F6BC4">
        <w:t xml:space="preserve"> for the period 17 April 2012 to 16 April 2013</w:t>
      </w:r>
    </w:p>
    <w:p w:rsidR="002F6BC4" w:rsidRDefault="002F6BC4" w:rsidP="0031305B">
      <w:pPr>
        <w:pStyle w:val="ListBullet"/>
      </w:pPr>
      <w:r w:rsidRPr="002F6BC4">
        <w:t xml:space="preserve">Clinical studies from the original application to register </w:t>
      </w:r>
      <w:proofErr w:type="spellStart"/>
      <w:r w:rsidRPr="002F6BC4">
        <w:t>Ezetrol</w:t>
      </w:r>
      <w:proofErr w:type="spellEnd"/>
    </w:p>
    <w:p w:rsidR="002F6BC4" w:rsidRDefault="002F6BC4" w:rsidP="0031305B">
      <w:pPr>
        <w:pStyle w:val="ListBullet"/>
      </w:pPr>
      <w:r w:rsidRPr="002F6BC4">
        <w:t>Literatur</w:t>
      </w:r>
      <w:r w:rsidR="0031305B">
        <w:t>e references</w:t>
      </w:r>
    </w:p>
    <w:p w:rsidR="002F6BC4" w:rsidRDefault="002F6BC4" w:rsidP="0031305B">
      <w:r>
        <w:t>Module 2:</w:t>
      </w:r>
    </w:p>
    <w:p w:rsidR="002F6BC4" w:rsidRDefault="002F6BC4" w:rsidP="0031305B">
      <w:pPr>
        <w:pStyle w:val="ListBullet"/>
      </w:pPr>
      <w:r w:rsidRPr="002F6BC4">
        <w:t>Clinical Overview and Clinical Summary</w:t>
      </w:r>
    </w:p>
    <w:p w:rsidR="00096E5F" w:rsidRDefault="002F6BC4" w:rsidP="0031305B">
      <w:pPr>
        <w:ind w:left="720"/>
      </w:pPr>
      <w:r w:rsidRPr="002F6BC4">
        <w:rPr>
          <w:b/>
        </w:rPr>
        <w:t>Evaluator’s comment</w:t>
      </w:r>
      <w:r>
        <w:t xml:space="preserve">: </w:t>
      </w:r>
      <w:r w:rsidRPr="002F6BC4">
        <w:t xml:space="preserve">The sponsor has previously undertaken a literature search to identify publications relating to the co-administration </w:t>
      </w:r>
      <w:r>
        <w:t xml:space="preserve">of ezetimibe and rosuvastatin. </w:t>
      </w:r>
      <w:r w:rsidRPr="002F6BC4">
        <w:t>The publications identified were included in submission PM-2012-03419-1-3, the application to register an ezetimibe an</w:t>
      </w:r>
      <w:r>
        <w:t xml:space="preserve">d rosuvastatin composite pack. </w:t>
      </w:r>
      <w:r w:rsidRPr="002F6BC4">
        <w:t>For this current application, the sponsor undertook a second search using the same search strategy but using a date limit covering the period 2012 to 22 April 2013. The previous search covered</w:t>
      </w:r>
      <w:r>
        <w:t xml:space="preserve"> publication dates up to 2012. </w:t>
      </w:r>
      <w:r w:rsidRPr="002F6BC4">
        <w:t>For both searches, the databases searched were EMB</w:t>
      </w:r>
      <w:r>
        <w:t>ASE, PubMed, Clinicaltrials.gov</w:t>
      </w:r>
      <w:r w:rsidRPr="002F6BC4">
        <w:t xml:space="preserve">, </w:t>
      </w:r>
      <w:proofErr w:type="spellStart"/>
      <w:r w:rsidRPr="002F6BC4">
        <w:t>Toxline</w:t>
      </w:r>
      <w:proofErr w:type="spellEnd"/>
      <w:r w:rsidRPr="002F6BC4">
        <w:t xml:space="preserve">, Merck Sharp &amp; </w:t>
      </w:r>
      <w:proofErr w:type="spellStart"/>
      <w:r w:rsidRPr="002F6BC4">
        <w:t>Dohme’s</w:t>
      </w:r>
      <w:proofErr w:type="spellEnd"/>
      <w:r w:rsidRPr="002F6BC4">
        <w:t xml:space="preserve"> internal database (Clinical Lite</w:t>
      </w:r>
      <w:r>
        <w:t xml:space="preserve">rature Information Centre). </w:t>
      </w:r>
      <w:r w:rsidRPr="002F6BC4">
        <w:t>The TGA approved the sponsor’s search str</w:t>
      </w:r>
      <w:r w:rsidR="0031305B">
        <w:t>ategy and the updated search.</w:t>
      </w:r>
    </w:p>
    <w:p w:rsidR="002F6BC4" w:rsidRPr="002F6BC4" w:rsidRDefault="002F6BC4" w:rsidP="0031305B">
      <w:pPr>
        <w:ind w:left="720"/>
      </w:pPr>
      <w:r w:rsidRPr="002F6BC4">
        <w:t>New publications were iden</w:t>
      </w:r>
      <w:r>
        <w:t xml:space="preserve">tified from the second search. </w:t>
      </w:r>
      <w:r w:rsidRPr="002F6BC4">
        <w:t>Publications previously submitted to the TGA were referred to and considered in this submission but w</w:t>
      </w:r>
      <w:r>
        <w:t xml:space="preserve">ere not formally re-evaluated. </w:t>
      </w:r>
      <w:r w:rsidRPr="002F6BC4">
        <w:t>The publications identified in the searches included full articles, abstracts, posters and inf</w:t>
      </w:r>
      <w:r w:rsidR="0031305B">
        <w:t>ormation on ClinicalTrials.gov.</w:t>
      </w:r>
    </w:p>
    <w:p w:rsidR="00605AD4" w:rsidRPr="0031305B" w:rsidRDefault="00605AD4" w:rsidP="0031305B">
      <w:pPr>
        <w:pStyle w:val="Heading4"/>
      </w:pPr>
      <w:r w:rsidRPr="00605AD4">
        <w:t>Paediatric data</w:t>
      </w:r>
    </w:p>
    <w:p w:rsidR="002F6BC4" w:rsidRPr="002F6BC4" w:rsidRDefault="002F6BC4" w:rsidP="0031305B">
      <w:r w:rsidRPr="002F6BC4">
        <w:t>The sponsor has not included data in this submission to support the use of the proposed product in</w:t>
      </w:r>
      <w:r w:rsidR="0031305B">
        <w:t xml:space="preserve"> the paediatric population.</w:t>
      </w:r>
    </w:p>
    <w:p w:rsidR="002F6BC4" w:rsidRDefault="002F6BC4" w:rsidP="0031305B">
      <w:pPr>
        <w:ind w:left="720"/>
      </w:pPr>
      <w:r w:rsidRPr="002F6BC4">
        <w:rPr>
          <w:b/>
        </w:rPr>
        <w:t>Evaluator’s comment</w:t>
      </w:r>
      <w:r>
        <w:t xml:space="preserve">: </w:t>
      </w:r>
      <w:r w:rsidRPr="002F6BC4">
        <w:t xml:space="preserve">The draft PIs for </w:t>
      </w:r>
      <w:r w:rsidR="00096E5F">
        <w:t xml:space="preserve">the proposed </w:t>
      </w:r>
      <w:proofErr w:type="spellStart"/>
      <w:r w:rsidRPr="002F6BC4">
        <w:t>Rosuzet</w:t>
      </w:r>
      <w:proofErr w:type="spellEnd"/>
      <w:r w:rsidRPr="002F6BC4">
        <w:t xml:space="preserve"> fixed dose combination tablets and </w:t>
      </w:r>
      <w:proofErr w:type="spellStart"/>
      <w:r w:rsidRPr="002F6BC4">
        <w:t>Ezalo</w:t>
      </w:r>
      <w:proofErr w:type="spellEnd"/>
      <w:r w:rsidRPr="002F6BC4">
        <w:t xml:space="preserve"> fixed dose combination tablets state that the respective products are not r</w:t>
      </w:r>
      <w:r w:rsidR="0031305B">
        <w:t>ecommended for use in children.</w:t>
      </w:r>
    </w:p>
    <w:p w:rsidR="002F6BC4" w:rsidRPr="002F6BC4" w:rsidRDefault="002F6BC4" w:rsidP="0031305B">
      <w:pPr>
        <w:ind w:left="720"/>
      </w:pPr>
      <w:r w:rsidRPr="002F6BC4">
        <w:t>There were subjects aged less than 18 years of age in a number of the new publications identified in the updated literature search for this submission</w:t>
      </w:r>
      <w:r>
        <w:t>.</w:t>
      </w:r>
    </w:p>
    <w:p w:rsidR="00605AD4" w:rsidRPr="0031305B" w:rsidRDefault="00605AD4" w:rsidP="0031305B">
      <w:pPr>
        <w:pStyle w:val="Heading4"/>
      </w:pPr>
      <w:r w:rsidRPr="00605AD4">
        <w:t>Good clinical practice</w:t>
      </w:r>
    </w:p>
    <w:p w:rsidR="002F6BC4" w:rsidRPr="002F6BC4" w:rsidRDefault="002F6BC4" w:rsidP="0031305B">
      <w:r w:rsidRPr="002F6BC4">
        <w:t>The sponsor states in each of the Clinical Study Reports for Study P425 and Study P417, respectively, that the study was conducted in compliance with Goo</w:t>
      </w:r>
      <w:r w:rsidR="00AF0CC8">
        <w:t>d Clinical Practice (ICH-</w:t>
      </w:r>
      <w:r w:rsidR="00AF0CC8">
        <w:lastRenderedPageBreak/>
        <w:t xml:space="preserve">GCP). </w:t>
      </w:r>
      <w:r w:rsidRPr="002F6BC4">
        <w:t>In each of the Clinical Study Reports, it is indicated that the clinical protocol was approved by an institutional ethics committee and the research was undertaken in accordance with clinical research guidelines established by the basic principles defined in the EU Directive 2001/20/EC and the principles i</w:t>
      </w:r>
      <w:r w:rsidR="00AF0CC8">
        <w:t xml:space="preserve">n the Declaration of Helsinki. </w:t>
      </w:r>
      <w:r w:rsidRPr="002F6BC4">
        <w:t>Informed consent was obtained.</w:t>
      </w:r>
    </w:p>
    <w:p w:rsidR="002F6BC4" w:rsidRPr="002F6BC4" w:rsidRDefault="00AF0CC8" w:rsidP="0031305B">
      <w:pPr>
        <w:ind w:left="720"/>
      </w:pPr>
      <w:r>
        <w:rPr>
          <w:b/>
        </w:rPr>
        <w:t>Evaluator’s c</w:t>
      </w:r>
      <w:r w:rsidR="002F6BC4" w:rsidRPr="003D1B16">
        <w:rPr>
          <w:b/>
        </w:rPr>
        <w:t>omment</w:t>
      </w:r>
      <w:r>
        <w:t xml:space="preserve">: </w:t>
      </w:r>
      <w:r w:rsidR="002F6BC4" w:rsidRPr="00463075">
        <w:t>Steps undertaken to comply with the principles of good clinical practice were not specified in all of the newly-identified publications submitted to support this product.</w:t>
      </w:r>
    </w:p>
    <w:p w:rsidR="008E7846" w:rsidRPr="0031305B" w:rsidRDefault="008E7846" w:rsidP="0031305B">
      <w:pPr>
        <w:pStyle w:val="Heading3"/>
      </w:pPr>
      <w:bookmarkStart w:id="63" w:name="_Toc412706470"/>
      <w:r w:rsidRPr="00254787">
        <w:t>Pharmacokinetics</w:t>
      </w:r>
      <w:bookmarkEnd w:id="54"/>
      <w:bookmarkEnd w:id="60"/>
      <w:bookmarkEnd w:id="61"/>
      <w:bookmarkEnd w:id="62"/>
      <w:bookmarkEnd w:id="63"/>
    </w:p>
    <w:p w:rsidR="00605AD4" w:rsidRDefault="00605AD4" w:rsidP="0031305B">
      <w:pPr>
        <w:pStyle w:val="Heading4"/>
      </w:pPr>
      <w:r>
        <w:t>Studies</w:t>
      </w:r>
      <w:r w:rsidR="0031305B">
        <w:t xml:space="preserve"> providing pharmacokinetic data</w:t>
      </w:r>
    </w:p>
    <w:p w:rsidR="00AF0CC8" w:rsidRDefault="00AF0CC8" w:rsidP="0031305B">
      <w:r>
        <w:t xml:space="preserve">Table 1 </w:t>
      </w:r>
      <w:r w:rsidRPr="003142B4">
        <w:t xml:space="preserve">shows the studies relating to each </w:t>
      </w:r>
      <w:r w:rsidR="00096E5F">
        <w:t xml:space="preserve">PK </w:t>
      </w:r>
      <w:r w:rsidRPr="003142B4">
        <w:t>topic.</w:t>
      </w:r>
    </w:p>
    <w:p w:rsidR="00AF0CC8" w:rsidRPr="003142B4" w:rsidRDefault="00AF0CC8" w:rsidP="0031305B">
      <w:pPr>
        <w:pStyle w:val="TableTitle"/>
      </w:pPr>
      <w:bookmarkStart w:id="64" w:name="_Ref272426277"/>
      <w:bookmarkStart w:id="65" w:name="_Toc381254281"/>
      <w:bookmarkStart w:id="66" w:name="_Toc390788215"/>
      <w:proofErr w:type="gramStart"/>
      <w:r w:rsidRPr="003142B4">
        <w:t>Table</w:t>
      </w:r>
      <w:bookmarkEnd w:id="64"/>
      <w:r>
        <w:t xml:space="preserve"> 1</w:t>
      </w:r>
      <w:r w:rsidRPr="003142B4">
        <w:t>.</w:t>
      </w:r>
      <w:proofErr w:type="gramEnd"/>
      <w:r w:rsidRPr="003142B4">
        <w:t xml:space="preserve"> Submitted pharmacokinetic </w:t>
      </w:r>
      <w:r w:rsidRPr="0031305B">
        <w:t>studies</w:t>
      </w:r>
      <w:bookmarkEnd w:id="65"/>
      <w:bookmarkEnd w:id="66"/>
    </w:p>
    <w:tbl>
      <w:tblPr>
        <w:tblStyle w:val="TableTGAblue"/>
        <w:tblW w:w="8505" w:type="dxa"/>
        <w:tblLayout w:type="fixed"/>
        <w:tblLook w:val="04A0" w:firstRow="1" w:lastRow="0" w:firstColumn="1" w:lastColumn="0" w:noHBand="0" w:noVBand="1"/>
      </w:tblPr>
      <w:tblGrid>
        <w:gridCol w:w="1842"/>
        <w:gridCol w:w="1276"/>
        <w:gridCol w:w="5387"/>
      </w:tblGrid>
      <w:tr w:rsidR="005139BE" w:rsidRPr="00AF0CC8" w:rsidTr="000F7116">
        <w:trPr>
          <w:cnfStyle w:val="100000000000" w:firstRow="1" w:lastRow="0" w:firstColumn="0" w:lastColumn="0" w:oddVBand="0" w:evenVBand="0" w:oddHBand="0" w:evenHBand="0" w:firstRowFirstColumn="0" w:firstRowLastColumn="0" w:lastRowFirstColumn="0" w:lastRowLastColumn="0"/>
        </w:trPr>
        <w:tc>
          <w:tcPr>
            <w:tcW w:w="1842" w:type="dxa"/>
          </w:tcPr>
          <w:p w:rsidR="005139BE" w:rsidRPr="00AF0CC8" w:rsidRDefault="005139BE" w:rsidP="0031305B">
            <w:pPr>
              <w:ind w:left="0" w:right="0"/>
            </w:pPr>
            <w:r w:rsidRPr="00AF0CC8">
              <w:t>PK topic</w:t>
            </w:r>
            <w:r>
              <w:t>;</w:t>
            </w:r>
            <w:r w:rsidRPr="00AF0CC8">
              <w:t xml:space="preserve"> Subtopic</w:t>
            </w:r>
          </w:p>
        </w:tc>
        <w:tc>
          <w:tcPr>
            <w:tcW w:w="1276" w:type="dxa"/>
          </w:tcPr>
          <w:p w:rsidR="005139BE" w:rsidRPr="00AF0CC8" w:rsidRDefault="005139BE" w:rsidP="0031305B">
            <w:pPr>
              <w:ind w:left="0" w:right="0"/>
            </w:pPr>
            <w:r w:rsidRPr="00AF0CC8">
              <w:t>Study ID</w:t>
            </w:r>
          </w:p>
        </w:tc>
        <w:tc>
          <w:tcPr>
            <w:tcW w:w="5387" w:type="dxa"/>
          </w:tcPr>
          <w:p w:rsidR="005139BE" w:rsidRPr="00AF0CC8" w:rsidRDefault="005139BE" w:rsidP="0031305B">
            <w:pPr>
              <w:ind w:left="0" w:right="0"/>
            </w:pPr>
            <w:r w:rsidRPr="00AF0CC8">
              <w:t>Primary objectives</w:t>
            </w:r>
          </w:p>
        </w:tc>
      </w:tr>
      <w:tr w:rsidR="005139BE" w:rsidRPr="00AF0CC8" w:rsidTr="000F7116">
        <w:tc>
          <w:tcPr>
            <w:tcW w:w="1842" w:type="dxa"/>
            <w:vMerge w:val="restart"/>
          </w:tcPr>
          <w:p w:rsidR="005139BE" w:rsidRPr="00AF0CC8" w:rsidRDefault="005139BE" w:rsidP="0031305B">
            <w:pPr>
              <w:ind w:left="0" w:right="0"/>
            </w:pPr>
            <w:r w:rsidRPr="00AF0CC8">
              <w:t>PK in healthy adults</w:t>
            </w:r>
            <w:r w:rsidR="0031305B">
              <w:t>;</w:t>
            </w:r>
          </w:p>
          <w:p w:rsidR="005139BE" w:rsidRPr="00AF0CC8" w:rsidRDefault="005139BE" w:rsidP="0031305B">
            <w:pPr>
              <w:ind w:left="0" w:right="0"/>
            </w:pPr>
            <w:r w:rsidRPr="00AF0CC8">
              <w:t>Bioequivalence† - Single dose</w:t>
            </w:r>
          </w:p>
        </w:tc>
        <w:tc>
          <w:tcPr>
            <w:tcW w:w="1276" w:type="dxa"/>
          </w:tcPr>
          <w:p w:rsidR="005139BE" w:rsidRPr="00AF0CC8" w:rsidRDefault="0031305B" w:rsidP="0031305B">
            <w:pPr>
              <w:ind w:left="0" w:right="0"/>
            </w:pPr>
            <w:r>
              <w:t>Study P417</w:t>
            </w:r>
          </w:p>
        </w:tc>
        <w:tc>
          <w:tcPr>
            <w:tcW w:w="5387" w:type="dxa"/>
          </w:tcPr>
          <w:p w:rsidR="005139BE" w:rsidRPr="00AF0CC8" w:rsidRDefault="005139BE" w:rsidP="0031305B">
            <w:pPr>
              <w:ind w:left="0" w:right="0"/>
            </w:pPr>
            <w:r w:rsidRPr="00AF0CC8">
              <w:t>The two primary objectives were:</w:t>
            </w:r>
          </w:p>
          <w:p w:rsidR="005139BE" w:rsidRPr="00AF0CC8" w:rsidRDefault="005139BE" w:rsidP="0031305B">
            <w:pPr>
              <w:ind w:left="0" w:right="0"/>
            </w:pPr>
            <w:r w:rsidRPr="00AF0CC8">
              <w:t xml:space="preserve">to evaluate, under fasting conditions, the single dose </w:t>
            </w:r>
            <w:r>
              <w:t xml:space="preserve">PK </w:t>
            </w:r>
            <w:r w:rsidRPr="00AF0CC8">
              <w:t>profile (</w:t>
            </w:r>
            <w:r>
              <w:t>a</w:t>
            </w:r>
            <w:r w:rsidRPr="00CA35FE">
              <w:t xml:space="preserve">rea under the concentration-time curve from time zero to time of last measurement </w:t>
            </w:r>
            <w:r>
              <w:t>(</w:t>
            </w:r>
            <w:r w:rsidRPr="00AF0CC8">
              <w:t>AUC</w:t>
            </w:r>
            <w:r w:rsidRPr="00096E5F">
              <w:rPr>
                <w:vertAlign w:val="subscript"/>
              </w:rPr>
              <w:t>0-t</w:t>
            </w:r>
            <w:r>
              <w:t xml:space="preserve">) </w:t>
            </w:r>
            <w:r w:rsidRPr="00AF0CC8">
              <w:t xml:space="preserve">and </w:t>
            </w:r>
            <w:r>
              <w:t>m</w:t>
            </w:r>
            <w:r w:rsidRPr="00CA35FE">
              <w:t xml:space="preserve">aximum observed concentration </w:t>
            </w:r>
            <w:r>
              <w:t>(</w:t>
            </w:r>
            <w:r w:rsidRPr="00AF0CC8">
              <w:t>Cmax</w:t>
            </w:r>
            <w:r>
              <w:t>)</w:t>
            </w:r>
            <w:r w:rsidRPr="00AF0CC8">
              <w:t>) of un-conjugated ezetimibe and total ezetimibe after oral administration of a single dose of the test formulation (fixed dose combination of rosuvastatin calcium + ezetimibe, 40</w:t>
            </w:r>
            <w:r>
              <w:t xml:space="preserve"> mg</w:t>
            </w:r>
            <w:r w:rsidRPr="00AF0CC8">
              <w:t>/10 mg tablet) and reference formulations (co-administration of Crestor (rosuvastatin calcium) 40 mg with Ezetrol (ezetimibe) 10 mg as individual tablets)</w:t>
            </w:r>
            <w:r>
              <w:t>;</w:t>
            </w:r>
          </w:p>
          <w:p w:rsidR="005139BE" w:rsidRPr="00AF0CC8" w:rsidRDefault="005139BE" w:rsidP="0031305B">
            <w:pPr>
              <w:ind w:left="0" w:right="0"/>
            </w:pPr>
            <w:r w:rsidRPr="00AF0CC8">
              <w:t xml:space="preserve">to evaluate, under fasting conditions, the single dose </w:t>
            </w:r>
            <w:r>
              <w:t xml:space="preserve">PK </w:t>
            </w:r>
            <w:r w:rsidRPr="00AF0CC8">
              <w:t>profile (AUC</w:t>
            </w:r>
            <w:r w:rsidRPr="00096E5F">
              <w:rPr>
                <w:vertAlign w:val="subscript"/>
              </w:rPr>
              <w:t>0-t</w:t>
            </w:r>
            <w:r w:rsidRPr="00AF0CC8">
              <w:t xml:space="preserve"> and Cmax) of rosuvastatin after oral administration of a single dose of the test formulation (fixed dose combination of rosuvastatin calcium + ezetimibe 40</w:t>
            </w:r>
            <w:r>
              <w:t xml:space="preserve"> mg</w:t>
            </w:r>
            <w:r w:rsidRPr="00AF0CC8">
              <w:t>/10 mg tablet) and reference formulations (co-administration of Crestor (rosuvastatin calcium) 40 mg and Ezetrol (ezetimibe) 10 mg as individual tablets).</w:t>
            </w:r>
          </w:p>
        </w:tc>
      </w:tr>
      <w:tr w:rsidR="005139BE" w:rsidRPr="00AF0CC8" w:rsidTr="000F7116">
        <w:tc>
          <w:tcPr>
            <w:tcW w:w="1842" w:type="dxa"/>
            <w:vMerge/>
          </w:tcPr>
          <w:p w:rsidR="005139BE" w:rsidRPr="00AF0CC8" w:rsidRDefault="005139BE" w:rsidP="0031305B">
            <w:pPr>
              <w:ind w:left="0" w:right="0"/>
            </w:pPr>
          </w:p>
        </w:tc>
        <w:tc>
          <w:tcPr>
            <w:tcW w:w="1276" w:type="dxa"/>
          </w:tcPr>
          <w:p w:rsidR="005139BE" w:rsidRPr="00AF0CC8" w:rsidRDefault="005139BE" w:rsidP="0031305B">
            <w:pPr>
              <w:ind w:left="0" w:right="0"/>
            </w:pPr>
            <w:r w:rsidRPr="00AF0CC8">
              <w:t>Study P425</w:t>
            </w:r>
          </w:p>
        </w:tc>
        <w:tc>
          <w:tcPr>
            <w:tcW w:w="5387" w:type="dxa"/>
          </w:tcPr>
          <w:p w:rsidR="005139BE" w:rsidRPr="00AF0CC8" w:rsidRDefault="005139BE" w:rsidP="0031305B">
            <w:pPr>
              <w:ind w:left="0" w:right="0"/>
            </w:pPr>
            <w:r w:rsidRPr="00AF0CC8">
              <w:t>The two primary objectives were:</w:t>
            </w:r>
          </w:p>
          <w:p w:rsidR="005139BE" w:rsidRPr="00AF0CC8" w:rsidRDefault="005139BE" w:rsidP="0031305B">
            <w:pPr>
              <w:ind w:left="0" w:right="0"/>
            </w:pPr>
            <w:r w:rsidRPr="00AF0CC8">
              <w:t xml:space="preserve">to evaluate, under fasting conditions, the single dose </w:t>
            </w:r>
            <w:r>
              <w:t xml:space="preserve">PK </w:t>
            </w:r>
            <w:r w:rsidRPr="00AF0CC8">
              <w:t>profile (AUC</w:t>
            </w:r>
            <w:r w:rsidRPr="00CA35FE">
              <w:rPr>
                <w:vertAlign w:val="subscript"/>
              </w:rPr>
              <w:t>0-t</w:t>
            </w:r>
            <w:r w:rsidRPr="00AF0CC8">
              <w:t xml:space="preserve"> and Cmax) of un-conjugated ezetimibe and total ezetimibe after oral administration of a single dose of the test formulation (fixed dose combination of rosuvastatin calcium + ezetimibe, 5</w:t>
            </w:r>
            <w:r>
              <w:t xml:space="preserve"> mg</w:t>
            </w:r>
            <w:r w:rsidRPr="00AF0CC8">
              <w:t>/10 mg tablet) and reference formulations (co-administration of Crestor (rosuvastatin calcium) 5</w:t>
            </w:r>
            <w:r>
              <w:t xml:space="preserve"> </w:t>
            </w:r>
            <w:r w:rsidRPr="00AF0CC8">
              <w:t>mg with Ezetrol (ezetimibe) 10 mg as individual tablets)</w:t>
            </w:r>
          </w:p>
          <w:p w:rsidR="005139BE" w:rsidRPr="00AF0CC8" w:rsidRDefault="005139BE" w:rsidP="0031305B">
            <w:pPr>
              <w:ind w:left="0" w:right="0"/>
            </w:pPr>
            <w:r w:rsidRPr="00AF0CC8">
              <w:t xml:space="preserve">to evaluate, under fasting conditions, the single dose </w:t>
            </w:r>
            <w:r>
              <w:t xml:space="preserve">PK </w:t>
            </w:r>
            <w:r w:rsidRPr="00AF0CC8">
              <w:t>profile (AUC</w:t>
            </w:r>
            <w:r w:rsidRPr="00CA35FE">
              <w:rPr>
                <w:vertAlign w:val="subscript"/>
              </w:rPr>
              <w:t>0-t</w:t>
            </w:r>
            <w:r w:rsidRPr="00AF0CC8">
              <w:t xml:space="preserve"> and Cmax) of rosuvastatin after oral </w:t>
            </w:r>
            <w:r w:rsidRPr="00AF0CC8">
              <w:lastRenderedPageBreak/>
              <w:t>administration of a single dose of the test formulation (fixed dose combination of rosuvastatin calcium + ezetimibe 5</w:t>
            </w:r>
            <w:r>
              <w:t xml:space="preserve"> mg</w:t>
            </w:r>
            <w:r w:rsidRPr="00AF0CC8">
              <w:t>/10 mg tablet) and reference formulations (co-administration of Crestor (rosuvastatin calcium) 5</w:t>
            </w:r>
            <w:r>
              <w:t xml:space="preserve"> </w:t>
            </w:r>
            <w:r w:rsidRPr="00AF0CC8">
              <w:t>mg and Ezetrol (ezetimibe) 10 mg as individual tablets).</w:t>
            </w:r>
          </w:p>
        </w:tc>
      </w:tr>
    </w:tbl>
    <w:p w:rsidR="00AF0CC8" w:rsidRPr="00D248C6" w:rsidRDefault="00AF0CC8" w:rsidP="0031305B">
      <w:pPr>
        <w:pStyle w:val="TableDescription"/>
      </w:pPr>
      <w:r w:rsidRPr="00D248C6">
        <w:lastRenderedPageBreak/>
        <w:t>† Bioequivalence of different formulations.</w:t>
      </w:r>
    </w:p>
    <w:p w:rsidR="00AF0CC8" w:rsidRPr="00AF0CC8" w:rsidRDefault="00AF0CC8" w:rsidP="0031305B">
      <w:r w:rsidRPr="00AF0CC8">
        <w:t xml:space="preserve">Two new </w:t>
      </w:r>
      <w:r w:rsidR="00CA35FE">
        <w:t xml:space="preserve">PK </w:t>
      </w:r>
      <w:r w:rsidRPr="00AF0CC8">
        <w:t>studies were included in this submissi</w:t>
      </w:r>
      <w:r w:rsidR="00656B4F">
        <w:t xml:space="preserve">on, Study P417 and Study P425. </w:t>
      </w:r>
      <w:r w:rsidRPr="00AF0CC8">
        <w:t>These studies were single dose bioequivalence studies comparing the highest and lowest strengths of the proposed fixed dose combination tablets with co-administ</w:t>
      </w:r>
      <w:r w:rsidR="008D6CC4">
        <w:t>ration of the mono-</w:t>
      </w:r>
      <w:r w:rsidR="0031305B">
        <w:t>components.</w:t>
      </w:r>
    </w:p>
    <w:p w:rsidR="00AF0CC8" w:rsidRPr="00AF0CC8" w:rsidRDefault="00AF0CC8" w:rsidP="0031305B">
      <w:r w:rsidRPr="00AF0CC8">
        <w:t xml:space="preserve">The </w:t>
      </w:r>
      <w:r w:rsidR="00CA35FE">
        <w:t xml:space="preserve">PK </w:t>
      </w:r>
      <w:r w:rsidRPr="00AF0CC8">
        <w:t xml:space="preserve">properties of the mono-components of the fixed dose combination tablets, ezetimibe and rosuvastatin are described in the respective Australian </w:t>
      </w:r>
      <w:r w:rsidR="00656B4F">
        <w:t xml:space="preserve">PI </w:t>
      </w:r>
      <w:r w:rsidRPr="00AF0CC8">
        <w:t xml:space="preserve">documents for Ezetrol </w:t>
      </w:r>
      <w:r w:rsidR="00656B4F">
        <w:t xml:space="preserve">and MSD Rosuvastatin. </w:t>
      </w:r>
      <w:r w:rsidRPr="00AF0CC8">
        <w:t xml:space="preserve">The </w:t>
      </w:r>
      <w:r w:rsidR="00CA35FE">
        <w:t xml:space="preserve">PK </w:t>
      </w:r>
      <w:r w:rsidRPr="00AF0CC8">
        <w:t xml:space="preserve">results of Study P03317, a 14 day study evaluating the effects of ezetimibe 10 mg and rosuvastatin 10 mg, either alone or in combination, in hypercholesterolaemic subjects, are described in the </w:t>
      </w:r>
      <w:r w:rsidR="00656B4F">
        <w:t xml:space="preserve">PI </w:t>
      </w:r>
      <w:r w:rsidRPr="00AF0CC8">
        <w:t>for the ezetimibe and rosuvastatin composite pack</w:t>
      </w:r>
      <w:r w:rsidR="00656B4F">
        <w:t>s</w:t>
      </w:r>
      <w:r w:rsidR="00CA35FE">
        <w:t>.</w:t>
      </w:r>
    </w:p>
    <w:p w:rsidR="00605AD4" w:rsidRPr="0031305B" w:rsidRDefault="00605AD4" w:rsidP="0031305B">
      <w:pPr>
        <w:pStyle w:val="Heading4"/>
      </w:pPr>
      <w:r>
        <w:t>Evaluator’s conclusions on pharmacokinetics</w:t>
      </w:r>
    </w:p>
    <w:p w:rsidR="00CA35FE" w:rsidRDefault="00656B4F" w:rsidP="0031305B">
      <w:r w:rsidRPr="00656B4F">
        <w:t xml:space="preserve">The </w:t>
      </w:r>
      <w:r w:rsidR="00CA35FE">
        <w:t xml:space="preserve">PK </w:t>
      </w:r>
      <w:r w:rsidRPr="00656B4F">
        <w:t xml:space="preserve">of </w:t>
      </w:r>
      <w:proofErr w:type="spellStart"/>
      <w:r w:rsidRPr="00656B4F">
        <w:t>ezetimibe</w:t>
      </w:r>
      <w:proofErr w:type="spellEnd"/>
      <w:r w:rsidRPr="00656B4F">
        <w:t xml:space="preserve"> and </w:t>
      </w:r>
      <w:proofErr w:type="spellStart"/>
      <w:r w:rsidRPr="00656B4F">
        <w:t>rosuvastatin</w:t>
      </w:r>
      <w:proofErr w:type="spellEnd"/>
      <w:r w:rsidRPr="00656B4F">
        <w:t xml:space="preserve"> as individual mono-components </w:t>
      </w:r>
      <w:proofErr w:type="gramStart"/>
      <w:r w:rsidRPr="00656B4F">
        <w:t>have</w:t>
      </w:r>
      <w:proofErr w:type="gramEnd"/>
      <w:r w:rsidRPr="00656B4F">
        <w:t xml:space="preserve"> been previously established. In this submission, two bioequivalence studies were submitted comparing the proposed fixed dose combination tablet, at the lowest and highest strengths, with administration of</w:t>
      </w:r>
      <w:r w:rsidR="0031305B">
        <w:t xml:space="preserve"> the mono-components.</w:t>
      </w:r>
    </w:p>
    <w:p w:rsidR="00CA35FE" w:rsidRDefault="00656B4F" w:rsidP="0031305B">
      <w:r w:rsidRPr="00656B4F">
        <w:t>In Study P425, comparing the test product, rosuvastatin calcium</w:t>
      </w:r>
      <w:r w:rsidR="005F23B2">
        <w:t>/</w:t>
      </w:r>
      <w:r w:rsidRPr="00656B4F">
        <w:t>ezetimibe 5</w:t>
      </w:r>
      <w:r w:rsidR="005F23B2">
        <w:t xml:space="preserve"> mg</w:t>
      </w:r>
      <w:r w:rsidRPr="00656B4F">
        <w:t>/10 mg fixed dose combination tablet, the lowest strength proposed, with the reference, co-administration of Crestor (rosuvastatin calcium) 5 mg ta</w:t>
      </w:r>
      <w:r w:rsidR="005F23B2">
        <w:t>blet and Ezetrol (ezetimibe) 10 </w:t>
      </w:r>
      <w:r w:rsidRPr="00656B4F">
        <w:t xml:space="preserve">mg tablet, the 90% confidence intervals </w:t>
      </w:r>
      <w:r w:rsidR="00CA35FE">
        <w:t xml:space="preserve">(CIs) </w:t>
      </w:r>
      <w:r w:rsidRPr="00656B4F">
        <w:t>of the geometric mean ratios of the test and reference products for AUC</w:t>
      </w:r>
      <w:r w:rsidRPr="00656B4F">
        <w:rPr>
          <w:vertAlign w:val="subscript"/>
        </w:rPr>
        <w:t>0-t</w:t>
      </w:r>
      <w:r w:rsidRPr="00656B4F">
        <w:t xml:space="preserve"> and Cmax for rosuvastatin, ezetimibe (unconjugated) and total ezetimibe were all within the pre-defined range of bioeq</w:t>
      </w:r>
      <w:r>
        <w:t>uivalence (80.00% to 125</w:t>
      </w:r>
      <w:r w:rsidR="0031305B">
        <w:t>.00%).</w:t>
      </w:r>
    </w:p>
    <w:p w:rsidR="00CA35FE" w:rsidRDefault="00656B4F" w:rsidP="0031305B">
      <w:r w:rsidRPr="00656B4F">
        <w:t>In Study P417, comparing the test product, rosuvastatin calcium</w:t>
      </w:r>
      <w:r w:rsidR="005F23B2">
        <w:t>/</w:t>
      </w:r>
      <w:r w:rsidRPr="00656B4F">
        <w:t>ezetimibe 40</w:t>
      </w:r>
      <w:r w:rsidR="005F23B2">
        <w:t xml:space="preserve"> mg</w:t>
      </w:r>
      <w:r w:rsidRPr="00656B4F">
        <w:t>/10 mg fixed dose combination tablet, the highest strength proposed, with the reference, co-administration of Crestor (rosuvastatin calcium) 40 mg ta</w:t>
      </w:r>
      <w:r w:rsidR="00CA35FE">
        <w:t>blet and Ezetrol (ezetimibe) 10 </w:t>
      </w:r>
      <w:r w:rsidRPr="00656B4F">
        <w:t xml:space="preserve">mg tablet, the 90% </w:t>
      </w:r>
      <w:r w:rsidR="00CA35FE">
        <w:t xml:space="preserve">CIs </w:t>
      </w:r>
      <w:r w:rsidRPr="00656B4F">
        <w:t>of the geometric mean ratios of the test and reference products for AUC</w:t>
      </w:r>
      <w:r w:rsidRPr="00656B4F">
        <w:rPr>
          <w:vertAlign w:val="subscript"/>
        </w:rPr>
        <w:t>0-t</w:t>
      </w:r>
      <w:r w:rsidRPr="00656B4F">
        <w:t xml:space="preserve"> for rosuvastatin, ezetimibe (unconjugated) and total ezetimibe were all within 80.00% to 125.00% as were the 90% </w:t>
      </w:r>
      <w:r w:rsidR="00CA35FE">
        <w:t>CI</w:t>
      </w:r>
      <w:r w:rsidRPr="00656B4F">
        <w:t xml:space="preserve">s of the geometric mean ratios of the test and reference products for </w:t>
      </w:r>
      <w:proofErr w:type="spellStart"/>
      <w:r w:rsidRPr="00656B4F">
        <w:t>Cmax</w:t>
      </w:r>
      <w:proofErr w:type="spellEnd"/>
      <w:r w:rsidRPr="00656B4F">
        <w:t xml:space="preserve"> for unconjuga</w:t>
      </w:r>
      <w:r w:rsidR="0031305B">
        <w:t xml:space="preserve">ted </w:t>
      </w:r>
      <w:proofErr w:type="spellStart"/>
      <w:r w:rsidR="0031305B">
        <w:t>ezetimibe</w:t>
      </w:r>
      <w:proofErr w:type="spellEnd"/>
      <w:r w:rsidR="0031305B">
        <w:t xml:space="preserve"> and </w:t>
      </w:r>
      <w:proofErr w:type="spellStart"/>
      <w:r w:rsidR="0031305B">
        <w:t>rosuvastatin</w:t>
      </w:r>
      <w:proofErr w:type="spellEnd"/>
      <w:r w:rsidR="0031305B">
        <w:t>.</w:t>
      </w:r>
    </w:p>
    <w:p w:rsidR="00656B4F" w:rsidRPr="00656B4F" w:rsidRDefault="00656B4F" w:rsidP="00656B4F">
      <w:r w:rsidRPr="00656B4F">
        <w:t xml:space="preserve">Although the lower limit of the 90% </w:t>
      </w:r>
      <w:r w:rsidR="00CA35FE">
        <w:t xml:space="preserve">CI </w:t>
      </w:r>
      <w:r w:rsidRPr="00656B4F">
        <w:t>of the geometric mean ratio of the test and reference product for Cmax of total ezetimibe was below 80% (Cmax 80.84 90%</w:t>
      </w:r>
      <w:r w:rsidR="005F23B2">
        <w:t xml:space="preserve"> </w:t>
      </w:r>
      <w:r w:rsidRPr="00656B4F">
        <w:t xml:space="preserve">CI [74.90, 87.25]), this is unlikely to be of major concern from a clinical perspective as the 90% </w:t>
      </w:r>
      <w:r w:rsidR="00CA35FE">
        <w:t xml:space="preserve">CI </w:t>
      </w:r>
      <w:r w:rsidRPr="00656B4F">
        <w:t>of the geometric mean ratio of the test and reference product for AUC</w:t>
      </w:r>
      <w:r w:rsidRPr="00656B4F">
        <w:rPr>
          <w:vertAlign w:val="subscript"/>
        </w:rPr>
        <w:t>0-t</w:t>
      </w:r>
      <w:r w:rsidRPr="00656B4F">
        <w:t xml:space="preserve"> of total ezetimibe, and the AUC</w:t>
      </w:r>
      <w:r w:rsidRPr="00656B4F">
        <w:rPr>
          <w:vertAlign w:val="subscript"/>
        </w:rPr>
        <w:t>0-t</w:t>
      </w:r>
      <w:r w:rsidRPr="00656B4F">
        <w:t xml:space="preserve"> and Cmax of the parent compound, ezetimibe (unconjugated), were within the bioequivalence range.</w:t>
      </w:r>
    </w:p>
    <w:p w:rsidR="008E7846" w:rsidRPr="0031305B" w:rsidRDefault="008E7846" w:rsidP="0031305B">
      <w:pPr>
        <w:pStyle w:val="Heading3"/>
      </w:pPr>
      <w:bookmarkStart w:id="67" w:name="_Toc196046481"/>
      <w:bookmarkStart w:id="68" w:name="_Toc247691520"/>
      <w:bookmarkStart w:id="69" w:name="_Toc314842503"/>
      <w:bookmarkStart w:id="70" w:name="_Toc412706471"/>
      <w:r w:rsidRPr="00254787">
        <w:lastRenderedPageBreak/>
        <w:t>Pharmacodynamics</w:t>
      </w:r>
      <w:bookmarkEnd w:id="55"/>
      <w:bookmarkEnd w:id="67"/>
      <w:bookmarkEnd w:id="68"/>
      <w:bookmarkEnd w:id="69"/>
      <w:bookmarkEnd w:id="70"/>
    </w:p>
    <w:p w:rsidR="00605AD4" w:rsidRDefault="00605AD4" w:rsidP="0031305B">
      <w:pPr>
        <w:pStyle w:val="Heading4"/>
      </w:pPr>
      <w:r>
        <w:t xml:space="preserve">Studies providing </w:t>
      </w:r>
      <w:proofErr w:type="spellStart"/>
      <w:r w:rsidRPr="0031305B">
        <w:t>pharmacodynamic</w:t>
      </w:r>
      <w:proofErr w:type="spellEnd"/>
      <w:r>
        <w:t xml:space="preserve"> data</w:t>
      </w:r>
    </w:p>
    <w:p w:rsidR="00656B4F" w:rsidRDefault="00656B4F" w:rsidP="0031305B">
      <w:r w:rsidRPr="00BE2356">
        <w:t>No new pharmacodynamic studies we</w:t>
      </w:r>
      <w:r w:rsidR="0031305B">
        <w:t>re included in the submission.</w:t>
      </w:r>
    </w:p>
    <w:p w:rsidR="00656B4F" w:rsidRDefault="00656B4F" w:rsidP="0031305B">
      <w:r w:rsidRPr="00BE2356">
        <w:t xml:space="preserve">The clinical study report for Study P03317, a 14 day </w:t>
      </w:r>
      <w:r w:rsidR="00CA35FE">
        <w:t xml:space="preserve">PD </w:t>
      </w:r>
      <w:r w:rsidRPr="00BE2356">
        <w:t>study evaluating the effects of ezetimibe 10 mg and rosuvastatin 10 mg, either alone or in c</w:t>
      </w:r>
      <w:r w:rsidR="000F1EA2">
        <w:t>ombination, in hypercholesterola</w:t>
      </w:r>
      <w:r w:rsidRPr="00BE2356">
        <w:t>emic subjects, wa</w:t>
      </w:r>
      <w:r>
        <w:t xml:space="preserve">s included in the submission. </w:t>
      </w:r>
      <w:r w:rsidRPr="00BE2356">
        <w:t xml:space="preserve">Study P03317 was evaluated as part of the application for the registration of the ezetimibe </w:t>
      </w:r>
      <w:r w:rsidR="00CA35FE">
        <w:t xml:space="preserve">and </w:t>
      </w:r>
      <w:r w:rsidRPr="00BE2356">
        <w:t xml:space="preserve">rosuvastatin composite pack </w:t>
      </w:r>
      <w:r>
        <w:t>(Submission PM</w:t>
      </w:r>
      <w:r w:rsidR="00CA35FE">
        <w:t>-</w:t>
      </w:r>
      <w:r>
        <w:t xml:space="preserve">2012-03419-1-3). </w:t>
      </w:r>
      <w:r w:rsidRPr="00BE2356">
        <w:t xml:space="preserve">The primary objective of the study was to evaluate the </w:t>
      </w:r>
      <w:r w:rsidR="00CA35FE">
        <w:t xml:space="preserve">PD </w:t>
      </w:r>
      <w:r w:rsidRPr="00BE2356">
        <w:t xml:space="preserve">effects and safety of the co-administration of </w:t>
      </w:r>
      <w:proofErr w:type="spellStart"/>
      <w:r w:rsidRPr="00BE2356">
        <w:t>ez</w:t>
      </w:r>
      <w:r w:rsidR="0031305B">
        <w:t>etimibe</w:t>
      </w:r>
      <w:proofErr w:type="spellEnd"/>
      <w:r w:rsidR="0031305B">
        <w:t xml:space="preserve"> and </w:t>
      </w:r>
      <w:proofErr w:type="spellStart"/>
      <w:r w:rsidR="0031305B">
        <w:t>rosuvastatin</w:t>
      </w:r>
      <w:proofErr w:type="spellEnd"/>
      <w:r w:rsidR="0031305B">
        <w:t>.</w:t>
      </w:r>
    </w:p>
    <w:p w:rsidR="00656B4F" w:rsidRDefault="00656B4F" w:rsidP="0031305B">
      <w:pPr>
        <w:ind w:left="720"/>
      </w:pPr>
      <w:r>
        <w:rPr>
          <w:b/>
        </w:rPr>
        <w:t>Evaluator’s c</w:t>
      </w:r>
      <w:r w:rsidRPr="00831BD4">
        <w:rPr>
          <w:b/>
        </w:rPr>
        <w:t>omment</w:t>
      </w:r>
      <w:r>
        <w:t xml:space="preserve">: </w:t>
      </w:r>
      <w:r w:rsidRPr="00BE2356">
        <w:t>Three publications</w:t>
      </w:r>
      <w:r>
        <w:rPr>
          <w:rStyle w:val="FootnoteReference"/>
        </w:rPr>
        <w:footnoteReference w:id="5"/>
      </w:r>
      <w:r w:rsidRPr="00BE2356">
        <w:t xml:space="preserve"> that were identified in the first literature search, to support the registration of the ezetimibe and rosuvastatin composite pack, relate to Study P03317.</w:t>
      </w:r>
    </w:p>
    <w:p w:rsidR="00605AD4" w:rsidRPr="0031305B" w:rsidRDefault="00605AD4" w:rsidP="0031305B">
      <w:pPr>
        <w:pStyle w:val="Heading4"/>
      </w:pPr>
      <w:r>
        <w:t>Evaluator’s conclusions on pharmacodynamics</w:t>
      </w:r>
    </w:p>
    <w:p w:rsidR="00656B4F" w:rsidRPr="00656B4F" w:rsidRDefault="00656B4F" w:rsidP="0031305B">
      <w:r w:rsidRPr="00656B4F">
        <w:t xml:space="preserve">No new </w:t>
      </w:r>
      <w:r w:rsidR="00CA35FE">
        <w:t xml:space="preserve">PD </w:t>
      </w:r>
      <w:r w:rsidRPr="00656B4F">
        <w:t xml:space="preserve">studies were included in the submission. The </w:t>
      </w:r>
      <w:r w:rsidR="00CA35FE">
        <w:t xml:space="preserve">PD </w:t>
      </w:r>
      <w:r w:rsidRPr="00656B4F">
        <w:t>effects of co-administered ezetimibe and rosuvastatin were established in the application for the registration of the ezetimibe and rosuvastatin composite pack</w:t>
      </w:r>
      <w:r w:rsidR="005F23B2">
        <w:t>s</w:t>
      </w:r>
      <w:r w:rsidRPr="00656B4F">
        <w:t xml:space="preserve"> (Submission PM</w:t>
      </w:r>
      <w:r w:rsidR="00CA35FE">
        <w:t>-</w:t>
      </w:r>
      <w:r w:rsidR="0031305B">
        <w:t>2012-03419-1-3).</w:t>
      </w:r>
    </w:p>
    <w:p w:rsidR="008E7846" w:rsidRPr="0031305B" w:rsidRDefault="00605AD4" w:rsidP="0031305B">
      <w:pPr>
        <w:pStyle w:val="Heading3"/>
      </w:pPr>
      <w:bookmarkStart w:id="71" w:name="_Toc412706472"/>
      <w:r>
        <w:t>Dosage selection for the pivotal studies</w:t>
      </w:r>
      <w:bookmarkEnd w:id="71"/>
    </w:p>
    <w:p w:rsidR="00656B4F" w:rsidRPr="00656B4F" w:rsidRDefault="00656B4F" w:rsidP="0031305B">
      <w:r w:rsidRPr="00656B4F">
        <w:t>No new pivotal studies were included in this submission.</w:t>
      </w:r>
    </w:p>
    <w:p w:rsidR="00656B4F" w:rsidRPr="00656B4F" w:rsidRDefault="00656B4F" w:rsidP="00656B4F">
      <w:r w:rsidRPr="00656B4F">
        <w:t>A pivotal study, Study P139V1, was evaluated as part of the application for the registration of the ezetimibe and rosuvastatin composite pack</w:t>
      </w:r>
      <w:r w:rsidR="005F23B2">
        <w:t>s</w:t>
      </w:r>
      <w:r w:rsidRPr="00656B4F">
        <w:t xml:space="preserve"> </w:t>
      </w:r>
      <w:r>
        <w:t>(</w:t>
      </w:r>
      <w:r w:rsidR="00CA35FE">
        <w:t>s</w:t>
      </w:r>
      <w:r>
        <w:t>ubmission PM</w:t>
      </w:r>
      <w:r w:rsidR="00CA35FE">
        <w:t>-</w:t>
      </w:r>
      <w:r>
        <w:t xml:space="preserve">2012-03419-1-3). </w:t>
      </w:r>
      <w:r w:rsidRPr="00656B4F">
        <w:t>The dosage of rosuvastatin (5 mg or 10 mg) administered during the open-label run-in period was based on the patient’s risk category, current statin therapy and LDL-C value</w:t>
      </w:r>
      <w:r>
        <w:t xml:space="preserve"> within the previous 12 weeks. </w:t>
      </w:r>
      <w:r w:rsidRPr="00656B4F">
        <w:t>During the six week double-blind treatment period, patients starting on rosuvastatin 5 mg during the run-in period were random</w:t>
      </w:r>
      <w:r>
        <w:t>ised to rosuvastatin 5 </w:t>
      </w:r>
      <w:r w:rsidRPr="00656B4F">
        <w:t>mg + ezetimibe 10 mg or rosuvastatin 10 mg, and patie</w:t>
      </w:r>
      <w:r>
        <w:t>nts starting on rosuvastatin 10 </w:t>
      </w:r>
      <w:r w:rsidRPr="00656B4F">
        <w:t>mg during the run-in period were randomised to rosuvastatin 10 mg + ezetimi</w:t>
      </w:r>
      <w:r w:rsidR="0031305B">
        <w:t xml:space="preserve">be 10 mg or </w:t>
      </w:r>
      <w:proofErr w:type="spellStart"/>
      <w:r w:rsidR="0031305B">
        <w:t>rosuvastatin</w:t>
      </w:r>
      <w:proofErr w:type="spellEnd"/>
      <w:r w:rsidR="0031305B">
        <w:t xml:space="preserve"> 20 mg.</w:t>
      </w:r>
    </w:p>
    <w:p w:rsidR="008E7846" w:rsidRPr="0031305B" w:rsidRDefault="008E7846" w:rsidP="0031305B">
      <w:pPr>
        <w:pStyle w:val="Heading3"/>
      </w:pPr>
      <w:bookmarkStart w:id="72" w:name="_Toc163441372"/>
      <w:bookmarkStart w:id="73" w:name="_Toc196046485"/>
      <w:bookmarkStart w:id="74" w:name="_Toc247691521"/>
      <w:bookmarkStart w:id="75" w:name="_Toc314842504"/>
      <w:bookmarkStart w:id="76" w:name="_Toc412706473"/>
      <w:r w:rsidRPr="00254787">
        <w:t>Efficacy</w:t>
      </w:r>
      <w:bookmarkEnd w:id="72"/>
      <w:bookmarkEnd w:id="73"/>
      <w:bookmarkEnd w:id="74"/>
      <w:bookmarkEnd w:id="75"/>
      <w:bookmarkEnd w:id="76"/>
    </w:p>
    <w:p w:rsidR="00605AD4" w:rsidRDefault="00605AD4" w:rsidP="0031305B">
      <w:pPr>
        <w:pStyle w:val="Heading4"/>
      </w:pPr>
      <w:bookmarkStart w:id="77" w:name="_Toc184439992"/>
      <w:bookmarkStart w:id="78" w:name="_Toc184440279"/>
      <w:bookmarkStart w:id="79" w:name="_Toc184444657"/>
      <w:bookmarkStart w:id="80" w:name="_Toc196046487"/>
      <w:r>
        <w:t xml:space="preserve">Studies providing </w:t>
      </w:r>
      <w:r w:rsidRPr="0031305B">
        <w:t>efficacy</w:t>
      </w:r>
      <w:r>
        <w:t xml:space="preserve"> data</w:t>
      </w:r>
    </w:p>
    <w:p w:rsidR="00656B4F" w:rsidRPr="00656B4F" w:rsidRDefault="00656B4F" w:rsidP="0031305B">
      <w:r w:rsidRPr="00656B4F">
        <w:t>No new clinical study reports of efficacy studies ar</w:t>
      </w:r>
      <w:r>
        <w:t xml:space="preserve">e included in this submission. </w:t>
      </w:r>
      <w:r w:rsidRPr="00656B4F">
        <w:t>New publications describing efficacy studies, identified in the updated literature search, are included in the submission.</w:t>
      </w:r>
    </w:p>
    <w:p w:rsidR="00656B4F" w:rsidRPr="00656B4F" w:rsidRDefault="00656B4F" w:rsidP="0031305B">
      <w:r w:rsidRPr="00656B4F">
        <w:t xml:space="preserve">The sponsor indicates that evidence establishing efficacy for ezetimibe co-administered with rosuvastatin is based on the original approval of ezetimibe as monotherapy and </w:t>
      </w:r>
      <w:r w:rsidRPr="00656B4F">
        <w:lastRenderedPageBreak/>
        <w:t>co</w:t>
      </w:r>
      <w:r w:rsidR="00CA35FE">
        <w:noBreakHyphen/>
      </w:r>
      <w:r w:rsidRPr="00656B4F">
        <w:t>administered with statins, Study P03317, Study P139V1, and publ</w:t>
      </w:r>
      <w:r w:rsidR="00503915">
        <w:t>ications (including abstracts).</w:t>
      </w:r>
      <w:r w:rsidRPr="00656B4F">
        <w:t xml:space="preserve"> The bioequivalence studies included in this submission provide a bridge between the efficacy and safety of the co-administration of ezetimibe and rosuvastatin as mono-components and the proposed fixed dose combination tablet which is the subject of this application.</w:t>
      </w:r>
    </w:p>
    <w:p w:rsidR="00656B4F" w:rsidRDefault="00656B4F" w:rsidP="0031305B">
      <w:pPr>
        <w:ind w:left="720"/>
      </w:pPr>
      <w:r>
        <w:rPr>
          <w:b/>
        </w:rPr>
        <w:t>Evaluator’s c</w:t>
      </w:r>
      <w:r w:rsidRPr="004B529F">
        <w:rPr>
          <w:b/>
        </w:rPr>
        <w:t>omment</w:t>
      </w:r>
      <w:r w:rsidRPr="00B12E44">
        <w:t>: The application for the ezetimibe and rosuvastatin composite pack (Submission PM</w:t>
      </w:r>
      <w:r w:rsidR="00CA35FE">
        <w:t>-</w:t>
      </w:r>
      <w:r w:rsidRPr="00B12E44">
        <w:t xml:space="preserve">2012-03419-1-3) has been approved by the TGA which indicates that the evidence to support the efficacy of concomitant administration of ezetimibe 10 mg and rosuvastatin 5 mg, 10 mg, 20 mg, </w:t>
      </w:r>
      <w:r w:rsidR="00503915">
        <w:t xml:space="preserve">or </w:t>
      </w:r>
      <w:r w:rsidRPr="00B12E44">
        <w:t>4</w:t>
      </w:r>
      <w:r w:rsidR="0031305B">
        <w:t>0 mg is acceptable.</w:t>
      </w:r>
    </w:p>
    <w:p w:rsidR="00656B4F" w:rsidRDefault="00656B4F" w:rsidP="0031305B">
      <w:pPr>
        <w:ind w:left="720"/>
      </w:pPr>
      <w:r w:rsidRPr="004B529F">
        <w:t>Based on the information in the table of clinical studies previously submitted to the TGA as part of the original ezetimibe marketing application, none of the studies were evaluating ezetimibe in combination with</w:t>
      </w:r>
      <w:r w:rsidR="00503915">
        <w:t xml:space="preserve"> rosuvastatin. </w:t>
      </w:r>
      <w:r w:rsidRPr="004B529F">
        <w:t>A number of the studies submitted evaluated ezetimibe in combination with other statins, specifically atorvastatin, simvastatin, pravastatin, lovastatin,</w:t>
      </w:r>
      <w:r w:rsidR="00503915">
        <w:t xml:space="preserve"> </w:t>
      </w:r>
      <w:proofErr w:type="spellStart"/>
      <w:r w:rsidR="00503915">
        <w:t>fluvastatin</w:t>
      </w:r>
      <w:proofErr w:type="spellEnd"/>
      <w:r w:rsidR="00503915">
        <w:t xml:space="preserve"> and </w:t>
      </w:r>
      <w:proofErr w:type="spellStart"/>
      <w:r w:rsidR="00503915">
        <w:t>cerivastatin</w:t>
      </w:r>
      <w:proofErr w:type="spellEnd"/>
      <w:r w:rsidR="00503915">
        <w:t xml:space="preserve">. </w:t>
      </w:r>
      <w:r w:rsidRPr="004B529F">
        <w:t xml:space="preserve">These </w:t>
      </w:r>
      <w:r w:rsidR="00503915">
        <w:t xml:space="preserve">studies were not re-evaluated. </w:t>
      </w:r>
      <w:r w:rsidRPr="004B529F">
        <w:t xml:space="preserve">Efficacy results from controlled clinical studies in which Ezetrol was administered as monotherapy, or co-administered with a statin, are summarised in the </w:t>
      </w:r>
      <w:r w:rsidRPr="00503915">
        <w:rPr>
          <w:i/>
        </w:rPr>
        <w:t>Clinical Trials</w:t>
      </w:r>
      <w:r w:rsidRPr="004B529F">
        <w:t xml:space="preserve"> section of the Ezetrol PI.</w:t>
      </w:r>
    </w:p>
    <w:p w:rsidR="008E7846" w:rsidRPr="0031305B" w:rsidRDefault="00605AD4" w:rsidP="0031305B">
      <w:pPr>
        <w:pStyle w:val="Heading4"/>
      </w:pPr>
      <w:r>
        <w:t>Evaluator’s conclusions on efficacy</w:t>
      </w:r>
    </w:p>
    <w:p w:rsidR="00503915" w:rsidRDefault="00503915" w:rsidP="0031305B">
      <w:r w:rsidRPr="00503915">
        <w:t>No confirmatory clinical efficacy trials, comparing the proposed fixed dose combination with the mono-components, a</w:t>
      </w:r>
      <w:r>
        <w:t xml:space="preserve">re included in the submission. </w:t>
      </w:r>
      <w:r w:rsidRPr="00503915">
        <w:t>However, the application for the registration of the ezetimibe and rosuvastatin composite pack (Submission PM</w:t>
      </w:r>
      <w:r w:rsidR="00CA35FE">
        <w:t>-</w:t>
      </w:r>
      <w:r w:rsidRPr="00503915">
        <w:t>2012-03419-1-3), in the same indications as those proposed for the fixed dose combination tablet, has been approved by the TGA, which indicates that the evidence to support the efficacy of concomitant administration of ezetimibe 10 mg and rosuvastatin 5 mg, 10 mg, 20 mg,</w:t>
      </w:r>
      <w:r>
        <w:t xml:space="preserve"> or</w:t>
      </w:r>
      <w:r w:rsidR="0031305B">
        <w:t xml:space="preserve"> 40 mg is acceptable.</w:t>
      </w:r>
    </w:p>
    <w:p w:rsidR="00503915" w:rsidRPr="00503915" w:rsidRDefault="00503915" w:rsidP="0031305B">
      <w:r w:rsidRPr="00503915">
        <w:t>The evidence provided to support the efficacy of the fixed dose combination tablet is the same as the evidence provided to support the efficacy of the ezetimibe and rosuvastatin composite pack</w:t>
      </w:r>
      <w:r w:rsidR="00CA35FE">
        <w:t>,</w:t>
      </w:r>
      <w:r w:rsidRPr="00503915">
        <w:t xml:space="preserve"> plus additional publications identified in </w:t>
      </w:r>
      <w:r>
        <w:t>the updated literature review.</w:t>
      </w:r>
      <w:r w:rsidRPr="00503915">
        <w:t xml:space="preserve"> The bioequivalence studies for the lowest and highest dose strengths of the proposed fixed dose combination tablet, and the biowaiver justification for the intermediate strengths, support the therapeutic equivalence of the concomitant administration of ezetimibe and rosuvastatin and the p</w:t>
      </w:r>
      <w:r w:rsidR="0031305B">
        <w:t>roposed fixed dose combination.</w:t>
      </w:r>
    </w:p>
    <w:p w:rsidR="00503915" w:rsidRPr="00503915" w:rsidRDefault="00503915" w:rsidP="0031305B">
      <w:r w:rsidRPr="00503915">
        <w:t>The evidence presented to support the fixed dose combination tablets relates primarily to a surrogate marker, LDL-C, rather than a clinical outcome, cardiovas</w:t>
      </w:r>
      <w:r w:rsidR="0037560F">
        <w:t xml:space="preserve">cular morbidity and mortality. </w:t>
      </w:r>
      <w:r w:rsidRPr="00503915">
        <w:t xml:space="preserve">The use of LDL-C as a surrogate endpoint is acceptable as it has been established in epidemiologic studies that cardiovascular morbidity and mortality vary directly with the level of LDL-C (and total cholesterol) and intervention studies have shown that lowering LDL-C and TG, or raising </w:t>
      </w:r>
      <w:r w:rsidR="00CA35FE">
        <w:t>h</w:t>
      </w:r>
      <w:r w:rsidR="00CA35FE" w:rsidRPr="00CA35FE">
        <w:t xml:space="preserve">igh density lipoprotein cholesterol </w:t>
      </w:r>
      <w:r w:rsidR="00CA35FE">
        <w:t>(</w:t>
      </w:r>
      <w:r w:rsidRPr="00503915">
        <w:t>HDL-C</w:t>
      </w:r>
      <w:r w:rsidR="00CA35FE">
        <w:t>)</w:t>
      </w:r>
      <w:r w:rsidRPr="00503915">
        <w:t xml:space="preserve">, has benefits on mortality and cardiovascular event rates. The guideline </w:t>
      </w:r>
      <w:r w:rsidR="0037560F" w:rsidRPr="0037560F">
        <w:rPr>
          <w:i/>
        </w:rPr>
        <w:t>Note for Guidance on the Clinical Investigation of Medicinal Products in the Treatment of Lipid Disorders</w:t>
      </w:r>
      <w:r w:rsidR="0037560F" w:rsidRPr="0037560F">
        <w:t xml:space="preserve"> </w:t>
      </w:r>
      <w:r w:rsidR="0037560F">
        <w:t>(</w:t>
      </w:r>
      <w:r w:rsidR="0037560F" w:rsidRPr="0037560F">
        <w:t>CPMP/EWP/3020/03. 29 July 2004</w:t>
      </w:r>
      <w:r w:rsidRPr="00503915">
        <w:t xml:space="preserve">) indicates that reduction in LDL-C cholesterol is the primary endpoint to support an indication of hypercholesterolaemia for a lipid-lowering drug and that reduction in LDL-C with respect to </w:t>
      </w:r>
      <w:r w:rsidR="0037560F" w:rsidRPr="0037560F">
        <w:t xml:space="preserve">National Cholesterol Education Program </w:t>
      </w:r>
      <w:r w:rsidR="0037560F">
        <w:t>(</w:t>
      </w:r>
      <w:r w:rsidRPr="00503915">
        <w:t>NCEP</w:t>
      </w:r>
      <w:r w:rsidR="0037560F">
        <w:t>)</w:t>
      </w:r>
      <w:r w:rsidRPr="00503915">
        <w:t xml:space="preserve"> standard</w:t>
      </w:r>
      <w:r w:rsidR="0031305B">
        <w:t>s can be a secondary endpoint.</w:t>
      </w:r>
    </w:p>
    <w:p w:rsidR="00503915" w:rsidRPr="00503915" w:rsidRDefault="00503915" w:rsidP="00503915">
      <w:r w:rsidRPr="00503915">
        <w:t>No additional high level studies were identified in the updated literature search to support the registration of the fixed dose combination table</w:t>
      </w:r>
      <w:r w:rsidR="0037560F">
        <w:t xml:space="preserve">t in the proposed indications. </w:t>
      </w:r>
      <w:r w:rsidRPr="00503915">
        <w:t>None of the studies described were confirmatory randomised double-blind, controlled studies analysed by intention to treat, or systematic reviews of</w:t>
      </w:r>
      <w:r w:rsidR="0037560F">
        <w:t xml:space="preserve"> randomised controlled trials. </w:t>
      </w:r>
      <w:r w:rsidRPr="00503915">
        <w:lastRenderedPageBreak/>
        <w:t>Therefore, the evidence that is provided in the publications is potentially affected by so</w:t>
      </w:r>
      <w:r w:rsidR="0037560F">
        <w:t xml:space="preserve">urces of bias and confounding. </w:t>
      </w:r>
      <w:r w:rsidRPr="00503915">
        <w:t>Of the newly identified publications that described randomised controlled trials, there were none that had a primary endpoint of LDL-C reduction and for which the primary objective was to evaluate the efficacy of the concomitant use of ezetimibe and rosuvastatin compar</w:t>
      </w:r>
      <w:r w:rsidR="0031305B">
        <w:t>ed with either mono-component.</w:t>
      </w:r>
    </w:p>
    <w:p w:rsidR="008E7846" w:rsidRPr="0031305B" w:rsidRDefault="008E7846" w:rsidP="0031305B">
      <w:pPr>
        <w:pStyle w:val="Heading3"/>
      </w:pPr>
      <w:bookmarkStart w:id="81" w:name="_Toc163441378"/>
      <w:bookmarkStart w:id="82" w:name="_Toc196046495"/>
      <w:bookmarkStart w:id="83" w:name="_Toc247691522"/>
      <w:bookmarkStart w:id="84" w:name="_Toc314842505"/>
      <w:bookmarkStart w:id="85" w:name="_Toc412706474"/>
      <w:bookmarkEnd w:id="77"/>
      <w:bookmarkEnd w:id="78"/>
      <w:bookmarkEnd w:id="79"/>
      <w:bookmarkEnd w:id="80"/>
      <w:r w:rsidRPr="002E238E">
        <w:t>Safety</w:t>
      </w:r>
      <w:bookmarkEnd w:id="81"/>
      <w:bookmarkEnd w:id="82"/>
      <w:bookmarkEnd w:id="83"/>
      <w:bookmarkEnd w:id="84"/>
      <w:bookmarkEnd w:id="85"/>
    </w:p>
    <w:p w:rsidR="00605AD4" w:rsidRPr="0031305B" w:rsidRDefault="00605AD4" w:rsidP="0031305B">
      <w:pPr>
        <w:pStyle w:val="Heading4"/>
      </w:pPr>
      <w:bookmarkStart w:id="86" w:name="_Toc247691524"/>
      <w:bookmarkStart w:id="87" w:name="_Toc314842508"/>
      <w:bookmarkStart w:id="88" w:name="_Toc196046504"/>
      <w:bookmarkStart w:id="89" w:name="_Toc163441390"/>
      <w:r w:rsidRPr="00605AD4">
        <w:t xml:space="preserve">Studies providing </w:t>
      </w:r>
      <w:r w:rsidR="00D51ACD">
        <w:t xml:space="preserve">evaluable </w:t>
      </w:r>
      <w:r w:rsidRPr="00605AD4">
        <w:t>safety data</w:t>
      </w:r>
    </w:p>
    <w:p w:rsidR="00D51ACD" w:rsidRDefault="00D51ACD" w:rsidP="0031305B">
      <w:r w:rsidRPr="0002208B">
        <w:t>The following studies provided evaluable safety data:</w:t>
      </w:r>
    </w:p>
    <w:p w:rsidR="00D51ACD" w:rsidRPr="00D51ACD" w:rsidRDefault="00D51ACD" w:rsidP="0031305B">
      <w:pPr>
        <w:pStyle w:val="ListBullet"/>
      </w:pPr>
      <w:r w:rsidRPr="00D51ACD">
        <w:t xml:space="preserve">Efficacy Study P139V1 (previously </w:t>
      </w:r>
      <w:r w:rsidRPr="0031305B">
        <w:t>evaluated</w:t>
      </w:r>
      <w:r w:rsidRPr="00D51ACD">
        <w:t>)</w:t>
      </w:r>
      <w:r w:rsidR="00CA35FE">
        <w:t>;</w:t>
      </w:r>
    </w:p>
    <w:p w:rsidR="00D51ACD" w:rsidRPr="00D51ACD" w:rsidRDefault="00D51ACD" w:rsidP="0031305B">
      <w:pPr>
        <w:pStyle w:val="ListBullet"/>
      </w:pPr>
      <w:r w:rsidRPr="00D51ACD">
        <w:t>P</w:t>
      </w:r>
      <w:r w:rsidR="00CA35FE">
        <w:t>harmacodynamics</w:t>
      </w:r>
      <w:r w:rsidRPr="00D51ACD">
        <w:t xml:space="preserve"> Study P03317 (</w:t>
      </w:r>
      <w:r w:rsidRPr="0031305B">
        <w:t>previously</w:t>
      </w:r>
      <w:r w:rsidRPr="00D51ACD">
        <w:t xml:space="preserve"> evaluated)</w:t>
      </w:r>
      <w:r w:rsidR="00CA35FE">
        <w:t>;</w:t>
      </w:r>
    </w:p>
    <w:p w:rsidR="00D51ACD" w:rsidRPr="00D51ACD" w:rsidRDefault="00D51ACD" w:rsidP="0031305B">
      <w:pPr>
        <w:pStyle w:val="ListBullet"/>
      </w:pPr>
      <w:r w:rsidRPr="00D51ACD">
        <w:t>Bioequivalence Study P417 and Study P425 (new)</w:t>
      </w:r>
      <w:r w:rsidR="00CA35FE">
        <w:t>;</w:t>
      </w:r>
    </w:p>
    <w:p w:rsidR="00D51ACD" w:rsidRPr="00D51ACD" w:rsidRDefault="00D51ACD" w:rsidP="0031305B">
      <w:pPr>
        <w:pStyle w:val="ListBullet"/>
      </w:pPr>
      <w:r w:rsidRPr="00D51ACD">
        <w:t xml:space="preserve">Literature (identified for this </w:t>
      </w:r>
      <w:r w:rsidRPr="0031305B">
        <w:t>submission</w:t>
      </w:r>
      <w:r w:rsidRPr="00D51ACD">
        <w:t xml:space="preserve"> and previously identified for Submission PM</w:t>
      </w:r>
      <w:r w:rsidR="00CA35FE">
        <w:t>-</w:t>
      </w:r>
      <w:r w:rsidRPr="00D51ACD">
        <w:t>2012-03419-1-3)</w:t>
      </w:r>
      <w:r w:rsidR="00CA35FE">
        <w:t>;</w:t>
      </w:r>
    </w:p>
    <w:p w:rsidR="00D51ACD" w:rsidRPr="00D51ACD" w:rsidRDefault="00D51ACD" w:rsidP="0031305B">
      <w:pPr>
        <w:pStyle w:val="ListBullet"/>
      </w:pPr>
      <w:r w:rsidRPr="00D51ACD">
        <w:t xml:space="preserve">Ezetimibe studies in registration </w:t>
      </w:r>
      <w:r w:rsidRPr="0031305B">
        <w:t>dossier</w:t>
      </w:r>
      <w:r w:rsidRPr="00D51ACD">
        <w:t xml:space="preserve"> (previously evaluated)</w:t>
      </w:r>
      <w:r w:rsidR="00CA35FE">
        <w:t>;</w:t>
      </w:r>
    </w:p>
    <w:p w:rsidR="00D51ACD" w:rsidRPr="00D51ACD" w:rsidRDefault="00D51ACD" w:rsidP="0031305B">
      <w:pPr>
        <w:pStyle w:val="ListBullet"/>
      </w:pPr>
      <w:r w:rsidRPr="00D51ACD">
        <w:t>PSUR Addendum Report for ezetimibe (new)</w:t>
      </w:r>
      <w:r w:rsidR="00CA35FE">
        <w:t>.</w:t>
      </w:r>
    </w:p>
    <w:p w:rsidR="00D51ACD" w:rsidRDefault="00D51ACD" w:rsidP="0031305B">
      <w:r w:rsidRPr="0002208B">
        <w:t>No new safety studies were included in the submission.</w:t>
      </w:r>
    </w:p>
    <w:p w:rsidR="00D51ACD" w:rsidRDefault="00D51ACD" w:rsidP="0031305B">
      <w:pPr>
        <w:ind w:left="720"/>
      </w:pPr>
      <w:r>
        <w:rPr>
          <w:b/>
        </w:rPr>
        <w:t>Evaluator’s c</w:t>
      </w:r>
      <w:r w:rsidRPr="0089254F">
        <w:rPr>
          <w:b/>
        </w:rPr>
        <w:t>omment</w:t>
      </w:r>
      <w:r>
        <w:t xml:space="preserve">: </w:t>
      </w:r>
      <w:r w:rsidRPr="0002208B">
        <w:t xml:space="preserve">The safety profiles of the mono-components of the proposed fixed dose combination tablet, ezetimibe and rosuvastatin, are described in the respective </w:t>
      </w:r>
      <w:r>
        <w:t xml:space="preserve">PI </w:t>
      </w:r>
      <w:r w:rsidRPr="0002208B">
        <w:t xml:space="preserve">document for Ezetrol </w:t>
      </w:r>
      <w:r>
        <w:t xml:space="preserve">and MSD Rosuvastatin. </w:t>
      </w:r>
      <w:r w:rsidRPr="0002208B">
        <w:t xml:space="preserve">Specific safety issues identified with the co-administration of ezetimibe and rosuvastatin are included in the PIs for the </w:t>
      </w:r>
      <w:proofErr w:type="spellStart"/>
      <w:r w:rsidRPr="0002208B">
        <w:t>Rosuzet</w:t>
      </w:r>
      <w:proofErr w:type="spellEnd"/>
      <w:r w:rsidRPr="0002208B">
        <w:t xml:space="preserve"> </w:t>
      </w:r>
      <w:r w:rsidR="00CA35FE">
        <w:t>C</w:t>
      </w:r>
      <w:r w:rsidRPr="0002208B">
        <w:t xml:space="preserve">omposite </w:t>
      </w:r>
      <w:r w:rsidR="00CA35FE">
        <w:t>p</w:t>
      </w:r>
      <w:r w:rsidRPr="0002208B">
        <w:t xml:space="preserve">ack and </w:t>
      </w:r>
      <w:proofErr w:type="spellStart"/>
      <w:r w:rsidRPr="0002208B">
        <w:t>Ezalo</w:t>
      </w:r>
      <w:proofErr w:type="spellEnd"/>
      <w:r w:rsidRPr="0002208B">
        <w:t xml:space="preserve"> </w:t>
      </w:r>
      <w:r w:rsidR="00CA35FE">
        <w:t>C</w:t>
      </w:r>
      <w:r w:rsidRPr="0002208B">
        <w:t xml:space="preserve">omposite </w:t>
      </w:r>
      <w:r w:rsidR="00CA35FE">
        <w:t>P</w:t>
      </w:r>
      <w:r w:rsidRPr="0002208B">
        <w:t>ack.</w:t>
      </w:r>
    </w:p>
    <w:p w:rsidR="00D51ACD" w:rsidRDefault="00D51ACD" w:rsidP="0031305B">
      <w:pPr>
        <w:ind w:left="720"/>
      </w:pPr>
      <w:r w:rsidRPr="0002208B">
        <w:t>The studies in the registration dossier for Ezetrol were not related to treatment with ezetimibe in combination w</w:t>
      </w:r>
      <w:r>
        <w:t xml:space="preserve">ith rosuvastatin specifically. </w:t>
      </w:r>
      <w:r w:rsidRPr="0002208B">
        <w:t>As the studies in the registration dossier for Ezetrol have already been evaluated, pertinent safety data would have been included in the PI for Ezetro</w:t>
      </w:r>
      <w:r>
        <w:t xml:space="preserve">l, the PIs for the </w:t>
      </w:r>
      <w:proofErr w:type="spellStart"/>
      <w:r>
        <w:t>Rosuzet</w:t>
      </w:r>
      <w:proofErr w:type="spellEnd"/>
      <w:r>
        <w:t xml:space="preserve"> </w:t>
      </w:r>
      <w:r w:rsidR="00D07E32">
        <w:t>C</w:t>
      </w:r>
      <w:r w:rsidRPr="0002208B">
        <w:t xml:space="preserve">omposite </w:t>
      </w:r>
      <w:r w:rsidR="00D07E32">
        <w:t>P</w:t>
      </w:r>
      <w:r w:rsidRPr="0002208B">
        <w:t>ack</w:t>
      </w:r>
      <w:r w:rsidR="00D07E32">
        <w:t>,</w:t>
      </w:r>
      <w:r w:rsidRPr="0002208B">
        <w:t xml:space="preserve"> and </w:t>
      </w:r>
      <w:r w:rsidR="00D07E32">
        <w:t xml:space="preserve">the </w:t>
      </w:r>
      <w:proofErr w:type="spellStart"/>
      <w:r w:rsidRPr="0002208B">
        <w:t>Ezalo</w:t>
      </w:r>
      <w:proofErr w:type="spellEnd"/>
      <w:r w:rsidRPr="0002208B">
        <w:t xml:space="preserve"> </w:t>
      </w:r>
      <w:r w:rsidR="00D07E32">
        <w:t>C</w:t>
      </w:r>
      <w:r w:rsidRPr="0002208B">
        <w:t xml:space="preserve">omposite </w:t>
      </w:r>
      <w:r w:rsidR="00D07E32">
        <w:t>P</w:t>
      </w:r>
      <w:r w:rsidRPr="0002208B">
        <w:t>ack</w:t>
      </w:r>
      <w:r w:rsidR="00D07E32">
        <w:t>,</w:t>
      </w:r>
      <w:r w:rsidRPr="0002208B">
        <w:t xml:space="preserve"> and the draft PIs for the proposed fixed dose combination tablets.</w:t>
      </w:r>
    </w:p>
    <w:p w:rsidR="00605AD4" w:rsidRPr="0031305B" w:rsidRDefault="00605AD4" w:rsidP="0031305B">
      <w:pPr>
        <w:pStyle w:val="Heading4"/>
      </w:pPr>
      <w:r w:rsidRPr="00605AD4">
        <w:t>Patient exposure</w:t>
      </w:r>
    </w:p>
    <w:p w:rsidR="00D51ACD" w:rsidRPr="00D07E32" w:rsidRDefault="00D51ACD" w:rsidP="0031305B">
      <w:r w:rsidRPr="00D07E32">
        <w:t>In this current submission, patient exposure to ezetimibe administered with rosuvastatin is based on Study P03317, Study P139V1 and literat</w:t>
      </w:r>
      <w:r w:rsidR="00D07E32" w:rsidRPr="00D07E32">
        <w:t xml:space="preserve">ure publications including peer </w:t>
      </w:r>
      <w:r w:rsidRPr="00D07E32">
        <w:t>reviewed publications, abstracts and trials registered on the website clinicaltrials.gov.</w:t>
      </w:r>
    </w:p>
    <w:p w:rsidR="00D51ACD" w:rsidRDefault="00D51ACD" w:rsidP="0031305B">
      <w:r w:rsidRPr="0002208B">
        <w:t>The sponsor indicates that 2,409 patients, overall, have been exposed to the combination of ezetimibe and rosuvastatin, based on studies/datasets in which the number of subjects exp</w:t>
      </w:r>
      <w:r>
        <w:t xml:space="preserve">osed was clearly identifiable. </w:t>
      </w:r>
      <w:r w:rsidRPr="0002208B">
        <w:t>The range of exposure is reported to be 2 to 73 weeks and the median duration of exposure is</w:t>
      </w:r>
      <w:r>
        <w:t xml:space="preserve"> reported to be 8 to 10 weeks. </w:t>
      </w:r>
      <w:r w:rsidRPr="0002208B">
        <w:t xml:space="preserve">Overall, regardless of the indication for treatment, 194 patients were </w:t>
      </w:r>
      <w:r>
        <w:t xml:space="preserve">exposed for 52 weeks or more. </w:t>
      </w:r>
      <w:r w:rsidRPr="0002208B">
        <w:t xml:space="preserve">In combination with ezetimibe 10 mg, the doses of rosuvastatin were reported to have ranged between 2.5 mg and 40 mg </w:t>
      </w:r>
      <w:r>
        <w:t xml:space="preserve">with one patient taking 60 mg. </w:t>
      </w:r>
      <w:r w:rsidRPr="0002208B">
        <w:t>The dose of ezetimibe administered was reported to have almost always been 1</w:t>
      </w:r>
      <w:r w:rsidR="0031305B">
        <w:t>0 mg.</w:t>
      </w:r>
    </w:p>
    <w:p w:rsidR="00D51ACD" w:rsidRDefault="00D51ACD" w:rsidP="0031305B">
      <w:r w:rsidRPr="0002208B">
        <w:t>Of the 194 patients exposed to the combination for 52 weeks or more, the majority (65%; n=126) were exposed to ezetimibe in combination with rosuvastatin 10 mg and for 67 of the remaining 68 patients the dose of rosuvastatin was not specified.</w:t>
      </w:r>
    </w:p>
    <w:p w:rsidR="00D51ACD" w:rsidRDefault="00D51ACD" w:rsidP="0031305B">
      <w:r w:rsidRPr="0002208B">
        <w:lastRenderedPageBreak/>
        <w:t xml:space="preserve">The information in the following </w:t>
      </w:r>
      <w:r w:rsidR="00D07E32">
        <w:t>T</w:t>
      </w:r>
      <w:r w:rsidRPr="0002208B">
        <w:t>able is the sponsor’s summary of the overall extent of exposure from all studies with clearly distinguishable co-administration</w:t>
      </w:r>
      <w:r w:rsidR="0031305B">
        <w:t xml:space="preserve"> of </w:t>
      </w:r>
      <w:proofErr w:type="spellStart"/>
      <w:r w:rsidR="0031305B">
        <w:t>ezetimibe</w:t>
      </w:r>
      <w:proofErr w:type="spellEnd"/>
      <w:r w:rsidR="0031305B">
        <w:t xml:space="preserve"> and </w:t>
      </w:r>
      <w:proofErr w:type="spellStart"/>
      <w:r w:rsidR="0031305B">
        <w:t>rosuvastatin</w:t>
      </w:r>
      <w:proofErr w:type="spellEnd"/>
      <w:r w:rsidR="0031305B">
        <w:t>.</w:t>
      </w:r>
    </w:p>
    <w:p w:rsidR="00D51ACD" w:rsidRPr="0002208B" w:rsidRDefault="00D51ACD" w:rsidP="0031305B">
      <w:pPr>
        <w:pStyle w:val="TableTitle"/>
      </w:pPr>
      <w:r w:rsidRPr="0002208B">
        <w:t>Table</w:t>
      </w:r>
      <w:r w:rsidR="00DB50A6">
        <w:t xml:space="preserve"> 2: </w:t>
      </w:r>
      <w:r w:rsidRPr="0031305B">
        <w:t>Summary</w:t>
      </w:r>
      <w:r w:rsidRPr="0002208B">
        <w:t xml:space="preserve"> of overall extent of exposure from all studies with clearly distinguishable co-administration of ezetimibe and rosuvastatin</w:t>
      </w:r>
    </w:p>
    <w:p w:rsidR="00D51ACD" w:rsidRPr="0002208B" w:rsidRDefault="00D51ACD" w:rsidP="0031305B">
      <w:pPr>
        <w:rPr>
          <w:highlight w:val="yellow"/>
        </w:rPr>
      </w:pPr>
      <w:r w:rsidRPr="0002208B">
        <w:rPr>
          <w:noProof/>
          <w:lang w:eastAsia="en-AU"/>
        </w:rPr>
        <w:drawing>
          <wp:inline distT="0" distB="0" distL="0" distR="0" wp14:anchorId="7DA5C305" wp14:editId="5B379C90">
            <wp:extent cx="5613253" cy="2316008"/>
            <wp:effectExtent l="0" t="0" r="6985" b="8255"/>
            <wp:docPr id="9" name="Picture 9" descr="Table 2: Summary of overall extent of exposure from all studies with clearly distinguishable co-administration of ezetimibe and rosuvastat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11335" cy="2315217"/>
                    </a:xfrm>
                    <a:prstGeom prst="rect">
                      <a:avLst/>
                    </a:prstGeom>
                    <a:noFill/>
                    <a:ln>
                      <a:noFill/>
                    </a:ln>
                  </pic:spPr>
                </pic:pic>
              </a:graphicData>
            </a:graphic>
          </wp:inline>
        </w:drawing>
      </w:r>
    </w:p>
    <w:p w:rsidR="00D51ACD" w:rsidRDefault="00D51ACD" w:rsidP="0031305B">
      <w:r w:rsidRPr="0002208B">
        <w:t xml:space="preserve">In six publications that were identified in the updated search, the number of patients exposed to ezetimibe administered with rosuvastatin could be estimated by the sponsor resulting in estimated numbers of patients exposed for certain durations that are higher </w:t>
      </w:r>
      <w:r>
        <w:t xml:space="preserve">than those in the above table. </w:t>
      </w:r>
      <w:r w:rsidRPr="0002208B">
        <w:t>Based on the sponsor’s estimation, approximately 267 patients were exposed to at least 52 weeks of ezetimibe with rosuvastatin.</w:t>
      </w:r>
    </w:p>
    <w:p w:rsidR="00D51ACD" w:rsidRDefault="00D51ACD" w:rsidP="0031305B">
      <w:pPr>
        <w:ind w:left="720"/>
      </w:pPr>
      <w:r>
        <w:rPr>
          <w:b/>
        </w:rPr>
        <w:t>Evaluator’s c</w:t>
      </w:r>
      <w:r w:rsidRPr="00832ABF">
        <w:rPr>
          <w:b/>
        </w:rPr>
        <w:t>omment</w:t>
      </w:r>
      <w:r>
        <w:t xml:space="preserve">: </w:t>
      </w:r>
      <w:r w:rsidRPr="0002208B">
        <w:t xml:space="preserve">The application to register the </w:t>
      </w:r>
      <w:proofErr w:type="spellStart"/>
      <w:r w:rsidRPr="0002208B">
        <w:t>Rosuzet</w:t>
      </w:r>
      <w:proofErr w:type="spellEnd"/>
      <w:r w:rsidRPr="0002208B">
        <w:t>/</w:t>
      </w:r>
      <w:proofErr w:type="spellStart"/>
      <w:r w:rsidRPr="0002208B">
        <w:t>Ezalo</w:t>
      </w:r>
      <w:proofErr w:type="spellEnd"/>
      <w:r w:rsidRPr="0002208B">
        <w:t xml:space="preserve"> </w:t>
      </w:r>
      <w:r>
        <w:t>C</w:t>
      </w:r>
      <w:r w:rsidRPr="0002208B">
        <w:t xml:space="preserve">omposite </w:t>
      </w:r>
      <w:r>
        <w:t>P</w:t>
      </w:r>
      <w:r w:rsidRPr="0002208B">
        <w:t>ack was approved by the TGA for indications identical to those proposed in the current application, based on a smaller number of patients with clearly distinguishable exposure to the com</w:t>
      </w:r>
      <w:r w:rsidR="0031305B">
        <w:t>bination for 52 weeks or more.</w:t>
      </w:r>
    </w:p>
    <w:p w:rsidR="00D07E32" w:rsidRDefault="00D51ACD" w:rsidP="0031305B">
      <w:pPr>
        <w:ind w:left="720"/>
      </w:pPr>
      <w:r w:rsidRPr="0002208B">
        <w:t>In this submission, in which a greater total number of patients have been exposed to the co-administration of ezetimibe and rosuvastatin, 194 patients overall were exposed to ezetimibe administered with rosu</w:t>
      </w:r>
      <w:r>
        <w:t xml:space="preserve">vastatin for 52 weeks or more. </w:t>
      </w:r>
      <w:r w:rsidRPr="0002208B">
        <w:t>This is acce</w:t>
      </w:r>
      <w:r>
        <w:t xml:space="preserve">ptable based on the </w:t>
      </w:r>
      <w:r w:rsidR="00BC7AB0">
        <w:t>EMA guideline</w:t>
      </w:r>
      <w:r>
        <w:t xml:space="preserve"> </w:t>
      </w:r>
      <w:r w:rsidRPr="00BC7AB0">
        <w:rPr>
          <w:i/>
        </w:rPr>
        <w:t>Clinical Investigation of Medicinal Products for Long-term Use</w:t>
      </w:r>
      <w:r w:rsidRPr="0002208B">
        <w:t xml:space="preserve"> (</w:t>
      </w:r>
      <w:r w:rsidR="0031305B">
        <w:t>3CCC6a).</w:t>
      </w:r>
    </w:p>
    <w:p w:rsidR="00D51ACD" w:rsidRDefault="00D51ACD" w:rsidP="0031305B">
      <w:pPr>
        <w:ind w:left="720"/>
      </w:pPr>
      <w:r w:rsidRPr="0002208B">
        <w:t>A breakdown of exposure by duration and dose in patients with primary hypercholesterolaemia and homozygous familial hypercholesterolaemia,</w:t>
      </w:r>
      <w:r w:rsidR="00BC7AB0">
        <w:t xml:space="preserve"> respectively, is not provided.</w:t>
      </w:r>
      <w:r w:rsidRPr="0002208B">
        <w:t xml:space="preserve"> Exposure to the “add on” and replacement components, respectively, for the primary hypercholesterolaemia</w:t>
      </w:r>
      <w:r w:rsidR="00BC7AB0">
        <w:t xml:space="preserve"> indication are not specified. </w:t>
      </w:r>
      <w:r w:rsidRPr="0002208B">
        <w:t>Nonetheless, use of ezetimibe and rosuvastatin concomitantly in the treatment of primary hypercholesterolaemia for both the “add on” and replacement components of the indication are already approved</w:t>
      </w:r>
      <w:r w:rsidR="00D07E32">
        <w:t>,</w:t>
      </w:r>
      <w:r w:rsidRPr="0002208B">
        <w:t xml:space="preserve"> as is the use of ezetimibe and rosuvastatin concomitantly in the treatment of homozygous familial hypercholesterolaemia. Therefore, extent of exposure in the proposed indica</w:t>
      </w:r>
      <w:r w:rsidR="0031305B">
        <w:t>tions is considered acceptable.</w:t>
      </w:r>
    </w:p>
    <w:p w:rsidR="00D51ACD" w:rsidRPr="0002208B" w:rsidRDefault="00D51ACD" w:rsidP="0031305B">
      <w:pPr>
        <w:ind w:left="720"/>
      </w:pPr>
      <w:r w:rsidRPr="0002208B">
        <w:t>With regard to the proposed doses, for only the ezetimibe 10 mg/rosuvasta</w:t>
      </w:r>
      <w:r w:rsidR="00BC7AB0">
        <w:t>tin 10 </w:t>
      </w:r>
      <w:r w:rsidRPr="0002208B">
        <w:t xml:space="preserve">mg dose has there been exposure of more than 100 </w:t>
      </w:r>
      <w:r w:rsidR="00BC7AB0">
        <w:t xml:space="preserve">patients for 52 or more weeks. </w:t>
      </w:r>
      <w:r w:rsidRPr="0002208B">
        <w:t xml:space="preserve">Serious adverse events </w:t>
      </w:r>
      <w:r w:rsidR="00D07E32">
        <w:t xml:space="preserve">(SAEs) </w:t>
      </w:r>
      <w:r w:rsidRPr="0002208B">
        <w:t>that occur at low frequencies may not have been identified</w:t>
      </w:r>
      <w:r w:rsidR="00BC7AB0">
        <w:t xml:space="preserve"> based on the exposure to date.</w:t>
      </w:r>
      <w:r w:rsidRPr="0002208B">
        <w:t xml:space="preserve"> Statements have been included in the Australian PIs for </w:t>
      </w:r>
      <w:proofErr w:type="spellStart"/>
      <w:r w:rsidRPr="0002208B">
        <w:t>Rosuzet</w:t>
      </w:r>
      <w:proofErr w:type="spellEnd"/>
      <w:r w:rsidRPr="0002208B">
        <w:t xml:space="preserve"> </w:t>
      </w:r>
      <w:r w:rsidR="00BC7AB0">
        <w:t>C</w:t>
      </w:r>
      <w:r w:rsidRPr="0002208B">
        <w:t xml:space="preserve">omposite </w:t>
      </w:r>
      <w:r w:rsidR="00BC7AB0">
        <w:t>P</w:t>
      </w:r>
      <w:r w:rsidRPr="0002208B">
        <w:t xml:space="preserve">ack and </w:t>
      </w:r>
      <w:proofErr w:type="spellStart"/>
      <w:r w:rsidRPr="0002208B">
        <w:t>Ezalo</w:t>
      </w:r>
      <w:proofErr w:type="spellEnd"/>
      <w:r w:rsidRPr="0002208B">
        <w:t xml:space="preserve"> </w:t>
      </w:r>
      <w:r w:rsidR="00BC7AB0">
        <w:t>C</w:t>
      </w:r>
      <w:r w:rsidRPr="0002208B">
        <w:t xml:space="preserve">omposite </w:t>
      </w:r>
      <w:r w:rsidR="00BC7AB0">
        <w:t>P</w:t>
      </w:r>
      <w:r w:rsidRPr="0002208B">
        <w:t>ack regarding the limited clinical data on the long term effects of co-administeri</w:t>
      </w:r>
      <w:r w:rsidR="00BC7AB0">
        <w:t xml:space="preserve">ng ezetimibe and rosuvastatin. </w:t>
      </w:r>
      <w:r w:rsidRPr="0002208B">
        <w:t>It is recommended that the same information is included in the draft PIs</w:t>
      </w:r>
      <w:r w:rsidR="00BC7AB0">
        <w:t xml:space="preserve"> for the fixed dose combination products</w:t>
      </w:r>
      <w:r w:rsidR="0031305B">
        <w:t>.</w:t>
      </w:r>
    </w:p>
    <w:p w:rsidR="00605AD4" w:rsidRPr="0031305B" w:rsidRDefault="00605AD4" w:rsidP="0031305B">
      <w:pPr>
        <w:pStyle w:val="Heading4"/>
      </w:pPr>
      <w:r w:rsidRPr="00605AD4">
        <w:lastRenderedPageBreak/>
        <w:t>Safety issues with the potential for major regulatory impact</w:t>
      </w:r>
    </w:p>
    <w:p w:rsidR="0020613A" w:rsidRPr="00BC7AB0" w:rsidRDefault="0020613A" w:rsidP="0031305B">
      <w:r w:rsidRPr="00BC7AB0">
        <w:t xml:space="preserve">No new safety issues with the potential for major regulatory impact have been identified in this submission. The safety issues associated with the use of ezetimibe, rosuvastatin, and both ezetimibe and rosuvastatin concomitantly are described, respectively, in the Australian </w:t>
      </w:r>
      <w:r w:rsidR="00BC7AB0">
        <w:t xml:space="preserve">PI </w:t>
      </w:r>
      <w:r w:rsidRPr="00BC7AB0">
        <w:t xml:space="preserve">documents for </w:t>
      </w:r>
      <w:proofErr w:type="spellStart"/>
      <w:r w:rsidRPr="00BC7AB0">
        <w:t>Ezetrol</w:t>
      </w:r>
      <w:proofErr w:type="spellEnd"/>
      <w:r w:rsidRPr="00BC7AB0">
        <w:t xml:space="preserve">, MSD </w:t>
      </w:r>
      <w:proofErr w:type="spellStart"/>
      <w:r w:rsidRPr="00BC7AB0">
        <w:t>Rosuvastatin</w:t>
      </w:r>
      <w:proofErr w:type="spellEnd"/>
      <w:r w:rsidRPr="00BC7AB0">
        <w:t xml:space="preserve">, </w:t>
      </w:r>
      <w:proofErr w:type="spellStart"/>
      <w:r w:rsidRPr="00BC7AB0">
        <w:t>Rosuzet</w:t>
      </w:r>
      <w:proofErr w:type="spellEnd"/>
      <w:r w:rsidRPr="00BC7AB0">
        <w:t xml:space="preserve"> Composite </w:t>
      </w:r>
      <w:r w:rsidR="00BC7AB0">
        <w:t>P</w:t>
      </w:r>
      <w:r w:rsidRPr="00BC7AB0">
        <w:t xml:space="preserve">ack and </w:t>
      </w:r>
      <w:proofErr w:type="spellStart"/>
      <w:r w:rsidRPr="00BC7AB0">
        <w:t>Ezalo</w:t>
      </w:r>
      <w:proofErr w:type="spellEnd"/>
      <w:r w:rsidRPr="00BC7AB0">
        <w:t xml:space="preserve"> </w:t>
      </w:r>
      <w:r w:rsidR="00BC7AB0">
        <w:t>C</w:t>
      </w:r>
      <w:r w:rsidRPr="00BC7AB0">
        <w:t xml:space="preserve">omposite </w:t>
      </w:r>
      <w:r w:rsidR="00BC7AB0">
        <w:t>P</w:t>
      </w:r>
      <w:r w:rsidR="0031305B">
        <w:t>ack.</w:t>
      </w:r>
    </w:p>
    <w:p w:rsidR="0020613A" w:rsidRPr="00BC7AB0" w:rsidRDefault="0020613A" w:rsidP="0031305B">
      <w:r w:rsidRPr="00BC7AB0">
        <w:t xml:space="preserve">Based on the 90% </w:t>
      </w:r>
      <w:r w:rsidR="00D07E32">
        <w:t xml:space="preserve">CI </w:t>
      </w:r>
      <w:r w:rsidRPr="00BC7AB0">
        <w:t>of the geometric mean ratios of the test and reference products for AUC</w:t>
      </w:r>
      <w:r w:rsidRPr="00BC7AB0">
        <w:rPr>
          <w:vertAlign w:val="subscript"/>
        </w:rPr>
        <w:t>0-t</w:t>
      </w:r>
      <w:r w:rsidRPr="00BC7AB0">
        <w:t xml:space="preserve"> and Cmax for rosu</w:t>
      </w:r>
      <w:r w:rsidR="00BC7AB0">
        <w:t>vastatin in Study P417, the AUC</w:t>
      </w:r>
      <w:r w:rsidRPr="00BC7AB0">
        <w:rPr>
          <w:vertAlign w:val="subscript"/>
        </w:rPr>
        <w:t>0-t</w:t>
      </w:r>
      <w:r w:rsidRPr="00BC7AB0">
        <w:t xml:space="preserve"> of rosuvastatin could be as much as 5% higher and the Cmax as much as 8% higher following administration of the 10</w:t>
      </w:r>
      <w:r w:rsidR="00D07E32">
        <w:t> </w:t>
      </w:r>
      <w:r w:rsidRPr="00BC7AB0">
        <w:t>mg/40 mg fixed dose combination compared with co-administ</w:t>
      </w:r>
      <w:r w:rsidR="00BC7AB0">
        <w:t xml:space="preserve">ration of the mono-components. </w:t>
      </w:r>
      <w:r w:rsidRPr="00BC7AB0">
        <w:t>This could potentially be an issue if the patient has other risk f</w:t>
      </w:r>
      <w:r w:rsidR="00BC7AB0">
        <w:t xml:space="preserve">actors that increase exposure. </w:t>
      </w:r>
      <w:r w:rsidRPr="00BC7AB0">
        <w:t xml:space="preserve">The issue of increased rosuvastatin exposure was identified in relation to the composite pack and safety-related information was included in the </w:t>
      </w:r>
      <w:r w:rsidR="00BC7AB0">
        <w:t xml:space="preserve">PI </w:t>
      </w:r>
      <w:r w:rsidRPr="00BC7AB0">
        <w:t>for that product.</w:t>
      </w:r>
    </w:p>
    <w:p w:rsidR="00605AD4" w:rsidRPr="0031305B" w:rsidRDefault="00605AD4" w:rsidP="0031305B">
      <w:pPr>
        <w:pStyle w:val="Heading4"/>
      </w:pPr>
      <w:proofErr w:type="spellStart"/>
      <w:r w:rsidRPr="00605AD4">
        <w:t>Postmarketing</w:t>
      </w:r>
      <w:proofErr w:type="spellEnd"/>
      <w:r w:rsidRPr="00605AD4">
        <w:t xml:space="preserve"> data</w:t>
      </w:r>
    </w:p>
    <w:p w:rsidR="0020613A" w:rsidRPr="00BC7AB0" w:rsidRDefault="0020613A" w:rsidP="0031305B">
      <w:r w:rsidRPr="00BC7AB0">
        <w:t>The sponsor indicates that, from the PBS claims data for the period September 2007 to September 2011, there were approximately 21,000 patients in Australia on concomit</w:t>
      </w:r>
      <w:r w:rsidR="0031305B">
        <w:t xml:space="preserve">ant </w:t>
      </w:r>
      <w:proofErr w:type="spellStart"/>
      <w:r w:rsidR="0031305B">
        <w:t>ezetimibe</w:t>
      </w:r>
      <w:proofErr w:type="spellEnd"/>
      <w:r w:rsidR="0031305B">
        <w:t xml:space="preserve"> and </w:t>
      </w:r>
      <w:proofErr w:type="spellStart"/>
      <w:r w:rsidR="0031305B">
        <w:t>rosuvastatin</w:t>
      </w:r>
      <w:proofErr w:type="spellEnd"/>
      <w:r w:rsidR="0031305B">
        <w:t>.</w:t>
      </w:r>
    </w:p>
    <w:p w:rsidR="0020613A" w:rsidRPr="00BC7AB0" w:rsidRDefault="0020613A" w:rsidP="0031305B">
      <w:r w:rsidRPr="00BC7AB0">
        <w:t xml:space="preserve">Safety data in relation to the concomitant use of ezetimibe and rosuvastatin, the mono-components of the proposed fixed dose combination tablet, </w:t>
      </w:r>
      <w:r w:rsidR="00BC7AB0">
        <w:t xml:space="preserve">were </w:t>
      </w:r>
      <w:r w:rsidRPr="00BC7AB0">
        <w:t>provided</w:t>
      </w:r>
      <w:r w:rsidR="00BC7AB0">
        <w:t xml:space="preserve">. </w:t>
      </w:r>
      <w:r w:rsidRPr="00BC7AB0">
        <w:t xml:space="preserve">The sponsor has included the PSUR Addendum Report for Ezetimibe, for the period 17 April 2012 to 16 </w:t>
      </w:r>
      <w:r w:rsidR="0031305B">
        <w:t>April 2013, in this submission.</w:t>
      </w:r>
    </w:p>
    <w:p w:rsidR="0020613A" w:rsidRDefault="0020613A" w:rsidP="0031305B">
      <w:r w:rsidRPr="0002208B">
        <w:t>The international birth date for ezetimibe is 17 October 2002 (Germany).</w:t>
      </w:r>
      <w:r w:rsidR="00BC7AB0">
        <w:t xml:space="preserve"> </w:t>
      </w:r>
      <w:r w:rsidRPr="0002208B">
        <w:t>During this PSUR Addendum Report period, there were no regulatory or manufacturer actions that resulted in marketing authorisation withdrawal or suspension, failure to obtain marketing authorisation renewal, restriction on distribution, clinical trial suspension, dosage modification, change in target population or pharmaceutical changes for safety reasons.</w:t>
      </w:r>
    </w:p>
    <w:p w:rsidR="0020613A" w:rsidRDefault="005F23B2" w:rsidP="0031305B">
      <w:r>
        <w:t xml:space="preserve">Safety </w:t>
      </w:r>
      <w:r w:rsidR="0020613A" w:rsidRPr="0002208B">
        <w:t>related changes to the Company Core Data Sheet (CCDS) made during the PSUR Addendum Report period were in relation to paediatric use of ezetimib</w:t>
      </w:r>
      <w:r w:rsidR="00BC7AB0">
        <w:t>e.</w:t>
      </w:r>
      <w:r w:rsidR="0020613A" w:rsidRPr="0002208B">
        <w:t xml:space="preserve"> In particular, the age of use in such patients was changed from 10 years or older t</w:t>
      </w:r>
      <w:r>
        <w:t xml:space="preserve">o six years or older and safety </w:t>
      </w:r>
      <w:r w:rsidR="0020613A" w:rsidRPr="0002208B">
        <w:t xml:space="preserve">related information from a clinical trial in patients aged 6 to </w:t>
      </w:r>
      <w:r w:rsidR="0031305B">
        <w:t>10 years was added to the CCDS.</w:t>
      </w:r>
    </w:p>
    <w:p w:rsidR="0020613A" w:rsidRDefault="0020613A" w:rsidP="0031305B">
      <w:r w:rsidRPr="0002208B">
        <w:t xml:space="preserve">The majority of serious, unlisted </w:t>
      </w:r>
      <w:r w:rsidR="00D07E32">
        <w:t xml:space="preserve">AEs </w:t>
      </w:r>
      <w:r w:rsidRPr="0002208B">
        <w:t>reported by health care provi</w:t>
      </w:r>
      <w:r w:rsidR="00BC7AB0">
        <w:t xml:space="preserve">ders (HCPs) were single cases. </w:t>
      </w:r>
      <w:r w:rsidRPr="0002208B">
        <w:t xml:space="preserve">Of note, from the line listings, were the following serious unlisted events: febrile </w:t>
      </w:r>
      <w:proofErr w:type="spellStart"/>
      <w:r w:rsidRPr="0002208B">
        <w:t>neutropaenia</w:t>
      </w:r>
      <w:proofErr w:type="spellEnd"/>
      <w:r w:rsidRPr="0002208B">
        <w:t xml:space="preserve"> (n</w:t>
      </w:r>
      <w:r w:rsidR="00BC7AB0">
        <w:t>=</w:t>
      </w:r>
      <w:r w:rsidRPr="0002208B">
        <w:t xml:space="preserve">1) </w:t>
      </w:r>
      <w:proofErr w:type="spellStart"/>
      <w:r w:rsidRPr="0002208B">
        <w:t>neutropaenia</w:t>
      </w:r>
      <w:proofErr w:type="spellEnd"/>
      <w:r w:rsidRPr="0002208B">
        <w:t xml:space="preserve"> (n=1), anaemia (n=1), hepatocellular injury (n=2), hepatic necrosis (n=1), mixed liver injury (n=1), drug-induced liver injury (n=1), hepatic failure (n=1), allergic </w:t>
      </w:r>
      <w:proofErr w:type="spellStart"/>
      <w:r w:rsidRPr="0002208B">
        <w:t>alveolitis</w:t>
      </w:r>
      <w:proofErr w:type="spellEnd"/>
      <w:r w:rsidRPr="0002208B">
        <w:t xml:space="preserve"> (n=1), pulmonary fibrosis (n=1), optic neuritis (n=1) a</w:t>
      </w:r>
      <w:r>
        <w:t xml:space="preserve">nd renal failure acute (n=3).  </w:t>
      </w:r>
      <w:r w:rsidRPr="0002208B">
        <w:t>For the hepatic events, causality was determined as related ex</w:t>
      </w:r>
      <w:r w:rsidR="00BC7AB0">
        <w:t xml:space="preserve">cept for hepatic necrosis. </w:t>
      </w:r>
      <w:r w:rsidRPr="0002208B">
        <w:t xml:space="preserve">For the reports of anaemia, febrile </w:t>
      </w:r>
      <w:proofErr w:type="spellStart"/>
      <w:r w:rsidRPr="0002208B">
        <w:t>neutropaenia</w:t>
      </w:r>
      <w:proofErr w:type="spellEnd"/>
      <w:r w:rsidRPr="0002208B">
        <w:t xml:space="preserve"> and </w:t>
      </w:r>
      <w:proofErr w:type="spellStart"/>
      <w:r w:rsidRPr="0002208B">
        <w:t>neutropaenia</w:t>
      </w:r>
      <w:proofErr w:type="spellEnd"/>
      <w:r w:rsidRPr="0002208B">
        <w:t xml:space="preserve"> causality was reported as unknown. Optic ne</w:t>
      </w:r>
      <w:r w:rsidR="00BC7AB0">
        <w:t>uritis was reported as related.</w:t>
      </w:r>
      <w:r w:rsidRPr="0002208B">
        <w:t xml:space="preserve"> Of the three cases of renal failure acute, two were reported as causality unknown and </w:t>
      </w:r>
      <w:r w:rsidR="00BC7AB0">
        <w:t xml:space="preserve">one related. </w:t>
      </w:r>
      <w:r w:rsidRPr="0002208B">
        <w:t xml:space="preserve">The cases of </w:t>
      </w:r>
      <w:proofErr w:type="spellStart"/>
      <w:r w:rsidRPr="0002208B">
        <w:t>alveolitis</w:t>
      </w:r>
      <w:proofErr w:type="spellEnd"/>
      <w:r w:rsidRPr="0002208B">
        <w:t xml:space="preserve"> allergic and pulmonary fibrosis were reported as related and the case of interstitial lung disease as not related.</w:t>
      </w:r>
    </w:p>
    <w:p w:rsidR="0020613A" w:rsidRDefault="0020613A" w:rsidP="0031305B">
      <w:r w:rsidRPr="0002208B">
        <w:t>Cumulatively, based on serious unlisted cases reported by HCPs, there have been 13 cases of drug-induced liver injury, 17 cases of hepatic failure and 2 cases of hepatitis fulminant.</w:t>
      </w:r>
    </w:p>
    <w:p w:rsidR="0020613A" w:rsidRDefault="0020613A" w:rsidP="0031305B">
      <w:r w:rsidRPr="00323987">
        <w:t xml:space="preserve">In the listing of follow-up cases there appear to have been three reports of </w:t>
      </w:r>
      <w:proofErr w:type="spellStart"/>
      <w:r w:rsidRPr="00323987">
        <w:t>pancytopaenia</w:t>
      </w:r>
      <w:proofErr w:type="spellEnd"/>
      <w:r w:rsidRPr="00323987">
        <w:t>, two app</w:t>
      </w:r>
      <w:r w:rsidR="00BC7AB0">
        <w:t xml:space="preserve">ear to relate to the one case. </w:t>
      </w:r>
      <w:r w:rsidRPr="00323987">
        <w:t xml:space="preserve">There do not appear to be details regarding the time between administration of the ezetimibe and the onset of the </w:t>
      </w:r>
      <w:proofErr w:type="spellStart"/>
      <w:r w:rsidRPr="00323987">
        <w:t>pancytopaenia</w:t>
      </w:r>
      <w:proofErr w:type="spellEnd"/>
      <w:r w:rsidRPr="00323987">
        <w:t xml:space="preserve">, or information regarding concomitant medications and medical conditions which may have </w:t>
      </w:r>
      <w:r w:rsidRPr="00323987">
        <w:lastRenderedPageBreak/>
        <w:t>been confounding factors</w:t>
      </w:r>
      <w:r w:rsidR="00BC7AB0">
        <w:t xml:space="preserve">. </w:t>
      </w:r>
      <w:r w:rsidRPr="0002208B">
        <w:t>There have been seven reports of pancytopenia from HCPs, cumulatively.</w:t>
      </w:r>
    </w:p>
    <w:p w:rsidR="0020613A" w:rsidRDefault="00D07E32" w:rsidP="0031305B">
      <w:r>
        <w:t xml:space="preserve">Twenty </w:t>
      </w:r>
      <w:r w:rsidR="0020613A" w:rsidRPr="0002208B">
        <w:t>three serious events of rhabdom</w:t>
      </w:r>
      <w:r w:rsidR="00BC7AB0">
        <w:t xml:space="preserve">yolysis were reported by HCPs. </w:t>
      </w:r>
      <w:r w:rsidR="0020613A" w:rsidRPr="0002208B">
        <w:t xml:space="preserve">The event rhabdomyolysis was reported to be unlisted for one of these cases and a listed </w:t>
      </w:r>
      <w:r>
        <w:t xml:space="preserve">AE </w:t>
      </w:r>
      <w:r w:rsidR="00BC7AB0">
        <w:t xml:space="preserve">for 22 of the cases. </w:t>
      </w:r>
      <w:r w:rsidR="0020613A" w:rsidRPr="0002208B">
        <w:t>There ha</w:t>
      </w:r>
      <w:r w:rsidR="00BC7AB0">
        <w:t xml:space="preserve">ve been 57 cases cumulatively. </w:t>
      </w:r>
      <w:r w:rsidR="0020613A" w:rsidRPr="0002208B">
        <w:t xml:space="preserve">No information is provided for these cases in relation to muscle symptoms, </w:t>
      </w:r>
      <w:proofErr w:type="spellStart"/>
      <w:r w:rsidR="0020613A" w:rsidRPr="0002208B">
        <w:t>creatine</w:t>
      </w:r>
      <w:proofErr w:type="spellEnd"/>
      <w:r w:rsidR="0020613A" w:rsidRPr="0002208B">
        <w:t xml:space="preserve"> phosphokinase levels and confounding factors.</w:t>
      </w:r>
    </w:p>
    <w:p w:rsidR="0020613A" w:rsidRDefault="0020613A" w:rsidP="0031305B">
      <w:r w:rsidRPr="0002208B">
        <w:t xml:space="preserve">From reports in the literature related to ezetimibe, it is noted that there have been 3 cases of amyotrophic lateral sclerosis cumulatively, for two of which the causality was determined </w:t>
      </w:r>
      <w:r w:rsidR="00BC7AB0">
        <w:t xml:space="preserve">to be related and one unknown. </w:t>
      </w:r>
      <w:r w:rsidRPr="0002208B">
        <w:t>There have been 12 cases reported cumulatively from all report types (spontaneous, literature, study).</w:t>
      </w:r>
    </w:p>
    <w:p w:rsidR="0020613A" w:rsidRPr="0002208B" w:rsidRDefault="0020613A" w:rsidP="0031305B">
      <w:r w:rsidRPr="0002208B">
        <w:t xml:space="preserve">Cumulatively, there have been single HCP-reported cases of optic neuritis and allergic </w:t>
      </w:r>
      <w:proofErr w:type="spellStart"/>
      <w:r w:rsidRPr="0002208B">
        <w:t>alveolitis</w:t>
      </w:r>
      <w:proofErr w:type="spellEnd"/>
      <w:r w:rsidRPr="0002208B">
        <w:t>, four cases of pulmonary fibrosis, 7 cases of interstitial lung disease, and 78 cases of renal failure acute.</w:t>
      </w:r>
    </w:p>
    <w:p w:rsidR="0020613A" w:rsidRDefault="0020613A" w:rsidP="0031305B">
      <w:r w:rsidRPr="0002208B">
        <w:t xml:space="preserve">There have been 7 reports of </w:t>
      </w:r>
      <w:proofErr w:type="spellStart"/>
      <w:r w:rsidRPr="0002208B">
        <w:t>leucocytoclastic</w:t>
      </w:r>
      <w:proofErr w:type="spellEnd"/>
      <w:r w:rsidRPr="0002208B">
        <w:t xml:space="preserve"> vasculitis </w:t>
      </w:r>
      <w:r w:rsidR="009315FC">
        <w:t>and 7 cases of Stevens Johnson S</w:t>
      </w:r>
      <w:r w:rsidRPr="0002208B">
        <w:t>yndrome cumulatively but no reports of either in thi</w:t>
      </w:r>
      <w:r w:rsidR="00BC7AB0">
        <w:t xml:space="preserve">s PSUR Addendum Report period. </w:t>
      </w:r>
      <w:r w:rsidRPr="0002208B">
        <w:t>There has been one HCP report of electrocardiogram QT prolonged cumulatively.</w:t>
      </w:r>
    </w:p>
    <w:p w:rsidR="0020613A" w:rsidRDefault="00BC7AB0" w:rsidP="0031305B">
      <w:pPr>
        <w:ind w:left="720"/>
      </w:pPr>
      <w:r>
        <w:rPr>
          <w:b/>
        </w:rPr>
        <w:t>Evaluator’s c</w:t>
      </w:r>
      <w:r w:rsidR="0020613A" w:rsidRPr="00F17337">
        <w:rPr>
          <w:b/>
        </w:rPr>
        <w:t>omment</w:t>
      </w:r>
      <w:r>
        <w:t xml:space="preserve">: </w:t>
      </w:r>
      <w:r w:rsidR="0020613A" w:rsidRPr="0002208B">
        <w:t xml:space="preserve">There does not appear to be information in the PSUR Addendum Report regarding the use of ezetimibe with statins except in the section entitled </w:t>
      </w:r>
      <w:r w:rsidR="0020613A" w:rsidRPr="00D07E32">
        <w:rPr>
          <w:i/>
        </w:rPr>
        <w:t>“PSUR reference and articles for</w:t>
      </w:r>
      <w:r w:rsidRPr="00D07E32">
        <w:rPr>
          <w:i/>
        </w:rPr>
        <w:t xml:space="preserve"> published case histories”</w:t>
      </w:r>
      <w:r>
        <w:t xml:space="preserve">. </w:t>
      </w:r>
      <w:r w:rsidR="0020613A" w:rsidRPr="0002208B">
        <w:t>Three cases were referred to in the same article</w:t>
      </w:r>
      <w:r>
        <w:rPr>
          <w:rStyle w:val="FootnoteReference"/>
        </w:rPr>
        <w:footnoteReference w:id="6"/>
      </w:r>
      <w:r>
        <w:t xml:space="preserve">. </w:t>
      </w:r>
      <w:r w:rsidR="0020613A" w:rsidRPr="0002208B">
        <w:t xml:space="preserve">This article described a randomised study. The aim of the study was to examine, in patients with remnant </w:t>
      </w:r>
      <w:proofErr w:type="spellStart"/>
      <w:r w:rsidR="0020613A" w:rsidRPr="0002208B">
        <w:t>lipoproteinemia</w:t>
      </w:r>
      <w:proofErr w:type="spellEnd"/>
      <w:r w:rsidR="0020613A" w:rsidRPr="0002208B">
        <w:t xml:space="preserve"> on previous statin treatment, if ezetimibe added to ongoing statin therapy resulted in a greater improvement in lipid profiles and endothelial function than doubling the statin dose. Study subjects (n=63) were patients who had stable coronary artery disease, were on statin treatment and had high levels of remnant-like lip</w:t>
      </w:r>
      <w:r>
        <w:t xml:space="preserve">oprotein particle cholesterol. </w:t>
      </w:r>
      <w:r w:rsidR="0020613A" w:rsidRPr="0002208B">
        <w:t>Subjects were randomised to ezetimibe 10 mg/day plus their prescribed statin and dose (n=32) or doubling of their</w:t>
      </w:r>
      <w:r w:rsidR="0020613A">
        <w:t xml:space="preserve"> ongoing statin dose (n=31). </w:t>
      </w:r>
      <w:r w:rsidR="0020613A" w:rsidRPr="0002208B">
        <w:t>Rosuvastatin dose was doubled in nine subjects and ezetimibe was added t</w:t>
      </w:r>
      <w:r>
        <w:t xml:space="preserve">o rosuvastatin for 7 subjects. </w:t>
      </w:r>
      <w:r w:rsidR="0020613A" w:rsidRPr="0002208B">
        <w:t>During the study, three subjects in the statin + ezetimibe group and three subjects from the statin double dose group were withd</w:t>
      </w:r>
      <w:r w:rsidR="0020613A">
        <w:t>rawn due to adverse eff</w:t>
      </w:r>
      <w:r>
        <w:t xml:space="preserve">ects. </w:t>
      </w:r>
      <w:r w:rsidR="0020613A" w:rsidRPr="0002208B">
        <w:t>For the three withdrawn subjects in the statin + ezetimibe group, it was not indicated which statin the subject was receiving.</w:t>
      </w:r>
    </w:p>
    <w:p w:rsidR="0020613A" w:rsidRDefault="0020613A" w:rsidP="0031305B">
      <w:pPr>
        <w:ind w:left="720"/>
      </w:pPr>
      <w:r w:rsidRPr="0002208B">
        <w:t xml:space="preserve">The adverse effects </w:t>
      </w:r>
      <w:r w:rsidR="00BC7AB0">
        <w:t xml:space="preserve">section </w:t>
      </w:r>
      <w:r w:rsidRPr="0002208B">
        <w:t xml:space="preserve">in the Australian PI for Ezetrol (ezetimibe) and CCDS are generally consistent. It is noted that the adverse effects reported in the CCDS are based on a larger number of subjects than </w:t>
      </w:r>
      <w:r w:rsidR="00BC7AB0">
        <w:t xml:space="preserve">the adverse effects in the PI. The Australian PI for Ezetrol </w:t>
      </w:r>
      <w:r w:rsidRPr="0002208B">
        <w:t xml:space="preserve">indicates that it is not recommended for use in children below the age of 10 years, which is more conservative than the CCDS, revised on 17 September 2012, </w:t>
      </w:r>
      <w:r w:rsidR="00BC7AB0">
        <w:t xml:space="preserve">which </w:t>
      </w:r>
      <w:r w:rsidRPr="0002208B">
        <w:t>indicates that use in children aged less th</w:t>
      </w:r>
      <w:r w:rsidR="0031305B">
        <w:t>an 6 years is not recommended.</w:t>
      </w:r>
    </w:p>
    <w:p w:rsidR="0020613A" w:rsidRDefault="0020613A" w:rsidP="0031305B">
      <w:pPr>
        <w:ind w:left="720"/>
      </w:pPr>
      <w:r w:rsidRPr="0002208B">
        <w:t>Based on the PSUR Addendum Report, no changes to the PI appear to be r</w:t>
      </w:r>
      <w:r w:rsidR="00BC7AB0">
        <w:t xml:space="preserve">equired at this point in time. </w:t>
      </w:r>
      <w:r w:rsidRPr="0002208B">
        <w:t>With regard to the noted adverse effects, there was limited information in the line listing to assess the relationship between the adverse drug reactions reported and th</w:t>
      </w:r>
      <w:r w:rsidR="00BC7AB0">
        <w:t xml:space="preserve">e administration of ezetimibe. </w:t>
      </w:r>
      <w:r w:rsidRPr="0002208B">
        <w:t xml:space="preserve">Not all cases listed specify the dose of the product </w:t>
      </w:r>
      <w:proofErr w:type="gramStart"/>
      <w:r w:rsidRPr="0002208B">
        <w:t>administered,</w:t>
      </w:r>
      <w:proofErr w:type="gramEnd"/>
      <w:r w:rsidRPr="0002208B">
        <w:t xml:space="preserve"> the dates of treatment</w:t>
      </w:r>
      <w:r w:rsidR="009315FC">
        <w:t>,</w:t>
      </w:r>
      <w:r w:rsidRPr="0002208B">
        <w:t xml:space="preserve"> or </w:t>
      </w:r>
      <w:r w:rsidR="009315FC">
        <w:t xml:space="preserve">the event onset/time to onset. </w:t>
      </w:r>
      <w:r w:rsidRPr="0002208B">
        <w:t xml:space="preserve">Concomitant medications and medical history are not listed but are required to assess a causal relationship between ezetimibe and the adverse </w:t>
      </w:r>
      <w:r w:rsidR="009315FC">
        <w:lastRenderedPageBreak/>
        <w:t xml:space="preserve">effect. </w:t>
      </w:r>
      <w:r w:rsidRPr="0002208B">
        <w:t xml:space="preserve">Most </w:t>
      </w:r>
      <w:r w:rsidR="009315FC">
        <w:t>adverse drug reactions (</w:t>
      </w:r>
      <w:r w:rsidRPr="0002208B">
        <w:t>ADRs</w:t>
      </w:r>
      <w:r w:rsidR="009315FC">
        <w:t>)</w:t>
      </w:r>
      <w:r w:rsidRPr="0002208B">
        <w:t xml:space="preserve"> reported during the PSUR period </w:t>
      </w:r>
      <w:proofErr w:type="gramStart"/>
      <w:r w:rsidRPr="0002208B">
        <w:t>were</w:t>
      </w:r>
      <w:proofErr w:type="gramEnd"/>
      <w:r w:rsidRPr="0002208B">
        <w:t xml:space="preserve"> single cases except for liver ADRs, which were notable in their number and describ</w:t>
      </w:r>
      <w:r w:rsidR="009315FC">
        <w:t xml:space="preserve">ed a spectrum of liver injury. </w:t>
      </w:r>
      <w:r w:rsidRPr="0002208B">
        <w:t xml:space="preserve">It is noted that the sponsor </w:t>
      </w:r>
      <w:r w:rsidR="00E554F7">
        <w:t xml:space="preserve">previously </w:t>
      </w:r>
      <w:r w:rsidRPr="0002208B">
        <w:t xml:space="preserve">indicated, in </w:t>
      </w:r>
      <w:r w:rsidR="00E554F7">
        <w:t>documentation for the application to register the ezetimibe + rosuvastatin composite packs (</w:t>
      </w:r>
      <w:r w:rsidRPr="0002208B">
        <w:t>PM-</w:t>
      </w:r>
      <w:r w:rsidR="00E554F7">
        <w:t>2012-03419-1-3), that it proposed</w:t>
      </w:r>
      <w:r w:rsidRPr="0002208B">
        <w:t xml:space="preserve"> to include hepatic failure as an important potential risk in the ezetimibe/rosuvastatin RMP (rather than an important identified ris</w:t>
      </w:r>
      <w:r>
        <w:t xml:space="preserve">k as recommended by the TGA). </w:t>
      </w:r>
      <w:r w:rsidR="005059BE">
        <w:t>The RMP V</w:t>
      </w:r>
      <w:r w:rsidRPr="0002208B">
        <w:t>ersion 1.2 does not include hepatic failure as a specific identified or potential risk in the summary of ongoing safety concerns</w:t>
      </w:r>
      <w:r w:rsidR="00E554F7">
        <w:t xml:space="preserve"> (see also </w:t>
      </w:r>
      <w:proofErr w:type="spellStart"/>
      <w:r w:rsidR="00E554F7" w:rsidRPr="00E554F7">
        <w:rPr>
          <w:i/>
        </w:rPr>
        <w:t>Pharmacovigilance</w:t>
      </w:r>
      <w:proofErr w:type="spellEnd"/>
      <w:r w:rsidR="00E554F7" w:rsidRPr="00E554F7">
        <w:rPr>
          <w:i/>
        </w:rPr>
        <w:t xml:space="preserve"> findings</w:t>
      </w:r>
      <w:r w:rsidR="00E554F7">
        <w:t>, below)</w:t>
      </w:r>
      <w:r w:rsidRPr="0002208B">
        <w:t>.</w:t>
      </w:r>
    </w:p>
    <w:p w:rsidR="0020613A" w:rsidRDefault="0020613A" w:rsidP="0031305B">
      <w:pPr>
        <w:ind w:left="720"/>
      </w:pPr>
      <w:r w:rsidRPr="0002208B">
        <w:t>Rhabdomyolysis and hypersensitivity reactions are included in the Australian PI for Ezetrol as adverse reactions reported</w:t>
      </w:r>
      <w:r w:rsidR="009315FC">
        <w:t xml:space="preserve"> in post-marketing experience. </w:t>
      </w:r>
      <w:r w:rsidRPr="0002208B">
        <w:t xml:space="preserve">Stevens Johnson Syndrome and </w:t>
      </w:r>
      <w:proofErr w:type="spellStart"/>
      <w:r w:rsidRPr="0002208B">
        <w:t>leucocytoclastic</w:t>
      </w:r>
      <w:proofErr w:type="spellEnd"/>
      <w:r w:rsidRPr="0002208B">
        <w:t xml:space="preserve"> vasculitis are not included as specific examples of h</w:t>
      </w:r>
      <w:r w:rsidR="009315FC">
        <w:t>ypersensitivity reactions. The sponsor wa</w:t>
      </w:r>
      <w:r w:rsidRPr="0002208B">
        <w:t xml:space="preserve">s requested to provide details on the reported cases of Stevens Johnson Syndrome and </w:t>
      </w:r>
      <w:proofErr w:type="spellStart"/>
      <w:r w:rsidRPr="0002208B">
        <w:t>leucocytoclastic</w:t>
      </w:r>
      <w:proofErr w:type="spellEnd"/>
      <w:r w:rsidRPr="0002208B">
        <w:t xml:space="preserve"> vasculitis and comment on whether the cases are considered related to treatment with ezetimibe</w:t>
      </w:r>
      <w:r w:rsidR="009315FC">
        <w:t xml:space="preserve"> (see </w:t>
      </w:r>
      <w:r w:rsidR="009315FC" w:rsidRPr="009315FC">
        <w:rPr>
          <w:i/>
        </w:rPr>
        <w:t>Clinical questions</w:t>
      </w:r>
      <w:r w:rsidR="009315FC">
        <w:t>, below)</w:t>
      </w:r>
      <w:r w:rsidRPr="0002208B">
        <w:t>.</w:t>
      </w:r>
    </w:p>
    <w:p w:rsidR="0020613A" w:rsidRDefault="0020613A" w:rsidP="0031305B">
      <w:pPr>
        <w:ind w:left="720"/>
      </w:pPr>
      <w:r w:rsidRPr="0002208B">
        <w:t>The prevalence of amyotrophic lateral sclerosis is reported to be 3-5 per 100,000</w:t>
      </w:r>
      <w:r w:rsidR="009315FC">
        <w:rPr>
          <w:rStyle w:val="FootnoteReference"/>
        </w:rPr>
        <w:footnoteReference w:id="7"/>
      </w:r>
      <w:r w:rsidR="00E554F7">
        <w:t xml:space="preserve">. </w:t>
      </w:r>
      <w:r w:rsidRPr="0002208B">
        <w:t>The aetiology of amyotrophic lateral sclerosis appears to be multifactorial and</w:t>
      </w:r>
      <w:r>
        <w:t xml:space="preserve"> not clearly understood. </w:t>
      </w:r>
      <w:r w:rsidRPr="0002208B">
        <w:t xml:space="preserve">Although the exposure is not presented in the PSUR Addendum Report, it would be anticipated to be similar or greater to that reported in the Clinical Evaluation Report </w:t>
      </w:r>
      <w:r w:rsidR="008D6CC4">
        <w:t xml:space="preserve">(CER) </w:t>
      </w:r>
      <w:r w:rsidRPr="0002208B">
        <w:t xml:space="preserve">for the </w:t>
      </w:r>
      <w:proofErr w:type="spellStart"/>
      <w:r w:rsidRPr="0002208B">
        <w:t>Rosuzet</w:t>
      </w:r>
      <w:proofErr w:type="spellEnd"/>
      <w:r w:rsidRPr="0002208B">
        <w:t>/</w:t>
      </w:r>
      <w:proofErr w:type="spellStart"/>
      <w:r w:rsidRPr="0002208B">
        <w:t>Ezalo</w:t>
      </w:r>
      <w:proofErr w:type="spellEnd"/>
      <w:r w:rsidRPr="0002208B">
        <w:t xml:space="preserve"> Composite Pack (Sub</w:t>
      </w:r>
      <w:r>
        <w:t>mission PM</w:t>
      </w:r>
      <w:r w:rsidR="009315FC">
        <w:t xml:space="preserve"> </w:t>
      </w:r>
      <w:r>
        <w:t>2012-03419-1-3</w:t>
      </w:r>
      <w:r w:rsidR="00E554F7">
        <w:rPr>
          <w:rStyle w:val="FootnoteReference"/>
        </w:rPr>
        <w:footnoteReference w:id="8"/>
      </w:r>
      <w:r>
        <w:t xml:space="preserve">). </w:t>
      </w:r>
      <w:r w:rsidRPr="0002208B">
        <w:t>During the six month period covered by the PSUR submitted with that application, April 2011 to October 2011, exposure was a</w:t>
      </w:r>
      <w:r w:rsidR="009315FC">
        <w:t>pproximately 1,703, 146 patient</w:t>
      </w:r>
      <w:r w:rsidRPr="0002208B">
        <w:t>-years of treatment</w:t>
      </w:r>
      <w:r w:rsidR="009315FC">
        <w:t xml:space="preserve">. </w:t>
      </w:r>
      <w:r w:rsidRPr="0002208B">
        <w:t>The number of reports of this condition from HCPs, cumulatively, is, therefore, small in comparison to the estimated cumula</w:t>
      </w:r>
      <w:r w:rsidR="0031305B">
        <w:t xml:space="preserve">tive exposure to </w:t>
      </w:r>
      <w:proofErr w:type="spellStart"/>
      <w:r w:rsidR="0031305B">
        <w:t>ezetimibe</w:t>
      </w:r>
      <w:proofErr w:type="spellEnd"/>
      <w:r w:rsidR="0031305B">
        <w:t>.</w:t>
      </w:r>
    </w:p>
    <w:p w:rsidR="0020613A" w:rsidRDefault="0020613A" w:rsidP="0031305B">
      <w:pPr>
        <w:ind w:left="720"/>
      </w:pPr>
      <w:r w:rsidRPr="0002208B">
        <w:t xml:space="preserve">Pancytopenia and QT prolongation are not included as an adverse effect </w:t>
      </w:r>
      <w:r w:rsidR="009315FC">
        <w:t xml:space="preserve">section </w:t>
      </w:r>
      <w:r w:rsidRPr="0002208B">
        <w:t>in the PI for Ezetrol</w:t>
      </w:r>
      <w:r w:rsidR="009315FC">
        <w:t>. The sponsor wa</w:t>
      </w:r>
      <w:r w:rsidRPr="0002208B">
        <w:t>s requested to provide details on the cases of pancytopenia and QT prolongation reported cumulatively and comment on whether the cases are considered related to treatment with ezetimibe</w:t>
      </w:r>
      <w:r w:rsidR="009315FC">
        <w:t xml:space="preserve"> </w:t>
      </w:r>
      <w:r w:rsidR="009315FC" w:rsidRPr="009315FC">
        <w:t xml:space="preserve">(see </w:t>
      </w:r>
      <w:r w:rsidR="009315FC" w:rsidRPr="009315FC">
        <w:rPr>
          <w:i/>
        </w:rPr>
        <w:t>Clinical questions</w:t>
      </w:r>
      <w:r w:rsidR="009315FC" w:rsidRPr="009315FC">
        <w:t>, below).</w:t>
      </w:r>
    </w:p>
    <w:p w:rsidR="00605AD4" w:rsidRPr="0031305B" w:rsidRDefault="00605AD4" w:rsidP="0031305B">
      <w:pPr>
        <w:pStyle w:val="Heading4"/>
      </w:pPr>
      <w:r w:rsidRPr="00605AD4">
        <w:t>Evaluator’s conclusions on safety</w:t>
      </w:r>
    </w:p>
    <w:p w:rsidR="0020613A" w:rsidRPr="009315FC" w:rsidRDefault="0020613A" w:rsidP="0031305B">
      <w:r w:rsidRPr="009315FC">
        <w:t>The safety of the proposed fixed dose com</w:t>
      </w:r>
      <w:r w:rsidR="009315FC">
        <w:t xml:space="preserve">bination tablet is acceptable. </w:t>
      </w:r>
      <w:r w:rsidRPr="009315FC">
        <w:t>The safety issues are anticipated to be the same as those for the ezetimibe an</w:t>
      </w:r>
      <w:r w:rsidR="009315FC">
        <w:t xml:space="preserve">d rosuvastatin composite pack. </w:t>
      </w:r>
      <w:r w:rsidRPr="009315FC">
        <w:t xml:space="preserve">The dose strengths proposed for the fixed dose combination tablets are the same as the dose strengths for the composite packs, 10 mg ezetimibe plus 5 </w:t>
      </w:r>
      <w:r w:rsidR="009315FC">
        <w:t xml:space="preserve">mg, 10 mg, 20 mg and 40 mg rosuvastatin. </w:t>
      </w:r>
      <w:r w:rsidRPr="009315FC">
        <w:t>The ezetimibe and rosuvastatin composite pack has been approved by the TGA based on a subset of the information provided by the sponsor to su</w:t>
      </w:r>
      <w:r w:rsidR="009315FC">
        <w:t xml:space="preserve">pport the current application. </w:t>
      </w:r>
      <w:r w:rsidRPr="009315FC">
        <w:t>The adverse effects reported in the new safety data included in this submission are generally consistent with the known safety profiles for the co-administration of ezetimibe and rosuvastatin or the mono-components.</w:t>
      </w:r>
    </w:p>
    <w:p w:rsidR="0020613A" w:rsidRDefault="0020613A" w:rsidP="008B5ED5">
      <w:r w:rsidRPr="0002208B">
        <w:t>No pivotal studies that assessed the safety of an ezetimibe and rosuvastatin fixed dose combination tablet as a primary outcome ar</w:t>
      </w:r>
      <w:r w:rsidR="009315FC">
        <w:t xml:space="preserve">e included in the application. </w:t>
      </w:r>
      <w:r w:rsidRPr="0002208B">
        <w:t>The bioequivalence study for the 10</w:t>
      </w:r>
      <w:r w:rsidR="009315FC">
        <w:t xml:space="preserve"> </w:t>
      </w:r>
      <w:r w:rsidR="00E554F7">
        <w:t xml:space="preserve">mg + </w:t>
      </w:r>
      <w:r w:rsidRPr="0002208B">
        <w:t>40 mg dose indicates that exposure to rosuvastatin could be higher with the fixed dose combination com</w:t>
      </w:r>
      <w:r w:rsidR="008D6CC4">
        <w:t>pared with the mono-</w:t>
      </w:r>
      <w:r w:rsidR="009315FC">
        <w:t xml:space="preserve">therapies. </w:t>
      </w:r>
      <w:r w:rsidRPr="0002208B">
        <w:lastRenderedPageBreak/>
        <w:t xml:space="preserve">Although the possible increase in exposure is anticipated to be small, as the maximum recommended dose of rosuvastatin is 40 mg, an increase in exposure with this proposed dose strength may increase the risk of </w:t>
      </w:r>
      <w:r w:rsidR="00D07E32">
        <w:t>AE</w:t>
      </w:r>
      <w:r w:rsidRPr="0002208B">
        <w:t>s.</w:t>
      </w:r>
    </w:p>
    <w:p w:rsidR="00605AD4" w:rsidRPr="00605AD4" w:rsidRDefault="0020613A" w:rsidP="008B5ED5">
      <w:r w:rsidRPr="0002208B">
        <w:t xml:space="preserve">It is recommended that the safety-related information in the </w:t>
      </w:r>
      <w:r w:rsidR="00E554F7">
        <w:t>PI</w:t>
      </w:r>
      <w:r w:rsidRPr="0002208B">
        <w:t xml:space="preserve"> for the fixed dose combination tablet is identical to that in </w:t>
      </w:r>
      <w:r w:rsidR="009315FC">
        <w:t xml:space="preserve">PI for the composite pack. </w:t>
      </w:r>
      <w:r w:rsidRPr="0002208B">
        <w:t xml:space="preserve">The PIs for </w:t>
      </w:r>
      <w:proofErr w:type="spellStart"/>
      <w:r w:rsidRPr="0002208B">
        <w:t>Rosuzet</w:t>
      </w:r>
      <w:proofErr w:type="spellEnd"/>
      <w:r w:rsidRPr="0002208B">
        <w:t xml:space="preserve"> </w:t>
      </w:r>
      <w:r w:rsidR="009315FC">
        <w:t>C</w:t>
      </w:r>
      <w:r w:rsidRPr="0002208B">
        <w:t xml:space="preserve">omposite </w:t>
      </w:r>
      <w:r w:rsidR="009315FC">
        <w:t>P</w:t>
      </w:r>
      <w:r w:rsidRPr="0002208B">
        <w:t xml:space="preserve">ack and </w:t>
      </w:r>
      <w:proofErr w:type="spellStart"/>
      <w:r w:rsidRPr="0002208B">
        <w:t>Ezalo</w:t>
      </w:r>
      <w:proofErr w:type="spellEnd"/>
      <w:r w:rsidRPr="0002208B">
        <w:t xml:space="preserve"> </w:t>
      </w:r>
      <w:r w:rsidR="009315FC">
        <w:t>C</w:t>
      </w:r>
      <w:r w:rsidRPr="0002208B">
        <w:t xml:space="preserve">omposite </w:t>
      </w:r>
      <w:r w:rsidR="009315FC">
        <w:t>P</w:t>
      </w:r>
      <w:r w:rsidRPr="0002208B">
        <w:t>ack include specific precautionary statements in relation to liver enzymes, skeletal muscle, a</w:t>
      </w:r>
      <w:r w:rsidR="009315FC">
        <w:t>nd treatment using ezetimibe 10 </w:t>
      </w:r>
      <w:r w:rsidRPr="0002208B">
        <w:t>mg in combination with the highes</w:t>
      </w:r>
      <w:r w:rsidR="009315FC">
        <w:t xml:space="preserve">t dose of rosuvastatin, 40 mg. </w:t>
      </w:r>
      <w:r w:rsidRPr="0002208B">
        <w:t>The safety issues with the potential for major regulatory impact to which these precautionary statements pertain are also safety issues for the fixed dose combination tablet.</w:t>
      </w:r>
    </w:p>
    <w:p w:rsidR="00605AD4" w:rsidRPr="00605AD4" w:rsidRDefault="00605AD4" w:rsidP="008B5ED5">
      <w:pPr>
        <w:pStyle w:val="Heading3"/>
        <w:rPr>
          <w:rFonts w:eastAsia="Cambria"/>
        </w:rPr>
      </w:pPr>
      <w:bookmarkStart w:id="90" w:name="_Toc412706475"/>
      <w:r w:rsidRPr="00605AD4">
        <w:rPr>
          <w:rFonts w:eastAsia="Cambria"/>
        </w:rPr>
        <w:t xml:space="preserve">First </w:t>
      </w:r>
      <w:r w:rsidR="008B5ED5">
        <w:rPr>
          <w:rFonts w:eastAsia="Cambria"/>
        </w:rPr>
        <w:t>r</w:t>
      </w:r>
      <w:r w:rsidRPr="00605AD4">
        <w:rPr>
          <w:rFonts w:eastAsia="Cambria"/>
        </w:rPr>
        <w:t xml:space="preserve">ound </w:t>
      </w:r>
      <w:r w:rsidR="008B5ED5">
        <w:rPr>
          <w:rFonts w:eastAsia="Cambria"/>
        </w:rPr>
        <w:t>b</w:t>
      </w:r>
      <w:r w:rsidRPr="00605AD4">
        <w:rPr>
          <w:rFonts w:eastAsia="Cambria"/>
        </w:rPr>
        <w:t>enefit-</w:t>
      </w:r>
      <w:r w:rsidR="008B5ED5">
        <w:rPr>
          <w:rFonts w:eastAsia="Cambria"/>
        </w:rPr>
        <w:t>r</w:t>
      </w:r>
      <w:r w:rsidRPr="00605AD4">
        <w:rPr>
          <w:rFonts w:eastAsia="Cambria"/>
        </w:rPr>
        <w:t xml:space="preserve">isk </w:t>
      </w:r>
      <w:r w:rsidR="008B5ED5" w:rsidRPr="008B5ED5">
        <w:rPr>
          <w:rFonts w:eastAsia="Cambria"/>
        </w:rPr>
        <w:t>a</w:t>
      </w:r>
      <w:r w:rsidRPr="008B5ED5">
        <w:rPr>
          <w:rFonts w:eastAsia="Cambria"/>
        </w:rPr>
        <w:t>ssessment</w:t>
      </w:r>
      <w:bookmarkEnd w:id="90"/>
    </w:p>
    <w:p w:rsidR="00605AD4" w:rsidRDefault="00605AD4" w:rsidP="008B5ED5">
      <w:pPr>
        <w:pStyle w:val="Heading4"/>
      </w:pPr>
      <w:r w:rsidRPr="00605AD4">
        <w:t>First round assessment of benefits</w:t>
      </w:r>
    </w:p>
    <w:p w:rsidR="0020613A" w:rsidRPr="00D530B8" w:rsidRDefault="0020613A" w:rsidP="008B5ED5">
      <w:r w:rsidRPr="00D530B8">
        <w:t>The benefits of ezetimibe and rosuvastatin fixed dose combination tablet in the proposed usage are:</w:t>
      </w:r>
    </w:p>
    <w:p w:rsidR="0020613A" w:rsidRPr="009315FC" w:rsidRDefault="0020613A" w:rsidP="008B5ED5">
      <w:pPr>
        <w:pStyle w:val="ListBullet"/>
      </w:pPr>
      <w:r w:rsidRPr="009315FC">
        <w:t>It is more convenient for the patient to take one tablet rather than separate tablets for ezetimibe and rosuvastatin, which may improve patient compliance with lipid-lowering treatment.</w:t>
      </w:r>
    </w:p>
    <w:p w:rsidR="0020613A" w:rsidRPr="009315FC" w:rsidRDefault="0020613A" w:rsidP="008B5ED5">
      <w:pPr>
        <w:pStyle w:val="ListBullet"/>
      </w:pPr>
      <w:r w:rsidRPr="009315FC">
        <w:t xml:space="preserve">The proposed fixed dose combination tablet provides an additional dose form for the administration of </w:t>
      </w:r>
      <w:proofErr w:type="spellStart"/>
      <w:r w:rsidRPr="008B5ED5">
        <w:t>ezetimibe</w:t>
      </w:r>
      <w:proofErr w:type="spellEnd"/>
      <w:r w:rsidRPr="009315FC">
        <w:t xml:space="preserve"> and </w:t>
      </w:r>
      <w:proofErr w:type="spellStart"/>
      <w:r w:rsidRPr="009315FC">
        <w:t>rosuvastatin</w:t>
      </w:r>
      <w:proofErr w:type="spellEnd"/>
      <w:r w:rsidRPr="009315FC">
        <w:t>.</w:t>
      </w:r>
    </w:p>
    <w:p w:rsidR="00605AD4" w:rsidRDefault="00605AD4" w:rsidP="008B5ED5">
      <w:pPr>
        <w:pStyle w:val="Heading4"/>
      </w:pPr>
      <w:r w:rsidRPr="00605AD4">
        <w:t xml:space="preserve">First round </w:t>
      </w:r>
      <w:r w:rsidRPr="008B5ED5">
        <w:t>assessment</w:t>
      </w:r>
      <w:r w:rsidRPr="00605AD4">
        <w:t xml:space="preserve"> of risks</w:t>
      </w:r>
    </w:p>
    <w:p w:rsidR="0020613A" w:rsidRPr="00D530B8" w:rsidRDefault="0020613A" w:rsidP="008B5ED5">
      <w:r w:rsidRPr="00D530B8">
        <w:t>The risks of ezetimibe and rosuvastatin fixed dose combination tablet in the proposed usage are:</w:t>
      </w:r>
    </w:p>
    <w:p w:rsidR="0020613A" w:rsidRPr="009315FC" w:rsidRDefault="0020613A" w:rsidP="008B5ED5">
      <w:pPr>
        <w:pStyle w:val="ListBullet"/>
      </w:pPr>
      <w:r w:rsidRPr="009315FC">
        <w:t>If an adverse effect occurs with the fixed dose combination tablet that necessitates the cessation of treatment, the patient is required to discontinue ezetimibe and rosuvastatin simultaneously, regardless of whether only one component is the suspecte</w:t>
      </w:r>
      <w:r w:rsidR="008B5ED5">
        <w:t>d cause of the adverse effect.</w:t>
      </w:r>
    </w:p>
    <w:p w:rsidR="0020613A" w:rsidRPr="009315FC" w:rsidRDefault="0020613A" w:rsidP="008B5ED5">
      <w:pPr>
        <w:pStyle w:val="ListBullet"/>
      </w:pPr>
      <w:r w:rsidRPr="009315FC">
        <w:t>Long-term efficacy and safety data in relation to the co-administration of ezetimibe and rosuvastatin in t</w:t>
      </w:r>
      <w:r w:rsidR="008B5ED5">
        <w:t>he proposed usage are limited.</w:t>
      </w:r>
    </w:p>
    <w:p w:rsidR="0020613A" w:rsidRPr="009315FC" w:rsidRDefault="0020613A" w:rsidP="008B5ED5">
      <w:pPr>
        <w:pStyle w:val="ListBullet"/>
      </w:pPr>
      <w:r w:rsidRPr="009315FC">
        <w:t>The bioequivalence study for the 10</w:t>
      </w:r>
      <w:r w:rsidR="009315FC">
        <w:t xml:space="preserve"> </w:t>
      </w:r>
      <w:r w:rsidR="00E554F7">
        <w:t xml:space="preserve">mg + </w:t>
      </w:r>
      <w:r w:rsidRPr="009315FC">
        <w:t xml:space="preserve">40 mg </w:t>
      </w:r>
      <w:r w:rsidRPr="008B5ED5">
        <w:t>dose</w:t>
      </w:r>
      <w:r w:rsidRPr="009315FC">
        <w:t xml:space="preserve"> indicates that exposure to rosuvastatin could be higher with the fixed dose combination compared with co-administration of</w:t>
      </w:r>
      <w:r w:rsidR="009315FC">
        <w:t xml:space="preserve"> the mono-components. </w:t>
      </w:r>
      <w:r w:rsidRPr="009315FC">
        <w:t xml:space="preserve">Although the possible increase in exposure is anticipated to be small, as the maximum recommended dose of rosuvastatin is 40 mg, an increase in exposure with this proposed dose strength may increase the risk of </w:t>
      </w:r>
      <w:r w:rsidR="00D07E32">
        <w:t>AE</w:t>
      </w:r>
      <w:r w:rsidRPr="009315FC">
        <w:t>s, especially in patients with other risk factors that increase rosuvastatin exposure.</w:t>
      </w:r>
    </w:p>
    <w:p w:rsidR="00605AD4" w:rsidRPr="008B5ED5" w:rsidRDefault="00605AD4" w:rsidP="008B5ED5">
      <w:pPr>
        <w:pStyle w:val="Heading4"/>
      </w:pPr>
      <w:r w:rsidRPr="00605AD4">
        <w:t>First round assessment of benefit-risk balance</w:t>
      </w:r>
    </w:p>
    <w:p w:rsidR="0020613A" w:rsidRPr="009315FC" w:rsidRDefault="0020613A" w:rsidP="008B5ED5">
      <w:r w:rsidRPr="009315FC">
        <w:t xml:space="preserve">The benefit-risk balance of the ezetimibe and rosuvastatin fixed dose combination tablet, given the proposed usage, </w:t>
      </w:r>
      <w:r w:rsidR="008B5ED5">
        <w:t>is favourable.</w:t>
      </w:r>
    </w:p>
    <w:p w:rsidR="00605AD4" w:rsidRPr="00605AD4" w:rsidRDefault="00605AD4" w:rsidP="008B5ED5">
      <w:pPr>
        <w:pStyle w:val="Heading3"/>
        <w:rPr>
          <w:rFonts w:eastAsia="Cambria"/>
        </w:rPr>
      </w:pPr>
      <w:bookmarkStart w:id="91" w:name="_Toc412706476"/>
      <w:r w:rsidRPr="00605AD4">
        <w:rPr>
          <w:rFonts w:eastAsia="Cambria"/>
        </w:rPr>
        <w:t xml:space="preserve">First </w:t>
      </w:r>
      <w:r w:rsidR="008B5ED5">
        <w:rPr>
          <w:rFonts w:eastAsia="Cambria"/>
        </w:rPr>
        <w:t>r</w:t>
      </w:r>
      <w:r w:rsidRPr="00605AD4">
        <w:rPr>
          <w:rFonts w:eastAsia="Cambria"/>
        </w:rPr>
        <w:t xml:space="preserve">ound </w:t>
      </w:r>
      <w:r w:rsidR="008B5ED5">
        <w:rPr>
          <w:rFonts w:eastAsia="Cambria"/>
        </w:rPr>
        <w:t>r</w:t>
      </w:r>
      <w:r w:rsidRPr="00605AD4">
        <w:rPr>
          <w:rFonts w:eastAsia="Cambria"/>
        </w:rPr>
        <w:t xml:space="preserve">ecommendation </w:t>
      </w:r>
      <w:r w:rsidR="008B5ED5">
        <w:rPr>
          <w:rFonts w:eastAsia="Cambria"/>
        </w:rPr>
        <w:t>r</w:t>
      </w:r>
      <w:r w:rsidRPr="00605AD4">
        <w:rPr>
          <w:rFonts w:eastAsia="Cambria"/>
        </w:rPr>
        <w:t xml:space="preserve">egarding </w:t>
      </w:r>
      <w:r w:rsidR="008B5ED5" w:rsidRPr="008B5ED5">
        <w:rPr>
          <w:rFonts w:eastAsia="Cambria"/>
        </w:rPr>
        <w:t>a</w:t>
      </w:r>
      <w:r w:rsidRPr="008B5ED5">
        <w:rPr>
          <w:rFonts w:eastAsia="Cambria"/>
        </w:rPr>
        <w:t>uthorisation</w:t>
      </w:r>
      <w:bookmarkEnd w:id="91"/>
    </w:p>
    <w:p w:rsidR="0020613A" w:rsidRPr="009315FC" w:rsidRDefault="0020613A" w:rsidP="008B5ED5">
      <w:r w:rsidRPr="009315FC">
        <w:t>It is recommended that the proposed ezetimibe and rosuvastatin fixed dose combination</w:t>
      </w:r>
      <w:r w:rsidR="00731436">
        <w:t xml:space="preserve"> tablet, in the strengths 10 mg/</w:t>
      </w:r>
      <w:r w:rsidRPr="009315FC">
        <w:t>5 mg, 10 mg/10 mg, 10 mg/20 mg and 10 mg/40 mg, is approved subject to the following:</w:t>
      </w:r>
    </w:p>
    <w:p w:rsidR="0020613A" w:rsidRPr="009315FC" w:rsidRDefault="0020613A" w:rsidP="008B5ED5">
      <w:pPr>
        <w:pStyle w:val="ListBullet"/>
      </w:pPr>
      <w:r w:rsidRPr="009315FC">
        <w:lastRenderedPageBreak/>
        <w:t>the sponsor amending the draft PIs as recommended</w:t>
      </w:r>
      <w:r w:rsidR="00852E10">
        <w:rPr>
          <w:rStyle w:val="FootnoteReference"/>
        </w:rPr>
        <w:footnoteReference w:id="9"/>
      </w:r>
      <w:r w:rsidRPr="009315FC">
        <w:t xml:space="preserve"> or providing justification as to why the recommended changes should not be made</w:t>
      </w:r>
      <w:r w:rsidR="00E554F7">
        <w:t>;</w:t>
      </w:r>
    </w:p>
    <w:p w:rsidR="0020613A" w:rsidRPr="00B7500B" w:rsidRDefault="0020613A" w:rsidP="008B5ED5">
      <w:pPr>
        <w:pStyle w:val="ListBullet"/>
      </w:pPr>
      <w:proofErr w:type="gramStart"/>
      <w:r w:rsidRPr="00B7500B">
        <w:t>the</w:t>
      </w:r>
      <w:proofErr w:type="gramEnd"/>
      <w:r w:rsidRPr="00B7500B">
        <w:t xml:space="preserve"> sponsor </w:t>
      </w:r>
      <w:r w:rsidRPr="00852E10">
        <w:t>providing</w:t>
      </w:r>
      <w:r w:rsidRPr="00B7500B">
        <w:t xml:space="preserve"> satisfactory answers to the </w:t>
      </w:r>
      <w:r w:rsidR="00852E10" w:rsidRPr="008B5ED5">
        <w:t>clinical</w:t>
      </w:r>
      <w:r w:rsidR="00852E10">
        <w:t xml:space="preserve"> </w:t>
      </w:r>
      <w:r w:rsidRPr="00B7500B">
        <w:t xml:space="preserve">questions </w:t>
      </w:r>
      <w:r>
        <w:t>below</w:t>
      </w:r>
      <w:r w:rsidRPr="00B7500B">
        <w:t>.</w:t>
      </w:r>
    </w:p>
    <w:p w:rsidR="00605AD4" w:rsidRPr="008B5ED5" w:rsidRDefault="00605AD4" w:rsidP="008B5ED5">
      <w:pPr>
        <w:pStyle w:val="Heading3"/>
        <w:rPr>
          <w:rFonts w:eastAsia="Cambria"/>
        </w:rPr>
      </w:pPr>
      <w:bookmarkStart w:id="92" w:name="_Toc412706477"/>
      <w:r w:rsidRPr="00605AD4">
        <w:rPr>
          <w:rFonts w:eastAsia="Cambria"/>
        </w:rPr>
        <w:t xml:space="preserve">Clinical </w:t>
      </w:r>
      <w:r w:rsidR="008B5ED5" w:rsidRPr="008B5ED5">
        <w:rPr>
          <w:rFonts w:eastAsia="Cambria"/>
        </w:rPr>
        <w:t>q</w:t>
      </w:r>
      <w:r w:rsidRPr="008B5ED5">
        <w:rPr>
          <w:rFonts w:eastAsia="Cambria"/>
        </w:rPr>
        <w:t>uestions</w:t>
      </w:r>
      <w:bookmarkEnd w:id="92"/>
    </w:p>
    <w:p w:rsidR="0020613A" w:rsidRDefault="0020613A" w:rsidP="008B5ED5">
      <w:pPr>
        <w:pStyle w:val="Heading4"/>
      </w:pPr>
      <w:bookmarkStart w:id="93" w:name="_Toc272414705"/>
      <w:bookmarkStart w:id="94" w:name="_Toc290846345"/>
      <w:bookmarkStart w:id="95" w:name="_Toc390788194"/>
      <w:bookmarkStart w:id="96" w:name="_Toc408582857"/>
      <w:r w:rsidRPr="00D530B8">
        <w:t>Safety</w:t>
      </w:r>
      <w:bookmarkEnd w:id="93"/>
      <w:bookmarkEnd w:id="94"/>
      <w:bookmarkEnd w:id="95"/>
      <w:bookmarkEnd w:id="96"/>
    </w:p>
    <w:p w:rsidR="0020613A" w:rsidRDefault="0020613A" w:rsidP="008B5ED5">
      <w:pPr>
        <w:pStyle w:val="Numberbullet0"/>
      </w:pPr>
      <w:r w:rsidRPr="008B5ED5">
        <w:t>Please</w:t>
      </w:r>
      <w:r w:rsidRPr="00D530B8">
        <w:t xml:space="preserve"> provide details on the cases of Stevens Johnson Syndrome and </w:t>
      </w:r>
      <w:proofErr w:type="spellStart"/>
      <w:r w:rsidRPr="00D530B8">
        <w:t>leucocytoclastic</w:t>
      </w:r>
      <w:proofErr w:type="spellEnd"/>
      <w:r w:rsidRPr="00D530B8">
        <w:t xml:space="preserve"> vasculitis reported cumulatively by healthcare providers in the PSUR Addendum Report for Ezetimibe (17 April 2012 to 16 April 2013) and provide comment on whether they are considered related to treatment with ezetimibe.</w:t>
      </w:r>
    </w:p>
    <w:p w:rsidR="0020613A" w:rsidRDefault="0020613A" w:rsidP="008B5ED5">
      <w:pPr>
        <w:pStyle w:val="Numberbullet0"/>
      </w:pPr>
      <w:r w:rsidRPr="00D530B8">
        <w:t>Please provide details on the seven cases of pancytopenia reported by healthcare providers cumulatively in the PSUR Addendum Report for Ezetimibe (17 April 2012 to 16 April 2013) and provide comment on whether they are considered related to treatment with ezetimibe.</w:t>
      </w:r>
    </w:p>
    <w:p w:rsidR="0020613A" w:rsidRDefault="0020613A" w:rsidP="008B5ED5">
      <w:pPr>
        <w:pStyle w:val="Numberbullet0"/>
      </w:pPr>
      <w:r w:rsidRPr="00D530B8">
        <w:t xml:space="preserve">Please provide details on the single </w:t>
      </w:r>
      <w:r w:rsidR="00E554F7">
        <w:t xml:space="preserve">HCP </w:t>
      </w:r>
      <w:r w:rsidRPr="00D530B8">
        <w:t>case report of “electrocardiogram QT prolonged” in the PSUR Addendum Report for Ezetimibe (17 April 2012 to 16 April 2013) and provide comment on whether they are considered related to treatment with ezetimibe.</w:t>
      </w:r>
    </w:p>
    <w:p w:rsidR="0020613A" w:rsidRPr="00586F98" w:rsidRDefault="0020613A" w:rsidP="008B5ED5">
      <w:pPr>
        <w:pStyle w:val="Numberbullet0"/>
        <w:rPr>
          <w:lang w:eastAsia="ja-JP"/>
        </w:rPr>
      </w:pPr>
      <w:r w:rsidRPr="00D530B8">
        <w:t>Please clarify if hepatic failure, as a specific term, will be added to the RMP</w:t>
      </w:r>
      <w:r>
        <w:t xml:space="preserve"> </w:t>
      </w:r>
      <w:r w:rsidRPr="00D530B8">
        <w:t>as an ongoing safety concern.</w:t>
      </w:r>
    </w:p>
    <w:p w:rsidR="00605AD4" w:rsidRPr="00605AD4" w:rsidRDefault="00605AD4" w:rsidP="008B5ED5">
      <w:pPr>
        <w:pStyle w:val="Heading3"/>
        <w:rPr>
          <w:rFonts w:eastAsia="Cambria"/>
        </w:rPr>
      </w:pPr>
      <w:bookmarkStart w:id="97" w:name="_Toc412706478"/>
      <w:r w:rsidRPr="00605AD4">
        <w:rPr>
          <w:rFonts w:eastAsia="Cambria"/>
        </w:rPr>
        <w:t xml:space="preserve">Second </w:t>
      </w:r>
      <w:r w:rsidR="008B5ED5">
        <w:rPr>
          <w:rFonts w:eastAsia="Cambria"/>
        </w:rPr>
        <w:t>r</w:t>
      </w:r>
      <w:r w:rsidRPr="00605AD4">
        <w:rPr>
          <w:rFonts w:eastAsia="Cambria"/>
        </w:rPr>
        <w:t xml:space="preserve">ound </w:t>
      </w:r>
      <w:r w:rsidR="008B5ED5" w:rsidRPr="008B5ED5">
        <w:rPr>
          <w:rFonts w:eastAsia="Cambria"/>
        </w:rPr>
        <w:t>e</w:t>
      </w:r>
      <w:r w:rsidRPr="008B5ED5">
        <w:rPr>
          <w:rFonts w:eastAsia="Cambria"/>
        </w:rPr>
        <w:t>valuation</w:t>
      </w:r>
      <w:r w:rsidRPr="00605AD4">
        <w:rPr>
          <w:rFonts w:eastAsia="Cambria"/>
        </w:rPr>
        <w:t xml:space="preserve"> of clinical data submitted in response to questions</w:t>
      </w:r>
      <w:bookmarkEnd w:id="97"/>
    </w:p>
    <w:p w:rsidR="0020613A" w:rsidRPr="00D530B8" w:rsidRDefault="0020613A" w:rsidP="008B5ED5">
      <w:pPr>
        <w:pStyle w:val="Heading4"/>
      </w:pPr>
      <w:bookmarkStart w:id="98" w:name="_Toc390788198"/>
      <w:bookmarkStart w:id="99" w:name="_Toc408582859"/>
      <w:r w:rsidRPr="00D530B8">
        <w:t xml:space="preserve">Evaluation of </w:t>
      </w:r>
      <w:r w:rsidRPr="008B5ED5">
        <w:t>clinical</w:t>
      </w:r>
      <w:r w:rsidRPr="00D530B8">
        <w:t xml:space="preserve"> data submitted in response to questions</w:t>
      </w:r>
      <w:bookmarkEnd w:id="98"/>
      <w:bookmarkEnd w:id="99"/>
    </w:p>
    <w:p w:rsidR="008D6CC4" w:rsidRDefault="008D6CC4" w:rsidP="008B5ED5">
      <w:r>
        <w:t xml:space="preserve">Details of the sponsor’s response to clinical questions are found in the Extract from the CER (AusPAR Attachment 2) and in the Delegate’s Overview under </w:t>
      </w:r>
      <w:r w:rsidRPr="008D6CC4">
        <w:rPr>
          <w:i/>
        </w:rPr>
        <w:t>Overall conclusions and risk/benefit assessment</w:t>
      </w:r>
      <w:r>
        <w:t>, below.</w:t>
      </w:r>
    </w:p>
    <w:p w:rsidR="0020613A" w:rsidRPr="008D6CC4" w:rsidRDefault="008D6CC4" w:rsidP="008B5ED5">
      <w:r w:rsidRPr="008D6CC4">
        <w:t xml:space="preserve">With regards to </w:t>
      </w:r>
      <w:r w:rsidR="00D00732">
        <w:t>Safety q</w:t>
      </w:r>
      <w:r w:rsidRPr="008D6CC4">
        <w:t xml:space="preserve">uestions 1, 2 and 3, the </w:t>
      </w:r>
      <w:r w:rsidR="005059BE">
        <w:t xml:space="preserve">clinical </w:t>
      </w:r>
      <w:r w:rsidRPr="008D6CC4">
        <w:t>evaluator concluded that t</w:t>
      </w:r>
      <w:r w:rsidR="0020613A" w:rsidRPr="008D6CC4">
        <w:t>he spo</w:t>
      </w:r>
      <w:r w:rsidR="00847151" w:rsidRPr="008D6CC4">
        <w:t>nsor’s response</w:t>
      </w:r>
      <w:r>
        <w:t>s</w:t>
      </w:r>
      <w:r w:rsidR="00847151" w:rsidRPr="008D6CC4">
        <w:t xml:space="preserve"> </w:t>
      </w:r>
      <w:r>
        <w:t xml:space="preserve">were </w:t>
      </w:r>
      <w:r w:rsidR="00847151" w:rsidRPr="008D6CC4">
        <w:t xml:space="preserve">acceptable. </w:t>
      </w:r>
      <w:r w:rsidR="0020613A" w:rsidRPr="008D6CC4">
        <w:t>No change to</w:t>
      </w:r>
      <w:r>
        <w:t xml:space="preserve"> the Australian PI for Ezetrol wa</w:t>
      </w:r>
      <w:r w:rsidR="0020613A" w:rsidRPr="008D6CC4">
        <w:t xml:space="preserve">s warranted based on the information in the sponsor’s response </w:t>
      </w:r>
      <w:r>
        <w:t>on</w:t>
      </w:r>
      <w:r w:rsidR="00020CC0">
        <w:t>:</w:t>
      </w:r>
      <w:r>
        <w:t xml:space="preserve"> </w:t>
      </w:r>
      <w:r w:rsidR="0020613A" w:rsidRPr="008D6CC4">
        <w:t xml:space="preserve">the cumulative cases of Stevens Johnson Syndrome and </w:t>
      </w:r>
      <w:proofErr w:type="spellStart"/>
      <w:r w:rsidR="0020613A" w:rsidRPr="008D6CC4">
        <w:t>leucocytoclastic</w:t>
      </w:r>
      <w:proofErr w:type="spellEnd"/>
      <w:r w:rsidR="0020613A" w:rsidRPr="008D6CC4">
        <w:t xml:space="preserve"> vasculitis</w:t>
      </w:r>
      <w:r w:rsidRPr="008D6CC4">
        <w:t xml:space="preserve"> (</w:t>
      </w:r>
      <w:r w:rsidR="00020CC0">
        <w:t xml:space="preserve">response to </w:t>
      </w:r>
      <w:r w:rsidRPr="008D6CC4">
        <w:t xml:space="preserve">question 1), </w:t>
      </w:r>
      <w:r w:rsidR="0020613A" w:rsidRPr="008D6CC4">
        <w:t>cumulative cases of pancytopenia</w:t>
      </w:r>
      <w:r w:rsidRPr="008D6CC4">
        <w:t xml:space="preserve"> (</w:t>
      </w:r>
      <w:r w:rsidR="00020CC0">
        <w:t xml:space="preserve">response to </w:t>
      </w:r>
      <w:r w:rsidRPr="008D6CC4">
        <w:t xml:space="preserve">question 2), or </w:t>
      </w:r>
      <w:r w:rsidR="0020613A" w:rsidRPr="008D6CC4">
        <w:t>cumulative cases of “electrocardiogram QT prolonged”</w:t>
      </w:r>
      <w:r w:rsidRPr="008D6CC4">
        <w:t xml:space="preserve"> (</w:t>
      </w:r>
      <w:r w:rsidR="00020CC0">
        <w:t xml:space="preserve">response to </w:t>
      </w:r>
      <w:r w:rsidRPr="008D6CC4">
        <w:t>question 3)</w:t>
      </w:r>
      <w:r w:rsidR="0020613A" w:rsidRPr="008D6CC4">
        <w:t>.</w:t>
      </w:r>
    </w:p>
    <w:p w:rsidR="0020613A" w:rsidRPr="008D6CC4" w:rsidRDefault="00D00732" w:rsidP="008B5ED5">
      <w:r>
        <w:t>With regards to S</w:t>
      </w:r>
      <w:r w:rsidR="0020613A" w:rsidRPr="008D6CC4">
        <w:t xml:space="preserve">afety </w:t>
      </w:r>
      <w:r w:rsidR="00020CC0">
        <w:t>q</w:t>
      </w:r>
      <w:r w:rsidR="0020613A" w:rsidRPr="008D6CC4">
        <w:t>uestion 4</w:t>
      </w:r>
      <w:r w:rsidR="008D6CC4" w:rsidRPr="008D6CC4">
        <w:t>:</w:t>
      </w:r>
      <w:r w:rsidR="008D6CC4">
        <w:t xml:space="preserve"> The sponsor confirmed</w:t>
      </w:r>
      <w:r w:rsidR="0020613A" w:rsidRPr="008D6CC4">
        <w:t xml:space="preserve"> that hepatic failure has been added as a potential risk to </w:t>
      </w:r>
      <w:r w:rsidR="00847151" w:rsidRPr="008D6CC4">
        <w:t>the updated RMP (</w:t>
      </w:r>
      <w:r w:rsidR="005059BE">
        <w:t>V</w:t>
      </w:r>
      <w:r w:rsidR="00847151" w:rsidRPr="008D6CC4">
        <w:t xml:space="preserve">ersion 1.3). </w:t>
      </w:r>
      <w:r w:rsidR="0020613A" w:rsidRPr="008D6CC4">
        <w:t>The sponsor indicate</w:t>
      </w:r>
      <w:r w:rsidR="008D6CC4">
        <w:t>d</w:t>
      </w:r>
      <w:r w:rsidR="0020613A" w:rsidRPr="008D6CC4">
        <w:t xml:space="preserve"> that the addition of hepatic failure as a potential risk was accepted by the Delegate during the evaluation of the submission for the </w:t>
      </w:r>
      <w:proofErr w:type="spellStart"/>
      <w:r w:rsidR="0020613A" w:rsidRPr="008D6CC4">
        <w:t>Rosuzet</w:t>
      </w:r>
      <w:proofErr w:type="spellEnd"/>
      <w:r w:rsidR="0020613A" w:rsidRPr="008D6CC4">
        <w:t>/</w:t>
      </w:r>
      <w:proofErr w:type="spellStart"/>
      <w:r w:rsidR="0020613A" w:rsidRPr="008D6CC4">
        <w:t>Ezalo</w:t>
      </w:r>
      <w:proofErr w:type="spellEnd"/>
      <w:r w:rsidR="0020613A" w:rsidRPr="008D6CC4">
        <w:t xml:space="preserve"> </w:t>
      </w:r>
      <w:r w:rsidR="00847151" w:rsidRPr="008D6CC4">
        <w:t>C</w:t>
      </w:r>
      <w:r w:rsidR="0020613A" w:rsidRPr="008D6CC4">
        <w:t xml:space="preserve">omposite </w:t>
      </w:r>
      <w:r w:rsidR="00847151" w:rsidRPr="008D6CC4">
        <w:t>P</w:t>
      </w:r>
      <w:r w:rsidR="0020613A" w:rsidRPr="008D6CC4">
        <w:t>ack (</w:t>
      </w:r>
      <w:r w:rsidR="00847151" w:rsidRPr="008D6CC4">
        <w:t xml:space="preserve">Submission PM-2012-03149-1-3). </w:t>
      </w:r>
      <w:r w:rsidR="0020613A" w:rsidRPr="008D6CC4">
        <w:t>In their response to a question raised by the TGA Office of Product Review</w:t>
      </w:r>
      <w:r w:rsidR="00847151" w:rsidRPr="008D6CC4">
        <w:t xml:space="preserve"> (OPR)</w:t>
      </w:r>
      <w:r w:rsidR="0020613A" w:rsidRPr="008D6CC4">
        <w:t>, the sponsor has included their rationale for including hepatic failure as a potential risk rather than an identified risk</w:t>
      </w:r>
      <w:r w:rsidR="00847151" w:rsidRPr="008D6CC4">
        <w:t xml:space="preserve"> (see also </w:t>
      </w:r>
      <w:r w:rsidR="00847151" w:rsidRPr="008D6CC4">
        <w:rPr>
          <w:i/>
        </w:rPr>
        <w:t>Pharmacovigilance findings</w:t>
      </w:r>
      <w:r w:rsidR="00847151" w:rsidRPr="008D6CC4">
        <w:t>, below)</w:t>
      </w:r>
      <w:r w:rsidR="0020613A" w:rsidRPr="008D6CC4">
        <w:t>.</w:t>
      </w:r>
    </w:p>
    <w:p w:rsidR="0020613A" w:rsidRPr="008D6CC4" w:rsidRDefault="00847151" w:rsidP="008B5ED5">
      <w:pPr>
        <w:ind w:left="720"/>
      </w:pPr>
      <w:r w:rsidRPr="008D6CC4">
        <w:rPr>
          <w:b/>
        </w:rPr>
        <w:t>Evaluator’s c</w:t>
      </w:r>
      <w:r w:rsidR="0020613A" w:rsidRPr="008D6CC4">
        <w:rPr>
          <w:b/>
        </w:rPr>
        <w:t>omment</w:t>
      </w:r>
      <w:r w:rsidR="0020613A" w:rsidRPr="008D6CC4">
        <w:t>: The spo</w:t>
      </w:r>
      <w:r w:rsidRPr="008D6CC4">
        <w:t xml:space="preserve">nsor’s response is acceptable. </w:t>
      </w:r>
      <w:r w:rsidR="0020613A" w:rsidRPr="008D6CC4">
        <w:t>The rationale for including hepatic failure as a potential risk rather than an identified risk in the RMP is noted.</w:t>
      </w:r>
    </w:p>
    <w:p w:rsidR="0020613A" w:rsidRPr="008B5ED5" w:rsidRDefault="0020613A" w:rsidP="008B5ED5">
      <w:pPr>
        <w:pStyle w:val="Heading4"/>
      </w:pPr>
      <w:bookmarkStart w:id="100" w:name="_Toc390788199"/>
      <w:bookmarkStart w:id="101" w:name="_Toc408582860"/>
      <w:r w:rsidRPr="00D530B8">
        <w:lastRenderedPageBreak/>
        <w:t>Other issues pertinent to the submission</w:t>
      </w:r>
      <w:bookmarkEnd w:id="100"/>
      <w:bookmarkEnd w:id="101"/>
    </w:p>
    <w:p w:rsidR="0020613A" w:rsidRPr="00D530B8" w:rsidRDefault="0020613A" w:rsidP="008B5ED5">
      <w:pPr>
        <w:pStyle w:val="Heading5"/>
      </w:pPr>
      <w:proofErr w:type="spellStart"/>
      <w:r w:rsidRPr="00D530B8">
        <w:t>Rosuvastatin</w:t>
      </w:r>
      <w:proofErr w:type="spellEnd"/>
      <w:r w:rsidRPr="00D530B8">
        <w:t xml:space="preserve"> exposure in relation to the </w:t>
      </w:r>
      <w:r w:rsidRPr="008B5ED5">
        <w:t>10</w:t>
      </w:r>
      <w:r w:rsidR="008D6CC4">
        <w:t xml:space="preserve"> mg</w:t>
      </w:r>
      <w:r w:rsidR="00731436">
        <w:t>/</w:t>
      </w:r>
      <w:r w:rsidRPr="00D530B8">
        <w:t>40 mg strength fixed dose combination tablet</w:t>
      </w:r>
    </w:p>
    <w:p w:rsidR="0020613A" w:rsidRDefault="008D6CC4" w:rsidP="008B5ED5">
      <w:r>
        <w:t xml:space="preserve">In the second round CER, the clinical evaluator reviewed </w:t>
      </w:r>
      <w:r w:rsidR="0020613A" w:rsidRPr="00D530B8">
        <w:t xml:space="preserve">the information in the Australian, European Union (EU), United States (US) and Canadian product information documents for Crestor </w:t>
      </w:r>
      <w:r>
        <w:t xml:space="preserve">(rosuvastatin (as calcium) monotherapy product) </w:t>
      </w:r>
      <w:r w:rsidR="0020613A" w:rsidRPr="00D530B8">
        <w:t>in relation to the interaction of rosuvastatin with other medicines</w:t>
      </w:r>
      <w:r w:rsidR="00847151">
        <w:t xml:space="preserve">. </w:t>
      </w:r>
      <w:r w:rsidR="0020613A" w:rsidRPr="00D530B8">
        <w:t>The information in these product information documents resulted in the evaluator further considering the issue of rosuvastatin exposure and the co-administration of 10 mg eze</w:t>
      </w:r>
      <w:r w:rsidR="00847151">
        <w:t xml:space="preserve">timibe and 40 mg rosuvastatin. </w:t>
      </w:r>
      <w:r w:rsidR="0020613A" w:rsidRPr="00D530B8">
        <w:t xml:space="preserve">The EU, </w:t>
      </w:r>
      <w:proofErr w:type="gramStart"/>
      <w:r w:rsidR="0020613A" w:rsidRPr="00D530B8">
        <w:t>US</w:t>
      </w:r>
      <w:proofErr w:type="gramEnd"/>
      <w:r w:rsidR="0020613A" w:rsidRPr="00D530B8">
        <w:t xml:space="preserve"> and Canadian product information documents for Crestor include information relating to the co-administration of ezetimibe and rosuvastatin that is not in t</w:t>
      </w:r>
      <w:r w:rsidR="00847151">
        <w:t>he Australian PI for Crestor</w:t>
      </w:r>
      <w:r>
        <w:t>.</w:t>
      </w:r>
    </w:p>
    <w:p w:rsidR="0020613A" w:rsidRDefault="0020613A" w:rsidP="008B5ED5">
      <w:r w:rsidRPr="00D530B8">
        <w:t>The issue of patients potentially having a rosuvastatin exposure higher than that expected for the maximum recommended dose of 40 mg rosuvastatin, due to interacting medicines or other risk factors, was considered in the evaluation of the application</w:t>
      </w:r>
      <w:r w:rsidR="00847151">
        <w:t xml:space="preserve"> to register the </w:t>
      </w:r>
      <w:proofErr w:type="spellStart"/>
      <w:r w:rsidR="00847151">
        <w:t>Rosuzet</w:t>
      </w:r>
      <w:proofErr w:type="spellEnd"/>
      <w:r w:rsidR="00847151">
        <w:t>/</w:t>
      </w:r>
      <w:proofErr w:type="spellStart"/>
      <w:r w:rsidR="00847151">
        <w:t>Ezalo</w:t>
      </w:r>
      <w:proofErr w:type="spellEnd"/>
      <w:r w:rsidR="00847151">
        <w:t xml:space="preserve"> C</w:t>
      </w:r>
      <w:r w:rsidRPr="00D530B8">
        <w:t xml:space="preserve">omposite </w:t>
      </w:r>
      <w:r w:rsidR="00847151">
        <w:t>P</w:t>
      </w:r>
      <w:r w:rsidRPr="00D530B8">
        <w:t>ack (</w:t>
      </w:r>
      <w:r w:rsidR="00847151">
        <w:t xml:space="preserve">Submission PM-2012-03419-1-3). </w:t>
      </w:r>
      <w:r w:rsidRPr="00D530B8">
        <w:t>In Study P03317, submitted for evaluation in Submission PM-2012-03419-1-3, there was an increase in the mean AUC and the mean Cmax for rosuvastatin when rosuvastatin was co-administered with ezetimibe compared to the administration of rosuvastatin alone (AUC 119% [90%</w:t>
      </w:r>
      <w:r w:rsidR="00D00732">
        <w:t xml:space="preserve"> </w:t>
      </w:r>
      <w:r w:rsidRPr="00D530B8">
        <w:t>CI 87%-162%]</w:t>
      </w:r>
      <w:r w:rsidR="00847151">
        <w:t>; Cmax 117% [90%</w:t>
      </w:r>
      <w:r w:rsidR="00D00732">
        <w:t xml:space="preserve"> </w:t>
      </w:r>
      <w:r w:rsidR="00847151">
        <w:t xml:space="preserve">CI 84%-163%]). </w:t>
      </w:r>
      <w:r w:rsidRPr="00D530B8">
        <w:t>It is assumed by the evaluator that the increase in rosuvastatin AUC when rosuvastatin 40 mg is co-administered with ezetimibe 10 mg is the same as that reported when rosuvastatin 10 mg was co-administered with ez</w:t>
      </w:r>
      <w:r w:rsidR="008B5ED5">
        <w:t>etimibe 10 mg in Study P03317.</w:t>
      </w:r>
    </w:p>
    <w:p w:rsidR="0020613A" w:rsidRDefault="0020613A" w:rsidP="008B5ED5">
      <w:r w:rsidRPr="00D530B8">
        <w:t xml:space="preserve">In relation to the evidence that ezetimibe co-administered with rosuvastatin increases rosuvastatin plasma levels, as well as concerns regarding the quality and extent of long term safety data particularly for the 10 mg ezetimibe + 40 mg rosuvastatin strength of the composite pack, the Delegate </w:t>
      </w:r>
      <w:r w:rsidR="008D6CC4">
        <w:t xml:space="preserve">previously </w:t>
      </w:r>
      <w:r w:rsidRPr="00D530B8">
        <w:t xml:space="preserve">sought advice from </w:t>
      </w:r>
      <w:r w:rsidR="008D6CC4">
        <w:t>the Advisory Committee on Prescription Medicines (</w:t>
      </w:r>
      <w:r w:rsidRPr="00D530B8">
        <w:t>ACPM</w:t>
      </w:r>
      <w:r w:rsidR="008D6CC4">
        <w:t>)</w:t>
      </w:r>
      <w:r w:rsidR="00020CC0">
        <w:t xml:space="preserve">. </w:t>
      </w:r>
      <w:r w:rsidR="00D00732">
        <w:t>Specifically, t</w:t>
      </w:r>
      <w:r w:rsidR="00020CC0">
        <w:t>he ACP</w:t>
      </w:r>
      <w:r w:rsidR="00D00732">
        <w:t>M</w:t>
      </w:r>
      <w:r w:rsidR="00020CC0">
        <w:t xml:space="preserve"> view was sought</w:t>
      </w:r>
      <w:r w:rsidRPr="00D530B8">
        <w:t xml:space="preserve"> as to whether there were sufficient concerns to recommend rejection of the ezetimibe 10 mg + rosuvastatin 40 mg strength of the composite pack, or whether other risk minimisation strategies such as appropriate contraindications and/or strengthened precautions in the PI, as well as amendments to the RMP, were pos</w:t>
      </w:r>
      <w:r w:rsidR="00847151">
        <w:t xml:space="preserve">sible alternative strategies. </w:t>
      </w:r>
      <w:r w:rsidR="002C6699">
        <w:t xml:space="preserve">The </w:t>
      </w:r>
      <w:r w:rsidRPr="00D530B8">
        <w:t xml:space="preserve">ACPM was of the view that the increased rosuvastatin levels when rosuvastatin was co-administered with ezetimibe were no different from other drug interactions and </w:t>
      </w:r>
      <w:r w:rsidR="00847151">
        <w:t xml:space="preserve">should be managed accordingly. </w:t>
      </w:r>
      <w:r w:rsidRPr="00D530B8">
        <w:t>ACPM recommended that the PI and RMP should be strengthened, es</w:t>
      </w:r>
      <w:r w:rsidR="00847151">
        <w:t xml:space="preserve">pecially for the highest dose. </w:t>
      </w:r>
      <w:r w:rsidRPr="00D530B8">
        <w:t>The post-marketing data were considered sufficient to suggest that the highest dose strength, 10 mg e</w:t>
      </w:r>
      <w:r w:rsidR="002C6699">
        <w:t xml:space="preserve">zetimibe + 40 mg </w:t>
      </w:r>
      <w:proofErr w:type="spellStart"/>
      <w:r w:rsidR="002C6699">
        <w:t>rosuvastatin</w:t>
      </w:r>
      <w:proofErr w:type="spellEnd"/>
      <w:r w:rsidR="002C6699">
        <w:t>, wa</w:t>
      </w:r>
      <w:r w:rsidR="008B5ED5">
        <w:t>s safe.</w:t>
      </w:r>
    </w:p>
    <w:p w:rsidR="0020613A" w:rsidRDefault="002C6699" w:rsidP="008B5ED5">
      <w:r>
        <w:t>T</w:t>
      </w:r>
      <w:r w:rsidR="0020613A" w:rsidRPr="00D530B8">
        <w:t xml:space="preserve">he 10 mg ezetimibe + 40 mg rosuvastatin strength of the </w:t>
      </w:r>
      <w:proofErr w:type="spellStart"/>
      <w:r w:rsidR="0020613A" w:rsidRPr="00D530B8">
        <w:t>Rosuzet</w:t>
      </w:r>
      <w:proofErr w:type="spellEnd"/>
      <w:r w:rsidR="0020613A" w:rsidRPr="00D530B8">
        <w:t>/</w:t>
      </w:r>
      <w:proofErr w:type="spellStart"/>
      <w:r w:rsidR="0020613A" w:rsidRPr="00D530B8">
        <w:t>Ezalo</w:t>
      </w:r>
      <w:proofErr w:type="spellEnd"/>
      <w:r w:rsidR="0020613A" w:rsidRPr="00D530B8">
        <w:t xml:space="preserve"> </w:t>
      </w:r>
      <w:r w:rsidR="00847151">
        <w:t>C</w:t>
      </w:r>
      <w:r w:rsidR="0020613A" w:rsidRPr="00D530B8">
        <w:t xml:space="preserve">omposite </w:t>
      </w:r>
      <w:r w:rsidR="00847151">
        <w:t>P</w:t>
      </w:r>
      <w:r w:rsidR="0020613A" w:rsidRPr="00D530B8">
        <w:t>ack is registered on the ARTG and the following safety-related statements are in</w:t>
      </w:r>
      <w:r>
        <w:t xml:space="preserve">cluded in the PI for the </w:t>
      </w:r>
      <w:proofErr w:type="spellStart"/>
      <w:r>
        <w:t>Ezalo</w:t>
      </w:r>
      <w:proofErr w:type="spellEnd"/>
      <w:r>
        <w:t xml:space="preserve"> C</w:t>
      </w:r>
      <w:r w:rsidR="0020613A" w:rsidRPr="00D530B8">
        <w:t xml:space="preserve">omposite </w:t>
      </w:r>
      <w:r>
        <w:t>P</w:t>
      </w:r>
      <w:r w:rsidR="008B5ED5">
        <w:t>ack:</w:t>
      </w:r>
    </w:p>
    <w:p w:rsidR="0020613A" w:rsidRPr="008B5ED5" w:rsidRDefault="00847151" w:rsidP="008B5ED5">
      <w:pPr>
        <w:ind w:left="720"/>
        <w:rPr>
          <w:b/>
          <w:i/>
        </w:rPr>
      </w:pPr>
      <w:r w:rsidRPr="008B5ED5">
        <w:rPr>
          <w:b/>
          <w:i/>
        </w:rPr>
        <w:t>Clinical Trials</w:t>
      </w:r>
    </w:p>
    <w:p w:rsidR="0020613A" w:rsidRPr="008B5ED5" w:rsidRDefault="008B5ED5" w:rsidP="008B5ED5">
      <w:pPr>
        <w:ind w:left="720"/>
        <w:rPr>
          <w:i/>
        </w:rPr>
      </w:pPr>
      <w:r>
        <w:rPr>
          <w:i/>
        </w:rPr>
        <w:t>Long term studies</w:t>
      </w:r>
    </w:p>
    <w:p w:rsidR="0020613A" w:rsidRPr="008B5ED5" w:rsidRDefault="0020613A" w:rsidP="008B5ED5">
      <w:pPr>
        <w:ind w:left="720"/>
        <w:rPr>
          <w:i/>
        </w:rPr>
      </w:pPr>
      <w:r w:rsidRPr="008B5ED5">
        <w:rPr>
          <w:i/>
        </w:rPr>
        <w:t>There is limited clinical data on the long term effects of ezetimibe and rosuvastatin co-administration, especi</w:t>
      </w:r>
      <w:r w:rsidR="002C6699" w:rsidRPr="008B5ED5">
        <w:rPr>
          <w:i/>
        </w:rPr>
        <w:t>ally at the 10 mg + 40 mg dose.</w:t>
      </w:r>
    </w:p>
    <w:p w:rsidR="0020613A" w:rsidRPr="008B5ED5" w:rsidRDefault="0020613A" w:rsidP="008B5ED5">
      <w:pPr>
        <w:ind w:left="720"/>
        <w:rPr>
          <w:b/>
          <w:i/>
        </w:rPr>
      </w:pPr>
      <w:r w:rsidRPr="008B5ED5">
        <w:rPr>
          <w:b/>
          <w:i/>
        </w:rPr>
        <w:t>P</w:t>
      </w:r>
      <w:r w:rsidR="00847151" w:rsidRPr="008B5ED5">
        <w:rPr>
          <w:b/>
          <w:i/>
        </w:rPr>
        <w:t>recautions</w:t>
      </w:r>
    </w:p>
    <w:p w:rsidR="0020613A" w:rsidRPr="008B5ED5" w:rsidRDefault="0020613A" w:rsidP="008B5ED5">
      <w:pPr>
        <w:ind w:left="720"/>
        <w:rPr>
          <w:i/>
        </w:rPr>
      </w:pPr>
      <w:r w:rsidRPr="008B5ED5">
        <w:rPr>
          <w:i/>
        </w:rPr>
        <w:t>Treatment with the 10</w:t>
      </w:r>
      <w:r w:rsidR="003A0D42" w:rsidRPr="008B5ED5">
        <w:rPr>
          <w:i/>
        </w:rPr>
        <w:t xml:space="preserve"> </w:t>
      </w:r>
      <w:r w:rsidRPr="008B5ED5">
        <w:rPr>
          <w:i/>
        </w:rPr>
        <w:t>mg +40 mg Dose</w:t>
      </w:r>
    </w:p>
    <w:p w:rsidR="0020613A" w:rsidRPr="008B5ED5" w:rsidRDefault="0020613A" w:rsidP="008B5ED5">
      <w:pPr>
        <w:ind w:left="720"/>
        <w:rPr>
          <w:i/>
        </w:rPr>
      </w:pPr>
      <w:r w:rsidRPr="008B5ED5">
        <w:rPr>
          <w:i/>
        </w:rPr>
        <w:t xml:space="preserve">There is limited long term safety data of </w:t>
      </w:r>
      <w:proofErr w:type="spellStart"/>
      <w:r w:rsidR="00847151" w:rsidRPr="008B5ED5">
        <w:rPr>
          <w:i/>
        </w:rPr>
        <w:t>Ezalo</w:t>
      </w:r>
      <w:proofErr w:type="spellEnd"/>
      <w:r w:rsidR="00847151" w:rsidRPr="008B5ED5">
        <w:rPr>
          <w:i/>
        </w:rPr>
        <w:t xml:space="preserve"> Composite Pack</w:t>
      </w:r>
      <w:r w:rsidRPr="008B5ED5">
        <w:rPr>
          <w:i/>
        </w:rPr>
        <w:t xml:space="preserve">. Due to risk factors such as hepatic or renal impairment that may increase rosuvastatin exposure and the potential for increased adverse effects at the highest dose (10 mg + 40 mg) (e.g. </w:t>
      </w:r>
      <w:r w:rsidRPr="008B5ED5">
        <w:rPr>
          <w:i/>
        </w:rPr>
        <w:lastRenderedPageBreak/>
        <w:t xml:space="preserve">muscle effects, renal impairment and elevated liver enzymes), monitoring of patients on the highest dose of </w:t>
      </w:r>
      <w:proofErr w:type="spellStart"/>
      <w:r w:rsidR="00D02086" w:rsidRPr="008B5ED5">
        <w:rPr>
          <w:i/>
        </w:rPr>
        <w:t>Ezalo</w:t>
      </w:r>
      <w:proofErr w:type="spellEnd"/>
      <w:r w:rsidR="00D02086" w:rsidRPr="008B5ED5">
        <w:rPr>
          <w:i/>
        </w:rPr>
        <w:t xml:space="preserve"> Composite Pack </w:t>
      </w:r>
      <w:r w:rsidR="002C6699" w:rsidRPr="008B5ED5">
        <w:rPr>
          <w:i/>
        </w:rPr>
        <w:t>is recommended.</w:t>
      </w:r>
    </w:p>
    <w:p w:rsidR="0020613A" w:rsidRDefault="002C6699" w:rsidP="008B5ED5">
      <w:r>
        <w:t xml:space="preserve">The PI for the </w:t>
      </w:r>
      <w:proofErr w:type="spellStart"/>
      <w:r>
        <w:t>Rosuzet</w:t>
      </w:r>
      <w:proofErr w:type="spellEnd"/>
      <w:r>
        <w:t xml:space="preserve"> C</w:t>
      </w:r>
      <w:r w:rsidR="0020613A" w:rsidRPr="00D530B8">
        <w:t xml:space="preserve">omposite </w:t>
      </w:r>
      <w:r>
        <w:t>P</w:t>
      </w:r>
      <w:r w:rsidR="0020613A" w:rsidRPr="00D530B8">
        <w:t>ack includes consistent statements.</w:t>
      </w:r>
    </w:p>
    <w:p w:rsidR="0020613A" w:rsidRDefault="0020613A" w:rsidP="0020613A">
      <w:r w:rsidRPr="00D530B8">
        <w:t xml:space="preserve">The above-mentioned precaution highlights the potential for risk factors to increase rosuvastatin exposure and recommends monitoring for patients on the highest dose of the </w:t>
      </w:r>
      <w:proofErr w:type="spellStart"/>
      <w:r w:rsidRPr="00D530B8">
        <w:t>Rosuzet</w:t>
      </w:r>
      <w:proofErr w:type="spellEnd"/>
      <w:r w:rsidRPr="00D530B8">
        <w:t>/</w:t>
      </w:r>
      <w:proofErr w:type="spellStart"/>
      <w:r w:rsidRPr="00D530B8">
        <w:t>Ezalo</w:t>
      </w:r>
      <w:proofErr w:type="spellEnd"/>
      <w:r w:rsidRPr="00D530B8">
        <w:t xml:space="preserve"> </w:t>
      </w:r>
      <w:r w:rsidR="00847151">
        <w:t>C</w:t>
      </w:r>
      <w:r w:rsidRPr="00D530B8">
        <w:t xml:space="preserve">omposite </w:t>
      </w:r>
      <w:r w:rsidR="00847151">
        <w:t xml:space="preserve">Pack. </w:t>
      </w:r>
      <w:r w:rsidRPr="00D530B8">
        <w:t xml:space="preserve">However, it is noted that, due to the </w:t>
      </w:r>
      <w:proofErr w:type="spellStart"/>
      <w:r w:rsidRPr="00D530B8">
        <w:t>rosuvas</w:t>
      </w:r>
      <w:r w:rsidR="00847151">
        <w:t>tatin</w:t>
      </w:r>
      <w:proofErr w:type="spellEnd"/>
      <w:r w:rsidR="00847151">
        <w:t xml:space="preserve"> component, </w:t>
      </w:r>
      <w:proofErr w:type="spellStart"/>
      <w:r w:rsidR="00847151">
        <w:t>Rosuzet</w:t>
      </w:r>
      <w:proofErr w:type="spellEnd"/>
      <w:r w:rsidR="00847151">
        <w:t>/</w:t>
      </w:r>
      <w:proofErr w:type="spellStart"/>
      <w:r w:rsidR="00847151">
        <w:t>Ezalo</w:t>
      </w:r>
      <w:proofErr w:type="spellEnd"/>
      <w:r w:rsidR="00847151">
        <w:t xml:space="preserve"> C</w:t>
      </w:r>
      <w:r w:rsidRPr="00D530B8">
        <w:t xml:space="preserve">omposite </w:t>
      </w:r>
      <w:r w:rsidR="00847151">
        <w:t>P</w:t>
      </w:r>
      <w:r w:rsidRPr="00D530B8">
        <w:t>ack 10 mg +40 mg is contraindicated in patients with pre-disposing factors for myopathy/rhabdomyolysis, including situations where an increase in rosuvastatin p</w:t>
      </w:r>
      <w:r>
        <w:t xml:space="preserve">lasma levels may occur. </w:t>
      </w:r>
      <w:r w:rsidRPr="00D530B8">
        <w:t xml:space="preserve">This contraindication is consistent with the Australian PI for Crestor and consistent statements are also proposed for the </w:t>
      </w:r>
      <w:r w:rsidR="00847151">
        <w:t xml:space="preserve">PI </w:t>
      </w:r>
      <w:r w:rsidRPr="00D530B8">
        <w:t xml:space="preserve">for the </w:t>
      </w:r>
      <w:proofErr w:type="spellStart"/>
      <w:r w:rsidRPr="00D530B8">
        <w:t>Rosuzet</w:t>
      </w:r>
      <w:proofErr w:type="spellEnd"/>
      <w:r w:rsidRPr="00D530B8">
        <w:t>/</w:t>
      </w:r>
      <w:proofErr w:type="spellStart"/>
      <w:r w:rsidRPr="00D530B8">
        <w:t>Ezalo</w:t>
      </w:r>
      <w:proofErr w:type="spellEnd"/>
      <w:r w:rsidRPr="00D530B8">
        <w:t xml:space="preserve"> </w:t>
      </w:r>
      <w:r w:rsidR="00847151">
        <w:t xml:space="preserve">fixed dose combination tablet. </w:t>
      </w:r>
      <w:r w:rsidRPr="00D530B8">
        <w:t>Logically this contraindication would appear to preclude the co-administration of ezetimibe 10 mg with rosuvastatin 40 mg as there may be an increase in rosuvastatin AUC when rosuvastatin is co-administered with ezetimibe based on the results of Study P0331</w:t>
      </w:r>
      <w:r w:rsidR="008B5ED5">
        <w:t>7.</w:t>
      </w:r>
    </w:p>
    <w:p w:rsidR="002C6699" w:rsidRDefault="0020613A" w:rsidP="008B5ED5">
      <w:r w:rsidRPr="00D530B8">
        <w:t xml:space="preserve">Such an interpretation of this contraindication appears to be supported by information in the current EU Summary of Product Characteristics </w:t>
      </w:r>
      <w:r w:rsidR="00847151">
        <w:t>(</w:t>
      </w:r>
      <w:proofErr w:type="spellStart"/>
      <w:r w:rsidR="00847151">
        <w:t>SmPC</w:t>
      </w:r>
      <w:proofErr w:type="spellEnd"/>
      <w:r w:rsidR="00847151">
        <w:t xml:space="preserve">) </w:t>
      </w:r>
      <w:r w:rsidRPr="00D530B8">
        <w:t>for Crestor</w:t>
      </w:r>
      <w:r w:rsidR="00847151">
        <w:t xml:space="preserve">. </w:t>
      </w:r>
      <w:r w:rsidRPr="00D530B8">
        <w:t xml:space="preserve">It is indicated that changes to the EU </w:t>
      </w:r>
      <w:proofErr w:type="spellStart"/>
      <w:r w:rsidRPr="00D530B8">
        <w:t>S</w:t>
      </w:r>
      <w:r w:rsidR="00847151">
        <w:t>mPC</w:t>
      </w:r>
      <w:proofErr w:type="spellEnd"/>
      <w:r w:rsidR="00847151">
        <w:t xml:space="preserve"> </w:t>
      </w:r>
      <w:r w:rsidRPr="00D530B8">
        <w:t>for Crestor, made on 1 May 2013, included clarification of the effect of co-administered medicinal products on rosuvastatin, explanations on the interactions requiring rosuvastatin dose adjustments, and the addition of information on concomitant therapy</w:t>
      </w:r>
      <w:r w:rsidR="00847151">
        <w:t xml:space="preserve">. </w:t>
      </w:r>
      <w:r w:rsidRPr="00D530B8">
        <w:t xml:space="preserve">In the </w:t>
      </w:r>
      <w:r w:rsidRPr="00847151">
        <w:rPr>
          <w:i/>
        </w:rPr>
        <w:t>Interactions with other medicinal products</w:t>
      </w:r>
      <w:r w:rsidR="00D00732">
        <w:rPr>
          <w:i/>
        </w:rPr>
        <w:t xml:space="preserve"> and other forms of interaction</w:t>
      </w:r>
      <w:r w:rsidRPr="00D530B8">
        <w:t xml:space="preserve"> section of the current EU </w:t>
      </w:r>
      <w:proofErr w:type="spellStart"/>
      <w:r w:rsidRPr="00D530B8">
        <w:t>S</w:t>
      </w:r>
      <w:r w:rsidR="00847151">
        <w:t>mPC</w:t>
      </w:r>
      <w:proofErr w:type="spellEnd"/>
      <w:r w:rsidR="00847151">
        <w:t xml:space="preserve"> </w:t>
      </w:r>
      <w:r w:rsidRPr="00D530B8">
        <w:t>it is recommended that the dose of Crestor should be adjusted when it is necessary to co-administer Crestor with other medicinal products known to i</w:t>
      </w:r>
      <w:r w:rsidR="00847151">
        <w:t xml:space="preserve">ncrease rosuvastatin exposure. </w:t>
      </w:r>
      <w:r w:rsidRPr="00D530B8">
        <w:t>It is also recommended that the maximum daily dose of Crestor should be adjusted so that the expected exposure (AUC) to rosuvastatin would not likely exceed that of a 40 mg daily dose of Crestor taken without interacting medicinal products</w:t>
      </w:r>
      <w:r w:rsidR="008B5ED5">
        <w:t>.</w:t>
      </w:r>
    </w:p>
    <w:p w:rsidR="008615E3" w:rsidRDefault="008615E3" w:rsidP="008B5ED5">
      <w:r w:rsidRPr="00D530B8">
        <w:t xml:space="preserve">The effects of co-administered medicinal products, including ezetimibe, on rosuvastatin exposure (AUC) from published clinical trials are presented in a table </w:t>
      </w:r>
      <w:r>
        <w:t xml:space="preserve">in the Crestor </w:t>
      </w:r>
      <w:proofErr w:type="spellStart"/>
      <w:r>
        <w:t>SmPC</w:t>
      </w:r>
      <w:proofErr w:type="spellEnd"/>
      <w:r>
        <w:t>, reproduced as Table 3 below</w:t>
      </w:r>
      <w:r w:rsidR="008B5ED5">
        <w:t>.</w:t>
      </w:r>
    </w:p>
    <w:p w:rsidR="008615E3" w:rsidRPr="00AF6D25" w:rsidRDefault="008615E3" w:rsidP="00AF6D25">
      <w:pPr>
        <w:pStyle w:val="TableTitle"/>
      </w:pPr>
      <w:r w:rsidRPr="00E8427C">
        <w:lastRenderedPageBreak/>
        <w:t xml:space="preserve">Table </w:t>
      </w:r>
      <w:r>
        <w:t>3</w:t>
      </w:r>
      <w:r w:rsidRPr="00E8427C">
        <w:t>: Effect of co-administered medicinal products on rosuvastatin exposure (AUC; in order of decreasing magnitude) from published clinical trials</w:t>
      </w:r>
    </w:p>
    <w:p w:rsidR="008615E3" w:rsidRDefault="008615E3" w:rsidP="008615E3">
      <w:pPr>
        <w:spacing w:after="0"/>
      </w:pPr>
      <w:r>
        <w:rPr>
          <w:noProof/>
          <w:lang w:eastAsia="en-AU"/>
        </w:rPr>
        <w:drawing>
          <wp:inline distT="0" distB="0" distL="0" distR="0" wp14:anchorId="7F7E22FD" wp14:editId="25114C95">
            <wp:extent cx="4790050" cy="4790050"/>
            <wp:effectExtent l="0" t="0" r="0" b="0"/>
            <wp:docPr id="3" name="Picture 3" descr="Table 3: Effect of co-administered medicinal products on rosuvastatin exposure (AUC; in order of decreasing magnitude) from published clinical tri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4792639" cy="4792639"/>
                    </a:xfrm>
                    <a:prstGeom prst="rect">
                      <a:avLst/>
                    </a:prstGeom>
                  </pic:spPr>
                </pic:pic>
              </a:graphicData>
            </a:graphic>
          </wp:inline>
        </w:drawing>
      </w:r>
    </w:p>
    <w:p w:rsidR="008615E3" w:rsidRPr="00E8427C" w:rsidRDefault="008615E3" w:rsidP="00AF6D25">
      <w:pPr>
        <w:pStyle w:val="TableDescription"/>
      </w:pPr>
      <w:r w:rsidRPr="00E8427C">
        <w:t xml:space="preserve">*Data given as x-fold change represent a simple ratio between co-administration and rosuvastatin alone. Data given as % change represent % difference </w:t>
      </w:r>
      <w:r w:rsidR="00AF6D25">
        <w:t xml:space="preserve">relative to </w:t>
      </w:r>
      <w:proofErr w:type="spellStart"/>
      <w:r w:rsidR="00AF6D25">
        <w:t>rosuvastatin</w:t>
      </w:r>
      <w:proofErr w:type="spellEnd"/>
      <w:r w:rsidR="00AF6D25">
        <w:t xml:space="preserve"> alone.</w:t>
      </w:r>
    </w:p>
    <w:p w:rsidR="008615E3" w:rsidRPr="00E8427C" w:rsidRDefault="008615E3" w:rsidP="00AF6D25">
      <w:pPr>
        <w:pStyle w:val="TableDescription"/>
      </w:pPr>
      <w:r w:rsidRPr="00E8427C">
        <w:t xml:space="preserve">Increase is indicated as “↑“, no </w:t>
      </w:r>
      <w:r w:rsidR="00AF6D25">
        <w:t>change as “↔”, decrease as “↓”.</w:t>
      </w:r>
    </w:p>
    <w:p w:rsidR="008615E3" w:rsidRPr="00E8427C" w:rsidRDefault="008615E3" w:rsidP="00AF6D25">
      <w:pPr>
        <w:pStyle w:val="TableDescription"/>
      </w:pPr>
      <w:r w:rsidRPr="00E8427C">
        <w:t>**Several interaction studies have been performed at different Crestor dosages, the table s</w:t>
      </w:r>
      <w:r w:rsidR="00AF6D25">
        <w:t>hows the most significant ratio</w:t>
      </w:r>
    </w:p>
    <w:p w:rsidR="008615E3" w:rsidRPr="00E8427C" w:rsidRDefault="008615E3" w:rsidP="00AF6D25">
      <w:pPr>
        <w:pStyle w:val="TableDescription"/>
      </w:pPr>
      <w:r w:rsidRPr="00E8427C">
        <w:t>OD = once daily; BID = twice daily; TID = three time</w:t>
      </w:r>
      <w:r w:rsidR="00AF6D25">
        <w:t>s daily; QID = four times daily</w:t>
      </w:r>
    </w:p>
    <w:p w:rsidR="0020613A" w:rsidRDefault="0020613A" w:rsidP="00AF6D25">
      <w:r w:rsidRPr="00D530B8">
        <w:t xml:space="preserve">The </w:t>
      </w:r>
      <w:r w:rsidR="008615E3">
        <w:t>Table includes</w:t>
      </w:r>
      <w:r w:rsidRPr="00D530B8">
        <w:t xml:space="preserve"> interactions resulting in specific fold increases and percentage decreases in rosuvastatin AUC as well as interactions resulting in no change in rosuvastatin AUC</w:t>
      </w:r>
      <w:r w:rsidR="00847151">
        <w:t xml:space="preserve">. </w:t>
      </w:r>
      <w:r w:rsidRPr="00D530B8">
        <w:t>It is recommended that treatment with Crestor is initiated with a 5 mg once daily dose if the expected inc</w:t>
      </w:r>
      <w:r w:rsidR="00847151">
        <w:t xml:space="preserve">rease in AUC is approximately 2 </w:t>
      </w:r>
      <w:r w:rsidRPr="00D530B8">
        <w:t>fold or higher and that the adjusted maximum rosuvastatin doses when Crestor is co-adm</w:t>
      </w:r>
      <w:r w:rsidR="00847151">
        <w:t xml:space="preserve">inistered with gemfibrozil (1.9 </w:t>
      </w:r>
      <w:r w:rsidRPr="00D530B8">
        <w:t>fold increase</w:t>
      </w:r>
      <w:r w:rsidR="00847151">
        <w:t xml:space="preserve">) and </w:t>
      </w:r>
      <w:proofErr w:type="spellStart"/>
      <w:r w:rsidR="00847151">
        <w:t>atazanavir</w:t>
      </w:r>
      <w:proofErr w:type="spellEnd"/>
      <w:r w:rsidR="00847151">
        <w:t xml:space="preserve">/ritonavir (3.1 </w:t>
      </w:r>
      <w:r w:rsidRPr="00D530B8">
        <w:t>fold increase), respectively, are given as examples</w:t>
      </w:r>
      <w:r w:rsidR="00847151">
        <w:t xml:space="preserve">. </w:t>
      </w:r>
      <w:r w:rsidRPr="00D530B8">
        <w:t>For the other interacting medicinal products which result in a specified fold increase in rosuvastatin AUC, a recommended dose adjustment is n</w:t>
      </w:r>
      <w:r w:rsidR="00847151">
        <w:t xml:space="preserve">ot specified for rosuvastatin. </w:t>
      </w:r>
      <w:r w:rsidRPr="00D530B8">
        <w:t>It is not clear if the dose adjustment recommendations pertain only to thos</w:t>
      </w:r>
      <w:r w:rsidR="00847151">
        <w:t xml:space="preserve">e interactions that result in 2 </w:t>
      </w:r>
      <w:r w:rsidRPr="00D530B8">
        <w:t xml:space="preserve">fold and higher increases in rosuvastatin AUC or if the recommendations relate to all the interactions that are reported in the interactions table as resulting </w:t>
      </w:r>
      <w:r w:rsidR="00847151">
        <w:t xml:space="preserve">in a specified fold increase. </w:t>
      </w:r>
      <w:r w:rsidRPr="00D530B8">
        <w:t>However, it is interpreted by the evaluator that the dose adjustment recommendations pertain to all interactions resulting in a specified fold increase, which includes the co-administration of rosuvastatin with ezetimibe resulting in a 1.2 fold</w:t>
      </w:r>
      <w:r w:rsidR="00847151">
        <w:t xml:space="preserve"> increase in rosuvastatin AUC. </w:t>
      </w:r>
      <w:r w:rsidRPr="00D530B8">
        <w:t xml:space="preserve">Therefore, this recommendation would also appear to preclude the co-administration of ezetimibe 10 mg with rosuvastatin 40 mg as it may result in a rosuvastatin AUC that exceeds that of a 40 mg </w:t>
      </w:r>
      <w:r w:rsidRPr="00D530B8">
        <w:lastRenderedPageBreak/>
        <w:t>daily dose of rosuvastatin taken without interacting medicinal products, based o</w:t>
      </w:r>
      <w:r w:rsidR="00AF6D25">
        <w:t>n the results of Study P03317.</w:t>
      </w:r>
    </w:p>
    <w:p w:rsidR="00020CC0" w:rsidRDefault="0020613A" w:rsidP="00AF6D25">
      <w:r w:rsidRPr="00D530B8">
        <w:t xml:space="preserve">The </w:t>
      </w:r>
      <w:r w:rsidRPr="00454563">
        <w:rPr>
          <w:i/>
        </w:rPr>
        <w:t>Posology and method of administration</w:t>
      </w:r>
      <w:r w:rsidRPr="00D530B8">
        <w:t xml:space="preserve"> section of the EU </w:t>
      </w:r>
      <w:proofErr w:type="spellStart"/>
      <w:r w:rsidRPr="00D530B8">
        <w:t>S</w:t>
      </w:r>
      <w:r w:rsidR="00454563">
        <w:t>mPC</w:t>
      </w:r>
      <w:proofErr w:type="spellEnd"/>
      <w:r w:rsidR="00454563">
        <w:t xml:space="preserve"> </w:t>
      </w:r>
      <w:r w:rsidRPr="00D530B8">
        <w:t>does not specify a dose reduction for rosuvastatin when it is c</w:t>
      </w:r>
      <w:r w:rsidR="00454563">
        <w:t xml:space="preserve">o-administered with ezetimibe. </w:t>
      </w:r>
      <w:r w:rsidRPr="00D530B8">
        <w:t>However, it includes recommendations that relate to concomitant administration of rosuvastatin with medicines that may increase the plasma rosuvastatin concentration due to interactions with transporter pr</w:t>
      </w:r>
      <w:r w:rsidR="00454563">
        <w:t xml:space="preserve">oteins such as </w:t>
      </w:r>
      <w:r w:rsidR="00020CC0">
        <w:t>organic anion transporter polypeptide 1B1 (</w:t>
      </w:r>
      <w:r w:rsidR="00454563">
        <w:t>OATP1B1</w:t>
      </w:r>
      <w:r w:rsidR="00020CC0">
        <w:t>)</w:t>
      </w:r>
      <w:r w:rsidR="00454563">
        <w:t xml:space="preserve"> and </w:t>
      </w:r>
      <w:r w:rsidR="00020CC0">
        <w:t>breast cancer resistance protein (</w:t>
      </w:r>
      <w:r w:rsidR="00454563">
        <w:t>BCRP</w:t>
      </w:r>
      <w:r w:rsidR="00020CC0">
        <w:t>)</w:t>
      </w:r>
      <w:r w:rsidR="00454563">
        <w:t xml:space="preserve">. </w:t>
      </w:r>
      <w:r w:rsidRPr="00D530B8">
        <w:t>It is recommended that alternative medicines are considered, and that consideration should be given, if necessary, to temporarily discontinuing Crestor</w:t>
      </w:r>
      <w:r w:rsidR="00454563">
        <w:t xml:space="preserve">. </w:t>
      </w:r>
      <w:r w:rsidRPr="00D530B8">
        <w:t>If the co-administration is unavoidable, it is recommended that the benefit and risk of the concurrent treatment and dosing adjustments of Crestor should be carefully considered</w:t>
      </w:r>
      <w:r w:rsidR="00454563">
        <w:t xml:space="preserve">. </w:t>
      </w:r>
      <w:r w:rsidRPr="00D530B8">
        <w:t xml:space="preserve">It is not clear to the evaluator if ezetimibe is an inhibitor of any of the transporter proteins for which rosuvastatin is a substrate and, therefore, whether this recommendation is pertinent to the co-administration of </w:t>
      </w:r>
      <w:proofErr w:type="spellStart"/>
      <w:r w:rsidRPr="00D530B8">
        <w:t>rosuvastatin</w:t>
      </w:r>
      <w:proofErr w:type="spellEnd"/>
      <w:r w:rsidRPr="00D530B8">
        <w:t xml:space="preserve"> and </w:t>
      </w:r>
      <w:proofErr w:type="spellStart"/>
      <w:r w:rsidRPr="00D530B8">
        <w:t>e</w:t>
      </w:r>
      <w:r w:rsidR="00454563">
        <w:t>zetimibe</w:t>
      </w:r>
      <w:proofErr w:type="spellEnd"/>
      <w:r w:rsidR="00454563">
        <w:t>.</w:t>
      </w:r>
    </w:p>
    <w:p w:rsidR="0020613A" w:rsidRDefault="0020613A" w:rsidP="00AF6D25">
      <w:r w:rsidRPr="00D530B8">
        <w:t xml:space="preserve">It is noted that the combination of </w:t>
      </w:r>
      <w:proofErr w:type="spellStart"/>
      <w:r w:rsidRPr="00D530B8">
        <w:t>tipranavir</w:t>
      </w:r>
      <w:proofErr w:type="spellEnd"/>
      <w:r w:rsidRPr="00D530B8">
        <w:t xml:space="preserve"> and ritonavir co-administered with rosuva</w:t>
      </w:r>
      <w:r w:rsidR="00454563">
        <w:t xml:space="preserve">statin is given as an example. </w:t>
      </w:r>
      <w:r w:rsidRPr="00D530B8">
        <w:t xml:space="preserve">The increase in rosuvastatin AUC when rosuvastatin is co-administered with </w:t>
      </w:r>
      <w:proofErr w:type="spellStart"/>
      <w:r w:rsidRPr="00D530B8">
        <w:t>tipranav</w:t>
      </w:r>
      <w:r w:rsidR="00454563">
        <w:t>ir</w:t>
      </w:r>
      <w:proofErr w:type="spellEnd"/>
      <w:r w:rsidR="00454563">
        <w:t xml:space="preserve"> and ritonavir is 1.4 fold. </w:t>
      </w:r>
      <w:r w:rsidRPr="00D530B8">
        <w:t>Therefore, even if this dosage recommendation does not relate specifically to co-administration of rosuvastatin and ezetimibe, it indicates that a less than 2</w:t>
      </w:r>
      <w:r w:rsidR="00454563">
        <w:t xml:space="preserve"> </w:t>
      </w:r>
      <w:r w:rsidRPr="00D530B8">
        <w:t>fold increase in rosuvastatin AUC requires consideration by the prescriber, regardless o</w:t>
      </w:r>
      <w:r w:rsidR="00AF6D25">
        <w:t>f the dose being administered.</w:t>
      </w:r>
    </w:p>
    <w:p w:rsidR="0020613A" w:rsidRDefault="0020613A" w:rsidP="00AF6D25">
      <w:r w:rsidRPr="00D530B8">
        <w:t xml:space="preserve">Both the US and Canadian product information documents indicate that the 19% increase in rosuvastatin AUC resulting from the co-administration of ezetimibe and rosuvastatin is not considered clinically significant. In comparison, the current EU </w:t>
      </w:r>
      <w:proofErr w:type="spellStart"/>
      <w:r w:rsidRPr="00D530B8">
        <w:t>S</w:t>
      </w:r>
      <w:r w:rsidR="00454563">
        <w:t>mPC</w:t>
      </w:r>
      <w:proofErr w:type="spellEnd"/>
      <w:r w:rsidR="00454563">
        <w:t xml:space="preserve"> </w:t>
      </w:r>
      <w:r w:rsidRPr="00D530B8">
        <w:t xml:space="preserve">for Crestor indicates that a pharmacodynamic interaction, in terms of adverse effects, between Crestor and </w:t>
      </w:r>
      <w:r w:rsidR="00454563">
        <w:t xml:space="preserve">ezetimibe cannot be ruled out. </w:t>
      </w:r>
      <w:r w:rsidRPr="00D530B8">
        <w:t>The US prescribing information for Crestor does not contraindicate use of the 40 mg dose in situations where an increase in rosuvastatin plasma levels may occur or include the recommendation that the maximum daily dose of Crestor should be adjusted so that the expected exposure (AUC) to rosuvastatin would not likely exceed that of a 40 mg daily dose of Crestor taken without i</w:t>
      </w:r>
      <w:r w:rsidR="00454563">
        <w:t xml:space="preserve">nteracting medicinal products. </w:t>
      </w:r>
      <w:r w:rsidRPr="00D530B8">
        <w:t>However, the Canadian product monograph for Crestor includes both this contra</w:t>
      </w:r>
      <w:r w:rsidR="00454563">
        <w:t xml:space="preserve">indication and recommendation. </w:t>
      </w:r>
      <w:r w:rsidRPr="00D530B8">
        <w:t xml:space="preserve">The Canadian product monograph also includes recommendations in the </w:t>
      </w:r>
      <w:r w:rsidR="00454563" w:rsidRPr="00454563">
        <w:rPr>
          <w:i/>
        </w:rPr>
        <w:t xml:space="preserve">Dosage and </w:t>
      </w:r>
      <w:r w:rsidR="00454563">
        <w:rPr>
          <w:i/>
        </w:rPr>
        <w:t>A</w:t>
      </w:r>
      <w:r w:rsidR="00454563" w:rsidRPr="00454563">
        <w:rPr>
          <w:i/>
        </w:rPr>
        <w:t xml:space="preserve">dministration </w:t>
      </w:r>
      <w:r w:rsidRPr="00D530B8">
        <w:t>s</w:t>
      </w:r>
      <w:r w:rsidR="00454563">
        <w:t xml:space="preserve">ection similar to those in the </w:t>
      </w:r>
      <w:r w:rsidRPr="00454563">
        <w:rPr>
          <w:i/>
        </w:rPr>
        <w:t>Posology and method of administration</w:t>
      </w:r>
      <w:r w:rsidRPr="00D530B8">
        <w:t xml:space="preserve"> section of the EU </w:t>
      </w:r>
      <w:proofErr w:type="spellStart"/>
      <w:r w:rsidRPr="00D530B8">
        <w:t>S</w:t>
      </w:r>
      <w:r w:rsidR="00454563">
        <w:t>mPC</w:t>
      </w:r>
      <w:proofErr w:type="spellEnd"/>
      <w:r w:rsidR="00454563">
        <w:t>.</w:t>
      </w:r>
      <w:r w:rsidRPr="00D530B8">
        <w:t xml:space="preserve"> From the information in the Canadian product monograph for Crestor it could be interpreted that even though the 19% increase in rosuvastatin AUC is not considered clinically significant, the 40 mg dose should not be given with ezetimibe as the maximum recommended rosuvastatin exposure may be exceeded.</w:t>
      </w:r>
    </w:p>
    <w:p w:rsidR="0020613A" w:rsidRDefault="0020613A" w:rsidP="0020613A">
      <w:pPr>
        <w:rPr>
          <w:lang w:eastAsia="ja-JP"/>
        </w:rPr>
      </w:pPr>
      <w:r w:rsidRPr="00D530B8">
        <w:t>As the 1.2 fold increase in rosuvastatin AUC is based on a point estimate from subjects enrolled in one study, in an individual patient the effect of ezetimibe on rosuvastatin AUC may be higher or lower than the rep</w:t>
      </w:r>
      <w:r w:rsidR="00454563">
        <w:t xml:space="preserve">orted point estimate increase. </w:t>
      </w:r>
      <w:r w:rsidRPr="00D530B8">
        <w:t>In addition, the patient may have other risk factors that augment or counterbalance any increase in rosuvastatin AUC that may result from the co-administration o</w:t>
      </w:r>
      <w:r w:rsidR="00454563">
        <w:t xml:space="preserve">f ezetimibe and rosuvastatin. </w:t>
      </w:r>
      <w:r w:rsidRPr="00D530B8">
        <w:t>It is anticipated that a patient requiring the co-administration of ezetimibe 10 mg and rosuvastatin 40 mg would be receiving specialist supervision and the risks and benefits of such co-admin</w:t>
      </w:r>
      <w:r w:rsidR="00454563">
        <w:t xml:space="preserve">istration would be considered. </w:t>
      </w:r>
      <w:r w:rsidRPr="00D530B8">
        <w:t xml:space="preserve">However, in view of the contraindication to the use of 40 mg rosuvastatin in situations where an increase in rosuvastatin plasma levels may occur that is specified in the Australian PI for Crestor and the above-mentioned interpretation of the information in the EU </w:t>
      </w:r>
      <w:proofErr w:type="spellStart"/>
      <w:r w:rsidRPr="00D530B8">
        <w:t>S</w:t>
      </w:r>
      <w:r w:rsidR="00454563">
        <w:t>mPC</w:t>
      </w:r>
      <w:proofErr w:type="spellEnd"/>
      <w:r w:rsidR="00454563">
        <w:t xml:space="preserve"> </w:t>
      </w:r>
      <w:r w:rsidRPr="00D530B8">
        <w:t>for Crestor and Canadian product monograph for Crestor, it is recommended that advice is again sought from ACPM on this issue.</w:t>
      </w:r>
    </w:p>
    <w:p w:rsidR="00605AD4" w:rsidRPr="00AF6D25" w:rsidRDefault="00605AD4" w:rsidP="00AF6D25">
      <w:pPr>
        <w:pStyle w:val="Heading3"/>
        <w:rPr>
          <w:rFonts w:eastAsia="Cambria"/>
        </w:rPr>
      </w:pPr>
      <w:bookmarkStart w:id="102" w:name="_Toc412706479"/>
      <w:r w:rsidRPr="00605AD4">
        <w:rPr>
          <w:rFonts w:eastAsia="Cambria"/>
        </w:rPr>
        <w:lastRenderedPageBreak/>
        <w:t xml:space="preserve">Second </w:t>
      </w:r>
      <w:r w:rsidR="00AF6D25">
        <w:rPr>
          <w:rFonts w:eastAsia="Cambria"/>
        </w:rPr>
        <w:t>r</w:t>
      </w:r>
      <w:r w:rsidRPr="00605AD4">
        <w:rPr>
          <w:rFonts w:eastAsia="Cambria"/>
        </w:rPr>
        <w:t xml:space="preserve">ound </w:t>
      </w:r>
      <w:r w:rsidR="00AF6D25">
        <w:rPr>
          <w:rFonts w:eastAsia="Cambria"/>
        </w:rPr>
        <w:t>b</w:t>
      </w:r>
      <w:r w:rsidRPr="00605AD4">
        <w:rPr>
          <w:rFonts w:eastAsia="Cambria"/>
        </w:rPr>
        <w:t>enefit-</w:t>
      </w:r>
      <w:r w:rsidR="00AF6D25">
        <w:rPr>
          <w:rFonts w:eastAsia="Cambria"/>
        </w:rPr>
        <w:t>r</w:t>
      </w:r>
      <w:r w:rsidRPr="00605AD4">
        <w:rPr>
          <w:rFonts w:eastAsia="Cambria"/>
        </w:rPr>
        <w:t xml:space="preserve">isk </w:t>
      </w:r>
      <w:r w:rsidR="00AF6D25">
        <w:rPr>
          <w:rFonts w:eastAsia="Cambria"/>
        </w:rPr>
        <w:t>a</w:t>
      </w:r>
      <w:r w:rsidRPr="00605AD4">
        <w:rPr>
          <w:rFonts w:eastAsia="Cambria"/>
        </w:rPr>
        <w:t>ssessment</w:t>
      </w:r>
      <w:bookmarkEnd w:id="102"/>
    </w:p>
    <w:p w:rsidR="0020613A" w:rsidRPr="00AF6D25" w:rsidRDefault="0020613A" w:rsidP="00AF6D25">
      <w:pPr>
        <w:pStyle w:val="Heading4"/>
      </w:pPr>
      <w:bookmarkStart w:id="103" w:name="_Toc272414709"/>
      <w:bookmarkStart w:id="104" w:name="_Toc290846349"/>
      <w:bookmarkStart w:id="105" w:name="_Toc390788201"/>
      <w:bookmarkStart w:id="106" w:name="_Toc408582862"/>
      <w:r w:rsidRPr="003E2F30">
        <w:t>Second round assessment of benefits</w:t>
      </w:r>
      <w:bookmarkEnd w:id="103"/>
      <w:bookmarkEnd w:id="104"/>
      <w:bookmarkEnd w:id="105"/>
      <w:bookmarkEnd w:id="106"/>
    </w:p>
    <w:p w:rsidR="0020613A" w:rsidRDefault="0020613A" w:rsidP="00AF6D25">
      <w:r w:rsidRPr="003E2F30">
        <w:t xml:space="preserve">After consideration of the responses to the </w:t>
      </w:r>
      <w:r w:rsidR="00035E53">
        <w:t xml:space="preserve">TGA </w:t>
      </w:r>
      <w:r w:rsidRPr="003E2F30">
        <w:t xml:space="preserve">clinical questions, the benefits of ezetimibe and rosuvastatin fixed dose combination tablet in the proposed usage are unchanged from those identified in </w:t>
      </w:r>
      <w:r w:rsidR="00035E53">
        <w:t xml:space="preserve">the </w:t>
      </w:r>
      <w:r w:rsidR="00035E53" w:rsidRPr="00035E53">
        <w:rPr>
          <w:i/>
        </w:rPr>
        <w:t>First round assessment of benefits</w:t>
      </w:r>
      <w:r w:rsidR="00035E53">
        <w:t>, above</w:t>
      </w:r>
      <w:r w:rsidRPr="003E2F30">
        <w:t>.</w:t>
      </w:r>
    </w:p>
    <w:p w:rsidR="0020613A" w:rsidRPr="00AF6D25" w:rsidRDefault="0020613A" w:rsidP="00AF6D25">
      <w:pPr>
        <w:pStyle w:val="Heading4"/>
      </w:pPr>
      <w:bookmarkStart w:id="107" w:name="_Toc272414710"/>
      <w:bookmarkStart w:id="108" w:name="_Toc290846350"/>
      <w:bookmarkStart w:id="109" w:name="_Toc390788202"/>
      <w:bookmarkStart w:id="110" w:name="_Toc408582863"/>
      <w:r w:rsidRPr="003E2F30">
        <w:t>Second round assessment of risks</w:t>
      </w:r>
      <w:bookmarkEnd w:id="107"/>
      <w:bookmarkEnd w:id="108"/>
      <w:bookmarkEnd w:id="109"/>
      <w:bookmarkEnd w:id="110"/>
    </w:p>
    <w:p w:rsidR="0020613A" w:rsidRPr="003E2F30" w:rsidRDefault="0020613A" w:rsidP="00AF6D25">
      <w:r w:rsidRPr="003E2F30">
        <w:t>After consideration of the responses to the clinical questions, and review of the information in the Australian, EU, US and Canadian product information for Crestor regarding interaction with other medicinal products, the risks of ezetimibe and rosuvastatin fixed dose combination tablet in the proposed usage are as follows:</w:t>
      </w:r>
    </w:p>
    <w:p w:rsidR="0020613A" w:rsidRPr="003E2F30" w:rsidRDefault="0020613A" w:rsidP="00AF6D25">
      <w:pPr>
        <w:pStyle w:val="ListBullet"/>
      </w:pPr>
      <w:r w:rsidRPr="003E2F30">
        <w:t>If an adverse effect occurs with the fixed dose combination tablet that necessitates the cessation of treatment, the patient is required to discontinue ezetimibe and rosuvastatin simultaneously, regardless of whether only one component is the suspecte</w:t>
      </w:r>
      <w:r w:rsidR="00AF6D25">
        <w:t>d cause of the adverse effect.</w:t>
      </w:r>
    </w:p>
    <w:p w:rsidR="0020613A" w:rsidRPr="003E2F30" w:rsidRDefault="0020613A" w:rsidP="00AF6D25">
      <w:pPr>
        <w:pStyle w:val="ListBullet"/>
      </w:pPr>
      <w:r w:rsidRPr="003E2F30">
        <w:t>Long-term efficacy and safety data in relation to the co-administration of ezetimibe and rosuvastatin in t</w:t>
      </w:r>
      <w:r w:rsidR="00AF6D25">
        <w:t>he proposed usage are limited.</w:t>
      </w:r>
    </w:p>
    <w:p w:rsidR="0020613A" w:rsidRPr="003E2F30" w:rsidRDefault="0020613A" w:rsidP="00035E53">
      <w:pPr>
        <w:pStyle w:val="ListBullet"/>
      </w:pPr>
      <w:r w:rsidRPr="003E2F30">
        <w:t>The bioequivalence study for the 10</w:t>
      </w:r>
      <w:r w:rsidR="00035E53">
        <w:t xml:space="preserve"> </w:t>
      </w:r>
      <w:r w:rsidRPr="003E2F30">
        <w:t>mg/40 mg strength ezetimibe and rosuvastatin fixed dose combination tablet indicates that exposure to rosuvastatin could be higher with the fixed dose combination compared with co-administ</w:t>
      </w:r>
      <w:r w:rsidR="00035E53">
        <w:t xml:space="preserve">ration of the mono-components. </w:t>
      </w:r>
      <w:r w:rsidRPr="003E2F30">
        <w:t xml:space="preserve">Although the possible increase in exposure is anticipated to be small, as the maximum recommended dose of rosuvastatin is 40 mg, an increase in exposure with this proposed dose strength may increase the risk of </w:t>
      </w:r>
      <w:r w:rsidR="00D07E32">
        <w:t>AE</w:t>
      </w:r>
      <w:r w:rsidRPr="003E2F30">
        <w:t>s, especially in patients with other risk factors that increase rosuvastatin exposure.</w:t>
      </w:r>
    </w:p>
    <w:p w:rsidR="0020613A" w:rsidRDefault="0020613A" w:rsidP="00AF6D25">
      <w:pPr>
        <w:pStyle w:val="ListBullet"/>
      </w:pPr>
      <w:r w:rsidRPr="003E2F30">
        <w:t>Situations where an increase in rosuvastatin plasma levels may occur is a contraindication to the use of Crestor 40 mg</w:t>
      </w:r>
      <w:r w:rsidR="00035E53">
        <w:t xml:space="preserve">. </w:t>
      </w:r>
      <w:r w:rsidRPr="003E2F30">
        <w:t>Administration of the 10 mg/40 mg strength ezetimibe and rosuvastatin fixed dose combination tablet may result in increased rosuvastatin AUC and, therefor</w:t>
      </w:r>
      <w:r w:rsidR="00AF6D25">
        <w:t>e, would be contraindicated.</w:t>
      </w:r>
    </w:p>
    <w:p w:rsidR="0020613A" w:rsidRPr="00AF6D25" w:rsidRDefault="0020613A" w:rsidP="00AF6D25">
      <w:pPr>
        <w:pStyle w:val="Heading3"/>
      </w:pPr>
      <w:bookmarkStart w:id="111" w:name="_Toc272414711"/>
      <w:bookmarkStart w:id="112" w:name="_Toc290846351"/>
      <w:bookmarkStart w:id="113" w:name="_Toc390788203"/>
      <w:bookmarkStart w:id="114" w:name="_Toc408582864"/>
      <w:bookmarkStart w:id="115" w:name="_Toc412706480"/>
      <w:r w:rsidRPr="003E2F30">
        <w:t>Second round assessment of benefit-risk balance</w:t>
      </w:r>
      <w:bookmarkEnd w:id="111"/>
      <w:bookmarkEnd w:id="112"/>
      <w:bookmarkEnd w:id="113"/>
      <w:bookmarkEnd w:id="114"/>
      <w:bookmarkEnd w:id="115"/>
    </w:p>
    <w:p w:rsidR="0020613A" w:rsidRDefault="0020613A" w:rsidP="00AF6D25">
      <w:r w:rsidRPr="003E2F30">
        <w:t>The overall bene</w:t>
      </w:r>
      <w:r w:rsidR="000549DA">
        <w:t>fit-risk balance for the 10 mg</w:t>
      </w:r>
      <w:r w:rsidR="00731436">
        <w:t>/</w:t>
      </w:r>
      <w:r w:rsidRPr="003E2F30">
        <w:t>5 mg</w:t>
      </w:r>
      <w:r w:rsidR="00035E53">
        <w:t>, 10 mg</w:t>
      </w:r>
      <w:r w:rsidR="00731436">
        <w:t>/</w:t>
      </w:r>
      <w:r w:rsidR="00035E53">
        <w:t>10 mg and 10 mg</w:t>
      </w:r>
      <w:r w:rsidR="00731436">
        <w:t>/</w:t>
      </w:r>
      <w:r w:rsidR="00035E53">
        <w:t xml:space="preserve">20 mg </w:t>
      </w:r>
      <w:r w:rsidRPr="003E2F30">
        <w:t xml:space="preserve">strength ezetimibe and rosuvastatin fixed dose combination tablets, respectively, given the </w:t>
      </w:r>
      <w:r w:rsidR="00AF6D25">
        <w:t>proposed usage, is favourable.</w:t>
      </w:r>
    </w:p>
    <w:p w:rsidR="0020613A" w:rsidRDefault="0020613A" w:rsidP="00AF6D25">
      <w:r w:rsidRPr="003E2F30">
        <w:t>The ben</w:t>
      </w:r>
      <w:r w:rsidR="000549DA">
        <w:t>efit-risk balance for the 10 mg</w:t>
      </w:r>
      <w:r w:rsidR="00731436">
        <w:t>/</w:t>
      </w:r>
      <w:r w:rsidRPr="003E2F30">
        <w:t>40 mg strength ezetimibe and rosuvastatin fixed dose combination tablet, given the p</w:t>
      </w:r>
      <w:r w:rsidR="00AF6D25">
        <w:t>roposed usage, is unfavourable.</w:t>
      </w:r>
    </w:p>
    <w:p w:rsidR="0020613A" w:rsidRDefault="0020613A" w:rsidP="008B6B24">
      <w:pPr>
        <w:pStyle w:val="Heading3"/>
      </w:pPr>
      <w:bookmarkStart w:id="116" w:name="_Toc408582865"/>
      <w:bookmarkStart w:id="117" w:name="_Toc412706481"/>
      <w:r>
        <w:t>Second round re</w:t>
      </w:r>
      <w:bookmarkStart w:id="118" w:name="_GoBack"/>
      <w:bookmarkEnd w:id="118"/>
      <w:r>
        <w:t>commendation regarding authorisation</w:t>
      </w:r>
      <w:bookmarkEnd w:id="116"/>
      <w:bookmarkEnd w:id="117"/>
    </w:p>
    <w:p w:rsidR="0020613A" w:rsidRDefault="0020613A" w:rsidP="00AF6D25">
      <w:r w:rsidRPr="003E2F30">
        <w:t>It is recommended that the proposed ezetimibe and rosuvastatin fixed dose combination tablet, in the strengths 10</w:t>
      </w:r>
      <w:r w:rsidR="000549DA">
        <w:t xml:space="preserve"> mg</w:t>
      </w:r>
      <w:r w:rsidR="00731436">
        <w:t>/</w:t>
      </w:r>
      <w:r w:rsidRPr="003E2F30">
        <w:t>5 mg, 10 mg</w:t>
      </w:r>
      <w:r w:rsidR="00731436">
        <w:t>/</w:t>
      </w:r>
      <w:r w:rsidRPr="003E2F30">
        <w:t>10 mg, and 10 mg</w:t>
      </w:r>
      <w:r w:rsidR="00731436">
        <w:t>/</w:t>
      </w:r>
      <w:r w:rsidRPr="003E2F30">
        <w:t>20 mg, is approved subject to the following:</w:t>
      </w:r>
    </w:p>
    <w:p w:rsidR="0020613A" w:rsidRPr="003E2F30" w:rsidRDefault="0020613A" w:rsidP="00AF6D25">
      <w:pPr>
        <w:pStyle w:val="ListBullet"/>
      </w:pPr>
      <w:r w:rsidRPr="003E2F30">
        <w:t xml:space="preserve">the </w:t>
      </w:r>
      <w:r w:rsidRPr="00035E53">
        <w:t>sponsor</w:t>
      </w:r>
      <w:r w:rsidRPr="003E2F30">
        <w:t xml:space="preserve"> amending the draft PIs as recommended</w:t>
      </w:r>
      <w:r>
        <w:rPr>
          <w:rStyle w:val="FootnoteReference"/>
        </w:rPr>
        <w:footnoteReference w:id="10"/>
      </w:r>
      <w:r w:rsidRPr="003E2F30">
        <w:t xml:space="preserve"> or providing justification as to why the recommended changes should not be made</w:t>
      </w:r>
    </w:p>
    <w:p w:rsidR="0020613A" w:rsidRPr="003E2F30" w:rsidRDefault="0020613A" w:rsidP="00AF6D25">
      <w:pPr>
        <w:pStyle w:val="ListBullet"/>
      </w:pPr>
      <w:r w:rsidRPr="003E2F30">
        <w:lastRenderedPageBreak/>
        <w:t xml:space="preserve">the sponsor clarifying </w:t>
      </w:r>
      <w:r w:rsidRPr="00035E53">
        <w:t>why</w:t>
      </w:r>
      <w:r w:rsidRPr="003E2F30">
        <w:t xml:space="preserve"> the recommendations in relation to the co-admin</w:t>
      </w:r>
      <w:r w:rsidR="00035E53">
        <w:t xml:space="preserve">istration of the </w:t>
      </w:r>
      <w:proofErr w:type="spellStart"/>
      <w:r w:rsidR="00035E53">
        <w:t>Rosuzet</w:t>
      </w:r>
      <w:proofErr w:type="spellEnd"/>
      <w:r w:rsidR="00035E53">
        <w:t>/</w:t>
      </w:r>
      <w:proofErr w:type="spellStart"/>
      <w:r w:rsidR="00035E53">
        <w:t>Ezalo</w:t>
      </w:r>
      <w:proofErr w:type="spellEnd"/>
      <w:r w:rsidR="00035E53">
        <w:t xml:space="preserve"> C</w:t>
      </w:r>
      <w:r w:rsidRPr="003E2F30">
        <w:t xml:space="preserve">omposite </w:t>
      </w:r>
      <w:r w:rsidR="00035E53">
        <w:t>P</w:t>
      </w:r>
      <w:r w:rsidRPr="003E2F30">
        <w:t xml:space="preserve">ack with fibrates in the </w:t>
      </w:r>
      <w:r w:rsidRPr="00035E53">
        <w:rPr>
          <w:i/>
        </w:rPr>
        <w:t>P</w:t>
      </w:r>
      <w:r w:rsidR="00035E53" w:rsidRPr="00035E53">
        <w:rPr>
          <w:i/>
        </w:rPr>
        <w:t>recautions</w:t>
      </w:r>
      <w:r w:rsidRPr="003E2F30">
        <w:t xml:space="preserve"> section, under “Skeletal muscle” and “Fibrates”, respectively, in the PIs for the </w:t>
      </w:r>
      <w:proofErr w:type="spellStart"/>
      <w:r w:rsidRPr="003E2F30">
        <w:t>Rosuzet</w:t>
      </w:r>
      <w:proofErr w:type="spellEnd"/>
      <w:r w:rsidRPr="003E2F30">
        <w:t xml:space="preserve"> </w:t>
      </w:r>
      <w:r w:rsidR="00035E53">
        <w:t>C</w:t>
      </w:r>
      <w:r w:rsidRPr="003E2F30">
        <w:t xml:space="preserve">omposite </w:t>
      </w:r>
      <w:r w:rsidR="00035E53">
        <w:t>P</w:t>
      </w:r>
      <w:r w:rsidRPr="003E2F30">
        <w:t xml:space="preserve">ack and </w:t>
      </w:r>
      <w:proofErr w:type="spellStart"/>
      <w:r w:rsidRPr="003E2F30">
        <w:t>Ezalo</w:t>
      </w:r>
      <w:proofErr w:type="spellEnd"/>
      <w:r w:rsidRPr="003E2F30">
        <w:t xml:space="preserve"> </w:t>
      </w:r>
      <w:r w:rsidR="00035E53">
        <w:t>C</w:t>
      </w:r>
      <w:r w:rsidRPr="003E2F30">
        <w:t xml:space="preserve">omposite </w:t>
      </w:r>
      <w:r w:rsidR="00035E53">
        <w:t>P</w:t>
      </w:r>
      <w:r w:rsidR="00AF6D25">
        <w:t>ack are not consistent</w:t>
      </w:r>
    </w:p>
    <w:p w:rsidR="0020613A" w:rsidRPr="003E2F30" w:rsidRDefault="0020613A" w:rsidP="00AF6D25">
      <w:pPr>
        <w:pStyle w:val="ListBullet"/>
      </w:pPr>
      <w:r w:rsidRPr="003E2F30">
        <w:t xml:space="preserve">the sponsor providing further clarification as to </w:t>
      </w:r>
      <w:r w:rsidRPr="00AF6D25">
        <w:t>why</w:t>
      </w:r>
      <w:r w:rsidRPr="003E2F30">
        <w:t xml:space="preserve"> it proposes to include, under the sub-heading “</w:t>
      </w:r>
      <w:r w:rsidRPr="00035E53">
        <w:t>Fibrates</w:t>
      </w:r>
      <w:r w:rsidRPr="003E2F30">
        <w:t xml:space="preserve">” in the </w:t>
      </w:r>
      <w:r w:rsidRPr="00035E53">
        <w:rPr>
          <w:i/>
        </w:rPr>
        <w:t>P</w:t>
      </w:r>
      <w:r w:rsidR="00035E53" w:rsidRPr="00035E53">
        <w:rPr>
          <w:i/>
        </w:rPr>
        <w:t>recautions</w:t>
      </w:r>
      <w:r w:rsidRPr="003E2F30">
        <w:t xml:space="preserve"> section of the PI, the statement “Therefore, co-administration of </w:t>
      </w:r>
      <w:proofErr w:type="spellStart"/>
      <w:r w:rsidRPr="003E2F30">
        <w:t>E</w:t>
      </w:r>
      <w:r w:rsidR="00035E53">
        <w:t>zalo</w:t>
      </w:r>
      <w:proofErr w:type="spellEnd"/>
      <w:r w:rsidR="00035E53">
        <w:t xml:space="preserve"> </w:t>
      </w:r>
      <w:r w:rsidRPr="003E2F30">
        <w:t xml:space="preserve">and fibrates (other than </w:t>
      </w:r>
      <w:proofErr w:type="spellStart"/>
      <w:r w:rsidRPr="003E2F30">
        <w:t>fenofibrate</w:t>
      </w:r>
      <w:proofErr w:type="spellEnd"/>
      <w:r w:rsidRPr="003E2F30">
        <w:t xml:space="preserve">) is not recommended (see </w:t>
      </w:r>
      <w:r w:rsidR="00035E53" w:rsidRPr="00035E53">
        <w:rPr>
          <w:i/>
        </w:rPr>
        <w:t>Interactions with other medicines</w:t>
      </w:r>
      <w:r w:rsidRPr="003E2F30">
        <w:t xml:space="preserve">)”, rather than a statement consistent with the more conservative statement in the </w:t>
      </w:r>
      <w:r w:rsidR="00035E53">
        <w:t xml:space="preserve">PI </w:t>
      </w:r>
      <w:r w:rsidRPr="003E2F30">
        <w:t>for the composite pack</w:t>
      </w:r>
    </w:p>
    <w:p w:rsidR="0020613A" w:rsidRPr="003E2F30" w:rsidRDefault="0020613A" w:rsidP="00AF6D25">
      <w:pPr>
        <w:pStyle w:val="ListBullet"/>
      </w:pPr>
      <w:r w:rsidRPr="003E2F30">
        <w:t>the sponsor providing the evidence to support the proposed recommendation “Therefore, co-</w:t>
      </w:r>
      <w:r w:rsidRPr="00035E53">
        <w:t>administration</w:t>
      </w:r>
      <w:r w:rsidRPr="003E2F30">
        <w:t xml:space="preserve"> of </w:t>
      </w:r>
      <w:proofErr w:type="spellStart"/>
      <w:r w:rsidRPr="003E2F30">
        <w:t>E</w:t>
      </w:r>
      <w:r w:rsidR="00035E53">
        <w:t>zalo</w:t>
      </w:r>
      <w:proofErr w:type="spellEnd"/>
      <w:r w:rsidR="00035E53">
        <w:t xml:space="preserve"> </w:t>
      </w:r>
      <w:r w:rsidRPr="003E2F30">
        <w:t xml:space="preserve">and fibrates (other than </w:t>
      </w:r>
      <w:proofErr w:type="spellStart"/>
      <w:r w:rsidRPr="003E2F30">
        <w:t>fenofibrate</w:t>
      </w:r>
      <w:proofErr w:type="spellEnd"/>
      <w:r w:rsidRPr="003E2F30">
        <w:t xml:space="preserve">) is not recommended (see </w:t>
      </w:r>
      <w:r w:rsidR="00035E53">
        <w:rPr>
          <w:i/>
        </w:rPr>
        <w:t>I</w:t>
      </w:r>
      <w:r w:rsidR="00035E53" w:rsidRPr="00035E53">
        <w:rPr>
          <w:i/>
        </w:rPr>
        <w:t>nteractions with other medicines</w:t>
      </w:r>
      <w:r w:rsidRPr="003E2F30">
        <w:t xml:space="preserve">)”, under the sub-heading “Fibrates” in the </w:t>
      </w:r>
      <w:r w:rsidR="00035E53" w:rsidRPr="00035E53">
        <w:rPr>
          <w:i/>
        </w:rPr>
        <w:t>Precautions</w:t>
      </w:r>
      <w:r w:rsidR="00035E53">
        <w:t xml:space="preserve"> </w:t>
      </w:r>
      <w:r w:rsidRPr="003E2F30">
        <w:t>section of the PI</w:t>
      </w:r>
    </w:p>
    <w:p w:rsidR="0020613A" w:rsidRDefault="0020613A" w:rsidP="00AF6D25">
      <w:pPr>
        <w:pStyle w:val="ListBullet"/>
      </w:pPr>
      <w:proofErr w:type="gramStart"/>
      <w:r w:rsidRPr="003E2F30">
        <w:t>the</w:t>
      </w:r>
      <w:proofErr w:type="gramEnd"/>
      <w:r w:rsidRPr="003E2F30">
        <w:t xml:space="preserve"> sponsor </w:t>
      </w:r>
      <w:r w:rsidRPr="00035E53">
        <w:t>amending</w:t>
      </w:r>
      <w:r w:rsidRPr="003E2F30">
        <w:t xml:space="preserve"> the draft </w:t>
      </w:r>
      <w:r w:rsidR="001D557F">
        <w:t>Consumer Medicine Information (</w:t>
      </w:r>
      <w:r w:rsidRPr="003E2F30">
        <w:t>CMI</w:t>
      </w:r>
      <w:r w:rsidR="001D557F">
        <w:t>)</w:t>
      </w:r>
      <w:r w:rsidRPr="003E2F30">
        <w:t xml:space="preserve"> </w:t>
      </w:r>
      <w:r>
        <w:t>as</w:t>
      </w:r>
      <w:r w:rsidRPr="003E2F30">
        <w:t xml:space="preserve"> recommended or providing justification as to why the recommended changes should not be made.</w:t>
      </w:r>
    </w:p>
    <w:p w:rsidR="0020613A" w:rsidRDefault="0020613A" w:rsidP="00AF6D25">
      <w:r w:rsidRPr="003E2F30">
        <w:t>It is recommended that the proposed ezetimibe and rosuvastatin fixe</w:t>
      </w:r>
      <w:r w:rsidR="000549DA">
        <w:t>d dose combination tablet 10 mg</w:t>
      </w:r>
      <w:r w:rsidR="00731436">
        <w:t>/</w:t>
      </w:r>
      <w:r w:rsidRPr="003E2F30">
        <w:t>40 mg strength is not approved for the following reasons:</w:t>
      </w:r>
    </w:p>
    <w:p w:rsidR="0020613A" w:rsidRPr="003E2F30" w:rsidRDefault="0020613A" w:rsidP="00AF6D25">
      <w:pPr>
        <w:pStyle w:val="ListBullet"/>
      </w:pPr>
      <w:r w:rsidRPr="003E2F30">
        <w:t>Situations where an increase in rosuvastatin plasma levels may occur is a contraindication</w:t>
      </w:r>
      <w:r w:rsidR="004422B9">
        <w:t xml:space="preserve"> to the use of Crestor 40 mg. </w:t>
      </w:r>
      <w:r w:rsidR="000549DA">
        <w:t>Administration of the 10 mg</w:t>
      </w:r>
      <w:r w:rsidR="00731436">
        <w:t>/</w:t>
      </w:r>
      <w:r w:rsidRPr="003E2F30">
        <w:t>40 mg strength ezetimibe and rosuvastatin fixed dose combination tablet in the proposed usage may result in increased rosuvastatin AUC and, therefore, would be contraindicated.</w:t>
      </w:r>
    </w:p>
    <w:p w:rsidR="0020613A" w:rsidRPr="003E2F30" w:rsidRDefault="0020613A" w:rsidP="00AF6D25">
      <w:pPr>
        <w:pStyle w:val="ListBullet"/>
      </w:pPr>
      <w:r w:rsidRPr="003E2F30">
        <w:t xml:space="preserve">The current </w:t>
      </w:r>
      <w:r w:rsidRPr="004422B9">
        <w:t>EU</w:t>
      </w:r>
      <w:r w:rsidRPr="003E2F30">
        <w:t xml:space="preserve"> </w:t>
      </w:r>
      <w:proofErr w:type="spellStart"/>
      <w:r w:rsidRPr="003E2F30">
        <w:t>S</w:t>
      </w:r>
      <w:r w:rsidR="004422B9">
        <w:t>mPC</w:t>
      </w:r>
      <w:proofErr w:type="spellEnd"/>
      <w:r w:rsidR="004422B9">
        <w:t xml:space="preserve"> </w:t>
      </w:r>
      <w:r w:rsidRPr="003E2F30">
        <w:t>for Crestor and Canadian product monograph indicate that the maximum daily dose of Crestor should be adjusted so that the expected exposure (AUC) to rosuvastatin would not likely exceed that of a 40 mg daily dose of Crestor taken without i</w:t>
      </w:r>
      <w:r w:rsidR="004422B9">
        <w:t xml:space="preserve">nteracting medicinal products. </w:t>
      </w:r>
      <w:r w:rsidRPr="003E2F30">
        <w:t>This safety-related information appears to preclude the co-administration of ezetimibe 10 mg with rosuvastatin 40 mg as it may result in rosuvastatin AUC that exceeds that of a 40 mg daily dose of rosuvastatin taken without interacting medicinal products based o</w:t>
      </w:r>
      <w:r w:rsidR="004422B9">
        <w:t xml:space="preserve">n the results of Study P03317. </w:t>
      </w:r>
      <w:r w:rsidRPr="003E2F30">
        <w:t>Although this information is not in the Australian PI for Crestor, it is information relevant to the safe use of rosuvastatin.</w:t>
      </w:r>
    </w:p>
    <w:p w:rsidR="008E7846" w:rsidRPr="00AF6D25" w:rsidRDefault="008E7846" w:rsidP="00AF6D25">
      <w:pPr>
        <w:pStyle w:val="Heading2"/>
      </w:pPr>
      <w:bookmarkStart w:id="119" w:name="_Toc412706482"/>
      <w:r w:rsidRPr="00E41208">
        <w:t xml:space="preserve">V. </w:t>
      </w:r>
      <w:proofErr w:type="spellStart"/>
      <w:r w:rsidRPr="00E41208">
        <w:t>Pharmacovigilance</w:t>
      </w:r>
      <w:proofErr w:type="spellEnd"/>
      <w:r w:rsidRPr="00E41208">
        <w:t xml:space="preserve"> </w:t>
      </w:r>
      <w:r>
        <w:t>f</w:t>
      </w:r>
      <w:r w:rsidRPr="00E41208">
        <w:t>indings</w:t>
      </w:r>
      <w:bookmarkEnd w:id="86"/>
      <w:bookmarkEnd w:id="87"/>
      <w:bookmarkEnd w:id="119"/>
    </w:p>
    <w:p w:rsidR="008E7846" w:rsidRPr="00AF6D25" w:rsidRDefault="00386150" w:rsidP="00AF6D25">
      <w:pPr>
        <w:pStyle w:val="Heading3"/>
      </w:pPr>
      <w:bookmarkStart w:id="120" w:name="_Toc247691526"/>
      <w:bookmarkStart w:id="121" w:name="_Toc314842509"/>
      <w:bookmarkStart w:id="122" w:name="_Toc412706483"/>
      <w:r>
        <w:rPr>
          <w:lang w:eastAsia="en-AU"/>
        </w:rPr>
        <w:t>Risk m</w:t>
      </w:r>
      <w:r w:rsidR="008E7846">
        <w:rPr>
          <w:lang w:eastAsia="en-AU"/>
        </w:rPr>
        <w:t xml:space="preserve">anagement </w:t>
      </w:r>
      <w:r>
        <w:rPr>
          <w:lang w:eastAsia="en-AU"/>
        </w:rPr>
        <w:t>p</w:t>
      </w:r>
      <w:r w:rsidR="008E7846">
        <w:rPr>
          <w:lang w:eastAsia="en-AU"/>
        </w:rPr>
        <w:t>lan</w:t>
      </w:r>
      <w:bookmarkEnd w:id="120"/>
      <w:bookmarkEnd w:id="121"/>
      <w:bookmarkEnd w:id="122"/>
    </w:p>
    <w:p w:rsidR="008E7846" w:rsidRDefault="008E7846" w:rsidP="00AF6D25">
      <w:pPr>
        <w:rPr>
          <w:lang w:eastAsia="en-AU"/>
        </w:rPr>
      </w:pPr>
      <w:r w:rsidRPr="00F86551">
        <w:t>The sponsor submitted a Risk Management Plan</w:t>
      </w:r>
      <w:r w:rsidR="00C63F3A">
        <w:t xml:space="preserve"> (RMP)</w:t>
      </w:r>
      <w:r w:rsidR="00F86551">
        <w:t>:</w:t>
      </w:r>
      <w:r w:rsidR="00F86551" w:rsidRPr="00F86551">
        <w:t xml:space="preserve"> Australian-RMP for Ezetimibe</w:t>
      </w:r>
      <w:r w:rsidR="00F86551">
        <w:t xml:space="preserve"> </w:t>
      </w:r>
      <w:r w:rsidR="00F86551" w:rsidRPr="00F86551">
        <w:t>+</w:t>
      </w:r>
      <w:r w:rsidR="00F86551">
        <w:t xml:space="preserve"> </w:t>
      </w:r>
      <w:r w:rsidR="00F86551" w:rsidRPr="00F86551">
        <w:t xml:space="preserve">Rosuvastatin Composite Pack/Fixed Dose Combination Tablet, </w:t>
      </w:r>
      <w:r w:rsidR="005059BE">
        <w:t>V</w:t>
      </w:r>
      <w:r w:rsidR="00F86551" w:rsidRPr="00F86551">
        <w:t>ersion 1.2, dated 15</w:t>
      </w:r>
      <w:r w:rsidR="00F86551">
        <w:t xml:space="preserve"> </w:t>
      </w:r>
      <w:r w:rsidR="00F86551" w:rsidRPr="00F86551">
        <w:t>Oct</w:t>
      </w:r>
      <w:r w:rsidR="00F86551">
        <w:t xml:space="preserve">ober </w:t>
      </w:r>
      <w:r w:rsidR="00F86551" w:rsidRPr="00F86551">
        <w:t>2013</w:t>
      </w:r>
      <w:r w:rsidR="00F86551">
        <w:t xml:space="preserve">, data base lock 1 </w:t>
      </w:r>
      <w:r w:rsidR="00F86551" w:rsidRPr="00F86551">
        <w:t>Dec</w:t>
      </w:r>
      <w:r w:rsidR="00F86551">
        <w:t xml:space="preserve">ember </w:t>
      </w:r>
      <w:r w:rsidR="00F86551" w:rsidRPr="00F86551">
        <w:t>2012</w:t>
      </w:r>
      <w:r w:rsidR="00F86551">
        <w:t xml:space="preserve">, </w:t>
      </w:r>
      <w:r>
        <w:rPr>
          <w:lang w:eastAsia="en-AU"/>
        </w:rPr>
        <w:t>which was reviewed by the TGA’s Office of Product Review (OPR).</w:t>
      </w:r>
    </w:p>
    <w:p w:rsidR="00F86551" w:rsidRDefault="00F86551" w:rsidP="00AF6D25">
      <w:pPr>
        <w:rPr>
          <w:lang w:eastAsia="en-AU"/>
        </w:rPr>
      </w:pPr>
      <w:r>
        <w:rPr>
          <w:lang w:eastAsia="en-AU"/>
        </w:rPr>
        <w:t xml:space="preserve">The </w:t>
      </w:r>
      <w:r w:rsidRPr="00F86551">
        <w:rPr>
          <w:lang w:eastAsia="en-AU"/>
        </w:rPr>
        <w:t xml:space="preserve">RMP </w:t>
      </w:r>
      <w:r>
        <w:rPr>
          <w:lang w:eastAsia="en-AU"/>
        </w:rPr>
        <w:t xml:space="preserve">is an updated version of the </w:t>
      </w:r>
      <w:proofErr w:type="spellStart"/>
      <w:r w:rsidRPr="00F86551">
        <w:rPr>
          <w:lang w:eastAsia="en-AU"/>
        </w:rPr>
        <w:t>Ezetemibe</w:t>
      </w:r>
      <w:proofErr w:type="spellEnd"/>
      <w:r w:rsidR="00D318C2">
        <w:rPr>
          <w:lang w:eastAsia="en-AU"/>
        </w:rPr>
        <w:t xml:space="preserve"> </w:t>
      </w:r>
      <w:r w:rsidRPr="00F86551">
        <w:rPr>
          <w:lang w:eastAsia="en-AU"/>
        </w:rPr>
        <w:t>+</w:t>
      </w:r>
      <w:r w:rsidR="00D318C2">
        <w:rPr>
          <w:lang w:eastAsia="en-AU"/>
        </w:rPr>
        <w:t xml:space="preserve"> </w:t>
      </w:r>
      <w:proofErr w:type="spellStart"/>
      <w:r w:rsidRPr="00F86551">
        <w:rPr>
          <w:lang w:eastAsia="en-AU"/>
        </w:rPr>
        <w:t>Rosuvastatin</w:t>
      </w:r>
      <w:proofErr w:type="spellEnd"/>
      <w:r w:rsidRPr="00F86551">
        <w:rPr>
          <w:lang w:eastAsia="en-AU"/>
        </w:rPr>
        <w:t xml:space="preserve"> RMP, </w:t>
      </w:r>
      <w:r w:rsidR="005059BE">
        <w:rPr>
          <w:lang w:eastAsia="en-AU"/>
        </w:rPr>
        <w:t>V</w:t>
      </w:r>
      <w:r w:rsidRPr="00F86551">
        <w:rPr>
          <w:lang w:eastAsia="en-AU"/>
        </w:rPr>
        <w:t>ersion 1.0, dated 6</w:t>
      </w:r>
      <w:r>
        <w:rPr>
          <w:lang w:eastAsia="en-AU"/>
        </w:rPr>
        <w:t xml:space="preserve"> </w:t>
      </w:r>
      <w:r w:rsidRPr="00F86551">
        <w:rPr>
          <w:lang w:eastAsia="en-AU"/>
        </w:rPr>
        <w:t>Dec</w:t>
      </w:r>
      <w:r>
        <w:rPr>
          <w:lang w:eastAsia="en-AU"/>
        </w:rPr>
        <w:t xml:space="preserve">ember </w:t>
      </w:r>
      <w:r w:rsidRPr="00F86551">
        <w:rPr>
          <w:lang w:eastAsia="en-AU"/>
        </w:rPr>
        <w:t>2012</w:t>
      </w:r>
      <w:r w:rsidR="00D318C2">
        <w:rPr>
          <w:lang w:eastAsia="en-AU"/>
        </w:rPr>
        <w:t>,</w:t>
      </w:r>
      <w:r>
        <w:rPr>
          <w:lang w:eastAsia="en-AU"/>
        </w:rPr>
        <w:t xml:space="preserve"> which was </w:t>
      </w:r>
      <w:r w:rsidRPr="00F86551">
        <w:rPr>
          <w:lang w:eastAsia="en-AU"/>
        </w:rPr>
        <w:t xml:space="preserve">evaluated </w:t>
      </w:r>
      <w:r w:rsidR="00D318C2">
        <w:rPr>
          <w:lang w:eastAsia="en-AU"/>
        </w:rPr>
        <w:t xml:space="preserve">by TGA </w:t>
      </w:r>
      <w:r w:rsidRPr="00F86551">
        <w:rPr>
          <w:lang w:eastAsia="en-AU"/>
        </w:rPr>
        <w:t>for the submission</w:t>
      </w:r>
      <w:r>
        <w:rPr>
          <w:lang w:eastAsia="en-AU"/>
        </w:rPr>
        <w:t xml:space="preserve"> to register </w:t>
      </w:r>
      <w:proofErr w:type="spellStart"/>
      <w:r w:rsidRPr="00F86551">
        <w:rPr>
          <w:lang w:eastAsia="en-AU"/>
        </w:rPr>
        <w:t>Ezalo</w:t>
      </w:r>
      <w:proofErr w:type="spellEnd"/>
      <w:r w:rsidRPr="00F86551">
        <w:rPr>
          <w:lang w:eastAsia="en-AU"/>
        </w:rPr>
        <w:t xml:space="preserve"> Composite Pack</w:t>
      </w:r>
      <w:r>
        <w:rPr>
          <w:lang w:eastAsia="en-AU"/>
        </w:rPr>
        <w:t xml:space="preserve"> and</w:t>
      </w:r>
      <w:r w:rsidR="00AF6D25">
        <w:rPr>
          <w:lang w:eastAsia="en-AU"/>
        </w:rPr>
        <w:t xml:space="preserve"> </w:t>
      </w:r>
      <w:proofErr w:type="spellStart"/>
      <w:r w:rsidR="00AF6D25">
        <w:rPr>
          <w:lang w:eastAsia="en-AU"/>
        </w:rPr>
        <w:t>Rosuzet</w:t>
      </w:r>
      <w:proofErr w:type="spellEnd"/>
      <w:r w:rsidR="00AF6D25">
        <w:rPr>
          <w:lang w:eastAsia="en-AU"/>
        </w:rPr>
        <w:t xml:space="preserve"> Composite Pack.</w:t>
      </w:r>
    </w:p>
    <w:p w:rsidR="00F86551" w:rsidRPr="00F86551" w:rsidRDefault="00F86551" w:rsidP="00AF6D25">
      <w:pPr>
        <w:rPr>
          <w:lang w:eastAsia="en-AU"/>
        </w:rPr>
      </w:pPr>
      <w:r w:rsidRPr="00F86551">
        <w:rPr>
          <w:lang w:eastAsia="en-AU"/>
        </w:rPr>
        <w:t xml:space="preserve">There have been no changes to the safety specifications in the updated RMP </w:t>
      </w:r>
      <w:r w:rsidR="005059BE">
        <w:rPr>
          <w:lang w:eastAsia="en-AU"/>
        </w:rPr>
        <w:t>V</w:t>
      </w:r>
      <w:r w:rsidRPr="00F86551">
        <w:rPr>
          <w:lang w:eastAsia="en-AU"/>
        </w:rPr>
        <w:t>ersion 1.2 compared to the previous versions</w:t>
      </w:r>
      <w:r w:rsidR="00931012">
        <w:rPr>
          <w:lang w:eastAsia="en-AU"/>
        </w:rPr>
        <w:t xml:space="preserve"> for the </w:t>
      </w:r>
      <w:r w:rsidR="0026042A">
        <w:rPr>
          <w:lang w:eastAsia="en-AU"/>
        </w:rPr>
        <w:t>composite packs</w:t>
      </w:r>
      <w:r w:rsidRPr="00F86551">
        <w:rPr>
          <w:lang w:eastAsia="en-AU"/>
        </w:rPr>
        <w:t xml:space="preserve">. The sponsor states in RMP </w:t>
      </w:r>
      <w:r w:rsidR="005059BE">
        <w:rPr>
          <w:lang w:eastAsia="en-AU"/>
        </w:rPr>
        <w:t>V</w:t>
      </w:r>
      <w:r w:rsidRPr="00F86551">
        <w:rPr>
          <w:lang w:eastAsia="en-AU"/>
        </w:rPr>
        <w:t>ersion 1.2</w:t>
      </w:r>
      <w:r w:rsidR="00EC2122">
        <w:rPr>
          <w:lang w:eastAsia="en-AU"/>
        </w:rPr>
        <w:t xml:space="preserve"> (and </w:t>
      </w:r>
      <w:r w:rsidR="005059BE">
        <w:rPr>
          <w:lang w:eastAsia="en-AU"/>
        </w:rPr>
        <w:t>V</w:t>
      </w:r>
      <w:r w:rsidR="00EC2122">
        <w:rPr>
          <w:lang w:eastAsia="en-AU"/>
        </w:rPr>
        <w:t>ersion 1.1)</w:t>
      </w:r>
      <w:r w:rsidRPr="00F86551">
        <w:rPr>
          <w:lang w:eastAsia="en-AU"/>
        </w:rPr>
        <w:t xml:space="preserve">: </w:t>
      </w:r>
      <w:r w:rsidRPr="00D318C2">
        <w:rPr>
          <w:i/>
          <w:lang w:eastAsia="en-AU"/>
        </w:rPr>
        <w:t>This is an update of the first RMP submission for ezetimibe + rosuvastatin to include a second formulation of this combination (fixed dose combination tablet). No new safety concerns have been identified since the previous version of the RMP</w:t>
      </w:r>
      <w:r w:rsidR="00AF6D25">
        <w:rPr>
          <w:lang w:eastAsia="en-AU"/>
        </w:rPr>
        <w:t>.</w:t>
      </w:r>
    </w:p>
    <w:p w:rsidR="00F86551" w:rsidRPr="00F86551" w:rsidRDefault="00D318C2" w:rsidP="00AF6D25">
      <w:pPr>
        <w:rPr>
          <w:lang w:eastAsia="en-AU"/>
        </w:rPr>
      </w:pPr>
      <w:r>
        <w:rPr>
          <w:lang w:eastAsia="en-AU"/>
        </w:rPr>
        <w:lastRenderedPageBreak/>
        <w:t>T</w:t>
      </w:r>
      <w:r w:rsidR="00F86551" w:rsidRPr="00F86551">
        <w:rPr>
          <w:lang w:eastAsia="en-AU"/>
        </w:rPr>
        <w:t xml:space="preserve">he RMP evaluated for this submission is essentially identical to the RMP evaluated in the previous submission </w:t>
      </w:r>
      <w:r>
        <w:rPr>
          <w:lang w:eastAsia="en-AU"/>
        </w:rPr>
        <w:t>for the composite packs</w:t>
      </w:r>
      <w:r w:rsidR="00C63F3A">
        <w:rPr>
          <w:rStyle w:val="FootnoteReference"/>
          <w:lang w:eastAsia="en-AU"/>
        </w:rPr>
        <w:footnoteReference w:id="11"/>
      </w:r>
      <w:r>
        <w:rPr>
          <w:lang w:eastAsia="en-AU"/>
        </w:rPr>
        <w:t xml:space="preserve"> </w:t>
      </w:r>
      <w:r w:rsidR="00F86551" w:rsidRPr="00F86551">
        <w:rPr>
          <w:lang w:eastAsia="en-AU"/>
        </w:rPr>
        <w:t>and therefore any issues raised in the evaluation report for the previous submission are applicable for the current submission.</w:t>
      </w:r>
    </w:p>
    <w:p w:rsidR="008E7846" w:rsidRPr="00AF6D25" w:rsidRDefault="003A7F6C" w:rsidP="00AF6D25">
      <w:pPr>
        <w:pStyle w:val="Heading4"/>
      </w:pPr>
      <w:r>
        <w:rPr>
          <w:lang w:eastAsia="en-AU"/>
        </w:rPr>
        <w:t>Safety s</w:t>
      </w:r>
      <w:r w:rsidR="008E7846">
        <w:rPr>
          <w:lang w:eastAsia="en-AU"/>
        </w:rPr>
        <w:t>pecification</w:t>
      </w:r>
    </w:p>
    <w:p w:rsidR="008E7846" w:rsidRDefault="008E7846" w:rsidP="00AF6D25">
      <w:pPr>
        <w:rPr>
          <w:lang w:eastAsia="en-AU"/>
        </w:rPr>
      </w:pPr>
      <w:r>
        <w:rPr>
          <w:lang w:eastAsia="en-AU"/>
        </w:rPr>
        <w:t>The</w:t>
      </w:r>
      <w:r w:rsidR="006F25B8">
        <w:rPr>
          <w:lang w:eastAsia="en-AU"/>
        </w:rPr>
        <w:t xml:space="preserve"> sponsor provided a summary of o</w:t>
      </w:r>
      <w:r>
        <w:rPr>
          <w:lang w:eastAsia="en-AU"/>
        </w:rPr>
        <w:t xml:space="preserve">ngoing safety </w:t>
      </w:r>
      <w:r w:rsidR="006F25B8">
        <w:rPr>
          <w:lang w:eastAsia="en-AU"/>
        </w:rPr>
        <w:t>c</w:t>
      </w:r>
      <w:r>
        <w:rPr>
          <w:lang w:eastAsia="en-AU"/>
        </w:rPr>
        <w:t>on</w:t>
      </w:r>
      <w:r w:rsidR="00EC2122">
        <w:rPr>
          <w:lang w:eastAsia="en-AU"/>
        </w:rPr>
        <w:t xml:space="preserve">cerns which are shown at Table </w:t>
      </w:r>
      <w:r w:rsidR="008615E3">
        <w:rPr>
          <w:lang w:eastAsia="en-AU"/>
        </w:rPr>
        <w:t>4</w:t>
      </w:r>
      <w:r>
        <w:rPr>
          <w:lang w:eastAsia="en-AU"/>
        </w:rPr>
        <w:t>.</w:t>
      </w:r>
    </w:p>
    <w:p w:rsidR="008E7846" w:rsidRDefault="00D318C2" w:rsidP="00AF6D25">
      <w:pPr>
        <w:pStyle w:val="TableTitle"/>
        <w:rPr>
          <w:lang w:eastAsia="en-AU"/>
        </w:rPr>
      </w:pPr>
      <w:r>
        <w:rPr>
          <w:lang w:eastAsia="en-AU"/>
        </w:rPr>
        <w:t xml:space="preserve">Table </w:t>
      </w:r>
      <w:r w:rsidR="008615E3">
        <w:rPr>
          <w:lang w:eastAsia="en-AU"/>
        </w:rPr>
        <w:t>4</w:t>
      </w:r>
      <w:r>
        <w:rPr>
          <w:lang w:eastAsia="en-AU"/>
        </w:rPr>
        <w:t xml:space="preserve">: </w:t>
      </w:r>
      <w:r w:rsidR="008E7846">
        <w:rPr>
          <w:lang w:eastAsia="en-AU"/>
        </w:rPr>
        <w:t xml:space="preserve">Summary </w:t>
      </w:r>
      <w:r w:rsidR="008E7846" w:rsidRPr="00AF6D25">
        <w:t>of</w:t>
      </w:r>
      <w:r w:rsidR="008E7846">
        <w:rPr>
          <w:lang w:eastAsia="en-AU"/>
        </w:rPr>
        <w:t xml:space="preserve"> </w:t>
      </w:r>
      <w:r w:rsidR="00EC2122">
        <w:rPr>
          <w:lang w:eastAsia="en-AU"/>
        </w:rPr>
        <w:t>Ongoing S</w:t>
      </w:r>
      <w:r w:rsidR="00931012">
        <w:rPr>
          <w:lang w:eastAsia="en-AU"/>
        </w:rPr>
        <w:t xml:space="preserve">afety </w:t>
      </w:r>
      <w:r w:rsidR="00EC2122">
        <w:rPr>
          <w:lang w:eastAsia="en-AU"/>
        </w:rPr>
        <w:t>C</w:t>
      </w:r>
      <w:r w:rsidR="00AF6D25">
        <w:rPr>
          <w:lang w:eastAsia="en-AU"/>
        </w:rPr>
        <w:t>oncerns</w:t>
      </w:r>
    </w:p>
    <w:tbl>
      <w:tblPr>
        <w:tblStyle w:val="TableTGAblue"/>
        <w:tblW w:w="0" w:type="auto"/>
        <w:tblLook w:val="04A0" w:firstRow="1" w:lastRow="0" w:firstColumn="1" w:lastColumn="0" w:noHBand="0" w:noVBand="1"/>
      </w:tblPr>
      <w:tblGrid>
        <w:gridCol w:w="4182"/>
        <w:gridCol w:w="4182"/>
      </w:tblGrid>
      <w:tr w:rsidR="00D00732" w:rsidRPr="000549DA" w:rsidTr="000F7116">
        <w:trPr>
          <w:cnfStyle w:val="100000000000" w:firstRow="1" w:lastRow="0" w:firstColumn="0" w:lastColumn="0" w:oddVBand="0" w:evenVBand="0" w:oddHBand="0" w:evenHBand="0" w:firstRowFirstColumn="0" w:firstRowLastColumn="0" w:lastRowFirstColumn="0" w:lastRowLastColumn="0"/>
        </w:trPr>
        <w:tc>
          <w:tcPr>
            <w:tcW w:w="8364" w:type="dxa"/>
            <w:gridSpan w:val="2"/>
          </w:tcPr>
          <w:p w:rsidR="00D00732" w:rsidRPr="000549DA" w:rsidRDefault="00D00732" w:rsidP="00AF6D25">
            <w:pPr>
              <w:tabs>
                <w:tab w:val="left" w:pos="3966"/>
              </w:tabs>
              <w:ind w:left="0" w:right="0"/>
            </w:pPr>
            <w:r w:rsidRPr="000549DA">
              <w:t>Ongoing Safety Concerns</w:t>
            </w:r>
          </w:p>
        </w:tc>
      </w:tr>
      <w:tr w:rsidR="00931012" w:rsidRPr="000549DA" w:rsidTr="000F7116">
        <w:tc>
          <w:tcPr>
            <w:tcW w:w="4182" w:type="dxa"/>
          </w:tcPr>
          <w:p w:rsidR="00931012" w:rsidRPr="000549DA" w:rsidRDefault="00931012" w:rsidP="00AF6D25">
            <w:pPr>
              <w:tabs>
                <w:tab w:val="left" w:pos="3966"/>
              </w:tabs>
              <w:ind w:left="0" w:right="0"/>
            </w:pPr>
            <w:r w:rsidRPr="000549DA">
              <w:t>Important Identifie</w:t>
            </w:r>
            <w:r w:rsidR="00AF6D25">
              <w:t>d Risks</w:t>
            </w:r>
          </w:p>
        </w:tc>
        <w:tc>
          <w:tcPr>
            <w:tcW w:w="4182" w:type="dxa"/>
          </w:tcPr>
          <w:p w:rsidR="00931012" w:rsidRPr="000549DA" w:rsidRDefault="00931012" w:rsidP="00AF6D25">
            <w:pPr>
              <w:tabs>
                <w:tab w:val="left" w:pos="3966"/>
              </w:tabs>
              <w:ind w:left="0" w:right="0"/>
            </w:pPr>
            <w:r w:rsidRPr="000549DA">
              <w:t xml:space="preserve">Rhabdomyolysis/Myopathy Abnormal </w:t>
            </w:r>
            <w:r w:rsidR="00AF6D25">
              <w:t>liver function Hypersensitivity</w:t>
            </w:r>
          </w:p>
          <w:p w:rsidR="00931012" w:rsidRPr="000549DA" w:rsidRDefault="00AF6D25" w:rsidP="00AF6D25">
            <w:pPr>
              <w:tabs>
                <w:tab w:val="left" w:pos="3966"/>
              </w:tabs>
              <w:ind w:left="0" w:right="0"/>
            </w:pPr>
            <w:r>
              <w:t>Drug interaction with:</w:t>
            </w:r>
          </w:p>
          <w:p w:rsidR="00931012" w:rsidRPr="000549DA" w:rsidRDefault="00931012" w:rsidP="00AF6D25">
            <w:pPr>
              <w:tabs>
                <w:tab w:val="left" w:pos="3966"/>
              </w:tabs>
              <w:ind w:left="0" w:right="0"/>
            </w:pPr>
            <w:r w:rsidRPr="000549DA">
              <w:t xml:space="preserve">Warfarin; another </w:t>
            </w:r>
            <w:proofErr w:type="spellStart"/>
            <w:r w:rsidRPr="000549DA">
              <w:t>coumar</w:t>
            </w:r>
            <w:r w:rsidR="00AF6D25">
              <w:t>in</w:t>
            </w:r>
            <w:proofErr w:type="spellEnd"/>
            <w:r w:rsidR="00AF6D25">
              <w:t xml:space="preserve"> anticoagulant, or </w:t>
            </w:r>
            <w:proofErr w:type="spellStart"/>
            <w:r w:rsidR="00AF6D25">
              <w:t>fluindione</w:t>
            </w:r>
            <w:proofErr w:type="spellEnd"/>
          </w:p>
          <w:p w:rsidR="00931012" w:rsidRPr="000549DA" w:rsidRDefault="00AF6D25" w:rsidP="00AF6D25">
            <w:pPr>
              <w:tabs>
                <w:tab w:val="left" w:pos="3966"/>
              </w:tabs>
              <w:ind w:left="0" w:right="0"/>
            </w:pPr>
            <w:proofErr w:type="spellStart"/>
            <w:r>
              <w:t>Cyclosporin</w:t>
            </w:r>
            <w:proofErr w:type="spellEnd"/>
          </w:p>
          <w:p w:rsidR="00931012" w:rsidRPr="000549DA" w:rsidRDefault="00AF6D25" w:rsidP="00AF6D25">
            <w:pPr>
              <w:tabs>
                <w:tab w:val="left" w:pos="3966"/>
              </w:tabs>
              <w:ind w:left="0" w:right="0"/>
            </w:pPr>
            <w:r>
              <w:t>Fibrates</w:t>
            </w:r>
          </w:p>
          <w:p w:rsidR="00931012" w:rsidRPr="000549DA" w:rsidRDefault="00AF6D25" w:rsidP="00AF6D25">
            <w:pPr>
              <w:tabs>
                <w:tab w:val="left" w:pos="3966"/>
              </w:tabs>
              <w:ind w:left="0" w:right="0"/>
            </w:pPr>
            <w:r>
              <w:t>Protease Inhibitors</w:t>
            </w:r>
          </w:p>
          <w:p w:rsidR="00931012" w:rsidRPr="000549DA" w:rsidRDefault="00AF6D25" w:rsidP="00AF6D25">
            <w:pPr>
              <w:tabs>
                <w:tab w:val="left" w:pos="3966"/>
              </w:tabs>
              <w:ind w:left="0" w:right="0"/>
            </w:pPr>
            <w:r>
              <w:t>Antacids</w:t>
            </w:r>
          </w:p>
        </w:tc>
      </w:tr>
      <w:tr w:rsidR="00931012" w:rsidRPr="000549DA" w:rsidTr="000F7116">
        <w:tc>
          <w:tcPr>
            <w:tcW w:w="4182" w:type="dxa"/>
          </w:tcPr>
          <w:p w:rsidR="00931012" w:rsidRPr="00AF6D25" w:rsidRDefault="00931012" w:rsidP="00AF6D25">
            <w:pPr>
              <w:tabs>
                <w:tab w:val="left" w:pos="3966"/>
              </w:tabs>
              <w:ind w:left="0" w:right="0"/>
            </w:pPr>
            <w:r w:rsidRPr="000549DA">
              <w:t>Important Potential Risks</w:t>
            </w:r>
          </w:p>
        </w:tc>
        <w:tc>
          <w:tcPr>
            <w:tcW w:w="4182" w:type="dxa"/>
          </w:tcPr>
          <w:p w:rsidR="00931012" w:rsidRPr="000549DA" w:rsidRDefault="00AF6D25" w:rsidP="00AF6D25">
            <w:pPr>
              <w:tabs>
                <w:tab w:val="left" w:pos="3966"/>
              </w:tabs>
              <w:ind w:left="0" w:right="0"/>
            </w:pPr>
            <w:r>
              <w:t>Pancreatitis</w:t>
            </w:r>
          </w:p>
          <w:p w:rsidR="00931012" w:rsidRPr="000549DA" w:rsidRDefault="00931012" w:rsidP="00AF6D25">
            <w:pPr>
              <w:tabs>
                <w:tab w:val="left" w:pos="3966"/>
              </w:tabs>
              <w:ind w:left="0" w:right="0"/>
            </w:pPr>
            <w:proofErr w:type="spellStart"/>
            <w:r w:rsidRPr="000549DA">
              <w:t>Ch</w:t>
            </w:r>
            <w:r w:rsidR="00AF6D25">
              <w:t>olecystitis</w:t>
            </w:r>
            <w:proofErr w:type="spellEnd"/>
            <w:r w:rsidR="00AF6D25">
              <w:t>/</w:t>
            </w:r>
            <w:proofErr w:type="spellStart"/>
            <w:r w:rsidR="00AF6D25">
              <w:t>Cholelithiasis</w:t>
            </w:r>
            <w:proofErr w:type="spellEnd"/>
          </w:p>
          <w:p w:rsidR="00931012" w:rsidRPr="000549DA" w:rsidRDefault="00AF6D25" w:rsidP="00AF6D25">
            <w:pPr>
              <w:tabs>
                <w:tab w:val="left" w:pos="3966"/>
              </w:tabs>
              <w:ind w:left="0" w:right="0"/>
            </w:pPr>
            <w:r>
              <w:t>Interstitial Lung Disease</w:t>
            </w:r>
          </w:p>
        </w:tc>
      </w:tr>
      <w:tr w:rsidR="00931012" w:rsidRPr="000549DA" w:rsidTr="000F7116">
        <w:tc>
          <w:tcPr>
            <w:tcW w:w="4182" w:type="dxa"/>
          </w:tcPr>
          <w:p w:rsidR="00931012" w:rsidRPr="000549DA" w:rsidRDefault="00AF6D25" w:rsidP="00AF6D25">
            <w:pPr>
              <w:tabs>
                <w:tab w:val="left" w:pos="3966"/>
              </w:tabs>
              <w:ind w:left="0" w:right="0"/>
            </w:pPr>
            <w:r>
              <w:t>Important Missing Information</w:t>
            </w:r>
          </w:p>
        </w:tc>
        <w:tc>
          <w:tcPr>
            <w:tcW w:w="4182" w:type="dxa"/>
          </w:tcPr>
          <w:p w:rsidR="00931012" w:rsidRPr="000549DA" w:rsidRDefault="00931012" w:rsidP="00AF6D25">
            <w:pPr>
              <w:tabs>
                <w:tab w:val="left" w:pos="3966"/>
              </w:tabs>
              <w:ind w:left="0" w:right="0"/>
            </w:pPr>
            <w:r w:rsidRPr="000549DA">
              <w:t>Exposure</w:t>
            </w:r>
            <w:r w:rsidR="00AF6D25">
              <w:t xml:space="preserve"> during pregnancy and lactation</w:t>
            </w:r>
          </w:p>
          <w:p w:rsidR="00931012" w:rsidRPr="000549DA" w:rsidRDefault="00AF6D25" w:rsidP="00AF6D25">
            <w:pPr>
              <w:tabs>
                <w:tab w:val="left" w:pos="3966"/>
              </w:tabs>
              <w:ind w:left="0" w:right="0"/>
            </w:pPr>
            <w:r>
              <w:t>Use in children</w:t>
            </w:r>
          </w:p>
        </w:tc>
      </w:tr>
    </w:tbl>
    <w:p w:rsidR="008E7846" w:rsidRPr="00AF6D25" w:rsidRDefault="008E7846" w:rsidP="00AF6D25">
      <w:pPr>
        <w:pStyle w:val="Heading4"/>
      </w:pPr>
      <w:proofErr w:type="spellStart"/>
      <w:r>
        <w:rPr>
          <w:lang w:eastAsia="en-AU"/>
        </w:rPr>
        <w:t>Pharmacovigilance</w:t>
      </w:r>
      <w:proofErr w:type="spellEnd"/>
      <w:r>
        <w:rPr>
          <w:lang w:eastAsia="en-AU"/>
        </w:rPr>
        <w:t xml:space="preserve"> </w:t>
      </w:r>
      <w:r w:rsidR="003A7F6C">
        <w:rPr>
          <w:lang w:eastAsia="en-AU"/>
        </w:rPr>
        <w:t>p</w:t>
      </w:r>
      <w:r>
        <w:rPr>
          <w:lang w:eastAsia="en-AU"/>
        </w:rPr>
        <w:t>lan</w:t>
      </w:r>
    </w:p>
    <w:p w:rsidR="008E7846" w:rsidRDefault="0026042A" w:rsidP="00AF6D25">
      <w:pPr>
        <w:rPr>
          <w:lang w:eastAsia="en-AU"/>
        </w:rPr>
      </w:pPr>
      <w:r>
        <w:rPr>
          <w:lang w:eastAsia="en-AU"/>
        </w:rPr>
        <w:t xml:space="preserve">Routine </w:t>
      </w:r>
      <w:proofErr w:type="spellStart"/>
      <w:r>
        <w:rPr>
          <w:lang w:eastAsia="en-AU"/>
        </w:rPr>
        <w:t>pharmacovigilance</w:t>
      </w:r>
      <w:proofErr w:type="spellEnd"/>
      <w:r>
        <w:rPr>
          <w:lang w:eastAsia="en-AU"/>
        </w:rPr>
        <w:t xml:space="preserve"> activities are proposed.</w:t>
      </w:r>
    </w:p>
    <w:p w:rsidR="008E7846" w:rsidRDefault="008E7846" w:rsidP="00AF6D25">
      <w:pPr>
        <w:pStyle w:val="Heading4"/>
        <w:rPr>
          <w:lang w:eastAsia="en-AU"/>
        </w:rPr>
      </w:pPr>
      <w:r>
        <w:rPr>
          <w:lang w:eastAsia="en-AU"/>
        </w:rPr>
        <w:t xml:space="preserve">Risk </w:t>
      </w:r>
      <w:r w:rsidR="003A7F6C">
        <w:rPr>
          <w:lang w:eastAsia="en-AU"/>
        </w:rPr>
        <w:t>m</w:t>
      </w:r>
      <w:r>
        <w:rPr>
          <w:lang w:eastAsia="en-AU"/>
        </w:rPr>
        <w:t xml:space="preserve">inimisation </w:t>
      </w:r>
      <w:r w:rsidR="003A7F6C" w:rsidRPr="00AF6D25">
        <w:t>a</w:t>
      </w:r>
      <w:r w:rsidRPr="00AF6D25">
        <w:t>ctivities</w:t>
      </w:r>
    </w:p>
    <w:p w:rsidR="006F25B8" w:rsidRDefault="0026042A" w:rsidP="00AF6D25">
      <w:pPr>
        <w:rPr>
          <w:lang w:eastAsia="en-AU"/>
        </w:rPr>
      </w:pPr>
      <w:bookmarkStart w:id="123" w:name="_Toc247691527"/>
      <w:r>
        <w:rPr>
          <w:lang w:eastAsia="en-AU"/>
        </w:rPr>
        <w:t>Routine risk minimisation activities are proposed.</w:t>
      </w:r>
    </w:p>
    <w:p w:rsidR="006F25B8" w:rsidRDefault="006F25B8" w:rsidP="00AF6D25">
      <w:pPr>
        <w:pStyle w:val="Heading4"/>
        <w:rPr>
          <w:lang w:eastAsia="en-AU"/>
        </w:rPr>
      </w:pPr>
      <w:r w:rsidRPr="006F25B8">
        <w:rPr>
          <w:lang w:eastAsia="en-AU"/>
        </w:rPr>
        <w:t>Reconciliation of is</w:t>
      </w:r>
      <w:r w:rsidR="00AF6D25">
        <w:rPr>
          <w:lang w:eastAsia="en-AU"/>
        </w:rPr>
        <w:t>sues outlined in the RMP report</w:t>
      </w:r>
    </w:p>
    <w:p w:rsidR="006F25B8" w:rsidRDefault="006F25B8" w:rsidP="00AF6D25">
      <w:pPr>
        <w:rPr>
          <w:lang w:eastAsia="en-AU"/>
        </w:rPr>
      </w:pPr>
      <w:r>
        <w:rPr>
          <w:lang w:eastAsia="en-AU"/>
        </w:rPr>
        <w:t xml:space="preserve">Table </w:t>
      </w:r>
      <w:r w:rsidR="008615E3">
        <w:rPr>
          <w:lang w:eastAsia="en-AU"/>
        </w:rPr>
        <w:t>5</w:t>
      </w:r>
      <w:r>
        <w:rPr>
          <w:lang w:eastAsia="en-AU"/>
        </w:rPr>
        <w:t xml:space="preserve"> summarises the OPR’s first round evaluation of the RMP, the sponsor’s responses to issues raised by the OPR and the OPR’s evaluat</w:t>
      </w:r>
      <w:r w:rsidR="0026042A">
        <w:rPr>
          <w:lang w:eastAsia="en-AU"/>
        </w:rPr>
        <w:t>ion of the sponsor’s responses.</w:t>
      </w:r>
    </w:p>
    <w:p w:rsidR="0026042A" w:rsidRPr="00AF6D25" w:rsidRDefault="0026042A" w:rsidP="00AF6D25">
      <w:pPr>
        <w:pStyle w:val="TableTitle"/>
      </w:pPr>
      <w:r w:rsidRPr="0026042A">
        <w:lastRenderedPageBreak/>
        <w:t xml:space="preserve">Table </w:t>
      </w:r>
      <w:r w:rsidR="008615E3">
        <w:t>5</w:t>
      </w:r>
      <w:r w:rsidRPr="0026042A">
        <w:t>: Reconciliation of issues outlined in the RMP report</w:t>
      </w:r>
    </w:p>
    <w:tbl>
      <w:tblPr>
        <w:tblStyle w:val="TableTGAblue"/>
        <w:tblW w:w="5000" w:type="pct"/>
        <w:jc w:val="center"/>
        <w:tblLayout w:type="fixed"/>
        <w:tblLook w:val="04A0" w:firstRow="1" w:lastRow="0" w:firstColumn="1" w:lastColumn="0" w:noHBand="0" w:noVBand="1"/>
      </w:tblPr>
      <w:tblGrid>
        <w:gridCol w:w="2906"/>
        <w:gridCol w:w="3439"/>
        <w:gridCol w:w="2375"/>
      </w:tblGrid>
      <w:tr w:rsidR="0026042A" w:rsidRPr="0026042A" w:rsidTr="006342EB">
        <w:trPr>
          <w:cnfStyle w:val="100000000000" w:firstRow="1" w:lastRow="0" w:firstColumn="0" w:lastColumn="0" w:oddVBand="0" w:evenVBand="0" w:oddHBand="0" w:evenHBand="0" w:firstRowFirstColumn="0" w:firstRowLastColumn="0" w:lastRowFirstColumn="0" w:lastRowLastColumn="0"/>
          <w:jc w:val="center"/>
        </w:trPr>
        <w:tc>
          <w:tcPr>
            <w:tcW w:w="1666" w:type="pct"/>
            <w:noWrap/>
          </w:tcPr>
          <w:p w:rsidR="0026042A" w:rsidRPr="0026042A" w:rsidRDefault="0026042A" w:rsidP="00AF6D25">
            <w:pPr>
              <w:ind w:left="0" w:right="0"/>
            </w:pPr>
            <w:r w:rsidRPr="0026042A">
              <w:t>Recommendation in RMP evaluation report</w:t>
            </w:r>
          </w:p>
        </w:tc>
        <w:tc>
          <w:tcPr>
            <w:tcW w:w="1972" w:type="pct"/>
            <w:noWrap/>
          </w:tcPr>
          <w:p w:rsidR="0026042A" w:rsidRPr="0026042A" w:rsidRDefault="0026042A" w:rsidP="00AF6D25">
            <w:pPr>
              <w:ind w:left="0" w:right="0"/>
            </w:pPr>
            <w:r w:rsidRPr="0026042A">
              <w:t>Sponsor’s response</w:t>
            </w:r>
          </w:p>
        </w:tc>
        <w:tc>
          <w:tcPr>
            <w:tcW w:w="1362" w:type="pct"/>
            <w:noWrap/>
          </w:tcPr>
          <w:p w:rsidR="0026042A" w:rsidRPr="0026042A" w:rsidRDefault="0026042A" w:rsidP="00AF6D25">
            <w:pPr>
              <w:ind w:left="0" w:right="0"/>
            </w:pPr>
            <w:r w:rsidRPr="0026042A">
              <w:t>OPR evaluator’s comment</w:t>
            </w:r>
          </w:p>
        </w:tc>
      </w:tr>
      <w:tr w:rsidR="0026042A" w:rsidRPr="0026042A" w:rsidTr="006342EB">
        <w:trPr>
          <w:jc w:val="center"/>
        </w:trPr>
        <w:tc>
          <w:tcPr>
            <w:tcW w:w="1666"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26042A" w:rsidRPr="00AF6D25" w:rsidRDefault="0026042A" w:rsidP="00AF6D25">
            <w:pPr>
              <w:pStyle w:val="Numberbullet0"/>
              <w:keepNext/>
              <w:numPr>
                <w:ilvl w:val="0"/>
                <w:numId w:val="17"/>
              </w:numPr>
            </w:pPr>
            <w:r w:rsidRPr="00AF6D25">
              <w:t>It is recommended that the sponsor includes “hepatic failure” as an identified risk in the table of ongoing safety concerns in an updated RMP as agreed by the sponsor during the evaluation for the previous submission.</w:t>
            </w:r>
          </w:p>
        </w:tc>
        <w:tc>
          <w:tcPr>
            <w:tcW w:w="1972"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C63F3A" w:rsidRPr="0026042A" w:rsidRDefault="0026042A" w:rsidP="00AF6D25">
            <w:pPr>
              <w:ind w:left="0" w:right="0"/>
              <w:rPr>
                <w:sz w:val="20"/>
                <w:szCs w:val="20"/>
              </w:rPr>
            </w:pPr>
            <w:r w:rsidRPr="0026042A">
              <w:rPr>
                <w:sz w:val="20"/>
                <w:szCs w:val="20"/>
              </w:rPr>
              <w:t>Hepatic failure has now been added as a Potential risk to the table of ongoing saf</w:t>
            </w:r>
            <w:r>
              <w:rPr>
                <w:sz w:val="20"/>
                <w:szCs w:val="20"/>
              </w:rPr>
              <w:t>ety concerns in the updated RMP</w:t>
            </w:r>
            <w:r w:rsidRPr="0026042A">
              <w:rPr>
                <w:sz w:val="20"/>
                <w:szCs w:val="20"/>
              </w:rPr>
              <w:t xml:space="preserve"> as proposed by </w:t>
            </w:r>
            <w:r w:rsidR="00731436">
              <w:rPr>
                <w:sz w:val="20"/>
                <w:szCs w:val="20"/>
              </w:rPr>
              <w:t xml:space="preserve">the sponsor </w:t>
            </w:r>
            <w:r w:rsidRPr="0026042A">
              <w:rPr>
                <w:sz w:val="20"/>
                <w:szCs w:val="20"/>
              </w:rPr>
              <w:t xml:space="preserve">and accepted by the Delegate during the evaluation of </w:t>
            </w:r>
            <w:proofErr w:type="spellStart"/>
            <w:r w:rsidRPr="0026042A">
              <w:rPr>
                <w:sz w:val="20"/>
                <w:szCs w:val="20"/>
              </w:rPr>
              <w:t>R</w:t>
            </w:r>
            <w:r>
              <w:rPr>
                <w:sz w:val="20"/>
                <w:szCs w:val="20"/>
              </w:rPr>
              <w:t>osuzet</w:t>
            </w:r>
            <w:proofErr w:type="spellEnd"/>
            <w:r w:rsidRPr="0026042A">
              <w:rPr>
                <w:sz w:val="20"/>
                <w:szCs w:val="20"/>
              </w:rPr>
              <w:t>/</w:t>
            </w:r>
            <w:proofErr w:type="spellStart"/>
            <w:r w:rsidRPr="0026042A">
              <w:rPr>
                <w:sz w:val="20"/>
                <w:szCs w:val="20"/>
              </w:rPr>
              <w:t>E</w:t>
            </w:r>
            <w:r>
              <w:rPr>
                <w:sz w:val="20"/>
                <w:szCs w:val="20"/>
              </w:rPr>
              <w:t>zalo</w:t>
            </w:r>
            <w:proofErr w:type="spellEnd"/>
            <w:r w:rsidRPr="0026042A">
              <w:rPr>
                <w:sz w:val="20"/>
                <w:szCs w:val="20"/>
              </w:rPr>
              <w:t xml:space="preserve"> Composite Pack. The Delegate accepted the proposal to include Hepatic failure as a “Potential risk” rather than “Identified risk” based on the rationale provided </w:t>
            </w:r>
            <w:r w:rsidR="00731436">
              <w:rPr>
                <w:sz w:val="20"/>
                <w:szCs w:val="20"/>
              </w:rPr>
              <w:t xml:space="preserve">by </w:t>
            </w:r>
            <w:r>
              <w:rPr>
                <w:sz w:val="20"/>
                <w:szCs w:val="20"/>
              </w:rPr>
              <w:t>the sponsor</w:t>
            </w:r>
          </w:p>
        </w:tc>
        <w:tc>
          <w:tcPr>
            <w:tcW w:w="1362"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26042A" w:rsidRPr="0026042A" w:rsidRDefault="0026042A" w:rsidP="00AF6D25">
            <w:pPr>
              <w:ind w:left="0" w:right="0"/>
              <w:rPr>
                <w:sz w:val="20"/>
                <w:szCs w:val="20"/>
              </w:rPr>
            </w:pPr>
            <w:r>
              <w:rPr>
                <w:sz w:val="20"/>
                <w:szCs w:val="20"/>
              </w:rPr>
              <w:t>Pending the D</w:t>
            </w:r>
            <w:r w:rsidRPr="0026042A">
              <w:rPr>
                <w:sz w:val="20"/>
                <w:szCs w:val="20"/>
              </w:rPr>
              <w:t>elegate’s acceptance of this justification, it is considered acceptable.</w:t>
            </w:r>
          </w:p>
        </w:tc>
      </w:tr>
      <w:tr w:rsidR="0026042A" w:rsidRPr="0026042A" w:rsidTr="006342EB">
        <w:trPr>
          <w:cantSplit/>
          <w:trHeight w:val="2614"/>
          <w:jc w:val="center"/>
        </w:trPr>
        <w:tc>
          <w:tcPr>
            <w:tcW w:w="1666"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26042A" w:rsidRPr="0026042A" w:rsidRDefault="0026042A" w:rsidP="00AF6D25">
            <w:pPr>
              <w:pStyle w:val="Numberbullet0"/>
            </w:pPr>
            <w:r w:rsidRPr="0026042A">
              <w:t xml:space="preserve">It is recommended that a statement be added to the </w:t>
            </w:r>
            <w:r w:rsidRPr="000549DA">
              <w:rPr>
                <w:i/>
              </w:rPr>
              <w:t xml:space="preserve">Precautions </w:t>
            </w:r>
            <w:r w:rsidRPr="0026042A">
              <w:t xml:space="preserve">section of the PI describing that a possible increase in rosuvastatin plasma exposure is due to co-administration of ezetimibe, or at least contains cross-reference to the </w:t>
            </w:r>
            <w:r w:rsidRPr="000549DA">
              <w:rPr>
                <w:i/>
              </w:rPr>
              <w:t xml:space="preserve">Pharmacokinetics </w:t>
            </w:r>
            <w:r w:rsidRPr="0026042A">
              <w:t>section of the PI.</w:t>
            </w:r>
          </w:p>
        </w:tc>
        <w:tc>
          <w:tcPr>
            <w:tcW w:w="1972"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26042A" w:rsidRPr="0026042A" w:rsidRDefault="0026042A" w:rsidP="00AF6D25">
            <w:pPr>
              <w:ind w:left="0" w:right="0"/>
              <w:rPr>
                <w:sz w:val="20"/>
                <w:szCs w:val="20"/>
              </w:rPr>
            </w:pPr>
            <w:r>
              <w:rPr>
                <w:sz w:val="20"/>
                <w:szCs w:val="20"/>
              </w:rPr>
              <w:t xml:space="preserve">The sponsor </w:t>
            </w:r>
            <w:r w:rsidRPr="0026042A">
              <w:rPr>
                <w:sz w:val="20"/>
                <w:szCs w:val="20"/>
              </w:rPr>
              <w:t xml:space="preserve">concurs. Cross-reference to the </w:t>
            </w:r>
            <w:r w:rsidRPr="000549DA">
              <w:rPr>
                <w:i/>
                <w:sz w:val="20"/>
                <w:szCs w:val="20"/>
              </w:rPr>
              <w:t xml:space="preserve">Pharmacokinetics </w:t>
            </w:r>
            <w:r w:rsidRPr="0026042A">
              <w:rPr>
                <w:sz w:val="20"/>
                <w:szCs w:val="20"/>
              </w:rPr>
              <w:t xml:space="preserve">section of the PI has been added under the </w:t>
            </w:r>
            <w:r w:rsidRPr="000549DA">
              <w:rPr>
                <w:i/>
                <w:sz w:val="20"/>
                <w:szCs w:val="20"/>
              </w:rPr>
              <w:t>P</w:t>
            </w:r>
            <w:r w:rsidR="00596631" w:rsidRPr="000549DA">
              <w:rPr>
                <w:i/>
                <w:sz w:val="20"/>
                <w:szCs w:val="20"/>
              </w:rPr>
              <w:t>recautions</w:t>
            </w:r>
            <w:r w:rsidRPr="000549DA">
              <w:rPr>
                <w:i/>
                <w:sz w:val="20"/>
                <w:szCs w:val="20"/>
              </w:rPr>
              <w:t>, Treatment with the 10/40 mg Dose</w:t>
            </w:r>
            <w:r w:rsidRPr="0026042A">
              <w:rPr>
                <w:sz w:val="20"/>
                <w:szCs w:val="20"/>
              </w:rPr>
              <w:t xml:space="preserve"> heading.</w:t>
            </w:r>
          </w:p>
        </w:tc>
        <w:tc>
          <w:tcPr>
            <w:tcW w:w="1362"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26042A" w:rsidRPr="0026042A" w:rsidRDefault="0026042A" w:rsidP="00AF6D25">
            <w:pPr>
              <w:ind w:left="0" w:right="0"/>
              <w:rPr>
                <w:sz w:val="20"/>
                <w:szCs w:val="20"/>
              </w:rPr>
            </w:pPr>
            <w:r w:rsidRPr="0026042A">
              <w:rPr>
                <w:sz w:val="20"/>
                <w:szCs w:val="20"/>
              </w:rPr>
              <w:t>This is considered acceptable.</w:t>
            </w:r>
          </w:p>
        </w:tc>
      </w:tr>
      <w:tr w:rsidR="0026042A" w:rsidRPr="0026042A" w:rsidTr="006342EB">
        <w:trPr>
          <w:cantSplit/>
          <w:jc w:val="center"/>
        </w:trPr>
        <w:tc>
          <w:tcPr>
            <w:tcW w:w="1666"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26042A" w:rsidRPr="0026042A" w:rsidRDefault="0026042A" w:rsidP="00AF6D25">
            <w:pPr>
              <w:pStyle w:val="Numberbullet0"/>
            </w:pPr>
            <w:r w:rsidRPr="0026042A">
              <w:t>It is recommended that "Long-term safety of co-administration of Ezetimibe and Rosuvastatin at 10/40</w:t>
            </w:r>
            <w:r w:rsidR="003A0D42">
              <w:t xml:space="preserve"> </w:t>
            </w:r>
            <w:r w:rsidRPr="0026042A">
              <w:t xml:space="preserve">mg" be added to the table of ongoing safety concerns to ensure separate reporting for this missing information in any future </w:t>
            </w:r>
            <w:r w:rsidR="00596631">
              <w:t>periodic safety update report (</w:t>
            </w:r>
            <w:r w:rsidRPr="0026042A">
              <w:t>PSUR</w:t>
            </w:r>
            <w:r w:rsidR="00596631">
              <w:t>)</w:t>
            </w:r>
            <w:r w:rsidRPr="0026042A">
              <w:t>.</w:t>
            </w:r>
          </w:p>
        </w:tc>
        <w:tc>
          <w:tcPr>
            <w:tcW w:w="1972"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CD1A0B" w:rsidRPr="0026042A" w:rsidRDefault="00596631" w:rsidP="00AF6D25">
            <w:pPr>
              <w:ind w:left="0" w:right="0"/>
              <w:rPr>
                <w:sz w:val="20"/>
                <w:szCs w:val="20"/>
                <w:highlight w:val="yellow"/>
              </w:rPr>
            </w:pPr>
            <w:r>
              <w:rPr>
                <w:sz w:val="20"/>
                <w:szCs w:val="20"/>
              </w:rPr>
              <w:t xml:space="preserve">The sponsor </w:t>
            </w:r>
            <w:r w:rsidR="0026042A" w:rsidRPr="0026042A">
              <w:rPr>
                <w:sz w:val="20"/>
                <w:szCs w:val="20"/>
              </w:rPr>
              <w:t xml:space="preserve">proposes that “Long-term safety of co-administration of Ezetimibe and Rosuvastatin at 10/40 mg” not be added as missing information to the ongoing safety concerns in the Australian RMP based on the same rationale submitted to the TGA during the evaluation of </w:t>
            </w:r>
            <w:proofErr w:type="spellStart"/>
            <w:r>
              <w:rPr>
                <w:sz w:val="20"/>
                <w:szCs w:val="20"/>
              </w:rPr>
              <w:t>Rosuzet</w:t>
            </w:r>
            <w:proofErr w:type="spellEnd"/>
            <w:r>
              <w:rPr>
                <w:sz w:val="20"/>
                <w:szCs w:val="20"/>
              </w:rPr>
              <w:t>/</w:t>
            </w:r>
            <w:proofErr w:type="spellStart"/>
            <w:r>
              <w:rPr>
                <w:sz w:val="20"/>
                <w:szCs w:val="20"/>
              </w:rPr>
              <w:t>E</w:t>
            </w:r>
            <w:r w:rsidRPr="0026042A">
              <w:rPr>
                <w:sz w:val="20"/>
                <w:szCs w:val="20"/>
              </w:rPr>
              <w:t>zalo</w:t>
            </w:r>
            <w:proofErr w:type="spellEnd"/>
            <w:r w:rsidRPr="0026042A">
              <w:rPr>
                <w:sz w:val="20"/>
                <w:szCs w:val="20"/>
              </w:rPr>
              <w:t xml:space="preserve"> </w:t>
            </w:r>
            <w:r w:rsidR="0026042A" w:rsidRPr="0026042A">
              <w:rPr>
                <w:sz w:val="20"/>
                <w:szCs w:val="20"/>
              </w:rPr>
              <w:t>Composite Pack, which was accepted by the Delegate.</w:t>
            </w:r>
          </w:p>
        </w:tc>
        <w:tc>
          <w:tcPr>
            <w:tcW w:w="1362"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26042A" w:rsidRPr="0026042A" w:rsidRDefault="00596631" w:rsidP="00AF6D25">
            <w:pPr>
              <w:ind w:left="0" w:right="0"/>
              <w:rPr>
                <w:sz w:val="20"/>
                <w:szCs w:val="20"/>
              </w:rPr>
            </w:pPr>
            <w:r>
              <w:rPr>
                <w:sz w:val="20"/>
                <w:szCs w:val="20"/>
              </w:rPr>
              <w:t>Pending the D</w:t>
            </w:r>
            <w:r w:rsidR="0026042A" w:rsidRPr="00596631">
              <w:rPr>
                <w:sz w:val="20"/>
                <w:szCs w:val="20"/>
              </w:rPr>
              <w:t xml:space="preserve">elegate’s acceptance of this justification, it is considered acceptable. </w:t>
            </w:r>
            <w:r>
              <w:rPr>
                <w:sz w:val="20"/>
                <w:szCs w:val="20"/>
              </w:rPr>
              <w:t xml:space="preserve"> However, it is brought to the D</w:t>
            </w:r>
            <w:r w:rsidR="0026042A" w:rsidRPr="00596631">
              <w:rPr>
                <w:sz w:val="20"/>
                <w:szCs w:val="20"/>
              </w:rPr>
              <w:t xml:space="preserve">elegate’s attention that the clinical evaluator considers the addition of this ongoing safety concern appropriate (see clinical evaluator’s comments </w:t>
            </w:r>
            <w:r>
              <w:rPr>
                <w:sz w:val="20"/>
                <w:szCs w:val="20"/>
              </w:rPr>
              <w:t>below</w:t>
            </w:r>
            <w:r w:rsidR="0026042A" w:rsidRPr="00596631">
              <w:rPr>
                <w:sz w:val="20"/>
                <w:szCs w:val="20"/>
              </w:rPr>
              <w:t>).</w:t>
            </w:r>
          </w:p>
        </w:tc>
      </w:tr>
      <w:tr w:rsidR="0026042A" w:rsidRPr="0026042A" w:rsidTr="006342EB">
        <w:trPr>
          <w:jc w:val="center"/>
        </w:trPr>
        <w:tc>
          <w:tcPr>
            <w:tcW w:w="1666"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26042A" w:rsidRPr="0026042A" w:rsidRDefault="0026042A" w:rsidP="00AF6D25">
            <w:pPr>
              <w:pStyle w:val="Numberbullet0"/>
            </w:pPr>
            <w:r w:rsidRPr="0026042A">
              <w:t xml:space="preserve">It is recommended that the sponsor provides this previously accepted PI for </w:t>
            </w:r>
            <w:r w:rsidR="00596631">
              <w:t xml:space="preserve">the </w:t>
            </w:r>
            <w:proofErr w:type="spellStart"/>
            <w:r w:rsidR="00596631">
              <w:t>R</w:t>
            </w:r>
            <w:r w:rsidR="00596631" w:rsidRPr="0026042A">
              <w:t>osuzet</w:t>
            </w:r>
            <w:proofErr w:type="spellEnd"/>
            <w:r w:rsidR="00596631" w:rsidRPr="0026042A">
              <w:t xml:space="preserve"> </w:t>
            </w:r>
            <w:r w:rsidR="00596631">
              <w:lastRenderedPageBreak/>
              <w:t>C</w:t>
            </w:r>
            <w:r w:rsidR="00596631" w:rsidRPr="0026042A">
              <w:t xml:space="preserve">omposite </w:t>
            </w:r>
            <w:r w:rsidR="00596631">
              <w:t>P</w:t>
            </w:r>
            <w:r w:rsidR="00596631" w:rsidRPr="0026042A">
              <w:t>ack (</w:t>
            </w:r>
            <w:proofErr w:type="spellStart"/>
            <w:r w:rsidR="00596631">
              <w:t>R</w:t>
            </w:r>
            <w:r w:rsidR="00596631" w:rsidRPr="0026042A">
              <w:t>osuzet</w:t>
            </w:r>
            <w:proofErr w:type="spellEnd"/>
            <w:r w:rsidR="00596631" w:rsidRPr="0026042A">
              <w:t xml:space="preserve"> </w:t>
            </w:r>
            <w:r w:rsidR="00D87DDA">
              <w:t>C</w:t>
            </w:r>
            <w:r w:rsidR="00596631" w:rsidRPr="0026042A">
              <w:t xml:space="preserve">omposite </w:t>
            </w:r>
            <w:r w:rsidR="00D87DDA">
              <w:t>P</w:t>
            </w:r>
            <w:r w:rsidR="00596631" w:rsidRPr="0026042A">
              <w:t xml:space="preserve">ack </w:t>
            </w:r>
            <w:r w:rsidR="00596631">
              <w:t>PI</w:t>
            </w:r>
            <w:r w:rsidRPr="0026042A">
              <w:t>, version 1.6, 18</w:t>
            </w:r>
            <w:r w:rsidR="00596631">
              <w:t xml:space="preserve"> </w:t>
            </w:r>
            <w:r w:rsidRPr="0026042A">
              <w:t>Nov</w:t>
            </w:r>
            <w:r w:rsidR="00596631">
              <w:t xml:space="preserve">ember </w:t>
            </w:r>
            <w:r w:rsidRPr="0026042A">
              <w:t>2013), with changes relevant for th</w:t>
            </w:r>
            <w:r w:rsidR="00AF6D25">
              <w:t>e current application included.</w:t>
            </w:r>
          </w:p>
        </w:tc>
        <w:tc>
          <w:tcPr>
            <w:tcW w:w="1972"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26042A" w:rsidRPr="0026042A" w:rsidRDefault="0026042A" w:rsidP="00AF6D25">
            <w:pPr>
              <w:ind w:left="0" w:right="0"/>
              <w:rPr>
                <w:sz w:val="20"/>
                <w:szCs w:val="20"/>
              </w:rPr>
            </w:pPr>
            <w:r w:rsidRPr="0026042A">
              <w:rPr>
                <w:sz w:val="20"/>
                <w:szCs w:val="20"/>
              </w:rPr>
              <w:lastRenderedPageBreak/>
              <w:t xml:space="preserve">Relevant text from the </w:t>
            </w:r>
            <w:proofErr w:type="spellStart"/>
            <w:r w:rsidRPr="0026042A">
              <w:rPr>
                <w:sz w:val="20"/>
                <w:szCs w:val="20"/>
              </w:rPr>
              <w:t>R</w:t>
            </w:r>
            <w:r w:rsidR="00596631" w:rsidRPr="0026042A">
              <w:rPr>
                <w:sz w:val="20"/>
                <w:szCs w:val="20"/>
              </w:rPr>
              <w:t>osuzet</w:t>
            </w:r>
            <w:proofErr w:type="spellEnd"/>
            <w:r w:rsidRPr="0026042A">
              <w:rPr>
                <w:sz w:val="20"/>
                <w:szCs w:val="20"/>
              </w:rPr>
              <w:t xml:space="preserve"> Composite Pack PI approved 20 November 2013 has been incorporated into the revised </w:t>
            </w:r>
            <w:proofErr w:type="spellStart"/>
            <w:r w:rsidRPr="0026042A">
              <w:rPr>
                <w:sz w:val="20"/>
                <w:szCs w:val="20"/>
              </w:rPr>
              <w:t>R</w:t>
            </w:r>
            <w:r w:rsidR="00596631" w:rsidRPr="0026042A">
              <w:rPr>
                <w:sz w:val="20"/>
                <w:szCs w:val="20"/>
              </w:rPr>
              <w:t>osuzet</w:t>
            </w:r>
            <w:proofErr w:type="spellEnd"/>
            <w:r w:rsidRPr="0026042A">
              <w:rPr>
                <w:sz w:val="20"/>
                <w:szCs w:val="20"/>
              </w:rPr>
              <w:t xml:space="preserve"> </w:t>
            </w:r>
            <w:r w:rsidR="00596631">
              <w:rPr>
                <w:sz w:val="20"/>
                <w:szCs w:val="20"/>
              </w:rPr>
              <w:t xml:space="preserve">fixed dose combination </w:t>
            </w:r>
            <w:r w:rsidRPr="0026042A">
              <w:rPr>
                <w:sz w:val="20"/>
                <w:szCs w:val="20"/>
              </w:rPr>
              <w:t xml:space="preserve">PI </w:t>
            </w:r>
            <w:r w:rsidRPr="0026042A">
              <w:rPr>
                <w:sz w:val="20"/>
                <w:szCs w:val="20"/>
              </w:rPr>
              <w:lastRenderedPageBreak/>
              <w:t>upon request of the clinical evaluator.</w:t>
            </w:r>
          </w:p>
        </w:tc>
        <w:tc>
          <w:tcPr>
            <w:tcW w:w="1362"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26042A" w:rsidRPr="0026042A" w:rsidRDefault="0026042A" w:rsidP="00AF6D25">
            <w:pPr>
              <w:ind w:left="0" w:right="0"/>
              <w:rPr>
                <w:sz w:val="20"/>
                <w:szCs w:val="20"/>
              </w:rPr>
            </w:pPr>
            <w:r w:rsidRPr="0026042A">
              <w:rPr>
                <w:sz w:val="20"/>
                <w:szCs w:val="20"/>
              </w:rPr>
              <w:lastRenderedPageBreak/>
              <w:t>This is considered acceptable.</w:t>
            </w:r>
          </w:p>
        </w:tc>
      </w:tr>
      <w:tr w:rsidR="0026042A" w:rsidRPr="0026042A" w:rsidTr="006342EB">
        <w:trPr>
          <w:jc w:val="center"/>
        </w:trPr>
        <w:tc>
          <w:tcPr>
            <w:tcW w:w="1666"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26042A" w:rsidRPr="0026042A" w:rsidRDefault="0026042A" w:rsidP="00AF6D25">
            <w:pPr>
              <w:pStyle w:val="Numberbullet0"/>
            </w:pPr>
            <w:r w:rsidRPr="0026042A">
              <w:lastRenderedPageBreak/>
              <w:t>It is recommended that the sponsor adds the “Increase in HbA1c and FSG” or “new onset diabetes” as potential risk to the table of ongoing safety concerns. Pharmacovigilance and risk-minimisation activities should be assigned as appropriate. Furthermore, it is recommended that the sponsor amends the safety specification section of the RMP to include provision of information/discussion about this potential risk.</w:t>
            </w:r>
          </w:p>
        </w:tc>
        <w:tc>
          <w:tcPr>
            <w:tcW w:w="1972"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26042A" w:rsidRPr="0026042A" w:rsidRDefault="00596631" w:rsidP="00AF6D25">
            <w:pPr>
              <w:ind w:left="0" w:right="0"/>
              <w:rPr>
                <w:noProof/>
                <w:sz w:val="20"/>
                <w:szCs w:val="20"/>
              </w:rPr>
            </w:pPr>
            <w:r>
              <w:rPr>
                <w:noProof/>
                <w:sz w:val="20"/>
                <w:szCs w:val="20"/>
              </w:rPr>
              <w:t xml:space="preserve">The sponsor </w:t>
            </w:r>
            <w:r w:rsidR="0026042A" w:rsidRPr="0026042A">
              <w:rPr>
                <w:noProof/>
                <w:sz w:val="20"/>
                <w:szCs w:val="20"/>
              </w:rPr>
              <w:t>concurs. “Diabetes mellitus” has been added as a Potential risk to the table of ongoing safety concerns in the updated RMP.</w:t>
            </w:r>
          </w:p>
        </w:tc>
        <w:tc>
          <w:tcPr>
            <w:tcW w:w="1362"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26042A" w:rsidRPr="0026042A" w:rsidRDefault="0026042A" w:rsidP="00AF6D25">
            <w:pPr>
              <w:ind w:left="0" w:right="0"/>
              <w:rPr>
                <w:sz w:val="20"/>
                <w:szCs w:val="20"/>
              </w:rPr>
            </w:pPr>
            <w:r w:rsidRPr="0026042A">
              <w:rPr>
                <w:sz w:val="20"/>
                <w:szCs w:val="20"/>
              </w:rPr>
              <w:t>This is considered acceptable.</w:t>
            </w:r>
          </w:p>
        </w:tc>
      </w:tr>
    </w:tbl>
    <w:p w:rsidR="008E7846" w:rsidRPr="00AF6D25" w:rsidRDefault="008E7846" w:rsidP="00AF6D25">
      <w:pPr>
        <w:pStyle w:val="Heading4"/>
      </w:pPr>
      <w:r>
        <w:rPr>
          <w:lang w:eastAsia="en-AU"/>
        </w:rPr>
        <w:t xml:space="preserve">Summary </w:t>
      </w:r>
      <w:r w:rsidR="00596631">
        <w:rPr>
          <w:lang w:eastAsia="en-AU"/>
        </w:rPr>
        <w:t xml:space="preserve">and </w:t>
      </w:r>
      <w:r w:rsidR="003A7F6C">
        <w:rPr>
          <w:lang w:eastAsia="en-AU"/>
        </w:rPr>
        <w:t>r</w:t>
      </w:r>
      <w:r>
        <w:rPr>
          <w:lang w:eastAsia="en-AU"/>
        </w:rPr>
        <w:t>ecommendations</w:t>
      </w:r>
    </w:p>
    <w:p w:rsidR="00596631" w:rsidRPr="00AF6D25" w:rsidRDefault="00596631" w:rsidP="00AF6D25">
      <w:pPr>
        <w:pStyle w:val="Heading5"/>
      </w:pPr>
      <w:r w:rsidRPr="00596631">
        <w:t>Outstanding issues</w:t>
      </w:r>
    </w:p>
    <w:p w:rsidR="00596631" w:rsidRPr="00596631" w:rsidRDefault="00596631" w:rsidP="00AF6D25">
      <w:r>
        <w:t>I</w:t>
      </w:r>
      <w:r w:rsidR="00EC2122">
        <w:t>t is recommended that</w:t>
      </w:r>
      <w:r>
        <w:t xml:space="preserve"> the D</w:t>
      </w:r>
      <w:r w:rsidRPr="00596631">
        <w:t>elegate check the validity of the statements made by the sponsor regarding point</w:t>
      </w:r>
      <w:r w:rsidR="0081558B">
        <w:t>s</w:t>
      </w:r>
      <w:r w:rsidRPr="00596631">
        <w:t xml:space="preserve"> 1 and 3 in </w:t>
      </w:r>
      <w:r>
        <w:t>T</w:t>
      </w:r>
      <w:r w:rsidRPr="00596631">
        <w:t xml:space="preserve">able </w:t>
      </w:r>
      <w:r w:rsidR="008615E3">
        <w:t>5</w:t>
      </w:r>
      <w:r w:rsidR="00D00732">
        <w:t xml:space="preserve"> </w:t>
      </w:r>
      <w:r>
        <w:t>above</w:t>
      </w:r>
      <w:r w:rsidRPr="00596631">
        <w:t>.</w:t>
      </w:r>
    </w:p>
    <w:p w:rsidR="00596631" w:rsidRPr="00EC2122" w:rsidRDefault="00596631" w:rsidP="00AF6D25">
      <w:r w:rsidRPr="00596631">
        <w:t xml:space="preserve">Regarding point 3 in </w:t>
      </w:r>
      <w:r>
        <w:t>T</w:t>
      </w:r>
      <w:r w:rsidRPr="00596631">
        <w:t xml:space="preserve">able </w:t>
      </w:r>
      <w:r w:rsidR="008615E3">
        <w:t>5</w:t>
      </w:r>
      <w:r w:rsidR="00D00732">
        <w:t xml:space="preserve"> </w:t>
      </w:r>
      <w:r>
        <w:t>above</w:t>
      </w:r>
      <w:r w:rsidRPr="00596631">
        <w:t xml:space="preserve">: It </w:t>
      </w:r>
      <w:r w:rsidR="00D00732">
        <w:t>wa</w:t>
      </w:r>
      <w:r w:rsidRPr="00596631">
        <w:t xml:space="preserve">s brought to the </w:t>
      </w:r>
      <w:r>
        <w:t>D</w:t>
      </w:r>
      <w:r w:rsidRPr="00596631">
        <w:t>elegate’s attention that the clinical evaluator considers the addition of</w:t>
      </w:r>
      <w:r w:rsidR="00CD1A0B">
        <w:t xml:space="preserve"> the ongoing safety concern of “</w:t>
      </w:r>
      <w:r w:rsidRPr="00596631">
        <w:t>Safety of co-administration of Ezetimibe and Rosuvastatin at 10/40</w:t>
      </w:r>
      <w:r w:rsidR="003A0D42">
        <w:t xml:space="preserve"> </w:t>
      </w:r>
      <w:r w:rsidRPr="00596631">
        <w:t>mg</w:t>
      </w:r>
      <w:r w:rsidR="00CD1A0B">
        <w:t>”</w:t>
      </w:r>
      <w:r w:rsidRPr="00596631">
        <w:t xml:space="preserve"> appropriate (see </w:t>
      </w:r>
      <w:r w:rsidR="00EC2122" w:rsidRPr="00EC2122">
        <w:rPr>
          <w:i/>
        </w:rPr>
        <w:t>Comments on the safety specification of the RMP</w:t>
      </w:r>
      <w:r w:rsidR="00EC2122">
        <w:rPr>
          <w:i/>
        </w:rPr>
        <w:t>,</w:t>
      </w:r>
      <w:r w:rsidR="00EC2122" w:rsidRPr="00EC2122">
        <w:rPr>
          <w:i/>
        </w:rPr>
        <w:t xml:space="preserve"> Clinical evaluation report</w:t>
      </w:r>
      <w:r w:rsidR="00EC2122" w:rsidRPr="00EC2122">
        <w:t xml:space="preserve"> </w:t>
      </w:r>
      <w:r w:rsidRPr="00EC2122">
        <w:t>below).</w:t>
      </w:r>
    </w:p>
    <w:p w:rsidR="00596631" w:rsidRPr="00596631" w:rsidRDefault="00596631" w:rsidP="00AF6D25">
      <w:r w:rsidRPr="00596631">
        <w:t>The issues raised by the clinical evaluator have to be addressed by the sponsor to the satisfaction of the RMP evaluation section.</w:t>
      </w:r>
    </w:p>
    <w:p w:rsidR="00596631" w:rsidRPr="00AF6D25" w:rsidRDefault="00596631" w:rsidP="00AF6D25">
      <w:pPr>
        <w:pStyle w:val="Heading4"/>
      </w:pPr>
      <w:r w:rsidRPr="00596631">
        <w:t>Advice from the Advisory Committee on the Safety of Medicines (ACSOM)</w:t>
      </w:r>
    </w:p>
    <w:p w:rsidR="00596631" w:rsidRPr="00596631" w:rsidRDefault="00596631" w:rsidP="00AF6D25">
      <w:r w:rsidRPr="00596631">
        <w:t>ACSOM advice was not sought for this submission.</w:t>
      </w:r>
    </w:p>
    <w:p w:rsidR="00596631" w:rsidRPr="00AF6D25" w:rsidRDefault="00596631" w:rsidP="00AF6D25">
      <w:pPr>
        <w:pStyle w:val="Heading5"/>
      </w:pPr>
      <w:r w:rsidRPr="00596631">
        <w:lastRenderedPageBreak/>
        <w:t>Comments on the safety specification of the RMP</w:t>
      </w:r>
    </w:p>
    <w:p w:rsidR="00596631" w:rsidRPr="00AF6D25" w:rsidRDefault="00596631" w:rsidP="00AF6D25">
      <w:pPr>
        <w:pStyle w:val="Heading6"/>
      </w:pPr>
      <w:r>
        <w:t>Clinical e</w:t>
      </w:r>
      <w:r w:rsidRPr="00596631">
        <w:t xml:space="preserve">valuation </w:t>
      </w:r>
      <w:r>
        <w:t>r</w:t>
      </w:r>
      <w:r w:rsidR="00AF6D25">
        <w:t>eport</w:t>
      </w:r>
    </w:p>
    <w:p w:rsidR="00596631" w:rsidRPr="00596631" w:rsidRDefault="00596631" w:rsidP="00AF6D25">
      <w:r w:rsidRPr="00596631">
        <w:t xml:space="preserve">A revised </w:t>
      </w:r>
      <w:proofErr w:type="spellStart"/>
      <w:r w:rsidRPr="00596631">
        <w:t>Ezetimibe</w:t>
      </w:r>
      <w:proofErr w:type="spellEnd"/>
      <w:r w:rsidR="00D87DDA">
        <w:t xml:space="preserve"> + </w:t>
      </w:r>
      <w:proofErr w:type="spellStart"/>
      <w:r w:rsidR="00D87DDA">
        <w:t>Rosuvastatin</w:t>
      </w:r>
      <w:proofErr w:type="spellEnd"/>
      <w:r w:rsidR="00D87DDA">
        <w:t xml:space="preserve"> Composite Pack/</w:t>
      </w:r>
      <w:r w:rsidRPr="00596631">
        <w:t xml:space="preserve">Fixed Dose Combination Tablet Australian RMP, Version Number 1.3, </w:t>
      </w:r>
      <w:r w:rsidR="00065E1E">
        <w:t>was provided</w:t>
      </w:r>
      <w:r w:rsidR="00731436">
        <w:t xml:space="preserve"> in response to the TGA request for further information</w:t>
      </w:r>
      <w:r w:rsidR="00065E1E">
        <w:t xml:space="preserve">. </w:t>
      </w:r>
      <w:r w:rsidRPr="00596631">
        <w:t>The Safety Specification of the revised RMP was reviewed</w:t>
      </w:r>
      <w:r w:rsidR="00065E1E">
        <w:t xml:space="preserve"> by the clinical evaluator</w:t>
      </w:r>
      <w:r w:rsidR="00AF6D25">
        <w:t>.</w:t>
      </w:r>
    </w:p>
    <w:p w:rsidR="00596631" w:rsidRPr="00596631" w:rsidRDefault="00596631" w:rsidP="00AF6D25">
      <w:r w:rsidRPr="00596631">
        <w:t xml:space="preserve">In the </w:t>
      </w:r>
      <w:r w:rsidR="00065E1E">
        <w:t>TGA request for further information</w:t>
      </w:r>
      <w:r w:rsidRPr="00596631">
        <w:t xml:space="preserve">, the </w:t>
      </w:r>
      <w:r w:rsidR="00065E1E">
        <w:t xml:space="preserve">OPR </w:t>
      </w:r>
      <w:r w:rsidRPr="00596631">
        <w:t>recommended that the sponsor add to the RMP “hepatic failure” as an identified risk, “long-term safety of the co-administration of ezetimibe and rosuvastatin at 10/40 mg” as missing information, and “increase in HbA1c and FSG” or “new onset diabetes” as a potential risk.</w:t>
      </w:r>
    </w:p>
    <w:p w:rsidR="00596631" w:rsidRPr="00596631" w:rsidRDefault="00596631" w:rsidP="00AF6D25">
      <w:r w:rsidRPr="00596631">
        <w:t>In the RMP Version Number 1.3, the sponsor has added “diabetes mellitus” and “hepatic f</w:t>
      </w:r>
      <w:r w:rsidR="00AF6D25">
        <w:t>ailure” as new potential risks.</w:t>
      </w:r>
    </w:p>
    <w:p w:rsidR="00596631" w:rsidRPr="00596631" w:rsidRDefault="00596631" w:rsidP="00AF6D25">
      <w:r w:rsidRPr="00596631">
        <w:t xml:space="preserve">The sponsor indicates that the Delegate for </w:t>
      </w:r>
      <w:r w:rsidR="00065E1E">
        <w:t xml:space="preserve">the composite pack </w:t>
      </w:r>
      <w:r w:rsidRPr="00596631">
        <w:t xml:space="preserve">submission PM-2012-03419-1-3 </w:t>
      </w:r>
      <w:r w:rsidR="00731436">
        <w:t xml:space="preserve">previously </w:t>
      </w:r>
      <w:r w:rsidRPr="00596631">
        <w:t>accepted their rationale for adding “hepatic failure” as a potential risk, rather than an identified risk, and their rationale for not adding to the RMP as missing information “long-term safety of the co-administration of ezetimibe and rosuvastatin at 10/40 mg”.</w:t>
      </w:r>
    </w:p>
    <w:p w:rsidR="00596631" w:rsidRPr="00596631" w:rsidRDefault="00596631" w:rsidP="00AF6D25">
      <w:r w:rsidRPr="00596631">
        <w:t>It is noted that in RMP Version Number 1.3, in the column to the left of the identified risk “abnormal liver function”, the terms “alanine aminotransferase increased”, “aspartate aminotransferase increase</w:t>
      </w:r>
      <w:r>
        <w:t xml:space="preserve">d” and “hepatitis” are listed. </w:t>
      </w:r>
      <w:r w:rsidRPr="00596631">
        <w:t>In Version Number 1.2 of the RMP “hepatic failure” was also included in this list but has been r</w:t>
      </w:r>
      <w:r w:rsidR="00AF6D25">
        <w:t>emoved from Version Number 1.3.</w:t>
      </w:r>
    </w:p>
    <w:p w:rsidR="00596631" w:rsidRPr="00596631" w:rsidRDefault="00065E1E" w:rsidP="00AF6D25">
      <w:r>
        <w:t>D</w:t>
      </w:r>
      <w:r w:rsidR="00596631" w:rsidRPr="00596631">
        <w:t xml:space="preserve">ue to the rosuvastatin component, it is indicated in the </w:t>
      </w:r>
      <w:r>
        <w:t xml:space="preserve">draft PIs that </w:t>
      </w:r>
      <w:proofErr w:type="spellStart"/>
      <w:r>
        <w:t>Rosuzet</w:t>
      </w:r>
      <w:proofErr w:type="spellEnd"/>
      <w:r>
        <w:t>/</w:t>
      </w:r>
      <w:proofErr w:type="spellStart"/>
      <w:r>
        <w:t>Ezalo</w:t>
      </w:r>
      <w:proofErr w:type="spellEnd"/>
      <w:r>
        <w:t xml:space="preserve"> 10 </w:t>
      </w:r>
      <w:r w:rsidR="00596631" w:rsidRPr="00596631">
        <w:t>mg/40 mg is contraindicated in patients with pre-disposing factors for myopathy/rhabdomyolysis including situations where an increase in rosuvastatin</w:t>
      </w:r>
      <w:r w:rsidR="00596631">
        <w:t xml:space="preserve"> plasma levels may occur. </w:t>
      </w:r>
      <w:r w:rsidR="00596631" w:rsidRPr="00596631">
        <w:t>As co-administration of ezetimibe and rosuvastatin may increase rosuvastatin AUC, this would appear to preclude the use of the 10</w:t>
      </w:r>
      <w:r>
        <w:t xml:space="preserve"> </w:t>
      </w:r>
      <w:r w:rsidR="00596631" w:rsidRPr="00596631">
        <w:t>mg/40 mg strength ezetimibe and rosuvastatin fixed dose combination tablet.</w:t>
      </w:r>
    </w:p>
    <w:p w:rsidR="00596631" w:rsidRPr="00596631" w:rsidRDefault="00596631" w:rsidP="00AF6D25">
      <w:r w:rsidRPr="00596631">
        <w:t>If the 10</w:t>
      </w:r>
      <w:r w:rsidR="00065E1E">
        <w:t xml:space="preserve"> </w:t>
      </w:r>
      <w:r w:rsidRPr="00596631">
        <w:t>mg/40</w:t>
      </w:r>
      <w:r w:rsidR="00065E1E">
        <w:t xml:space="preserve"> </w:t>
      </w:r>
      <w:r w:rsidRPr="00596631">
        <w:t>mg strength of the fixed dose combination tablet is approved, it is recommended that the interaction between ezetimibe and rosuvastatin is added t</w:t>
      </w:r>
      <w:r>
        <w:t xml:space="preserve">o the RMP as a potential risk. </w:t>
      </w:r>
      <w:r w:rsidRPr="00596631">
        <w:t>It is noted that, in the response to the OP</w:t>
      </w:r>
      <w:r w:rsidR="00023F8E">
        <w:t xml:space="preserve">R </w:t>
      </w:r>
      <w:r w:rsidRPr="00596631">
        <w:t xml:space="preserve">Question 3 </w:t>
      </w:r>
      <w:r w:rsidR="00023F8E">
        <w:t>(see Table</w:t>
      </w:r>
      <w:r w:rsidR="00731436">
        <w:t xml:space="preserve"> 5</w:t>
      </w:r>
      <w:r w:rsidR="00023F8E">
        <w:t xml:space="preserve"> above)</w:t>
      </w:r>
      <w:r w:rsidRPr="00596631">
        <w:t xml:space="preserve">, the sponsor indicates that the </w:t>
      </w:r>
      <w:r w:rsidRPr="00023F8E">
        <w:rPr>
          <w:i/>
        </w:rPr>
        <w:t>P</w:t>
      </w:r>
      <w:r w:rsidR="00065E1E" w:rsidRPr="00023F8E">
        <w:rPr>
          <w:i/>
        </w:rPr>
        <w:t>recautions</w:t>
      </w:r>
      <w:r w:rsidRPr="00596631">
        <w:t xml:space="preserve"> section of the Australian PI has been updated to note “Due to the potential increase in rosuvastatin exposure when combined with ezetimibe, monitoring of patients on the highest dose of </w:t>
      </w:r>
      <w:proofErr w:type="spellStart"/>
      <w:r w:rsidR="00065E1E">
        <w:t>Rosuzet</w:t>
      </w:r>
      <w:proofErr w:type="spellEnd"/>
      <w:r w:rsidR="00065E1E">
        <w:t>/</w:t>
      </w:r>
      <w:proofErr w:type="spellStart"/>
      <w:r w:rsidR="00065E1E">
        <w:t>E</w:t>
      </w:r>
      <w:r w:rsidR="00065E1E" w:rsidRPr="00596631">
        <w:t>zalo</w:t>
      </w:r>
      <w:proofErr w:type="spellEnd"/>
      <w:r w:rsidR="00065E1E" w:rsidRPr="00596631">
        <w:t xml:space="preserve"> </w:t>
      </w:r>
      <w:r w:rsidR="00065E1E">
        <w:t xml:space="preserve">is recommended”. </w:t>
      </w:r>
      <w:r w:rsidRPr="00596631">
        <w:t>This statement supports the inclusion of the interaction between ezetimibe and rosuvastatin as a potential risk for the proposed 10</w:t>
      </w:r>
      <w:r w:rsidR="00023F8E">
        <w:t xml:space="preserve"> </w:t>
      </w:r>
      <w:r w:rsidRPr="00596631">
        <w:t>mg/40</w:t>
      </w:r>
      <w:r w:rsidR="00023F8E">
        <w:t xml:space="preserve"> </w:t>
      </w:r>
      <w:r w:rsidRPr="00596631">
        <w:t>mg strength of the fixed dose combina</w:t>
      </w:r>
      <w:r w:rsidR="00065E1E">
        <w:t xml:space="preserve">tion tablet if it is approved. </w:t>
      </w:r>
      <w:r w:rsidRPr="00596631">
        <w:t>It is noted that this specific statement does not appear to be in the dr</w:t>
      </w:r>
      <w:r w:rsidR="00065E1E">
        <w:t xml:space="preserve">aft PIs for </w:t>
      </w:r>
      <w:proofErr w:type="spellStart"/>
      <w:r w:rsidR="00065E1E">
        <w:t>Rosuzet</w:t>
      </w:r>
      <w:proofErr w:type="spellEnd"/>
      <w:r w:rsidR="00065E1E">
        <w:t xml:space="preserve"> and </w:t>
      </w:r>
      <w:proofErr w:type="spellStart"/>
      <w:r w:rsidR="00065E1E">
        <w:t>Ezalo</w:t>
      </w:r>
      <w:proofErr w:type="spellEnd"/>
      <w:r w:rsidR="00065E1E">
        <w:t xml:space="preserve">. </w:t>
      </w:r>
      <w:r w:rsidRPr="00596631">
        <w:t>It is recommended that this statement is added to the PIs if the 10</w:t>
      </w:r>
      <w:r w:rsidR="00023F8E">
        <w:t xml:space="preserve"> </w:t>
      </w:r>
      <w:r w:rsidRPr="00596631">
        <w:t>mg/40</w:t>
      </w:r>
      <w:r w:rsidR="00023F8E">
        <w:t xml:space="preserve"> </w:t>
      </w:r>
      <w:r w:rsidRPr="00596631">
        <w:t>mg strength of the fixed dose combination tablet is approved.</w:t>
      </w:r>
    </w:p>
    <w:p w:rsidR="00596631" w:rsidRPr="00596631" w:rsidRDefault="00596631" w:rsidP="00AF6D25">
      <w:r w:rsidRPr="00596631">
        <w:t>No other important identified risks, potential risks and missing information, that could impact on the risk-benefit balance of the product or have implications for public health, have been identified in the second round evaluation.</w:t>
      </w:r>
    </w:p>
    <w:p w:rsidR="00596631" w:rsidRPr="00AF6D25" w:rsidRDefault="00AF6D25" w:rsidP="00AF6D25">
      <w:pPr>
        <w:pStyle w:val="Heading5"/>
      </w:pPr>
      <w:r>
        <w:t>Key changes to the updated RMP</w:t>
      </w:r>
    </w:p>
    <w:p w:rsidR="00596631" w:rsidRDefault="00596631" w:rsidP="00AF6D25">
      <w:r w:rsidRPr="00596631">
        <w:t>In the</w:t>
      </w:r>
      <w:r w:rsidR="00731436">
        <w:t xml:space="preserve"> </w:t>
      </w:r>
      <w:r w:rsidRPr="00596631">
        <w:t xml:space="preserve">response to the TGA </w:t>
      </w:r>
      <w:r w:rsidR="00065E1E">
        <w:t xml:space="preserve">request for information </w:t>
      </w:r>
      <w:r w:rsidRPr="00596631">
        <w:t>the sponsor provided an updated RMP (</w:t>
      </w:r>
      <w:r w:rsidR="005059BE">
        <w:t>V</w:t>
      </w:r>
      <w:r w:rsidRPr="00596631">
        <w:t>ersion 1.3). Key changes from the version evaluated at Round 1 are summarised below:</w:t>
      </w:r>
    </w:p>
    <w:p w:rsidR="00065E1E" w:rsidRPr="00AF6D25" w:rsidRDefault="00065E1E" w:rsidP="00AF6D25">
      <w:pPr>
        <w:pStyle w:val="TableTitle"/>
      </w:pPr>
      <w:r>
        <w:lastRenderedPageBreak/>
        <w:t xml:space="preserve">Table </w:t>
      </w:r>
      <w:r w:rsidR="008615E3">
        <w:t>6</w:t>
      </w:r>
      <w:r>
        <w:t xml:space="preserve">: </w:t>
      </w:r>
      <w:r w:rsidR="00EC2122" w:rsidRPr="00EC2122">
        <w:t xml:space="preserve">Key changes to </w:t>
      </w:r>
      <w:r w:rsidR="00EC2122">
        <w:t xml:space="preserve">the RMP </w:t>
      </w:r>
      <w:r w:rsidR="005059BE">
        <w:t>V</w:t>
      </w:r>
      <w:r w:rsidR="00EC2122" w:rsidRPr="00EC2122">
        <w:t xml:space="preserve">ersion 1.3 compared with </w:t>
      </w:r>
      <w:r w:rsidR="005059BE">
        <w:t>V</w:t>
      </w:r>
      <w:r w:rsidR="00EC2122" w:rsidRPr="00EC2122">
        <w:t>ersion 1.2</w:t>
      </w:r>
    </w:p>
    <w:tbl>
      <w:tblPr>
        <w:tblStyle w:val="TableTGAblue"/>
        <w:tblW w:w="0" w:type="auto"/>
        <w:tblLook w:val="04A0" w:firstRow="1" w:lastRow="0" w:firstColumn="1" w:lastColumn="0" w:noHBand="0" w:noVBand="1"/>
      </w:tblPr>
      <w:tblGrid>
        <w:gridCol w:w="2099"/>
        <w:gridCol w:w="6123"/>
      </w:tblGrid>
      <w:tr w:rsidR="00065E1E" w:rsidRPr="00065E1E" w:rsidTr="000F7116">
        <w:trPr>
          <w:cnfStyle w:val="100000000000" w:firstRow="1" w:lastRow="0" w:firstColumn="0" w:lastColumn="0" w:oddVBand="0" w:evenVBand="0" w:oddHBand="0" w:evenHBand="0" w:firstRowFirstColumn="0" w:firstRowLastColumn="0" w:lastRowFirstColumn="0" w:lastRowLastColumn="0"/>
          <w:trHeight w:val="536"/>
        </w:trPr>
        <w:tc>
          <w:tcPr>
            <w:tcW w:w="8222" w:type="dxa"/>
            <w:gridSpan w:val="2"/>
          </w:tcPr>
          <w:p w:rsidR="00065E1E" w:rsidRPr="00065E1E" w:rsidRDefault="00EC2122" w:rsidP="00AF6D25">
            <w:pPr>
              <w:ind w:left="0" w:right="0"/>
              <w:rPr>
                <w:highlight w:val="yellow"/>
              </w:rPr>
            </w:pPr>
            <w:r w:rsidRPr="00EC2122">
              <w:t>RMP updates</w:t>
            </w:r>
          </w:p>
        </w:tc>
      </w:tr>
      <w:tr w:rsidR="00596631" w:rsidRPr="00065E1E" w:rsidTr="000F7116">
        <w:trPr>
          <w:trHeight w:val="270"/>
        </w:trPr>
        <w:tc>
          <w:tcPr>
            <w:tcW w:w="2099" w:type="dxa"/>
            <w:hideMark/>
          </w:tcPr>
          <w:p w:rsidR="00596631" w:rsidRPr="00023F8E" w:rsidRDefault="00596631" w:rsidP="00AF6D25">
            <w:pPr>
              <w:ind w:left="0" w:right="0"/>
            </w:pPr>
            <w:r w:rsidRPr="00023F8E">
              <w:t>Safety specification</w:t>
            </w:r>
          </w:p>
        </w:tc>
        <w:tc>
          <w:tcPr>
            <w:tcW w:w="6123" w:type="dxa"/>
          </w:tcPr>
          <w:p w:rsidR="00596631" w:rsidRPr="00065E1E" w:rsidRDefault="00596631" w:rsidP="00AF6D25">
            <w:pPr>
              <w:ind w:left="0" w:right="0"/>
            </w:pPr>
            <w:r w:rsidRPr="00065E1E">
              <w:t>Hepatic failure has been added as potential risk</w:t>
            </w:r>
          </w:p>
          <w:p w:rsidR="00596631" w:rsidRPr="00065E1E" w:rsidRDefault="00596631" w:rsidP="00AF6D25">
            <w:pPr>
              <w:ind w:left="0" w:right="0"/>
            </w:pPr>
            <w:r w:rsidRPr="00065E1E">
              <w:t>Diabetes mellitus has been added as potential risk</w:t>
            </w:r>
          </w:p>
        </w:tc>
      </w:tr>
      <w:tr w:rsidR="00596631" w:rsidRPr="00065E1E" w:rsidTr="000F7116">
        <w:trPr>
          <w:trHeight w:val="524"/>
        </w:trPr>
        <w:tc>
          <w:tcPr>
            <w:tcW w:w="2099" w:type="dxa"/>
            <w:hideMark/>
          </w:tcPr>
          <w:p w:rsidR="00596631" w:rsidRPr="00023F8E" w:rsidRDefault="00596631" w:rsidP="00AF6D25">
            <w:pPr>
              <w:ind w:left="0" w:right="0"/>
            </w:pPr>
            <w:r w:rsidRPr="00023F8E">
              <w:t>Pharmacovigilance activities</w:t>
            </w:r>
          </w:p>
        </w:tc>
        <w:tc>
          <w:tcPr>
            <w:tcW w:w="6123" w:type="dxa"/>
          </w:tcPr>
          <w:p w:rsidR="00596631" w:rsidRPr="00065E1E" w:rsidRDefault="00AF6D25" w:rsidP="00AF6D25">
            <w:pPr>
              <w:ind w:left="0" w:right="0"/>
            </w:pPr>
            <w:r>
              <w:t xml:space="preserve">Routine </w:t>
            </w:r>
            <w:proofErr w:type="spellStart"/>
            <w:r>
              <w:t>pharmacovigilance</w:t>
            </w:r>
            <w:proofErr w:type="spellEnd"/>
          </w:p>
          <w:p w:rsidR="00596631" w:rsidRPr="00065E1E" w:rsidRDefault="00AF6D25" w:rsidP="00AF6D25">
            <w:pPr>
              <w:ind w:left="0" w:right="0"/>
            </w:pPr>
            <w:r>
              <w:t xml:space="preserve">Routine </w:t>
            </w:r>
            <w:proofErr w:type="spellStart"/>
            <w:r>
              <w:t>pharmacovigilance</w:t>
            </w:r>
            <w:proofErr w:type="spellEnd"/>
          </w:p>
        </w:tc>
      </w:tr>
      <w:tr w:rsidR="00596631" w:rsidRPr="00065E1E" w:rsidTr="000F7116">
        <w:trPr>
          <w:trHeight w:val="524"/>
        </w:trPr>
        <w:tc>
          <w:tcPr>
            <w:tcW w:w="2099" w:type="dxa"/>
            <w:hideMark/>
          </w:tcPr>
          <w:p w:rsidR="00596631" w:rsidRPr="00023F8E" w:rsidRDefault="00596631" w:rsidP="00AF6D25">
            <w:pPr>
              <w:ind w:left="0" w:right="0"/>
            </w:pPr>
            <w:r w:rsidRPr="00023F8E">
              <w:t>Risk minimisation activities</w:t>
            </w:r>
          </w:p>
        </w:tc>
        <w:tc>
          <w:tcPr>
            <w:tcW w:w="6123" w:type="dxa"/>
          </w:tcPr>
          <w:p w:rsidR="00596631" w:rsidRPr="00065E1E" w:rsidRDefault="00596631" w:rsidP="00AF6D25">
            <w:pPr>
              <w:ind w:left="0" w:right="0"/>
            </w:pPr>
            <w:r w:rsidRPr="00065E1E">
              <w:t>Routine risk-minimisation</w:t>
            </w:r>
          </w:p>
          <w:p w:rsidR="00596631" w:rsidRPr="00065E1E" w:rsidRDefault="00596631" w:rsidP="00AF6D25">
            <w:pPr>
              <w:ind w:left="0" w:right="0"/>
            </w:pPr>
            <w:r w:rsidRPr="00065E1E">
              <w:t>Routine risk-minimisation</w:t>
            </w:r>
          </w:p>
        </w:tc>
      </w:tr>
    </w:tbl>
    <w:p w:rsidR="00596631" w:rsidRPr="00596631" w:rsidRDefault="00596631" w:rsidP="00AF6D25">
      <w:r w:rsidRPr="00596631">
        <w:t xml:space="preserve">The </w:t>
      </w:r>
      <w:r w:rsidR="00065E1E">
        <w:t xml:space="preserve">OPR </w:t>
      </w:r>
      <w:r w:rsidRPr="00596631">
        <w:t xml:space="preserve">evaluator has no objection to the above changes. However changes as recommended by the clinical evaluator </w:t>
      </w:r>
      <w:r w:rsidR="00065E1E">
        <w:t xml:space="preserve">(above) </w:t>
      </w:r>
      <w:r w:rsidRPr="00596631">
        <w:t>should be addressed in an updated version of the RMP.</w:t>
      </w:r>
    </w:p>
    <w:p w:rsidR="00596631" w:rsidRPr="0032097C" w:rsidRDefault="00596631" w:rsidP="0032097C">
      <w:pPr>
        <w:pStyle w:val="Heading5"/>
      </w:pPr>
      <w:r w:rsidRPr="00596631">
        <w:t>Sugge</w:t>
      </w:r>
      <w:r w:rsidR="0032097C">
        <w:t>sted conditions of registration</w:t>
      </w:r>
    </w:p>
    <w:p w:rsidR="00596631" w:rsidRPr="00596631" w:rsidRDefault="00596631" w:rsidP="0032097C">
      <w:pPr>
        <w:pStyle w:val="ListBullet"/>
      </w:pPr>
      <w:r w:rsidRPr="00AF6D25">
        <w:t>Implement</w:t>
      </w:r>
      <w:r w:rsidRPr="00596631">
        <w:t xml:space="preserve"> Australian RMP for </w:t>
      </w:r>
      <w:proofErr w:type="spellStart"/>
      <w:r w:rsidRPr="0032097C">
        <w:t>Ezetimibe</w:t>
      </w:r>
      <w:proofErr w:type="spellEnd"/>
      <w:r w:rsidR="00023F8E">
        <w:t xml:space="preserve"> </w:t>
      </w:r>
      <w:r w:rsidRPr="00596631">
        <w:t>+</w:t>
      </w:r>
      <w:r w:rsidR="00023F8E">
        <w:t xml:space="preserve"> </w:t>
      </w:r>
      <w:proofErr w:type="spellStart"/>
      <w:r w:rsidRPr="00596631">
        <w:t>Rosuvastatin</w:t>
      </w:r>
      <w:proofErr w:type="spellEnd"/>
      <w:r w:rsidRPr="00596631">
        <w:t xml:space="preserve"> Composite Pack/Fixed Dose Combin</w:t>
      </w:r>
      <w:r w:rsidR="005059BE">
        <w:t>ation Tablet, updated from RMP V</w:t>
      </w:r>
      <w:r w:rsidRPr="00596631">
        <w:t>ersion 1.3, data lock point 1-Dec-2012 to include the amendments requested by the clinical evaluator.</w:t>
      </w:r>
    </w:p>
    <w:p w:rsidR="00596631" w:rsidRPr="00596631" w:rsidRDefault="00596631" w:rsidP="0032097C">
      <w:r w:rsidRPr="00596631">
        <w:t xml:space="preserve">Any commitments made by the sponsor in their response </w:t>
      </w:r>
      <w:r w:rsidR="00023F8E">
        <w:t xml:space="preserve">to the TGA request for information </w:t>
      </w:r>
      <w:r w:rsidRPr="00596631">
        <w:t>regarding RMP issues have to be implemented as agreed with the TGA.</w:t>
      </w:r>
    </w:p>
    <w:p w:rsidR="008E7846" w:rsidRPr="00792A32" w:rsidRDefault="008E7846" w:rsidP="00546FFD">
      <w:pPr>
        <w:pStyle w:val="Heading2"/>
      </w:pPr>
      <w:bookmarkStart w:id="124" w:name="_Toc314842510"/>
      <w:bookmarkStart w:id="125" w:name="_Toc412706484"/>
      <w:r>
        <w:t xml:space="preserve">VI. </w:t>
      </w:r>
      <w:r w:rsidRPr="00792A32">
        <w:t xml:space="preserve">Overall </w:t>
      </w:r>
      <w:r w:rsidRPr="00546FFD">
        <w:t>conclusion</w:t>
      </w:r>
      <w:r w:rsidRPr="00792A32">
        <w:t xml:space="preserve"> and </w:t>
      </w:r>
      <w:r>
        <w:t>r</w:t>
      </w:r>
      <w:r w:rsidRPr="00792A32">
        <w:t>isk/</w:t>
      </w:r>
      <w:r>
        <w:t>b</w:t>
      </w:r>
      <w:r w:rsidRPr="00792A32">
        <w:t xml:space="preserve">enefit </w:t>
      </w:r>
      <w:r>
        <w:t>a</w:t>
      </w:r>
      <w:r w:rsidRPr="00792A32">
        <w:t>ssessment</w:t>
      </w:r>
      <w:bookmarkEnd w:id="88"/>
      <w:bookmarkEnd w:id="123"/>
      <w:bookmarkEnd w:id="124"/>
      <w:bookmarkEnd w:id="125"/>
    </w:p>
    <w:p w:rsidR="008E7846" w:rsidRDefault="008E7846" w:rsidP="00546FFD">
      <w:bookmarkStart w:id="126" w:name="_Toc247691528"/>
      <w:r>
        <w:t xml:space="preserve">The submission was summarised in the following </w:t>
      </w:r>
      <w:r w:rsidRPr="00EF5C48">
        <w:t xml:space="preserve">Delegate’s </w:t>
      </w:r>
      <w:r>
        <w:t>overview</w:t>
      </w:r>
      <w:r w:rsidRPr="00EF5C48">
        <w:t xml:space="preserve"> and recommendation</w:t>
      </w:r>
      <w:r>
        <w:t>s:</w:t>
      </w:r>
    </w:p>
    <w:p w:rsidR="00B5557E" w:rsidRPr="00546FFD" w:rsidRDefault="00B5557E" w:rsidP="00546FFD">
      <w:pPr>
        <w:pStyle w:val="Heading3"/>
      </w:pPr>
      <w:bookmarkStart w:id="127" w:name="_Toc412706485"/>
      <w:r>
        <w:t>Introduction</w:t>
      </w:r>
      <w:bookmarkEnd w:id="127"/>
    </w:p>
    <w:p w:rsidR="00B5557E" w:rsidRPr="00B5557E" w:rsidRDefault="00B5557E" w:rsidP="00546FFD">
      <w:r w:rsidRPr="00B5557E">
        <w:t>The approved indications for E</w:t>
      </w:r>
      <w:r>
        <w:t>zetrol</w:t>
      </w:r>
      <w:r w:rsidRPr="00B5557E">
        <w:t xml:space="preserve"> (ezetimibe) monotherapy involve use in primary hypercholesterolaemia or homozygous familial </w:t>
      </w:r>
      <w:proofErr w:type="spellStart"/>
      <w:r w:rsidRPr="00B5557E">
        <w:t>hypercholesterolaemia</w:t>
      </w:r>
      <w:proofErr w:type="spellEnd"/>
      <w:r w:rsidRPr="00B5557E">
        <w:t xml:space="preserve"> (</w:t>
      </w:r>
      <w:proofErr w:type="spellStart"/>
      <w:r w:rsidRPr="00B5557E">
        <w:t>HoFH</w:t>
      </w:r>
      <w:proofErr w:type="spellEnd"/>
      <w:r w:rsidRPr="00B5557E">
        <w:t xml:space="preserve">) or homozygous </w:t>
      </w:r>
      <w:proofErr w:type="spellStart"/>
      <w:r w:rsidRPr="00B5557E">
        <w:t>sitosterolaemia</w:t>
      </w:r>
      <w:proofErr w:type="spellEnd"/>
      <w:r w:rsidRPr="00B5557E">
        <w:t xml:space="preserve"> (</w:t>
      </w:r>
      <w:proofErr w:type="spellStart"/>
      <w:r w:rsidRPr="00B5557E">
        <w:t>phytosterolaemia</w:t>
      </w:r>
      <w:proofErr w:type="spellEnd"/>
      <w:r w:rsidRPr="00B5557E">
        <w:t xml:space="preserve">) while the approved indications for MSD </w:t>
      </w:r>
      <w:r w:rsidR="001648DF">
        <w:t>R</w:t>
      </w:r>
      <w:r w:rsidRPr="00B5557E">
        <w:t>osuvastatin monotherapy are the same as those for C</w:t>
      </w:r>
      <w:r w:rsidR="001648DF">
        <w:t>restor</w:t>
      </w:r>
      <w:r w:rsidRPr="00B5557E">
        <w:t>, the innovator rosuvastatin</w:t>
      </w:r>
      <w:r w:rsidR="001648DF">
        <w:t xml:space="preserve"> product,</w:t>
      </w:r>
      <w:r w:rsidRPr="00B5557E">
        <w:t xml:space="preserve"> and involve prevention of cardiovascular events and use in patients with hypercholesterolaemia.</w:t>
      </w:r>
    </w:p>
    <w:p w:rsidR="00B5557E" w:rsidRPr="00B5557E" w:rsidRDefault="001648DF" w:rsidP="00546FFD">
      <w:r>
        <w:t>The p</w:t>
      </w:r>
      <w:r w:rsidR="00B5557E" w:rsidRPr="00B5557E">
        <w:t>ro</w:t>
      </w:r>
      <w:r w:rsidR="003A0D42">
        <w:t xml:space="preserve">posed indications for the fixed </w:t>
      </w:r>
      <w:r w:rsidR="00B5557E" w:rsidRPr="00B5557E">
        <w:t xml:space="preserve">dose combination are the same as those already approved for the </w:t>
      </w:r>
      <w:proofErr w:type="spellStart"/>
      <w:r w:rsidR="00B5557E" w:rsidRPr="00B5557E">
        <w:t>R</w:t>
      </w:r>
      <w:r w:rsidR="00B5557E">
        <w:t>osuzet</w:t>
      </w:r>
      <w:proofErr w:type="spellEnd"/>
      <w:r w:rsidR="00B5557E">
        <w:t xml:space="preserve"> and </w:t>
      </w:r>
      <w:proofErr w:type="spellStart"/>
      <w:r w:rsidR="00B5557E" w:rsidRPr="00B5557E">
        <w:t>E</w:t>
      </w:r>
      <w:r w:rsidR="00B5557E">
        <w:t>zalo</w:t>
      </w:r>
      <w:proofErr w:type="spellEnd"/>
      <w:r w:rsidR="00B5557E">
        <w:t xml:space="preserve"> </w:t>
      </w:r>
      <w:r w:rsidR="00B5557E" w:rsidRPr="00B5557E">
        <w:t>C</w:t>
      </w:r>
      <w:r w:rsidR="00B5557E">
        <w:t xml:space="preserve">omposite </w:t>
      </w:r>
      <w:r w:rsidR="00B5557E" w:rsidRPr="00B5557E">
        <w:t>P</w:t>
      </w:r>
      <w:r w:rsidR="00B5557E">
        <w:t>acks</w:t>
      </w:r>
      <w:r w:rsidR="00E126BC">
        <w:t>, that is</w:t>
      </w:r>
      <w:r w:rsidR="00546FFD">
        <w:t>:</w:t>
      </w:r>
    </w:p>
    <w:p w:rsidR="00B5557E" w:rsidRPr="00546FFD" w:rsidRDefault="00546FFD" w:rsidP="00546FFD">
      <w:pPr>
        <w:rPr>
          <w:b/>
          <w:i/>
        </w:rPr>
      </w:pPr>
      <w:r w:rsidRPr="00546FFD">
        <w:rPr>
          <w:b/>
          <w:i/>
        </w:rPr>
        <w:t xml:space="preserve">Primary </w:t>
      </w:r>
      <w:proofErr w:type="spellStart"/>
      <w:r w:rsidRPr="00546FFD">
        <w:rPr>
          <w:b/>
          <w:i/>
        </w:rPr>
        <w:t>Hypercholesterolaemia</w:t>
      </w:r>
      <w:proofErr w:type="spellEnd"/>
    </w:p>
    <w:p w:rsidR="00B5557E" w:rsidRPr="00546FFD" w:rsidRDefault="00E126BC" w:rsidP="00546FFD">
      <w:pPr>
        <w:rPr>
          <w:i/>
        </w:rPr>
      </w:pPr>
      <w:proofErr w:type="spellStart"/>
      <w:r w:rsidRPr="00546FFD">
        <w:rPr>
          <w:i/>
        </w:rPr>
        <w:t>Rosuzet</w:t>
      </w:r>
      <w:proofErr w:type="spellEnd"/>
      <w:r w:rsidRPr="00546FFD">
        <w:rPr>
          <w:i/>
        </w:rPr>
        <w:t>/</w:t>
      </w:r>
      <w:proofErr w:type="spellStart"/>
      <w:r w:rsidRPr="00546FFD">
        <w:rPr>
          <w:i/>
        </w:rPr>
        <w:t>Ezalo</w:t>
      </w:r>
      <w:proofErr w:type="spellEnd"/>
      <w:r w:rsidRPr="00546FFD">
        <w:rPr>
          <w:i/>
        </w:rPr>
        <w:t xml:space="preserve"> </w:t>
      </w:r>
      <w:r w:rsidR="00B5557E" w:rsidRPr="00546FFD">
        <w:rPr>
          <w:i/>
        </w:rPr>
        <w:t>is indicated as adjunctive therapy to diet in patients with primary (heterozygous familial and non-familial) hypercholesterolaemia where use of a combination product is</w:t>
      </w:r>
      <w:r w:rsidR="00546FFD" w:rsidRPr="00546FFD">
        <w:rPr>
          <w:i/>
        </w:rPr>
        <w:t xml:space="preserve"> appropriate in those patients:</w:t>
      </w:r>
    </w:p>
    <w:p w:rsidR="00B5557E" w:rsidRPr="00546FFD" w:rsidRDefault="00B5557E" w:rsidP="00546FFD">
      <w:pPr>
        <w:pStyle w:val="ListBullet"/>
        <w:rPr>
          <w:i/>
        </w:rPr>
      </w:pPr>
      <w:r w:rsidRPr="00546FFD">
        <w:rPr>
          <w:i/>
        </w:rPr>
        <w:t xml:space="preserve">not appropriately controlled with </w:t>
      </w:r>
      <w:proofErr w:type="spellStart"/>
      <w:r w:rsidRPr="00546FFD">
        <w:rPr>
          <w:i/>
        </w:rPr>
        <w:t>rosu</w:t>
      </w:r>
      <w:r w:rsidR="00546FFD" w:rsidRPr="00546FFD">
        <w:rPr>
          <w:i/>
        </w:rPr>
        <w:t>vastatin</w:t>
      </w:r>
      <w:proofErr w:type="spellEnd"/>
      <w:r w:rsidR="00546FFD" w:rsidRPr="00546FFD">
        <w:rPr>
          <w:i/>
        </w:rPr>
        <w:t xml:space="preserve"> or </w:t>
      </w:r>
      <w:proofErr w:type="spellStart"/>
      <w:r w:rsidR="00546FFD" w:rsidRPr="00546FFD">
        <w:rPr>
          <w:i/>
        </w:rPr>
        <w:t>ezetimibe</w:t>
      </w:r>
      <w:proofErr w:type="spellEnd"/>
      <w:r w:rsidR="00546FFD" w:rsidRPr="00546FFD">
        <w:rPr>
          <w:i/>
        </w:rPr>
        <w:t xml:space="preserve"> alone; or</w:t>
      </w:r>
    </w:p>
    <w:p w:rsidR="00B5557E" w:rsidRPr="00546FFD" w:rsidRDefault="00B5557E" w:rsidP="00546FFD">
      <w:pPr>
        <w:pStyle w:val="ListBullet"/>
        <w:rPr>
          <w:i/>
        </w:rPr>
      </w:pPr>
      <w:proofErr w:type="gramStart"/>
      <w:r w:rsidRPr="00546FFD">
        <w:rPr>
          <w:i/>
        </w:rPr>
        <w:t>already</w:t>
      </w:r>
      <w:proofErr w:type="gramEnd"/>
      <w:r w:rsidRPr="00546FFD">
        <w:rPr>
          <w:i/>
        </w:rPr>
        <w:t xml:space="preserve"> treated with </w:t>
      </w:r>
      <w:proofErr w:type="spellStart"/>
      <w:r w:rsidRPr="00546FFD">
        <w:rPr>
          <w:i/>
        </w:rPr>
        <w:t>rosuvastatin</w:t>
      </w:r>
      <w:proofErr w:type="spellEnd"/>
      <w:r w:rsidRPr="00546FFD">
        <w:rPr>
          <w:i/>
        </w:rPr>
        <w:t xml:space="preserve"> and </w:t>
      </w:r>
      <w:proofErr w:type="spellStart"/>
      <w:r w:rsidRPr="00546FFD">
        <w:rPr>
          <w:i/>
        </w:rPr>
        <w:t>ezetimibe</w:t>
      </w:r>
      <w:proofErr w:type="spellEnd"/>
      <w:r w:rsidRPr="00546FFD">
        <w:rPr>
          <w:i/>
        </w:rPr>
        <w:t>.</w:t>
      </w:r>
    </w:p>
    <w:p w:rsidR="00B5557E" w:rsidRPr="00546FFD" w:rsidRDefault="00B5557E" w:rsidP="00546FFD">
      <w:pPr>
        <w:rPr>
          <w:b/>
          <w:i/>
        </w:rPr>
      </w:pPr>
      <w:r w:rsidRPr="00546FFD">
        <w:rPr>
          <w:b/>
          <w:i/>
        </w:rPr>
        <w:t xml:space="preserve">Homozygous Familial </w:t>
      </w:r>
      <w:proofErr w:type="spellStart"/>
      <w:r w:rsidRPr="00546FFD">
        <w:rPr>
          <w:b/>
          <w:i/>
        </w:rPr>
        <w:t>H</w:t>
      </w:r>
      <w:r w:rsidR="00546FFD" w:rsidRPr="00546FFD">
        <w:rPr>
          <w:b/>
          <w:i/>
        </w:rPr>
        <w:t>ypercholesterolaemia</w:t>
      </w:r>
      <w:proofErr w:type="spellEnd"/>
      <w:r w:rsidR="00546FFD" w:rsidRPr="00546FFD">
        <w:rPr>
          <w:b/>
          <w:i/>
        </w:rPr>
        <w:t xml:space="preserve"> (</w:t>
      </w:r>
      <w:proofErr w:type="spellStart"/>
      <w:r w:rsidR="00546FFD" w:rsidRPr="00546FFD">
        <w:rPr>
          <w:b/>
          <w:i/>
        </w:rPr>
        <w:t>HoFH</w:t>
      </w:r>
      <w:proofErr w:type="spellEnd"/>
      <w:r w:rsidR="00546FFD" w:rsidRPr="00546FFD">
        <w:rPr>
          <w:b/>
          <w:i/>
        </w:rPr>
        <w:t>)</w:t>
      </w:r>
    </w:p>
    <w:p w:rsidR="00B5557E" w:rsidRPr="00546FFD" w:rsidRDefault="00E126BC" w:rsidP="00546FFD">
      <w:pPr>
        <w:rPr>
          <w:i/>
        </w:rPr>
      </w:pPr>
      <w:proofErr w:type="spellStart"/>
      <w:r w:rsidRPr="00546FFD">
        <w:rPr>
          <w:i/>
        </w:rPr>
        <w:t>Rosuzet</w:t>
      </w:r>
      <w:proofErr w:type="spellEnd"/>
      <w:r w:rsidRPr="00546FFD">
        <w:rPr>
          <w:i/>
        </w:rPr>
        <w:t>/</w:t>
      </w:r>
      <w:proofErr w:type="spellStart"/>
      <w:r w:rsidRPr="00546FFD">
        <w:rPr>
          <w:i/>
        </w:rPr>
        <w:t>Ezalo</w:t>
      </w:r>
      <w:proofErr w:type="spellEnd"/>
      <w:r w:rsidRPr="00546FFD">
        <w:rPr>
          <w:i/>
        </w:rPr>
        <w:t xml:space="preserve"> </w:t>
      </w:r>
      <w:r w:rsidR="00B5557E" w:rsidRPr="00546FFD">
        <w:rPr>
          <w:i/>
        </w:rPr>
        <w:t xml:space="preserve">is indicated in patients with </w:t>
      </w:r>
      <w:proofErr w:type="spellStart"/>
      <w:r w:rsidR="00B5557E" w:rsidRPr="00546FFD">
        <w:rPr>
          <w:i/>
        </w:rPr>
        <w:t>HoFH</w:t>
      </w:r>
      <w:proofErr w:type="spellEnd"/>
      <w:r w:rsidR="00B5557E" w:rsidRPr="00546FFD">
        <w:rPr>
          <w:i/>
        </w:rPr>
        <w:t>. Patients may also receive adjunctive treatments (e.g. LDL apheresis).</w:t>
      </w:r>
    </w:p>
    <w:p w:rsidR="008E7846" w:rsidRPr="00546FFD" w:rsidRDefault="008E7846" w:rsidP="00546FFD">
      <w:pPr>
        <w:pStyle w:val="Heading3"/>
      </w:pPr>
      <w:bookmarkStart w:id="128" w:name="_Toc314842511"/>
      <w:bookmarkStart w:id="129" w:name="_Toc412706486"/>
      <w:r>
        <w:lastRenderedPageBreak/>
        <w:t>Quality</w:t>
      </w:r>
      <w:bookmarkEnd w:id="126"/>
      <w:bookmarkEnd w:id="128"/>
      <w:bookmarkEnd w:id="129"/>
    </w:p>
    <w:p w:rsidR="003227C2" w:rsidRPr="003227C2" w:rsidRDefault="003227C2" w:rsidP="00546FFD">
      <w:r w:rsidRPr="003227C2">
        <w:t>The shelf-life of the fixed</w:t>
      </w:r>
      <w:r w:rsidR="003A0D42">
        <w:t xml:space="preserve"> </w:t>
      </w:r>
      <w:r w:rsidRPr="003227C2">
        <w:t>dose combination tablets is 12 months when stored below 30</w:t>
      </w:r>
      <w:r w:rsidR="00D707DE">
        <w:t>°</w:t>
      </w:r>
      <w:r w:rsidRPr="003227C2">
        <w:t>C</w:t>
      </w:r>
      <w:r w:rsidR="00D707DE">
        <w:t xml:space="preserve"> </w:t>
      </w:r>
      <w:r w:rsidRPr="003227C2">
        <w:t>in their blister packs.</w:t>
      </w:r>
    </w:p>
    <w:p w:rsidR="003227C2" w:rsidRPr="003227C2" w:rsidRDefault="003227C2" w:rsidP="00546FFD">
      <w:r w:rsidRPr="003227C2">
        <w:t xml:space="preserve">The sponsor had previously submitted data in relation to the registered ezetimibe monotherapy co-administered with various statins in </w:t>
      </w:r>
      <w:r w:rsidR="001648DF">
        <w:t xml:space="preserve">a previous </w:t>
      </w:r>
      <w:r w:rsidRPr="003227C2">
        <w:t>submi</w:t>
      </w:r>
      <w:r w:rsidR="00D707DE">
        <w:t xml:space="preserve">ssion. </w:t>
      </w:r>
      <w:r w:rsidRPr="003227C2">
        <w:t>For this submission</w:t>
      </w:r>
      <w:r w:rsidR="00D707DE">
        <w:t xml:space="preserve"> these data were not reviewed. </w:t>
      </w:r>
      <w:r w:rsidRPr="003227C2">
        <w:t>However, for this submission, the sponsor did conduct two bioequivalence studies which, in the view of the pharmaceutical chemistry evaluator, demon</w:t>
      </w:r>
      <w:r w:rsidR="00D707DE">
        <w:t xml:space="preserve">strated that the proposed fixed </w:t>
      </w:r>
      <w:r w:rsidRPr="003227C2">
        <w:t xml:space="preserve">dose combination tablets can be considered bioequivalent to the Australian innovator monotherapy products, </w:t>
      </w:r>
      <w:r w:rsidR="00D707DE">
        <w:t xml:space="preserve">that is, </w:t>
      </w:r>
      <w:r w:rsidRPr="003227C2">
        <w:t xml:space="preserve">to </w:t>
      </w:r>
      <w:r w:rsidR="00D707DE">
        <w:t>E</w:t>
      </w:r>
      <w:r w:rsidR="00D707DE" w:rsidRPr="003227C2">
        <w:t xml:space="preserve">zetrol </w:t>
      </w:r>
      <w:r w:rsidRPr="003227C2">
        <w:t xml:space="preserve">and to </w:t>
      </w:r>
      <w:r w:rsidR="00D707DE">
        <w:t>C</w:t>
      </w:r>
      <w:r w:rsidR="00D707DE" w:rsidRPr="003227C2">
        <w:t>restor</w:t>
      </w:r>
      <w:r w:rsidR="00D707DE">
        <w:t xml:space="preserve">. </w:t>
      </w:r>
      <w:r w:rsidRPr="003227C2">
        <w:t>The clinical evaluator has also reviewed these two studies.</w:t>
      </w:r>
    </w:p>
    <w:p w:rsidR="008E7846" w:rsidRPr="00546FFD" w:rsidRDefault="008E7846" w:rsidP="00546FFD">
      <w:pPr>
        <w:pStyle w:val="Heading3"/>
      </w:pPr>
      <w:bookmarkStart w:id="130" w:name="_Toc314842512"/>
      <w:bookmarkStart w:id="131" w:name="_Toc412706487"/>
      <w:r>
        <w:t>Nonclinical</w:t>
      </w:r>
      <w:bookmarkEnd w:id="130"/>
      <w:bookmarkEnd w:id="131"/>
    </w:p>
    <w:p w:rsidR="003227C2" w:rsidRPr="003227C2" w:rsidRDefault="00D707DE" w:rsidP="00546FFD">
      <w:r>
        <w:t>In the view of the non</w:t>
      </w:r>
      <w:r w:rsidR="003227C2" w:rsidRPr="003227C2">
        <w:t>clinical evaluator the sponsor has suitably justified the absence of further nonclinical studies in accordance w</w:t>
      </w:r>
      <w:r w:rsidR="00DB50A6">
        <w:t xml:space="preserve">ith the EMA guidelines on fixed </w:t>
      </w:r>
      <w:r w:rsidR="003227C2" w:rsidRPr="003227C2">
        <w:t>dose combination products.</w:t>
      </w:r>
    </w:p>
    <w:p w:rsidR="003227C2" w:rsidRPr="003659BF" w:rsidRDefault="003227C2" w:rsidP="00546FFD">
      <w:r w:rsidRPr="003659BF">
        <w:t xml:space="preserve">There </w:t>
      </w:r>
      <w:r w:rsidR="00DB50A6" w:rsidRPr="003659BF">
        <w:t>is no novel</w:t>
      </w:r>
      <w:r w:rsidRPr="003659BF">
        <w:t xml:space="preserve"> pharmacokinetic or toxicity concern associated with the combination.</w:t>
      </w:r>
    </w:p>
    <w:p w:rsidR="003227C2" w:rsidRPr="003659BF" w:rsidRDefault="003227C2" w:rsidP="00546FFD">
      <w:r w:rsidRPr="003659BF">
        <w:t xml:space="preserve">The registration of </w:t>
      </w:r>
      <w:proofErr w:type="spellStart"/>
      <w:r w:rsidR="00D707DE">
        <w:t>Ezalo</w:t>
      </w:r>
      <w:proofErr w:type="spellEnd"/>
      <w:r w:rsidR="00D707DE">
        <w:t>/</w:t>
      </w:r>
      <w:proofErr w:type="spellStart"/>
      <w:r w:rsidR="00D707DE">
        <w:t>R</w:t>
      </w:r>
      <w:r w:rsidR="00D707DE" w:rsidRPr="003659BF">
        <w:t>osuzet</w:t>
      </w:r>
      <w:proofErr w:type="spellEnd"/>
      <w:r w:rsidR="00D707DE" w:rsidRPr="003659BF">
        <w:t xml:space="preserve"> </w:t>
      </w:r>
      <w:r w:rsidR="00D707DE">
        <w:t>is supported on non</w:t>
      </w:r>
      <w:r w:rsidRPr="003659BF">
        <w:t>clinical grounds.</w:t>
      </w:r>
    </w:p>
    <w:p w:rsidR="003227C2" w:rsidRPr="003659BF" w:rsidRDefault="003227C2" w:rsidP="00546FFD">
      <w:r w:rsidRPr="003659BF">
        <w:t>No chan</w:t>
      </w:r>
      <w:r w:rsidR="00D707DE">
        <w:t>ges were recommended by the non</w:t>
      </w:r>
      <w:r w:rsidRPr="003659BF">
        <w:t>clinical evaluator to the sponsor’s draft PI</w:t>
      </w:r>
      <w:r w:rsidR="00D707DE">
        <w:t xml:space="preserve"> for </w:t>
      </w:r>
      <w:proofErr w:type="spellStart"/>
      <w:r w:rsidRPr="003659BF">
        <w:t>E</w:t>
      </w:r>
      <w:r w:rsidR="00D707DE">
        <w:t>zalo</w:t>
      </w:r>
      <w:proofErr w:type="spellEnd"/>
      <w:r w:rsidR="00D707DE">
        <w:t>/</w:t>
      </w:r>
      <w:proofErr w:type="spellStart"/>
      <w:r w:rsidR="00D707DE">
        <w:t>Rosuzet</w:t>
      </w:r>
      <w:proofErr w:type="spellEnd"/>
      <w:r w:rsidRPr="003659BF">
        <w:t>.</w:t>
      </w:r>
    </w:p>
    <w:p w:rsidR="008E7846" w:rsidRDefault="008E7846" w:rsidP="00546FFD">
      <w:pPr>
        <w:pStyle w:val="Heading3"/>
      </w:pPr>
      <w:bookmarkStart w:id="132" w:name="_Toc247691530"/>
      <w:bookmarkStart w:id="133" w:name="_Toc314842513"/>
      <w:bookmarkStart w:id="134" w:name="_Toc412706488"/>
      <w:r>
        <w:t>Clinical</w:t>
      </w:r>
      <w:bookmarkEnd w:id="132"/>
      <w:bookmarkEnd w:id="133"/>
      <w:bookmarkEnd w:id="134"/>
    </w:p>
    <w:p w:rsidR="003227C2" w:rsidRPr="003227C2" w:rsidRDefault="003227C2" w:rsidP="00546FFD">
      <w:pPr>
        <w:pStyle w:val="Heading4"/>
      </w:pPr>
      <w:r w:rsidRPr="003227C2">
        <w:t>Pharmacology</w:t>
      </w:r>
    </w:p>
    <w:p w:rsidR="003227C2" w:rsidRPr="003227C2" w:rsidRDefault="003227C2" w:rsidP="00546FFD">
      <w:r w:rsidRPr="003227C2">
        <w:t>Two bioequivalence studies were submitted comparing the proposed fixed dose combination tablet, at the lowest and highest strengths, with administration of the mono-compon</w:t>
      </w:r>
      <w:r w:rsidR="00546FFD">
        <w:t>ents.</w:t>
      </w:r>
    </w:p>
    <w:p w:rsidR="003227C2" w:rsidRPr="003227C2" w:rsidRDefault="003227C2" w:rsidP="00546FFD">
      <w:r w:rsidRPr="003227C2">
        <w:t>In Study P425, administration of the test product, ezetimibe +rosuvastatin calcium 10</w:t>
      </w:r>
      <w:r w:rsidR="001648DF">
        <w:t> mg</w:t>
      </w:r>
      <w:r w:rsidRPr="003227C2">
        <w:t>/5 mg fixed dose combination tablet, was compared with co-administration of the reference products Ezetrol (ezetimibe) 10 mg tablet and C</w:t>
      </w:r>
      <w:r w:rsidR="001648DF">
        <w:t>restor (rosuvastatin calcium) 5 </w:t>
      </w:r>
      <w:r w:rsidRPr="003227C2">
        <w:t xml:space="preserve">mg tablet. The 90% </w:t>
      </w:r>
      <w:r w:rsidR="001648DF">
        <w:t>CI</w:t>
      </w:r>
      <w:r w:rsidRPr="003227C2">
        <w:t>s of the geometric mean ratios of the test and reference products for AUC</w:t>
      </w:r>
      <w:r w:rsidRPr="001648DF">
        <w:rPr>
          <w:vertAlign w:val="subscript"/>
        </w:rPr>
        <w:t>0-t</w:t>
      </w:r>
      <w:r w:rsidRPr="003227C2">
        <w:t xml:space="preserve"> and Cmax for rosuvastatin, ezetimibe (unconjugated) and total ezetimibe were all within the pre-defined range of bioequivalence (80.00% to 125.00%).</w:t>
      </w:r>
    </w:p>
    <w:p w:rsidR="003227C2" w:rsidRPr="003227C2" w:rsidRDefault="003227C2" w:rsidP="00546FFD">
      <w:r w:rsidRPr="003227C2">
        <w:t>In Study P417, administration of the test product, ezetimibe + rosuvastatin calcium 10</w:t>
      </w:r>
      <w:r w:rsidR="001648DF">
        <w:t xml:space="preserve"> mg</w:t>
      </w:r>
      <w:r w:rsidRPr="003227C2">
        <w:t>/40 mg fixed dose combination tablet, was compared with co-administration of the reference products Ezetrol (ezetimibe) 10 mg tablet and Cr</w:t>
      </w:r>
      <w:r w:rsidR="001648DF">
        <w:t xml:space="preserve">estor (rosuvastatin calcium) 40 mg tablet. </w:t>
      </w:r>
      <w:r w:rsidRPr="003227C2">
        <w:t xml:space="preserve">The 90% </w:t>
      </w:r>
      <w:r w:rsidR="001648DF">
        <w:t>CI</w:t>
      </w:r>
      <w:r w:rsidRPr="003227C2">
        <w:t>s of the geometric mean ratios of the test and reference products for AUC</w:t>
      </w:r>
      <w:r w:rsidRPr="001648DF">
        <w:rPr>
          <w:vertAlign w:val="subscript"/>
        </w:rPr>
        <w:t>0-t</w:t>
      </w:r>
      <w:r w:rsidRPr="003227C2">
        <w:t xml:space="preserve"> for rosuvastatin, ezetimibe (unconjugated) and total ezetimibe were all within 80.00% to 125.00% as were those for Cmax for unconjugated ezetimibe and rosuvastatin. Although the lower limit of the corresponding 90% </w:t>
      </w:r>
      <w:r w:rsidR="001648DF">
        <w:t xml:space="preserve">CI </w:t>
      </w:r>
      <w:r w:rsidRPr="003227C2">
        <w:t>for Cmax for total ezetimibe was below 80% (Cmax 80.84 90%</w:t>
      </w:r>
      <w:r w:rsidR="001648DF">
        <w:t xml:space="preserve"> </w:t>
      </w:r>
      <w:r w:rsidRPr="003227C2">
        <w:t>CI [74.90, 87.25]), this is unlikely to be of clinical significance.</w:t>
      </w:r>
    </w:p>
    <w:p w:rsidR="003227C2" w:rsidRPr="00546FFD" w:rsidRDefault="003227C2" w:rsidP="00546FFD">
      <w:pPr>
        <w:pStyle w:val="Heading4"/>
      </w:pPr>
      <w:r w:rsidRPr="003227C2">
        <w:t>Efficacy</w:t>
      </w:r>
    </w:p>
    <w:p w:rsidR="003227C2" w:rsidRPr="003227C2" w:rsidRDefault="003227C2" w:rsidP="00546FFD">
      <w:r w:rsidRPr="003227C2">
        <w:t>The evidence provided to support the efficacy of the fixed dose combination tablet is the same as the evidence provided to support the efficacy of the ezetimibe and rosuvastatin composite pack plus additional publications identified in the updated literatu</w:t>
      </w:r>
      <w:r w:rsidR="00AF0C25">
        <w:t xml:space="preserve">re review. </w:t>
      </w:r>
      <w:r w:rsidRPr="003227C2">
        <w:t>This evidence is acceptable.</w:t>
      </w:r>
    </w:p>
    <w:p w:rsidR="003227C2" w:rsidRPr="00546FFD" w:rsidRDefault="003227C2" w:rsidP="00546FFD">
      <w:pPr>
        <w:pStyle w:val="Heading4"/>
      </w:pPr>
      <w:r w:rsidRPr="003227C2">
        <w:lastRenderedPageBreak/>
        <w:t>Safety</w:t>
      </w:r>
    </w:p>
    <w:p w:rsidR="003227C2" w:rsidRPr="003227C2" w:rsidRDefault="003227C2" w:rsidP="00546FFD">
      <w:r w:rsidRPr="003227C2">
        <w:t>As noted by the clinical evaluator, the safety issues are anticipated to be the same as those for the ezetimibe an</w:t>
      </w:r>
      <w:r w:rsidR="00AF0C25">
        <w:t xml:space="preserve">d rosuvastatin composite pack. </w:t>
      </w:r>
      <w:r w:rsidRPr="003227C2">
        <w:t>The dose strengths proposed for the fixed dose combination tablets are the same as the dose strengths for the composite packs, ezetimibe 10 mg plus ro</w:t>
      </w:r>
      <w:r w:rsidR="00AF0C25">
        <w:t xml:space="preserve">suvastatin 5, 10, 20 or 40 mg. </w:t>
      </w:r>
      <w:r w:rsidRPr="003227C2">
        <w:t>The ezetimibe and rosuvastatin composite pack has been approved by the TGA based on a subset of the information provided by the sponsor to su</w:t>
      </w:r>
      <w:r w:rsidR="00AF0C25">
        <w:t xml:space="preserve">pport the current application. </w:t>
      </w:r>
      <w:r w:rsidRPr="003227C2">
        <w:t>The adverse effects reported in the new safety data included in this submission are generally consistent with the known safety profiles for the co-administration of ezetimibe and rosuvastatin or for the mono-components.</w:t>
      </w:r>
    </w:p>
    <w:p w:rsidR="003227C2" w:rsidRPr="003227C2" w:rsidRDefault="003227C2" w:rsidP="00546FFD">
      <w:r w:rsidRPr="003227C2">
        <w:t xml:space="preserve">According to </w:t>
      </w:r>
      <w:r w:rsidR="005C3C59">
        <w:t xml:space="preserve">Table 2, above, </w:t>
      </w:r>
      <w:r w:rsidRPr="003227C2">
        <w:t>there have been a total of 145 patients exposed to the highest dosage strength combination, namely ezetimibe 10 mg + rosuvastatin 40 m</w:t>
      </w:r>
      <w:r w:rsidR="00AF0C25">
        <w:t xml:space="preserve">g for between 12 and 24 weeks. </w:t>
      </w:r>
      <w:r w:rsidRPr="003227C2">
        <w:t>There are no clinical trial patients who have been exposed to this dosage st</w:t>
      </w:r>
      <w:r w:rsidR="00AF0C25">
        <w:t xml:space="preserve">rength for any longer periods. </w:t>
      </w:r>
      <w:r w:rsidR="005C3C59">
        <w:t>The sponsor wa</w:t>
      </w:r>
      <w:r w:rsidRPr="003227C2">
        <w:t>s requested to confirm that this is the case.</w:t>
      </w:r>
    </w:p>
    <w:p w:rsidR="003227C2" w:rsidRPr="003227C2" w:rsidRDefault="003227C2" w:rsidP="00546FFD">
      <w:r w:rsidRPr="003227C2">
        <w:t>In its</w:t>
      </w:r>
      <w:r w:rsidR="005C3C59">
        <w:t xml:space="preserve"> pre-ACPM response the sponsor wa</w:t>
      </w:r>
      <w:r w:rsidRPr="003227C2">
        <w:t xml:space="preserve">s requested to provide the most up-to-date assessment of all post-marketing data available to the sponsor, data which can elucidate the </w:t>
      </w:r>
      <w:r w:rsidR="00D07E32">
        <w:t>AE</w:t>
      </w:r>
      <w:r w:rsidRPr="003227C2">
        <w:t xml:space="preserve"> profile of the highest dosage strength c</w:t>
      </w:r>
      <w:r w:rsidR="005C3C59">
        <w:t>ombination, namely ezetimibe 10 </w:t>
      </w:r>
      <w:r w:rsidRPr="003227C2">
        <w:t>mg + rosuvastatin 40 mg.</w:t>
      </w:r>
    </w:p>
    <w:p w:rsidR="003227C2" w:rsidRPr="003227C2" w:rsidRDefault="003227C2" w:rsidP="00546FFD">
      <w:r w:rsidRPr="003227C2">
        <w:t>In the second round of the clinical evaluation, the sponsor was asked to comment</w:t>
      </w:r>
      <w:r w:rsidR="00AF0C25">
        <w:t xml:space="preserve"> on a number of safety issues. </w:t>
      </w:r>
      <w:r w:rsidRPr="003227C2">
        <w:t>These are summarised below:</w:t>
      </w:r>
    </w:p>
    <w:p w:rsidR="003227C2" w:rsidRPr="003227C2" w:rsidRDefault="003227C2" w:rsidP="00546FFD">
      <w:pPr>
        <w:pStyle w:val="Numberbullet0"/>
        <w:numPr>
          <w:ilvl w:val="0"/>
          <w:numId w:val="8"/>
        </w:numPr>
      </w:pPr>
      <w:r w:rsidRPr="003227C2">
        <w:t xml:space="preserve">The sponsor was asked to provide details on the cases of Stevens Johnson Syndrome and </w:t>
      </w:r>
      <w:proofErr w:type="spellStart"/>
      <w:r w:rsidRPr="003227C2">
        <w:t>leucocytoclastic</w:t>
      </w:r>
      <w:proofErr w:type="spellEnd"/>
      <w:r w:rsidRPr="003227C2">
        <w:t xml:space="preserve"> vasculitis reported by healthcare providers in the PSUR Addendum Report for ezetimibe (17</w:t>
      </w:r>
      <w:r w:rsidR="00AF0C25">
        <w:t xml:space="preserve"> April 2012 to 16 April 2013). </w:t>
      </w:r>
      <w:r w:rsidRPr="003227C2">
        <w:t xml:space="preserve">Of the seven reports of </w:t>
      </w:r>
      <w:proofErr w:type="spellStart"/>
      <w:r w:rsidRPr="003227C2">
        <w:t>leucocytoclastic</w:t>
      </w:r>
      <w:proofErr w:type="spellEnd"/>
      <w:r w:rsidRPr="003227C2">
        <w:t xml:space="preserve"> vasculitis cumulatively, the sponsor reported that there was insufficient information in the reports for five of the cases to ma</w:t>
      </w:r>
      <w:r w:rsidR="005C3C59">
        <w:t xml:space="preserve">ke an assessment of causality. </w:t>
      </w:r>
      <w:r w:rsidRPr="003227C2">
        <w:t>The other two cases were confounded by medications that can be associated wit</w:t>
      </w:r>
      <w:r w:rsidR="005C3C59">
        <w:t xml:space="preserve">h </w:t>
      </w:r>
      <w:proofErr w:type="spellStart"/>
      <w:r w:rsidR="005C3C59">
        <w:t>leucocytoclastic</w:t>
      </w:r>
      <w:proofErr w:type="spellEnd"/>
      <w:r w:rsidR="005C3C59">
        <w:t xml:space="preserve"> vasculitis. </w:t>
      </w:r>
      <w:r w:rsidRPr="003227C2">
        <w:t xml:space="preserve">The sponsor’s response was judged to be acceptable by the clinical evaluator and the </w:t>
      </w:r>
      <w:r w:rsidR="005C3C59">
        <w:t>D</w:t>
      </w:r>
      <w:r w:rsidRPr="003227C2">
        <w:t>elegate agrees.</w:t>
      </w:r>
    </w:p>
    <w:p w:rsidR="003227C2" w:rsidRPr="003227C2" w:rsidRDefault="003227C2" w:rsidP="00546FFD">
      <w:pPr>
        <w:pStyle w:val="Numberbullet0"/>
      </w:pPr>
      <w:r w:rsidRPr="003227C2">
        <w:t xml:space="preserve">The sponsor was asked to provide details on the cases of </w:t>
      </w:r>
      <w:proofErr w:type="spellStart"/>
      <w:r w:rsidRPr="003227C2">
        <w:t>pancytopaenia</w:t>
      </w:r>
      <w:proofErr w:type="spellEnd"/>
      <w:r w:rsidRPr="003227C2">
        <w:t xml:space="preserve"> reported by healthcare providers in the PSUR Addendum Report for ezetimibe (17</w:t>
      </w:r>
      <w:r w:rsidR="005C3C59">
        <w:t xml:space="preserve"> April 2012 to 16 April 2013). </w:t>
      </w:r>
      <w:r w:rsidRPr="003227C2">
        <w:t>The sponsor indicated that for five of the seven cases, there was insufficient information to make a causality assessment and the remain</w:t>
      </w:r>
      <w:r w:rsidR="005C3C59">
        <w:t xml:space="preserve">ing two cases were confounded. </w:t>
      </w:r>
      <w:r w:rsidRPr="003227C2">
        <w:t xml:space="preserve">Again the </w:t>
      </w:r>
      <w:r w:rsidR="005C3C59">
        <w:t>D</w:t>
      </w:r>
      <w:r w:rsidRPr="003227C2">
        <w:t>elegate agrees with the clinical evaluator that the sponsor’s response is acceptable.</w:t>
      </w:r>
    </w:p>
    <w:p w:rsidR="003227C2" w:rsidRPr="003227C2" w:rsidRDefault="003227C2" w:rsidP="00546FFD">
      <w:pPr>
        <w:pStyle w:val="Numberbullet0"/>
      </w:pPr>
      <w:r w:rsidRPr="003227C2">
        <w:t xml:space="preserve">The sponsor was asked to </w:t>
      </w:r>
      <w:r w:rsidRPr="00546FFD">
        <w:t>provide</w:t>
      </w:r>
      <w:r w:rsidRPr="003227C2">
        <w:t xml:space="preserve"> details on the reports of “electrocardiogram QT prolonged” in the PSUR Addendum Report for ezetimibe (17 April 2012 to 16 April </w:t>
      </w:r>
      <w:r w:rsidR="005C3C59">
        <w:t xml:space="preserve">2013). </w:t>
      </w:r>
      <w:r w:rsidRPr="003227C2">
        <w:t xml:space="preserve">There were two such cases, one of which was a patient with coronary artery disease and atrial fibrillation who was receiving concomitant </w:t>
      </w:r>
      <w:proofErr w:type="spellStart"/>
      <w:r w:rsidRPr="003227C2">
        <w:t>dofetilide</w:t>
      </w:r>
      <w:proofErr w:type="spellEnd"/>
      <w:r w:rsidRPr="003227C2">
        <w:t xml:space="preserve">, reported to be the primary suspect drug, and </w:t>
      </w:r>
      <w:proofErr w:type="spellStart"/>
      <w:r w:rsidRPr="003227C2">
        <w:t>escitalopram</w:t>
      </w:r>
      <w:proofErr w:type="spellEnd"/>
      <w:r w:rsidRPr="003227C2">
        <w:t>, a secondary suspect along with ezetimibe while for the other case, the sponsor responded that there was insufficient information t</w:t>
      </w:r>
      <w:r w:rsidR="005C3C59">
        <w:t xml:space="preserve">o make a causality assessment. </w:t>
      </w:r>
      <w:r w:rsidRPr="003227C2">
        <w:t xml:space="preserve">Again the </w:t>
      </w:r>
      <w:r w:rsidR="005C3C59">
        <w:t>D</w:t>
      </w:r>
      <w:r w:rsidRPr="003227C2">
        <w:t>elegate agrees with the clinical evaluator that the sponsor’s response is acceptable.</w:t>
      </w:r>
    </w:p>
    <w:p w:rsidR="003227C2" w:rsidRPr="003227C2" w:rsidRDefault="003227C2" w:rsidP="00546FFD">
      <w:pPr>
        <w:pStyle w:val="Numberbullet0"/>
      </w:pPr>
      <w:r w:rsidRPr="003227C2">
        <w:t>The sponsor was asked to clarify whether hepatic failure, as a specific term, would be added to the RM</w:t>
      </w:r>
      <w:r w:rsidR="005C3C59">
        <w:t>P as an ongoing safety concern.</w:t>
      </w:r>
      <w:r w:rsidRPr="003227C2">
        <w:t xml:space="preserve"> The sponsor confirmed that hepatic failure had been added as a potential risk to </w:t>
      </w:r>
      <w:r w:rsidR="005C3C59">
        <w:t>the updated RMP (</w:t>
      </w:r>
      <w:r w:rsidR="005059BE">
        <w:t>V</w:t>
      </w:r>
      <w:r w:rsidR="005C3C59">
        <w:t xml:space="preserve">ersion 1.3). </w:t>
      </w:r>
      <w:r w:rsidRPr="003227C2">
        <w:t xml:space="preserve">The sponsor indicated that the addition of hepatic failure as a potential risk was accepted by the Delegate during the evaluation of the submission for the </w:t>
      </w:r>
      <w:proofErr w:type="spellStart"/>
      <w:r w:rsidRPr="003227C2">
        <w:t>Rosuzet</w:t>
      </w:r>
      <w:proofErr w:type="spellEnd"/>
      <w:r w:rsidRPr="003227C2">
        <w:t>/</w:t>
      </w:r>
      <w:proofErr w:type="spellStart"/>
      <w:r w:rsidRPr="003227C2">
        <w:t>Ezalo</w:t>
      </w:r>
      <w:proofErr w:type="spellEnd"/>
      <w:r w:rsidRPr="003227C2">
        <w:t xml:space="preserve"> composite pack (</w:t>
      </w:r>
      <w:r w:rsidR="005C3C59" w:rsidRPr="00546FFD">
        <w:t>Submission</w:t>
      </w:r>
      <w:r w:rsidR="005C3C59">
        <w:t xml:space="preserve"> PM-2012-03149-1-3). </w:t>
      </w:r>
      <w:r w:rsidRPr="003227C2">
        <w:t>This is acceptable to the Delegate of this submission.</w:t>
      </w:r>
    </w:p>
    <w:p w:rsidR="003227C2" w:rsidRPr="003227C2" w:rsidRDefault="005C3C59" w:rsidP="00546FFD">
      <w:r>
        <w:lastRenderedPageBreak/>
        <w:t xml:space="preserve">Under </w:t>
      </w:r>
      <w:r w:rsidR="003227C2" w:rsidRPr="005C3C59">
        <w:rPr>
          <w:i/>
        </w:rPr>
        <w:t>‘Other issues pertinent to the submission’</w:t>
      </w:r>
      <w:r>
        <w:t xml:space="preserve">, above, </w:t>
      </w:r>
      <w:r w:rsidR="003227C2" w:rsidRPr="003227C2">
        <w:t>the clinical evaluator discussed an iss</w:t>
      </w:r>
      <w:r>
        <w:t>ue which was of concern to the D</w:t>
      </w:r>
      <w:r w:rsidR="003227C2" w:rsidRPr="003227C2">
        <w:t>elegate in the submission for the composite pack of ezetimibe and rosuvastatin (PM-2012-03419-1-3) and which remains of co</w:t>
      </w:r>
      <w:r>
        <w:t>ncern to the D</w:t>
      </w:r>
      <w:r w:rsidR="003227C2" w:rsidRPr="003227C2">
        <w:t xml:space="preserve">elegate in this submission for the </w:t>
      </w:r>
      <w:r>
        <w:t>fixed</w:t>
      </w:r>
      <w:r w:rsidR="003A0D42">
        <w:t xml:space="preserve"> </w:t>
      </w:r>
      <w:r>
        <w:t xml:space="preserve">dose combination tablet. </w:t>
      </w:r>
      <w:r w:rsidR="003227C2" w:rsidRPr="003227C2">
        <w:t xml:space="preserve">This issue concerns the potential for a patient to have a rosuvastatin </w:t>
      </w:r>
      <w:r>
        <w:t xml:space="preserve">exposure after taking the fixed </w:t>
      </w:r>
      <w:r w:rsidR="003227C2" w:rsidRPr="003227C2">
        <w:t>dose combination of ezetimibe 10 mg and rosuvastatin 40 mg higher than that after taking rosuvastatin 40 mg monotherapy.</w:t>
      </w:r>
    </w:p>
    <w:p w:rsidR="003227C2" w:rsidRPr="003227C2" w:rsidRDefault="003227C2" w:rsidP="00546FFD">
      <w:r w:rsidRPr="003227C2">
        <w:t>In Study P03317, submitted for evaluation in Submission PM-2012-03419-1-3</w:t>
      </w:r>
      <w:r w:rsidR="005268C4">
        <w:t xml:space="preserve"> (for the ezetimibe plus rosuvastatin composite packs)</w:t>
      </w:r>
      <w:r w:rsidRPr="003227C2">
        <w:t>, there was an increase in the mean AUC and the mean Cmax for rosuvastatin when rosuvastatin was co-administered with ezetimibe compared to the administration of rosuvastatin alone (AUC 119% [90%</w:t>
      </w:r>
      <w:r w:rsidR="005268C4">
        <w:t xml:space="preserve"> </w:t>
      </w:r>
      <w:r w:rsidRPr="003227C2">
        <w:t>CI 87%-162%]</w:t>
      </w:r>
      <w:r w:rsidR="005C3C59">
        <w:t>; Cmax 117% [90%</w:t>
      </w:r>
      <w:r w:rsidR="005268C4">
        <w:t xml:space="preserve"> </w:t>
      </w:r>
      <w:r w:rsidR="005C3C59">
        <w:t xml:space="preserve">CI 84%-163%]). </w:t>
      </w:r>
      <w:r w:rsidRPr="003227C2">
        <w:t>Thus there is a 19% increase in the mean AUC which wou</w:t>
      </w:r>
      <w:r w:rsidR="005C3C59">
        <w:t xml:space="preserve">ld represent an approximate 1.2 </w:t>
      </w:r>
      <w:r w:rsidRPr="003227C2">
        <w:t>f</w:t>
      </w:r>
      <w:r w:rsidR="005C3C59">
        <w:t>old increase in that parameter.</w:t>
      </w:r>
      <w:r w:rsidRPr="003227C2">
        <w:t xml:space="preserve"> Since the associated 90% </w:t>
      </w:r>
      <w:r w:rsidR="005268C4">
        <w:t xml:space="preserve">CI </w:t>
      </w:r>
      <w:r w:rsidRPr="003227C2">
        <w:t xml:space="preserve">includes unity, the result is </w:t>
      </w:r>
      <w:r w:rsidR="005C3C59">
        <w:t xml:space="preserve">not statistically significant. </w:t>
      </w:r>
      <w:r w:rsidRPr="003227C2">
        <w:t xml:space="preserve">However, as the </w:t>
      </w:r>
      <w:r w:rsidR="005C3C59">
        <w:t>D</w:t>
      </w:r>
      <w:r w:rsidRPr="003227C2">
        <w:t>elegate has previously argued in the registration process for the composite pack</w:t>
      </w:r>
      <w:r w:rsidR="005C3C59">
        <w:t>,</w:t>
      </w:r>
      <w:r w:rsidRPr="003227C2">
        <w:t xml:space="preserve"> there will be some people who take the simple combination of ezetimibe 10 mg and rosuvastatin 40 mg, </w:t>
      </w:r>
      <w:r w:rsidR="005C3C59">
        <w:t xml:space="preserve">that is, </w:t>
      </w:r>
      <w:r w:rsidRPr="003227C2">
        <w:t>in the absence of other relevant factors and whose rosuvastatin levels will be higher than if they had been exposed to</w:t>
      </w:r>
      <w:r w:rsidR="005C3C59">
        <w:t xml:space="preserve"> the rosuvastatin 40 mg alone. </w:t>
      </w:r>
      <w:r w:rsidRPr="003227C2">
        <w:t>In other words, the simple act of taking this combination in the absence of other relevant factors would constitute a situation “where an increase in rosuvast</w:t>
      </w:r>
      <w:r w:rsidR="005C3C59">
        <w:t xml:space="preserve">atin plasma levels may occur”. </w:t>
      </w:r>
      <w:r w:rsidRPr="003227C2">
        <w:t xml:space="preserve">The latter clinical situation </w:t>
      </w:r>
      <w:r w:rsidR="005C3C59">
        <w:t xml:space="preserve">is </w:t>
      </w:r>
      <w:r w:rsidRPr="003227C2">
        <w:t>written into the currently approved C</w:t>
      </w:r>
      <w:r w:rsidR="005C3C59">
        <w:t xml:space="preserve">restor </w:t>
      </w:r>
      <w:r w:rsidRPr="003227C2">
        <w:t>(rosuvastatin) monotherapy PI and the currently approved PIs for the composite packs of ezetimibe and rosuvastatin as a contraindication to the taking of C</w:t>
      </w:r>
      <w:r w:rsidR="005C3C59">
        <w:t xml:space="preserve">restor </w:t>
      </w:r>
      <w:r w:rsidRPr="003227C2">
        <w:t>40 mg or of the combination of ezetimi</w:t>
      </w:r>
      <w:r w:rsidR="005C3C59">
        <w:t>be 10 mg + rosuvastatin 40 mg. I</w:t>
      </w:r>
      <w:r w:rsidRPr="003227C2">
        <w:t>f there are other relevant clinical factors in play, the rosuvastatin plasma levels will be even higher than those arising simply</w:t>
      </w:r>
      <w:r w:rsidR="005C3C59">
        <w:t xml:space="preserve"> by virtue of the combination. </w:t>
      </w:r>
      <w:r w:rsidRPr="003227C2">
        <w:t>This issue is taken up again at the end of this section on safety</w:t>
      </w:r>
      <w:r w:rsidR="005C3C59">
        <w:t>, below</w:t>
      </w:r>
      <w:r w:rsidRPr="003227C2">
        <w:t>.</w:t>
      </w:r>
    </w:p>
    <w:p w:rsidR="003227C2" w:rsidRPr="003227C2" w:rsidRDefault="005C3C59" w:rsidP="00546FFD">
      <w:r>
        <w:t>The D</w:t>
      </w:r>
      <w:r w:rsidR="003227C2" w:rsidRPr="003227C2">
        <w:t xml:space="preserve">elegate </w:t>
      </w:r>
      <w:r w:rsidR="003E060E">
        <w:t xml:space="preserve">for the application to register ezetimibe + rosuvastatin composite packs had </w:t>
      </w:r>
      <w:r w:rsidR="003227C2" w:rsidRPr="003227C2">
        <w:t xml:space="preserve">sought the advice of ACPM </w:t>
      </w:r>
      <w:r w:rsidR="006342EB">
        <w:t>on this issue. T</w:t>
      </w:r>
      <w:r w:rsidR="003227C2" w:rsidRPr="003227C2">
        <w:t xml:space="preserve">he advice of the committee was that the increased rosuvastatin levels when rosuvastatin was co-administered with ezetimibe were no different from other drug interactions and </w:t>
      </w:r>
      <w:r>
        <w:t xml:space="preserve">should be managed accordingly. </w:t>
      </w:r>
      <w:r w:rsidR="003227C2" w:rsidRPr="003227C2">
        <w:t>ACPM also recommended that the PI and RMP should be strengthened, especially for the highest dose.</w:t>
      </w:r>
    </w:p>
    <w:p w:rsidR="003227C2" w:rsidRPr="003227C2" w:rsidRDefault="003227C2" w:rsidP="00546FFD">
      <w:r w:rsidRPr="003227C2">
        <w:t xml:space="preserve">In the approved PIs for the </w:t>
      </w:r>
      <w:proofErr w:type="spellStart"/>
      <w:r w:rsidR="005C3C59">
        <w:t>E</w:t>
      </w:r>
      <w:r w:rsidR="005C3C59" w:rsidRPr="003227C2">
        <w:t>zalo</w:t>
      </w:r>
      <w:proofErr w:type="spellEnd"/>
      <w:r w:rsidR="005C3C59" w:rsidRPr="003227C2">
        <w:t xml:space="preserve"> </w:t>
      </w:r>
      <w:r w:rsidR="005C3C59">
        <w:t xml:space="preserve">and </w:t>
      </w:r>
      <w:proofErr w:type="spellStart"/>
      <w:r w:rsidR="005C3C59">
        <w:t>R</w:t>
      </w:r>
      <w:r w:rsidR="005C3C59" w:rsidRPr="003227C2">
        <w:t>osuzet</w:t>
      </w:r>
      <w:proofErr w:type="spellEnd"/>
      <w:r w:rsidRPr="003227C2">
        <w:t xml:space="preserve"> </w:t>
      </w:r>
      <w:r w:rsidR="005C3C59">
        <w:t>C</w:t>
      </w:r>
      <w:r w:rsidRPr="003227C2">
        <w:t xml:space="preserve">omposite </w:t>
      </w:r>
      <w:r w:rsidR="005C3C59">
        <w:t>P</w:t>
      </w:r>
      <w:r w:rsidRPr="003227C2">
        <w:t xml:space="preserve">acks, there are </w:t>
      </w:r>
      <w:r w:rsidR="003E060E">
        <w:t xml:space="preserve">several </w:t>
      </w:r>
      <w:r w:rsidRPr="003227C2">
        <w:t>statements about the highest dosage strength</w:t>
      </w:r>
      <w:r w:rsidR="003E060E">
        <w:t xml:space="preserve">. </w:t>
      </w:r>
      <w:r w:rsidRPr="003227C2">
        <w:t>With the exception of a few minor amendments, largely the addition of cross-references and the change from reporting dosage strengths in monotherapy terms to fixed</w:t>
      </w:r>
      <w:r w:rsidR="003A0D42">
        <w:t xml:space="preserve"> </w:t>
      </w:r>
      <w:r w:rsidRPr="003227C2">
        <w:t xml:space="preserve">dose combination terms, the </w:t>
      </w:r>
      <w:r w:rsidR="003E060E">
        <w:t xml:space="preserve">same statements </w:t>
      </w:r>
      <w:r w:rsidRPr="003227C2">
        <w:t>are being carried across to</w:t>
      </w:r>
      <w:r w:rsidR="005C3C59">
        <w:t xml:space="preserve"> the proposed PIs for the fixed </w:t>
      </w:r>
      <w:r w:rsidRPr="003227C2">
        <w:t>dose combination tablets.</w:t>
      </w:r>
      <w:r w:rsidR="003E060E">
        <w:t xml:space="preserve"> </w:t>
      </w:r>
      <w:r w:rsidRPr="003227C2">
        <w:t>The ACPM will be asked whether it considers that these statements are adequate or whether they need to be strengthened or added to in any way.</w:t>
      </w:r>
    </w:p>
    <w:p w:rsidR="003227C2" w:rsidRPr="003227C2" w:rsidRDefault="003227C2" w:rsidP="00546FFD">
      <w:r w:rsidRPr="003227C2">
        <w:t xml:space="preserve">Changes to the EU </w:t>
      </w:r>
      <w:proofErr w:type="spellStart"/>
      <w:r w:rsidR="00AF0C25">
        <w:t>SmPC</w:t>
      </w:r>
      <w:proofErr w:type="spellEnd"/>
      <w:r w:rsidR="00AF0C25">
        <w:t xml:space="preserve"> </w:t>
      </w:r>
      <w:r w:rsidRPr="003227C2">
        <w:t>for C</w:t>
      </w:r>
      <w:r w:rsidR="00AF0C25">
        <w:t>restor</w:t>
      </w:r>
      <w:r w:rsidRPr="003227C2">
        <w:t>, made on 1 May 2013, included clarification of the effect of co-administered medicinal products on rosuvastatin, explanations on the interactions requiring rosuvastatin dose adjustments, and the addition of information on concomitant therapy.</w:t>
      </w:r>
      <w:r w:rsidR="00AF0C25">
        <w:t xml:space="preserve"> </w:t>
      </w:r>
      <w:r w:rsidR="005C3C59">
        <w:t xml:space="preserve">In the </w:t>
      </w:r>
      <w:r w:rsidRPr="005C3C59">
        <w:rPr>
          <w:i/>
        </w:rPr>
        <w:t>Interactions with other medicinal products and other forms of interaction</w:t>
      </w:r>
      <w:r w:rsidRPr="003227C2">
        <w:t xml:space="preserve"> section of the current EU </w:t>
      </w:r>
      <w:proofErr w:type="spellStart"/>
      <w:r w:rsidRPr="003227C2">
        <w:t>S</w:t>
      </w:r>
      <w:r w:rsidR="005C3C59">
        <w:t>mPC</w:t>
      </w:r>
      <w:proofErr w:type="spellEnd"/>
      <w:r w:rsidR="005C3C59">
        <w:t xml:space="preserve"> </w:t>
      </w:r>
      <w:r w:rsidRPr="003227C2">
        <w:t>for C</w:t>
      </w:r>
      <w:r w:rsidR="00AF0C25">
        <w:t>restor</w:t>
      </w:r>
      <w:r w:rsidRPr="003227C2">
        <w:t>, it is recommended that the dose of C</w:t>
      </w:r>
      <w:r w:rsidR="00AF0C25">
        <w:t xml:space="preserve">restor </w:t>
      </w:r>
      <w:r w:rsidRPr="003227C2">
        <w:t>should be adjusted when it is necessary to co-administer C</w:t>
      </w:r>
      <w:r w:rsidR="00AF0C25">
        <w:t xml:space="preserve">restor </w:t>
      </w:r>
      <w:r w:rsidRPr="003227C2">
        <w:t>with other medicinal products known to increase rosuvastatin exposure</w:t>
      </w:r>
      <w:r w:rsidR="00AF0C25">
        <w:t xml:space="preserve">. </w:t>
      </w:r>
      <w:r w:rsidRPr="003227C2">
        <w:t xml:space="preserve">In the updated EU </w:t>
      </w:r>
      <w:proofErr w:type="spellStart"/>
      <w:r w:rsidRPr="003227C2">
        <w:t>SmPC</w:t>
      </w:r>
      <w:proofErr w:type="spellEnd"/>
      <w:r w:rsidRPr="003227C2">
        <w:t xml:space="preserve"> there is a table which includes interactions resulting in specific fold increases and percentage decreases in rosuvastatin AUC as well as interactions resulting in </w:t>
      </w:r>
      <w:r w:rsidR="00AF0C25">
        <w:t xml:space="preserve">no change in rosuvastatin AUC. </w:t>
      </w:r>
      <w:r w:rsidRPr="003227C2">
        <w:t>From this table it would appear that the dose adjustment recommendations pertain only to those interactions</w:t>
      </w:r>
      <w:r w:rsidR="00AF0C25">
        <w:t xml:space="preserve"> that result in approximately 2 </w:t>
      </w:r>
      <w:r w:rsidRPr="003227C2">
        <w:t>fold or higher increases in rosuvastatin AUC althou</w:t>
      </w:r>
      <w:r w:rsidR="00AF0C25">
        <w:t xml:space="preserve">gh this is not clearly stated. </w:t>
      </w:r>
      <w:r w:rsidRPr="003227C2">
        <w:t xml:space="preserve">The updated EU </w:t>
      </w:r>
      <w:proofErr w:type="spellStart"/>
      <w:r w:rsidRPr="003227C2">
        <w:t>SmPC</w:t>
      </w:r>
      <w:proofErr w:type="spellEnd"/>
      <w:r w:rsidRPr="003227C2">
        <w:t xml:space="preserve"> does not specify a dose reduction for rosuvastatin when it is co-administered with ezetimibe.</w:t>
      </w:r>
      <w:r w:rsidR="003E060E">
        <w:t xml:space="preserve"> </w:t>
      </w:r>
      <w:r w:rsidRPr="003227C2">
        <w:t xml:space="preserve">Both the US and Canadian product information documents indicate that the </w:t>
      </w:r>
      <w:r w:rsidRPr="003227C2">
        <w:lastRenderedPageBreak/>
        <w:t>19% increase in rosuvastatin AUC resulting from the co-administration of ezetimibe and rosuvastatin is not considered clinically significant.</w:t>
      </w:r>
    </w:p>
    <w:p w:rsidR="003227C2" w:rsidRPr="003227C2" w:rsidRDefault="003227C2" w:rsidP="00546FFD">
      <w:r w:rsidRPr="003227C2">
        <w:t xml:space="preserve">The clinical evaluator and also the RMP evaluator have identified a potential inconsistency in the </w:t>
      </w:r>
      <w:r w:rsidR="005C3C59" w:rsidRPr="005C3C59">
        <w:rPr>
          <w:i/>
        </w:rPr>
        <w:t>Contraindications</w:t>
      </w:r>
      <w:r w:rsidR="005C3C59" w:rsidRPr="003227C2">
        <w:t xml:space="preserve"> section of the presently approved </w:t>
      </w:r>
      <w:proofErr w:type="spellStart"/>
      <w:r w:rsidR="005C3C59">
        <w:t>E</w:t>
      </w:r>
      <w:r w:rsidR="005C3C59" w:rsidRPr="003227C2">
        <w:t>zalo</w:t>
      </w:r>
      <w:proofErr w:type="spellEnd"/>
      <w:r w:rsidR="005C3C59" w:rsidRPr="003227C2">
        <w:t xml:space="preserve"> </w:t>
      </w:r>
      <w:r w:rsidR="005C3C59">
        <w:t xml:space="preserve">and </w:t>
      </w:r>
      <w:proofErr w:type="spellStart"/>
      <w:r w:rsidR="005C3C59">
        <w:t>R</w:t>
      </w:r>
      <w:r w:rsidR="005C3C59" w:rsidRPr="003227C2">
        <w:t>osuzet</w:t>
      </w:r>
      <w:proofErr w:type="spellEnd"/>
      <w:r w:rsidR="005C3C59" w:rsidRPr="003227C2">
        <w:t xml:space="preserve"> </w:t>
      </w:r>
      <w:r w:rsidR="005C3C59">
        <w:t>C</w:t>
      </w:r>
      <w:r w:rsidR="005C3C59" w:rsidRPr="003227C2">
        <w:t xml:space="preserve">omposite </w:t>
      </w:r>
      <w:r w:rsidR="005C3C59">
        <w:t>P</w:t>
      </w:r>
      <w:r w:rsidR="005C3C59" w:rsidRPr="003227C2">
        <w:t xml:space="preserve">ack </w:t>
      </w:r>
      <w:r w:rsidR="005C3C59">
        <w:t xml:space="preserve">PIs </w:t>
      </w:r>
      <w:r w:rsidR="005C3C59" w:rsidRPr="003227C2">
        <w:t xml:space="preserve">and the proposed </w:t>
      </w:r>
      <w:r w:rsidR="005C3C59">
        <w:t xml:space="preserve">PIs </w:t>
      </w:r>
      <w:r w:rsidR="005C3C59" w:rsidRPr="003227C2">
        <w:t>for the corresponding fixed</w:t>
      </w:r>
      <w:r w:rsidR="005C3C59">
        <w:t xml:space="preserve"> </w:t>
      </w:r>
      <w:r w:rsidR="005C3C59" w:rsidRPr="003227C2">
        <w:t>dose combination tablets.</w:t>
      </w:r>
      <w:r w:rsidR="005C3C59">
        <w:t xml:space="preserve"> T</w:t>
      </w:r>
      <w:r w:rsidR="005C3C59" w:rsidRPr="003227C2">
        <w:t>his particular contraindication has been referre</w:t>
      </w:r>
      <w:r w:rsidR="003E060E">
        <w:t>d to above in this O</w:t>
      </w:r>
      <w:r w:rsidR="005C3C59">
        <w:t xml:space="preserve">verview. In the second part of the </w:t>
      </w:r>
      <w:r w:rsidR="005C3C59" w:rsidRPr="005C3C59">
        <w:rPr>
          <w:i/>
        </w:rPr>
        <w:t>Contraindications</w:t>
      </w:r>
      <w:r w:rsidR="005C3C59" w:rsidRPr="003227C2">
        <w:t xml:space="preserve"> </w:t>
      </w:r>
      <w:r w:rsidRPr="003227C2">
        <w:t xml:space="preserve">there is a list of pre-disposing factors for myopathy/rhabdomyolysis which would contraindicate </w:t>
      </w:r>
      <w:r w:rsidR="005C3C59">
        <w:t>the combination of ezetimibe 10 </w:t>
      </w:r>
      <w:r w:rsidRPr="003227C2">
        <w:t>mg + rosuvastatin 40 mg because of the presence of the rosuvastatin component at a dose level of 40</w:t>
      </w:r>
      <w:r w:rsidR="005C3C59">
        <w:t xml:space="preserve"> mg. </w:t>
      </w:r>
      <w:r w:rsidRPr="003227C2">
        <w:t>One of these pre-disposing factors is listed as “situations where an increase in rosuvast</w:t>
      </w:r>
      <w:r w:rsidR="007B0BF8">
        <w:t xml:space="preserve">atin plasma levels may occur”. </w:t>
      </w:r>
      <w:r w:rsidRPr="003227C2">
        <w:t>The full list of contraindicating pre-disposing factors is in fact directly carried over from the C</w:t>
      </w:r>
      <w:r w:rsidR="005C3C59">
        <w:t xml:space="preserve">restor </w:t>
      </w:r>
      <w:r w:rsidRPr="003227C2">
        <w:t xml:space="preserve">(rosuvastatin) monotherapy PI. Firstly, </w:t>
      </w:r>
      <w:r w:rsidR="005C3C59">
        <w:t xml:space="preserve">it is noted </w:t>
      </w:r>
      <w:r w:rsidRPr="003227C2">
        <w:t xml:space="preserve">that the contraindication clearly states that it only has to be a situation where an increase in rosuvastatin plasma levels </w:t>
      </w:r>
      <w:r w:rsidRPr="005C3C59">
        <w:rPr>
          <w:u w:val="single"/>
        </w:rPr>
        <w:t>may</w:t>
      </w:r>
      <w:r w:rsidR="005C3C59">
        <w:t xml:space="preserve"> occur (D</w:t>
      </w:r>
      <w:r w:rsidRPr="003227C2">
        <w:t>elegate’s underlining)</w:t>
      </w:r>
      <w:r w:rsidR="007B0BF8">
        <w:t xml:space="preserve">. </w:t>
      </w:r>
      <w:r w:rsidRPr="003227C2">
        <w:t>Secondly, there may be other relevant factors which would compound such increases.</w:t>
      </w:r>
      <w:r w:rsidR="007B0BF8">
        <w:t xml:space="preserve"> </w:t>
      </w:r>
      <w:r w:rsidRPr="003227C2">
        <w:t xml:space="preserve">Finally, under the sub-heading </w:t>
      </w:r>
      <w:r w:rsidRPr="005C3C59">
        <w:rPr>
          <w:i/>
        </w:rPr>
        <w:t>‘Renal Insufficiency’</w:t>
      </w:r>
      <w:r w:rsidRPr="003227C2">
        <w:t xml:space="preserve"> in the section </w:t>
      </w:r>
      <w:r w:rsidR="005C3C59" w:rsidRPr="005C3C59">
        <w:rPr>
          <w:i/>
        </w:rPr>
        <w:t>Dosage and Administration</w:t>
      </w:r>
      <w:r w:rsidR="005C3C59" w:rsidRPr="003227C2">
        <w:t xml:space="preserve"> </w:t>
      </w:r>
      <w:r w:rsidR="005C3C59">
        <w:t xml:space="preserve">section </w:t>
      </w:r>
      <w:r w:rsidRPr="003227C2">
        <w:t>in both the approved PIs for the composite packs and in</w:t>
      </w:r>
      <w:r w:rsidR="005C3C59">
        <w:t xml:space="preserve"> the proposed PIs for the fixed </w:t>
      </w:r>
      <w:r w:rsidRPr="003227C2">
        <w:t>dose combination tablets, the sponsor acknowledges that there may be increased exposure to rosuvastatin in patients receiving this combination.</w:t>
      </w:r>
    </w:p>
    <w:p w:rsidR="007B6132" w:rsidRDefault="007B6132" w:rsidP="00546FFD">
      <w:pPr>
        <w:pStyle w:val="Heading4"/>
      </w:pPr>
      <w:bookmarkStart w:id="135" w:name="_Toc314842514"/>
      <w:r w:rsidRPr="007B6132">
        <w:t>Clin</w:t>
      </w:r>
      <w:r w:rsidR="00546FFD">
        <w:t>ical evaluator’s recommendation</w:t>
      </w:r>
    </w:p>
    <w:p w:rsidR="0020613A" w:rsidRPr="005C3C59" w:rsidRDefault="005C3C59" w:rsidP="00546FFD">
      <w:r>
        <w:t xml:space="preserve">The clinical evaluator recommended </w:t>
      </w:r>
      <w:r w:rsidRPr="005C3C59">
        <w:t xml:space="preserve">that the proposed ezetimibe and rosuvastatin fixed dose combination tablet, in the strengths 10 mg/5 mg, 10 mg/10 mg, and 10 mg/20 mg, is approved subject to </w:t>
      </w:r>
      <w:r w:rsidR="006E7948">
        <w:t>amendments to the PI and CMI.</w:t>
      </w:r>
    </w:p>
    <w:p w:rsidR="005C3C59" w:rsidRPr="005C3C59" w:rsidRDefault="006E7948" w:rsidP="00546FFD">
      <w:r>
        <w:t xml:space="preserve">The evaluator </w:t>
      </w:r>
      <w:r w:rsidR="005C3C59" w:rsidRPr="005C3C59">
        <w:t>recommended that the proposed ezetimibe and rosuvastatin fixed dose combination tablet 10 mg/40 mg strength is not approved for the following reasons:</w:t>
      </w:r>
    </w:p>
    <w:p w:rsidR="0020613A" w:rsidRPr="005C3C59" w:rsidRDefault="0020613A" w:rsidP="00546FFD">
      <w:pPr>
        <w:pStyle w:val="ListBullet"/>
      </w:pPr>
      <w:r w:rsidRPr="005C3C59">
        <w:t>Situations where an increase in rosuvastatin plasma levels may occur is a contraindication</w:t>
      </w:r>
      <w:r w:rsidR="005C3C59" w:rsidRPr="005C3C59">
        <w:t xml:space="preserve"> to the use of Crestor 40 mg. </w:t>
      </w:r>
      <w:r w:rsidRPr="005C3C59">
        <w:t>Administration of the 10 mg/40 mg strength ezetimibe and rosuvastatin fixed dose combination tablet in the proposed usage may result in increased rosuvastatin AUC and, therefore, would be contraindicated.</w:t>
      </w:r>
    </w:p>
    <w:p w:rsidR="0020613A" w:rsidRPr="005C3C59" w:rsidRDefault="0020613A" w:rsidP="00546FFD">
      <w:pPr>
        <w:pStyle w:val="ListBullet"/>
      </w:pPr>
      <w:r w:rsidRPr="005C3C59">
        <w:t xml:space="preserve">The current EU </w:t>
      </w:r>
      <w:proofErr w:type="spellStart"/>
      <w:r w:rsidRPr="005C3C59">
        <w:t>S</w:t>
      </w:r>
      <w:r w:rsidR="005C3C59" w:rsidRPr="005C3C59">
        <w:t>mPC</w:t>
      </w:r>
      <w:proofErr w:type="spellEnd"/>
      <w:r w:rsidR="005C3C59" w:rsidRPr="005C3C59">
        <w:t xml:space="preserve"> </w:t>
      </w:r>
      <w:r w:rsidRPr="005C3C59">
        <w:t>for Crestor and Canadian product monograph indicate that the maximum daily dose of Crestor should be adjusted so that the expected exposure (AUC) to rosuvastatin would not likely exceed that of a 40 mg daily dose of Crestor taken without i</w:t>
      </w:r>
      <w:r w:rsidR="005C3C59" w:rsidRPr="005C3C59">
        <w:t xml:space="preserve">nteracting medicinal products. </w:t>
      </w:r>
      <w:r w:rsidRPr="005C3C59">
        <w:t>This safety-related information appears to preclude the co-administration of ezetimibe 10 mg with rosuvastatin 40 mg as it may result in rosuvastatin AUC that exceeds that of a 40 mg daily dose of rosuvastatin taken without interacting medicinal products based o</w:t>
      </w:r>
      <w:r w:rsidR="005C3C59" w:rsidRPr="005C3C59">
        <w:t xml:space="preserve">n the results of Study P03317. </w:t>
      </w:r>
      <w:r w:rsidRPr="005C3C59">
        <w:t xml:space="preserve">Although this information is not in the </w:t>
      </w:r>
      <w:r w:rsidRPr="00546FFD">
        <w:t>Australian</w:t>
      </w:r>
      <w:r w:rsidRPr="005C3C59">
        <w:t xml:space="preserve"> PI for Crestor, it is information relevant to the safe use of rosuvastatin.</w:t>
      </w:r>
    </w:p>
    <w:p w:rsidR="008E7846" w:rsidRPr="00546FFD" w:rsidRDefault="00386150" w:rsidP="00546FFD">
      <w:pPr>
        <w:pStyle w:val="Heading3"/>
      </w:pPr>
      <w:bookmarkStart w:id="136" w:name="_Toc412706489"/>
      <w:r>
        <w:rPr>
          <w:lang w:eastAsia="en-AU"/>
        </w:rPr>
        <w:t>Risk m</w:t>
      </w:r>
      <w:r w:rsidR="008E7846">
        <w:rPr>
          <w:lang w:eastAsia="en-AU"/>
        </w:rPr>
        <w:t xml:space="preserve">anagement </w:t>
      </w:r>
      <w:r>
        <w:rPr>
          <w:lang w:eastAsia="en-AU"/>
        </w:rPr>
        <w:t>p</w:t>
      </w:r>
      <w:r w:rsidR="008E7846">
        <w:rPr>
          <w:lang w:eastAsia="en-AU"/>
        </w:rPr>
        <w:t>lan</w:t>
      </w:r>
      <w:bookmarkEnd w:id="135"/>
      <w:bookmarkEnd w:id="136"/>
    </w:p>
    <w:p w:rsidR="003227C2" w:rsidRPr="003227C2" w:rsidRDefault="003227C2" w:rsidP="00546FFD">
      <w:r w:rsidRPr="003227C2">
        <w:t>The RMP evaluator has noted that, in the draft PIs</w:t>
      </w:r>
      <w:r w:rsidR="006E7948">
        <w:t xml:space="preserve">, </w:t>
      </w:r>
      <w:proofErr w:type="spellStart"/>
      <w:r w:rsidR="006E7948">
        <w:t>R</w:t>
      </w:r>
      <w:r w:rsidR="006E7948" w:rsidRPr="003227C2">
        <w:t>osuzet</w:t>
      </w:r>
      <w:proofErr w:type="spellEnd"/>
      <w:r w:rsidR="006E7948" w:rsidRPr="003227C2">
        <w:t>/</w:t>
      </w:r>
      <w:proofErr w:type="spellStart"/>
      <w:r w:rsidR="006E7948">
        <w:t>E</w:t>
      </w:r>
      <w:r w:rsidR="006E7948" w:rsidRPr="003227C2">
        <w:t>zalo</w:t>
      </w:r>
      <w:proofErr w:type="spellEnd"/>
      <w:r w:rsidR="006E7948" w:rsidRPr="003227C2">
        <w:t xml:space="preserve"> </w:t>
      </w:r>
      <w:r w:rsidRPr="003227C2">
        <w:t>10 mg/40 mg would be contraindicated in patients with pre-disposing factors for myopathy/rhabdomyolysis including situations where an increase in rosuvastatin plasma levels may occur</w:t>
      </w:r>
      <w:r w:rsidRPr="006E7948">
        <w:rPr>
          <w:vertAlign w:val="superscript"/>
        </w:rPr>
        <w:footnoteReference w:id="12"/>
      </w:r>
      <w:r w:rsidR="006E7948">
        <w:t xml:space="preserve">. </w:t>
      </w:r>
      <w:r w:rsidRPr="003227C2">
        <w:t xml:space="preserve">As further noted by the RMP evaluator, co-administration of ezetimibe and rosuvastatin may </w:t>
      </w:r>
      <w:r w:rsidRPr="003227C2">
        <w:lastRenderedPageBreak/>
        <w:t>increase rosuvastatin AUC and so this would appear to preclude the use of the 10</w:t>
      </w:r>
      <w:r w:rsidR="006E7948">
        <w:t xml:space="preserve"> </w:t>
      </w:r>
      <w:r w:rsidRPr="003227C2">
        <w:t>mg/40 mg strength ezetimibe and rosuvastatin fixed dose combination tablet,</w:t>
      </w:r>
      <w:r w:rsidR="006E7948">
        <w:t xml:space="preserve"> that is, </w:t>
      </w:r>
      <w:r w:rsidRPr="003227C2">
        <w:t>under any circumstances.</w:t>
      </w:r>
    </w:p>
    <w:p w:rsidR="00404141" w:rsidRDefault="003227C2" w:rsidP="00546FFD">
      <w:r w:rsidRPr="003227C2">
        <w:t>The RMP evaluator has recommended that, if the 10 mg/40 mg strength of t</w:t>
      </w:r>
      <w:r w:rsidR="006E7948">
        <w:t xml:space="preserve">he fixed </w:t>
      </w:r>
      <w:r w:rsidRPr="003227C2">
        <w:t>dose combination tablet is approved, then the interaction between ezetimibe and rosuvastatin should be added t</w:t>
      </w:r>
      <w:r w:rsidR="006E7948">
        <w:t xml:space="preserve">o the RMP as a potential risk. </w:t>
      </w:r>
      <w:r w:rsidRPr="003227C2">
        <w:t xml:space="preserve">In particular, the evaluator has recommended that the statement, </w:t>
      </w:r>
      <w:r w:rsidRPr="003E060E">
        <w:rPr>
          <w:i/>
        </w:rPr>
        <w:t>“Long-term safety of co-administration of ezetimibe and rosuvastatin at 10/40 mg”</w:t>
      </w:r>
      <w:r w:rsidRPr="003227C2">
        <w:t xml:space="preserve"> be added to the table of ongoing safety concerns to ensure separate reporting for this missing i</w:t>
      </w:r>
      <w:r w:rsidR="006E7948">
        <w:t xml:space="preserve">nformation in any future PSUR. </w:t>
      </w:r>
      <w:r w:rsidRPr="003227C2">
        <w:t xml:space="preserve">In turn the sponsor has proposed that this statement not be added as missing information to the ongoing safety concerns in the Australian RMP based on the same rationale submitted to the TGA during the post-ACPM negotiation period for the </w:t>
      </w:r>
      <w:proofErr w:type="spellStart"/>
      <w:r w:rsidRPr="003227C2">
        <w:t>R</w:t>
      </w:r>
      <w:r w:rsidR="006E7948">
        <w:t>osuzet</w:t>
      </w:r>
      <w:proofErr w:type="spellEnd"/>
      <w:r w:rsidRPr="003227C2">
        <w:t>/</w:t>
      </w:r>
      <w:proofErr w:type="spellStart"/>
      <w:r w:rsidRPr="003227C2">
        <w:t>E</w:t>
      </w:r>
      <w:r w:rsidR="006E7948">
        <w:t>zalo</w:t>
      </w:r>
      <w:proofErr w:type="spellEnd"/>
      <w:r w:rsidR="006E7948">
        <w:t xml:space="preserve"> </w:t>
      </w:r>
      <w:r w:rsidRPr="003227C2">
        <w:t>Composite Pack (PM-2012-03419-1-3), a rationa</w:t>
      </w:r>
      <w:r w:rsidR="006E7948">
        <w:t>le accept</w:t>
      </w:r>
      <w:r w:rsidR="00546FFD">
        <w:t>ed at the time by the Delegate.</w:t>
      </w:r>
    </w:p>
    <w:p w:rsidR="003227C2" w:rsidRPr="003227C2" w:rsidRDefault="003227C2" w:rsidP="00546FFD">
      <w:r w:rsidRPr="003227C2">
        <w:t xml:space="preserve">During </w:t>
      </w:r>
      <w:r w:rsidR="00404141">
        <w:t xml:space="preserve">the evaluation period for the composite packs, </w:t>
      </w:r>
      <w:r w:rsidRPr="003227C2">
        <w:t>the sponsor submitted tabular</w:t>
      </w:r>
      <w:r w:rsidR="006E7948">
        <w:t xml:space="preserve"> data showing the number of PBS </w:t>
      </w:r>
      <w:r w:rsidRPr="003227C2">
        <w:t xml:space="preserve">subsidised prescriptions written annually for rosuvastatin monotherapy and for rosuvastatin plus </w:t>
      </w:r>
      <w:r w:rsidR="006E7948">
        <w:t xml:space="preserve">ezetimibe combination therapy. </w:t>
      </w:r>
      <w:r w:rsidRPr="003227C2">
        <w:t xml:space="preserve">While the number of co-prescriptions </w:t>
      </w:r>
      <w:r w:rsidR="003E060E">
        <w:t>for e</w:t>
      </w:r>
      <w:r w:rsidR="003E060E" w:rsidRPr="003E060E">
        <w:t xml:space="preserve">zetimibe 10 mg + </w:t>
      </w:r>
      <w:r w:rsidR="003E060E">
        <w:t>r</w:t>
      </w:r>
      <w:r w:rsidR="003E060E" w:rsidRPr="003E060E">
        <w:t xml:space="preserve">osuvastatin 40 mg </w:t>
      </w:r>
      <w:r w:rsidRPr="003227C2">
        <w:t>has been steadily rising, th</w:t>
      </w:r>
      <w:r w:rsidR="00404141">
        <w:t xml:space="preserve">e data </w:t>
      </w:r>
      <w:r w:rsidRPr="003227C2">
        <w:t xml:space="preserve">does not inform as to how many people are actually taking the combination, how long they remain taking the combination, how many may discontinue taking the combination (for whatever reason) and most importantly how many suffer </w:t>
      </w:r>
      <w:r w:rsidR="00D07E32">
        <w:t>AE</w:t>
      </w:r>
      <w:r w:rsidRPr="003227C2">
        <w:t>s which may be attributable to t</w:t>
      </w:r>
      <w:r w:rsidR="006E7948">
        <w:t xml:space="preserve">he combination. </w:t>
      </w:r>
      <w:r w:rsidRPr="003227C2">
        <w:t xml:space="preserve">No information can be gleaned as to the nature of any </w:t>
      </w:r>
      <w:r w:rsidR="00D07E32">
        <w:t>AE</w:t>
      </w:r>
      <w:r w:rsidRPr="003227C2">
        <w:t xml:space="preserve">s suffered while </w:t>
      </w:r>
      <w:r w:rsidR="006E7948">
        <w:t xml:space="preserve">someone is on the combination. </w:t>
      </w:r>
      <w:r w:rsidRPr="003227C2">
        <w:t>If</w:t>
      </w:r>
      <w:r w:rsidR="003E060E">
        <w:t xml:space="preserve"> </w:t>
      </w:r>
      <w:r w:rsidRPr="003227C2">
        <w:t xml:space="preserve">greater numbers of people are being exposed to this combination, then it is of fundamental importance that as much information as possible be gathered and as efficiently and accurately as possible, information which can elucidate the actual rate of </w:t>
      </w:r>
      <w:r w:rsidR="00D07E32">
        <w:t>AE</w:t>
      </w:r>
      <w:r w:rsidRPr="003227C2">
        <w:t xml:space="preserve">s suffered by </w:t>
      </w:r>
      <w:r w:rsidR="006E7948">
        <w:t xml:space="preserve">people taking the combination. </w:t>
      </w:r>
      <w:r w:rsidRPr="003227C2">
        <w:t xml:space="preserve">The </w:t>
      </w:r>
      <w:r w:rsidR="006E7948">
        <w:t>D</w:t>
      </w:r>
      <w:r w:rsidRPr="003227C2">
        <w:t>elegate is strongly of the view that the recommended statement be added as missing information to the ongoing safety c</w:t>
      </w:r>
      <w:r w:rsidR="006E7948">
        <w:t xml:space="preserve">oncerns in the Australian RMP. </w:t>
      </w:r>
      <w:r w:rsidRPr="003227C2">
        <w:t xml:space="preserve">The ACPM </w:t>
      </w:r>
      <w:r w:rsidR="006E7948">
        <w:t>wa</w:t>
      </w:r>
      <w:r w:rsidRPr="003227C2">
        <w:t>s specifically requested t</w:t>
      </w:r>
      <w:r w:rsidR="006E7948">
        <w:t>o comment on this issue by the D</w:t>
      </w:r>
      <w:r w:rsidRPr="003227C2">
        <w:t>elegate.</w:t>
      </w:r>
    </w:p>
    <w:p w:rsidR="003227C2" w:rsidRPr="003227C2" w:rsidRDefault="003227C2" w:rsidP="00546FFD">
      <w:r w:rsidRPr="003227C2">
        <w:t xml:space="preserve">The RMP evaluator expressed concern that the statement, </w:t>
      </w:r>
      <w:r w:rsidRPr="00546FFD">
        <w:rPr>
          <w:i/>
        </w:rPr>
        <w:t xml:space="preserve">“Due to the potential increase in rosuvastatin exposure when combined with ezetimibe, monitoring of patients on the highest dose of </w:t>
      </w:r>
      <w:proofErr w:type="spellStart"/>
      <w:r w:rsidRPr="00546FFD">
        <w:rPr>
          <w:i/>
        </w:rPr>
        <w:t>R</w:t>
      </w:r>
      <w:r w:rsidR="006E7948" w:rsidRPr="00546FFD">
        <w:rPr>
          <w:i/>
        </w:rPr>
        <w:t>osuzet</w:t>
      </w:r>
      <w:proofErr w:type="spellEnd"/>
      <w:r w:rsidRPr="00546FFD">
        <w:rPr>
          <w:i/>
        </w:rPr>
        <w:t>/</w:t>
      </w:r>
      <w:proofErr w:type="spellStart"/>
      <w:r w:rsidRPr="00546FFD">
        <w:rPr>
          <w:i/>
        </w:rPr>
        <w:t>E</w:t>
      </w:r>
      <w:r w:rsidR="006E7948" w:rsidRPr="00546FFD">
        <w:rPr>
          <w:i/>
        </w:rPr>
        <w:t>zalo</w:t>
      </w:r>
      <w:proofErr w:type="spellEnd"/>
      <w:r w:rsidR="006E7948" w:rsidRPr="00546FFD">
        <w:rPr>
          <w:i/>
        </w:rPr>
        <w:t xml:space="preserve"> </w:t>
      </w:r>
      <w:r w:rsidRPr="00546FFD">
        <w:rPr>
          <w:i/>
        </w:rPr>
        <w:t xml:space="preserve">is recommended”, </w:t>
      </w:r>
      <w:r w:rsidRPr="003227C2">
        <w:t xml:space="preserve">did not appear to have been included in the draft PIs for the </w:t>
      </w:r>
      <w:proofErr w:type="spellStart"/>
      <w:r w:rsidR="006E7948" w:rsidRPr="006E7948">
        <w:t>Rosuzet</w:t>
      </w:r>
      <w:proofErr w:type="spellEnd"/>
      <w:r w:rsidR="006E7948" w:rsidRPr="006E7948">
        <w:t>/</w:t>
      </w:r>
      <w:proofErr w:type="spellStart"/>
      <w:r w:rsidR="006E7948" w:rsidRPr="006E7948">
        <w:t>Ezalo</w:t>
      </w:r>
      <w:proofErr w:type="spellEnd"/>
      <w:r w:rsidR="006E7948" w:rsidRPr="006E7948">
        <w:t xml:space="preserve"> </w:t>
      </w:r>
      <w:r w:rsidR="006E7948">
        <w:t xml:space="preserve">fixed </w:t>
      </w:r>
      <w:r w:rsidRPr="003227C2">
        <w:t>dose com</w:t>
      </w:r>
      <w:r w:rsidR="00404141">
        <w:t xml:space="preserve">bination tablets. </w:t>
      </w:r>
      <w:r w:rsidR="006E7948">
        <w:t>The D</w:t>
      </w:r>
      <w:r w:rsidRPr="003227C2">
        <w:t>elegate agrees that this precaution has not</w:t>
      </w:r>
      <w:r w:rsidR="006E7948">
        <w:t xml:space="preserve"> been made explicit in the PI. </w:t>
      </w:r>
      <w:r w:rsidRPr="003227C2">
        <w:t xml:space="preserve">The statement which is proposed to appear first under the heading </w:t>
      </w:r>
      <w:r w:rsidRPr="00546FFD">
        <w:rPr>
          <w:i/>
        </w:rPr>
        <w:t>P</w:t>
      </w:r>
      <w:r w:rsidR="006E7948" w:rsidRPr="00546FFD">
        <w:rPr>
          <w:i/>
        </w:rPr>
        <w:t>recautions</w:t>
      </w:r>
      <w:r w:rsidR="006E7948" w:rsidRPr="003227C2">
        <w:t xml:space="preserve"> </w:t>
      </w:r>
      <w:r w:rsidRPr="003227C2">
        <w:t>is the following:</w:t>
      </w:r>
    </w:p>
    <w:p w:rsidR="003227C2" w:rsidRPr="00546FFD" w:rsidRDefault="003227C2" w:rsidP="00546FFD">
      <w:pPr>
        <w:ind w:left="720"/>
        <w:rPr>
          <w:i/>
        </w:rPr>
      </w:pPr>
      <w:r w:rsidRPr="00546FFD">
        <w:rPr>
          <w:i/>
        </w:rPr>
        <w:t>Treatment with the 10</w:t>
      </w:r>
      <w:r w:rsidR="006E7948" w:rsidRPr="00546FFD">
        <w:rPr>
          <w:i/>
        </w:rPr>
        <w:t xml:space="preserve"> </w:t>
      </w:r>
      <w:r w:rsidRPr="00546FFD">
        <w:rPr>
          <w:i/>
        </w:rPr>
        <w:t>mg +40 mg Dose</w:t>
      </w:r>
    </w:p>
    <w:p w:rsidR="003227C2" w:rsidRPr="00546FFD" w:rsidRDefault="003227C2" w:rsidP="00546FFD">
      <w:pPr>
        <w:ind w:left="720"/>
        <w:rPr>
          <w:i/>
        </w:rPr>
      </w:pPr>
      <w:r w:rsidRPr="00546FFD">
        <w:rPr>
          <w:i/>
        </w:rPr>
        <w:t xml:space="preserve">There is limited long term safety data of </w:t>
      </w:r>
      <w:proofErr w:type="spellStart"/>
      <w:r w:rsidRPr="00546FFD">
        <w:rPr>
          <w:i/>
        </w:rPr>
        <w:t>E</w:t>
      </w:r>
      <w:r w:rsidR="000459C5" w:rsidRPr="00546FFD">
        <w:rPr>
          <w:i/>
        </w:rPr>
        <w:t>zalo</w:t>
      </w:r>
      <w:proofErr w:type="spellEnd"/>
      <w:r w:rsidR="000459C5" w:rsidRPr="00546FFD">
        <w:rPr>
          <w:i/>
        </w:rPr>
        <w:t xml:space="preserve"> </w:t>
      </w:r>
      <w:r w:rsidRPr="00546FFD">
        <w:rPr>
          <w:i/>
        </w:rPr>
        <w:t>C</w:t>
      </w:r>
      <w:r w:rsidR="000459C5" w:rsidRPr="00546FFD">
        <w:rPr>
          <w:i/>
        </w:rPr>
        <w:t xml:space="preserve">omposite </w:t>
      </w:r>
      <w:r w:rsidRPr="00546FFD">
        <w:rPr>
          <w:i/>
        </w:rPr>
        <w:t>P</w:t>
      </w:r>
      <w:r w:rsidR="000459C5" w:rsidRPr="00546FFD">
        <w:rPr>
          <w:i/>
        </w:rPr>
        <w:t>ack</w:t>
      </w:r>
      <w:r w:rsidRPr="00546FFD">
        <w:rPr>
          <w:i/>
        </w:rPr>
        <w:t xml:space="preserve">. Due to risk factors such as hepatic or renal impairment that may increase rosuvastatin exposure and the potential for increased adverse effects at the highest dose (10 mg + 40 mg) (e.g. muscle effects, renal impairment and elevated liver enzymes), monitoring of patients on the highest dose of </w:t>
      </w:r>
      <w:proofErr w:type="spellStart"/>
      <w:r w:rsidR="000459C5" w:rsidRPr="00546FFD">
        <w:rPr>
          <w:i/>
        </w:rPr>
        <w:t>Ezalo</w:t>
      </w:r>
      <w:proofErr w:type="spellEnd"/>
      <w:r w:rsidR="000459C5" w:rsidRPr="00546FFD">
        <w:rPr>
          <w:i/>
        </w:rPr>
        <w:t xml:space="preserve"> Composite Pack</w:t>
      </w:r>
      <w:r w:rsidRPr="00546FFD">
        <w:rPr>
          <w:i/>
        </w:rPr>
        <w:t xml:space="preserve"> is recommended.”</w:t>
      </w:r>
    </w:p>
    <w:p w:rsidR="003227C2" w:rsidRPr="003227C2" w:rsidRDefault="003227C2" w:rsidP="00546FFD">
      <w:r w:rsidRPr="003227C2">
        <w:t xml:space="preserve">This statement does not explicitly refer to the possibility of increased exposure to rosuvastatin by virtue of </w:t>
      </w:r>
      <w:proofErr w:type="spellStart"/>
      <w:r w:rsidRPr="003227C2">
        <w:t>rosuvastatin’s</w:t>
      </w:r>
      <w:proofErr w:type="spellEnd"/>
      <w:r w:rsidRPr="003227C2">
        <w:t xml:space="preserve"> combination with </w:t>
      </w:r>
      <w:proofErr w:type="spellStart"/>
      <w:r w:rsidRPr="003227C2">
        <w:t>ezetimibe</w:t>
      </w:r>
      <w:proofErr w:type="spellEnd"/>
      <w:r w:rsidRPr="003227C2">
        <w:t xml:space="preserve"> an</w:t>
      </w:r>
      <w:r w:rsidR="006E7948">
        <w:t xml:space="preserve">d, like the RMP </w:t>
      </w:r>
      <w:proofErr w:type="gramStart"/>
      <w:r w:rsidR="006E7948">
        <w:t>evaluator,</w:t>
      </w:r>
      <w:proofErr w:type="gramEnd"/>
      <w:r w:rsidR="006E7948">
        <w:t xml:space="preserve"> the D</w:t>
      </w:r>
      <w:r w:rsidRPr="003227C2">
        <w:t>elegate is of the view that there should be such a reference.</w:t>
      </w:r>
    </w:p>
    <w:p w:rsidR="00AE18E0" w:rsidRPr="00AF0C25" w:rsidRDefault="006E7948" w:rsidP="00546FFD">
      <w:r>
        <w:t>The D</w:t>
      </w:r>
      <w:r w:rsidR="00AE18E0" w:rsidRPr="00AF0C25">
        <w:t xml:space="preserve">elegate strongly supports the recommendation of the RMP evaluator that the statement, </w:t>
      </w:r>
      <w:r w:rsidR="00AE18E0" w:rsidRPr="000459C5">
        <w:rPr>
          <w:i/>
        </w:rPr>
        <w:t>“Long-term safety of co-administration of ezetimibe and rosuvastatin at 10/40 mg”</w:t>
      </w:r>
      <w:r w:rsidR="00AE18E0" w:rsidRPr="00AF0C25">
        <w:t xml:space="preserve"> be added to the table of ongoing safety concerns in the Australian RMP to ensure separate reporting for this missing information in any future PSUR.</w:t>
      </w:r>
    </w:p>
    <w:p w:rsidR="008E7846" w:rsidRPr="00546FFD" w:rsidRDefault="00AA0ED0" w:rsidP="00546FFD">
      <w:pPr>
        <w:pStyle w:val="Heading3"/>
      </w:pPr>
      <w:bookmarkStart w:id="137" w:name="_Toc247691531"/>
      <w:bookmarkStart w:id="138" w:name="_Toc314842515"/>
      <w:bookmarkStart w:id="139" w:name="_Toc412706490"/>
      <w:bookmarkStart w:id="140" w:name="_Toc196046505"/>
      <w:bookmarkStart w:id="141" w:name="_Toc196046949"/>
      <w:r>
        <w:lastRenderedPageBreak/>
        <w:t>Risk-benefit a</w:t>
      </w:r>
      <w:r w:rsidR="008E7846">
        <w:t>nalysis</w:t>
      </w:r>
      <w:bookmarkEnd w:id="137"/>
      <w:bookmarkEnd w:id="138"/>
      <w:bookmarkEnd w:id="139"/>
    </w:p>
    <w:p w:rsidR="00D23139" w:rsidRDefault="00D23139" w:rsidP="00546FFD">
      <w:pPr>
        <w:pStyle w:val="Heading4"/>
      </w:pPr>
      <w:r w:rsidRPr="00D23139">
        <w:t xml:space="preserve">Delegate’s </w:t>
      </w:r>
      <w:r w:rsidRPr="00546FFD">
        <w:t>considerations</w:t>
      </w:r>
    </w:p>
    <w:p w:rsidR="003227C2" w:rsidRPr="00AF0C25" w:rsidRDefault="003227C2" w:rsidP="00546FFD">
      <w:r w:rsidRPr="003227C2">
        <w:t xml:space="preserve">The clinical evaluator is of the view that the overall benefit-risk balance for the </w:t>
      </w:r>
      <w:r w:rsidRPr="00AF0C25">
        <w:t>ezetimibe/rosuvastatin 10 mg/5 mg, 10 mg/10 mg and 10 mg/20 mg fixed</w:t>
      </w:r>
      <w:r w:rsidR="003A0D42">
        <w:t xml:space="preserve"> </w:t>
      </w:r>
      <w:r w:rsidRPr="00AF0C25">
        <w:t xml:space="preserve">dose combination tablets, in the context of the </w:t>
      </w:r>
      <w:r w:rsidR="008F4439">
        <w:t xml:space="preserve">proposed usage, is favourable. </w:t>
      </w:r>
      <w:r w:rsidRPr="00AF0C25">
        <w:t xml:space="preserve">The </w:t>
      </w:r>
      <w:r w:rsidR="008F4439">
        <w:t>D</w:t>
      </w:r>
      <w:r w:rsidRPr="00AF0C25">
        <w:t>elegate agrees with this recommendation.</w:t>
      </w:r>
    </w:p>
    <w:p w:rsidR="000459C5" w:rsidRDefault="003227C2" w:rsidP="00546FFD">
      <w:r w:rsidRPr="00AF0C25">
        <w:t>However, the clinical evaluator has recommended that the benefit-risk balance for the ezetimibe/rosuvastatin</w:t>
      </w:r>
      <w:r w:rsidRPr="003227C2">
        <w:t xml:space="preserve"> 10 mg/40 mg fixed</w:t>
      </w:r>
      <w:r w:rsidR="003A0D42">
        <w:t xml:space="preserve"> </w:t>
      </w:r>
      <w:r w:rsidRPr="003227C2">
        <w:t>dose combination tablets, in the context of the pr</w:t>
      </w:r>
      <w:r w:rsidR="008F4439">
        <w:t xml:space="preserve">oposed usage, is unfavourable. </w:t>
      </w:r>
      <w:r w:rsidRPr="003227C2">
        <w:t>There are no issues of bioequivalence with the respective monotherapies</w:t>
      </w:r>
      <w:r w:rsidR="008F4439">
        <w:t xml:space="preserve"> and no question that the fixed </w:t>
      </w:r>
      <w:r w:rsidRPr="003227C2">
        <w:t>dose c</w:t>
      </w:r>
      <w:r w:rsidR="00546FFD">
        <w:t>ombination is not efficacious.</w:t>
      </w:r>
    </w:p>
    <w:p w:rsidR="000459C5" w:rsidRDefault="000459C5" w:rsidP="00546FFD">
      <w:r>
        <w:t>T</w:t>
      </w:r>
      <w:r w:rsidR="003227C2" w:rsidRPr="003227C2">
        <w:t>here is one unresolved issue which has safety implications and that is the potential for increased exposure to rosuvastatin above the level to which one would be exposed if one took r</w:t>
      </w:r>
      <w:r w:rsidR="008F4439">
        <w:t xml:space="preserve">osuvastatin 40 mg monotherapy. </w:t>
      </w:r>
      <w:r w:rsidR="003227C2" w:rsidRPr="003227C2">
        <w:t>Previous advice from the ACPM has been the issue should be managed in the same way that one should manage a</w:t>
      </w:r>
      <w:r w:rsidR="008F4439">
        <w:t>ny other drug-drug interaction.</w:t>
      </w:r>
      <w:r w:rsidR="003227C2" w:rsidRPr="003227C2">
        <w:t xml:space="preserve"> However, the </w:t>
      </w:r>
      <w:r w:rsidR="008F4439">
        <w:t>D</w:t>
      </w:r>
      <w:r w:rsidR="003227C2" w:rsidRPr="003227C2">
        <w:t>elegate would argue that the situation is no</w:t>
      </w:r>
      <w:r w:rsidR="008F4439">
        <w:t xml:space="preserve">t so simple. While the approximate 1.2 </w:t>
      </w:r>
      <w:r w:rsidR="003227C2" w:rsidRPr="003227C2">
        <w:t>fold increase in mean rosuvastatin AUC associated with the highest fixed</w:t>
      </w:r>
      <w:r w:rsidR="008F4439">
        <w:t xml:space="preserve"> </w:t>
      </w:r>
      <w:r w:rsidR="003227C2" w:rsidRPr="003227C2">
        <w:t xml:space="preserve">dose combination is not statistically significant and may, of itself, be not clinically significant, </w:t>
      </w:r>
      <w:r w:rsidR="008F4439">
        <w:t xml:space="preserve">the proposed product is </w:t>
      </w:r>
      <w:r w:rsidR="003227C2" w:rsidRPr="003227C2">
        <w:t>a fixed</w:t>
      </w:r>
      <w:r w:rsidR="003A0D42">
        <w:t xml:space="preserve"> </w:t>
      </w:r>
      <w:r w:rsidR="003227C2" w:rsidRPr="003227C2">
        <w:t xml:space="preserve">dose combination tablet in which the potential for such increased exposures is an inherent, in-built </w:t>
      </w:r>
      <w:r w:rsidR="008F4439">
        <w:t xml:space="preserve">characteristic of the product. </w:t>
      </w:r>
      <w:r w:rsidR="003227C2" w:rsidRPr="003227C2">
        <w:t xml:space="preserve">The latter has created its own potentially elevated baseline and that is before </w:t>
      </w:r>
      <w:r w:rsidR="008F4439" w:rsidRPr="003227C2">
        <w:t>any other relevant risk factors</w:t>
      </w:r>
      <w:r w:rsidR="008F4439">
        <w:t xml:space="preserve"> are</w:t>
      </w:r>
      <w:r w:rsidR="008F4439" w:rsidRPr="003227C2">
        <w:t xml:space="preserve"> </w:t>
      </w:r>
      <w:r w:rsidR="008F4439">
        <w:t>taken</w:t>
      </w:r>
      <w:r w:rsidR="003227C2" w:rsidRPr="003227C2">
        <w:t xml:space="preserve"> into consideration</w:t>
      </w:r>
      <w:r w:rsidR="00546FFD">
        <w:t>.</w:t>
      </w:r>
    </w:p>
    <w:p w:rsidR="000459C5" w:rsidRDefault="000459C5" w:rsidP="00546FFD">
      <w:r>
        <w:t>In addition</w:t>
      </w:r>
      <w:r w:rsidR="003227C2" w:rsidRPr="003227C2">
        <w:t xml:space="preserve">, as both the clinical evaluator and the RMP evaluator have pointed out, there is an inconsistency in the contraindications in the currently approved PI for the </w:t>
      </w:r>
      <w:proofErr w:type="spellStart"/>
      <w:r w:rsidR="003227C2" w:rsidRPr="003227C2">
        <w:t>E</w:t>
      </w:r>
      <w:r w:rsidR="008F4439">
        <w:t>zalo</w:t>
      </w:r>
      <w:proofErr w:type="spellEnd"/>
      <w:r w:rsidR="003227C2" w:rsidRPr="003227C2">
        <w:t>/</w:t>
      </w:r>
      <w:proofErr w:type="spellStart"/>
      <w:r w:rsidR="003227C2" w:rsidRPr="003227C2">
        <w:t>R</w:t>
      </w:r>
      <w:r w:rsidR="008F4439">
        <w:t>osuzet</w:t>
      </w:r>
      <w:proofErr w:type="spellEnd"/>
      <w:r w:rsidR="008F4439">
        <w:t xml:space="preserve"> </w:t>
      </w:r>
      <w:r w:rsidR="003227C2" w:rsidRPr="003227C2">
        <w:t xml:space="preserve">Composite Packs and in the draft PIs for the </w:t>
      </w:r>
      <w:proofErr w:type="spellStart"/>
      <w:r w:rsidR="008F4439" w:rsidRPr="008F4439">
        <w:t>Ezalo</w:t>
      </w:r>
      <w:proofErr w:type="spellEnd"/>
      <w:r w:rsidR="008F4439" w:rsidRPr="008F4439">
        <w:t>/</w:t>
      </w:r>
      <w:proofErr w:type="spellStart"/>
      <w:r w:rsidR="008F4439" w:rsidRPr="008F4439">
        <w:t>Rosuzet</w:t>
      </w:r>
      <w:proofErr w:type="spellEnd"/>
      <w:r w:rsidR="008F4439" w:rsidRPr="008F4439">
        <w:t xml:space="preserve"> </w:t>
      </w:r>
      <w:r w:rsidR="008F4439">
        <w:t xml:space="preserve">fixed </w:t>
      </w:r>
      <w:r w:rsidR="003227C2" w:rsidRPr="003227C2">
        <w:t>do</w:t>
      </w:r>
      <w:r>
        <w:t xml:space="preserve">se combination tablets. </w:t>
      </w:r>
      <w:r w:rsidR="003227C2" w:rsidRPr="003227C2">
        <w:t>The relevant contraindication concerns “situations where an increase in rosuvast</w:t>
      </w:r>
      <w:r w:rsidR="00A50AD5">
        <w:t>atin plasma levels may occur”. U</w:t>
      </w:r>
      <w:r w:rsidR="003227C2" w:rsidRPr="003227C2">
        <w:t xml:space="preserve">nder the subheading ‘Renal Insufficiency’ in the section </w:t>
      </w:r>
      <w:r w:rsidR="00A50AD5" w:rsidRPr="00A50AD5">
        <w:rPr>
          <w:i/>
        </w:rPr>
        <w:t>Dosage and Administration</w:t>
      </w:r>
      <w:r w:rsidR="00A50AD5" w:rsidRPr="003227C2">
        <w:t xml:space="preserve"> </w:t>
      </w:r>
      <w:r w:rsidR="003227C2" w:rsidRPr="003227C2">
        <w:t>in both the approved PIs for the composite packs and in</w:t>
      </w:r>
      <w:r w:rsidR="00A50AD5">
        <w:t xml:space="preserve"> the proposed PIs for the fixed </w:t>
      </w:r>
      <w:r w:rsidR="003227C2" w:rsidRPr="003227C2">
        <w:t>dose combination tablets, the sponsor acknowledges that there may be increased exposure to rosuvastatin in patien</w:t>
      </w:r>
      <w:r w:rsidR="00A50AD5">
        <w:t xml:space="preserve">ts receiving this combination. </w:t>
      </w:r>
      <w:r w:rsidR="003227C2" w:rsidRPr="003227C2">
        <w:t xml:space="preserve">As has already been pointed </w:t>
      </w:r>
      <w:r w:rsidR="00A50AD5">
        <w:t>above</w:t>
      </w:r>
      <w:r w:rsidR="003227C2" w:rsidRPr="003227C2">
        <w:t>, the logical effect of this contraindication is seemingly to preclude the use of the high</w:t>
      </w:r>
      <w:r w:rsidR="00A50AD5">
        <w:t xml:space="preserve">est dose strength combination. </w:t>
      </w:r>
      <w:r w:rsidR="003227C2" w:rsidRPr="003227C2">
        <w:t>Furthermore, any amendment of this contraindication would have to be undertaken in such a way as not to be in conflict with the C</w:t>
      </w:r>
      <w:r w:rsidR="00A50AD5">
        <w:t xml:space="preserve">restor </w:t>
      </w:r>
      <w:r w:rsidR="003227C2" w:rsidRPr="003227C2">
        <w:t>PI which is the ultimate source of thi</w:t>
      </w:r>
      <w:r w:rsidR="00546FFD">
        <w:t>s particular contraindication.</w:t>
      </w:r>
    </w:p>
    <w:p w:rsidR="003227C2" w:rsidRPr="00AF0C25" w:rsidRDefault="003227C2" w:rsidP="00546FFD">
      <w:r w:rsidRPr="00AF0C25">
        <w:t xml:space="preserve">Overall, the </w:t>
      </w:r>
      <w:r w:rsidR="00A50AD5">
        <w:t>D</w:t>
      </w:r>
      <w:r w:rsidRPr="00AF0C25">
        <w:t>elegate is of the view that the ezetimibe/rosuvastatin 10 mg/40 mg fixed</w:t>
      </w:r>
      <w:r w:rsidR="003A0D42">
        <w:t xml:space="preserve"> </w:t>
      </w:r>
      <w:r w:rsidRPr="00AF0C25">
        <w:t>dose combination tablet is approvable provided that adequately strengthened precautions and warnings ar</w:t>
      </w:r>
      <w:r w:rsidR="00A50AD5">
        <w:t xml:space="preserve">e inserted in the PI. </w:t>
      </w:r>
      <w:r w:rsidRPr="00AF0C25">
        <w:t xml:space="preserve">The </w:t>
      </w:r>
      <w:r w:rsidR="00A50AD5">
        <w:t>Delegate requested</w:t>
      </w:r>
      <w:r w:rsidRPr="00AF0C25">
        <w:t xml:space="preserve"> the sponsor consider this issue in its response </w:t>
      </w:r>
      <w:r w:rsidR="000459C5">
        <w:t xml:space="preserve">to this Overview </w:t>
      </w:r>
      <w:r w:rsidRPr="00AF0C25">
        <w:t xml:space="preserve">and provide appropriate </w:t>
      </w:r>
      <w:r w:rsidR="000459C5">
        <w:t xml:space="preserve">PI </w:t>
      </w:r>
      <w:r w:rsidRPr="00AF0C25">
        <w:t>amendments</w:t>
      </w:r>
      <w:r w:rsidR="000459C5">
        <w:t xml:space="preserve">. The Delegate also proposed to request </w:t>
      </w:r>
      <w:r w:rsidRPr="00AF0C25">
        <w:t>ACPM advice on this issue.</w:t>
      </w:r>
    </w:p>
    <w:p w:rsidR="003227C2" w:rsidRPr="00AF0C25" w:rsidRDefault="003227C2" w:rsidP="00AF0C25">
      <w:r w:rsidRPr="00AF0C25">
        <w:t>As already noted</w:t>
      </w:r>
      <w:r w:rsidR="00A50AD5">
        <w:t>,</w:t>
      </w:r>
      <w:r w:rsidRPr="00AF0C25">
        <w:t xml:space="preserve"> the </w:t>
      </w:r>
      <w:r w:rsidR="00A50AD5">
        <w:t>D</w:t>
      </w:r>
      <w:r w:rsidRPr="00AF0C25">
        <w:t>elegate strongly supports the recommendation of the RMP evaluator that the statement, “Long-term safety of co-administration of ezetimibe and rosuvastatin at 10/40 mg” be added to the table of ongoing safety concerns in the Australian RMP to ensure separate reporting for this missing i</w:t>
      </w:r>
      <w:r w:rsidR="00A50AD5">
        <w:t xml:space="preserve">nformation in any future PSUR. </w:t>
      </w:r>
      <w:r w:rsidRPr="00AF0C25">
        <w:t>As well</w:t>
      </w:r>
      <w:r w:rsidR="00A50AD5">
        <w:t>,</w:t>
      </w:r>
      <w:r w:rsidRPr="00AF0C25">
        <w:t xml:space="preserve"> the </w:t>
      </w:r>
      <w:r w:rsidR="00A50AD5">
        <w:t>D</w:t>
      </w:r>
      <w:r w:rsidRPr="00AF0C25">
        <w:t>elegate endorse</w:t>
      </w:r>
      <w:r w:rsidR="000459C5">
        <w:t>d</w:t>
      </w:r>
      <w:r w:rsidRPr="00AF0C25">
        <w:t xml:space="preserve"> the RMP evaluator’s request that there be an explicit warning in the PI for monitoring of patients on the highest fixed</w:t>
      </w:r>
      <w:r w:rsidR="003A0D42">
        <w:t xml:space="preserve"> </w:t>
      </w:r>
      <w:r w:rsidRPr="00AF0C25">
        <w:t>dose combination due to the potential for increase in rosuvastatin exposure when rosuvastatin is combined with ezetimibe.</w:t>
      </w:r>
    </w:p>
    <w:p w:rsidR="00D23139" w:rsidRPr="00546FFD" w:rsidRDefault="00D23139" w:rsidP="00546FFD">
      <w:pPr>
        <w:pStyle w:val="Heading4"/>
      </w:pPr>
      <w:r w:rsidRPr="00D23139">
        <w:lastRenderedPageBreak/>
        <w:t>Proposed action</w:t>
      </w:r>
    </w:p>
    <w:p w:rsidR="003227C2" w:rsidRPr="003227C2" w:rsidRDefault="00A50AD5" w:rsidP="00546FFD">
      <w:r>
        <w:t xml:space="preserve">The Delegate had </w:t>
      </w:r>
      <w:r w:rsidR="003227C2" w:rsidRPr="003227C2">
        <w:t xml:space="preserve">no reason to say, at this time, that the application for </w:t>
      </w:r>
      <w:proofErr w:type="spellStart"/>
      <w:r>
        <w:t>R</w:t>
      </w:r>
      <w:r w:rsidRPr="003227C2">
        <w:t>osuzet</w:t>
      </w:r>
      <w:proofErr w:type="spellEnd"/>
      <w:r w:rsidRPr="003227C2">
        <w:t xml:space="preserve"> </w:t>
      </w:r>
      <w:r>
        <w:t xml:space="preserve">and </w:t>
      </w:r>
      <w:proofErr w:type="spellStart"/>
      <w:r>
        <w:t>E</w:t>
      </w:r>
      <w:r w:rsidRPr="003227C2">
        <w:t>zalo</w:t>
      </w:r>
      <w:proofErr w:type="spellEnd"/>
      <w:r w:rsidRPr="003227C2">
        <w:t xml:space="preserve"> </w:t>
      </w:r>
      <w:r w:rsidR="003227C2" w:rsidRPr="003227C2">
        <w:t>fixed</w:t>
      </w:r>
      <w:r>
        <w:t xml:space="preserve"> </w:t>
      </w:r>
      <w:r w:rsidR="003227C2" w:rsidRPr="003227C2">
        <w:t>dose combination tablets should not be approved for registration.</w:t>
      </w:r>
    </w:p>
    <w:p w:rsidR="003227C2" w:rsidRPr="003227C2" w:rsidRDefault="003227C2" w:rsidP="00546FFD">
      <w:pPr>
        <w:pStyle w:val="Heading5"/>
      </w:pPr>
      <w:r w:rsidRPr="003227C2">
        <w:t xml:space="preserve">Specific </w:t>
      </w:r>
      <w:r w:rsidRPr="00546FFD">
        <w:t>conditions</w:t>
      </w:r>
      <w:r w:rsidRPr="003227C2">
        <w:t xml:space="preserve"> of registration proposed</w:t>
      </w:r>
    </w:p>
    <w:p w:rsidR="003227C2" w:rsidRPr="003227C2" w:rsidRDefault="0021520B" w:rsidP="00546FFD">
      <w:r>
        <w:t xml:space="preserve">The sponsor would be </w:t>
      </w:r>
      <w:r w:rsidR="003227C2" w:rsidRPr="003227C2">
        <w:t>required to implement the Australian RMP for the ezetimibe + rosuvastatin composite pack and for the ezetimibe/rosuvastatin fixed</w:t>
      </w:r>
      <w:r w:rsidR="003A0D42">
        <w:t xml:space="preserve"> </w:t>
      </w:r>
      <w:r w:rsidR="003227C2" w:rsidRPr="003227C2">
        <w:t xml:space="preserve">dose combination tablet, updated to the satisfaction of the TGA from the RMP </w:t>
      </w:r>
      <w:r w:rsidR="005059BE">
        <w:t>V</w:t>
      </w:r>
      <w:r w:rsidR="003227C2" w:rsidRPr="003227C2">
        <w:t>ersion 1</w:t>
      </w:r>
      <w:r w:rsidR="00546FFD">
        <w:t>.3, data lock point 1-Dec-2012.</w:t>
      </w:r>
    </w:p>
    <w:p w:rsidR="00D23139" w:rsidRDefault="00D23139" w:rsidP="00546FFD">
      <w:pPr>
        <w:pStyle w:val="Heading4"/>
      </w:pPr>
      <w:r w:rsidRPr="00D23139">
        <w:t xml:space="preserve">Request </w:t>
      </w:r>
      <w:r w:rsidRPr="00546FFD">
        <w:t>for</w:t>
      </w:r>
      <w:r w:rsidRPr="00D23139">
        <w:t xml:space="preserve"> ACPM advice</w:t>
      </w:r>
    </w:p>
    <w:p w:rsidR="0021520B" w:rsidRPr="00251097" w:rsidRDefault="0021520B" w:rsidP="00546FFD">
      <w:r w:rsidRPr="00251097">
        <w:t xml:space="preserve">The </w:t>
      </w:r>
      <w:r>
        <w:t xml:space="preserve">Delegate proposed to seek general advice on this application from the ACPM and to request the </w:t>
      </w:r>
      <w:r w:rsidRPr="00251097">
        <w:t>committee provide advice on the following specific issues:</w:t>
      </w:r>
    </w:p>
    <w:p w:rsidR="003227C2" w:rsidRPr="003227C2" w:rsidRDefault="003227C2" w:rsidP="00546FFD">
      <w:pPr>
        <w:pStyle w:val="Numberbullet0"/>
        <w:numPr>
          <w:ilvl w:val="0"/>
          <w:numId w:val="9"/>
        </w:numPr>
      </w:pPr>
      <w:r w:rsidRPr="003227C2">
        <w:t xml:space="preserve">The </w:t>
      </w:r>
      <w:r w:rsidRPr="00546FFD">
        <w:t>ramifications</w:t>
      </w:r>
      <w:r w:rsidRPr="003227C2">
        <w:t xml:space="preserve"> of the currently worded contraindication which</w:t>
      </w:r>
      <w:r w:rsidR="0021520B">
        <w:t xml:space="preserve"> rules out the use of the fixed </w:t>
      </w:r>
      <w:r w:rsidRPr="003227C2">
        <w:t xml:space="preserve">dose combination of ezetimibe/rosuvastatin 10/40 mg in “situations where an increase in rosuvastatin plasma levels </w:t>
      </w:r>
      <w:r w:rsidRPr="00546FFD">
        <w:rPr>
          <w:u w:val="single"/>
        </w:rPr>
        <w:t>may</w:t>
      </w:r>
      <w:r w:rsidRPr="003227C2">
        <w:t xml:space="preserve"> occur” (</w:t>
      </w:r>
      <w:r w:rsidR="0021520B">
        <w:t>D</w:t>
      </w:r>
      <w:r w:rsidRPr="003227C2">
        <w:t>elegate’s underlining).</w:t>
      </w:r>
    </w:p>
    <w:p w:rsidR="003227C2" w:rsidRPr="003227C2" w:rsidRDefault="003227C2" w:rsidP="00546FFD">
      <w:pPr>
        <w:pStyle w:val="Numberbullet0"/>
      </w:pPr>
      <w:r w:rsidRPr="00546FFD">
        <w:t>Whether</w:t>
      </w:r>
      <w:r w:rsidRPr="003227C2">
        <w:t xml:space="preserve"> there should be an explicit warning in the PI that due to the potential increase in rosuvastatin exposure when combined with ezetimibe, monitoring of patients on the highest dose of </w:t>
      </w:r>
      <w:proofErr w:type="spellStart"/>
      <w:r w:rsidR="0021520B">
        <w:t>R</w:t>
      </w:r>
      <w:r w:rsidR="0021520B" w:rsidRPr="003227C2">
        <w:t>osuzet</w:t>
      </w:r>
      <w:proofErr w:type="spellEnd"/>
      <w:r w:rsidR="0021520B" w:rsidRPr="003227C2">
        <w:t>/</w:t>
      </w:r>
      <w:proofErr w:type="spellStart"/>
      <w:r w:rsidR="0021520B">
        <w:t>E</w:t>
      </w:r>
      <w:r w:rsidR="0021520B" w:rsidRPr="003227C2">
        <w:t>zalo</w:t>
      </w:r>
      <w:proofErr w:type="spellEnd"/>
      <w:r w:rsidRPr="003227C2">
        <w:t xml:space="preserve"> is recommended.</w:t>
      </w:r>
    </w:p>
    <w:p w:rsidR="003227C2" w:rsidRPr="003227C2" w:rsidRDefault="003227C2" w:rsidP="00546FFD">
      <w:pPr>
        <w:pStyle w:val="Numberbullet0"/>
      </w:pPr>
      <w:r w:rsidRPr="00546FFD">
        <w:t>Whether</w:t>
      </w:r>
      <w:r w:rsidRPr="003227C2">
        <w:t xml:space="preserve"> there are any other precautions and/or warnings specifically concerning the ezetimibe/rosuvastatin 10 mg/40 mg dosage strength which should </w:t>
      </w:r>
      <w:r w:rsidR="0021520B">
        <w:t>be included in the proposed PI.</w:t>
      </w:r>
    </w:p>
    <w:p w:rsidR="003227C2" w:rsidRPr="003227C2" w:rsidRDefault="003227C2" w:rsidP="00546FFD">
      <w:pPr>
        <w:pStyle w:val="Numberbullet0"/>
      </w:pPr>
      <w:r w:rsidRPr="00546FFD">
        <w:t>Whether</w:t>
      </w:r>
      <w:r w:rsidRPr="003227C2">
        <w:t xml:space="preserve"> the statement, “Long-term safety of co-administration of ezetimibe and rosuvastatin at 10/40 mg” should be added to the table of ongoing safety concerns in the Australian RMP to ensure separate reporting for this missing i</w:t>
      </w:r>
      <w:r w:rsidR="0021520B">
        <w:t>nformation in any future PSUR.</w:t>
      </w:r>
    </w:p>
    <w:p w:rsidR="003227C2" w:rsidRPr="003227C2" w:rsidRDefault="003227C2" w:rsidP="00546FFD">
      <w:pPr>
        <w:pStyle w:val="Numberbullet0"/>
      </w:pPr>
      <w:r w:rsidRPr="003227C2">
        <w:t xml:space="preserve">The </w:t>
      </w:r>
      <w:r w:rsidRPr="00546FFD">
        <w:t>overall</w:t>
      </w:r>
      <w:r w:rsidRPr="003227C2">
        <w:t xml:space="preserve"> safety profile of the ezetimibe/rosuvastatin 10 mg/40 mg fixed</w:t>
      </w:r>
      <w:r w:rsidR="003A0D42">
        <w:t xml:space="preserve"> </w:t>
      </w:r>
      <w:r w:rsidR="00546FFD">
        <w:t>dose combination.</w:t>
      </w:r>
    </w:p>
    <w:p w:rsidR="00D23139" w:rsidRDefault="00D23139" w:rsidP="00546FFD">
      <w:pPr>
        <w:pStyle w:val="Heading4"/>
      </w:pPr>
      <w:r w:rsidRPr="00D23139">
        <w:t xml:space="preserve">Response from </w:t>
      </w:r>
      <w:r w:rsidR="00546FFD">
        <w:t>s</w:t>
      </w:r>
      <w:r w:rsidRPr="00546FFD">
        <w:t>ponsor</w:t>
      </w:r>
    </w:p>
    <w:p w:rsidR="00166E6A" w:rsidRPr="00CE4815" w:rsidRDefault="009D7DAA" w:rsidP="00546FFD">
      <w:r>
        <w:t xml:space="preserve">The sponsor </w:t>
      </w:r>
      <w:r w:rsidR="00166E6A" w:rsidRPr="00CE4815">
        <w:t xml:space="preserve">concurs with the </w:t>
      </w:r>
      <w:r>
        <w:t>D</w:t>
      </w:r>
      <w:r w:rsidR="00166E6A" w:rsidRPr="00CE4815">
        <w:t>elegate’s view that all doses, including the 10 mg/40 mg dose of ezetimibe/rosuvastatin fixed</w:t>
      </w:r>
      <w:r>
        <w:t xml:space="preserve"> </w:t>
      </w:r>
      <w:r w:rsidR="00166E6A" w:rsidRPr="00CE4815">
        <w:t xml:space="preserve">dose combination tablets, are approvable. The proposed indications for this </w:t>
      </w:r>
      <w:r w:rsidR="00341961" w:rsidRPr="00341961">
        <w:t xml:space="preserve">fixed dose combination </w:t>
      </w:r>
      <w:r w:rsidR="00166E6A" w:rsidRPr="00CE4815">
        <w:t>are identical to those a</w:t>
      </w:r>
      <w:r w:rsidR="00DA3A87">
        <w:t xml:space="preserve">lready registered for ezetimibe + </w:t>
      </w:r>
      <w:r w:rsidR="00166E6A" w:rsidRPr="00CE4815">
        <w:t>rosuvastatin composite pack 10</w:t>
      </w:r>
      <w:r>
        <w:t xml:space="preserve"> </w:t>
      </w:r>
      <w:r w:rsidR="00166E6A" w:rsidRPr="00CE4815">
        <w:t>+</w:t>
      </w:r>
      <w:r>
        <w:t xml:space="preserve"> </w:t>
      </w:r>
      <w:r w:rsidR="00166E6A" w:rsidRPr="00CE4815">
        <w:t>5 mg, 10</w:t>
      </w:r>
      <w:r>
        <w:t xml:space="preserve"> </w:t>
      </w:r>
      <w:r w:rsidR="00166E6A" w:rsidRPr="00CE4815">
        <w:t>+</w:t>
      </w:r>
      <w:r>
        <w:t xml:space="preserve"> </w:t>
      </w:r>
      <w:r w:rsidR="00166E6A" w:rsidRPr="00CE4815">
        <w:t>10 mg, 10</w:t>
      </w:r>
      <w:r>
        <w:t xml:space="preserve"> </w:t>
      </w:r>
      <w:r w:rsidR="00166E6A" w:rsidRPr="00CE4815">
        <w:t>+</w:t>
      </w:r>
      <w:r>
        <w:t xml:space="preserve"> </w:t>
      </w:r>
      <w:r w:rsidR="00166E6A" w:rsidRPr="00CE4815">
        <w:t>20 mg, 10</w:t>
      </w:r>
      <w:r>
        <w:t xml:space="preserve"> </w:t>
      </w:r>
      <w:r w:rsidR="00166E6A" w:rsidRPr="00CE4815">
        <w:t>+</w:t>
      </w:r>
      <w:r>
        <w:t xml:space="preserve"> </w:t>
      </w:r>
      <w:r w:rsidR="00546FFD">
        <w:t>40 mg:</w:t>
      </w:r>
    </w:p>
    <w:p w:rsidR="00166E6A" w:rsidRPr="00546FFD" w:rsidRDefault="00546FFD" w:rsidP="00546FFD">
      <w:pPr>
        <w:rPr>
          <w:b/>
          <w:i/>
        </w:rPr>
      </w:pPr>
      <w:r>
        <w:rPr>
          <w:b/>
          <w:i/>
        </w:rPr>
        <w:t xml:space="preserve">Primary </w:t>
      </w:r>
      <w:proofErr w:type="spellStart"/>
      <w:r>
        <w:rPr>
          <w:b/>
          <w:i/>
        </w:rPr>
        <w:t>Hypercholesterolaemia</w:t>
      </w:r>
      <w:proofErr w:type="spellEnd"/>
    </w:p>
    <w:p w:rsidR="00166E6A" w:rsidRPr="00546FFD" w:rsidRDefault="009D7DAA" w:rsidP="00546FFD">
      <w:pPr>
        <w:rPr>
          <w:i/>
        </w:rPr>
      </w:pPr>
      <w:proofErr w:type="spellStart"/>
      <w:r w:rsidRPr="00546FFD">
        <w:rPr>
          <w:i/>
        </w:rPr>
        <w:t>Rosuzet</w:t>
      </w:r>
      <w:proofErr w:type="spellEnd"/>
      <w:r w:rsidRPr="00546FFD">
        <w:rPr>
          <w:i/>
        </w:rPr>
        <w:t>/</w:t>
      </w:r>
      <w:proofErr w:type="spellStart"/>
      <w:r w:rsidRPr="00546FFD">
        <w:rPr>
          <w:i/>
        </w:rPr>
        <w:t>Ezalo</w:t>
      </w:r>
      <w:proofErr w:type="spellEnd"/>
      <w:r w:rsidRPr="00546FFD">
        <w:rPr>
          <w:i/>
        </w:rPr>
        <w:t xml:space="preserve"> </w:t>
      </w:r>
      <w:r w:rsidR="00166E6A" w:rsidRPr="00546FFD">
        <w:rPr>
          <w:i/>
        </w:rPr>
        <w:t>is indicated as adjunctive therapy to diet in patients with primary (heterozygous familial and non-familial) hypercholesterolaemia where use of a combination product is</w:t>
      </w:r>
      <w:r w:rsidR="00546FFD">
        <w:rPr>
          <w:i/>
        </w:rPr>
        <w:t xml:space="preserve"> appropriate in those patients:</w:t>
      </w:r>
    </w:p>
    <w:p w:rsidR="00166E6A" w:rsidRPr="00546FFD" w:rsidRDefault="00166E6A" w:rsidP="00546FFD">
      <w:pPr>
        <w:pStyle w:val="ListBullet"/>
        <w:rPr>
          <w:i/>
        </w:rPr>
      </w:pPr>
      <w:r w:rsidRPr="00546FFD">
        <w:rPr>
          <w:i/>
        </w:rPr>
        <w:t xml:space="preserve">not appropriately controlled with </w:t>
      </w:r>
      <w:proofErr w:type="spellStart"/>
      <w:r w:rsidRPr="00546FFD">
        <w:rPr>
          <w:i/>
        </w:rPr>
        <w:t>rosuvastatin</w:t>
      </w:r>
      <w:proofErr w:type="spellEnd"/>
      <w:r w:rsidRPr="00546FFD">
        <w:rPr>
          <w:i/>
        </w:rPr>
        <w:t xml:space="preserve"> or </w:t>
      </w:r>
      <w:proofErr w:type="spellStart"/>
      <w:r w:rsidRPr="00546FFD">
        <w:rPr>
          <w:i/>
        </w:rPr>
        <w:t>ezeti</w:t>
      </w:r>
      <w:r w:rsidR="00546FFD" w:rsidRPr="00546FFD">
        <w:rPr>
          <w:i/>
        </w:rPr>
        <w:t>mibe</w:t>
      </w:r>
      <w:proofErr w:type="spellEnd"/>
      <w:r w:rsidR="00546FFD" w:rsidRPr="00546FFD">
        <w:rPr>
          <w:i/>
        </w:rPr>
        <w:t xml:space="preserve"> alone; or</w:t>
      </w:r>
    </w:p>
    <w:p w:rsidR="00166E6A" w:rsidRPr="00546FFD" w:rsidRDefault="00166E6A" w:rsidP="00546FFD">
      <w:pPr>
        <w:pStyle w:val="ListBullet"/>
        <w:rPr>
          <w:i/>
        </w:rPr>
      </w:pPr>
      <w:r w:rsidRPr="00546FFD">
        <w:rPr>
          <w:i/>
        </w:rPr>
        <w:t xml:space="preserve">already treated </w:t>
      </w:r>
      <w:r w:rsidR="00546FFD" w:rsidRPr="00546FFD">
        <w:rPr>
          <w:i/>
        </w:rPr>
        <w:t xml:space="preserve">with </w:t>
      </w:r>
      <w:proofErr w:type="spellStart"/>
      <w:r w:rsidR="00546FFD" w:rsidRPr="00546FFD">
        <w:rPr>
          <w:i/>
        </w:rPr>
        <w:t>rosuvastatin</w:t>
      </w:r>
      <w:proofErr w:type="spellEnd"/>
      <w:r w:rsidR="00546FFD" w:rsidRPr="00546FFD">
        <w:rPr>
          <w:i/>
        </w:rPr>
        <w:t xml:space="preserve"> and </w:t>
      </w:r>
      <w:proofErr w:type="spellStart"/>
      <w:r w:rsidR="00546FFD" w:rsidRPr="00546FFD">
        <w:rPr>
          <w:i/>
        </w:rPr>
        <w:t>ezetimibe</w:t>
      </w:r>
      <w:proofErr w:type="spellEnd"/>
    </w:p>
    <w:p w:rsidR="00166E6A" w:rsidRPr="00546FFD" w:rsidRDefault="00166E6A" w:rsidP="00546FFD">
      <w:pPr>
        <w:rPr>
          <w:b/>
          <w:i/>
        </w:rPr>
      </w:pPr>
      <w:r w:rsidRPr="00546FFD">
        <w:rPr>
          <w:b/>
          <w:i/>
        </w:rPr>
        <w:t>Homozygous Famili</w:t>
      </w:r>
      <w:r w:rsidR="00546FFD" w:rsidRPr="00546FFD">
        <w:rPr>
          <w:b/>
          <w:i/>
        </w:rPr>
        <w:t xml:space="preserve">al </w:t>
      </w:r>
      <w:proofErr w:type="spellStart"/>
      <w:r w:rsidR="00546FFD" w:rsidRPr="00546FFD">
        <w:rPr>
          <w:b/>
          <w:i/>
        </w:rPr>
        <w:t>Hypercholesterolaemia</w:t>
      </w:r>
      <w:proofErr w:type="spellEnd"/>
      <w:r w:rsidR="00546FFD" w:rsidRPr="00546FFD">
        <w:rPr>
          <w:b/>
          <w:i/>
        </w:rPr>
        <w:t xml:space="preserve"> (</w:t>
      </w:r>
      <w:proofErr w:type="spellStart"/>
      <w:r w:rsidR="00546FFD" w:rsidRPr="00546FFD">
        <w:rPr>
          <w:b/>
          <w:i/>
        </w:rPr>
        <w:t>HoFH</w:t>
      </w:r>
      <w:proofErr w:type="spellEnd"/>
      <w:r w:rsidR="00546FFD" w:rsidRPr="00546FFD">
        <w:rPr>
          <w:b/>
          <w:i/>
        </w:rPr>
        <w:t>)</w:t>
      </w:r>
    </w:p>
    <w:p w:rsidR="00166E6A" w:rsidRPr="00546FFD" w:rsidRDefault="009D7DAA" w:rsidP="00546FFD">
      <w:pPr>
        <w:rPr>
          <w:i/>
        </w:rPr>
      </w:pPr>
      <w:proofErr w:type="spellStart"/>
      <w:r w:rsidRPr="00546FFD">
        <w:rPr>
          <w:i/>
        </w:rPr>
        <w:t>Rosuzet</w:t>
      </w:r>
      <w:proofErr w:type="spellEnd"/>
      <w:r w:rsidRPr="00546FFD">
        <w:rPr>
          <w:i/>
        </w:rPr>
        <w:t>/</w:t>
      </w:r>
      <w:proofErr w:type="spellStart"/>
      <w:r w:rsidRPr="00546FFD">
        <w:rPr>
          <w:i/>
        </w:rPr>
        <w:t>Ezalo</w:t>
      </w:r>
      <w:proofErr w:type="spellEnd"/>
      <w:r w:rsidRPr="00546FFD">
        <w:rPr>
          <w:i/>
        </w:rPr>
        <w:t xml:space="preserve"> </w:t>
      </w:r>
      <w:r w:rsidR="00166E6A" w:rsidRPr="00546FFD">
        <w:rPr>
          <w:i/>
        </w:rPr>
        <w:t xml:space="preserve">is indicated for patients with </w:t>
      </w:r>
      <w:proofErr w:type="spellStart"/>
      <w:r w:rsidR="00166E6A" w:rsidRPr="00546FFD">
        <w:rPr>
          <w:i/>
        </w:rPr>
        <w:t>HoFH</w:t>
      </w:r>
      <w:proofErr w:type="spellEnd"/>
      <w:r w:rsidR="00166E6A" w:rsidRPr="00546FFD">
        <w:rPr>
          <w:i/>
        </w:rPr>
        <w:t>. Patients may also receive adjunctive tr</w:t>
      </w:r>
      <w:r w:rsidR="00546FFD" w:rsidRPr="00546FFD">
        <w:rPr>
          <w:i/>
        </w:rPr>
        <w:t>eatments (e.g., LDL apheresis).</w:t>
      </w:r>
    </w:p>
    <w:p w:rsidR="00166E6A" w:rsidRPr="00CE4815" w:rsidRDefault="009D7DAA" w:rsidP="00546FFD">
      <w:r>
        <w:t>The D</w:t>
      </w:r>
      <w:r w:rsidR="00166E6A" w:rsidRPr="00CE4815">
        <w:t xml:space="preserve">elegate has requested that the </w:t>
      </w:r>
      <w:r>
        <w:t>p</w:t>
      </w:r>
      <w:r w:rsidR="00166E6A" w:rsidRPr="009D7DAA">
        <w:t>recautions</w:t>
      </w:r>
      <w:r w:rsidR="00166E6A" w:rsidRPr="00CE4815">
        <w:t xml:space="preserve"> and warnings in the P</w:t>
      </w:r>
      <w:r>
        <w:t xml:space="preserve">I </w:t>
      </w:r>
      <w:r w:rsidR="00166E6A" w:rsidRPr="00CE4815">
        <w:t xml:space="preserve">be strengthened, and </w:t>
      </w:r>
      <w:r w:rsidR="00546FFD">
        <w:t>this matter is addressed below.</w:t>
      </w:r>
    </w:p>
    <w:p w:rsidR="00166E6A" w:rsidRPr="00CE4815" w:rsidRDefault="00166E6A" w:rsidP="00546FFD">
      <w:r w:rsidRPr="00CE4815">
        <w:lastRenderedPageBreak/>
        <w:t>Although the co-administration of ezetimibe with rosuvastatin may incr</w:t>
      </w:r>
      <w:r w:rsidR="009D7DAA">
        <w:t>ease rosuvastatin exposures by approximately 20% (Crestor</w:t>
      </w:r>
      <w:r w:rsidRPr="00CE4815">
        <w:t xml:space="preserve"> US</w:t>
      </w:r>
      <w:r w:rsidR="009D7DAA">
        <w:t xml:space="preserve"> </w:t>
      </w:r>
      <w:r w:rsidRPr="00CE4815">
        <w:t xml:space="preserve">PI, Study P03317), the </w:t>
      </w:r>
      <w:r w:rsidR="009D7DAA">
        <w:t>s</w:t>
      </w:r>
      <w:r w:rsidRPr="00CE4815">
        <w:t xml:space="preserve">ponsor maintains that this increase is modest, largely within patient variability, is not clinically relevant and does not require dose adjustments or additional guidance for physicians for the following reasons. As set forth in rosuvastatin prescribing information, the rosuvastatin dose is </w:t>
      </w:r>
      <w:r w:rsidR="003A0D42">
        <w:t>individualis</w:t>
      </w:r>
      <w:r w:rsidRPr="00CE4815">
        <w:t xml:space="preserve">ed according to the goals of therapy and patient response, taking into account lipid levels, tolerability and the risk for adverse reactions. In this regard, rosuvastatin when administered as monotherapy is titrated from a starting dose, typically 10 mg, with administration of 40 mg only recommended for those patients not achieving LDL-C target following 20 mg administration. The </w:t>
      </w:r>
      <w:proofErr w:type="spellStart"/>
      <w:r w:rsidR="009D7DAA" w:rsidRPr="009D7DAA">
        <w:t>Rosuzet</w:t>
      </w:r>
      <w:proofErr w:type="spellEnd"/>
      <w:r w:rsidR="009D7DAA" w:rsidRPr="009D7DAA">
        <w:t>/</w:t>
      </w:r>
      <w:proofErr w:type="spellStart"/>
      <w:r w:rsidR="009D7DAA" w:rsidRPr="009D7DAA">
        <w:t>Ezalo</w:t>
      </w:r>
      <w:proofErr w:type="spellEnd"/>
      <w:r w:rsidR="009D7DAA" w:rsidRPr="009D7DAA">
        <w:t xml:space="preserve"> </w:t>
      </w:r>
      <w:r w:rsidRPr="00CE4815">
        <w:t>product is expected to be prescribed in a similar manner. The safety of rosuvastatin (40 mg) with ezetimibe has been established in a clinical trial (EXPLORER, N=469) and supports the absence of any clinically meaningful pharmacokinetic differences in rosuvastat</w:t>
      </w:r>
      <w:r w:rsidR="009D7DAA">
        <w:t>in exposure. Nevertheless, the s</w:t>
      </w:r>
      <w:r w:rsidRPr="00CE4815">
        <w:t xml:space="preserve">ponsor has proposed further safety changes to the </w:t>
      </w:r>
      <w:proofErr w:type="spellStart"/>
      <w:r w:rsidR="009D7DAA" w:rsidRPr="009D7DAA">
        <w:t>Rosuzet</w:t>
      </w:r>
      <w:proofErr w:type="spellEnd"/>
      <w:r w:rsidR="009D7DAA" w:rsidRPr="009D7DAA">
        <w:t>/</w:t>
      </w:r>
      <w:proofErr w:type="spellStart"/>
      <w:r w:rsidR="009D7DAA" w:rsidRPr="009D7DAA">
        <w:t>Ezalo</w:t>
      </w:r>
      <w:proofErr w:type="spellEnd"/>
      <w:r w:rsidR="009D7DAA" w:rsidRPr="009D7DAA">
        <w:t xml:space="preserve"> </w:t>
      </w:r>
      <w:r w:rsidRPr="00CE4815">
        <w:t>PI which are consistent with the Australian C</w:t>
      </w:r>
      <w:r w:rsidR="009D7DAA">
        <w:t xml:space="preserve">restor </w:t>
      </w:r>
      <w:r w:rsidRPr="00CE4815">
        <w:t xml:space="preserve">PI, US PI, Canadian Product Monograph, </w:t>
      </w:r>
      <w:r w:rsidR="00546FFD">
        <w:t xml:space="preserve">and EU </w:t>
      </w:r>
      <w:proofErr w:type="spellStart"/>
      <w:r w:rsidR="00546FFD">
        <w:t>SmPC</w:t>
      </w:r>
      <w:proofErr w:type="spellEnd"/>
      <w:r w:rsidR="00546FFD">
        <w:t xml:space="preserve"> as discussed below.</w:t>
      </w:r>
    </w:p>
    <w:p w:rsidR="00166E6A" w:rsidRPr="00CE4815" w:rsidRDefault="00166E6A" w:rsidP="00166E6A">
      <w:r w:rsidRPr="00CE4815">
        <w:t>In addition to the lac</w:t>
      </w:r>
      <w:r w:rsidR="009D7DAA">
        <w:t xml:space="preserve">k of clinical relevance of the approximately </w:t>
      </w:r>
      <w:r w:rsidRPr="00CE4815">
        <w:t>20% increase in the point estimate of the plasma concentration of rosuvastatin determined in P03317, a review of the C</w:t>
      </w:r>
      <w:r w:rsidR="009D7DAA">
        <w:t xml:space="preserve">restor </w:t>
      </w:r>
      <w:r w:rsidRPr="00CE4815">
        <w:t>prescribing information for special populations and drug interactions confirms th</w:t>
      </w:r>
      <w:r w:rsidR="009D7DAA">
        <w:t xml:space="preserve">at the reported mean change of approximately </w:t>
      </w:r>
      <w:r w:rsidRPr="00CE4815">
        <w:t>20% is not clinically significant and does not require a dosing adjustment or further guidance. To this end, a mean ch</w:t>
      </w:r>
      <w:r w:rsidR="009D7DAA">
        <w:t xml:space="preserve">ange in AUC and Cmax of up to approximately </w:t>
      </w:r>
      <w:r w:rsidR="007E0BB4">
        <w:t xml:space="preserve">2 </w:t>
      </w:r>
      <w:r w:rsidRPr="00CE4815">
        <w:t>fold has been accepted by the innovator of rosuvastatin as not requiring a dose adjustment (</w:t>
      </w:r>
      <w:r w:rsidR="007E0BB4">
        <w:t xml:space="preserve">for example, </w:t>
      </w:r>
      <w:proofErr w:type="spellStart"/>
      <w:r w:rsidRPr="00CE4815">
        <w:t>Itraconazole</w:t>
      </w:r>
      <w:proofErr w:type="spellEnd"/>
      <w:r w:rsidRPr="00CE4815">
        <w:t xml:space="preserve">, </w:t>
      </w:r>
      <w:proofErr w:type="spellStart"/>
      <w:r w:rsidRPr="00CE4815">
        <w:t>Eltrombopag</w:t>
      </w:r>
      <w:proofErr w:type="spellEnd"/>
      <w:r w:rsidRPr="00CE4815">
        <w:t xml:space="preserve">, </w:t>
      </w:r>
      <w:proofErr w:type="spellStart"/>
      <w:r w:rsidRPr="00CE4815">
        <w:t>Darunavir</w:t>
      </w:r>
      <w:proofErr w:type="spellEnd"/>
      <w:r w:rsidRPr="00CE4815">
        <w:t xml:space="preserve"> and </w:t>
      </w:r>
      <w:proofErr w:type="spellStart"/>
      <w:r w:rsidRPr="00CE4815">
        <w:t>Dronedarone</w:t>
      </w:r>
      <w:proofErr w:type="spellEnd"/>
      <w:r w:rsidRPr="00CE4815">
        <w:t>), as described in the C</w:t>
      </w:r>
      <w:r w:rsidR="009D7DAA">
        <w:t xml:space="preserve">restor </w:t>
      </w:r>
      <w:r w:rsidRPr="00CE4815">
        <w:t>labelling [Australian PI, US PI and Canadian PM]. This is consistent w</w:t>
      </w:r>
      <w:r w:rsidR="009D7DAA">
        <w:t>ith the following comments the D</w:t>
      </w:r>
      <w:r w:rsidRPr="00CE4815">
        <w:t xml:space="preserve">elegate has made in </w:t>
      </w:r>
      <w:r w:rsidR="009D7DAA">
        <w:t xml:space="preserve">the Delegate’s </w:t>
      </w:r>
      <w:r w:rsidR="00546FFD">
        <w:t>overview:</w:t>
      </w:r>
    </w:p>
    <w:p w:rsidR="00166E6A" w:rsidRPr="00CE4815" w:rsidRDefault="00166E6A" w:rsidP="00546FFD">
      <w:pPr>
        <w:pStyle w:val="ListBullet"/>
      </w:pPr>
      <w:r w:rsidRPr="00CE4815">
        <w:t xml:space="preserve">From this table (of drug interactions in the EU </w:t>
      </w:r>
      <w:proofErr w:type="spellStart"/>
      <w:r w:rsidRPr="00CE4815">
        <w:t>SmPC</w:t>
      </w:r>
      <w:proofErr w:type="spellEnd"/>
      <w:r w:rsidRPr="00CE4815">
        <w:t>) it would appear that the dose adjustment recommendations pertain only to those interactions that result in a</w:t>
      </w:r>
      <w:r w:rsidR="009D7DAA">
        <w:t xml:space="preserve">pproximately 2 </w:t>
      </w:r>
      <w:r w:rsidRPr="00CE4815">
        <w:t xml:space="preserve">fold or higher increases in rosuvastatin AUC. The updated EU </w:t>
      </w:r>
      <w:proofErr w:type="spellStart"/>
      <w:r w:rsidRPr="00CE4815">
        <w:t>SmPC</w:t>
      </w:r>
      <w:proofErr w:type="spellEnd"/>
      <w:r w:rsidRPr="00CE4815">
        <w:t xml:space="preserve"> does not specify a dose reduction for rosuvastatin when it is</w:t>
      </w:r>
      <w:r w:rsidR="00546FFD">
        <w:t xml:space="preserve"> co-administered with </w:t>
      </w:r>
      <w:proofErr w:type="spellStart"/>
      <w:r w:rsidR="00546FFD">
        <w:t>ezetimibe</w:t>
      </w:r>
      <w:proofErr w:type="spellEnd"/>
    </w:p>
    <w:p w:rsidR="00166E6A" w:rsidRPr="00CE4815" w:rsidRDefault="00166E6A" w:rsidP="00546FFD">
      <w:pPr>
        <w:pStyle w:val="ListBullet"/>
      </w:pPr>
      <w:r w:rsidRPr="00CE4815">
        <w:t>Both the US and Canadian product information documents indicate that the 19% increase in rosuvastatin AUC resulting from the co-administration of ezetimibe and rosuvastatin is not considered clinically s</w:t>
      </w:r>
      <w:r w:rsidR="00546FFD">
        <w:t>ignificant</w:t>
      </w:r>
    </w:p>
    <w:p w:rsidR="00166E6A" w:rsidRPr="00CE4815" w:rsidRDefault="00166E6A" w:rsidP="00546FFD">
      <w:r w:rsidRPr="00CE4815">
        <w:t>Therefore, co-administration of rosuvastat</w:t>
      </w:r>
      <w:r w:rsidR="009D7DAA">
        <w:t xml:space="preserve">in with ezetimibe resulting in approximately </w:t>
      </w:r>
      <w:r w:rsidRPr="00CE4815">
        <w:t>20% increases does not require dose adjustment or other guidance, which is consistent wi</w:t>
      </w:r>
      <w:r w:rsidR="00546FFD">
        <w:t>th the prescribing information.</w:t>
      </w:r>
    </w:p>
    <w:p w:rsidR="00166E6A" w:rsidRPr="00546FFD" w:rsidRDefault="00166E6A" w:rsidP="00546FFD">
      <w:pPr>
        <w:pStyle w:val="Heading5"/>
      </w:pPr>
      <w:r w:rsidRPr="00CE4815">
        <w:t xml:space="preserve">Proposed changes to the </w:t>
      </w:r>
      <w:r w:rsidR="00546FFD">
        <w:t>p</w:t>
      </w:r>
      <w:r w:rsidRPr="00CE4815">
        <w:t xml:space="preserve">roduct </w:t>
      </w:r>
      <w:r w:rsidR="00546FFD">
        <w:t>i</w:t>
      </w:r>
      <w:r w:rsidRPr="00CE4815">
        <w:t>nfo</w:t>
      </w:r>
      <w:r w:rsidR="00546FFD">
        <w:t>rmation</w:t>
      </w:r>
    </w:p>
    <w:p w:rsidR="00166E6A" w:rsidRPr="00CE4815" w:rsidRDefault="009D7DAA" w:rsidP="00546FFD">
      <w:r>
        <w:t>The Delegate has requested that the s</w:t>
      </w:r>
      <w:r w:rsidR="00166E6A" w:rsidRPr="00CE4815">
        <w:t>ponsor provide appropriate amendments to the contraindication “situations where an increase in rosuvastatin plasma levels may occur” which are not in conflict with the C</w:t>
      </w:r>
      <w:r>
        <w:t xml:space="preserve">restor </w:t>
      </w:r>
      <w:r w:rsidR="00166E6A" w:rsidRPr="00CE4815">
        <w:t>PI and include strengthened precautions and war</w:t>
      </w:r>
      <w:r w:rsidR="00546FFD">
        <w:t>nings around the 10/40 mg dose.</w:t>
      </w:r>
    </w:p>
    <w:p w:rsidR="00166E6A" w:rsidRPr="00CE4815" w:rsidRDefault="00166E6A" w:rsidP="00546FFD">
      <w:r w:rsidRPr="00CE4815">
        <w:t>The P</w:t>
      </w:r>
      <w:r w:rsidR="009D7DAA">
        <w:t xml:space="preserve">I </w:t>
      </w:r>
      <w:r w:rsidRPr="00CE4815">
        <w:t xml:space="preserve">has been revised as per the </w:t>
      </w:r>
      <w:r w:rsidR="009D7DAA">
        <w:t>D</w:t>
      </w:r>
      <w:r w:rsidRPr="00CE4815">
        <w:t>elegate’s request</w:t>
      </w:r>
      <w:r w:rsidR="009D7DAA">
        <w:t>. Details are beyond the scope of the AusPAR.</w:t>
      </w:r>
    </w:p>
    <w:p w:rsidR="00166E6A" w:rsidRPr="00CE4815" w:rsidRDefault="00166E6A" w:rsidP="00546FFD">
      <w:pPr>
        <w:pStyle w:val="Heading5"/>
      </w:pPr>
      <w:r w:rsidRPr="00CE4815">
        <w:t xml:space="preserve">Safety of the </w:t>
      </w:r>
      <w:proofErr w:type="spellStart"/>
      <w:r w:rsidRPr="00CE4815">
        <w:t>ezetimibe</w:t>
      </w:r>
      <w:proofErr w:type="spellEnd"/>
      <w:r w:rsidRPr="00CE4815">
        <w:t>/</w:t>
      </w:r>
      <w:proofErr w:type="spellStart"/>
      <w:r w:rsidRPr="00546FFD">
        <w:t>rosuvastatin</w:t>
      </w:r>
      <w:proofErr w:type="spellEnd"/>
      <w:r w:rsidRPr="00CE4815">
        <w:t xml:space="preserve"> 10/40 mg fixed</w:t>
      </w:r>
      <w:r w:rsidR="003A0D42">
        <w:t xml:space="preserve"> </w:t>
      </w:r>
      <w:r w:rsidR="00546FFD">
        <w:t>dose combination</w:t>
      </w:r>
    </w:p>
    <w:p w:rsidR="00166E6A" w:rsidRPr="00CE4815" w:rsidRDefault="00166E6A" w:rsidP="00546FFD">
      <w:r>
        <w:t>The D</w:t>
      </w:r>
      <w:r w:rsidRPr="00CE4815">
        <w:t xml:space="preserve">elegate has requested that the </w:t>
      </w:r>
      <w:r>
        <w:t>s</w:t>
      </w:r>
      <w:r w:rsidRPr="00CE4815">
        <w:t xml:space="preserve">ponsor confirm the total number of patients exposed to ezetimibe 10 mg + rosuvastatin 40 </w:t>
      </w:r>
      <w:r w:rsidR="00546FFD">
        <w:t>mg for between 12 and 24 weeks.</w:t>
      </w:r>
    </w:p>
    <w:p w:rsidR="00166E6A" w:rsidRPr="00CE4815" w:rsidRDefault="00166E6A" w:rsidP="00546FFD">
      <w:r w:rsidRPr="00CE4815">
        <w:t>From the clinical data provided with the present application, a total of 400 patients have been exposed to the highest dosage strength (10</w:t>
      </w:r>
      <w:r w:rsidR="007E0BB4">
        <w:t xml:space="preserve"> mg</w:t>
      </w:r>
      <w:r w:rsidRPr="00CE4815">
        <w:t xml:space="preserve">/40 mg) combination (EXPLORER, </w:t>
      </w:r>
      <w:r w:rsidRPr="00CE4815">
        <w:lastRenderedPageBreak/>
        <w:t>Stein</w:t>
      </w:r>
      <w:r w:rsidR="007E0BB4">
        <w:t xml:space="preserve"> </w:t>
      </w:r>
      <w:r w:rsidRPr="00CE4815">
        <w:t>2005</w:t>
      </w:r>
      <w:r w:rsidR="007E0BB4">
        <w:rPr>
          <w:rStyle w:val="FootnoteReference"/>
        </w:rPr>
        <w:footnoteReference w:id="13"/>
      </w:r>
      <w:r w:rsidRPr="00CE4815">
        <w:t>, Stein</w:t>
      </w:r>
      <w:r w:rsidR="007E0BB4">
        <w:t xml:space="preserve"> </w:t>
      </w:r>
      <w:r w:rsidRPr="00CE4815">
        <w:t>2007</w:t>
      </w:r>
      <w:r w:rsidR="007E0BB4">
        <w:rPr>
          <w:rStyle w:val="FootnoteReference"/>
        </w:rPr>
        <w:footnoteReference w:id="14"/>
      </w:r>
      <w:r w:rsidR="007E0BB4">
        <w:t xml:space="preserve">, </w:t>
      </w:r>
      <w:proofErr w:type="spellStart"/>
      <w:r w:rsidR="007E0BB4">
        <w:t>Ose</w:t>
      </w:r>
      <w:proofErr w:type="spellEnd"/>
      <w:r w:rsidR="007E0BB4">
        <w:t xml:space="preserve"> </w:t>
      </w:r>
      <w:r w:rsidRPr="00CE4815">
        <w:t>2005</w:t>
      </w:r>
      <w:r w:rsidR="007E0BB4">
        <w:rPr>
          <w:rStyle w:val="FootnoteReference"/>
        </w:rPr>
        <w:footnoteReference w:id="15"/>
      </w:r>
      <w:r w:rsidR="007E0BB4">
        <w:t xml:space="preserve"> and </w:t>
      </w:r>
      <w:proofErr w:type="spellStart"/>
      <w:r w:rsidR="007E0BB4">
        <w:t>Leibovitz</w:t>
      </w:r>
      <w:proofErr w:type="spellEnd"/>
      <w:r w:rsidR="007E0BB4">
        <w:t xml:space="preserve"> </w:t>
      </w:r>
      <w:r w:rsidRPr="00CE4815">
        <w:t>2006</w:t>
      </w:r>
      <w:r w:rsidR="007E0BB4">
        <w:rPr>
          <w:rStyle w:val="FootnoteReference"/>
        </w:rPr>
        <w:footnoteReference w:id="16"/>
      </w:r>
      <w:r w:rsidRPr="00CE4815">
        <w:t xml:space="preserve">). Of these, 145 were exposed for 12 to 24 weeks and 255 were exposed for 6 weeks. All studies showed the 10/40 mg combination to be well-tolerated with no treatment-related </w:t>
      </w:r>
      <w:r w:rsidR="00D07E32">
        <w:t>SAE</w:t>
      </w:r>
      <w:r w:rsidRPr="00CE4815">
        <w:t xml:space="preserve">s or </w:t>
      </w:r>
      <w:r w:rsidR="00D07E32">
        <w:t>AE</w:t>
      </w:r>
      <w:r w:rsidRPr="00CE4815">
        <w:t xml:space="preserve">s of concern beyond those seen in rosuvastatin 40 mg monotherapy, with the exception of </w:t>
      </w:r>
      <w:r w:rsidR="00654958">
        <w:t>alanine transaminase (</w:t>
      </w:r>
      <w:r w:rsidRPr="00CE4815">
        <w:t>ALT</w:t>
      </w:r>
      <w:r w:rsidR="00654958">
        <w:t>)</w:t>
      </w:r>
      <w:r w:rsidRPr="00CE4815">
        <w:t xml:space="preserve"> elevations occurring more frequently </w:t>
      </w:r>
      <w:r w:rsidR="007E0BB4">
        <w:t>in the 6 week EXPLORER study (n</w:t>
      </w:r>
      <w:r w:rsidRPr="00CE4815">
        <w:t xml:space="preserve">=235, 2.5% </w:t>
      </w:r>
      <w:r w:rsidR="007E0BB4">
        <w:t xml:space="preserve">versus </w:t>
      </w:r>
      <w:r w:rsidRPr="00CE4815">
        <w:t>0.4%), which is already documented in the proposed PI</w:t>
      </w:r>
      <w:r>
        <w:t>:</w:t>
      </w:r>
      <w:r w:rsidRPr="00166E6A">
        <w:rPr>
          <w:i/>
        </w:rPr>
        <w:t xml:space="preserve"> “the incidence of increased ALT at the 10 mg + 40 mg dose was 2.5% (n=6) for ezetimibe + rosuvastatin and 0.4% (n=1) for </w:t>
      </w:r>
      <w:proofErr w:type="spellStart"/>
      <w:r w:rsidRPr="00166E6A">
        <w:rPr>
          <w:i/>
        </w:rPr>
        <w:t>rosuvastatin</w:t>
      </w:r>
      <w:proofErr w:type="spellEnd"/>
      <w:r w:rsidRPr="00166E6A">
        <w:rPr>
          <w:i/>
        </w:rPr>
        <w:t xml:space="preserve"> alone.”</w:t>
      </w:r>
    </w:p>
    <w:p w:rsidR="00166E6A" w:rsidRPr="00CE4815" w:rsidRDefault="00166E6A" w:rsidP="00546FFD">
      <w:r>
        <w:t>The D</w:t>
      </w:r>
      <w:r w:rsidRPr="00CE4815">
        <w:t>elegate has also requested a summary and most up-to-date assessment of the post-marketing data available to describe the adverse profile of ezetim</w:t>
      </w:r>
      <w:r w:rsidR="00546FFD">
        <w:t xml:space="preserve">ibe 10 mg + </w:t>
      </w:r>
      <w:proofErr w:type="spellStart"/>
      <w:r w:rsidR="00546FFD">
        <w:t>rosuvastatin</w:t>
      </w:r>
      <w:proofErr w:type="spellEnd"/>
      <w:r w:rsidR="00546FFD">
        <w:t xml:space="preserve"> 40 mg.</w:t>
      </w:r>
    </w:p>
    <w:p w:rsidR="00166E6A" w:rsidRPr="00CE4815" w:rsidRDefault="00166E6A" w:rsidP="00546FFD">
      <w:r w:rsidRPr="00CE4815">
        <w:t>Ezetimibe (E</w:t>
      </w:r>
      <w:r>
        <w:t>zetrol</w:t>
      </w:r>
      <w:r w:rsidRPr="00CE4815">
        <w:t xml:space="preserve">) has </w:t>
      </w:r>
      <w:r>
        <w:t>been marketed worldwide by the sponsor since 2002 and the s</w:t>
      </w:r>
      <w:r w:rsidRPr="00CE4815">
        <w:t xml:space="preserve">ponsor has been collecting post-marketing </w:t>
      </w:r>
      <w:r w:rsidR="00D07E32">
        <w:t>AE</w:t>
      </w:r>
      <w:r w:rsidRPr="00CE4815">
        <w:t xml:space="preserve"> reports in the Merck Adverse Event Reporting and Review System (MARRS) database since this time. However, because</w:t>
      </w:r>
      <w:r>
        <w:t xml:space="preserve"> the s</w:t>
      </w:r>
      <w:r w:rsidRPr="00CE4815">
        <w:t>ponsor has not marketed any products containing rosuvastatin to date, such extensive post-marketing data is not currently available for rosuvastatin and a comprehensive description of the adverse profile of ezetimibe 10 mg + rosuvastatin 40 mg cannot be provided. Nevertheless, a search of the MARRS database between 1 Aug</w:t>
      </w:r>
      <w:r w:rsidR="007E0BB4">
        <w:t>ust</w:t>
      </w:r>
      <w:r w:rsidRPr="00CE4815">
        <w:t xml:space="preserve"> 2013 and 15 Jun</w:t>
      </w:r>
      <w:r w:rsidR="007E0BB4">
        <w:t>e</w:t>
      </w:r>
      <w:r w:rsidRPr="00CE4815">
        <w:t xml:space="preserve"> 2014 has not revealed any </w:t>
      </w:r>
      <w:r w:rsidR="00D07E32">
        <w:t>AE</w:t>
      </w:r>
      <w:r w:rsidRPr="00CE4815">
        <w:t xml:space="preserve"> rep</w:t>
      </w:r>
      <w:r>
        <w:t>orts for this combination. The s</w:t>
      </w:r>
      <w:r w:rsidRPr="00CE4815">
        <w:t>ponsor will continue to monitor the use of the ezetimibe and rosuvastatin combination and provide separate reporting for the long-term safety of the 10</w:t>
      </w:r>
      <w:r w:rsidR="007E0BB4">
        <w:t xml:space="preserve"> mg</w:t>
      </w:r>
      <w:r w:rsidRPr="00CE4815">
        <w:t xml:space="preserve">/40 mg dose post-market (refer </w:t>
      </w:r>
      <w:r w:rsidRPr="007E0BB4">
        <w:rPr>
          <w:i/>
        </w:rPr>
        <w:t>Risk Management Plan</w:t>
      </w:r>
      <w:r w:rsidR="00546FFD">
        <w:t xml:space="preserve"> below).</w:t>
      </w:r>
    </w:p>
    <w:p w:rsidR="00166E6A" w:rsidRPr="00CE4815" w:rsidRDefault="00166E6A" w:rsidP="00546FFD">
      <w:r w:rsidRPr="00CE4815">
        <w:t>Based on the greater efficacy of the 10</w:t>
      </w:r>
      <w:r w:rsidR="007E0BB4">
        <w:t xml:space="preserve"> mg</w:t>
      </w:r>
      <w:r w:rsidRPr="00CE4815">
        <w:t>/40 mg dose, the present safety findings demonstrate a positive benefit-risk balance for the 10</w:t>
      </w:r>
      <w:r w:rsidR="007E0BB4">
        <w:t xml:space="preserve"> mg</w:t>
      </w:r>
      <w:r w:rsidRPr="00CE4815">
        <w:t xml:space="preserve">/40 mg dose, especially in patients at high risk of </w:t>
      </w:r>
      <w:r w:rsidR="007E0BB4">
        <w:t>chronic heart disease (</w:t>
      </w:r>
      <w:r w:rsidRPr="00CE4815">
        <w:t>CHD</w:t>
      </w:r>
      <w:r w:rsidR="007E0BB4">
        <w:t>)</w:t>
      </w:r>
      <w:r w:rsidRPr="00CE4815">
        <w:t xml:space="preserve"> and those with uncontrolled LDL-C levels despite treatment with the highest dose of </w:t>
      </w:r>
      <w:proofErr w:type="spellStart"/>
      <w:r w:rsidRPr="00CE4815">
        <w:t>rosuvastatin</w:t>
      </w:r>
      <w:proofErr w:type="spellEnd"/>
      <w:r w:rsidRPr="00CE4815">
        <w:t xml:space="preserve"> mo</w:t>
      </w:r>
      <w:r w:rsidR="00546FFD">
        <w:t>notherapy.</w:t>
      </w:r>
    </w:p>
    <w:p w:rsidR="00166E6A" w:rsidRPr="00546FFD" w:rsidRDefault="00546FFD" w:rsidP="00546FFD">
      <w:pPr>
        <w:pStyle w:val="Heading5"/>
      </w:pPr>
      <w:r>
        <w:t>Risk management plan</w:t>
      </w:r>
    </w:p>
    <w:p w:rsidR="00166E6A" w:rsidRDefault="00166E6A" w:rsidP="0044556A">
      <w:r>
        <w:t>The D</w:t>
      </w:r>
      <w:r w:rsidRPr="00166E6A">
        <w:t xml:space="preserve">elegate is of the view that </w:t>
      </w:r>
      <w:r w:rsidRPr="00166E6A">
        <w:rPr>
          <w:i/>
        </w:rPr>
        <w:t>“Long-term safety of co-administration of ezetimibe and rosuvastatin at 10/40 mg”</w:t>
      </w:r>
      <w:r w:rsidRPr="00166E6A">
        <w:t xml:space="preserve"> should be added as missing information to the ongoing safety </w:t>
      </w:r>
      <w:r w:rsidR="0044556A">
        <w:t>concerns in the Australian RMP.</w:t>
      </w:r>
    </w:p>
    <w:p w:rsidR="00166E6A" w:rsidRPr="00166E6A" w:rsidRDefault="00166E6A" w:rsidP="0044556A">
      <w:r w:rsidRPr="00166E6A">
        <w:t xml:space="preserve">The </w:t>
      </w:r>
      <w:r>
        <w:t>s</w:t>
      </w:r>
      <w:r w:rsidRPr="00166E6A">
        <w:t xml:space="preserve">ponsor concurs with the </w:t>
      </w:r>
      <w:r>
        <w:t>D</w:t>
      </w:r>
      <w:r w:rsidRPr="00166E6A">
        <w:t xml:space="preserve">elegate and proposes to add </w:t>
      </w:r>
      <w:r>
        <w:rPr>
          <w:i/>
        </w:rPr>
        <w:t>“</w:t>
      </w:r>
      <w:r w:rsidRPr="00166E6A">
        <w:rPr>
          <w:i/>
        </w:rPr>
        <w:t>Long-term safety of co-administration of ezetimibe and rosuvastatin at 10/40</w:t>
      </w:r>
      <w:r>
        <w:rPr>
          <w:i/>
        </w:rPr>
        <w:t xml:space="preserve"> </w:t>
      </w:r>
      <w:r w:rsidRPr="00166E6A">
        <w:rPr>
          <w:i/>
        </w:rPr>
        <w:t>mg</w:t>
      </w:r>
      <w:r>
        <w:rPr>
          <w:i/>
        </w:rPr>
        <w:t>”</w:t>
      </w:r>
      <w:r w:rsidRPr="00166E6A">
        <w:t xml:space="preserve"> to the table of ongoing safety concerns such that this missing information will be repor</w:t>
      </w:r>
      <w:r w:rsidR="0044556A">
        <w:t>ted separately in future PSURs.</w:t>
      </w:r>
    </w:p>
    <w:p w:rsidR="00166E6A" w:rsidRPr="0044556A" w:rsidRDefault="0044556A" w:rsidP="0044556A">
      <w:pPr>
        <w:pStyle w:val="Heading5"/>
      </w:pPr>
      <w:r>
        <w:t>Conclusion</w:t>
      </w:r>
    </w:p>
    <w:p w:rsidR="00166E6A" w:rsidRPr="00166E6A" w:rsidRDefault="00166E6A" w:rsidP="0044556A">
      <w:r w:rsidRPr="00CE4815">
        <w:t>The above evidence demonstrates that the potential for a slight increase in rosuvastatin plasma levels shown in one study is not clinically significant and would not preclude the use of the 10</w:t>
      </w:r>
      <w:r w:rsidR="001D557F">
        <w:t xml:space="preserve"> mg</w:t>
      </w:r>
      <w:r w:rsidRPr="00CE4815">
        <w:t>/40 mg dose in patients at high risk of CHD and those with</w:t>
      </w:r>
      <w:r>
        <w:t xml:space="preserve"> uncontrolled LDL</w:t>
      </w:r>
      <w:r>
        <w:noBreakHyphen/>
      </w:r>
      <w:r w:rsidRPr="00CE4815">
        <w:t xml:space="preserve">C levels despite treatment with rosuvastatin 40 mg. </w:t>
      </w:r>
      <w:r w:rsidR="001D557F">
        <w:t xml:space="preserve">The sponsor </w:t>
      </w:r>
      <w:r w:rsidRPr="00CE4815">
        <w:t>believes that the additional information proposed in the PI and post-marketing surveillance of the safety of the 10</w:t>
      </w:r>
      <w:r w:rsidR="001D557F">
        <w:t xml:space="preserve"> mg</w:t>
      </w:r>
      <w:r w:rsidRPr="00CE4815">
        <w:t xml:space="preserve">/40 mg dose would support safe use of the </w:t>
      </w:r>
      <w:proofErr w:type="spellStart"/>
      <w:r>
        <w:t>R</w:t>
      </w:r>
      <w:r w:rsidRPr="00CE4815">
        <w:t>osuzet</w:t>
      </w:r>
      <w:proofErr w:type="spellEnd"/>
      <w:r w:rsidRPr="00CE4815">
        <w:t>/</w:t>
      </w:r>
      <w:proofErr w:type="spellStart"/>
      <w:r>
        <w:t>E</w:t>
      </w:r>
      <w:r w:rsidRPr="00CE4815">
        <w:t>zalo</w:t>
      </w:r>
      <w:proofErr w:type="spellEnd"/>
      <w:r w:rsidRPr="00CE4815">
        <w:t xml:space="preserve"> combination across all proposed dose strengths.</w:t>
      </w:r>
    </w:p>
    <w:p w:rsidR="008E7846" w:rsidRPr="0044556A" w:rsidRDefault="008E7846" w:rsidP="0044556A">
      <w:pPr>
        <w:pStyle w:val="Heading4"/>
      </w:pPr>
      <w:r>
        <w:lastRenderedPageBreak/>
        <w:t xml:space="preserve">Advisory </w:t>
      </w:r>
      <w:r w:rsidR="0044556A">
        <w:t>c</w:t>
      </w:r>
      <w:r>
        <w:t xml:space="preserve">ommittee </w:t>
      </w:r>
      <w:r w:rsidR="0044556A">
        <w:t>c</w:t>
      </w:r>
      <w:r>
        <w:t>onsiderations</w:t>
      </w:r>
    </w:p>
    <w:p w:rsidR="008E7846" w:rsidRDefault="00D23139" w:rsidP="0044556A">
      <w:r w:rsidRPr="00D23139">
        <w:t>The Advisory Committee on Prescription Medicines (ACPM), having considered the evaluations and the Delegate’s overview, as well as the sponsor’s response to these documents, advised the following:</w:t>
      </w:r>
    </w:p>
    <w:p w:rsidR="003E6CF0" w:rsidRPr="00C508DC" w:rsidRDefault="003E6CF0" w:rsidP="0044556A">
      <w:pPr>
        <w:rPr>
          <w:lang w:val="en-GB"/>
        </w:rPr>
      </w:pPr>
      <w:r w:rsidRPr="00C508DC">
        <w:rPr>
          <w:lang w:val="en-GB"/>
        </w:rPr>
        <w:t>The ACPM resolved to recommend to the TGA delegate of t</w:t>
      </w:r>
      <w:r w:rsidR="0044556A">
        <w:rPr>
          <w:lang w:val="en-GB"/>
        </w:rPr>
        <w:t>he Minister and Secretary that:</w:t>
      </w:r>
    </w:p>
    <w:p w:rsidR="003E6CF0" w:rsidRPr="003E6CF0" w:rsidRDefault="003E6CF0" w:rsidP="0044556A">
      <w:r w:rsidRPr="003E6CF0">
        <w:t>The ACPM, taking into account the submitted evidence of efficacy, safet</w:t>
      </w:r>
      <w:r>
        <w:t>y and quality, agreed with the D</w:t>
      </w:r>
      <w:r w:rsidRPr="003E6CF0">
        <w:t xml:space="preserve">elegate and considered </w:t>
      </w:r>
      <w:proofErr w:type="spellStart"/>
      <w:r>
        <w:t>R</w:t>
      </w:r>
      <w:r w:rsidR="009E187B">
        <w:t>osuzet</w:t>
      </w:r>
      <w:proofErr w:type="spellEnd"/>
      <w:r w:rsidR="009E187B">
        <w:t>/</w:t>
      </w:r>
      <w:proofErr w:type="spellStart"/>
      <w:r>
        <w:t>E</w:t>
      </w:r>
      <w:r w:rsidRPr="003E6CF0">
        <w:t>zalo</w:t>
      </w:r>
      <w:proofErr w:type="spellEnd"/>
      <w:r w:rsidRPr="003E6CF0">
        <w:t xml:space="preserve"> bilayer tablets, containing ezetimibe and rosuvastatin (as calcium) as a new combination of active ingredients in the doses of 10 mg/5 mg ezetimibe + rosuvastatin, 10 mg/10 mg ezetimibe + rosuvastatin, 10 mg/20 mg ezetimibe + rosuvastatin and 10 mg/40 mg ezetimibe + rosuvastatin to have an overall positive benefit–risk profile for the indications as follows;</w:t>
      </w:r>
    </w:p>
    <w:p w:rsidR="003E6CF0" w:rsidRPr="0044556A" w:rsidRDefault="0044556A" w:rsidP="0044556A">
      <w:pPr>
        <w:rPr>
          <w:b/>
          <w:i/>
        </w:rPr>
      </w:pPr>
      <w:r w:rsidRPr="0044556A">
        <w:rPr>
          <w:b/>
          <w:i/>
        </w:rPr>
        <w:t xml:space="preserve">Primary </w:t>
      </w:r>
      <w:proofErr w:type="spellStart"/>
      <w:r w:rsidRPr="0044556A">
        <w:rPr>
          <w:b/>
          <w:i/>
        </w:rPr>
        <w:t>Hypercholesterolaemia</w:t>
      </w:r>
      <w:proofErr w:type="spellEnd"/>
      <w:r w:rsidRPr="0044556A">
        <w:rPr>
          <w:b/>
          <w:i/>
        </w:rPr>
        <w:t>:</w:t>
      </w:r>
    </w:p>
    <w:p w:rsidR="003E6CF0" w:rsidRPr="0044556A" w:rsidRDefault="003E6CF0" w:rsidP="0044556A">
      <w:pPr>
        <w:rPr>
          <w:i/>
        </w:rPr>
      </w:pPr>
      <w:proofErr w:type="spellStart"/>
      <w:r w:rsidRPr="0044556A">
        <w:rPr>
          <w:i/>
        </w:rPr>
        <w:t>Rosuzet</w:t>
      </w:r>
      <w:proofErr w:type="spellEnd"/>
      <w:r w:rsidRPr="0044556A">
        <w:rPr>
          <w:i/>
        </w:rPr>
        <w:t>/</w:t>
      </w:r>
      <w:proofErr w:type="spellStart"/>
      <w:r w:rsidRPr="0044556A">
        <w:rPr>
          <w:i/>
        </w:rPr>
        <w:t>Ezalo</w:t>
      </w:r>
      <w:proofErr w:type="spellEnd"/>
      <w:r w:rsidRPr="0044556A">
        <w:rPr>
          <w:i/>
        </w:rPr>
        <w:t xml:space="preserve"> is indicated as adjunctive therapy to diet in patients with primary (heterozygous familial and non-familial) hypercholesterolaemia where use of a combination product is</w:t>
      </w:r>
      <w:r w:rsidR="0044556A" w:rsidRPr="0044556A">
        <w:rPr>
          <w:i/>
        </w:rPr>
        <w:t xml:space="preserve"> appropriate in those patients:</w:t>
      </w:r>
    </w:p>
    <w:p w:rsidR="003E6CF0" w:rsidRPr="0044556A" w:rsidRDefault="003E6CF0" w:rsidP="0044556A">
      <w:pPr>
        <w:pStyle w:val="ListBullet"/>
        <w:rPr>
          <w:i/>
        </w:rPr>
      </w:pPr>
      <w:r w:rsidRPr="0044556A">
        <w:rPr>
          <w:i/>
        </w:rPr>
        <w:t xml:space="preserve">not appropriately controlled with </w:t>
      </w:r>
      <w:proofErr w:type="spellStart"/>
      <w:r w:rsidRPr="0044556A">
        <w:rPr>
          <w:i/>
        </w:rPr>
        <w:t>rosu</w:t>
      </w:r>
      <w:r w:rsidR="0044556A" w:rsidRPr="0044556A">
        <w:rPr>
          <w:i/>
        </w:rPr>
        <w:t>vastatin</w:t>
      </w:r>
      <w:proofErr w:type="spellEnd"/>
      <w:r w:rsidR="0044556A" w:rsidRPr="0044556A">
        <w:rPr>
          <w:i/>
        </w:rPr>
        <w:t xml:space="preserve"> or </w:t>
      </w:r>
      <w:proofErr w:type="spellStart"/>
      <w:r w:rsidR="0044556A" w:rsidRPr="0044556A">
        <w:rPr>
          <w:i/>
        </w:rPr>
        <w:t>ezetimibe</w:t>
      </w:r>
      <w:proofErr w:type="spellEnd"/>
      <w:r w:rsidR="0044556A" w:rsidRPr="0044556A">
        <w:rPr>
          <w:i/>
        </w:rPr>
        <w:t xml:space="preserve"> alone; or</w:t>
      </w:r>
    </w:p>
    <w:p w:rsidR="003E6CF0" w:rsidRPr="0044556A" w:rsidRDefault="003E6CF0" w:rsidP="0044556A">
      <w:pPr>
        <w:pStyle w:val="ListBullet"/>
        <w:rPr>
          <w:i/>
        </w:rPr>
      </w:pPr>
      <w:proofErr w:type="gramStart"/>
      <w:r w:rsidRPr="0044556A">
        <w:rPr>
          <w:i/>
        </w:rPr>
        <w:t>already</w:t>
      </w:r>
      <w:proofErr w:type="gramEnd"/>
      <w:r w:rsidRPr="0044556A">
        <w:rPr>
          <w:i/>
        </w:rPr>
        <w:t xml:space="preserve"> treated </w:t>
      </w:r>
      <w:r w:rsidR="0044556A" w:rsidRPr="0044556A">
        <w:rPr>
          <w:i/>
        </w:rPr>
        <w:t xml:space="preserve">with </w:t>
      </w:r>
      <w:proofErr w:type="spellStart"/>
      <w:r w:rsidR="0044556A" w:rsidRPr="0044556A">
        <w:rPr>
          <w:i/>
        </w:rPr>
        <w:t>rosuvastatin</w:t>
      </w:r>
      <w:proofErr w:type="spellEnd"/>
      <w:r w:rsidR="0044556A" w:rsidRPr="0044556A">
        <w:rPr>
          <w:i/>
        </w:rPr>
        <w:t xml:space="preserve"> and </w:t>
      </w:r>
      <w:proofErr w:type="spellStart"/>
      <w:r w:rsidR="0044556A" w:rsidRPr="0044556A">
        <w:rPr>
          <w:i/>
        </w:rPr>
        <w:t>ezetimibe</w:t>
      </w:r>
      <w:proofErr w:type="spellEnd"/>
      <w:r w:rsidR="0044556A" w:rsidRPr="0044556A">
        <w:rPr>
          <w:i/>
        </w:rPr>
        <w:t>.</w:t>
      </w:r>
    </w:p>
    <w:p w:rsidR="003E6CF0" w:rsidRPr="0044556A" w:rsidRDefault="003E6CF0" w:rsidP="0044556A">
      <w:pPr>
        <w:rPr>
          <w:b/>
          <w:i/>
        </w:rPr>
      </w:pPr>
      <w:r w:rsidRPr="0044556A">
        <w:rPr>
          <w:b/>
          <w:i/>
        </w:rPr>
        <w:t xml:space="preserve">Homozygous Familial </w:t>
      </w:r>
      <w:proofErr w:type="spellStart"/>
      <w:r w:rsidRPr="0044556A">
        <w:rPr>
          <w:b/>
          <w:i/>
        </w:rPr>
        <w:t>Hypercholestero</w:t>
      </w:r>
      <w:r w:rsidR="0044556A" w:rsidRPr="0044556A">
        <w:rPr>
          <w:b/>
          <w:i/>
        </w:rPr>
        <w:t>laemia</w:t>
      </w:r>
      <w:proofErr w:type="spellEnd"/>
      <w:r w:rsidR="0044556A" w:rsidRPr="0044556A">
        <w:rPr>
          <w:b/>
          <w:i/>
        </w:rPr>
        <w:t xml:space="preserve"> (</w:t>
      </w:r>
      <w:proofErr w:type="spellStart"/>
      <w:r w:rsidR="0044556A" w:rsidRPr="0044556A">
        <w:rPr>
          <w:b/>
          <w:i/>
        </w:rPr>
        <w:t>HoFH</w:t>
      </w:r>
      <w:proofErr w:type="spellEnd"/>
      <w:r w:rsidR="0044556A" w:rsidRPr="0044556A">
        <w:rPr>
          <w:b/>
          <w:i/>
        </w:rPr>
        <w:t>):</w:t>
      </w:r>
    </w:p>
    <w:p w:rsidR="003E6CF0" w:rsidRPr="0044556A" w:rsidRDefault="003E6CF0" w:rsidP="0044556A">
      <w:pPr>
        <w:rPr>
          <w:i/>
        </w:rPr>
      </w:pPr>
      <w:proofErr w:type="spellStart"/>
      <w:r w:rsidRPr="0044556A">
        <w:rPr>
          <w:i/>
        </w:rPr>
        <w:t>Rosuzet</w:t>
      </w:r>
      <w:proofErr w:type="spellEnd"/>
      <w:r w:rsidRPr="0044556A">
        <w:rPr>
          <w:i/>
        </w:rPr>
        <w:t>/</w:t>
      </w:r>
      <w:proofErr w:type="spellStart"/>
      <w:r w:rsidRPr="0044556A">
        <w:rPr>
          <w:i/>
        </w:rPr>
        <w:t>Ezalo</w:t>
      </w:r>
      <w:proofErr w:type="spellEnd"/>
      <w:r w:rsidRPr="0044556A">
        <w:rPr>
          <w:i/>
        </w:rPr>
        <w:t xml:space="preserve"> is indicated in patients with </w:t>
      </w:r>
      <w:proofErr w:type="spellStart"/>
      <w:r w:rsidRPr="0044556A">
        <w:rPr>
          <w:i/>
        </w:rPr>
        <w:t>HoFH</w:t>
      </w:r>
      <w:proofErr w:type="spellEnd"/>
      <w:r w:rsidRPr="0044556A">
        <w:rPr>
          <w:i/>
        </w:rPr>
        <w:t>. Patients may also receive adjunctive treatments (e.g. LDL apheresis).</w:t>
      </w:r>
    </w:p>
    <w:p w:rsidR="003E6CF0" w:rsidRPr="003E6CF0" w:rsidRDefault="003E6CF0" w:rsidP="0044556A">
      <w:r w:rsidRPr="003E6CF0">
        <w:t>In making this consideration, the ACPM advised that the proposed changes to the PI and the RMP are sufficient for safe use of the proposed product.</w:t>
      </w:r>
    </w:p>
    <w:p w:rsidR="003E6CF0" w:rsidRPr="0044556A" w:rsidRDefault="003E6CF0" w:rsidP="0044556A">
      <w:pPr>
        <w:pStyle w:val="Heading5"/>
      </w:pPr>
      <w:r w:rsidRPr="003E6CF0">
        <w:t>Proposed conditions of registration</w:t>
      </w:r>
    </w:p>
    <w:p w:rsidR="003E6CF0" w:rsidRPr="003E6CF0" w:rsidRDefault="003E6CF0" w:rsidP="0044556A">
      <w:r>
        <w:t>The ACPM agreed with the D</w:t>
      </w:r>
      <w:r w:rsidRPr="003E6CF0">
        <w:t>elegate on the proposed conditions of registration.</w:t>
      </w:r>
    </w:p>
    <w:p w:rsidR="003E6CF0" w:rsidRPr="003E6CF0" w:rsidRDefault="003E6CF0" w:rsidP="0044556A">
      <w:pPr>
        <w:pStyle w:val="Heading5"/>
        <w:rPr>
          <w:rFonts w:eastAsia="MS Mincho"/>
        </w:rPr>
      </w:pPr>
      <w:r w:rsidRPr="003E6CF0">
        <w:rPr>
          <w:rFonts w:eastAsia="MS Mincho"/>
        </w:rPr>
        <w:t>Proposed Product Information (PI)/Consumer Medicine Information (CMI) amendments</w:t>
      </w:r>
    </w:p>
    <w:p w:rsidR="003E6CF0" w:rsidRPr="003E6CF0" w:rsidRDefault="003E6CF0" w:rsidP="0044556A">
      <w:r w:rsidRPr="003E6CF0">
        <w:t>The ACPM agreed with the delegate to the proposed amendments to the Product Information (PI) and Consumer Medicine Information (CMI).</w:t>
      </w:r>
    </w:p>
    <w:p w:rsidR="003E6CF0" w:rsidRPr="0044556A" w:rsidRDefault="003E6CF0" w:rsidP="0044556A">
      <w:pPr>
        <w:pStyle w:val="Heading5"/>
      </w:pPr>
      <w:r w:rsidRPr="003E6CF0">
        <w:t>Specific advice</w:t>
      </w:r>
    </w:p>
    <w:p w:rsidR="003E6CF0" w:rsidRPr="003E6CF0" w:rsidRDefault="003E6CF0" w:rsidP="0044556A">
      <w:r w:rsidRPr="003E6CF0">
        <w:t>The ACPM advised the followi</w:t>
      </w:r>
      <w:r>
        <w:t>ng in response to the specific D</w:t>
      </w:r>
      <w:r w:rsidRPr="003E6CF0">
        <w:t>elegate’s questions on this submission:</w:t>
      </w:r>
    </w:p>
    <w:p w:rsidR="003E6CF0" w:rsidRPr="003E6CF0" w:rsidRDefault="003E6CF0" w:rsidP="0044556A">
      <w:pPr>
        <w:pStyle w:val="Numberbullet0"/>
        <w:numPr>
          <w:ilvl w:val="0"/>
          <w:numId w:val="7"/>
        </w:numPr>
      </w:pPr>
      <w:r w:rsidRPr="003E6CF0">
        <w:t xml:space="preserve">The ramifications of the currently worded </w:t>
      </w:r>
      <w:r w:rsidRPr="0044556A">
        <w:t>contraindication</w:t>
      </w:r>
      <w:r w:rsidRPr="003E6CF0">
        <w:t xml:space="preserve"> which rules out the use of the fixed</w:t>
      </w:r>
      <w:r w:rsidR="003A0D42">
        <w:t xml:space="preserve"> </w:t>
      </w:r>
      <w:r w:rsidRPr="003E6CF0">
        <w:t>dose combination of ezetimibe/rosuvastatin 10/40 mg in “situations where an increase in rosuvast</w:t>
      </w:r>
      <w:r>
        <w:t xml:space="preserve">atin plasma levels </w:t>
      </w:r>
      <w:r w:rsidRPr="0044556A">
        <w:rPr>
          <w:u w:val="single"/>
        </w:rPr>
        <w:t>may</w:t>
      </w:r>
      <w:r>
        <w:t xml:space="preserve"> occur” (D</w:t>
      </w:r>
      <w:r w:rsidRPr="003E6CF0">
        <w:t>elegate’s underlining).</w:t>
      </w:r>
    </w:p>
    <w:p w:rsidR="003E6CF0" w:rsidRPr="003E6CF0" w:rsidRDefault="003E6CF0" w:rsidP="0044556A">
      <w:r w:rsidRPr="003E6CF0">
        <w:t xml:space="preserve">The ACPM considered that the sponsor’s proposed statements in the </w:t>
      </w:r>
      <w:r w:rsidR="00E93850" w:rsidRPr="00E93850">
        <w:rPr>
          <w:i/>
        </w:rPr>
        <w:t>Interactions with other drugs</w:t>
      </w:r>
      <w:r w:rsidR="00E93850" w:rsidRPr="003E6CF0">
        <w:t xml:space="preserve"> </w:t>
      </w:r>
      <w:r w:rsidRPr="003E6CF0">
        <w:t xml:space="preserve">section in the PI regarding the 19% increase in rosuvastatin AUC when co-administered with ezetimibe </w:t>
      </w:r>
      <w:r w:rsidRPr="001D557F">
        <w:rPr>
          <w:i/>
        </w:rPr>
        <w:t>… the small increase was not considered clinically significant (see P</w:t>
      </w:r>
      <w:r w:rsidR="00E93850" w:rsidRPr="001D557F">
        <w:rPr>
          <w:i/>
        </w:rPr>
        <w:t>recautions</w:t>
      </w:r>
      <w:r w:rsidRPr="001D557F">
        <w:rPr>
          <w:i/>
        </w:rPr>
        <w:t>)</w:t>
      </w:r>
      <w:r w:rsidRPr="003E6CF0">
        <w:t xml:space="preserve"> satisfactorily addressed the contradiction of the current PIs and would allow use of the highest dose of the combination product in circumstances where an increase in rosuvastatin levels might be expected.</w:t>
      </w:r>
    </w:p>
    <w:p w:rsidR="003E6CF0" w:rsidRPr="003E6CF0" w:rsidRDefault="003E6CF0" w:rsidP="0044556A">
      <w:pPr>
        <w:pStyle w:val="Numberbullet0"/>
      </w:pPr>
      <w:r w:rsidRPr="003E6CF0">
        <w:t>Whether there should be an explicit warning in the PI that due to the potential increase in rosuvastatin exposure when combined with ezetimibe, monitoring of p</w:t>
      </w:r>
      <w:r w:rsidR="00E93850">
        <w:t xml:space="preserve">atients on the highest dose of </w:t>
      </w:r>
      <w:proofErr w:type="spellStart"/>
      <w:r w:rsidR="00E93850">
        <w:t>R</w:t>
      </w:r>
      <w:r w:rsidRPr="003E6CF0">
        <w:t>osuzet</w:t>
      </w:r>
      <w:proofErr w:type="spellEnd"/>
      <w:r w:rsidRPr="003E6CF0">
        <w:t>/</w:t>
      </w:r>
      <w:proofErr w:type="spellStart"/>
      <w:r w:rsidR="00E93850">
        <w:t>E</w:t>
      </w:r>
      <w:r w:rsidRPr="003E6CF0">
        <w:t>zalo</w:t>
      </w:r>
      <w:proofErr w:type="spellEnd"/>
      <w:r w:rsidRPr="003E6CF0">
        <w:t xml:space="preserve"> is recommended.</w:t>
      </w:r>
    </w:p>
    <w:p w:rsidR="003E6CF0" w:rsidRPr="003E6CF0" w:rsidRDefault="003E6CF0" w:rsidP="0044556A">
      <w:r>
        <w:lastRenderedPageBreak/>
        <w:t>The ACPM agreed with the D</w:t>
      </w:r>
      <w:r w:rsidRPr="003E6CF0">
        <w:t>elegate that the PI should include a recommendation for monitoring of p</w:t>
      </w:r>
      <w:r w:rsidR="00E93850">
        <w:t xml:space="preserve">atients on the highest dose of </w:t>
      </w:r>
      <w:proofErr w:type="spellStart"/>
      <w:r w:rsidR="00E93850">
        <w:t>R</w:t>
      </w:r>
      <w:r w:rsidRPr="003E6CF0">
        <w:t>osuzet</w:t>
      </w:r>
      <w:proofErr w:type="spellEnd"/>
      <w:r w:rsidRPr="003E6CF0">
        <w:t>/</w:t>
      </w:r>
      <w:proofErr w:type="spellStart"/>
      <w:r w:rsidR="00E93850">
        <w:t>E</w:t>
      </w:r>
      <w:r w:rsidRPr="003E6CF0">
        <w:t>zalo</w:t>
      </w:r>
      <w:proofErr w:type="spellEnd"/>
      <w:r w:rsidRPr="003E6CF0">
        <w:t>. The ACPM considered that the proposed statement in the sponsor’s pre-ACPM response was acceptable.</w:t>
      </w:r>
    </w:p>
    <w:p w:rsidR="003E6CF0" w:rsidRPr="003E6CF0" w:rsidRDefault="003E6CF0" w:rsidP="0044556A">
      <w:pPr>
        <w:pStyle w:val="Numberbullet0"/>
      </w:pPr>
      <w:r w:rsidRPr="003E6CF0">
        <w:t xml:space="preserve">Whether there are any other precautions and/or warnings specifically </w:t>
      </w:r>
      <w:r w:rsidRPr="0044556A">
        <w:t>concerning</w:t>
      </w:r>
      <w:r w:rsidRPr="003E6CF0">
        <w:t xml:space="preserve"> the ezetimibe/rosuvastatin 10 mg/40 mg dosage strength which should </w:t>
      </w:r>
      <w:r w:rsidR="0044556A">
        <w:t>be included in the proposed PI.</w:t>
      </w:r>
    </w:p>
    <w:p w:rsidR="003E6CF0" w:rsidRPr="003E6CF0" w:rsidRDefault="003E6CF0" w:rsidP="0044556A">
      <w:r w:rsidRPr="003E6CF0">
        <w:t>Othe</w:t>
      </w:r>
      <w:r w:rsidR="001D557F">
        <w:t>r than those identified by the D</w:t>
      </w:r>
      <w:r w:rsidRPr="003E6CF0">
        <w:t>elegate, the ACPM did not consider that there were any other precautions and/or warnings that required in the PI.</w:t>
      </w:r>
    </w:p>
    <w:p w:rsidR="003E6CF0" w:rsidRPr="003E6CF0" w:rsidRDefault="003E6CF0" w:rsidP="0044556A">
      <w:pPr>
        <w:pStyle w:val="Numberbullet0"/>
      </w:pPr>
      <w:r w:rsidRPr="003E6CF0">
        <w:t xml:space="preserve">Whether the </w:t>
      </w:r>
      <w:r w:rsidRPr="0044556A">
        <w:t>statement</w:t>
      </w:r>
      <w:r w:rsidRPr="003E6CF0">
        <w:t>, “Long-term safety of co-administration of ezetimibe and rosuvastatin at 10/40 mg” should be added to the table of ongoing safety concerns in the Australian RMP to ensure separate reporting for this missing i</w:t>
      </w:r>
      <w:r w:rsidR="0044556A">
        <w:t>nformation in any future PSUR.</w:t>
      </w:r>
    </w:p>
    <w:p w:rsidR="003E6CF0" w:rsidRPr="003E6CF0" w:rsidRDefault="003E6CF0" w:rsidP="0044556A">
      <w:r w:rsidRPr="003E6CF0">
        <w:t>The ACPM agreed that this statement should be added to the table of ongoing safety concerns in the Australian RMP. The ACPM noted that the sponsor in its pre-ACPM response agreed to report the missing information separately in future PSURs.</w:t>
      </w:r>
    </w:p>
    <w:p w:rsidR="003E6CF0" w:rsidRPr="003E6CF0" w:rsidRDefault="003E6CF0" w:rsidP="0044556A">
      <w:pPr>
        <w:pStyle w:val="Numberbullet0"/>
      </w:pPr>
      <w:r w:rsidRPr="003E6CF0">
        <w:t xml:space="preserve">The overall </w:t>
      </w:r>
      <w:r w:rsidRPr="0044556A">
        <w:t>safety</w:t>
      </w:r>
      <w:r w:rsidRPr="003E6CF0">
        <w:t xml:space="preserve"> profile of the ezetimibe/rosuvastatin 10 mg/40 mg fixed</w:t>
      </w:r>
      <w:r w:rsidR="003A0D42">
        <w:t xml:space="preserve"> </w:t>
      </w:r>
      <w:r w:rsidR="0044556A">
        <w:t>dose combination.</w:t>
      </w:r>
    </w:p>
    <w:p w:rsidR="003E6CF0" w:rsidRPr="003E6CF0" w:rsidRDefault="003E6CF0" w:rsidP="0044556A">
      <w:r w:rsidRPr="003E6CF0">
        <w:t>The ACPM considered that provided the changes were made to the PI and the RMP then the overall safety profile of the ezetimibe/rosuvast</w:t>
      </w:r>
      <w:r w:rsidR="00E93850">
        <w:t xml:space="preserve">atin 10 mg/40 mg fixed </w:t>
      </w:r>
      <w:r w:rsidRPr="003E6CF0">
        <w:t>dose combination was acceptable.</w:t>
      </w:r>
    </w:p>
    <w:p w:rsidR="008E7846" w:rsidRPr="0044556A" w:rsidRDefault="008E7846" w:rsidP="0044556A">
      <w:pPr>
        <w:pStyle w:val="Heading3"/>
      </w:pPr>
      <w:bookmarkStart w:id="144" w:name="_Toc247691532"/>
      <w:bookmarkStart w:id="145" w:name="_Toc314842516"/>
      <w:bookmarkStart w:id="146" w:name="_Toc412706491"/>
      <w:bookmarkEnd w:id="89"/>
      <w:bookmarkEnd w:id="140"/>
      <w:bookmarkEnd w:id="141"/>
      <w:r>
        <w:t>Outcome</w:t>
      </w:r>
      <w:bookmarkEnd w:id="144"/>
      <w:bookmarkEnd w:id="145"/>
      <w:bookmarkEnd w:id="146"/>
    </w:p>
    <w:p w:rsidR="00D23139" w:rsidRPr="00D23139" w:rsidRDefault="00D23139" w:rsidP="0044556A">
      <w:bookmarkStart w:id="147" w:name="_Toc247691533"/>
      <w:bookmarkStart w:id="148" w:name="_Toc314842517"/>
      <w:r w:rsidRPr="00D23139">
        <w:t xml:space="preserve">Based on a review of quality, safety and efficacy, TGA approved the registration of </w:t>
      </w:r>
      <w:proofErr w:type="spellStart"/>
      <w:r w:rsidR="00E91825">
        <w:t>Rosuzet</w:t>
      </w:r>
      <w:proofErr w:type="spellEnd"/>
      <w:r w:rsidR="00E91825">
        <w:t xml:space="preserve"> and </w:t>
      </w:r>
      <w:proofErr w:type="spellStart"/>
      <w:r w:rsidR="00E91825">
        <w:t>Ezalo</w:t>
      </w:r>
      <w:proofErr w:type="spellEnd"/>
      <w:r w:rsidR="00E91825">
        <w:t xml:space="preserve"> fixed dose combination tablets containing ezetimibe/rosuvastatin (as calcium) 10 mg/5 mg, 10 mg /10 mg, 10 mg/20 mg, </w:t>
      </w:r>
      <w:r w:rsidR="00213AE1">
        <w:t xml:space="preserve">and </w:t>
      </w:r>
      <w:r w:rsidR="00E91825">
        <w:t xml:space="preserve">10 mg/40 mg, </w:t>
      </w:r>
      <w:r w:rsidRPr="00D23139">
        <w:t>indicated for:</w:t>
      </w:r>
    </w:p>
    <w:p w:rsidR="00E91825" w:rsidRPr="0044556A" w:rsidRDefault="00E91825" w:rsidP="0044556A">
      <w:pPr>
        <w:rPr>
          <w:b/>
          <w:i/>
        </w:rPr>
      </w:pPr>
      <w:r w:rsidRPr="0044556A">
        <w:rPr>
          <w:b/>
          <w:i/>
        </w:rPr>
        <w:t>Primary Hypercholesterolaemia</w:t>
      </w:r>
    </w:p>
    <w:p w:rsidR="00E91825" w:rsidRPr="0044556A" w:rsidRDefault="00E91825" w:rsidP="0044556A">
      <w:pPr>
        <w:rPr>
          <w:i/>
        </w:rPr>
      </w:pPr>
      <w:proofErr w:type="spellStart"/>
      <w:r w:rsidRPr="0044556A">
        <w:rPr>
          <w:i/>
        </w:rPr>
        <w:t>Rosuzet</w:t>
      </w:r>
      <w:proofErr w:type="spellEnd"/>
      <w:r w:rsidRPr="0044556A">
        <w:rPr>
          <w:i/>
        </w:rPr>
        <w:t xml:space="preserve"> / </w:t>
      </w:r>
      <w:proofErr w:type="spellStart"/>
      <w:r w:rsidRPr="0044556A">
        <w:rPr>
          <w:i/>
        </w:rPr>
        <w:t>Ezalo</w:t>
      </w:r>
      <w:proofErr w:type="spellEnd"/>
      <w:r w:rsidRPr="0044556A">
        <w:rPr>
          <w:i/>
        </w:rPr>
        <w:t xml:space="preserve"> </w:t>
      </w:r>
      <w:proofErr w:type="gramStart"/>
      <w:r w:rsidRPr="0044556A">
        <w:rPr>
          <w:i/>
        </w:rPr>
        <w:t>is</w:t>
      </w:r>
      <w:proofErr w:type="gramEnd"/>
      <w:r w:rsidRPr="0044556A">
        <w:rPr>
          <w:i/>
        </w:rPr>
        <w:t xml:space="preserve"> indicated as adjunctive therapy to diet in patients with primary (heterozygous familial and non-familial) hypercholesterolaemia where use of a combination product is appropriate in those patients:</w:t>
      </w:r>
    </w:p>
    <w:p w:rsidR="00E91825" w:rsidRPr="0044556A" w:rsidRDefault="00E91825" w:rsidP="0044556A">
      <w:pPr>
        <w:pStyle w:val="ListBullet"/>
        <w:rPr>
          <w:i/>
        </w:rPr>
      </w:pPr>
      <w:r w:rsidRPr="0044556A">
        <w:rPr>
          <w:i/>
        </w:rPr>
        <w:t>not appropriately controlled with rosuvastatin or ezetimibe alone; or</w:t>
      </w:r>
    </w:p>
    <w:p w:rsidR="00E91825" w:rsidRPr="0044556A" w:rsidRDefault="00E91825" w:rsidP="0044556A">
      <w:pPr>
        <w:pStyle w:val="ListBullet"/>
        <w:rPr>
          <w:i/>
        </w:rPr>
      </w:pPr>
      <w:r w:rsidRPr="0044556A">
        <w:rPr>
          <w:i/>
        </w:rPr>
        <w:t>already treated with rosuvastatin and ezetimibe</w:t>
      </w:r>
    </w:p>
    <w:p w:rsidR="00E91825" w:rsidRPr="0044556A" w:rsidRDefault="00E91825" w:rsidP="0044556A">
      <w:pPr>
        <w:rPr>
          <w:b/>
          <w:i/>
        </w:rPr>
      </w:pPr>
      <w:r w:rsidRPr="0044556A">
        <w:rPr>
          <w:b/>
          <w:i/>
        </w:rPr>
        <w:t xml:space="preserve">Homozygous Familial </w:t>
      </w:r>
      <w:proofErr w:type="spellStart"/>
      <w:r w:rsidRPr="0044556A">
        <w:rPr>
          <w:b/>
          <w:i/>
        </w:rPr>
        <w:t>Hypercholesterolaemia</w:t>
      </w:r>
      <w:proofErr w:type="spellEnd"/>
      <w:r w:rsidRPr="0044556A">
        <w:rPr>
          <w:b/>
          <w:i/>
        </w:rPr>
        <w:t xml:space="preserve"> (</w:t>
      </w:r>
      <w:proofErr w:type="spellStart"/>
      <w:r w:rsidRPr="0044556A">
        <w:rPr>
          <w:b/>
          <w:i/>
        </w:rPr>
        <w:t>HoFH</w:t>
      </w:r>
      <w:proofErr w:type="spellEnd"/>
      <w:r w:rsidRPr="0044556A">
        <w:rPr>
          <w:b/>
          <w:i/>
        </w:rPr>
        <w:t>)</w:t>
      </w:r>
    </w:p>
    <w:p w:rsidR="00E91825" w:rsidRPr="0044556A" w:rsidRDefault="00E91825" w:rsidP="0044556A">
      <w:pPr>
        <w:rPr>
          <w:i/>
        </w:rPr>
      </w:pPr>
      <w:proofErr w:type="spellStart"/>
      <w:r w:rsidRPr="0044556A">
        <w:rPr>
          <w:i/>
        </w:rPr>
        <w:t>Rosuzet</w:t>
      </w:r>
      <w:proofErr w:type="spellEnd"/>
      <w:r w:rsidRPr="0044556A">
        <w:rPr>
          <w:i/>
        </w:rPr>
        <w:t xml:space="preserve"> / </w:t>
      </w:r>
      <w:proofErr w:type="spellStart"/>
      <w:r w:rsidRPr="0044556A">
        <w:rPr>
          <w:i/>
        </w:rPr>
        <w:t>Ezalo</w:t>
      </w:r>
      <w:proofErr w:type="spellEnd"/>
      <w:r w:rsidRPr="0044556A">
        <w:rPr>
          <w:i/>
        </w:rPr>
        <w:t xml:space="preserve"> </w:t>
      </w:r>
      <w:proofErr w:type="gramStart"/>
      <w:r w:rsidRPr="0044556A">
        <w:rPr>
          <w:i/>
        </w:rPr>
        <w:t>is</w:t>
      </w:r>
      <w:proofErr w:type="gramEnd"/>
      <w:r w:rsidRPr="0044556A">
        <w:rPr>
          <w:i/>
        </w:rPr>
        <w:t xml:space="preserve"> indicated for patients with </w:t>
      </w:r>
      <w:proofErr w:type="spellStart"/>
      <w:r w:rsidRPr="0044556A">
        <w:rPr>
          <w:i/>
        </w:rPr>
        <w:t>HoFH</w:t>
      </w:r>
      <w:proofErr w:type="spellEnd"/>
      <w:r w:rsidRPr="0044556A">
        <w:rPr>
          <w:i/>
        </w:rPr>
        <w:t>. Patients may also receive adjunctive treatments (e.g., LDL apheresis).</w:t>
      </w:r>
    </w:p>
    <w:p w:rsidR="00D23139" w:rsidRDefault="00D23139" w:rsidP="0044556A">
      <w:pPr>
        <w:pStyle w:val="Heading4"/>
      </w:pPr>
      <w:r w:rsidRPr="00D23139">
        <w:t xml:space="preserve">Specific conditions of </w:t>
      </w:r>
      <w:r w:rsidRPr="0044556A">
        <w:t>registration</w:t>
      </w:r>
      <w:r w:rsidRPr="00D23139">
        <w:t xml:space="preserve"> applying to these goods</w:t>
      </w:r>
    </w:p>
    <w:p w:rsidR="00E91825" w:rsidRPr="00E91825" w:rsidRDefault="00E91825" w:rsidP="0044556A">
      <w:pPr>
        <w:pStyle w:val="ListBullet"/>
      </w:pPr>
      <w:r w:rsidRPr="00E91825">
        <w:t xml:space="preserve">The Ezetimibe+ Rosuvastatin Composite Pack/Fixed Dose Combination Tablet Australian Risk Management Plan (RMP), </w:t>
      </w:r>
      <w:r w:rsidR="005059BE">
        <w:t>V</w:t>
      </w:r>
      <w:r w:rsidRPr="00E91825">
        <w:t>ersion 1.4 (undated, Data Lock Point 1 December 2012), included with submission PM-2013-02434-1-3, and any subsequent revisions, as agreed with the TGA will be implemented in Australia.</w:t>
      </w:r>
    </w:p>
    <w:p w:rsidR="008E7846" w:rsidRPr="0044556A" w:rsidRDefault="00A80B5B" w:rsidP="0044556A">
      <w:pPr>
        <w:pStyle w:val="Heading2"/>
      </w:pPr>
      <w:bookmarkStart w:id="149" w:name="_Toc412706492"/>
      <w:proofErr w:type="gramStart"/>
      <w:r>
        <w:t>Attachment 1.</w:t>
      </w:r>
      <w:proofErr w:type="gramEnd"/>
      <w:r>
        <w:t xml:space="preserve"> </w:t>
      </w:r>
      <w:r w:rsidR="008E7846">
        <w:t xml:space="preserve">Product </w:t>
      </w:r>
      <w:r w:rsidR="00AA0ED0">
        <w:t>I</w:t>
      </w:r>
      <w:r w:rsidR="008E7846">
        <w:t>nformation</w:t>
      </w:r>
      <w:bookmarkEnd w:id="147"/>
      <w:bookmarkEnd w:id="148"/>
      <w:bookmarkEnd w:id="149"/>
    </w:p>
    <w:p w:rsidR="00C80137" w:rsidRDefault="002B3624" w:rsidP="0044556A">
      <w:pPr>
        <w:rPr>
          <w:color w:val="000000"/>
          <w:lang w:eastAsia="en-AU"/>
        </w:rPr>
      </w:pPr>
      <w:r w:rsidRPr="002B3624">
        <w:t xml:space="preserve">The Product Information approved for </w:t>
      </w:r>
      <w:proofErr w:type="spellStart"/>
      <w:r w:rsidR="00E91825">
        <w:t>Rosuzet</w:t>
      </w:r>
      <w:proofErr w:type="spellEnd"/>
      <w:r w:rsidR="00E91825">
        <w:t xml:space="preserve"> </w:t>
      </w:r>
      <w:r w:rsidRPr="002B3624">
        <w:t xml:space="preserve">at the time this AusPAR was published is at Attachment 1. For the most recent Product Information please refer to the TGA website at </w:t>
      </w:r>
      <w:r w:rsidRPr="002B3624">
        <w:lastRenderedPageBreak/>
        <w:t>&lt;</w:t>
      </w:r>
      <w:hyperlink r:id="rId20" w:history="1">
        <w:r w:rsidR="000F7116" w:rsidRPr="000F7116">
          <w:rPr>
            <w:rStyle w:val="Hyperlink"/>
          </w:rPr>
          <w:t>https://www.tga.gov.au/product-information-pi</w:t>
        </w:r>
      </w:hyperlink>
      <w:r w:rsidRPr="002B3624">
        <w:t xml:space="preserve">&gt;. </w:t>
      </w:r>
      <w:r w:rsidRPr="00E91825">
        <w:t xml:space="preserve">The PI for </w:t>
      </w:r>
      <w:proofErr w:type="spellStart"/>
      <w:r w:rsidR="00E91825" w:rsidRPr="00E91825">
        <w:t>Ezalo</w:t>
      </w:r>
      <w:proofErr w:type="spellEnd"/>
      <w:r w:rsidR="00E91825" w:rsidRPr="00E91825">
        <w:t xml:space="preserve"> </w:t>
      </w:r>
      <w:r w:rsidRPr="00E91825">
        <w:t>is identical except for the product name.</w:t>
      </w:r>
    </w:p>
    <w:p w:rsidR="005C2C9B" w:rsidRPr="0044556A" w:rsidRDefault="00C80137" w:rsidP="0044556A">
      <w:pPr>
        <w:pStyle w:val="Heading2"/>
      </w:pPr>
      <w:bookmarkStart w:id="150" w:name="_Toc412706493"/>
      <w:proofErr w:type="gramStart"/>
      <w:r>
        <w:rPr>
          <w:lang w:eastAsia="en-AU"/>
        </w:rPr>
        <w:t>Attachment 2.</w:t>
      </w:r>
      <w:proofErr w:type="gramEnd"/>
      <w:r w:rsidR="00A80B5B">
        <w:rPr>
          <w:lang w:eastAsia="en-AU"/>
        </w:rPr>
        <w:t xml:space="preserve"> </w:t>
      </w:r>
      <w:r>
        <w:rPr>
          <w:lang w:eastAsia="en-AU"/>
        </w:rPr>
        <w:t>Extract from the Clinical Evaluation</w:t>
      </w:r>
      <w:bookmarkEnd w:id="150"/>
    </w:p>
    <w:p w:rsidR="004A7390" w:rsidRDefault="004A7390" w:rsidP="008E7846">
      <w:pPr>
        <w:pStyle w:val="NonTOCHeading2"/>
      </w:pPr>
    </w:p>
    <w:p w:rsidR="00C80137" w:rsidRPr="001D043B" w:rsidRDefault="00C80137" w:rsidP="003A7F6C">
      <w:pPr>
        <w:pStyle w:val="TableTitle"/>
        <w:sectPr w:rsidR="00C80137" w:rsidRPr="001D043B" w:rsidSect="00B452CE">
          <w:headerReference w:type="even" r:id="rId21"/>
          <w:headerReference w:type="default" r:id="rId22"/>
          <w:headerReference w:type="first" r:id="rId23"/>
          <w:footerReference w:type="first" r:id="rId24"/>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rsidTr="009A23B7">
        <w:trPr>
          <w:trHeight w:hRule="exact" w:val="704"/>
        </w:trPr>
        <w:tc>
          <w:tcPr>
            <w:tcW w:w="9175" w:type="dxa"/>
          </w:tcPr>
          <w:p w:rsidR="001C32CD" w:rsidRPr="00487162" w:rsidRDefault="001C32CD" w:rsidP="009A23B7">
            <w:pPr>
              <w:pStyle w:val="TGASignoff"/>
            </w:pPr>
            <w:r w:rsidRPr="00487162">
              <w:lastRenderedPageBreak/>
              <w:t>Therapeutic Goods Administration</w:t>
            </w:r>
          </w:p>
        </w:tc>
      </w:tr>
      <w:tr w:rsidR="001C32CD" w:rsidRPr="004C239D" w:rsidTr="009A23B7">
        <w:trPr>
          <w:trHeight w:val="1221"/>
        </w:trPr>
        <w:tc>
          <w:tcPr>
            <w:tcW w:w="9175" w:type="dxa"/>
            <w:tcMar>
              <w:top w:w="28" w:type="dxa"/>
            </w:tcMar>
          </w:tcPr>
          <w:p w:rsidR="001C32CD" w:rsidRPr="00487162" w:rsidRDefault="001C32CD" w:rsidP="009A23B7">
            <w:pPr>
              <w:pStyle w:val="Address"/>
            </w:pPr>
            <w:r w:rsidRPr="00487162">
              <w:t>PO Box 100 Woden ACT 2606 Australia</w:t>
            </w:r>
          </w:p>
          <w:p w:rsidR="001C32CD" w:rsidRPr="00487162" w:rsidRDefault="001C32CD" w:rsidP="009A23B7">
            <w:pPr>
              <w:pStyle w:val="Address"/>
            </w:pPr>
            <w:r w:rsidRPr="00487162">
              <w:t xml:space="preserve">Email: </w:t>
            </w:r>
            <w:hyperlink r:id="rId25" w:history="1">
              <w:r w:rsidRPr="004C239D">
                <w:rPr>
                  <w:rStyle w:val="Hyperlink"/>
                </w:rPr>
                <w:t>info@tga.gov.au</w:t>
              </w:r>
            </w:hyperlink>
            <w:r w:rsidRPr="00487162">
              <w:t xml:space="preserve">  Phone: 1800 020 653  Fax: 02 6232 8605</w:t>
            </w:r>
          </w:p>
          <w:p w:rsidR="001C32CD" w:rsidRPr="004C239D" w:rsidRDefault="008B6B24" w:rsidP="009A23B7">
            <w:pPr>
              <w:pStyle w:val="Address"/>
              <w:spacing w:line="260" w:lineRule="atLeast"/>
              <w:rPr>
                <w:b/>
                <w:color w:val="0000FF"/>
                <w:u w:val="single"/>
              </w:rPr>
            </w:pPr>
            <w:hyperlink r:id="rId26" w:history="1">
              <w:r w:rsidR="001C32CD" w:rsidRPr="00607888">
                <w:rPr>
                  <w:rStyle w:val="Hyperlink"/>
                  <w:b/>
                </w:rPr>
                <w:t>http://www.tga.gov.au</w:t>
              </w:r>
            </w:hyperlink>
          </w:p>
        </w:tc>
      </w:tr>
    </w:tbl>
    <w:p w:rsidR="00774E1D" w:rsidRPr="008A5E0B" w:rsidRDefault="00774E1D" w:rsidP="004C239D"/>
    <w:sectPr w:rsidR="00774E1D" w:rsidRPr="008A5E0B" w:rsidSect="001C32CD">
      <w:headerReference w:type="even" r:id="rId27"/>
      <w:headerReference w:type="default" r:id="rId28"/>
      <w:footerReference w:type="default" r:id="rId29"/>
      <w:headerReference w:type="first" r:id="rId30"/>
      <w:footerReference w:type="first" r:id="rId31"/>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007" w:rsidRDefault="00AA2007" w:rsidP="00C40A36">
      <w:pPr>
        <w:spacing w:after="0"/>
      </w:pPr>
      <w:r>
        <w:separator/>
      </w:r>
    </w:p>
  </w:endnote>
  <w:endnote w:type="continuationSeparator" w:id="0">
    <w:p w:rsidR="00AA2007" w:rsidRDefault="00AA2007"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roman"/>
    <w:notTrueType/>
    <w:pitch w:val="fixed"/>
    <w:sig w:usb0="00000001" w:usb1="08070000" w:usb2="00000010" w:usb3="00000000" w:csb0="00020000"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AA2007" w:rsidRPr="00487162" w:rsidTr="00DB750B">
      <w:trPr>
        <w:trHeight w:val="269"/>
      </w:trPr>
      <w:tc>
        <w:tcPr>
          <w:tcW w:w="7371" w:type="dxa"/>
          <w:tcMar>
            <w:top w:w="142" w:type="dxa"/>
            <w:bottom w:w="0" w:type="dxa"/>
          </w:tcMar>
        </w:tcPr>
        <w:p w:rsidR="00AA2007" w:rsidRPr="00487162" w:rsidRDefault="00AA2007" w:rsidP="000F7116">
          <w:pPr>
            <w:pStyle w:val="Footer"/>
          </w:pPr>
          <w:proofErr w:type="spellStart"/>
          <w:r w:rsidRPr="00487162">
            <w:t>AusPAR</w:t>
          </w:r>
          <w:proofErr w:type="spellEnd"/>
          <w:r w:rsidRPr="00487162">
            <w:t xml:space="preserve"> </w:t>
          </w:r>
          <w:proofErr w:type="spellStart"/>
          <w:r>
            <w:t>E</w:t>
          </w:r>
          <w:r w:rsidRPr="009A23B7">
            <w:t>zetimibe</w:t>
          </w:r>
          <w:proofErr w:type="spellEnd"/>
          <w:r w:rsidRPr="009A23B7">
            <w:t xml:space="preserve"> </w:t>
          </w:r>
          <w:r>
            <w:t>and</w:t>
          </w:r>
          <w:r w:rsidRPr="009A23B7">
            <w:t xml:space="preserve"> </w:t>
          </w:r>
          <w:proofErr w:type="spellStart"/>
          <w:r>
            <w:t>R</w:t>
          </w:r>
          <w:r w:rsidRPr="009A23B7">
            <w:t>osuvastatin</w:t>
          </w:r>
          <w:proofErr w:type="spellEnd"/>
          <w:r w:rsidRPr="009A23B7">
            <w:t xml:space="preserve"> </w:t>
          </w:r>
          <w:proofErr w:type="spellStart"/>
          <w:r w:rsidRPr="009A23B7">
            <w:t>Rosuzet</w:t>
          </w:r>
          <w:proofErr w:type="spellEnd"/>
          <w:r w:rsidRPr="009A23B7">
            <w:t xml:space="preserve"> </w:t>
          </w:r>
          <w:proofErr w:type="spellStart"/>
          <w:r w:rsidRPr="009A23B7">
            <w:t>Ezalo</w:t>
          </w:r>
          <w:proofErr w:type="spellEnd"/>
          <w:r w:rsidRPr="009A23B7">
            <w:t xml:space="preserve"> Merck Sharp </w:t>
          </w:r>
          <w:r>
            <w:t xml:space="preserve">&amp; </w:t>
          </w:r>
          <w:proofErr w:type="spellStart"/>
          <w:r>
            <w:t>Dohme</w:t>
          </w:r>
          <w:proofErr w:type="spellEnd"/>
          <w:r>
            <w:t xml:space="preserve"> (Australia) Pty Limited</w:t>
          </w:r>
          <w:r>
            <w:br/>
          </w:r>
          <w:r w:rsidRPr="009A23B7">
            <w:t xml:space="preserve">PM-2013-02434-1-3 </w:t>
          </w:r>
          <w:r w:rsidRPr="00487162">
            <w:t>Date of Finalisation</w:t>
          </w:r>
          <w:r>
            <w:t xml:space="preserve"> 29 January 2015</w:t>
          </w:r>
        </w:p>
      </w:tc>
      <w:tc>
        <w:tcPr>
          <w:tcW w:w="1490" w:type="dxa"/>
          <w:tcMar>
            <w:top w:w="142" w:type="dxa"/>
            <w:bottom w:w="0" w:type="dxa"/>
          </w:tcMar>
        </w:tcPr>
        <w:p w:rsidR="00AA2007" w:rsidRPr="00487162" w:rsidRDefault="00AA2007" w:rsidP="00DB750B">
          <w:pPr>
            <w:pStyle w:val="Footer"/>
            <w:jc w:val="right"/>
          </w:pPr>
          <w:r w:rsidRPr="00487162">
            <w:t xml:space="preserve">Page </w:t>
          </w:r>
          <w:r>
            <w:fldChar w:fldCharType="begin"/>
          </w:r>
          <w:r>
            <w:instrText xml:space="preserve"> PAGE  \* Arabic </w:instrText>
          </w:r>
          <w:r>
            <w:fldChar w:fldCharType="separate"/>
          </w:r>
          <w:r w:rsidR="008B6B24">
            <w:rPr>
              <w:noProof/>
            </w:rPr>
            <w:t>49</w:t>
          </w:r>
          <w:r>
            <w:fldChar w:fldCharType="end"/>
          </w:r>
          <w:r w:rsidRPr="00487162">
            <w:t xml:space="preserve"> of </w:t>
          </w:r>
          <w:fldSimple w:instr=" NUMPAGES  \* Arabic ">
            <w:r w:rsidR="008B6B24">
              <w:rPr>
                <w:noProof/>
              </w:rPr>
              <w:t>50</w:t>
            </w:r>
          </w:fldSimple>
        </w:p>
      </w:tc>
    </w:tr>
  </w:tbl>
  <w:p w:rsidR="00AA2007" w:rsidRDefault="00AA2007" w:rsidP="003D1E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AA2007" w:rsidRPr="00487162" w:rsidTr="00E45619">
      <w:trPr>
        <w:trHeight w:val="269"/>
      </w:trPr>
      <w:tc>
        <w:tcPr>
          <w:tcW w:w="4519" w:type="dxa"/>
          <w:tcBorders>
            <w:top w:val="single" w:sz="4" w:space="0" w:color="auto"/>
          </w:tcBorders>
          <w:tcMar>
            <w:top w:w="142" w:type="dxa"/>
            <w:bottom w:w="0" w:type="dxa"/>
          </w:tcMar>
        </w:tcPr>
        <w:p w:rsidR="00AA2007" w:rsidRPr="00487162" w:rsidRDefault="00AA2007" w:rsidP="00FE1DEE">
          <w:pPr>
            <w:pStyle w:val="Footer"/>
          </w:pPr>
          <w:r w:rsidRPr="00487162">
            <w:t>Document title, Part #, Section # - Section title</w:t>
          </w:r>
        </w:p>
        <w:p w:rsidR="00AA2007" w:rsidRPr="00487162" w:rsidRDefault="00AA2007" w:rsidP="00FE1DEE">
          <w:pPr>
            <w:pStyle w:val="Footer"/>
          </w:pPr>
          <w:r w:rsidRPr="00487162">
            <w:t>V1.0 October 2010</w:t>
          </w:r>
        </w:p>
      </w:tc>
      <w:tc>
        <w:tcPr>
          <w:tcW w:w="4342" w:type="dxa"/>
          <w:tcBorders>
            <w:top w:val="single" w:sz="4" w:space="0" w:color="auto"/>
          </w:tcBorders>
          <w:tcMar>
            <w:top w:w="142" w:type="dxa"/>
            <w:bottom w:w="0" w:type="dxa"/>
          </w:tcMar>
        </w:tcPr>
        <w:p w:rsidR="00AA2007" w:rsidRPr="00487162" w:rsidRDefault="00AA2007"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fldSimple w:instr=" NUMPAGES  ">
            <w:r>
              <w:rPr>
                <w:noProof/>
              </w:rPr>
              <w:t>3</w:t>
            </w:r>
          </w:fldSimple>
        </w:p>
      </w:tc>
    </w:tr>
  </w:tbl>
  <w:p w:rsidR="00AA2007" w:rsidRDefault="00AA20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007" w:rsidRPr="001C32CD" w:rsidRDefault="00AA2007" w:rsidP="001C32C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AA2007" w:rsidTr="0010601F">
      <w:trPr>
        <w:trHeight w:val="108"/>
      </w:trPr>
      <w:tc>
        <w:tcPr>
          <w:tcW w:w="8875" w:type="dxa"/>
          <w:gridSpan w:val="2"/>
          <w:tcBorders>
            <w:bottom w:val="single" w:sz="4" w:space="0" w:color="auto"/>
          </w:tcBorders>
          <w:tcMar>
            <w:right w:w="284" w:type="dxa"/>
          </w:tcMar>
        </w:tcPr>
        <w:p w:rsidR="00AA2007" w:rsidRDefault="00AA2007" w:rsidP="006E08B3">
          <w:pPr>
            <w:pStyle w:val="Heading3"/>
          </w:pPr>
          <w:r>
            <w:t>Copyright</w:t>
          </w:r>
        </w:p>
        <w:p w:rsidR="00AA2007" w:rsidRDefault="00AA2007" w:rsidP="006E08B3">
          <w:r>
            <w:rPr>
              <w:rFonts w:cs="Arial"/>
            </w:rPr>
            <w:t>©</w:t>
          </w:r>
          <w:r>
            <w:t xml:space="preserve"> Commonwealth of Australia [add year]</w:t>
          </w:r>
        </w:p>
        <w:p w:rsidR="00AA2007" w:rsidRDefault="00AA2007" w:rsidP="006E08B3"/>
        <w:p w:rsidR="00AA2007" w:rsidRDefault="00AA2007"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AA2007" w:rsidRDefault="00AA2007" w:rsidP="006E08B3"/>
        <w:p w:rsidR="00AA2007" w:rsidRDefault="00AA2007" w:rsidP="006E08B3">
          <w:pPr>
            <w:pStyle w:val="Heading3"/>
          </w:pPr>
          <w:r>
            <w:t>Confidentiality</w:t>
          </w:r>
        </w:p>
        <w:p w:rsidR="00AA2007" w:rsidRDefault="00AA2007"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AA2007" w:rsidRDefault="00AA2007" w:rsidP="006E08B3"/>
        <w:p w:rsidR="00AA2007" w:rsidRDefault="00AA2007" w:rsidP="006E08B3">
          <w:r>
            <w:t>For submission made by individuals, all personal details, other than your name, will be removed from your submission before it is published on the TGA’s Internet site.</w:t>
          </w:r>
        </w:p>
        <w:p w:rsidR="00AA2007" w:rsidRDefault="00AA2007" w:rsidP="006E08B3"/>
        <w:p w:rsidR="00AA2007" w:rsidRDefault="00AA2007"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AA2007" w:rsidTr="0010601F">
      <w:trPr>
        <w:trHeight w:val="417"/>
      </w:trPr>
      <w:tc>
        <w:tcPr>
          <w:tcW w:w="4519" w:type="dxa"/>
          <w:tcBorders>
            <w:top w:val="single" w:sz="4" w:space="0" w:color="auto"/>
          </w:tcBorders>
          <w:tcMar>
            <w:top w:w="142" w:type="dxa"/>
            <w:bottom w:w="0" w:type="dxa"/>
          </w:tcMar>
        </w:tcPr>
        <w:p w:rsidR="00AA2007" w:rsidRDefault="00AA2007" w:rsidP="006E08B3">
          <w:r>
            <w:t>Document title, Part #, Section # - Section title</w:t>
          </w:r>
        </w:p>
        <w:p w:rsidR="00AA2007" w:rsidRDefault="00AA2007" w:rsidP="006E08B3">
          <w:r>
            <w:t>V1.0 October 2010</w:t>
          </w:r>
        </w:p>
      </w:tc>
      <w:tc>
        <w:tcPr>
          <w:tcW w:w="4356" w:type="dxa"/>
          <w:tcBorders>
            <w:top w:val="single" w:sz="4" w:space="0" w:color="auto"/>
          </w:tcBorders>
          <w:tcMar>
            <w:top w:w="142" w:type="dxa"/>
            <w:bottom w:w="0" w:type="dxa"/>
          </w:tcMar>
        </w:tcPr>
        <w:p w:rsidR="00AA2007" w:rsidRDefault="00AA2007"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 NUMPAGES  \* Arabic ">
            <w:r>
              <w:rPr>
                <w:noProof/>
              </w:rPr>
              <w:t>3</w:t>
            </w:r>
          </w:fldSimple>
          <w:r>
            <w:t xml:space="preserve">  </w:t>
          </w:r>
        </w:p>
      </w:tc>
    </w:tr>
  </w:tbl>
  <w:p w:rsidR="00AA2007" w:rsidRDefault="00AA200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007" w:rsidRDefault="00AA2007" w:rsidP="00C40A36">
      <w:pPr>
        <w:spacing w:after="0"/>
      </w:pPr>
      <w:r>
        <w:separator/>
      </w:r>
    </w:p>
  </w:footnote>
  <w:footnote w:type="continuationSeparator" w:id="0">
    <w:p w:rsidR="00AA2007" w:rsidRDefault="00AA2007" w:rsidP="00C40A36">
      <w:pPr>
        <w:spacing w:after="0"/>
      </w:pPr>
      <w:r>
        <w:continuationSeparator/>
      </w:r>
    </w:p>
  </w:footnote>
  <w:footnote w:id="1">
    <w:p w:rsidR="00AA2007" w:rsidRDefault="00AA2007" w:rsidP="0031305B">
      <w:pPr>
        <w:pStyle w:val="FootnoteText"/>
      </w:pPr>
      <w:r>
        <w:rPr>
          <w:rStyle w:val="FootnoteReference"/>
        </w:rPr>
        <w:footnoteRef/>
      </w:r>
      <w:r>
        <w:t xml:space="preserve"> </w:t>
      </w:r>
      <w:proofErr w:type="spellStart"/>
      <w:r w:rsidRPr="004152BB">
        <w:t>Verschuren</w:t>
      </w:r>
      <w:proofErr w:type="spellEnd"/>
      <w:r w:rsidRPr="004152BB">
        <w:t xml:space="preserve">, L., </w:t>
      </w:r>
      <w:proofErr w:type="spellStart"/>
      <w:r w:rsidRPr="004152BB">
        <w:t>Radonjic</w:t>
      </w:r>
      <w:proofErr w:type="spellEnd"/>
      <w:r w:rsidRPr="004152BB">
        <w:t xml:space="preserve">, M., </w:t>
      </w:r>
      <w:proofErr w:type="spellStart"/>
      <w:r w:rsidRPr="004152BB">
        <w:t>Wielinga</w:t>
      </w:r>
      <w:proofErr w:type="spellEnd"/>
      <w:r w:rsidRPr="004152BB">
        <w:t xml:space="preserve">, P. Y., </w:t>
      </w:r>
      <w:r>
        <w:t xml:space="preserve">et al. </w:t>
      </w:r>
      <w:r w:rsidRPr="004152BB">
        <w:t>Systems biology analysis unravels the complementary action of combined rosuv</w:t>
      </w:r>
      <w:r>
        <w:t xml:space="preserve">astatin and ezetimibe therapy. </w:t>
      </w:r>
      <w:proofErr w:type="spellStart"/>
      <w:r w:rsidRPr="00B47931">
        <w:rPr>
          <w:i/>
        </w:rPr>
        <w:t>Pharmacogenetics</w:t>
      </w:r>
      <w:proofErr w:type="spellEnd"/>
      <w:r w:rsidRPr="00B47931">
        <w:rPr>
          <w:i/>
        </w:rPr>
        <w:t xml:space="preserve"> and Genomics</w:t>
      </w:r>
      <w:r w:rsidRPr="004152BB">
        <w:t xml:space="preserve"> 2012</w:t>
      </w:r>
      <w:proofErr w:type="gramStart"/>
      <w:r>
        <w:t>;</w:t>
      </w:r>
      <w:r w:rsidRPr="004152BB">
        <w:t>22:837</w:t>
      </w:r>
      <w:proofErr w:type="gramEnd"/>
      <w:r w:rsidRPr="004152BB">
        <w:t>–845.</w:t>
      </w:r>
    </w:p>
  </w:footnote>
  <w:footnote w:id="2">
    <w:p w:rsidR="00AA2007" w:rsidRPr="004152BB" w:rsidRDefault="00AA2007" w:rsidP="0031305B">
      <w:pPr>
        <w:pStyle w:val="FootnoteText"/>
      </w:pPr>
      <w:r w:rsidRPr="004152BB">
        <w:rPr>
          <w:vertAlign w:val="superscript"/>
        </w:rPr>
        <w:footnoteRef/>
      </w:r>
      <w:r w:rsidRPr="004152BB">
        <w:t xml:space="preserve"> </w:t>
      </w:r>
      <w:proofErr w:type="spellStart"/>
      <w:r w:rsidRPr="004152BB">
        <w:t>Chunhua</w:t>
      </w:r>
      <w:proofErr w:type="spellEnd"/>
      <w:r w:rsidRPr="004152BB">
        <w:t xml:space="preserve"> Qin, C., </w:t>
      </w:r>
      <w:proofErr w:type="spellStart"/>
      <w:r w:rsidRPr="004152BB">
        <w:t>Podtelezhnikov</w:t>
      </w:r>
      <w:proofErr w:type="spellEnd"/>
      <w:r w:rsidRPr="004152BB">
        <w:t>, A.</w:t>
      </w:r>
      <w:r>
        <w:t>,</w:t>
      </w:r>
      <w:r w:rsidRPr="004152BB">
        <w:t xml:space="preserve"> </w:t>
      </w:r>
      <w:r>
        <w:t xml:space="preserve">Tanis, K. </w:t>
      </w:r>
      <w:r w:rsidRPr="004152BB">
        <w:t xml:space="preserve">Profiling Data Review on the </w:t>
      </w:r>
      <w:proofErr w:type="spellStart"/>
      <w:r w:rsidRPr="004152BB">
        <w:t>Verschuren</w:t>
      </w:r>
      <w:proofErr w:type="spellEnd"/>
      <w:r w:rsidRPr="004152BB">
        <w:t xml:space="preserve"> </w:t>
      </w:r>
      <w:proofErr w:type="spellStart"/>
      <w:r w:rsidRPr="004152BB">
        <w:t>Rosuvastati</w:t>
      </w:r>
      <w:r>
        <w:t>n</w:t>
      </w:r>
      <w:proofErr w:type="spellEnd"/>
      <w:r>
        <w:t xml:space="preserve">/ </w:t>
      </w:r>
      <w:proofErr w:type="spellStart"/>
      <w:r>
        <w:t>Ezetimibe</w:t>
      </w:r>
      <w:proofErr w:type="spellEnd"/>
      <w:r>
        <w:t xml:space="preserve"> Combination Study. </w:t>
      </w:r>
      <w:r w:rsidRPr="004152BB">
        <w:t>Merck Research Laboratories, Internal Memorandum: 11 July 2013</w:t>
      </w:r>
      <w:r>
        <w:t>.</w:t>
      </w:r>
    </w:p>
  </w:footnote>
  <w:footnote w:id="3">
    <w:p w:rsidR="00AA2007" w:rsidRPr="004152BB" w:rsidRDefault="00AA2007" w:rsidP="000F1EA2">
      <w:pPr>
        <w:spacing w:before="0" w:after="0" w:line="240" w:lineRule="auto"/>
        <w:rPr>
          <w:sz w:val="18"/>
          <w:szCs w:val="18"/>
        </w:rPr>
      </w:pPr>
      <w:r w:rsidRPr="004152BB">
        <w:rPr>
          <w:sz w:val="18"/>
          <w:szCs w:val="18"/>
          <w:vertAlign w:val="superscript"/>
        </w:rPr>
        <w:footnoteRef/>
      </w:r>
      <w:r>
        <w:rPr>
          <w:sz w:val="18"/>
          <w:szCs w:val="18"/>
        </w:rPr>
        <w:t xml:space="preserve"> </w:t>
      </w:r>
      <w:r w:rsidRPr="004152BB">
        <w:rPr>
          <w:sz w:val="18"/>
          <w:szCs w:val="18"/>
        </w:rPr>
        <w:t>EMEA/CHMP/SWP/256498/2005, Section 4.2.1</w:t>
      </w:r>
    </w:p>
  </w:footnote>
  <w:footnote w:id="4">
    <w:p w:rsidR="00AA2007" w:rsidRDefault="00AA2007" w:rsidP="0031305B">
      <w:pPr>
        <w:pStyle w:val="FootnoteText"/>
      </w:pPr>
      <w:r>
        <w:rPr>
          <w:rStyle w:val="FootnoteReference"/>
        </w:rPr>
        <w:footnoteRef/>
      </w:r>
      <w:r>
        <w:t xml:space="preserve"> </w:t>
      </w:r>
      <w:proofErr w:type="spellStart"/>
      <w:r>
        <w:t>Ason</w:t>
      </w:r>
      <w:proofErr w:type="spellEnd"/>
      <w:r>
        <w:t xml:space="preserve"> B., </w:t>
      </w:r>
      <w:proofErr w:type="spellStart"/>
      <w:r>
        <w:t>Tep</w:t>
      </w:r>
      <w:proofErr w:type="spellEnd"/>
      <w:r>
        <w:t xml:space="preserve"> S., Davis Jr HR. et al. Improved efficacy for </w:t>
      </w:r>
      <w:proofErr w:type="spellStart"/>
      <w:r>
        <w:t>ezetimibe</w:t>
      </w:r>
      <w:proofErr w:type="spellEnd"/>
      <w:r>
        <w:t xml:space="preserve"> and </w:t>
      </w:r>
      <w:proofErr w:type="spellStart"/>
      <w:r w:rsidRPr="0031305B">
        <w:t>rosuvastatin</w:t>
      </w:r>
      <w:proofErr w:type="spellEnd"/>
      <w:r>
        <w:t xml:space="preserve"> by attenuating the induction of PCSK9. </w:t>
      </w:r>
      <w:r w:rsidRPr="00B47931">
        <w:rPr>
          <w:i/>
        </w:rPr>
        <w:t>J Lipid Res</w:t>
      </w:r>
      <w:r>
        <w:t xml:space="preserve"> 2011</w:t>
      </w:r>
      <w:proofErr w:type="gramStart"/>
      <w:r>
        <w:t>;52:679</w:t>
      </w:r>
      <w:proofErr w:type="gramEnd"/>
      <w:r>
        <w:t>-687.</w:t>
      </w:r>
    </w:p>
  </w:footnote>
  <w:footnote w:id="5">
    <w:p w:rsidR="00AA2007" w:rsidRPr="008C6744" w:rsidRDefault="00AA2007" w:rsidP="0031305B">
      <w:pPr>
        <w:pStyle w:val="FootnoteText"/>
      </w:pPr>
      <w:r w:rsidRPr="008C6744">
        <w:rPr>
          <w:vertAlign w:val="superscript"/>
        </w:rPr>
        <w:footnoteRef/>
      </w:r>
      <w:r w:rsidRPr="008C6744">
        <w:t xml:space="preserve"> </w:t>
      </w:r>
      <w:r w:rsidRPr="008C6744">
        <w:rPr>
          <w:b/>
        </w:rPr>
        <w:t>1</w:t>
      </w:r>
      <w:r>
        <w:t xml:space="preserve">:  </w:t>
      </w:r>
      <w:r w:rsidRPr="008C6744">
        <w:t xml:space="preserve">Bays HE, Davidson MH, </w:t>
      </w:r>
      <w:proofErr w:type="spellStart"/>
      <w:r w:rsidRPr="008C6744">
        <w:t>Massaad</w:t>
      </w:r>
      <w:proofErr w:type="spellEnd"/>
      <w:r w:rsidRPr="008C6744">
        <w:t xml:space="preserve"> R, </w:t>
      </w:r>
      <w:proofErr w:type="spellStart"/>
      <w:r w:rsidRPr="008C6744">
        <w:t>Flaim</w:t>
      </w:r>
      <w:proofErr w:type="spellEnd"/>
      <w:r w:rsidRPr="008C6744">
        <w:t xml:space="preserve"> D, Lowe RS, </w:t>
      </w:r>
      <w:proofErr w:type="spellStart"/>
      <w:r w:rsidRPr="008C6744">
        <w:t>Tershakovec</w:t>
      </w:r>
      <w:proofErr w:type="spellEnd"/>
      <w:r w:rsidRPr="008C6744">
        <w:t xml:space="preserve"> AM and Jones-Burton C. Safety and efficacy of ezetimibe added on to rosuvastatin 5 or 10 mg versus up-titration of rosuvastatin in patients with hypercholesterolemia (the ACTE Study). </w:t>
      </w:r>
      <w:r w:rsidRPr="008C6744">
        <w:rPr>
          <w:i/>
        </w:rPr>
        <w:t>American Journal of Cardiology</w:t>
      </w:r>
      <w:r w:rsidRPr="008C6744">
        <w:t xml:space="preserve"> 2011</w:t>
      </w:r>
      <w:r>
        <w:t>:108(4):</w:t>
      </w:r>
      <w:r w:rsidRPr="008C6744">
        <w:t>523-530.</w:t>
      </w:r>
      <w:r>
        <w:t xml:space="preserve">  </w:t>
      </w:r>
      <w:r w:rsidRPr="008C6744">
        <w:rPr>
          <w:b/>
        </w:rPr>
        <w:t>2</w:t>
      </w:r>
      <w:r>
        <w:t xml:space="preserve">:  </w:t>
      </w:r>
      <w:r w:rsidRPr="008C6744">
        <w:t xml:space="preserve">Bays HE, Davidson M, </w:t>
      </w:r>
      <w:proofErr w:type="spellStart"/>
      <w:r w:rsidRPr="008C6744">
        <w:t>Massaad</w:t>
      </w:r>
      <w:proofErr w:type="spellEnd"/>
      <w:r w:rsidRPr="008C6744">
        <w:t xml:space="preserve"> R, </w:t>
      </w:r>
      <w:proofErr w:type="spellStart"/>
      <w:r w:rsidRPr="008C6744">
        <w:t>Flaim</w:t>
      </w:r>
      <w:proofErr w:type="spellEnd"/>
      <w:r w:rsidRPr="008C6744">
        <w:t xml:space="preserve"> D, Lowe R, </w:t>
      </w:r>
      <w:proofErr w:type="spellStart"/>
      <w:r w:rsidRPr="008C6744">
        <w:t>Tershakovec</w:t>
      </w:r>
      <w:proofErr w:type="spellEnd"/>
      <w:r w:rsidRPr="008C6744">
        <w:t xml:space="preserve"> A, Jones-Burton C. Efficacy and Safety of </w:t>
      </w:r>
      <w:proofErr w:type="spellStart"/>
      <w:r w:rsidRPr="008C6744">
        <w:t>Ezetimibe</w:t>
      </w:r>
      <w:proofErr w:type="spellEnd"/>
      <w:r w:rsidRPr="008C6744">
        <w:t xml:space="preserve"> Plus </w:t>
      </w:r>
      <w:proofErr w:type="spellStart"/>
      <w:r w:rsidRPr="008C6744">
        <w:t>Rosuvastatin</w:t>
      </w:r>
      <w:proofErr w:type="spellEnd"/>
      <w:r w:rsidRPr="008C6744">
        <w:t xml:space="preserve"> Versus </w:t>
      </w:r>
      <w:proofErr w:type="spellStart"/>
      <w:r w:rsidRPr="008C6744">
        <w:t>Rosuvastatin</w:t>
      </w:r>
      <w:proofErr w:type="spellEnd"/>
      <w:r w:rsidRPr="008C6744">
        <w:t xml:space="preserve"> Up-Titration in </w:t>
      </w:r>
      <w:proofErr w:type="spellStart"/>
      <w:r w:rsidRPr="008C6744">
        <w:t>Hypercholesterolemic</w:t>
      </w:r>
      <w:proofErr w:type="spellEnd"/>
      <w:r w:rsidRPr="008C6744">
        <w:t xml:space="preserve"> Patients at Risk for Atherosclerotic Coronary Heart Disease. </w:t>
      </w:r>
      <w:r w:rsidRPr="008C6744">
        <w:rPr>
          <w:i/>
        </w:rPr>
        <w:t xml:space="preserve">Journal of Clinical </w:t>
      </w:r>
      <w:proofErr w:type="spellStart"/>
      <w:r w:rsidRPr="008C6744">
        <w:rPr>
          <w:i/>
        </w:rPr>
        <w:t>Lipidology</w:t>
      </w:r>
      <w:proofErr w:type="spellEnd"/>
      <w:r w:rsidRPr="008C6744">
        <w:t xml:space="preserve"> </w:t>
      </w:r>
      <w:r>
        <w:t>2011:</w:t>
      </w:r>
      <w:r w:rsidRPr="008C6744">
        <w:t>5(3)</w:t>
      </w:r>
      <w:proofErr w:type="gramStart"/>
      <w:r>
        <w:t>;</w:t>
      </w:r>
      <w:r w:rsidRPr="008C6744">
        <w:t>217</w:t>
      </w:r>
      <w:proofErr w:type="gramEnd"/>
      <w:r w:rsidRPr="008C6744">
        <w:t xml:space="preserve">-218 </w:t>
      </w:r>
      <w:r>
        <w:t xml:space="preserve">.  </w:t>
      </w:r>
      <w:r w:rsidRPr="008C6744">
        <w:rPr>
          <w:b/>
        </w:rPr>
        <w:t>3</w:t>
      </w:r>
      <w:r>
        <w:t xml:space="preserve">:  </w:t>
      </w:r>
      <w:r w:rsidRPr="008C6744">
        <w:t xml:space="preserve">Merck. A Study of Ezetimibe Added On to Rosuvastatin Versus Up Titration of Rosuvastatin in Patients With Hypercholesterolemia (MK0653-139). </w:t>
      </w:r>
      <w:proofErr w:type="gramStart"/>
      <w:r w:rsidRPr="008C6744">
        <w:t>Clinicaltrials.gov NCT00783263 (p1-28)</w:t>
      </w:r>
      <w:r>
        <w:t>.</w:t>
      </w:r>
      <w:proofErr w:type="gramEnd"/>
    </w:p>
  </w:footnote>
  <w:footnote w:id="6">
    <w:p w:rsidR="00AA2007" w:rsidRDefault="00AA2007" w:rsidP="0031305B">
      <w:pPr>
        <w:pStyle w:val="FootnoteText"/>
      </w:pPr>
      <w:r>
        <w:rPr>
          <w:rStyle w:val="FootnoteReference"/>
        </w:rPr>
        <w:footnoteRef/>
      </w:r>
      <w:r>
        <w:t xml:space="preserve"> </w:t>
      </w:r>
      <w:proofErr w:type="spellStart"/>
      <w:proofErr w:type="gramStart"/>
      <w:r w:rsidRPr="00BC7AB0">
        <w:t>Nakamaru</w:t>
      </w:r>
      <w:proofErr w:type="spellEnd"/>
      <w:r w:rsidRPr="00BC7AB0">
        <w:t xml:space="preserve"> T, Hirano M and </w:t>
      </w:r>
      <w:proofErr w:type="spellStart"/>
      <w:r w:rsidRPr="00BC7AB0">
        <w:t>Kitta</w:t>
      </w:r>
      <w:proofErr w:type="spellEnd"/>
      <w:r w:rsidRPr="00BC7AB0">
        <w:t xml:space="preserve"> Y et al.</w:t>
      </w:r>
      <w:proofErr w:type="gramEnd"/>
      <w:r w:rsidRPr="00BC7AB0">
        <w:t xml:space="preserve">  </w:t>
      </w:r>
      <w:proofErr w:type="gramStart"/>
      <w:r w:rsidRPr="00BC7AB0">
        <w:t xml:space="preserve">A comparison of the efficacy of combined ezetimibe and statin therapy with doubling of statin dose in patients with remnant </w:t>
      </w:r>
      <w:proofErr w:type="spellStart"/>
      <w:r w:rsidRPr="00BC7AB0">
        <w:t>lipoproteinemia</w:t>
      </w:r>
      <w:proofErr w:type="spellEnd"/>
      <w:r w:rsidRPr="00BC7AB0">
        <w:t xml:space="preserve"> on previous statin therapy.</w:t>
      </w:r>
      <w:proofErr w:type="gramEnd"/>
      <w:r w:rsidRPr="00BC7AB0">
        <w:t xml:space="preserve"> </w:t>
      </w:r>
      <w:r w:rsidRPr="00BC7AB0">
        <w:rPr>
          <w:i/>
        </w:rPr>
        <w:t>Journal of Cardiology</w:t>
      </w:r>
      <w:r w:rsidRPr="00BC7AB0">
        <w:t xml:space="preserve"> 2012; 60(1): 12-17</w:t>
      </w:r>
      <w:r>
        <w:t>.</w:t>
      </w:r>
    </w:p>
  </w:footnote>
  <w:footnote w:id="7">
    <w:p w:rsidR="00AA2007" w:rsidRDefault="00AA2007" w:rsidP="0031305B">
      <w:pPr>
        <w:pStyle w:val="FootnoteText"/>
      </w:pPr>
      <w:r>
        <w:rPr>
          <w:rStyle w:val="FootnoteReference"/>
        </w:rPr>
        <w:footnoteRef/>
      </w:r>
      <w:r>
        <w:t xml:space="preserve"> </w:t>
      </w:r>
      <w:proofErr w:type="spellStart"/>
      <w:proofErr w:type="gramStart"/>
      <w:r w:rsidRPr="009315FC">
        <w:t>Naganska</w:t>
      </w:r>
      <w:proofErr w:type="spellEnd"/>
      <w:r w:rsidRPr="009315FC">
        <w:t xml:space="preserve"> E and </w:t>
      </w:r>
      <w:proofErr w:type="spellStart"/>
      <w:r w:rsidRPr="009315FC">
        <w:t>Matyia</w:t>
      </w:r>
      <w:proofErr w:type="spellEnd"/>
      <w:r w:rsidRPr="009315FC">
        <w:t xml:space="preserve"> E. Amyotrophic lateral sclerosis - looking for patho</w:t>
      </w:r>
      <w:r>
        <w:t>genesis and effective therapy.</w:t>
      </w:r>
      <w:proofErr w:type="gramEnd"/>
      <w:r>
        <w:t xml:space="preserve"> </w:t>
      </w:r>
      <w:proofErr w:type="gramStart"/>
      <w:r w:rsidRPr="009315FC">
        <w:rPr>
          <w:i/>
        </w:rPr>
        <w:t xml:space="preserve">Folia </w:t>
      </w:r>
      <w:proofErr w:type="spellStart"/>
      <w:r w:rsidRPr="009315FC">
        <w:rPr>
          <w:i/>
        </w:rPr>
        <w:t>Neuropathol</w:t>
      </w:r>
      <w:proofErr w:type="spellEnd"/>
      <w:r w:rsidRPr="009315FC">
        <w:t>.</w:t>
      </w:r>
      <w:proofErr w:type="gramEnd"/>
      <w:r w:rsidRPr="009315FC">
        <w:t xml:space="preserve"> 2011</w:t>
      </w:r>
      <w:proofErr w:type="gramStart"/>
      <w:r w:rsidRPr="009315FC">
        <w:t>;49</w:t>
      </w:r>
      <w:proofErr w:type="gramEnd"/>
      <w:r w:rsidRPr="009315FC">
        <w:t>(1):1-13.</w:t>
      </w:r>
    </w:p>
  </w:footnote>
  <w:footnote w:id="8">
    <w:p w:rsidR="00AA2007" w:rsidRDefault="00AA2007" w:rsidP="0031305B">
      <w:pPr>
        <w:pStyle w:val="FootnoteText"/>
      </w:pPr>
      <w:r>
        <w:rPr>
          <w:rStyle w:val="FootnoteReference"/>
        </w:rPr>
        <w:footnoteRef/>
      </w:r>
      <w:r>
        <w:t xml:space="preserve"> </w:t>
      </w:r>
      <w:r w:rsidRPr="00E554F7">
        <w:t xml:space="preserve">The AusPARs </w:t>
      </w:r>
      <w:r>
        <w:t xml:space="preserve">and CER extract </w:t>
      </w:r>
      <w:r w:rsidRPr="00E554F7">
        <w:t xml:space="preserve">for the composite pack registration applications are available at </w:t>
      </w:r>
      <w:r w:rsidR="0031305B">
        <w:t>&lt;</w:t>
      </w:r>
      <w:hyperlink r:id="rId1" w:history="1">
        <w:r w:rsidRPr="00E554F7">
          <w:rPr>
            <w:rStyle w:val="Hyperlink"/>
          </w:rPr>
          <w:t>http://www.tga.gov.au/australian-public-assessment-reports-prescription-medicines-auspars</w:t>
        </w:r>
      </w:hyperlink>
      <w:r w:rsidR="0031305B">
        <w:t>&gt;.</w:t>
      </w:r>
    </w:p>
  </w:footnote>
  <w:footnote w:id="9">
    <w:p w:rsidR="00AA2007" w:rsidRDefault="00AA2007" w:rsidP="008B5ED5">
      <w:pPr>
        <w:pStyle w:val="FootnoteText"/>
      </w:pPr>
      <w:r>
        <w:rPr>
          <w:rStyle w:val="FootnoteReference"/>
        </w:rPr>
        <w:footnoteRef/>
      </w:r>
      <w:r>
        <w:t xml:space="preserve"> Details of recommendations </w:t>
      </w:r>
      <w:r w:rsidRPr="008B5ED5">
        <w:t>regarding</w:t>
      </w:r>
      <w:r>
        <w:t xml:space="preserve"> revisions to PI and other product literature are beyond the scope of the AusPAR</w:t>
      </w:r>
    </w:p>
  </w:footnote>
  <w:footnote w:id="10">
    <w:p w:rsidR="00AA2007" w:rsidRPr="00055527" w:rsidRDefault="00AA2007" w:rsidP="00AF6D25">
      <w:pPr>
        <w:pStyle w:val="FootnoteText"/>
      </w:pPr>
      <w:r w:rsidRPr="00055527">
        <w:rPr>
          <w:rStyle w:val="FootnoteReference"/>
          <w:szCs w:val="18"/>
        </w:rPr>
        <w:footnoteRef/>
      </w:r>
      <w:r w:rsidRPr="00055527">
        <w:t xml:space="preserve"> </w:t>
      </w:r>
      <w:r>
        <w:t>Details of recommended revisions to</w:t>
      </w:r>
      <w:r w:rsidRPr="00055527">
        <w:t xml:space="preserve"> the PI and CMI are </w:t>
      </w:r>
      <w:r>
        <w:t>beyond the scope of the AusPAR</w:t>
      </w:r>
      <w:r w:rsidRPr="00055527">
        <w:t>.</w:t>
      </w:r>
    </w:p>
  </w:footnote>
  <w:footnote w:id="11">
    <w:p w:rsidR="00AA2007" w:rsidRDefault="00AA2007" w:rsidP="00AF6D25">
      <w:pPr>
        <w:pStyle w:val="FootnoteText"/>
      </w:pPr>
      <w:r>
        <w:rPr>
          <w:rStyle w:val="FootnoteReference"/>
        </w:rPr>
        <w:footnoteRef/>
      </w:r>
      <w:r>
        <w:t xml:space="preserve"> </w:t>
      </w:r>
      <w:r w:rsidRPr="00C63F3A">
        <w:t xml:space="preserve">The AusPARs for the composite pack registration applications are available </w:t>
      </w:r>
      <w:r w:rsidRPr="00AF6D25">
        <w:t>at</w:t>
      </w:r>
      <w:r w:rsidRPr="00C63F3A">
        <w:t xml:space="preserve"> </w:t>
      </w:r>
      <w:r w:rsidR="00AF6D25">
        <w:t>&lt;</w:t>
      </w:r>
      <w:hyperlink r:id="rId2" w:history="1">
        <w:r w:rsidRPr="00C63F3A">
          <w:rPr>
            <w:rStyle w:val="Hyperlink"/>
          </w:rPr>
          <w:t>http://www.tga.gov.au/australian-public-assessment-reports-prescription-medicines-auspars</w:t>
        </w:r>
      </w:hyperlink>
      <w:r w:rsidR="00AF6D25">
        <w:t>&gt;.</w:t>
      </w:r>
    </w:p>
  </w:footnote>
  <w:footnote w:id="12">
    <w:p w:rsidR="00AA2007" w:rsidRDefault="00AA2007" w:rsidP="00546FFD">
      <w:pPr>
        <w:pStyle w:val="FootnoteText"/>
      </w:pPr>
      <w:r>
        <w:rPr>
          <w:rStyle w:val="FootnoteReference"/>
        </w:rPr>
        <w:footnoteRef/>
      </w:r>
      <w:r>
        <w:t xml:space="preserve"> A fact also noted by the clinical evaluator and one which arises from the direct carry-over of the contraindications related to pre-disposing factors for myopathy/</w:t>
      </w:r>
      <w:proofErr w:type="spellStart"/>
      <w:r w:rsidRPr="00546FFD">
        <w:t>rhabdomyolysis</w:t>
      </w:r>
      <w:proofErr w:type="spellEnd"/>
      <w:r>
        <w:t xml:space="preserve"> from firstly the Crestor PI and secondly from the recently approved PIs for the ezetimibe + rosuvastatin composite pack PIs.</w:t>
      </w:r>
    </w:p>
  </w:footnote>
  <w:footnote w:id="13">
    <w:p w:rsidR="00AA2007" w:rsidRDefault="00AA2007" w:rsidP="0044556A">
      <w:pPr>
        <w:pStyle w:val="FootnoteText"/>
      </w:pPr>
      <w:r>
        <w:rPr>
          <w:rStyle w:val="FootnoteReference"/>
        </w:rPr>
        <w:footnoteRef/>
      </w:r>
      <w:r>
        <w:t xml:space="preserve"> </w:t>
      </w:r>
      <w:r w:rsidRPr="007E0BB4">
        <w:t xml:space="preserve">Stein, E., et al., </w:t>
      </w:r>
      <w:proofErr w:type="spellStart"/>
      <w:r w:rsidRPr="007E0BB4">
        <w:t>Ezetimibe</w:t>
      </w:r>
      <w:proofErr w:type="spellEnd"/>
      <w:r w:rsidRPr="007E0BB4">
        <w:t xml:space="preserve"> added to </w:t>
      </w:r>
      <w:proofErr w:type="spellStart"/>
      <w:r w:rsidRPr="007E0BB4">
        <w:t>rosuvastatin</w:t>
      </w:r>
      <w:proofErr w:type="spellEnd"/>
      <w:r w:rsidRPr="007E0BB4">
        <w:t xml:space="preserve"> for severely </w:t>
      </w:r>
      <w:proofErr w:type="spellStart"/>
      <w:r w:rsidRPr="007E0BB4">
        <w:t>hypercholesterolemic</w:t>
      </w:r>
      <w:proofErr w:type="spellEnd"/>
      <w:r w:rsidRPr="007E0BB4">
        <w:t xml:space="preserve"> patients: effects on low-density lipoprotein cholesterol and C-reactive protein, in 54th Annual Scientific Session of the American College of Cardiology2005, </w:t>
      </w:r>
      <w:r w:rsidRPr="001D557F">
        <w:rPr>
          <w:i/>
        </w:rPr>
        <w:t>J</w:t>
      </w:r>
      <w:r>
        <w:rPr>
          <w:i/>
        </w:rPr>
        <w:t xml:space="preserve"> </w:t>
      </w:r>
      <w:r w:rsidRPr="001D557F">
        <w:rPr>
          <w:i/>
        </w:rPr>
        <w:t>American College of Cardiology</w:t>
      </w:r>
      <w:r w:rsidRPr="007E0BB4">
        <w:t xml:space="preserve">: </w:t>
      </w:r>
      <w:r>
        <w:t xml:space="preserve">2005; </w:t>
      </w:r>
      <w:r w:rsidRPr="007E0BB4">
        <w:t>p. 392A</w:t>
      </w:r>
    </w:p>
  </w:footnote>
  <w:footnote w:id="14">
    <w:p w:rsidR="00AA2007" w:rsidRDefault="00AA2007" w:rsidP="0044556A">
      <w:pPr>
        <w:pStyle w:val="FootnoteText"/>
      </w:pPr>
      <w:r>
        <w:rPr>
          <w:rStyle w:val="FootnoteReference"/>
        </w:rPr>
        <w:footnoteRef/>
      </w:r>
      <w:r>
        <w:t xml:space="preserve"> </w:t>
      </w:r>
      <w:r w:rsidRPr="007E0BB4">
        <w:t xml:space="preserve">Stein, E.A., et al., Further reduction of low-density lipoprotein cholesterol and C-reactive protein with the addition of ezetimibe to maximum-dose rosuvastatin in patients with severe hypercholesterolemia. </w:t>
      </w:r>
      <w:r w:rsidRPr="007E0BB4">
        <w:rPr>
          <w:i/>
        </w:rPr>
        <w:t>J</w:t>
      </w:r>
      <w:r>
        <w:rPr>
          <w:i/>
        </w:rPr>
        <w:t xml:space="preserve"> </w:t>
      </w:r>
      <w:r w:rsidRPr="007E0BB4">
        <w:rPr>
          <w:i/>
        </w:rPr>
        <w:t xml:space="preserve">Clinical </w:t>
      </w:r>
      <w:proofErr w:type="spellStart"/>
      <w:r w:rsidRPr="007E0BB4">
        <w:rPr>
          <w:i/>
        </w:rPr>
        <w:t>Lipidology</w:t>
      </w:r>
      <w:proofErr w:type="spellEnd"/>
      <w:r w:rsidRPr="007E0BB4">
        <w:t xml:space="preserve"> 2007</w:t>
      </w:r>
      <w:r>
        <w:t>:</w:t>
      </w:r>
      <w:r w:rsidRPr="007E0BB4">
        <w:t>1(4)</w:t>
      </w:r>
      <w:proofErr w:type="gramStart"/>
      <w:r>
        <w:t>;</w:t>
      </w:r>
      <w:r w:rsidRPr="007E0BB4">
        <w:t>280</w:t>
      </w:r>
      <w:proofErr w:type="gramEnd"/>
      <w:r w:rsidRPr="007E0BB4">
        <w:t>-286</w:t>
      </w:r>
      <w:r>
        <w:t>.</w:t>
      </w:r>
    </w:p>
  </w:footnote>
  <w:footnote w:id="15">
    <w:p w:rsidR="00AA2007" w:rsidRDefault="00AA2007" w:rsidP="0044556A">
      <w:pPr>
        <w:pStyle w:val="FootnoteText"/>
      </w:pPr>
      <w:r>
        <w:rPr>
          <w:rStyle w:val="FootnoteReference"/>
        </w:rPr>
        <w:footnoteRef/>
      </w:r>
      <w:r>
        <w:t xml:space="preserve"> </w:t>
      </w:r>
      <w:bookmarkStart w:id="142" w:name="_ENREF_17"/>
      <w:proofErr w:type="spellStart"/>
      <w:r w:rsidRPr="007E0BB4">
        <w:t>Ose</w:t>
      </w:r>
      <w:proofErr w:type="spellEnd"/>
      <w:r w:rsidRPr="007E0BB4">
        <w:t xml:space="preserve">, L., et al., W16-P-064 </w:t>
      </w:r>
      <w:proofErr w:type="spellStart"/>
      <w:r w:rsidRPr="007E0BB4">
        <w:t>Ezetimibe</w:t>
      </w:r>
      <w:proofErr w:type="spellEnd"/>
      <w:r w:rsidRPr="007E0BB4">
        <w:t xml:space="preserve"> added to </w:t>
      </w:r>
      <w:proofErr w:type="spellStart"/>
      <w:r w:rsidRPr="007E0BB4">
        <w:t>rosuvastatin</w:t>
      </w:r>
      <w:proofErr w:type="spellEnd"/>
      <w:r w:rsidRPr="007E0BB4">
        <w:t xml:space="preserve"> for severely </w:t>
      </w:r>
      <w:proofErr w:type="spellStart"/>
      <w:r w:rsidRPr="0044556A">
        <w:t>hypercholesterolemic</w:t>
      </w:r>
      <w:proofErr w:type="spellEnd"/>
      <w:r w:rsidRPr="007E0BB4">
        <w:t xml:space="preserve"> patients: Effects on lipid measures and C-reactive protein. </w:t>
      </w:r>
      <w:r w:rsidRPr="001D557F">
        <w:rPr>
          <w:i/>
        </w:rPr>
        <w:t>Atherosclerosis Supplements</w:t>
      </w:r>
      <w:r w:rsidRPr="007E0BB4">
        <w:t xml:space="preserve"> 2005</w:t>
      </w:r>
      <w:proofErr w:type="gramStart"/>
      <w:r>
        <w:t>;6</w:t>
      </w:r>
      <w:proofErr w:type="gramEnd"/>
      <w:r>
        <w:t>(1):</w:t>
      </w:r>
      <w:r w:rsidRPr="007E0BB4">
        <w:t>117.</w:t>
      </w:r>
      <w:bookmarkEnd w:id="142"/>
    </w:p>
  </w:footnote>
  <w:footnote w:id="16">
    <w:p w:rsidR="00AA2007" w:rsidRDefault="00AA2007" w:rsidP="0044556A">
      <w:pPr>
        <w:pStyle w:val="FootnoteText"/>
      </w:pPr>
      <w:r>
        <w:rPr>
          <w:rStyle w:val="FootnoteReference"/>
        </w:rPr>
        <w:footnoteRef/>
      </w:r>
      <w:r>
        <w:t xml:space="preserve"> </w:t>
      </w:r>
      <w:bookmarkStart w:id="143" w:name="_ENREF_15"/>
      <w:proofErr w:type="spellStart"/>
      <w:r w:rsidRPr="007E0BB4">
        <w:t>Leibovitz</w:t>
      </w:r>
      <w:proofErr w:type="spellEnd"/>
      <w:r w:rsidRPr="007E0BB4">
        <w:t xml:space="preserve">, E., et al., Th-P16:276 Efficacy and safety of </w:t>
      </w:r>
      <w:proofErr w:type="spellStart"/>
      <w:r w:rsidRPr="007E0BB4">
        <w:t>rosuvastatin-ezetemibe</w:t>
      </w:r>
      <w:proofErr w:type="spellEnd"/>
      <w:r w:rsidRPr="007E0BB4">
        <w:t xml:space="preserve"> combination for the treatment of severe hypercholesterolemia. </w:t>
      </w:r>
      <w:r w:rsidRPr="001D557F">
        <w:rPr>
          <w:i/>
        </w:rPr>
        <w:t>Atherosclerosis Supplements</w:t>
      </w:r>
      <w:r w:rsidRPr="007E0BB4">
        <w:t xml:space="preserve"> 2006</w:t>
      </w:r>
      <w:proofErr w:type="gramStart"/>
      <w:r>
        <w:t>;</w:t>
      </w:r>
      <w:r w:rsidRPr="007E0BB4">
        <w:t>7</w:t>
      </w:r>
      <w:proofErr w:type="gramEnd"/>
      <w:r w:rsidRPr="007E0BB4">
        <w:t>(3): 554.</w:t>
      </w:r>
      <w:bookmarkEnd w:id="143"/>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007" w:rsidRDefault="00AA2007"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007" w:rsidRDefault="00AA2007">
    <w:pPr>
      <w:rPr>
        <w:noProof/>
        <w:lang w:eastAsia="en-AU"/>
      </w:rPr>
    </w:pPr>
    <w:r w:rsidRPr="00347824">
      <w:rPr>
        <w:noProof/>
        <w:lang w:eastAsia="en-AU"/>
      </w:rPr>
      <w:drawing>
        <wp:anchor distT="0" distB="0" distL="114300" distR="114300" simplePos="0" relativeHeight="251659264" behindDoc="1" locked="0" layoutInCell="1" allowOverlap="1" wp14:anchorId="37C4E5A5" wp14:editId="17AACBAD">
          <wp:simplePos x="0" y="0"/>
          <wp:positionH relativeFrom="column">
            <wp:posOffset>-1089660</wp:posOffset>
          </wp:positionH>
          <wp:positionV relativeFrom="paragraph">
            <wp:posOffset>-585470</wp:posOffset>
          </wp:positionV>
          <wp:extent cx="7572375" cy="10706100"/>
          <wp:effectExtent l="19050" t="0" r="0" b="0"/>
          <wp:wrapNone/>
          <wp:docPr id="4"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rsidR="00AA2007" w:rsidRDefault="00AA2007" w:rsidP="00593AD1">
    <w:pPr>
      <w:pStyle w:val="HeaderNoLine"/>
    </w:pPr>
    <w:r>
      <w:rPr>
        <w:noProof/>
        <w:lang w:eastAsia="en-AU"/>
      </w:rPr>
      <w:drawing>
        <wp:inline distT="0" distB="0" distL="0" distR="0">
          <wp:extent cx="5400675" cy="7639050"/>
          <wp:effectExtent l="0" t="0" r="9525" b="0"/>
          <wp:docPr id="1" name="Picture 1"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675" cy="76390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007" w:rsidRDefault="00AA200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007" w:rsidRDefault="00AA2007">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007" w:rsidRDefault="00AA2007">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007" w:rsidRDefault="00AA2007">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007" w:rsidRDefault="00AA2007" w:rsidP="004C239D">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007" w:rsidRDefault="00AA2007" w:rsidP="006E08B3">
    <w:r>
      <w:t>Therapeutic Goods Administration</w:t>
    </w:r>
  </w:p>
  <w:p w:rsidR="00AA2007" w:rsidRDefault="00AA2007"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D12EE00"/>
    <w:lvl w:ilvl="0">
      <w:start w:val="1"/>
      <w:numFmt w:val="decimal"/>
      <w:lvlText w:val="%1."/>
      <w:lvlJc w:val="left"/>
      <w:pPr>
        <w:tabs>
          <w:tab w:val="num" w:pos="1492"/>
        </w:tabs>
        <w:ind w:left="1492" w:hanging="360"/>
      </w:pPr>
    </w:lvl>
  </w:abstractNum>
  <w:abstractNum w:abstractNumId="1">
    <w:nsid w:val="FFFFFF7D"/>
    <w:multiLevelType w:val="singleLevel"/>
    <w:tmpl w:val="955C7828"/>
    <w:lvl w:ilvl="0">
      <w:start w:val="1"/>
      <w:numFmt w:val="decimal"/>
      <w:lvlText w:val="%1."/>
      <w:lvlJc w:val="left"/>
      <w:pPr>
        <w:tabs>
          <w:tab w:val="num" w:pos="1209"/>
        </w:tabs>
        <w:ind w:left="1209" w:hanging="360"/>
      </w:pPr>
    </w:lvl>
  </w:abstractNum>
  <w:abstractNum w:abstractNumId="2">
    <w:nsid w:val="FFFFFF7E"/>
    <w:multiLevelType w:val="singleLevel"/>
    <w:tmpl w:val="D9E85B1C"/>
    <w:lvl w:ilvl="0">
      <w:start w:val="1"/>
      <w:numFmt w:val="decimal"/>
      <w:lvlText w:val="%1."/>
      <w:lvlJc w:val="left"/>
      <w:pPr>
        <w:tabs>
          <w:tab w:val="num" w:pos="926"/>
        </w:tabs>
        <w:ind w:left="926" w:hanging="360"/>
      </w:pPr>
    </w:lvl>
  </w:abstractNum>
  <w:abstractNum w:abstractNumId="3">
    <w:nsid w:val="FFFFFF7F"/>
    <w:multiLevelType w:val="singleLevel"/>
    <w:tmpl w:val="DF02EDCC"/>
    <w:lvl w:ilvl="0">
      <w:start w:val="1"/>
      <w:numFmt w:val="decimal"/>
      <w:lvlText w:val="%1."/>
      <w:lvlJc w:val="left"/>
      <w:pPr>
        <w:tabs>
          <w:tab w:val="num" w:pos="643"/>
        </w:tabs>
        <w:ind w:left="643" w:hanging="360"/>
      </w:pPr>
    </w:lvl>
  </w:abstractNum>
  <w:abstractNum w:abstractNumId="4">
    <w:nsid w:val="FFFFFF80"/>
    <w:multiLevelType w:val="singleLevel"/>
    <w:tmpl w:val="F7CE26F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B32BC80"/>
    <w:lvl w:ilvl="0">
      <w:start w:val="1"/>
      <w:numFmt w:val="bullet"/>
      <w:lvlText w:val=""/>
      <w:lvlJc w:val="left"/>
      <w:pPr>
        <w:tabs>
          <w:tab w:val="num" w:pos="1209"/>
        </w:tabs>
        <w:ind w:left="1209" w:hanging="360"/>
      </w:pPr>
      <w:rPr>
        <w:rFonts w:ascii="Symbol" w:hAnsi="Symbol" w:hint="default"/>
      </w:rPr>
    </w:lvl>
  </w:abstractNum>
  <w:abstractNum w:abstractNumId="6">
    <w:nsid w:val="FFFFFF88"/>
    <w:multiLevelType w:val="singleLevel"/>
    <w:tmpl w:val="B8F2975E"/>
    <w:lvl w:ilvl="0">
      <w:start w:val="1"/>
      <w:numFmt w:val="decimal"/>
      <w:lvlText w:val="%1."/>
      <w:lvlJc w:val="left"/>
      <w:pPr>
        <w:tabs>
          <w:tab w:val="num" w:pos="360"/>
        </w:tabs>
        <w:ind w:left="360" w:hanging="360"/>
      </w:pPr>
    </w:lvl>
  </w:abstractNum>
  <w:abstractNum w:abstractNumId="7">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8">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
    <w:nsid w:val="307D705F"/>
    <w:multiLevelType w:val="hybridMultilevel"/>
    <w:tmpl w:val="5E1CE522"/>
    <w:lvl w:ilvl="0" w:tplc="0C09000F">
      <w:start w:val="1"/>
      <w:numFmt w:val="decimal"/>
      <w:lvlText w:val="%1."/>
      <w:lvlJc w:val="left"/>
      <w:pPr>
        <w:ind w:left="580" w:hanging="360"/>
      </w:pPr>
    </w:lvl>
    <w:lvl w:ilvl="1" w:tplc="0C090019" w:tentative="1">
      <w:start w:val="1"/>
      <w:numFmt w:val="lowerLetter"/>
      <w:lvlText w:val="%2."/>
      <w:lvlJc w:val="left"/>
      <w:pPr>
        <w:ind w:left="1300" w:hanging="360"/>
      </w:pPr>
    </w:lvl>
    <w:lvl w:ilvl="2" w:tplc="0C09001B" w:tentative="1">
      <w:start w:val="1"/>
      <w:numFmt w:val="lowerRoman"/>
      <w:lvlText w:val="%3."/>
      <w:lvlJc w:val="right"/>
      <w:pPr>
        <w:ind w:left="2020" w:hanging="180"/>
      </w:pPr>
    </w:lvl>
    <w:lvl w:ilvl="3" w:tplc="0C09000F" w:tentative="1">
      <w:start w:val="1"/>
      <w:numFmt w:val="decimal"/>
      <w:lvlText w:val="%4."/>
      <w:lvlJc w:val="left"/>
      <w:pPr>
        <w:ind w:left="2740" w:hanging="360"/>
      </w:pPr>
    </w:lvl>
    <w:lvl w:ilvl="4" w:tplc="0C090019" w:tentative="1">
      <w:start w:val="1"/>
      <w:numFmt w:val="lowerLetter"/>
      <w:lvlText w:val="%5."/>
      <w:lvlJc w:val="left"/>
      <w:pPr>
        <w:ind w:left="3460" w:hanging="360"/>
      </w:pPr>
    </w:lvl>
    <w:lvl w:ilvl="5" w:tplc="0C09001B" w:tentative="1">
      <w:start w:val="1"/>
      <w:numFmt w:val="lowerRoman"/>
      <w:lvlText w:val="%6."/>
      <w:lvlJc w:val="right"/>
      <w:pPr>
        <w:ind w:left="4180" w:hanging="180"/>
      </w:pPr>
    </w:lvl>
    <w:lvl w:ilvl="6" w:tplc="0C09000F" w:tentative="1">
      <w:start w:val="1"/>
      <w:numFmt w:val="decimal"/>
      <w:lvlText w:val="%7."/>
      <w:lvlJc w:val="left"/>
      <w:pPr>
        <w:ind w:left="4900" w:hanging="360"/>
      </w:pPr>
    </w:lvl>
    <w:lvl w:ilvl="7" w:tplc="0C090019" w:tentative="1">
      <w:start w:val="1"/>
      <w:numFmt w:val="lowerLetter"/>
      <w:lvlText w:val="%8."/>
      <w:lvlJc w:val="left"/>
      <w:pPr>
        <w:ind w:left="5620" w:hanging="360"/>
      </w:pPr>
    </w:lvl>
    <w:lvl w:ilvl="8" w:tplc="0C09001B" w:tentative="1">
      <w:start w:val="1"/>
      <w:numFmt w:val="lowerRoman"/>
      <w:lvlText w:val="%9."/>
      <w:lvlJc w:val="right"/>
      <w:pPr>
        <w:ind w:left="6340" w:hanging="180"/>
      </w:pPr>
    </w:lvl>
  </w:abstractNum>
  <w:num w:numId="1">
    <w:abstractNumId w:val="8"/>
  </w:num>
  <w:num w:numId="2">
    <w:abstractNumId w:val="7"/>
  </w:num>
  <w:num w:numId="3">
    <w:abstractNumId w:val="8"/>
  </w:num>
  <w:num w:numId="4">
    <w:abstractNumId w:val="7"/>
  </w:num>
  <w:num w:numId="5">
    <w:abstractNumId w:val="7"/>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6">
    <w:abstractNumId w:val="9"/>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6"/>
  </w:num>
  <w:num w:numId="12">
    <w:abstractNumId w:val="2"/>
  </w:num>
  <w:num w:numId="13">
    <w:abstractNumId w:val="0"/>
  </w:num>
  <w:num w:numId="14">
    <w:abstractNumId w:val="1"/>
  </w:num>
  <w:num w:numId="15">
    <w:abstractNumId w:val="3"/>
  </w:num>
  <w:num w:numId="16">
    <w:abstractNumId w:val="5"/>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isplayBackgroundShap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1EB"/>
    <w:rsid w:val="00002031"/>
    <w:rsid w:val="00004734"/>
    <w:rsid w:val="00006B22"/>
    <w:rsid w:val="0001276A"/>
    <w:rsid w:val="00020CC0"/>
    <w:rsid w:val="00023F8E"/>
    <w:rsid w:val="000246AE"/>
    <w:rsid w:val="00025C67"/>
    <w:rsid w:val="00035E53"/>
    <w:rsid w:val="00044772"/>
    <w:rsid w:val="000459C5"/>
    <w:rsid w:val="000549DA"/>
    <w:rsid w:val="0005559E"/>
    <w:rsid w:val="000604D6"/>
    <w:rsid w:val="00065E1E"/>
    <w:rsid w:val="000734D8"/>
    <w:rsid w:val="00077775"/>
    <w:rsid w:val="00090471"/>
    <w:rsid w:val="00096AA7"/>
    <w:rsid w:val="00096E5F"/>
    <w:rsid w:val="000A3AED"/>
    <w:rsid w:val="000B3532"/>
    <w:rsid w:val="000B3A75"/>
    <w:rsid w:val="000C690F"/>
    <w:rsid w:val="000D1295"/>
    <w:rsid w:val="000D391B"/>
    <w:rsid w:val="000D3D6D"/>
    <w:rsid w:val="000D4FC7"/>
    <w:rsid w:val="000F1EA2"/>
    <w:rsid w:val="000F4869"/>
    <w:rsid w:val="000F5B42"/>
    <w:rsid w:val="000F6E6F"/>
    <w:rsid w:val="000F7116"/>
    <w:rsid w:val="0010601F"/>
    <w:rsid w:val="0010788A"/>
    <w:rsid w:val="00107A31"/>
    <w:rsid w:val="00110EA5"/>
    <w:rsid w:val="00112F56"/>
    <w:rsid w:val="00125318"/>
    <w:rsid w:val="001305A2"/>
    <w:rsid w:val="00133238"/>
    <w:rsid w:val="0014197B"/>
    <w:rsid w:val="001447CD"/>
    <w:rsid w:val="001516B1"/>
    <w:rsid w:val="00154EBB"/>
    <w:rsid w:val="00156316"/>
    <w:rsid w:val="00162D14"/>
    <w:rsid w:val="0016345B"/>
    <w:rsid w:val="001648DF"/>
    <w:rsid w:val="00165389"/>
    <w:rsid w:val="00166E6A"/>
    <w:rsid w:val="001731EB"/>
    <w:rsid w:val="0017693F"/>
    <w:rsid w:val="0018110E"/>
    <w:rsid w:val="00181684"/>
    <w:rsid w:val="001843C6"/>
    <w:rsid w:val="001850E0"/>
    <w:rsid w:val="001A2158"/>
    <w:rsid w:val="001A525F"/>
    <w:rsid w:val="001B09F9"/>
    <w:rsid w:val="001B5C90"/>
    <w:rsid w:val="001B6448"/>
    <w:rsid w:val="001C32CD"/>
    <w:rsid w:val="001D2984"/>
    <w:rsid w:val="001D557F"/>
    <w:rsid w:val="001E07CF"/>
    <w:rsid w:val="001E59F1"/>
    <w:rsid w:val="001F49EB"/>
    <w:rsid w:val="001F6CBA"/>
    <w:rsid w:val="00201D4E"/>
    <w:rsid w:val="0020613A"/>
    <w:rsid w:val="002076C9"/>
    <w:rsid w:val="00213AE1"/>
    <w:rsid w:val="0021520B"/>
    <w:rsid w:val="00220B8A"/>
    <w:rsid w:val="002257F3"/>
    <w:rsid w:val="00233456"/>
    <w:rsid w:val="002339A5"/>
    <w:rsid w:val="00257848"/>
    <w:rsid w:val="0026042A"/>
    <w:rsid w:val="0026677B"/>
    <w:rsid w:val="0027084A"/>
    <w:rsid w:val="00286434"/>
    <w:rsid w:val="00286C59"/>
    <w:rsid w:val="00291957"/>
    <w:rsid w:val="002942D1"/>
    <w:rsid w:val="0029501A"/>
    <w:rsid w:val="002B1638"/>
    <w:rsid w:val="002B3624"/>
    <w:rsid w:val="002C6699"/>
    <w:rsid w:val="002E40B3"/>
    <w:rsid w:val="002E4C9A"/>
    <w:rsid w:val="002F11F8"/>
    <w:rsid w:val="002F3F56"/>
    <w:rsid w:val="002F44B5"/>
    <w:rsid w:val="002F6BC4"/>
    <w:rsid w:val="00311AC0"/>
    <w:rsid w:val="0031305B"/>
    <w:rsid w:val="0032097C"/>
    <w:rsid w:val="003227C2"/>
    <w:rsid w:val="0032583B"/>
    <w:rsid w:val="00327883"/>
    <w:rsid w:val="00335504"/>
    <w:rsid w:val="00341961"/>
    <w:rsid w:val="00347824"/>
    <w:rsid w:val="00350567"/>
    <w:rsid w:val="003521E8"/>
    <w:rsid w:val="003659BF"/>
    <w:rsid w:val="003728F3"/>
    <w:rsid w:val="0037496E"/>
    <w:rsid w:val="0037560F"/>
    <w:rsid w:val="00386150"/>
    <w:rsid w:val="00387034"/>
    <w:rsid w:val="003874CE"/>
    <w:rsid w:val="00390900"/>
    <w:rsid w:val="003A0D42"/>
    <w:rsid w:val="003A7F6C"/>
    <w:rsid w:val="003B4D60"/>
    <w:rsid w:val="003B7E39"/>
    <w:rsid w:val="003C58DC"/>
    <w:rsid w:val="003D1E62"/>
    <w:rsid w:val="003E060E"/>
    <w:rsid w:val="003E2486"/>
    <w:rsid w:val="003E3208"/>
    <w:rsid w:val="003E6CF0"/>
    <w:rsid w:val="003F0B04"/>
    <w:rsid w:val="003F0B13"/>
    <w:rsid w:val="0040134E"/>
    <w:rsid w:val="00404141"/>
    <w:rsid w:val="004152BB"/>
    <w:rsid w:val="004334C7"/>
    <w:rsid w:val="00440A2D"/>
    <w:rsid w:val="004422B9"/>
    <w:rsid w:val="0044556A"/>
    <w:rsid w:val="00454563"/>
    <w:rsid w:val="004564A7"/>
    <w:rsid w:val="004617BF"/>
    <w:rsid w:val="00463658"/>
    <w:rsid w:val="004637A0"/>
    <w:rsid w:val="004722CC"/>
    <w:rsid w:val="004936E4"/>
    <w:rsid w:val="00494E60"/>
    <w:rsid w:val="00497487"/>
    <w:rsid w:val="004A7390"/>
    <w:rsid w:val="004B7B76"/>
    <w:rsid w:val="004C239D"/>
    <w:rsid w:val="004C2DCA"/>
    <w:rsid w:val="004E0B5C"/>
    <w:rsid w:val="004E35AD"/>
    <w:rsid w:val="004F0C4A"/>
    <w:rsid w:val="004F0F38"/>
    <w:rsid w:val="00501921"/>
    <w:rsid w:val="00503915"/>
    <w:rsid w:val="005059BE"/>
    <w:rsid w:val="005139BE"/>
    <w:rsid w:val="005268C4"/>
    <w:rsid w:val="00530354"/>
    <w:rsid w:val="0053625B"/>
    <w:rsid w:val="00542B6B"/>
    <w:rsid w:val="005434C6"/>
    <w:rsid w:val="00543B39"/>
    <w:rsid w:val="00546154"/>
    <w:rsid w:val="00546FFD"/>
    <w:rsid w:val="00550096"/>
    <w:rsid w:val="00555280"/>
    <w:rsid w:val="00557FF9"/>
    <w:rsid w:val="00575D8D"/>
    <w:rsid w:val="00576378"/>
    <w:rsid w:val="00577130"/>
    <w:rsid w:val="00577945"/>
    <w:rsid w:val="00577E38"/>
    <w:rsid w:val="00585322"/>
    <w:rsid w:val="005857C6"/>
    <w:rsid w:val="00590AD5"/>
    <w:rsid w:val="00592F6E"/>
    <w:rsid w:val="00593AD1"/>
    <w:rsid w:val="00596631"/>
    <w:rsid w:val="005A334E"/>
    <w:rsid w:val="005A68B6"/>
    <w:rsid w:val="005C2C9B"/>
    <w:rsid w:val="005C3C59"/>
    <w:rsid w:val="005C5570"/>
    <w:rsid w:val="005C79A4"/>
    <w:rsid w:val="005D5442"/>
    <w:rsid w:val="005F23B2"/>
    <w:rsid w:val="005F538F"/>
    <w:rsid w:val="00603F32"/>
    <w:rsid w:val="00605AD4"/>
    <w:rsid w:val="00625A6E"/>
    <w:rsid w:val="00632398"/>
    <w:rsid w:val="006342EB"/>
    <w:rsid w:val="00640FC3"/>
    <w:rsid w:val="00642020"/>
    <w:rsid w:val="0065337B"/>
    <w:rsid w:val="0065419D"/>
    <w:rsid w:val="00654958"/>
    <w:rsid w:val="00656B4F"/>
    <w:rsid w:val="006604D8"/>
    <w:rsid w:val="00664A5B"/>
    <w:rsid w:val="006763D2"/>
    <w:rsid w:val="00680C08"/>
    <w:rsid w:val="006931B1"/>
    <w:rsid w:val="006A15C0"/>
    <w:rsid w:val="006C3E2A"/>
    <w:rsid w:val="006C642F"/>
    <w:rsid w:val="006C6859"/>
    <w:rsid w:val="006D03E5"/>
    <w:rsid w:val="006D51DC"/>
    <w:rsid w:val="006D5D3E"/>
    <w:rsid w:val="006E08B3"/>
    <w:rsid w:val="006E33DE"/>
    <w:rsid w:val="006E7948"/>
    <w:rsid w:val="006F17AC"/>
    <w:rsid w:val="006F25B8"/>
    <w:rsid w:val="006F572E"/>
    <w:rsid w:val="007046D6"/>
    <w:rsid w:val="00705DB0"/>
    <w:rsid w:val="00722B57"/>
    <w:rsid w:val="00730F8A"/>
    <w:rsid w:val="00731436"/>
    <w:rsid w:val="0074253D"/>
    <w:rsid w:val="0074429B"/>
    <w:rsid w:val="0075730E"/>
    <w:rsid w:val="007615BC"/>
    <w:rsid w:val="00762F05"/>
    <w:rsid w:val="007652FF"/>
    <w:rsid w:val="00770EF1"/>
    <w:rsid w:val="00773EF7"/>
    <w:rsid w:val="00774E1D"/>
    <w:rsid w:val="0077675A"/>
    <w:rsid w:val="00780355"/>
    <w:rsid w:val="007819FD"/>
    <w:rsid w:val="00785721"/>
    <w:rsid w:val="00793A59"/>
    <w:rsid w:val="007B0BF8"/>
    <w:rsid w:val="007B6132"/>
    <w:rsid w:val="007B6E9F"/>
    <w:rsid w:val="007C1216"/>
    <w:rsid w:val="007C1AF7"/>
    <w:rsid w:val="007E0BB4"/>
    <w:rsid w:val="00805D27"/>
    <w:rsid w:val="00807B9F"/>
    <w:rsid w:val="0081558B"/>
    <w:rsid w:val="00821776"/>
    <w:rsid w:val="00824073"/>
    <w:rsid w:val="008321F5"/>
    <w:rsid w:val="00832369"/>
    <w:rsid w:val="00834660"/>
    <w:rsid w:val="00836BC2"/>
    <w:rsid w:val="00847151"/>
    <w:rsid w:val="0085156D"/>
    <w:rsid w:val="00852E10"/>
    <w:rsid w:val="0085343B"/>
    <w:rsid w:val="0085641B"/>
    <w:rsid w:val="00857136"/>
    <w:rsid w:val="008615E3"/>
    <w:rsid w:val="00874BA9"/>
    <w:rsid w:val="00885B11"/>
    <w:rsid w:val="00886D15"/>
    <w:rsid w:val="00887DD8"/>
    <w:rsid w:val="00891BA9"/>
    <w:rsid w:val="00896018"/>
    <w:rsid w:val="008960DD"/>
    <w:rsid w:val="0089635C"/>
    <w:rsid w:val="008A2B9D"/>
    <w:rsid w:val="008A3D9F"/>
    <w:rsid w:val="008A5E0B"/>
    <w:rsid w:val="008A6D59"/>
    <w:rsid w:val="008B4B03"/>
    <w:rsid w:val="008B596F"/>
    <w:rsid w:val="008B5ED5"/>
    <w:rsid w:val="008B6B24"/>
    <w:rsid w:val="008C159F"/>
    <w:rsid w:val="008C15A9"/>
    <w:rsid w:val="008C1623"/>
    <w:rsid w:val="008C1850"/>
    <w:rsid w:val="008C51A9"/>
    <w:rsid w:val="008C6744"/>
    <w:rsid w:val="008D6CC4"/>
    <w:rsid w:val="008E4CBE"/>
    <w:rsid w:val="008E7846"/>
    <w:rsid w:val="008F1CCC"/>
    <w:rsid w:val="008F2967"/>
    <w:rsid w:val="008F4439"/>
    <w:rsid w:val="008F6943"/>
    <w:rsid w:val="00902A21"/>
    <w:rsid w:val="00920330"/>
    <w:rsid w:val="009219D7"/>
    <w:rsid w:val="00922D53"/>
    <w:rsid w:val="00923B70"/>
    <w:rsid w:val="00924482"/>
    <w:rsid w:val="00930237"/>
    <w:rsid w:val="00931012"/>
    <w:rsid w:val="009315FC"/>
    <w:rsid w:val="00940A89"/>
    <w:rsid w:val="00946EA5"/>
    <w:rsid w:val="00963C08"/>
    <w:rsid w:val="0098585A"/>
    <w:rsid w:val="009A23B7"/>
    <w:rsid w:val="009A4CED"/>
    <w:rsid w:val="009A690D"/>
    <w:rsid w:val="009B1D12"/>
    <w:rsid w:val="009B416B"/>
    <w:rsid w:val="009C4BD5"/>
    <w:rsid w:val="009D7B77"/>
    <w:rsid w:val="009D7DAA"/>
    <w:rsid w:val="009E0BB0"/>
    <w:rsid w:val="009E187B"/>
    <w:rsid w:val="009E3FBB"/>
    <w:rsid w:val="00A04F85"/>
    <w:rsid w:val="00A102E4"/>
    <w:rsid w:val="00A12C42"/>
    <w:rsid w:val="00A14DF7"/>
    <w:rsid w:val="00A3246D"/>
    <w:rsid w:val="00A36FA7"/>
    <w:rsid w:val="00A44DDB"/>
    <w:rsid w:val="00A475B7"/>
    <w:rsid w:val="00A47AF7"/>
    <w:rsid w:val="00A47C3E"/>
    <w:rsid w:val="00A50226"/>
    <w:rsid w:val="00A50AD5"/>
    <w:rsid w:val="00A60BAD"/>
    <w:rsid w:val="00A80B5B"/>
    <w:rsid w:val="00A84E36"/>
    <w:rsid w:val="00A92A29"/>
    <w:rsid w:val="00A964D1"/>
    <w:rsid w:val="00AA0ED0"/>
    <w:rsid w:val="00AA2007"/>
    <w:rsid w:val="00AC2B40"/>
    <w:rsid w:val="00AC2BB2"/>
    <w:rsid w:val="00AC2C3C"/>
    <w:rsid w:val="00AC512D"/>
    <w:rsid w:val="00AD0083"/>
    <w:rsid w:val="00AD3935"/>
    <w:rsid w:val="00AD4BB7"/>
    <w:rsid w:val="00AE18E0"/>
    <w:rsid w:val="00AE65EB"/>
    <w:rsid w:val="00AE67A7"/>
    <w:rsid w:val="00AF0C25"/>
    <w:rsid w:val="00AF0CC8"/>
    <w:rsid w:val="00AF1D94"/>
    <w:rsid w:val="00AF60C5"/>
    <w:rsid w:val="00AF6D25"/>
    <w:rsid w:val="00B009C6"/>
    <w:rsid w:val="00B01548"/>
    <w:rsid w:val="00B21D29"/>
    <w:rsid w:val="00B25034"/>
    <w:rsid w:val="00B33588"/>
    <w:rsid w:val="00B33863"/>
    <w:rsid w:val="00B37D17"/>
    <w:rsid w:val="00B4175E"/>
    <w:rsid w:val="00B452CE"/>
    <w:rsid w:val="00B47931"/>
    <w:rsid w:val="00B54C25"/>
    <w:rsid w:val="00B5557E"/>
    <w:rsid w:val="00B765DE"/>
    <w:rsid w:val="00B76B91"/>
    <w:rsid w:val="00B77EB1"/>
    <w:rsid w:val="00B811C6"/>
    <w:rsid w:val="00B855B0"/>
    <w:rsid w:val="00B92E08"/>
    <w:rsid w:val="00BA41A9"/>
    <w:rsid w:val="00BC622A"/>
    <w:rsid w:val="00BC7AB0"/>
    <w:rsid w:val="00BE0A78"/>
    <w:rsid w:val="00BE79F0"/>
    <w:rsid w:val="00BF046D"/>
    <w:rsid w:val="00BF1190"/>
    <w:rsid w:val="00BF5D04"/>
    <w:rsid w:val="00C1164D"/>
    <w:rsid w:val="00C16861"/>
    <w:rsid w:val="00C404A6"/>
    <w:rsid w:val="00C40A36"/>
    <w:rsid w:val="00C44419"/>
    <w:rsid w:val="00C45E7B"/>
    <w:rsid w:val="00C471B1"/>
    <w:rsid w:val="00C6316B"/>
    <w:rsid w:val="00C634A9"/>
    <w:rsid w:val="00C63F3A"/>
    <w:rsid w:val="00C64586"/>
    <w:rsid w:val="00C70D53"/>
    <w:rsid w:val="00C73D0B"/>
    <w:rsid w:val="00C772FF"/>
    <w:rsid w:val="00C80137"/>
    <w:rsid w:val="00C801AF"/>
    <w:rsid w:val="00C80256"/>
    <w:rsid w:val="00C84065"/>
    <w:rsid w:val="00C9747E"/>
    <w:rsid w:val="00CA35FE"/>
    <w:rsid w:val="00CB6BC0"/>
    <w:rsid w:val="00CC160C"/>
    <w:rsid w:val="00CC1B7C"/>
    <w:rsid w:val="00CC727F"/>
    <w:rsid w:val="00CD1A0B"/>
    <w:rsid w:val="00CF15C3"/>
    <w:rsid w:val="00CF2B6F"/>
    <w:rsid w:val="00CF58B6"/>
    <w:rsid w:val="00D00732"/>
    <w:rsid w:val="00D017ED"/>
    <w:rsid w:val="00D02086"/>
    <w:rsid w:val="00D040D3"/>
    <w:rsid w:val="00D04368"/>
    <w:rsid w:val="00D04C65"/>
    <w:rsid w:val="00D07E32"/>
    <w:rsid w:val="00D201D2"/>
    <w:rsid w:val="00D224FE"/>
    <w:rsid w:val="00D23139"/>
    <w:rsid w:val="00D318C2"/>
    <w:rsid w:val="00D4126A"/>
    <w:rsid w:val="00D425BB"/>
    <w:rsid w:val="00D51ACD"/>
    <w:rsid w:val="00D62739"/>
    <w:rsid w:val="00D6493E"/>
    <w:rsid w:val="00D707DE"/>
    <w:rsid w:val="00D7195D"/>
    <w:rsid w:val="00D7301E"/>
    <w:rsid w:val="00D83AE1"/>
    <w:rsid w:val="00D855D4"/>
    <w:rsid w:val="00D87DDA"/>
    <w:rsid w:val="00D93466"/>
    <w:rsid w:val="00DA1124"/>
    <w:rsid w:val="00DA3A87"/>
    <w:rsid w:val="00DB50A6"/>
    <w:rsid w:val="00DB6124"/>
    <w:rsid w:val="00DB750B"/>
    <w:rsid w:val="00DB75B7"/>
    <w:rsid w:val="00DC6E02"/>
    <w:rsid w:val="00DE02AE"/>
    <w:rsid w:val="00DF1D7F"/>
    <w:rsid w:val="00DF4BE4"/>
    <w:rsid w:val="00E02FB4"/>
    <w:rsid w:val="00E126BC"/>
    <w:rsid w:val="00E13FC7"/>
    <w:rsid w:val="00E1787E"/>
    <w:rsid w:val="00E20571"/>
    <w:rsid w:val="00E235F7"/>
    <w:rsid w:val="00E23659"/>
    <w:rsid w:val="00E239D4"/>
    <w:rsid w:val="00E26130"/>
    <w:rsid w:val="00E3387F"/>
    <w:rsid w:val="00E40B22"/>
    <w:rsid w:val="00E44ED1"/>
    <w:rsid w:val="00E45619"/>
    <w:rsid w:val="00E4588F"/>
    <w:rsid w:val="00E46DA3"/>
    <w:rsid w:val="00E51BB1"/>
    <w:rsid w:val="00E554F7"/>
    <w:rsid w:val="00E624A5"/>
    <w:rsid w:val="00E7344E"/>
    <w:rsid w:val="00E91825"/>
    <w:rsid w:val="00E93850"/>
    <w:rsid w:val="00EB0798"/>
    <w:rsid w:val="00EB40AD"/>
    <w:rsid w:val="00EB586E"/>
    <w:rsid w:val="00EB5FC8"/>
    <w:rsid w:val="00EC2122"/>
    <w:rsid w:val="00EC47BC"/>
    <w:rsid w:val="00EC7A85"/>
    <w:rsid w:val="00ED3CAD"/>
    <w:rsid w:val="00ED5A41"/>
    <w:rsid w:val="00EE1DE8"/>
    <w:rsid w:val="00F033EC"/>
    <w:rsid w:val="00F04F68"/>
    <w:rsid w:val="00F12670"/>
    <w:rsid w:val="00F14B27"/>
    <w:rsid w:val="00F2473E"/>
    <w:rsid w:val="00F3148D"/>
    <w:rsid w:val="00F325C5"/>
    <w:rsid w:val="00F32FE0"/>
    <w:rsid w:val="00F35298"/>
    <w:rsid w:val="00F47333"/>
    <w:rsid w:val="00F47E37"/>
    <w:rsid w:val="00F53C07"/>
    <w:rsid w:val="00F54B65"/>
    <w:rsid w:val="00F640B6"/>
    <w:rsid w:val="00F80E40"/>
    <w:rsid w:val="00F848D9"/>
    <w:rsid w:val="00F86551"/>
    <w:rsid w:val="00FA5B82"/>
    <w:rsid w:val="00FA639E"/>
    <w:rsid w:val="00FC25E4"/>
    <w:rsid w:val="00FC4EF7"/>
    <w:rsid w:val="00FD0824"/>
    <w:rsid w:val="00FD119B"/>
    <w:rsid w:val="00FD1EDC"/>
    <w:rsid w:val="00FE1DEE"/>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semiHidden="0" w:unhideWhenUsed="0"/>
    <w:lsdException w:name="footer" w:semiHidden="0" w:unhideWhenUsed="0"/>
    <w:lsdException w:name="caption" w:semiHidden="0" w:uiPriority="35" w:unhideWhenUsed="0"/>
    <w:lsdException w:name="annotation reference" w:uiPriority="0"/>
    <w:lsdException w:name="endnote text" w:uiPriority="0"/>
    <w:lsdException w:name="List Bullet" w:semiHidden="0" w:unhideWhenUsed="0" w:qFormat="1"/>
    <w:lsdException w:name="List Bullet 2" w:semiHidden="0" w:unhideWhenUsed="0" w:qFormat="1"/>
    <w:lsdException w:name="List Bullet 3" w:uiPriority="2"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31305B"/>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AD0083"/>
    <w:pPr>
      <w:keepNext/>
      <w:spacing w:after="60" w:line="180" w:lineRule="atLeast"/>
      <w:outlineLvl w:val="6"/>
    </w:pPr>
    <w:rPr>
      <w:rFonts w:eastAsia="Times New Roman"/>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AD3935"/>
    <w:rPr>
      <w:rFonts w:ascii="Arial" w:eastAsia="Times New Roman" w:hAnsi="Arial" w:cs="Times New Roman"/>
      <w:b/>
      <w:bCs/>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AD0083"/>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3"/>
      </w:numPr>
    </w:pPr>
  </w:style>
  <w:style w:type="paragraph" w:styleId="ListBullet2">
    <w:name w:val="List Bullet 2"/>
    <w:basedOn w:val="Normal"/>
    <w:uiPriority w:val="2"/>
    <w:qFormat/>
    <w:rsid w:val="004C2DCA"/>
    <w:pPr>
      <w:numPr>
        <w:ilvl w:val="1"/>
        <w:numId w:val="3"/>
      </w:numPr>
    </w:pPr>
  </w:style>
  <w:style w:type="paragraph" w:styleId="ListBullet3">
    <w:name w:val="List Bullet 3"/>
    <w:basedOn w:val="Normal"/>
    <w:uiPriority w:val="2"/>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Instructionaltext">
    <w:name w:val="Instructional text"/>
    <w:basedOn w:val="Normal"/>
    <w:link w:val="InstructionaltextChar"/>
    <w:uiPriority w:val="1"/>
    <w:qFormat/>
    <w:rsid w:val="00A44DDB"/>
    <w:rPr>
      <w:i/>
      <w:color w:val="22ABFF" w:themeColor="accent1" w:themeTint="80"/>
      <w:szCs w:val="24"/>
    </w:rPr>
  </w:style>
  <w:style w:type="character" w:customStyle="1" w:styleId="InstructionaltextChar">
    <w:name w:val="Instructional text Char"/>
    <w:basedOn w:val="DefaultParagraphFont"/>
    <w:link w:val="Instructionaltext"/>
    <w:uiPriority w:val="1"/>
    <w:rsid w:val="00AD3935"/>
    <w:rPr>
      <w:rFonts w:ascii="Cambria" w:eastAsia="Cambria" w:hAnsi="Cambria" w:cs="Times New Roman"/>
      <w:i/>
      <w:color w:val="22ABFF" w:themeColor="accent1" w:themeTint="80"/>
      <w:szCs w:val="24"/>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character" w:styleId="CommentReference">
    <w:name w:val="annotation reference"/>
    <w:basedOn w:val="DefaultParagraphFont"/>
    <w:rsid w:val="00E91825"/>
    <w:rPr>
      <w:sz w:val="16"/>
      <w:szCs w:val="16"/>
    </w:rPr>
  </w:style>
  <w:style w:type="paragraph" w:styleId="CommentText">
    <w:name w:val="annotation text"/>
    <w:basedOn w:val="Normal"/>
    <w:link w:val="CommentTextChar"/>
    <w:rsid w:val="00E91825"/>
    <w:pPr>
      <w:adjustRightInd w:val="0"/>
      <w:snapToGrid w:val="0"/>
      <w:spacing w:before="0" w:after="0" w:line="240" w:lineRule="auto"/>
    </w:pPr>
    <w:rPr>
      <w:rFonts w:eastAsia="MS Mincho"/>
      <w:sz w:val="20"/>
      <w:szCs w:val="20"/>
      <w:lang w:eastAsia="ja-JP"/>
    </w:rPr>
  </w:style>
  <w:style w:type="character" w:customStyle="1" w:styleId="CommentTextChar">
    <w:name w:val="Comment Text Char"/>
    <w:basedOn w:val="DefaultParagraphFont"/>
    <w:link w:val="CommentText"/>
    <w:rsid w:val="00E91825"/>
    <w:rPr>
      <w:rFonts w:ascii="Cambria" w:eastAsia="MS Mincho" w:hAnsi="Cambria" w:cs="Times New Roman"/>
      <w:sz w:val="20"/>
      <w:szCs w:val="20"/>
      <w:lang w:eastAsia="ja-JP"/>
    </w:rPr>
  </w:style>
  <w:style w:type="paragraph" w:styleId="ListParagraph">
    <w:name w:val="List Paragraph"/>
    <w:basedOn w:val="Normal"/>
    <w:uiPriority w:val="34"/>
    <w:qFormat/>
    <w:rsid w:val="003E6CF0"/>
    <w:pPr>
      <w:adjustRightInd w:val="0"/>
      <w:snapToGrid w:val="0"/>
      <w:spacing w:before="0" w:after="0"/>
      <w:ind w:left="720"/>
      <w:contextualSpacing/>
    </w:pPr>
    <w:rPr>
      <w:rFonts w:eastAsia="MS Mincho"/>
      <w:szCs w:val="20"/>
      <w:lang w:eastAsia="ja-JP"/>
    </w:rPr>
  </w:style>
  <w:style w:type="paragraph" w:customStyle="1" w:styleId="Subject">
    <w:name w:val="Subject"/>
    <w:basedOn w:val="Normal"/>
    <w:qFormat/>
    <w:rsid w:val="004152BB"/>
    <w:pPr>
      <w:adjustRightInd w:val="0"/>
      <w:snapToGrid w:val="0"/>
      <w:spacing w:before="180" w:after="180"/>
    </w:pPr>
    <w:rPr>
      <w:rFonts w:eastAsia="MS Mincho"/>
      <w:b/>
      <w:szCs w:val="20"/>
      <w:lang w:eastAsia="ja-JP"/>
    </w:rPr>
  </w:style>
  <w:style w:type="paragraph" w:customStyle="1" w:styleId="Standard">
    <w:name w:val="Standard"/>
    <w:basedOn w:val="Normal"/>
    <w:link w:val="StandardChar"/>
    <w:rsid w:val="004152BB"/>
    <w:pPr>
      <w:widowControl w:val="0"/>
      <w:spacing w:before="0" w:after="220" w:line="252" w:lineRule="auto"/>
    </w:pPr>
    <w:rPr>
      <w:rFonts w:eastAsia="Times New Roman"/>
      <w:kern w:val="16"/>
      <w:szCs w:val="24"/>
    </w:rPr>
  </w:style>
  <w:style w:type="character" w:customStyle="1" w:styleId="StandardChar">
    <w:name w:val="Standard Char"/>
    <w:basedOn w:val="DefaultParagraphFont"/>
    <w:link w:val="Standard"/>
    <w:rsid w:val="004152BB"/>
    <w:rPr>
      <w:rFonts w:ascii="Cambria" w:eastAsia="Times New Roman" w:hAnsi="Cambria" w:cs="Times New Roman"/>
      <w:kern w:val="16"/>
      <w:szCs w:val="24"/>
    </w:rPr>
  </w:style>
  <w:style w:type="paragraph" w:customStyle="1" w:styleId="SectionHeading">
    <w:name w:val="Section Heading"/>
    <w:basedOn w:val="Standard"/>
    <w:next w:val="Standard"/>
    <w:qFormat/>
    <w:rsid w:val="004152BB"/>
    <w:pPr>
      <w:keepNext/>
    </w:pPr>
    <w:rPr>
      <w:b/>
      <w:caps/>
      <w:sz w:val="24"/>
    </w:rPr>
  </w:style>
  <w:style w:type="paragraph" w:customStyle="1" w:styleId="Default">
    <w:name w:val="Default"/>
    <w:rsid w:val="003227C2"/>
    <w:pPr>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EndnoteText">
    <w:name w:val="endnote text"/>
    <w:basedOn w:val="Normal"/>
    <w:link w:val="EndnoteTextChar"/>
    <w:semiHidden/>
    <w:rsid w:val="003227C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 w:val="20"/>
      <w:szCs w:val="20"/>
      <w:lang w:eastAsia="en-AU"/>
    </w:rPr>
  </w:style>
  <w:style w:type="character" w:customStyle="1" w:styleId="EndnoteTextChar">
    <w:name w:val="Endnote Text Char"/>
    <w:basedOn w:val="DefaultParagraphFont"/>
    <w:link w:val="EndnoteText"/>
    <w:semiHidden/>
    <w:rsid w:val="003227C2"/>
    <w:rPr>
      <w:rFonts w:ascii="Cambria" w:eastAsia="Times New Roman" w:hAnsi="Cambria" w:cs="Times New Roman"/>
      <w:kern w:val="16"/>
      <w:sz w:val="20"/>
      <w:szCs w:val="20"/>
      <w:lang w:eastAsia="en-AU"/>
    </w:rPr>
  </w:style>
  <w:style w:type="character" w:customStyle="1" w:styleId="st1">
    <w:name w:val="st1"/>
    <w:basedOn w:val="DefaultParagraphFont"/>
    <w:rsid w:val="00596631"/>
  </w:style>
  <w:style w:type="table" w:customStyle="1" w:styleId="TableTGAblue1">
    <w:name w:val="Table TGA blue1"/>
    <w:basedOn w:val="TableNormal"/>
    <w:uiPriority w:val="99"/>
    <w:qFormat/>
    <w:rsid w:val="00596631"/>
    <w:pPr>
      <w:spacing w:after="0" w:line="240" w:lineRule="auto"/>
    </w:pPr>
    <w:rPr>
      <w:rFonts w:ascii="Cambria" w:hAnsi="Cambria" w:cs="Times New Roman"/>
      <w:color w:val="000000"/>
      <w:szCs w:val="2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wordWrap/>
      </w:pPr>
      <w:rPr>
        <w:rFonts w:ascii="Cambria" w:hAnsi="Cambria" w:hint="default"/>
        <w:b/>
        <w:color w:val="FFFFFF"/>
        <w:sz w:val="22"/>
        <w:szCs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character" w:styleId="EndnoteReference">
    <w:name w:val="endnote reference"/>
    <w:basedOn w:val="DefaultParagraphFont"/>
    <w:uiPriority w:val="99"/>
    <w:semiHidden/>
    <w:unhideWhenUsed/>
    <w:rsid w:val="009315F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semiHidden="0" w:unhideWhenUsed="0"/>
    <w:lsdException w:name="footer" w:semiHidden="0" w:unhideWhenUsed="0"/>
    <w:lsdException w:name="caption" w:semiHidden="0" w:uiPriority="35" w:unhideWhenUsed="0"/>
    <w:lsdException w:name="annotation reference" w:uiPriority="0"/>
    <w:lsdException w:name="endnote text" w:uiPriority="0"/>
    <w:lsdException w:name="List Bullet" w:semiHidden="0" w:unhideWhenUsed="0" w:qFormat="1"/>
    <w:lsdException w:name="List Bullet 2" w:semiHidden="0" w:unhideWhenUsed="0" w:qFormat="1"/>
    <w:lsdException w:name="List Bullet 3" w:uiPriority="2"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31305B"/>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AD0083"/>
    <w:pPr>
      <w:keepNext/>
      <w:spacing w:after="60" w:line="180" w:lineRule="atLeast"/>
      <w:outlineLvl w:val="6"/>
    </w:pPr>
    <w:rPr>
      <w:rFonts w:eastAsia="Times New Roman"/>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AD3935"/>
    <w:rPr>
      <w:rFonts w:ascii="Arial" w:eastAsia="Times New Roman" w:hAnsi="Arial" w:cs="Times New Roman"/>
      <w:b/>
      <w:bCs/>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AD0083"/>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3"/>
      </w:numPr>
    </w:pPr>
  </w:style>
  <w:style w:type="paragraph" w:styleId="ListBullet2">
    <w:name w:val="List Bullet 2"/>
    <w:basedOn w:val="Normal"/>
    <w:uiPriority w:val="2"/>
    <w:qFormat/>
    <w:rsid w:val="004C2DCA"/>
    <w:pPr>
      <w:numPr>
        <w:ilvl w:val="1"/>
        <w:numId w:val="3"/>
      </w:numPr>
    </w:pPr>
  </w:style>
  <w:style w:type="paragraph" w:styleId="ListBullet3">
    <w:name w:val="List Bullet 3"/>
    <w:basedOn w:val="Normal"/>
    <w:uiPriority w:val="2"/>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Instructionaltext">
    <w:name w:val="Instructional text"/>
    <w:basedOn w:val="Normal"/>
    <w:link w:val="InstructionaltextChar"/>
    <w:uiPriority w:val="1"/>
    <w:qFormat/>
    <w:rsid w:val="00A44DDB"/>
    <w:rPr>
      <w:i/>
      <w:color w:val="22ABFF" w:themeColor="accent1" w:themeTint="80"/>
      <w:szCs w:val="24"/>
    </w:rPr>
  </w:style>
  <w:style w:type="character" w:customStyle="1" w:styleId="InstructionaltextChar">
    <w:name w:val="Instructional text Char"/>
    <w:basedOn w:val="DefaultParagraphFont"/>
    <w:link w:val="Instructionaltext"/>
    <w:uiPriority w:val="1"/>
    <w:rsid w:val="00AD3935"/>
    <w:rPr>
      <w:rFonts w:ascii="Cambria" w:eastAsia="Cambria" w:hAnsi="Cambria" w:cs="Times New Roman"/>
      <w:i/>
      <w:color w:val="22ABFF" w:themeColor="accent1" w:themeTint="80"/>
      <w:szCs w:val="24"/>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character" w:styleId="CommentReference">
    <w:name w:val="annotation reference"/>
    <w:basedOn w:val="DefaultParagraphFont"/>
    <w:rsid w:val="00E91825"/>
    <w:rPr>
      <w:sz w:val="16"/>
      <w:szCs w:val="16"/>
    </w:rPr>
  </w:style>
  <w:style w:type="paragraph" w:styleId="CommentText">
    <w:name w:val="annotation text"/>
    <w:basedOn w:val="Normal"/>
    <w:link w:val="CommentTextChar"/>
    <w:rsid w:val="00E91825"/>
    <w:pPr>
      <w:adjustRightInd w:val="0"/>
      <w:snapToGrid w:val="0"/>
      <w:spacing w:before="0" w:after="0" w:line="240" w:lineRule="auto"/>
    </w:pPr>
    <w:rPr>
      <w:rFonts w:eastAsia="MS Mincho"/>
      <w:sz w:val="20"/>
      <w:szCs w:val="20"/>
      <w:lang w:eastAsia="ja-JP"/>
    </w:rPr>
  </w:style>
  <w:style w:type="character" w:customStyle="1" w:styleId="CommentTextChar">
    <w:name w:val="Comment Text Char"/>
    <w:basedOn w:val="DefaultParagraphFont"/>
    <w:link w:val="CommentText"/>
    <w:rsid w:val="00E91825"/>
    <w:rPr>
      <w:rFonts w:ascii="Cambria" w:eastAsia="MS Mincho" w:hAnsi="Cambria" w:cs="Times New Roman"/>
      <w:sz w:val="20"/>
      <w:szCs w:val="20"/>
      <w:lang w:eastAsia="ja-JP"/>
    </w:rPr>
  </w:style>
  <w:style w:type="paragraph" w:styleId="ListParagraph">
    <w:name w:val="List Paragraph"/>
    <w:basedOn w:val="Normal"/>
    <w:uiPriority w:val="34"/>
    <w:qFormat/>
    <w:rsid w:val="003E6CF0"/>
    <w:pPr>
      <w:adjustRightInd w:val="0"/>
      <w:snapToGrid w:val="0"/>
      <w:spacing w:before="0" w:after="0"/>
      <w:ind w:left="720"/>
      <w:contextualSpacing/>
    </w:pPr>
    <w:rPr>
      <w:rFonts w:eastAsia="MS Mincho"/>
      <w:szCs w:val="20"/>
      <w:lang w:eastAsia="ja-JP"/>
    </w:rPr>
  </w:style>
  <w:style w:type="paragraph" w:customStyle="1" w:styleId="Subject">
    <w:name w:val="Subject"/>
    <w:basedOn w:val="Normal"/>
    <w:qFormat/>
    <w:rsid w:val="004152BB"/>
    <w:pPr>
      <w:adjustRightInd w:val="0"/>
      <w:snapToGrid w:val="0"/>
      <w:spacing w:before="180" w:after="180"/>
    </w:pPr>
    <w:rPr>
      <w:rFonts w:eastAsia="MS Mincho"/>
      <w:b/>
      <w:szCs w:val="20"/>
      <w:lang w:eastAsia="ja-JP"/>
    </w:rPr>
  </w:style>
  <w:style w:type="paragraph" w:customStyle="1" w:styleId="Standard">
    <w:name w:val="Standard"/>
    <w:basedOn w:val="Normal"/>
    <w:link w:val="StandardChar"/>
    <w:rsid w:val="004152BB"/>
    <w:pPr>
      <w:widowControl w:val="0"/>
      <w:spacing w:before="0" w:after="220" w:line="252" w:lineRule="auto"/>
    </w:pPr>
    <w:rPr>
      <w:rFonts w:eastAsia="Times New Roman"/>
      <w:kern w:val="16"/>
      <w:szCs w:val="24"/>
    </w:rPr>
  </w:style>
  <w:style w:type="character" w:customStyle="1" w:styleId="StandardChar">
    <w:name w:val="Standard Char"/>
    <w:basedOn w:val="DefaultParagraphFont"/>
    <w:link w:val="Standard"/>
    <w:rsid w:val="004152BB"/>
    <w:rPr>
      <w:rFonts w:ascii="Cambria" w:eastAsia="Times New Roman" w:hAnsi="Cambria" w:cs="Times New Roman"/>
      <w:kern w:val="16"/>
      <w:szCs w:val="24"/>
    </w:rPr>
  </w:style>
  <w:style w:type="paragraph" w:customStyle="1" w:styleId="SectionHeading">
    <w:name w:val="Section Heading"/>
    <w:basedOn w:val="Standard"/>
    <w:next w:val="Standard"/>
    <w:qFormat/>
    <w:rsid w:val="004152BB"/>
    <w:pPr>
      <w:keepNext/>
    </w:pPr>
    <w:rPr>
      <w:b/>
      <w:caps/>
      <w:sz w:val="24"/>
    </w:rPr>
  </w:style>
  <w:style w:type="paragraph" w:customStyle="1" w:styleId="Default">
    <w:name w:val="Default"/>
    <w:rsid w:val="003227C2"/>
    <w:pPr>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EndnoteText">
    <w:name w:val="endnote text"/>
    <w:basedOn w:val="Normal"/>
    <w:link w:val="EndnoteTextChar"/>
    <w:semiHidden/>
    <w:rsid w:val="003227C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 w:val="20"/>
      <w:szCs w:val="20"/>
      <w:lang w:eastAsia="en-AU"/>
    </w:rPr>
  </w:style>
  <w:style w:type="character" w:customStyle="1" w:styleId="EndnoteTextChar">
    <w:name w:val="Endnote Text Char"/>
    <w:basedOn w:val="DefaultParagraphFont"/>
    <w:link w:val="EndnoteText"/>
    <w:semiHidden/>
    <w:rsid w:val="003227C2"/>
    <w:rPr>
      <w:rFonts w:ascii="Cambria" w:eastAsia="Times New Roman" w:hAnsi="Cambria" w:cs="Times New Roman"/>
      <w:kern w:val="16"/>
      <w:sz w:val="20"/>
      <w:szCs w:val="20"/>
      <w:lang w:eastAsia="en-AU"/>
    </w:rPr>
  </w:style>
  <w:style w:type="character" w:customStyle="1" w:styleId="st1">
    <w:name w:val="st1"/>
    <w:basedOn w:val="DefaultParagraphFont"/>
    <w:rsid w:val="00596631"/>
  </w:style>
  <w:style w:type="table" w:customStyle="1" w:styleId="TableTGAblue1">
    <w:name w:val="Table TGA blue1"/>
    <w:basedOn w:val="TableNormal"/>
    <w:uiPriority w:val="99"/>
    <w:qFormat/>
    <w:rsid w:val="00596631"/>
    <w:pPr>
      <w:spacing w:after="0" w:line="240" w:lineRule="auto"/>
    </w:pPr>
    <w:rPr>
      <w:rFonts w:ascii="Cambria" w:hAnsi="Cambria" w:cs="Times New Roman"/>
      <w:color w:val="000000"/>
      <w:szCs w:val="2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wordWrap/>
      </w:pPr>
      <w:rPr>
        <w:rFonts w:ascii="Cambria" w:hAnsi="Cambria" w:hint="default"/>
        <w:b/>
        <w:color w:val="FFFFFF"/>
        <w:sz w:val="22"/>
        <w:szCs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character" w:styleId="EndnoteReference">
    <w:name w:val="endnote reference"/>
    <w:basedOn w:val="DefaultParagraphFont"/>
    <w:uiPriority w:val="99"/>
    <w:semiHidden/>
    <w:unhideWhenUsed/>
    <w:rsid w:val="009315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556856">
      <w:bodyDiv w:val="1"/>
      <w:marLeft w:val="0"/>
      <w:marRight w:val="0"/>
      <w:marTop w:val="0"/>
      <w:marBottom w:val="0"/>
      <w:divBdr>
        <w:top w:val="none" w:sz="0" w:space="0" w:color="auto"/>
        <w:left w:val="none" w:sz="0" w:space="0" w:color="auto"/>
        <w:bottom w:val="none" w:sz="0" w:space="0" w:color="auto"/>
        <w:right w:val="none" w:sz="0" w:space="0" w:color="auto"/>
      </w:divBdr>
    </w:div>
    <w:div w:id="98096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5.emf"/><Relationship Id="rId26" Type="http://schemas.openxmlformats.org/officeDocument/2006/relationships/hyperlink" Target="http://www.tga.gov.au"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hyperlink" Target="mailto:info@tga.gov.a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www.tga.gov.au/product-information-pi"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2.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tga.gov.au/product-information-pi" TargetMode="External"/><Relationship Id="rId23" Type="http://schemas.openxmlformats.org/officeDocument/2006/relationships/header" Target="header5.xml"/><Relationship Id="rId28" Type="http://schemas.openxmlformats.org/officeDocument/2006/relationships/header" Target="header7.xml"/><Relationship Id="rId10" Type="http://schemas.openxmlformats.org/officeDocument/2006/relationships/hyperlink" Target="mailto:tga.copyright@tga.gov.au" TargetMode="External"/><Relationship Id="rId19" Type="http://schemas.openxmlformats.org/officeDocument/2006/relationships/image" Target="media/image6.png"/><Relationship Id="rId31"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yperlink" Target="http://www.tga.gov.au" TargetMode="External"/><Relationship Id="rId14" Type="http://schemas.openxmlformats.org/officeDocument/2006/relationships/hyperlink" Target="http://www.tga.gov.au/australian-public-assessment-reports-prescription-medicines-auspars" TargetMode="External"/><Relationship Id="rId22" Type="http://schemas.openxmlformats.org/officeDocument/2006/relationships/header" Target="header4.xml"/><Relationship Id="rId27" Type="http://schemas.openxmlformats.org/officeDocument/2006/relationships/header" Target="header6.xml"/><Relationship Id="rId30" Type="http://schemas.openxmlformats.org/officeDocument/2006/relationships/header" Target="header8.xml"/></Relationships>
</file>

<file path=word/_rels/footnotes.xml.rels><?xml version="1.0" encoding="UTF-8" standalone="yes"?>
<Relationships xmlns="http://schemas.openxmlformats.org/package/2006/relationships"><Relationship Id="rId2" Type="http://schemas.openxmlformats.org/officeDocument/2006/relationships/hyperlink" Target="http://www.tga.gov.au/australian-public-assessment-reports-prescription-medicines-auspars" TargetMode="External"/><Relationship Id="rId1" Type="http://schemas.openxmlformats.org/officeDocument/2006/relationships/hyperlink" Target="http://www.tga.gov.au/australian-public-assessment-reports-prescription-medicines-auspar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smar\AppData\Local\Hewlett-Packard\HP%20TRIM\TEMP\HPTRIM.2104\R12%20926607%20%20AusPAR%20-%20template.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2D2E5-8DDD-4E71-9216-1D3C55199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 926607  AusPAR - template.DOTX</Template>
  <TotalTime>58</TotalTime>
  <Pages>50</Pages>
  <Words>19698</Words>
  <Characters>112283</Characters>
  <Application>Microsoft Office Word</Application>
  <DocSecurity>0</DocSecurity>
  <Lines>935</Lines>
  <Paragraphs>263</Paragraphs>
  <ScaleCrop>false</ScaleCrop>
  <HeadingPairs>
    <vt:vector size="2" baseType="variant">
      <vt:variant>
        <vt:lpstr>Title</vt:lpstr>
      </vt:variant>
      <vt:variant>
        <vt:i4>1</vt:i4>
      </vt:variant>
    </vt:vector>
  </HeadingPairs>
  <TitlesOfParts>
    <vt:vector size="1" baseType="lpstr">
      <vt:lpstr>Australian public assessment for...</vt:lpstr>
    </vt:vector>
  </TitlesOfParts>
  <Company>Department of Health Therapeutic Goods Administration</Company>
  <LinksUpToDate>false</LinksUpToDate>
  <CharactersWithSpaces>131718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for Ezetimibe and rosuvastin</dc:title>
  <dc:subject>prescription medicine regulation</dc:subject>
  <dc:creator>Therapeutic Goods Administration</dc:creator>
  <cp:keywords>auspar, prescription, medicine, assessment, regulation, australia, ezetimibe, rosuvastin, calcium, ezalo, rosuzet, merck, sharp, dohme</cp:keywords>
  <cp:lastModifiedBy>Dixon, Jenna</cp:lastModifiedBy>
  <cp:revision>15</cp:revision>
  <cp:lastPrinted>2010-12-20T22:59:00Z</cp:lastPrinted>
  <dcterms:created xsi:type="dcterms:W3CDTF">2015-01-28T03:12:00Z</dcterms:created>
  <dcterms:modified xsi:type="dcterms:W3CDTF">2015-02-25T22:43:00Z</dcterms:modified>
  <cp:category>external publication</cp:category>
</cp:coreProperties>
</file>