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F30" w:rsidRDefault="00D24F30"/>
    <w:tbl>
      <w:tblPr>
        <w:tblpPr w:leftFromText="180" w:rightFromText="180" w:vertAnchor="text" w:horzAnchor="margin" w:tblpY="9863"/>
        <w:tblOverlap w:val="neve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tblGrid>
      <w:tr w:rsidR="008E7846" w:rsidRPr="00487162" w:rsidTr="00134868">
        <w:trPr>
          <w:trHeight w:val="1863"/>
        </w:trPr>
        <w:tc>
          <w:tcPr>
            <w:tcW w:w="4077" w:type="dxa"/>
            <w:tcBorders>
              <w:top w:val="nil"/>
              <w:left w:val="nil"/>
              <w:bottom w:val="nil"/>
              <w:right w:val="nil"/>
            </w:tcBorders>
          </w:tcPr>
          <w:p w:rsidR="008E7846" w:rsidRPr="00487162" w:rsidRDefault="00377E0B" w:rsidP="00E45619">
            <w:pPr>
              <w:rPr>
                <w:rFonts w:ascii="Arial" w:hAnsi="Arial" w:cs="Arial"/>
                <w:b/>
                <w:color w:val="002C47"/>
                <w:sz w:val="36"/>
                <w:szCs w:val="36"/>
              </w:rPr>
            </w:pPr>
            <w:r>
              <w:rPr>
                <w:rFonts w:ascii="Arial" w:hAnsi="Arial" w:cs="Arial"/>
                <w:b/>
                <w:noProof/>
                <w:color w:val="002C47"/>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27" type="#_x0000_t136" style="position:absolute;margin-left:0;margin-top:0;width:535.5pt;height:202.5pt;rotation:315;z-index:-251658752;mso-position-horizontal:center;mso-position-horizontal-relative:margin;mso-position-vertical:center;mso-position-vertical-relative:margin" o:allowincell="f" fillcolor="#4a8485" stroked="f">
                  <v:fill opacity=".5"/>
                  <v:textpath style="font-family:&quot;Arial Black&quot;;font-size:2in" string=" "/>
                  <w10:wrap anchorx="margin" anchory="margin"/>
                </v:shape>
              </w:pict>
            </w:r>
            <w:r w:rsidR="00E61540">
              <w:rPr>
                <w:rFonts w:ascii="Arial" w:hAnsi="Arial" w:cs="Arial"/>
                <w:b/>
                <w:noProof/>
                <w:color w:val="002C47"/>
                <w:sz w:val="36"/>
                <w:szCs w:val="36"/>
              </w:rPr>
              <w:t>June</w:t>
            </w:r>
            <w:r w:rsidR="00B117C4">
              <w:rPr>
                <w:rFonts w:ascii="Arial" w:hAnsi="Arial" w:cs="Arial"/>
                <w:b/>
                <w:color w:val="002C47"/>
                <w:sz w:val="36"/>
                <w:szCs w:val="36"/>
              </w:rPr>
              <w:t xml:space="preserve"> 2013</w:t>
            </w:r>
          </w:p>
          <w:p w:rsidR="008E7846" w:rsidRPr="00487162" w:rsidRDefault="008E7846" w:rsidP="00E45619">
            <w:pPr>
              <w:pStyle w:val="Date"/>
              <w:jc w:val="right"/>
              <w:rPr>
                <w:color w:val="006DA7"/>
              </w:rPr>
            </w:pP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rPr>
            </w:pPr>
            <w:r w:rsidRPr="00A964D1">
              <w:rPr>
                <w:color w:val="FFFFFF"/>
              </w:rPr>
              <w:t>Austral</w:t>
            </w:r>
            <w:r w:rsidR="003173D7">
              <w:rPr>
                <w:color w:val="FFFFFF"/>
              </w:rPr>
              <w:t>ian Public Assessment Report for</w:t>
            </w:r>
            <w:r w:rsidR="00B117C4">
              <w:rPr>
                <w:color w:val="FFFFFF"/>
              </w:rPr>
              <w:t xml:space="preserve"> </w:t>
            </w:r>
            <w:proofErr w:type="spellStart"/>
            <w:r w:rsidR="00B117C4">
              <w:rPr>
                <w:color w:val="FFFFFF"/>
              </w:rPr>
              <w:t>exenatide</w:t>
            </w:r>
            <w:proofErr w:type="spellEnd"/>
          </w:p>
        </w:tc>
      </w:tr>
      <w:tr w:rsidR="0032583B" w:rsidRPr="00B64760" w:rsidTr="0032583B">
        <w:tc>
          <w:tcPr>
            <w:tcW w:w="9079" w:type="dxa"/>
          </w:tcPr>
          <w:p w:rsidR="0032583B" w:rsidRPr="008E7846" w:rsidRDefault="00B117C4" w:rsidP="00973C1B">
            <w:pPr>
              <w:pStyle w:val="Subtitle"/>
              <w:ind w:left="0"/>
              <w:rPr>
                <w:color w:val="FFFFFF"/>
              </w:rPr>
            </w:pPr>
            <w:r>
              <w:rPr>
                <w:color w:val="FFFFFF"/>
              </w:rPr>
              <w:t xml:space="preserve">Proprietary Product Name: </w:t>
            </w:r>
            <w:proofErr w:type="spellStart"/>
            <w:r>
              <w:rPr>
                <w:color w:val="FFFFFF"/>
              </w:rPr>
              <w:t>Byetta</w:t>
            </w:r>
            <w:proofErr w:type="spellEnd"/>
          </w:p>
        </w:tc>
      </w:tr>
      <w:tr w:rsidR="0032583B" w:rsidRPr="00B64760" w:rsidTr="0032583B">
        <w:trPr>
          <w:trHeight w:val="486"/>
        </w:trPr>
        <w:tc>
          <w:tcPr>
            <w:tcW w:w="9079" w:type="dxa"/>
          </w:tcPr>
          <w:p w:rsidR="0032583B" w:rsidRPr="008E7846" w:rsidRDefault="00B117C4" w:rsidP="00973C1B">
            <w:pPr>
              <w:pStyle w:val="Subtitle"/>
              <w:ind w:left="0"/>
              <w:rPr>
                <w:color w:val="FFFFFF"/>
              </w:rPr>
            </w:pPr>
            <w:r>
              <w:rPr>
                <w:color w:val="FFFFFF"/>
              </w:rPr>
              <w:t>Sponsor: Eli Lilly Australia Pty Ltd</w:t>
            </w:r>
            <w:r w:rsidR="00E61540">
              <w:rPr>
                <w:rStyle w:val="FootnoteReference"/>
                <w:color w:val="FFFFFF"/>
              </w:rPr>
              <w:footnoteReference w:id="1"/>
            </w:r>
          </w:p>
        </w:tc>
      </w:tr>
    </w:tbl>
    <w:p w:rsidR="008E7846" w:rsidRPr="001F6CBA" w:rsidRDefault="008E7846" w:rsidP="008E7846">
      <w:pPr>
        <w:pStyle w:val="NonTOCHeading2"/>
      </w:pPr>
      <w:r>
        <w:br w:type="page"/>
      </w:r>
      <w:r w:rsidRPr="001F6CBA">
        <w:lastRenderedPageBreak/>
        <w:t>About the Therapeutic Goods Administration (TGA)</w:t>
      </w:r>
    </w:p>
    <w:p w:rsidR="008E7846" w:rsidRDefault="008E7846" w:rsidP="001F48A5">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3865F4" w:rsidP="001F48A5">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1F48A5">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1F48A5">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1F48A5">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A817EB" w:rsidRPr="009F1EB0">
          <w:rPr>
            <w:rStyle w:val="Hyperlink"/>
          </w:rPr>
          <w:t>http://www.tga.gov.au</w:t>
        </w:r>
      </w:hyperlink>
      <w:r w:rsidR="00112F56">
        <w:t>&gt;</w:t>
      </w:r>
      <w:r>
        <w:t>.</w:t>
      </w:r>
    </w:p>
    <w:p w:rsidR="008E7846" w:rsidRDefault="008E7846" w:rsidP="008E7846">
      <w:pPr>
        <w:pStyle w:val="NonTOCHeading2"/>
      </w:pPr>
      <w:r>
        <w:t>About AusPARs</w:t>
      </w:r>
    </w:p>
    <w:p w:rsidR="008E7846" w:rsidRDefault="008E7846" w:rsidP="001F48A5">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A817EB">
        <w:t>escription medicine submission.</w:t>
      </w:r>
    </w:p>
    <w:p w:rsidR="008E7846" w:rsidRDefault="008E7846" w:rsidP="001F48A5">
      <w:pPr>
        <w:pStyle w:val="ListBullet"/>
        <w:numPr>
          <w:ilvl w:val="0"/>
          <w:numId w:val="1"/>
        </w:numPr>
        <w:ind w:left="357" w:hanging="357"/>
      </w:pPr>
      <w:r>
        <w:t>AusPARs are prepared and published by the TGA.</w:t>
      </w:r>
    </w:p>
    <w:p w:rsidR="008E7846" w:rsidRDefault="008E7846" w:rsidP="001F48A5">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1F48A5">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1F48A5">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sidR="009E1510">
        <w:rPr>
          <w:rFonts w:cs="Arial"/>
          <w:lang w:val="en-GB"/>
        </w:rPr>
        <w:t>onwealth of Australia 2013</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footerReference w:type="first" r:id="rId13"/>
          <w:pgSz w:w="11906" w:h="16838" w:code="9"/>
          <w:pgMar w:top="426" w:right="1701" w:bottom="0" w:left="1701" w:header="907" w:footer="142" w:gutter="0"/>
          <w:pgNumType w:fmt="lowerRoman" w:start="1"/>
          <w:cols w:space="708"/>
          <w:titlePg/>
          <w:docGrid w:linePitch="360"/>
        </w:sectPr>
      </w:pPr>
    </w:p>
    <w:p w:rsidR="0089635C" w:rsidRPr="0089635C" w:rsidRDefault="0089635C" w:rsidP="0010788A">
      <w:pPr>
        <w:pStyle w:val="Contents"/>
      </w:pPr>
      <w:bookmarkStart w:id="0" w:name="_Toc247691501"/>
      <w:bookmarkStart w:id="1" w:name="_Toc196046425"/>
      <w:r w:rsidRPr="0010788A">
        <w:lastRenderedPageBreak/>
        <w:t>Contents</w:t>
      </w:r>
    </w:p>
    <w:p w:rsidR="00CE35DC" w:rsidRDefault="00377E0B">
      <w:pPr>
        <w:pStyle w:val="TOC2"/>
        <w:rPr>
          <w:rFonts w:asciiTheme="minorHAnsi" w:eastAsiaTheme="minorEastAsia" w:hAnsiTheme="minorHAnsi" w:cstheme="minorBidi"/>
          <w:b w:val="0"/>
          <w:noProof/>
          <w:sz w:val="22"/>
          <w:lang w:eastAsia="en-AU"/>
        </w:rPr>
      </w:pPr>
      <w:r w:rsidRPr="00377E0B">
        <w:fldChar w:fldCharType="begin"/>
      </w:r>
      <w:r w:rsidR="0089635C">
        <w:instrText xml:space="preserve"> TOC \o "1-3" \h \z \u </w:instrText>
      </w:r>
      <w:r w:rsidRPr="00377E0B">
        <w:fldChar w:fldCharType="separate"/>
      </w:r>
      <w:hyperlink w:anchor="_Toc361226848" w:history="1">
        <w:r w:rsidR="00CE35DC" w:rsidRPr="00813B74">
          <w:rPr>
            <w:rStyle w:val="Hyperlink"/>
            <w:noProof/>
          </w:rPr>
          <w:t>I. Introduction to product submission</w:t>
        </w:r>
        <w:r w:rsidR="00CE35DC">
          <w:rPr>
            <w:noProof/>
            <w:webHidden/>
          </w:rPr>
          <w:tab/>
        </w:r>
        <w:r>
          <w:rPr>
            <w:noProof/>
            <w:webHidden/>
          </w:rPr>
          <w:fldChar w:fldCharType="begin"/>
        </w:r>
        <w:r w:rsidR="00CE35DC">
          <w:rPr>
            <w:noProof/>
            <w:webHidden/>
          </w:rPr>
          <w:instrText xml:space="preserve"> PAGEREF _Toc361226848 \h </w:instrText>
        </w:r>
        <w:r>
          <w:rPr>
            <w:noProof/>
            <w:webHidden/>
          </w:rPr>
        </w:r>
        <w:r>
          <w:rPr>
            <w:noProof/>
            <w:webHidden/>
          </w:rPr>
          <w:fldChar w:fldCharType="separate"/>
        </w:r>
        <w:r w:rsidR="00CE35DC">
          <w:rPr>
            <w:noProof/>
            <w:webHidden/>
          </w:rPr>
          <w:t>4</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49" w:history="1">
        <w:r w:rsidR="00CE35DC" w:rsidRPr="00813B74">
          <w:rPr>
            <w:rStyle w:val="Hyperlink"/>
            <w:noProof/>
            <w:lang w:eastAsia="en-AU"/>
          </w:rPr>
          <w:t>Submission details</w:t>
        </w:r>
        <w:r w:rsidR="00CE35DC">
          <w:rPr>
            <w:noProof/>
            <w:webHidden/>
          </w:rPr>
          <w:tab/>
        </w:r>
        <w:r>
          <w:rPr>
            <w:noProof/>
            <w:webHidden/>
          </w:rPr>
          <w:fldChar w:fldCharType="begin"/>
        </w:r>
        <w:r w:rsidR="00CE35DC">
          <w:rPr>
            <w:noProof/>
            <w:webHidden/>
          </w:rPr>
          <w:instrText xml:space="preserve"> PAGEREF _Toc361226849 \h </w:instrText>
        </w:r>
        <w:r>
          <w:rPr>
            <w:noProof/>
            <w:webHidden/>
          </w:rPr>
        </w:r>
        <w:r>
          <w:rPr>
            <w:noProof/>
            <w:webHidden/>
          </w:rPr>
          <w:fldChar w:fldCharType="separate"/>
        </w:r>
        <w:r w:rsidR="00CE35DC">
          <w:rPr>
            <w:noProof/>
            <w:webHidden/>
          </w:rPr>
          <w:t>4</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50" w:history="1">
        <w:r w:rsidR="00CE35DC" w:rsidRPr="00813B74">
          <w:rPr>
            <w:rStyle w:val="Hyperlink"/>
            <w:noProof/>
          </w:rPr>
          <w:t>Product background</w:t>
        </w:r>
        <w:r w:rsidR="00CE35DC">
          <w:rPr>
            <w:noProof/>
            <w:webHidden/>
          </w:rPr>
          <w:tab/>
        </w:r>
        <w:r>
          <w:rPr>
            <w:noProof/>
            <w:webHidden/>
          </w:rPr>
          <w:fldChar w:fldCharType="begin"/>
        </w:r>
        <w:r w:rsidR="00CE35DC">
          <w:rPr>
            <w:noProof/>
            <w:webHidden/>
          </w:rPr>
          <w:instrText xml:space="preserve"> PAGEREF _Toc361226850 \h </w:instrText>
        </w:r>
        <w:r>
          <w:rPr>
            <w:noProof/>
            <w:webHidden/>
          </w:rPr>
        </w:r>
        <w:r>
          <w:rPr>
            <w:noProof/>
            <w:webHidden/>
          </w:rPr>
          <w:fldChar w:fldCharType="separate"/>
        </w:r>
        <w:r w:rsidR="00CE35DC">
          <w:rPr>
            <w:noProof/>
            <w:webHidden/>
          </w:rPr>
          <w:t>4</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51" w:history="1">
        <w:r w:rsidR="00CE35DC" w:rsidRPr="00813B74">
          <w:rPr>
            <w:rStyle w:val="Hyperlink"/>
            <w:noProof/>
          </w:rPr>
          <w:t>Regulatory status</w:t>
        </w:r>
        <w:r w:rsidR="00CE35DC">
          <w:rPr>
            <w:noProof/>
            <w:webHidden/>
          </w:rPr>
          <w:tab/>
        </w:r>
        <w:r>
          <w:rPr>
            <w:noProof/>
            <w:webHidden/>
          </w:rPr>
          <w:fldChar w:fldCharType="begin"/>
        </w:r>
        <w:r w:rsidR="00CE35DC">
          <w:rPr>
            <w:noProof/>
            <w:webHidden/>
          </w:rPr>
          <w:instrText xml:space="preserve"> PAGEREF _Toc361226851 \h </w:instrText>
        </w:r>
        <w:r>
          <w:rPr>
            <w:noProof/>
            <w:webHidden/>
          </w:rPr>
        </w:r>
        <w:r>
          <w:rPr>
            <w:noProof/>
            <w:webHidden/>
          </w:rPr>
          <w:fldChar w:fldCharType="separate"/>
        </w:r>
        <w:r w:rsidR="00CE35DC">
          <w:rPr>
            <w:noProof/>
            <w:webHidden/>
          </w:rPr>
          <w:t>5</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52" w:history="1">
        <w:r w:rsidR="00CE35DC" w:rsidRPr="00813B74">
          <w:rPr>
            <w:rStyle w:val="Hyperlink"/>
            <w:noProof/>
          </w:rPr>
          <w:t>Product Information</w:t>
        </w:r>
        <w:r w:rsidR="00CE35DC">
          <w:rPr>
            <w:noProof/>
            <w:webHidden/>
          </w:rPr>
          <w:tab/>
        </w:r>
        <w:r>
          <w:rPr>
            <w:noProof/>
            <w:webHidden/>
          </w:rPr>
          <w:fldChar w:fldCharType="begin"/>
        </w:r>
        <w:r w:rsidR="00CE35DC">
          <w:rPr>
            <w:noProof/>
            <w:webHidden/>
          </w:rPr>
          <w:instrText xml:space="preserve"> PAGEREF _Toc361226852 \h </w:instrText>
        </w:r>
        <w:r>
          <w:rPr>
            <w:noProof/>
            <w:webHidden/>
          </w:rPr>
        </w:r>
        <w:r>
          <w:rPr>
            <w:noProof/>
            <w:webHidden/>
          </w:rPr>
          <w:fldChar w:fldCharType="separate"/>
        </w:r>
        <w:r w:rsidR="00CE35DC">
          <w:rPr>
            <w:noProof/>
            <w:webHidden/>
          </w:rPr>
          <w:t>6</w:t>
        </w:r>
        <w:r>
          <w:rPr>
            <w:noProof/>
            <w:webHidden/>
          </w:rPr>
          <w:fldChar w:fldCharType="end"/>
        </w:r>
      </w:hyperlink>
    </w:p>
    <w:p w:rsidR="00CE35DC" w:rsidRDefault="00377E0B">
      <w:pPr>
        <w:pStyle w:val="TOC2"/>
        <w:rPr>
          <w:rFonts w:asciiTheme="minorHAnsi" w:eastAsiaTheme="minorEastAsia" w:hAnsiTheme="minorHAnsi" w:cstheme="minorBidi"/>
          <w:b w:val="0"/>
          <w:noProof/>
          <w:sz w:val="22"/>
          <w:lang w:eastAsia="en-AU"/>
        </w:rPr>
      </w:pPr>
      <w:hyperlink w:anchor="_Toc361226853" w:history="1">
        <w:r w:rsidR="00CE35DC" w:rsidRPr="00813B74">
          <w:rPr>
            <w:rStyle w:val="Hyperlink"/>
            <w:noProof/>
          </w:rPr>
          <w:t>II. Quality findings</w:t>
        </w:r>
        <w:r w:rsidR="00CE35DC">
          <w:rPr>
            <w:noProof/>
            <w:webHidden/>
          </w:rPr>
          <w:tab/>
        </w:r>
        <w:r>
          <w:rPr>
            <w:noProof/>
            <w:webHidden/>
          </w:rPr>
          <w:fldChar w:fldCharType="begin"/>
        </w:r>
        <w:r w:rsidR="00CE35DC">
          <w:rPr>
            <w:noProof/>
            <w:webHidden/>
          </w:rPr>
          <w:instrText xml:space="preserve"> PAGEREF _Toc361226853 \h </w:instrText>
        </w:r>
        <w:r>
          <w:rPr>
            <w:noProof/>
            <w:webHidden/>
          </w:rPr>
        </w:r>
        <w:r>
          <w:rPr>
            <w:noProof/>
            <w:webHidden/>
          </w:rPr>
          <w:fldChar w:fldCharType="separate"/>
        </w:r>
        <w:r w:rsidR="00CE35DC">
          <w:rPr>
            <w:noProof/>
            <w:webHidden/>
          </w:rPr>
          <w:t>6</w:t>
        </w:r>
        <w:r>
          <w:rPr>
            <w:noProof/>
            <w:webHidden/>
          </w:rPr>
          <w:fldChar w:fldCharType="end"/>
        </w:r>
      </w:hyperlink>
    </w:p>
    <w:p w:rsidR="00CE35DC" w:rsidRDefault="00377E0B">
      <w:pPr>
        <w:pStyle w:val="TOC2"/>
        <w:rPr>
          <w:rFonts w:asciiTheme="minorHAnsi" w:eastAsiaTheme="minorEastAsia" w:hAnsiTheme="minorHAnsi" w:cstheme="minorBidi"/>
          <w:b w:val="0"/>
          <w:noProof/>
          <w:sz w:val="22"/>
          <w:lang w:eastAsia="en-AU"/>
        </w:rPr>
      </w:pPr>
      <w:hyperlink w:anchor="_Toc361226854" w:history="1">
        <w:r w:rsidR="00CE35DC" w:rsidRPr="00813B74">
          <w:rPr>
            <w:rStyle w:val="Hyperlink"/>
            <w:noProof/>
          </w:rPr>
          <w:t>III. Nonclinical findings</w:t>
        </w:r>
        <w:r w:rsidR="00CE35DC">
          <w:rPr>
            <w:noProof/>
            <w:webHidden/>
          </w:rPr>
          <w:tab/>
        </w:r>
        <w:r>
          <w:rPr>
            <w:noProof/>
            <w:webHidden/>
          </w:rPr>
          <w:fldChar w:fldCharType="begin"/>
        </w:r>
        <w:r w:rsidR="00CE35DC">
          <w:rPr>
            <w:noProof/>
            <w:webHidden/>
          </w:rPr>
          <w:instrText xml:space="preserve"> PAGEREF _Toc361226854 \h </w:instrText>
        </w:r>
        <w:r>
          <w:rPr>
            <w:noProof/>
            <w:webHidden/>
          </w:rPr>
        </w:r>
        <w:r>
          <w:rPr>
            <w:noProof/>
            <w:webHidden/>
          </w:rPr>
          <w:fldChar w:fldCharType="separate"/>
        </w:r>
        <w:r w:rsidR="00CE35DC">
          <w:rPr>
            <w:noProof/>
            <w:webHidden/>
          </w:rPr>
          <w:t>6</w:t>
        </w:r>
        <w:r>
          <w:rPr>
            <w:noProof/>
            <w:webHidden/>
          </w:rPr>
          <w:fldChar w:fldCharType="end"/>
        </w:r>
      </w:hyperlink>
    </w:p>
    <w:p w:rsidR="00CE35DC" w:rsidRDefault="00377E0B">
      <w:pPr>
        <w:pStyle w:val="TOC2"/>
        <w:rPr>
          <w:rFonts w:asciiTheme="minorHAnsi" w:eastAsiaTheme="minorEastAsia" w:hAnsiTheme="minorHAnsi" w:cstheme="minorBidi"/>
          <w:b w:val="0"/>
          <w:noProof/>
          <w:sz w:val="22"/>
          <w:lang w:eastAsia="en-AU"/>
        </w:rPr>
      </w:pPr>
      <w:hyperlink w:anchor="_Toc361226855" w:history="1">
        <w:r w:rsidR="00CE35DC" w:rsidRPr="00813B74">
          <w:rPr>
            <w:rStyle w:val="Hyperlink"/>
            <w:noProof/>
          </w:rPr>
          <w:t>IV. Clinical findings</w:t>
        </w:r>
        <w:r w:rsidR="00CE35DC">
          <w:rPr>
            <w:noProof/>
            <w:webHidden/>
          </w:rPr>
          <w:tab/>
        </w:r>
        <w:r>
          <w:rPr>
            <w:noProof/>
            <w:webHidden/>
          </w:rPr>
          <w:fldChar w:fldCharType="begin"/>
        </w:r>
        <w:r w:rsidR="00CE35DC">
          <w:rPr>
            <w:noProof/>
            <w:webHidden/>
          </w:rPr>
          <w:instrText xml:space="preserve"> PAGEREF _Toc361226855 \h </w:instrText>
        </w:r>
        <w:r>
          <w:rPr>
            <w:noProof/>
            <w:webHidden/>
          </w:rPr>
        </w:r>
        <w:r>
          <w:rPr>
            <w:noProof/>
            <w:webHidden/>
          </w:rPr>
          <w:fldChar w:fldCharType="separate"/>
        </w:r>
        <w:r w:rsidR="00CE35DC">
          <w:rPr>
            <w:noProof/>
            <w:webHidden/>
          </w:rPr>
          <w:t>6</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56" w:history="1">
        <w:r w:rsidR="00CE35DC" w:rsidRPr="00813B74">
          <w:rPr>
            <w:rStyle w:val="Hyperlink"/>
            <w:noProof/>
          </w:rPr>
          <w:t>Introduction</w:t>
        </w:r>
        <w:r w:rsidR="00CE35DC">
          <w:rPr>
            <w:noProof/>
            <w:webHidden/>
          </w:rPr>
          <w:tab/>
        </w:r>
        <w:r>
          <w:rPr>
            <w:noProof/>
            <w:webHidden/>
          </w:rPr>
          <w:fldChar w:fldCharType="begin"/>
        </w:r>
        <w:r w:rsidR="00CE35DC">
          <w:rPr>
            <w:noProof/>
            <w:webHidden/>
          </w:rPr>
          <w:instrText xml:space="preserve"> PAGEREF _Toc361226856 \h </w:instrText>
        </w:r>
        <w:r>
          <w:rPr>
            <w:noProof/>
            <w:webHidden/>
          </w:rPr>
        </w:r>
        <w:r>
          <w:rPr>
            <w:noProof/>
            <w:webHidden/>
          </w:rPr>
          <w:fldChar w:fldCharType="separate"/>
        </w:r>
        <w:r w:rsidR="00CE35DC">
          <w:rPr>
            <w:noProof/>
            <w:webHidden/>
          </w:rPr>
          <w:t>6</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57" w:history="1">
        <w:r w:rsidR="00CE35DC" w:rsidRPr="00813B74">
          <w:rPr>
            <w:rStyle w:val="Hyperlink"/>
            <w:noProof/>
          </w:rPr>
          <w:t>Pharmacokinetics</w:t>
        </w:r>
        <w:r w:rsidR="00CE35DC">
          <w:rPr>
            <w:noProof/>
            <w:webHidden/>
          </w:rPr>
          <w:tab/>
        </w:r>
        <w:r>
          <w:rPr>
            <w:noProof/>
            <w:webHidden/>
          </w:rPr>
          <w:fldChar w:fldCharType="begin"/>
        </w:r>
        <w:r w:rsidR="00CE35DC">
          <w:rPr>
            <w:noProof/>
            <w:webHidden/>
          </w:rPr>
          <w:instrText xml:space="preserve"> PAGEREF _Toc361226857 \h </w:instrText>
        </w:r>
        <w:r>
          <w:rPr>
            <w:noProof/>
            <w:webHidden/>
          </w:rPr>
        </w:r>
        <w:r>
          <w:rPr>
            <w:noProof/>
            <w:webHidden/>
          </w:rPr>
          <w:fldChar w:fldCharType="separate"/>
        </w:r>
        <w:r w:rsidR="00CE35DC">
          <w:rPr>
            <w:noProof/>
            <w:webHidden/>
          </w:rPr>
          <w:t>6</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58" w:history="1">
        <w:r w:rsidR="00CE35DC" w:rsidRPr="00813B74">
          <w:rPr>
            <w:rStyle w:val="Hyperlink"/>
            <w:noProof/>
          </w:rPr>
          <w:t>Pharmacodynamics</w:t>
        </w:r>
        <w:r w:rsidR="00CE35DC">
          <w:rPr>
            <w:noProof/>
            <w:webHidden/>
          </w:rPr>
          <w:tab/>
        </w:r>
        <w:r>
          <w:rPr>
            <w:noProof/>
            <w:webHidden/>
          </w:rPr>
          <w:fldChar w:fldCharType="begin"/>
        </w:r>
        <w:r w:rsidR="00CE35DC">
          <w:rPr>
            <w:noProof/>
            <w:webHidden/>
          </w:rPr>
          <w:instrText xml:space="preserve"> PAGEREF _Toc361226858 \h </w:instrText>
        </w:r>
        <w:r>
          <w:rPr>
            <w:noProof/>
            <w:webHidden/>
          </w:rPr>
        </w:r>
        <w:r>
          <w:rPr>
            <w:noProof/>
            <w:webHidden/>
          </w:rPr>
          <w:fldChar w:fldCharType="separate"/>
        </w:r>
        <w:r w:rsidR="00CE35DC">
          <w:rPr>
            <w:noProof/>
            <w:webHidden/>
          </w:rPr>
          <w:t>6</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59" w:history="1">
        <w:r w:rsidR="00CE35DC" w:rsidRPr="00813B74">
          <w:rPr>
            <w:rStyle w:val="Hyperlink"/>
            <w:noProof/>
          </w:rPr>
          <w:t>Efficacy</w:t>
        </w:r>
        <w:r w:rsidR="00CE35DC">
          <w:rPr>
            <w:noProof/>
            <w:webHidden/>
          </w:rPr>
          <w:tab/>
        </w:r>
        <w:r>
          <w:rPr>
            <w:noProof/>
            <w:webHidden/>
          </w:rPr>
          <w:fldChar w:fldCharType="begin"/>
        </w:r>
        <w:r w:rsidR="00CE35DC">
          <w:rPr>
            <w:noProof/>
            <w:webHidden/>
          </w:rPr>
          <w:instrText xml:space="preserve"> PAGEREF _Toc361226859 \h </w:instrText>
        </w:r>
        <w:r>
          <w:rPr>
            <w:noProof/>
            <w:webHidden/>
          </w:rPr>
        </w:r>
        <w:r>
          <w:rPr>
            <w:noProof/>
            <w:webHidden/>
          </w:rPr>
          <w:fldChar w:fldCharType="separate"/>
        </w:r>
        <w:r w:rsidR="00CE35DC">
          <w:rPr>
            <w:noProof/>
            <w:webHidden/>
          </w:rPr>
          <w:t>6</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60" w:history="1">
        <w:r w:rsidR="00CE35DC" w:rsidRPr="00813B74">
          <w:rPr>
            <w:rStyle w:val="Hyperlink"/>
            <w:noProof/>
          </w:rPr>
          <w:t>Safety</w:t>
        </w:r>
        <w:r w:rsidR="00CE35DC">
          <w:rPr>
            <w:noProof/>
            <w:webHidden/>
          </w:rPr>
          <w:tab/>
        </w:r>
        <w:r>
          <w:rPr>
            <w:noProof/>
            <w:webHidden/>
          </w:rPr>
          <w:fldChar w:fldCharType="begin"/>
        </w:r>
        <w:r w:rsidR="00CE35DC">
          <w:rPr>
            <w:noProof/>
            <w:webHidden/>
          </w:rPr>
          <w:instrText xml:space="preserve"> PAGEREF _Toc361226860 \h </w:instrText>
        </w:r>
        <w:r>
          <w:rPr>
            <w:noProof/>
            <w:webHidden/>
          </w:rPr>
        </w:r>
        <w:r>
          <w:rPr>
            <w:noProof/>
            <w:webHidden/>
          </w:rPr>
          <w:fldChar w:fldCharType="separate"/>
        </w:r>
        <w:r w:rsidR="00CE35DC">
          <w:rPr>
            <w:noProof/>
            <w:webHidden/>
          </w:rPr>
          <w:t>7</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61" w:history="1">
        <w:r w:rsidR="00CE35DC" w:rsidRPr="00813B74">
          <w:rPr>
            <w:rStyle w:val="Hyperlink"/>
            <w:noProof/>
          </w:rPr>
          <w:t>Clinical summary and conclusions</w:t>
        </w:r>
        <w:r w:rsidR="00CE35DC">
          <w:rPr>
            <w:noProof/>
            <w:webHidden/>
          </w:rPr>
          <w:tab/>
        </w:r>
        <w:r>
          <w:rPr>
            <w:noProof/>
            <w:webHidden/>
          </w:rPr>
          <w:fldChar w:fldCharType="begin"/>
        </w:r>
        <w:r w:rsidR="00CE35DC">
          <w:rPr>
            <w:noProof/>
            <w:webHidden/>
          </w:rPr>
          <w:instrText xml:space="preserve"> PAGEREF _Toc361226861 \h </w:instrText>
        </w:r>
        <w:r>
          <w:rPr>
            <w:noProof/>
            <w:webHidden/>
          </w:rPr>
        </w:r>
        <w:r>
          <w:rPr>
            <w:noProof/>
            <w:webHidden/>
          </w:rPr>
          <w:fldChar w:fldCharType="separate"/>
        </w:r>
        <w:r w:rsidR="00CE35DC">
          <w:rPr>
            <w:noProof/>
            <w:webHidden/>
          </w:rPr>
          <w:t>7</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62" w:history="1">
        <w:r w:rsidR="00CE35DC" w:rsidRPr="00813B74">
          <w:rPr>
            <w:rStyle w:val="Hyperlink"/>
            <w:noProof/>
          </w:rPr>
          <w:t>List of questions</w:t>
        </w:r>
        <w:r w:rsidR="00CE35DC">
          <w:rPr>
            <w:noProof/>
            <w:webHidden/>
          </w:rPr>
          <w:tab/>
        </w:r>
        <w:r>
          <w:rPr>
            <w:noProof/>
            <w:webHidden/>
          </w:rPr>
          <w:fldChar w:fldCharType="begin"/>
        </w:r>
        <w:r w:rsidR="00CE35DC">
          <w:rPr>
            <w:noProof/>
            <w:webHidden/>
          </w:rPr>
          <w:instrText xml:space="preserve"> PAGEREF _Toc361226862 \h </w:instrText>
        </w:r>
        <w:r>
          <w:rPr>
            <w:noProof/>
            <w:webHidden/>
          </w:rPr>
        </w:r>
        <w:r>
          <w:rPr>
            <w:noProof/>
            <w:webHidden/>
          </w:rPr>
          <w:fldChar w:fldCharType="separate"/>
        </w:r>
        <w:r w:rsidR="00CE35DC">
          <w:rPr>
            <w:noProof/>
            <w:webHidden/>
          </w:rPr>
          <w:t>8</w:t>
        </w:r>
        <w:r>
          <w:rPr>
            <w:noProof/>
            <w:webHidden/>
          </w:rPr>
          <w:fldChar w:fldCharType="end"/>
        </w:r>
      </w:hyperlink>
    </w:p>
    <w:p w:rsidR="00CE35DC" w:rsidRDefault="00377E0B">
      <w:pPr>
        <w:pStyle w:val="TOC2"/>
        <w:rPr>
          <w:rFonts w:asciiTheme="minorHAnsi" w:eastAsiaTheme="minorEastAsia" w:hAnsiTheme="minorHAnsi" w:cstheme="minorBidi"/>
          <w:b w:val="0"/>
          <w:noProof/>
          <w:sz w:val="22"/>
          <w:lang w:eastAsia="en-AU"/>
        </w:rPr>
      </w:pPr>
      <w:hyperlink w:anchor="_Toc361226863" w:history="1">
        <w:r w:rsidR="00CE35DC" w:rsidRPr="00813B74">
          <w:rPr>
            <w:rStyle w:val="Hyperlink"/>
            <w:noProof/>
          </w:rPr>
          <w:t>V. Pharmacovigilance findings</w:t>
        </w:r>
        <w:r w:rsidR="00CE35DC">
          <w:rPr>
            <w:noProof/>
            <w:webHidden/>
          </w:rPr>
          <w:tab/>
        </w:r>
        <w:r>
          <w:rPr>
            <w:noProof/>
            <w:webHidden/>
          </w:rPr>
          <w:fldChar w:fldCharType="begin"/>
        </w:r>
        <w:r w:rsidR="00CE35DC">
          <w:rPr>
            <w:noProof/>
            <w:webHidden/>
          </w:rPr>
          <w:instrText xml:space="preserve"> PAGEREF _Toc361226863 \h </w:instrText>
        </w:r>
        <w:r>
          <w:rPr>
            <w:noProof/>
            <w:webHidden/>
          </w:rPr>
        </w:r>
        <w:r>
          <w:rPr>
            <w:noProof/>
            <w:webHidden/>
          </w:rPr>
          <w:fldChar w:fldCharType="separate"/>
        </w:r>
        <w:r w:rsidR="00CE35DC">
          <w:rPr>
            <w:noProof/>
            <w:webHidden/>
          </w:rPr>
          <w:t>9</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64" w:history="1">
        <w:r w:rsidR="00CE35DC" w:rsidRPr="00813B74">
          <w:rPr>
            <w:rStyle w:val="Hyperlink"/>
            <w:noProof/>
            <w:lang w:eastAsia="en-AU"/>
          </w:rPr>
          <w:t>Risk management plan</w:t>
        </w:r>
        <w:r w:rsidR="00CE35DC">
          <w:rPr>
            <w:noProof/>
            <w:webHidden/>
          </w:rPr>
          <w:tab/>
        </w:r>
        <w:r>
          <w:rPr>
            <w:noProof/>
            <w:webHidden/>
          </w:rPr>
          <w:fldChar w:fldCharType="begin"/>
        </w:r>
        <w:r w:rsidR="00CE35DC">
          <w:rPr>
            <w:noProof/>
            <w:webHidden/>
          </w:rPr>
          <w:instrText xml:space="preserve"> PAGEREF _Toc361226864 \h </w:instrText>
        </w:r>
        <w:r>
          <w:rPr>
            <w:noProof/>
            <w:webHidden/>
          </w:rPr>
        </w:r>
        <w:r>
          <w:rPr>
            <w:noProof/>
            <w:webHidden/>
          </w:rPr>
          <w:fldChar w:fldCharType="separate"/>
        </w:r>
        <w:r w:rsidR="00CE35DC">
          <w:rPr>
            <w:noProof/>
            <w:webHidden/>
          </w:rPr>
          <w:t>9</w:t>
        </w:r>
        <w:r>
          <w:rPr>
            <w:noProof/>
            <w:webHidden/>
          </w:rPr>
          <w:fldChar w:fldCharType="end"/>
        </w:r>
      </w:hyperlink>
    </w:p>
    <w:p w:rsidR="00CE35DC" w:rsidRDefault="00377E0B">
      <w:pPr>
        <w:pStyle w:val="TOC2"/>
        <w:rPr>
          <w:rFonts w:asciiTheme="minorHAnsi" w:eastAsiaTheme="minorEastAsia" w:hAnsiTheme="minorHAnsi" w:cstheme="minorBidi"/>
          <w:b w:val="0"/>
          <w:noProof/>
          <w:sz w:val="22"/>
          <w:lang w:eastAsia="en-AU"/>
        </w:rPr>
      </w:pPr>
      <w:hyperlink w:anchor="_Toc361226865" w:history="1">
        <w:r w:rsidR="00CE35DC" w:rsidRPr="00813B74">
          <w:rPr>
            <w:rStyle w:val="Hyperlink"/>
            <w:noProof/>
          </w:rPr>
          <w:t>VI. Overall conclusion and risk/benefit assessment</w:t>
        </w:r>
        <w:r w:rsidR="00CE35DC">
          <w:rPr>
            <w:noProof/>
            <w:webHidden/>
          </w:rPr>
          <w:tab/>
        </w:r>
        <w:r>
          <w:rPr>
            <w:noProof/>
            <w:webHidden/>
          </w:rPr>
          <w:fldChar w:fldCharType="begin"/>
        </w:r>
        <w:r w:rsidR="00CE35DC">
          <w:rPr>
            <w:noProof/>
            <w:webHidden/>
          </w:rPr>
          <w:instrText xml:space="preserve"> PAGEREF _Toc361226865 \h </w:instrText>
        </w:r>
        <w:r>
          <w:rPr>
            <w:noProof/>
            <w:webHidden/>
          </w:rPr>
        </w:r>
        <w:r>
          <w:rPr>
            <w:noProof/>
            <w:webHidden/>
          </w:rPr>
          <w:fldChar w:fldCharType="separate"/>
        </w:r>
        <w:r w:rsidR="00CE35DC">
          <w:rPr>
            <w:noProof/>
            <w:webHidden/>
          </w:rPr>
          <w:t>21</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66" w:history="1">
        <w:r w:rsidR="00CE35DC" w:rsidRPr="00813B74">
          <w:rPr>
            <w:rStyle w:val="Hyperlink"/>
            <w:noProof/>
          </w:rPr>
          <w:t>Quality</w:t>
        </w:r>
        <w:r w:rsidR="00CE35DC">
          <w:rPr>
            <w:noProof/>
            <w:webHidden/>
          </w:rPr>
          <w:tab/>
        </w:r>
        <w:r>
          <w:rPr>
            <w:noProof/>
            <w:webHidden/>
          </w:rPr>
          <w:fldChar w:fldCharType="begin"/>
        </w:r>
        <w:r w:rsidR="00CE35DC">
          <w:rPr>
            <w:noProof/>
            <w:webHidden/>
          </w:rPr>
          <w:instrText xml:space="preserve"> PAGEREF _Toc361226866 \h </w:instrText>
        </w:r>
        <w:r>
          <w:rPr>
            <w:noProof/>
            <w:webHidden/>
          </w:rPr>
        </w:r>
        <w:r>
          <w:rPr>
            <w:noProof/>
            <w:webHidden/>
          </w:rPr>
          <w:fldChar w:fldCharType="separate"/>
        </w:r>
        <w:r w:rsidR="00CE35DC">
          <w:rPr>
            <w:noProof/>
            <w:webHidden/>
          </w:rPr>
          <w:t>21</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67" w:history="1">
        <w:r w:rsidR="00CE35DC" w:rsidRPr="00813B74">
          <w:rPr>
            <w:rStyle w:val="Hyperlink"/>
            <w:noProof/>
          </w:rPr>
          <w:t>Nonclinical</w:t>
        </w:r>
        <w:r w:rsidR="00CE35DC">
          <w:rPr>
            <w:noProof/>
            <w:webHidden/>
          </w:rPr>
          <w:tab/>
        </w:r>
        <w:r>
          <w:rPr>
            <w:noProof/>
            <w:webHidden/>
          </w:rPr>
          <w:fldChar w:fldCharType="begin"/>
        </w:r>
        <w:r w:rsidR="00CE35DC">
          <w:rPr>
            <w:noProof/>
            <w:webHidden/>
          </w:rPr>
          <w:instrText xml:space="preserve"> PAGEREF _Toc361226867 \h </w:instrText>
        </w:r>
        <w:r>
          <w:rPr>
            <w:noProof/>
            <w:webHidden/>
          </w:rPr>
        </w:r>
        <w:r>
          <w:rPr>
            <w:noProof/>
            <w:webHidden/>
          </w:rPr>
          <w:fldChar w:fldCharType="separate"/>
        </w:r>
        <w:r w:rsidR="00CE35DC">
          <w:rPr>
            <w:noProof/>
            <w:webHidden/>
          </w:rPr>
          <w:t>21</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68" w:history="1">
        <w:r w:rsidR="00CE35DC" w:rsidRPr="00813B74">
          <w:rPr>
            <w:rStyle w:val="Hyperlink"/>
            <w:noProof/>
          </w:rPr>
          <w:t>Clinical</w:t>
        </w:r>
        <w:r w:rsidR="00CE35DC">
          <w:rPr>
            <w:noProof/>
            <w:webHidden/>
          </w:rPr>
          <w:tab/>
        </w:r>
        <w:r>
          <w:rPr>
            <w:noProof/>
            <w:webHidden/>
          </w:rPr>
          <w:fldChar w:fldCharType="begin"/>
        </w:r>
        <w:r w:rsidR="00CE35DC">
          <w:rPr>
            <w:noProof/>
            <w:webHidden/>
          </w:rPr>
          <w:instrText xml:space="preserve"> PAGEREF _Toc361226868 \h </w:instrText>
        </w:r>
        <w:r>
          <w:rPr>
            <w:noProof/>
            <w:webHidden/>
          </w:rPr>
        </w:r>
        <w:r>
          <w:rPr>
            <w:noProof/>
            <w:webHidden/>
          </w:rPr>
          <w:fldChar w:fldCharType="separate"/>
        </w:r>
        <w:r w:rsidR="00CE35DC">
          <w:rPr>
            <w:noProof/>
            <w:webHidden/>
          </w:rPr>
          <w:t>21</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69" w:history="1">
        <w:r w:rsidR="00CE35DC" w:rsidRPr="00813B74">
          <w:rPr>
            <w:rStyle w:val="Hyperlink"/>
            <w:noProof/>
            <w:lang w:eastAsia="en-AU"/>
          </w:rPr>
          <w:t>Risk management plan</w:t>
        </w:r>
        <w:r w:rsidR="00CE35DC">
          <w:rPr>
            <w:noProof/>
            <w:webHidden/>
          </w:rPr>
          <w:tab/>
        </w:r>
        <w:r>
          <w:rPr>
            <w:noProof/>
            <w:webHidden/>
          </w:rPr>
          <w:fldChar w:fldCharType="begin"/>
        </w:r>
        <w:r w:rsidR="00CE35DC">
          <w:rPr>
            <w:noProof/>
            <w:webHidden/>
          </w:rPr>
          <w:instrText xml:space="preserve"> PAGEREF _Toc361226869 \h </w:instrText>
        </w:r>
        <w:r>
          <w:rPr>
            <w:noProof/>
            <w:webHidden/>
          </w:rPr>
        </w:r>
        <w:r>
          <w:rPr>
            <w:noProof/>
            <w:webHidden/>
          </w:rPr>
          <w:fldChar w:fldCharType="separate"/>
        </w:r>
        <w:r w:rsidR="00CE35DC">
          <w:rPr>
            <w:noProof/>
            <w:webHidden/>
          </w:rPr>
          <w:t>23</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70" w:history="1">
        <w:r w:rsidR="00CE35DC" w:rsidRPr="00813B74">
          <w:rPr>
            <w:rStyle w:val="Hyperlink"/>
            <w:noProof/>
          </w:rPr>
          <w:t>Risk-benefit analysis</w:t>
        </w:r>
        <w:r w:rsidR="00CE35DC">
          <w:rPr>
            <w:noProof/>
            <w:webHidden/>
          </w:rPr>
          <w:tab/>
        </w:r>
        <w:r>
          <w:rPr>
            <w:noProof/>
            <w:webHidden/>
          </w:rPr>
          <w:fldChar w:fldCharType="begin"/>
        </w:r>
        <w:r w:rsidR="00CE35DC">
          <w:rPr>
            <w:noProof/>
            <w:webHidden/>
          </w:rPr>
          <w:instrText xml:space="preserve"> PAGEREF _Toc361226870 \h </w:instrText>
        </w:r>
        <w:r>
          <w:rPr>
            <w:noProof/>
            <w:webHidden/>
          </w:rPr>
        </w:r>
        <w:r>
          <w:rPr>
            <w:noProof/>
            <w:webHidden/>
          </w:rPr>
          <w:fldChar w:fldCharType="separate"/>
        </w:r>
        <w:r w:rsidR="00CE35DC">
          <w:rPr>
            <w:noProof/>
            <w:webHidden/>
          </w:rPr>
          <w:t>23</w:t>
        </w:r>
        <w:r>
          <w:rPr>
            <w:noProof/>
            <w:webHidden/>
          </w:rPr>
          <w:fldChar w:fldCharType="end"/>
        </w:r>
      </w:hyperlink>
    </w:p>
    <w:p w:rsidR="00CE35DC" w:rsidRDefault="00377E0B">
      <w:pPr>
        <w:pStyle w:val="TOC3"/>
        <w:rPr>
          <w:rFonts w:asciiTheme="minorHAnsi" w:eastAsiaTheme="minorEastAsia" w:hAnsiTheme="minorHAnsi" w:cstheme="minorBidi"/>
          <w:noProof/>
          <w:lang w:eastAsia="en-AU"/>
        </w:rPr>
      </w:pPr>
      <w:hyperlink w:anchor="_Toc361226871" w:history="1">
        <w:r w:rsidR="00CE35DC" w:rsidRPr="00813B74">
          <w:rPr>
            <w:rStyle w:val="Hyperlink"/>
            <w:noProof/>
          </w:rPr>
          <w:t>Outcome</w:t>
        </w:r>
        <w:r w:rsidR="00CE35DC">
          <w:rPr>
            <w:noProof/>
            <w:webHidden/>
          </w:rPr>
          <w:tab/>
        </w:r>
        <w:r>
          <w:rPr>
            <w:noProof/>
            <w:webHidden/>
          </w:rPr>
          <w:fldChar w:fldCharType="begin"/>
        </w:r>
        <w:r w:rsidR="00CE35DC">
          <w:rPr>
            <w:noProof/>
            <w:webHidden/>
          </w:rPr>
          <w:instrText xml:space="preserve"> PAGEREF _Toc361226871 \h </w:instrText>
        </w:r>
        <w:r>
          <w:rPr>
            <w:noProof/>
            <w:webHidden/>
          </w:rPr>
        </w:r>
        <w:r>
          <w:rPr>
            <w:noProof/>
            <w:webHidden/>
          </w:rPr>
          <w:fldChar w:fldCharType="separate"/>
        </w:r>
        <w:r w:rsidR="00CE35DC">
          <w:rPr>
            <w:noProof/>
            <w:webHidden/>
          </w:rPr>
          <w:t>28</w:t>
        </w:r>
        <w:r>
          <w:rPr>
            <w:noProof/>
            <w:webHidden/>
          </w:rPr>
          <w:fldChar w:fldCharType="end"/>
        </w:r>
      </w:hyperlink>
    </w:p>
    <w:p w:rsidR="00CE35DC" w:rsidRDefault="00377E0B">
      <w:pPr>
        <w:pStyle w:val="TOC2"/>
        <w:tabs>
          <w:tab w:val="left" w:pos="2448"/>
        </w:tabs>
        <w:rPr>
          <w:rFonts w:asciiTheme="minorHAnsi" w:eastAsiaTheme="minorEastAsia" w:hAnsiTheme="minorHAnsi" w:cstheme="minorBidi"/>
          <w:b w:val="0"/>
          <w:noProof/>
          <w:sz w:val="22"/>
          <w:lang w:eastAsia="en-AU"/>
        </w:rPr>
      </w:pPr>
      <w:hyperlink w:anchor="_Toc361226872" w:history="1">
        <w:r w:rsidR="00CE35DC" w:rsidRPr="00813B74">
          <w:rPr>
            <w:rStyle w:val="Hyperlink"/>
            <w:noProof/>
          </w:rPr>
          <w:t>Attachment 1.</w:t>
        </w:r>
        <w:r w:rsidR="00CE35DC">
          <w:rPr>
            <w:rFonts w:asciiTheme="minorHAnsi" w:eastAsiaTheme="minorEastAsia" w:hAnsiTheme="minorHAnsi" w:cstheme="minorBidi"/>
            <w:b w:val="0"/>
            <w:noProof/>
            <w:sz w:val="22"/>
            <w:lang w:eastAsia="en-AU"/>
          </w:rPr>
          <w:tab/>
        </w:r>
        <w:r w:rsidR="00CE35DC" w:rsidRPr="00813B74">
          <w:rPr>
            <w:rStyle w:val="Hyperlink"/>
            <w:noProof/>
          </w:rPr>
          <w:t>Product Information</w:t>
        </w:r>
        <w:r w:rsidR="00CE35DC">
          <w:rPr>
            <w:noProof/>
            <w:webHidden/>
          </w:rPr>
          <w:tab/>
        </w:r>
        <w:r>
          <w:rPr>
            <w:noProof/>
            <w:webHidden/>
          </w:rPr>
          <w:fldChar w:fldCharType="begin"/>
        </w:r>
        <w:r w:rsidR="00CE35DC">
          <w:rPr>
            <w:noProof/>
            <w:webHidden/>
          </w:rPr>
          <w:instrText xml:space="preserve"> PAGEREF _Toc361226872 \h </w:instrText>
        </w:r>
        <w:r>
          <w:rPr>
            <w:noProof/>
            <w:webHidden/>
          </w:rPr>
        </w:r>
        <w:r>
          <w:rPr>
            <w:noProof/>
            <w:webHidden/>
          </w:rPr>
          <w:fldChar w:fldCharType="separate"/>
        </w:r>
        <w:r w:rsidR="00CE35DC">
          <w:rPr>
            <w:noProof/>
            <w:webHidden/>
          </w:rPr>
          <w:t>28</w:t>
        </w:r>
        <w:r>
          <w:rPr>
            <w:noProof/>
            <w:webHidden/>
          </w:rPr>
          <w:fldChar w:fldCharType="end"/>
        </w:r>
      </w:hyperlink>
    </w:p>
    <w:p w:rsidR="00CE35DC" w:rsidRDefault="00377E0B">
      <w:pPr>
        <w:pStyle w:val="TOC2"/>
        <w:rPr>
          <w:rFonts w:asciiTheme="minorHAnsi" w:eastAsiaTheme="minorEastAsia" w:hAnsiTheme="minorHAnsi" w:cstheme="minorBidi"/>
          <w:b w:val="0"/>
          <w:noProof/>
          <w:sz w:val="22"/>
          <w:lang w:eastAsia="en-AU"/>
        </w:rPr>
      </w:pPr>
      <w:hyperlink w:anchor="_Toc361226873" w:history="1">
        <w:r w:rsidR="00CE35DC" w:rsidRPr="00813B74">
          <w:rPr>
            <w:rStyle w:val="Hyperlink"/>
            <w:noProof/>
            <w:lang w:eastAsia="en-AU"/>
          </w:rPr>
          <w:t xml:space="preserve">Attachment 2. </w:t>
        </w:r>
        <w:r w:rsidR="008B534B">
          <w:rPr>
            <w:rStyle w:val="Hyperlink"/>
            <w:noProof/>
            <w:lang w:eastAsia="en-AU"/>
          </w:rPr>
          <w:t xml:space="preserve">   </w:t>
        </w:r>
        <w:r w:rsidR="00CE35DC" w:rsidRPr="00813B74">
          <w:rPr>
            <w:rStyle w:val="Hyperlink"/>
            <w:noProof/>
            <w:lang w:eastAsia="en-AU"/>
          </w:rPr>
          <w:t>Extract from the Clinical Evaluation Report</w:t>
        </w:r>
        <w:r w:rsidR="00CE35DC">
          <w:rPr>
            <w:noProof/>
            <w:webHidden/>
          </w:rPr>
          <w:tab/>
        </w:r>
        <w:r>
          <w:rPr>
            <w:noProof/>
            <w:webHidden/>
          </w:rPr>
          <w:fldChar w:fldCharType="begin"/>
        </w:r>
        <w:r w:rsidR="00CE35DC">
          <w:rPr>
            <w:noProof/>
            <w:webHidden/>
          </w:rPr>
          <w:instrText xml:space="preserve"> PAGEREF _Toc361226873 \h </w:instrText>
        </w:r>
        <w:r>
          <w:rPr>
            <w:noProof/>
            <w:webHidden/>
          </w:rPr>
        </w:r>
        <w:r>
          <w:rPr>
            <w:noProof/>
            <w:webHidden/>
          </w:rPr>
          <w:fldChar w:fldCharType="separate"/>
        </w:r>
        <w:r w:rsidR="00CE35DC">
          <w:rPr>
            <w:noProof/>
            <w:webHidden/>
          </w:rPr>
          <w:t>28</w:t>
        </w:r>
        <w:r>
          <w:rPr>
            <w:noProof/>
            <w:webHidden/>
          </w:rPr>
          <w:fldChar w:fldCharType="end"/>
        </w:r>
      </w:hyperlink>
    </w:p>
    <w:p w:rsidR="008E7846" w:rsidRDefault="00377E0B" w:rsidP="0010195B">
      <w:pPr>
        <w:pStyle w:val="Heading2"/>
      </w:pPr>
      <w:r>
        <w:fldChar w:fldCharType="end"/>
      </w:r>
      <w:bookmarkStart w:id="2" w:name="_Toc314842482"/>
      <w:r w:rsidR="00E14B7E">
        <w:br w:type="page"/>
      </w:r>
      <w:bookmarkStart w:id="3" w:name="_Toc361226848"/>
      <w:r w:rsidR="00F53C07">
        <w:lastRenderedPageBreak/>
        <w:t>I.</w:t>
      </w:r>
      <w:r w:rsidR="008E7846">
        <w:t xml:space="preserve"> Introduction to product submission</w:t>
      </w:r>
      <w:bookmarkEnd w:id="0"/>
      <w:bookmarkEnd w:id="2"/>
      <w:bookmarkEnd w:id="3"/>
    </w:p>
    <w:p w:rsidR="008E7846" w:rsidRDefault="008E7846" w:rsidP="008E7846">
      <w:pPr>
        <w:pStyle w:val="Heading3"/>
        <w:rPr>
          <w:lang w:eastAsia="en-AU"/>
        </w:rPr>
      </w:pPr>
      <w:bookmarkStart w:id="4" w:name="_Toc247691502"/>
      <w:bookmarkStart w:id="5" w:name="_Toc314842483"/>
      <w:bookmarkStart w:id="6" w:name="_Toc361226849"/>
      <w:r>
        <w:rPr>
          <w:lang w:eastAsia="en-AU"/>
        </w:rPr>
        <w:t>Submission details</w:t>
      </w:r>
      <w:bookmarkEnd w:id="4"/>
      <w:bookmarkEnd w:id="5"/>
      <w:bookmarkEnd w:id="6"/>
    </w:p>
    <w:tbl>
      <w:tblPr>
        <w:tblW w:w="9497" w:type="dxa"/>
        <w:tblInd w:w="108" w:type="dxa"/>
        <w:tblLook w:val="01E0"/>
      </w:tblPr>
      <w:tblGrid>
        <w:gridCol w:w="2907"/>
        <w:gridCol w:w="5598"/>
        <w:gridCol w:w="992"/>
      </w:tblGrid>
      <w:tr w:rsidR="008E7846" w:rsidRPr="003D1E62" w:rsidTr="00A15988">
        <w:trPr>
          <w:trHeight w:hRule="exact" w:val="454"/>
        </w:trPr>
        <w:tc>
          <w:tcPr>
            <w:tcW w:w="2907" w:type="dxa"/>
          </w:tcPr>
          <w:p w:rsidR="008E7846" w:rsidRPr="003D1E62" w:rsidRDefault="008E7846" w:rsidP="003D1E62">
            <w:pPr>
              <w:rPr>
                <w:i/>
              </w:rPr>
            </w:pPr>
            <w:r w:rsidRPr="003D1E62">
              <w:rPr>
                <w:i/>
              </w:rPr>
              <w:t>Type of Submission</w:t>
            </w:r>
            <w:r w:rsidR="00A817EB">
              <w:rPr>
                <w:i/>
              </w:rPr>
              <w:t>:</w:t>
            </w:r>
          </w:p>
        </w:tc>
        <w:tc>
          <w:tcPr>
            <w:tcW w:w="6590" w:type="dxa"/>
            <w:gridSpan w:val="2"/>
          </w:tcPr>
          <w:p w:rsidR="008E7846" w:rsidRPr="003D1E62" w:rsidRDefault="008E7846" w:rsidP="003D1E62">
            <w:r w:rsidRPr="003D1E62">
              <w:t>Major Vari</w:t>
            </w:r>
            <w:r w:rsidR="00B117C4">
              <w:t>ation (Extension of indications)</w:t>
            </w:r>
          </w:p>
        </w:tc>
      </w:tr>
      <w:tr w:rsidR="008E7846" w:rsidRPr="003D1E62" w:rsidTr="00A15988">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8E7846" w:rsidP="00372623">
            <w:r w:rsidRPr="003D1E62">
              <w:t>Approved</w:t>
            </w:r>
          </w:p>
        </w:tc>
      </w:tr>
      <w:tr w:rsidR="008E7846" w:rsidRPr="003D1E62" w:rsidTr="00A15988">
        <w:trPr>
          <w:trHeight w:hRule="exact" w:val="454"/>
        </w:trPr>
        <w:tc>
          <w:tcPr>
            <w:tcW w:w="2907" w:type="dxa"/>
          </w:tcPr>
          <w:p w:rsidR="008E7846" w:rsidRPr="003D1E62" w:rsidRDefault="008E7846" w:rsidP="003D1E62">
            <w:pPr>
              <w:rPr>
                <w:i/>
              </w:rPr>
            </w:pPr>
            <w:r w:rsidRPr="003D1E62">
              <w:rPr>
                <w:i/>
              </w:rPr>
              <w:t>Date of Decision:</w:t>
            </w:r>
          </w:p>
        </w:tc>
        <w:tc>
          <w:tcPr>
            <w:tcW w:w="6590" w:type="dxa"/>
            <w:gridSpan w:val="2"/>
          </w:tcPr>
          <w:p w:rsidR="008E7846" w:rsidRPr="003D1E62" w:rsidRDefault="00372623" w:rsidP="003D1E62">
            <w:r>
              <w:t>7 September 2012</w:t>
            </w:r>
          </w:p>
        </w:tc>
      </w:tr>
      <w:tr w:rsidR="008E7846" w:rsidRPr="00487162" w:rsidTr="001C3B37">
        <w:trPr>
          <w:gridAfter w:val="1"/>
          <w:wAfter w:w="992" w:type="dxa"/>
        </w:trPr>
        <w:tc>
          <w:tcPr>
            <w:tcW w:w="2907" w:type="dxa"/>
          </w:tcPr>
          <w:p w:rsidR="008E7846" w:rsidRPr="00487162" w:rsidRDefault="008E7846" w:rsidP="00D066F7">
            <w:pPr>
              <w:rPr>
                <w:i/>
              </w:rPr>
            </w:pPr>
            <w:r w:rsidRPr="00487162">
              <w:rPr>
                <w:i/>
              </w:rPr>
              <w:t>Active ingredient:</w:t>
            </w:r>
          </w:p>
        </w:tc>
        <w:tc>
          <w:tcPr>
            <w:tcW w:w="5598" w:type="dxa"/>
          </w:tcPr>
          <w:p w:rsidR="008E7846" w:rsidRPr="00487162" w:rsidRDefault="009714AB" w:rsidP="00E45619">
            <w:proofErr w:type="spellStart"/>
            <w:r>
              <w:t>E</w:t>
            </w:r>
            <w:r w:rsidRPr="009714AB">
              <w:t>xenatide</w:t>
            </w:r>
            <w:proofErr w:type="spellEnd"/>
          </w:p>
        </w:tc>
      </w:tr>
      <w:tr w:rsidR="008E7846" w:rsidRPr="00487162" w:rsidTr="001C3B37">
        <w:trPr>
          <w:gridAfter w:val="1"/>
          <w:wAfter w:w="992" w:type="dxa"/>
        </w:trPr>
        <w:tc>
          <w:tcPr>
            <w:tcW w:w="2907" w:type="dxa"/>
          </w:tcPr>
          <w:p w:rsidR="008E7846" w:rsidRPr="00487162" w:rsidRDefault="008E7846" w:rsidP="00D066F7">
            <w:pPr>
              <w:rPr>
                <w:i/>
              </w:rPr>
            </w:pPr>
            <w:r w:rsidRPr="00487162">
              <w:rPr>
                <w:i/>
              </w:rPr>
              <w:t>Product Name:</w:t>
            </w:r>
          </w:p>
        </w:tc>
        <w:tc>
          <w:tcPr>
            <w:tcW w:w="5598" w:type="dxa"/>
          </w:tcPr>
          <w:p w:rsidR="008E7846" w:rsidRPr="00487162" w:rsidRDefault="009714AB" w:rsidP="00E45619">
            <w:proofErr w:type="spellStart"/>
            <w:r>
              <w:t>Byetta</w:t>
            </w:r>
            <w:proofErr w:type="spellEnd"/>
          </w:p>
        </w:tc>
      </w:tr>
      <w:tr w:rsidR="008E7846" w:rsidRPr="00487162" w:rsidTr="001C3B37">
        <w:trPr>
          <w:gridAfter w:val="1"/>
          <w:wAfter w:w="992" w:type="dxa"/>
        </w:trPr>
        <w:tc>
          <w:tcPr>
            <w:tcW w:w="2907" w:type="dxa"/>
          </w:tcPr>
          <w:p w:rsidR="008E7846" w:rsidRPr="00487162" w:rsidRDefault="008E7846" w:rsidP="00E45619">
            <w:pPr>
              <w:rPr>
                <w:i/>
              </w:rPr>
            </w:pPr>
            <w:r w:rsidRPr="00487162">
              <w:rPr>
                <w:i/>
              </w:rPr>
              <w:t>Sponsor’s Name and Address:</w:t>
            </w:r>
          </w:p>
        </w:tc>
        <w:tc>
          <w:tcPr>
            <w:tcW w:w="5598" w:type="dxa"/>
          </w:tcPr>
          <w:p w:rsidR="00555BF5" w:rsidRPr="00487162" w:rsidRDefault="00555BF5" w:rsidP="00D066F7">
            <w:r>
              <w:t>Eli Lilly Australia Pty Ltd</w:t>
            </w:r>
            <w:r w:rsidR="005E1D30">
              <w:rPr>
                <w:rStyle w:val="FootnoteReference"/>
              </w:rPr>
              <w:footnoteReference w:id="2"/>
            </w:r>
            <w:r w:rsidR="00D066F7">
              <w:br/>
            </w:r>
            <w:r>
              <w:t>112 Wharf R</w:t>
            </w:r>
            <w:r w:rsidR="00AD135B">
              <w:t>oa</w:t>
            </w:r>
            <w:r>
              <w:t>d</w:t>
            </w:r>
            <w:r w:rsidR="00D066F7">
              <w:br/>
            </w:r>
            <w:r>
              <w:t>West Ryde NSW 2114</w:t>
            </w:r>
          </w:p>
        </w:tc>
      </w:tr>
      <w:tr w:rsidR="008E7846" w:rsidRPr="00487162" w:rsidTr="001C3B37">
        <w:trPr>
          <w:gridAfter w:val="1"/>
          <w:wAfter w:w="992" w:type="dxa"/>
        </w:trPr>
        <w:tc>
          <w:tcPr>
            <w:tcW w:w="2907" w:type="dxa"/>
          </w:tcPr>
          <w:p w:rsidR="008E7846" w:rsidRPr="00487162" w:rsidRDefault="00D066F7" w:rsidP="00D066F7">
            <w:pPr>
              <w:rPr>
                <w:i/>
              </w:rPr>
            </w:pPr>
            <w:r>
              <w:rPr>
                <w:i/>
              </w:rPr>
              <w:t>Dose form:</w:t>
            </w:r>
          </w:p>
        </w:tc>
        <w:tc>
          <w:tcPr>
            <w:tcW w:w="5598" w:type="dxa"/>
          </w:tcPr>
          <w:p w:rsidR="008E7846" w:rsidRPr="00487162" w:rsidRDefault="0026122F" w:rsidP="00E45619">
            <w:r>
              <w:t>0.25 mg</w:t>
            </w:r>
            <w:r w:rsidR="007F4DE1" w:rsidRPr="007F4DE1">
              <w:t>/</w:t>
            </w:r>
            <w:proofErr w:type="spellStart"/>
            <w:r w:rsidR="007F4DE1" w:rsidRPr="007F4DE1">
              <w:t>mL</w:t>
            </w:r>
            <w:proofErr w:type="spellEnd"/>
            <w:r w:rsidR="007F4DE1" w:rsidRPr="007F4DE1">
              <w:t xml:space="preserve"> solution f</w:t>
            </w:r>
            <w:r w:rsidR="007F4DE1">
              <w:t xml:space="preserve">or injection in pre filled pen </w:t>
            </w:r>
            <w:r w:rsidR="007F4DE1" w:rsidRPr="007F4DE1">
              <w:t>injector containing 60 doses</w:t>
            </w:r>
          </w:p>
        </w:tc>
      </w:tr>
      <w:tr w:rsidR="008E7846" w:rsidRPr="00487162" w:rsidTr="001C3B37">
        <w:trPr>
          <w:gridAfter w:val="1"/>
          <w:wAfter w:w="992" w:type="dxa"/>
        </w:trPr>
        <w:tc>
          <w:tcPr>
            <w:tcW w:w="2907" w:type="dxa"/>
          </w:tcPr>
          <w:p w:rsidR="008E7846" w:rsidRPr="00487162" w:rsidRDefault="00D066F7" w:rsidP="00E45619">
            <w:pPr>
              <w:rPr>
                <w:i/>
              </w:rPr>
            </w:pPr>
            <w:r>
              <w:rPr>
                <w:i/>
              </w:rPr>
              <w:t>Strengths:</w:t>
            </w:r>
          </w:p>
        </w:tc>
        <w:tc>
          <w:tcPr>
            <w:tcW w:w="5598" w:type="dxa"/>
          </w:tcPr>
          <w:p w:rsidR="008E7846" w:rsidRPr="00487162" w:rsidRDefault="00945830" w:rsidP="00D066F7">
            <w:r>
              <w:t xml:space="preserve">5 </w:t>
            </w:r>
            <w:r w:rsidR="00D066F7">
              <w:sym w:font="Symbol" w:char="F06D"/>
            </w:r>
            <w:r w:rsidR="00704B82">
              <w:t xml:space="preserve">g per </w:t>
            </w:r>
            <w:r>
              <w:t xml:space="preserve">20 </w:t>
            </w:r>
            <w:r w:rsidR="00D066F7">
              <w:sym w:font="Symbol" w:char="F06D"/>
            </w:r>
            <w:r>
              <w:t xml:space="preserve">l </w:t>
            </w:r>
            <w:r w:rsidR="00B572EB">
              <w:t xml:space="preserve">(1.2 </w:t>
            </w:r>
            <w:proofErr w:type="spellStart"/>
            <w:r w:rsidR="00B572EB">
              <w:t>mL</w:t>
            </w:r>
            <w:proofErr w:type="spellEnd"/>
            <w:r w:rsidR="00B572EB">
              <w:t xml:space="preserve"> in total) </w:t>
            </w:r>
            <w:r>
              <w:t xml:space="preserve">and 10 </w:t>
            </w:r>
            <w:r w:rsidR="00D066F7">
              <w:sym w:font="Symbol" w:char="F06D"/>
            </w:r>
            <w:r>
              <w:t xml:space="preserve">g per 40 </w:t>
            </w:r>
            <w:r w:rsidR="00D066F7">
              <w:sym w:font="Symbol" w:char="F06D"/>
            </w:r>
            <w:r>
              <w:t>l</w:t>
            </w:r>
            <w:r w:rsidR="00B572EB">
              <w:t xml:space="preserve"> (2.4 </w:t>
            </w:r>
            <w:proofErr w:type="spellStart"/>
            <w:r w:rsidR="00B572EB">
              <w:t>mL</w:t>
            </w:r>
            <w:proofErr w:type="spellEnd"/>
            <w:r w:rsidR="00B572EB">
              <w:t xml:space="preserve"> in total)</w:t>
            </w:r>
          </w:p>
        </w:tc>
      </w:tr>
      <w:tr w:rsidR="008E7846" w:rsidRPr="00487162" w:rsidTr="001C3B37">
        <w:trPr>
          <w:gridAfter w:val="1"/>
          <w:wAfter w:w="992" w:type="dxa"/>
        </w:trPr>
        <w:tc>
          <w:tcPr>
            <w:tcW w:w="2907" w:type="dxa"/>
          </w:tcPr>
          <w:p w:rsidR="008E7846" w:rsidRPr="00487162" w:rsidRDefault="008E7846" w:rsidP="00E45619">
            <w:pPr>
              <w:rPr>
                <w:i/>
              </w:rPr>
            </w:pPr>
            <w:r w:rsidRPr="00487162">
              <w:rPr>
                <w:i/>
              </w:rPr>
              <w:t>Approved Therapeutic use:</w:t>
            </w:r>
          </w:p>
        </w:tc>
        <w:tc>
          <w:tcPr>
            <w:tcW w:w="5598" w:type="dxa"/>
          </w:tcPr>
          <w:p w:rsidR="008E7846" w:rsidRPr="00487162" w:rsidRDefault="00D77CAB" w:rsidP="00D77CAB">
            <w:pPr>
              <w:rPr>
                <w:rFonts w:eastAsia="MS Mincho"/>
                <w:lang w:eastAsia="ja-JP"/>
              </w:rPr>
            </w:pPr>
            <w:proofErr w:type="spellStart"/>
            <w:r>
              <w:t>Exenatide</w:t>
            </w:r>
            <w:proofErr w:type="spellEnd"/>
            <w:r>
              <w:t xml:space="preserve"> is indicated as adjunctive therapy to improve </w:t>
            </w:r>
            <w:proofErr w:type="spellStart"/>
            <w:r>
              <w:t>glycaemic</w:t>
            </w:r>
            <w:proofErr w:type="spellEnd"/>
            <w:r>
              <w:t xml:space="preserve"> control in patients with type 2 diabetes mellitus who are taking </w:t>
            </w:r>
            <w:proofErr w:type="spellStart"/>
            <w:r>
              <w:t>metformin</w:t>
            </w:r>
            <w:proofErr w:type="spellEnd"/>
            <w:r>
              <w:t xml:space="preserve">, a sulfonylurea, or a combination of </w:t>
            </w:r>
            <w:proofErr w:type="spellStart"/>
            <w:r>
              <w:t>metformin</w:t>
            </w:r>
            <w:proofErr w:type="spellEnd"/>
            <w:r>
              <w:t xml:space="preserve"> and a sulfonylurea, or a combination of </w:t>
            </w:r>
            <w:proofErr w:type="spellStart"/>
            <w:r>
              <w:t>metformin</w:t>
            </w:r>
            <w:proofErr w:type="spellEnd"/>
            <w:r>
              <w:t xml:space="preserve"> and </w:t>
            </w:r>
            <w:proofErr w:type="gramStart"/>
            <w:r>
              <w:t>a basal</w:t>
            </w:r>
            <w:proofErr w:type="gramEnd"/>
            <w:r>
              <w:t xml:space="preserve"> insulin, but are not achieving adequate </w:t>
            </w:r>
            <w:proofErr w:type="spellStart"/>
            <w:r>
              <w:t>glycaemic</w:t>
            </w:r>
            <w:proofErr w:type="spellEnd"/>
            <w:r>
              <w:t xml:space="preserve"> control.</w:t>
            </w:r>
          </w:p>
        </w:tc>
      </w:tr>
      <w:tr w:rsidR="008E7846" w:rsidRPr="00487162" w:rsidTr="001C3B37">
        <w:trPr>
          <w:gridAfter w:val="1"/>
          <w:wAfter w:w="992" w:type="dxa"/>
        </w:trPr>
        <w:tc>
          <w:tcPr>
            <w:tcW w:w="2907" w:type="dxa"/>
          </w:tcPr>
          <w:p w:rsidR="008E7846" w:rsidRPr="00487162" w:rsidRDefault="008E7846" w:rsidP="00D066F7">
            <w:pPr>
              <w:rPr>
                <w:i/>
              </w:rPr>
            </w:pPr>
            <w:r w:rsidRPr="00487162">
              <w:rPr>
                <w:i/>
              </w:rPr>
              <w:t>Route of administration:</w:t>
            </w:r>
          </w:p>
        </w:tc>
        <w:tc>
          <w:tcPr>
            <w:tcW w:w="5598" w:type="dxa"/>
          </w:tcPr>
          <w:p w:rsidR="008E7846" w:rsidRPr="00487162" w:rsidRDefault="00ED74AE" w:rsidP="00E45619">
            <w:r>
              <w:t>S</w:t>
            </w:r>
            <w:r w:rsidRPr="00741FD9">
              <w:t>ubcutaneous injection</w:t>
            </w:r>
          </w:p>
        </w:tc>
      </w:tr>
      <w:tr w:rsidR="008E7846" w:rsidRPr="00487162" w:rsidTr="001C3B37">
        <w:trPr>
          <w:gridAfter w:val="1"/>
          <w:wAfter w:w="992" w:type="dxa"/>
        </w:trPr>
        <w:tc>
          <w:tcPr>
            <w:tcW w:w="2907" w:type="dxa"/>
          </w:tcPr>
          <w:p w:rsidR="008E7846" w:rsidRPr="00487162" w:rsidRDefault="008E7846" w:rsidP="00E45619">
            <w:pPr>
              <w:rPr>
                <w:i/>
              </w:rPr>
            </w:pPr>
            <w:r w:rsidRPr="00487162">
              <w:rPr>
                <w:i/>
              </w:rPr>
              <w:t>Dosage:</w:t>
            </w:r>
          </w:p>
        </w:tc>
        <w:tc>
          <w:tcPr>
            <w:tcW w:w="5598" w:type="dxa"/>
          </w:tcPr>
          <w:p w:rsidR="008E7846" w:rsidRPr="00487162" w:rsidRDefault="006C3990" w:rsidP="00D066F7">
            <w:r w:rsidRPr="006C3990">
              <w:t xml:space="preserve">5 </w:t>
            </w:r>
            <w:r w:rsidR="00D066F7">
              <w:sym w:font="Symbol" w:char="F06D"/>
            </w:r>
            <w:r w:rsidRPr="006C3990">
              <w:t xml:space="preserve">g </w:t>
            </w:r>
            <w:proofErr w:type="spellStart"/>
            <w:r w:rsidRPr="006C3990">
              <w:t>Byetta</w:t>
            </w:r>
            <w:proofErr w:type="spellEnd"/>
            <w:r w:rsidRPr="006C3990">
              <w:t xml:space="preserve"> per dose administered twice daily (bid) for at least one month in order to improve tolerability. The dose of </w:t>
            </w:r>
            <w:proofErr w:type="spellStart"/>
            <w:r w:rsidRPr="006C3990">
              <w:t>Byetta</w:t>
            </w:r>
            <w:proofErr w:type="spellEnd"/>
            <w:r w:rsidRPr="006C3990">
              <w:t xml:space="preserve"> can then be increased to 10 </w:t>
            </w:r>
            <w:r w:rsidR="00D066F7">
              <w:sym w:font="Symbol" w:char="F06D"/>
            </w:r>
            <w:r w:rsidRPr="006C3990">
              <w:t xml:space="preserve">g bid to further improve </w:t>
            </w:r>
            <w:proofErr w:type="spellStart"/>
            <w:r w:rsidRPr="006C3990">
              <w:t>glycaemic</w:t>
            </w:r>
            <w:proofErr w:type="spellEnd"/>
            <w:r w:rsidRPr="006C3990">
              <w:t xml:space="preserve"> control. Doses higher than 10 </w:t>
            </w:r>
            <w:r w:rsidR="00D066F7">
              <w:sym w:font="Symbol" w:char="F06D"/>
            </w:r>
            <w:r w:rsidRPr="006C3990">
              <w:t>g bid are not recommended</w:t>
            </w:r>
            <w:r>
              <w:t>.</w:t>
            </w:r>
          </w:p>
        </w:tc>
      </w:tr>
      <w:tr w:rsidR="008E7846" w:rsidRPr="00487162" w:rsidTr="001C3B37">
        <w:trPr>
          <w:gridAfter w:val="1"/>
          <w:wAfter w:w="992" w:type="dxa"/>
        </w:trPr>
        <w:tc>
          <w:tcPr>
            <w:tcW w:w="2907" w:type="dxa"/>
          </w:tcPr>
          <w:p w:rsidR="008E7846" w:rsidRPr="00487162" w:rsidRDefault="008E7846" w:rsidP="00873037">
            <w:pPr>
              <w:rPr>
                <w:i/>
              </w:rPr>
            </w:pPr>
            <w:r w:rsidRPr="00487162">
              <w:rPr>
                <w:i/>
              </w:rPr>
              <w:t>ARTG Numbers</w:t>
            </w:r>
            <w:r w:rsidR="00873037">
              <w:rPr>
                <w:i/>
              </w:rPr>
              <w:t>:</w:t>
            </w:r>
          </w:p>
        </w:tc>
        <w:tc>
          <w:tcPr>
            <w:tcW w:w="5598" w:type="dxa"/>
          </w:tcPr>
          <w:p w:rsidR="006F3D80" w:rsidRDefault="00D066F7" w:rsidP="00E45619">
            <w:r>
              <w:t xml:space="preserve">123609 </w:t>
            </w:r>
            <w:r w:rsidR="00F64787">
              <w:t xml:space="preserve">(5 </w:t>
            </w:r>
            <w:r>
              <w:sym w:font="Symbol" w:char="F06D"/>
            </w:r>
            <w:r w:rsidR="00F64787">
              <w:t xml:space="preserve">g </w:t>
            </w:r>
            <w:proofErr w:type="spellStart"/>
            <w:r w:rsidR="00C06ECB" w:rsidRPr="00F00350">
              <w:t>exenatide</w:t>
            </w:r>
            <w:proofErr w:type="spellEnd"/>
            <w:r w:rsidR="00C06ECB">
              <w:t xml:space="preserve"> </w:t>
            </w:r>
            <w:r w:rsidR="00F64787">
              <w:t xml:space="preserve">per 20 </w:t>
            </w:r>
            <w:r>
              <w:sym w:font="Symbol" w:char="F06D"/>
            </w:r>
            <w:r w:rsidR="00F64787">
              <w:t>l</w:t>
            </w:r>
            <w:r w:rsidR="006F3D80">
              <w:t>)</w:t>
            </w:r>
          </w:p>
          <w:p w:rsidR="008E7846" w:rsidRPr="00487162" w:rsidRDefault="00F64787" w:rsidP="00D066F7">
            <w:r>
              <w:t xml:space="preserve">123610 (10 </w:t>
            </w:r>
            <w:r w:rsidR="00D066F7">
              <w:sym w:font="Symbol" w:char="F06D"/>
            </w:r>
            <w:r>
              <w:t xml:space="preserve">g </w:t>
            </w:r>
            <w:proofErr w:type="spellStart"/>
            <w:r w:rsidR="00C06ECB" w:rsidRPr="00F00350">
              <w:t>exenatide</w:t>
            </w:r>
            <w:proofErr w:type="spellEnd"/>
            <w:r w:rsidR="00C06ECB">
              <w:t xml:space="preserve"> </w:t>
            </w:r>
            <w:r>
              <w:t xml:space="preserve">per 40 </w:t>
            </w:r>
            <w:r w:rsidR="00D066F7">
              <w:sym w:font="Symbol" w:char="F06D"/>
            </w:r>
            <w:r>
              <w:t>l)</w:t>
            </w:r>
          </w:p>
        </w:tc>
      </w:tr>
    </w:tbl>
    <w:p w:rsidR="008E7846" w:rsidRDefault="008E7846" w:rsidP="008E7846">
      <w:pPr>
        <w:pStyle w:val="Heading3"/>
      </w:pPr>
      <w:bookmarkStart w:id="7" w:name="_Toc247691503"/>
      <w:bookmarkStart w:id="8" w:name="_Toc314842484"/>
      <w:bookmarkStart w:id="9" w:name="_Toc361226850"/>
      <w:r>
        <w:t>Product background</w:t>
      </w:r>
      <w:bookmarkEnd w:id="7"/>
      <w:bookmarkEnd w:id="8"/>
      <w:bookmarkEnd w:id="9"/>
    </w:p>
    <w:p w:rsidR="00873037" w:rsidRDefault="00BA7D2F" w:rsidP="00873037">
      <w:r>
        <w:t xml:space="preserve">This AusPAR describes an application by the sponsor, Eli Lilly Australia Pty Ltd, to extend the </w:t>
      </w:r>
      <w:r w:rsidRPr="00F00350">
        <w:t xml:space="preserve">approved use of </w:t>
      </w:r>
      <w:proofErr w:type="spellStart"/>
      <w:r w:rsidRPr="00F00350">
        <w:t>exenatide</w:t>
      </w:r>
      <w:proofErr w:type="spellEnd"/>
      <w:r w:rsidRPr="00F00350">
        <w:t xml:space="preserve"> </w:t>
      </w:r>
      <w:r>
        <w:t>(</w:t>
      </w:r>
      <w:proofErr w:type="spellStart"/>
      <w:r>
        <w:t>Byetta</w:t>
      </w:r>
      <w:proofErr w:type="spellEnd"/>
      <w:r>
        <w:t xml:space="preserve">) </w:t>
      </w:r>
      <w:r w:rsidRPr="00F00350">
        <w:t xml:space="preserve">in </w:t>
      </w:r>
      <w:r>
        <w:t>t</w:t>
      </w:r>
      <w:r w:rsidRPr="00F00350">
        <w:t xml:space="preserve">ype 2 diabetes mellitus </w:t>
      </w:r>
      <w:r>
        <w:t>(</w:t>
      </w:r>
      <w:r w:rsidRPr="00F00350">
        <w:t>T2DM</w:t>
      </w:r>
      <w:r>
        <w:t>)</w:t>
      </w:r>
      <w:r w:rsidRPr="00F00350">
        <w:t xml:space="preserve"> patients to use in combination with insulin, with or without </w:t>
      </w:r>
      <w:proofErr w:type="spellStart"/>
      <w:r w:rsidRPr="00F00350">
        <w:t>metformin</w:t>
      </w:r>
      <w:proofErr w:type="spellEnd"/>
      <w:r w:rsidRPr="00F00350">
        <w:t xml:space="preserve"> and/or a </w:t>
      </w:r>
      <w:proofErr w:type="spellStart"/>
      <w:r w:rsidRPr="00F00350">
        <w:t>thiazolidinedione</w:t>
      </w:r>
      <w:proofErr w:type="spellEnd"/>
      <w:r>
        <w:t xml:space="preserve"> (TZD).</w:t>
      </w:r>
    </w:p>
    <w:p w:rsidR="0087135F" w:rsidRDefault="0087135F" w:rsidP="0087135F">
      <w:r>
        <w:t>The current approved indication is:</w:t>
      </w:r>
    </w:p>
    <w:p w:rsidR="0087135F" w:rsidRPr="0087135F" w:rsidRDefault="0087135F" w:rsidP="0087135F">
      <w:pPr>
        <w:ind w:left="720"/>
        <w:rPr>
          <w:i/>
        </w:rPr>
      </w:pPr>
      <w:proofErr w:type="spellStart"/>
      <w:r w:rsidRPr="0087135F">
        <w:rPr>
          <w:i/>
        </w:rPr>
        <w:lastRenderedPageBreak/>
        <w:t>Exenatide</w:t>
      </w:r>
      <w:proofErr w:type="spellEnd"/>
      <w:r w:rsidRPr="0087135F">
        <w:rPr>
          <w:i/>
        </w:rPr>
        <w:t xml:space="preserve"> is indicated as adjunctive therapy to improve </w:t>
      </w:r>
      <w:proofErr w:type="spellStart"/>
      <w:r w:rsidRPr="0087135F">
        <w:rPr>
          <w:i/>
        </w:rPr>
        <w:t>glycaemic</w:t>
      </w:r>
      <w:proofErr w:type="spellEnd"/>
      <w:r w:rsidRPr="0087135F">
        <w:rPr>
          <w:i/>
        </w:rPr>
        <w:t xml:space="preserve"> control in patients with type 2 diabetes mellitus who are taking </w:t>
      </w:r>
      <w:proofErr w:type="spellStart"/>
      <w:r w:rsidRPr="0087135F">
        <w:rPr>
          <w:i/>
        </w:rPr>
        <w:t>metformin</w:t>
      </w:r>
      <w:proofErr w:type="spellEnd"/>
      <w:r w:rsidRPr="0087135F">
        <w:rPr>
          <w:i/>
        </w:rPr>
        <w:t xml:space="preserve">, a sulfonylurea, or a combination of </w:t>
      </w:r>
      <w:proofErr w:type="spellStart"/>
      <w:r w:rsidRPr="0087135F">
        <w:rPr>
          <w:i/>
        </w:rPr>
        <w:t>metformin</w:t>
      </w:r>
      <w:proofErr w:type="spellEnd"/>
      <w:r w:rsidRPr="0087135F">
        <w:rPr>
          <w:i/>
        </w:rPr>
        <w:t xml:space="preserve"> and a sulfonylurea but are not achieving adequate </w:t>
      </w:r>
      <w:proofErr w:type="spellStart"/>
      <w:r w:rsidRPr="0087135F">
        <w:rPr>
          <w:i/>
        </w:rPr>
        <w:t>glycaemic</w:t>
      </w:r>
      <w:proofErr w:type="spellEnd"/>
      <w:r w:rsidRPr="0087135F">
        <w:rPr>
          <w:i/>
        </w:rPr>
        <w:t xml:space="preserve"> control.</w:t>
      </w:r>
    </w:p>
    <w:p w:rsidR="0087135F" w:rsidRDefault="0087135F" w:rsidP="0087135F">
      <w:r>
        <w:t>The proposed additional indication is:</w:t>
      </w:r>
    </w:p>
    <w:p w:rsidR="00054043" w:rsidRPr="0087135F" w:rsidRDefault="0087135F" w:rsidP="0087135F">
      <w:pPr>
        <w:ind w:left="720"/>
        <w:rPr>
          <w:i/>
        </w:rPr>
      </w:pPr>
      <w:proofErr w:type="spellStart"/>
      <w:r w:rsidRPr="0087135F">
        <w:rPr>
          <w:i/>
        </w:rPr>
        <w:t>Exenatide</w:t>
      </w:r>
      <w:proofErr w:type="spellEnd"/>
      <w:r w:rsidRPr="0087135F">
        <w:rPr>
          <w:i/>
        </w:rPr>
        <w:t xml:space="preserve"> is indicated to improve </w:t>
      </w:r>
      <w:proofErr w:type="spellStart"/>
      <w:r w:rsidRPr="0087135F">
        <w:rPr>
          <w:i/>
        </w:rPr>
        <w:t>glycaemic</w:t>
      </w:r>
      <w:proofErr w:type="spellEnd"/>
      <w:r w:rsidRPr="0087135F">
        <w:rPr>
          <w:i/>
        </w:rPr>
        <w:t xml:space="preserve"> control in patients with type 2 diabetes mellitus in combination with a basal insulin, with or without </w:t>
      </w:r>
      <w:proofErr w:type="spellStart"/>
      <w:r w:rsidRPr="0087135F">
        <w:rPr>
          <w:i/>
        </w:rPr>
        <w:t>metformin</w:t>
      </w:r>
      <w:proofErr w:type="spellEnd"/>
      <w:r w:rsidRPr="0087135F">
        <w:rPr>
          <w:i/>
        </w:rPr>
        <w:t xml:space="preserve"> and/or a </w:t>
      </w:r>
      <w:proofErr w:type="spellStart"/>
      <w:r w:rsidRPr="0087135F">
        <w:rPr>
          <w:i/>
        </w:rPr>
        <w:t>thiazolidinedione</w:t>
      </w:r>
      <w:proofErr w:type="spellEnd"/>
      <w:r w:rsidRPr="0087135F">
        <w:rPr>
          <w:i/>
        </w:rPr>
        <w:t>.</w:t>
      </w:r>
    </w:p>
    <w:p w:rsidR="006C3990" w:rsidRPr="00E35FF6" w:rsidRDefault="006C3990" w:rsidP="006C3990">
      <w:r w:rsidRPr="00E35FF6">
        <w:t xml:space="preserve">When target </w:t>
      </w:r>
      <w:proofErr w:type="spellStart"/>
      <w:r w:rsidRPr="00E35FF6">
        <w:t>glycaemic</w:t>
      </w:r>
      <w:proofErr w:type="spellEnd"/>
      <w:r w:rsidRPr="00E35FF6">
        <w:t xml:space="preserve"> control cannot be achieved and maintained with </w:t>
      </w:r>
      <w:r>
        <w:t xml:space="preserve">oral anti </w:t>
      </w:r>
      <w:r w:rsidRPr="006C3990">
        <w:t>hyperglycaemic medication</w:t>
      </w:r>
      <w:r>
        <w:t>s (</w:t>
      </w:r>
      <w:r w:rsidRPr="00E35FF6">
        <w:t>OAMs</w:t>
      </w:r>
      <w:r>
        <w:t>)</w:t>
      </w:r>
      <w:r w:rsidRPr="00E35FF6">
        <w:t xml:space="preserve">, insulin is often the next step in treatment intensification. If, after adding insulin, glucose control continues to fail, increasing the insulin dose or frequency is often the next step, although this is associated with additional weight gain and an increased risk of hypoglycaemia. Because basal </w:t>
      </w:r>
      <w:proofErr w:type="spellStart"/>
      <w:r w:rsidRPr="00E35FF6">
        <w:t>analog</w:t>
      </w:r>
      <w:proofErr w:type="spellEnd"/>
      <w:r w:rsidRPr="00E35FF6">
        <w:t xml:space="preserve"> insulin primarily improves fasting glucose and </w:t>
      </w:r>
      <w:proofErr w:type="spellStart"/>
      <w:r w:rsidRPr="00E35FF6">
        <w:t>exenatide</w:t>
      </w:r>
      <w:proofErr w:type="spellEnd"/>
      <w:r w:rsidRPr="00E35FF6">
        <w:t xml:space="preserve"> has a marked effect on postprandial glucose control, it was hypothesi</w:t>
      </w:r>
      <w:r>
        <w:t>s</w:t>
      </w:r>
      <w:r w:rsidRPr="00E35FF6">
        <w:t xml:space="preserve">ed that adding </w:t>
      </w:r>
      <w:proofErr w:type="spellStart"/>
      <w:r w:rsidRPr="00E35FF6">
        <w:t>exenatide</w:t>
      </w:r>
      <w:proofErr w:type="spellEnd"/>
      <w:r w:rsidRPr="00E35FF6">
        <w:t xml:space="preserve"> to insulin would improve overall </w:t>
      </w:r>
      <w:proofErr w:type="spellStart"/>
      <w:r w:rsidRPr="00E35FF6">
        <w:t>glycaemic</w:t>
      </w:r>
      <w:proofErr w:type="spellEnd"/>
      <w:r w:rsidRPr="00E35FF6">
        <w:t xml:space="preserve"> control, as measured by </w:t>
      </w:r>
      <w:proofErr w:type="spellStart"/>
      <w:r w:rsidR="0084221F">
        <w:t>g</w:t>
      </w:r>
      <w:r w:rsidR="0084221F" w:rsidRPr="0084221F">
        <w:t>lycated</w:t>
      </w:r>
      <w:proofErr w:type="spellEnd"/>
      <w:r w:rsidR="0084221F" w:rsidRPr="0084221F">
        <w:t xml:space="preserve"> h</w:t>
      </w:r>
      <w:r w:rsidR="0084221F">
        <w:t>a</w:t>
      </w:r>
      <w:r w:rsidR="0084221F" w:rsidRPr="0084221F">
        <w:t xml:space="preserve">emoglobin </w:t>
      </w:r>
      <w:r w:rsidR="0084221F">
        <w:t>(</w:t>
      </w:r>
      <w:r w:rsidRPr="00E35FF6">
        <w:t>HbA1c</w:t>
      </w:r>
      <w:r w:rsidR="0084221F">
        <w:t>)</w:t>
      </w:r>
      <w:r w:rsidRPr="00E35FF6">
        <w:t>.</w:t>
      </w:r>
    </w:p>
    <w:p w:rsidR="008E7846" w:rsidRPr="003F31A2" w:rsidRDefault="00386150" w:rsidP="008E7846">
      <w:pPr>
        <w:pStyle w:val="Heading3"/>
      </w:pPr>
      <w:bookmarkStart w:id="10" w:name="_Toc314842485"/>
      <w:bookmarkStart w:id="11" w:name="_Toc247691504"/>
      <w:bookmarkStart w:id="12" w:name="_Toc361226851"/>
      <w:r>
        <w:t>Regulatory s</w:t>
      </w:r>
      <w:r w:rsidR="008E7846">
        <w:t>tatus</w:t>
      </w:r>
      <w:bookmarkEnd w:id="10"/>
      <w:bookmarkEnd w:id="11"/>
      <w:bookmarkEnd w:id="12"/>
    </w:p>
    <w:p w:rsidR="00BC604D" w:rsidRDefault="00BC604D" w:rsidP="00BC604D">
      <w:r>
        <w:t xml:space="preserve">Table 1 shows the international regulatory history of </w:t>
      </w:r>
      <w:proofErr w:type="spellStart"/>
      <w:r>
        <w:t>Byetta</w:t>
      </w:r>
      <w:proofErr w:type="spellEnd"/>
      <w:r>
        <w:t>.</w:t>
      </w:r>
    </w:p>
    <w:p w:rsidR="007F0E1C" w:rsidRDefault="007F0E1C" w:rsidP="00D066F7">
      <w:pPr>
        <w:pStyle w:val="TableTitle"/>
        <w:rPr>
          <w:lang w:val="en-GB"/>
        </w:rPr>
      </w:pPr>
      <w:proofErr w:type="gramStart"/>
      <w:r>
        <w:t>Table 1:</w:t>
      </w:r>
      <w:r w:rsidRPr="004C5C28">
        <w:t xml:space="preserve"> Summary of international regulatory status of </w:t>
      </w:r>
      <w:proofErr w:type="spellStart"/>
      <w:r>
        <w:t>Byetta</w:t>
      </w:r>
      <w:proofErr w:type="spellEnd"/>
      <w:r>
        <w:t xml:space="preserve"> approvals.</w:t>
      </w:r>
      <w:proofErr w:type="gramEnd"/>
    </w:p>
    <w:p w:rsidR="007F0E1C" w:rsidRDefault="00192EAB" w:rsidP="00D066F7">
      <w:r>
        <w:rPr>
          <w:noProof/>
          <w:lang w:eastAsia="en-AU"/>
        </w:rPr>
        <w:drawing>
          <wp:inline distT="0" distB="0" distL="0" distR="0">
            <wp:extent cx="5009515" cy="4947920"/>
            <wp:effectExtent l="19050" t="0" r="635" b="0"/>
            <wp:docPr id="6" name="Picture 1" descr="Table 1: Summary of international regulatory status of Byetta appro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1: Summary of international regulatory status of Byetta approvals."/>
                    <pic:cNvPicPr>
                      <a:picLocks noChangeAspect="1" noChangeArrowheads="1"/>
                    </pic:cNvPicPr>
                  </pic:nvPicPr>
                  <pic:blipFill>
                    <a:blip r:embed="rId14" cstate="print"/>
                    <a:srcRect/>
                    <a:stretch>
                      <a:fillRect/>
                    </a:stretch>
                  </pic:blipFill>
                  <pic:spPr bwMode="auto">
                    <a:xfrm>
                      <a:off x="0" y="0"/>
                      <a:ext cx="5009515" cy="4947920"/>
                    </a:xfrm>
                    <a:prstGeom prst="rect">
                      <a:avLst/>
                    </a:prstGeom>
                    <a:noFill/>
                    <a:ln w="9525">
                      <a:noFill/>
                      <a:miter lim="800000"/>
                      <a:headEnd/>
                      <a:tailEnd/>
                    </a:ln>
                  </pic:spPr>
                </pic:pic>
              </a:graphicData>
            </a:graphic>
          </wp:inline>
        </w:drawing>
      </w:r>
    </w:p>
    <w:p w:rsidR="008E7846" w:rsidRDefault="008E7846" w:rsidP="008E7846">
      <w:pPr>
        <w:pStyle w:val="Heading3"/>
      </w:pPr>
      <w:bookmarkStart w:id="13" w:name="_Toc247691505"/>
      <w:bookmarkStart w:id="14" w:name="_Toc314842486"/>
      <w:bookmarkStart w:id="15" w:name="_Toc361226852"/>
      <w:r>
        <w:lastRenderedPageBreak/>
        <w:t>Product Information</w:t>
      </w:r>
      <w:bookmarkEnd w:id="13"/>
      <w:bookmarkEnd w:id="14"/>
      <w:bookmarkEnd w:id="15"/>
    </w:p>
    <w:p w:rsidR="008E7846" w:rsidRDefault="008E7846" w:rsidP="008E7846">
      <w:r>
        <w:t>The approved Product Information (PI) current at the time this AusPAR was prepared can be found as Attachment 1.</w:t>
      </w:r>
      <w:bookmarkStart w:id="16" w:name="_Toc247691506"/>
      <w:bookmarkStart w:id="17" w:name="_Toc314842487"/>
    </w:p>
    <w:p w:rsidR="008E7846" w:rsidRPr="003602A9" w:rsidRDefault="008E7846" w:rsidP="008E7846">
      <w:pPr>
        <w:pStyle w:val="Heading2"/>
        <w:ind w:left="-11"/>
      </w:pPr>
      <w:bookmarkStart w:id="18" w:name="_Toc361226853"/>
      <w:r>
        <w:t>II. Quality</w:t>
      </w:r>
      <w:bookmarkEnd w:id="1"/>
      <w:r>
        <w:t xml:space="preserve"> findings</w:t>
      </w:r>
      <w:bookmarkEnd w:id="16"/>
      <w:bookmarkEnd w:id="17"/>
      <w:bookmarkEnd w:id="18"/>
    </w:p>
    <w:p w:rsidR="008E7846" w:rsidRDefault="008E7846" w:rsidP="008E7846">
      <w:r>
        <w:t>There was no requirement for a quality evaluation in a submission of this type.</w:t>
      </w:r>
    </w:p>
    <w:p w:rsidR="008E7846" w:rsidRDefault="008E7846" w:rsidP="008E7846">
      <w:pPr>
        <w:pStyle w:val="Heading2"/>
      </w:pPr>
      <w:bookmarkStart w:id="19" w:name="_Toc196046439"/>
      <w:bookmarkStart w:id="20" w:name="_Toc247691510"/>
      <w:bookmarkStart w:id="21" w:name="_Toc314842494"/>
      <w:bookmarkStart w:id="22" w:name="_Toc361226854"/>
      <w:r>
        <w:t>III. Nonclinical</w:t>
      </w:r>
      <w:bookmarkEnd w:id="19"/>
      <w:r>
        <w:t xml:space="preserve"> findings</w:t>
      </w:r>
      <w:bookmarkEnd w:id="20"/>
      <w:bookmarkEnd w:id="21"/>
      <w:bookmarkEnd w:id="22"/>
    </w:p>
    <w:p w:rsidR="008E7846" w:rsidRDefault="008E7846" w:rsidP="00E26130">
      <w:r>
        <w:t>There was no requirement for a nonclinical evaluation in a submission of this type.</w:t>
      </w:r>
    </w:p>
    <w:p w:rsidR="008E7846" w:rsidRPr="00254787" w:rsidRDefault="008E7846" w:rsidP="008E7846">
      <w:pPr>
        <w:pStyle w:val="Heading2"/>
      </w:pPr>
      <w:bookmarkStart w:id="23" w:name="_Toc196046462"/>
      <w:bookmarkStart w:id="24" w:name="_Toc247691516"/>
      <w:bookmarkStart w:id="25" w:name="_Toc314842500"/>
      <w:bookmarkStart w:id="26" w:name="_Toc361226855"/>
      <w:bookmarkStart w:id="27" w:name="_Toc163441353"/>
      <w:bookmarkStart w:id="28" w:name="_Toc163441348"/>
      <w:r>
        <w:t xml:space="preserve">IV. </w:t>
      </w:r>
      <w:r w:rsidRPr="00254787">
        <w:t>Clinical</w:t>
      </w:r>
      <w:bookmarkEnd w:id="23"/>
      <w:r>
        <w:t xml:space="preserve"> </w:t>
      </w:r>
      <w:r w:rsidR="003A7F6C">
        <w:t>f</w:t>
      </w:r>
      <w:r>
        <w:t>indings</w:t>
      </w:r>
      <w:bookmarkEnd w:id="24"/>
      <w:bookmarkEnd w:id="25"/>
      <w:bookmarkEnd w:id="26"/>
    </w:p>
    <w:p w:rsidR="00A037E4" w:rsidRDefault="00A037E4" w:rsidP="00A037E4">
      <w:pPr>
        <w:rPr>
          <w:i/>
        </w:rPr>
      </w:pPr>
      <w:bookmarkStart w:id="29" w:name="_Toc196046463"/>
      <w:bookmarkStart w:id="30" w:name="_Toc247691517"/>
      <w:bookmarkStart w:id="31" w:name="_Toc314842501"/>
      <w:r>
        <w:rPr>
          <w:i/>
        </w:rPr>
        <w:t xml:space="preserve">A summary of the </w:t>
      </w:r>
      <w:r w:rsidRPr="00FD70B8">
        <w:rPr>
          <w:i/>
        </w:rPr>
        <w:t xml:space="preserve">clinical findings is presented in this section. </w:t>
      </w:r>
      <w:r>
        <w:rPr>
          <w:i/>
        </w:rPr>
        <w:t xml:space="preserve">Further details of these </w:t>
      </w:r>
      <w:r w:rsidRPr="00FD70B8">
        <w:rPr>
          <w:i/>
        </w:rPr>
        <w:t>clinical findings can be found in Attachment 2.</w:t>
      </w:r>
    </w:p>
    <w:p w:rsidR="008E7846" w:rsidRDefault="008E7846" w:rsidP="008E7846">
      <w:pPr>
        <w:pStyle w:val="Heading3"/>
      </w:pPr>
      <w:bookmarkStart w:id="32" w:name="_Toc361226856"/>
      <w:r w:rsidRPr="00254787">
        <w:t>Introduction</w:t>
      </w:r>
      <w:bookmarkEnd w:id="29"/>
      <w:bookmarkEnd w:id="30"/>
      <w:bookmarkEnd w:id="31"/>
      <w:bookmarkEnd w:id="32"/>
    </w:p>
    <w:p w:rsidR="002D0560" w:rsidRDefault="002D0560" w:rsidP="00D066F7">
      <w:r>
        <w:t>The submission contained the following clinical information:</w:t>
      </w:r>
    </w:p>
    <w:p w:rsidR="002D0560" w:rsidRDefault="002D0560" w:rsidP="00D066F7">
      <w:pPr>
        <w:pStyle w:val="ListBullet"/>
      </w:pPr>
      <w:r>
        <w:t>1 pivotal efficacy/safety study</w:t>
      </w:r>
      <w:r w:rsidR="00714153">
        <w:t xml:space="preserve"> (Study GWCO).</w:t>
      </w:r>
    </w:p>
    <w:p w:rsidR="002D0560" w:rsidRDefault="002D0560" w:rsidP="00D066F7">
      <w:pPr>
        <w:pStyle w:val="ListBullet"/>
      </w:pPr>
      <w:r>
        <w:t>1 other efficacy/safety study</w:t>
      </w:r>
      <w:r w:rsidR="00D263E5">
        <w:t xml:space="preserve"> (Study IOPB).</w:t>
      </w:r>
    </w:p>
    <w:p w:rsidR="006A0692" w:rsidRDefault="006A0692" w:rsidP="00D066F7">
      <w:bookmarkStart w:id="33" w:name="_Toc241374282"/>
      <w:r>
        <w:t xml:space="preserve">The sponsor asserted that both studies submitted in the dossier had appropriate ethical approval and had </w:t>
      </w:r>
      <w:r w:rsidR="00711797">
        <w:t>been done in compliance with Good Clinical Practice</w:t>
      </w:r>
      <w:r w:rsidR="000D43AD">
        <w:t xml:space="preserve"> (GCP)</w:t>
      </w:r>
      <w:r>
        <w:t>.</w:t>
      </w:r>
    </w:p>
    <w:p w:rsidR="008E7846" w:rsidRPr="00254787" w:rsidRDefault="008E7846" w:rsidP="008E7846">
      <w:pPr>
        <w:pStyle w:val="Heading3"/>
      </w:pPr>
      <w:bookmarkStart w:id="34" w:name="_Toc196046464"/>
      <w:bookmarkStart w:id="35" w:name="_Toc247691518"/>
      <w:bookmarkStart w:id="36" w:name="_Toc314842502"/>
      <w:bookmarkStart w:id="37" w:name="_Toc361226857"/>
      <w:bookmarkEnd w:id="33"/>
      <w:r w:rsidRPr="00254787">
        <w:t>Pharmacokinetics</w:t>
      </w:r>
      <w:bookmarkEnd w:id="27"/>
      <w:bookmarkEnd w:id="34"/>
      <w:bookmarkEnd w:id="35"/>
      <w:bookmarkEnd w:id="36"/>
      <w:bookmarkEnd w:id="37"/>
    </w:p>
    <w:p w:rsidR="008E4D8E" w:rsidRDefault="008E4D8E" w:rsidP="008E4D8E">
      <w:r>
        <w:t>None submitted.</w:t>
      </w:r>
    </w:p>
    <w:p w:rsidR="008E7846" w:rsidRDefault="008E7846" w:rsidP="008E7846">
      <w:pPr>
        <w:pStyle w:val="Heading3"/>
      </w:pPr>
      <w:bookmarkStart w:id="38" w:name="_Toc196046481"/>
      <w:bookmarkStart w:id="39" w:name="_Toc247691520"/>
      <w:bookmarkStart w:id="40" w:name="_Toc314842503"/>
      <w:bookmarkStart w:id="41" w:name="_Toc361226858"/>
      <w:r w:rsidRPr="00254787">
        <w:t>Pharmacodynamics</w:t>
      </w:r>
      <w:bookmarkEnd w:id="28"/>
      <w:bookmarkEnd w:id="38"/>
      <w:bookmarkEnd w:id="39"/>
      <w:bookmarkEnd w:id="40"/>
      <w:bookmarkEnd w:id="41"/>
    </w:p>
    <w:p w:rsidR="008E7846" w:rsidRPr="00630FB7" w:rsidRDefault="008E4D8E" w:rsidP="008E7846">
      <w:r>
        <w:t>None submitted.</w:t>
      </w:r>
    </w:p>
    <w:p w:rsidR="008E7846" w:rsidRPr="00254787" w:rsidRDefault="008E7846" w:rsidP="008E7846">
      <w:pPr>
        <w:pStyle w:val="Heading3"/>
      </w:pPr>
      <w:bookmarkStart w:id="42" w:name="_Toc163441372"/>
      <w:bookmarkStart w:id="43" w:name="_Toc196046485"/>
      <w:bookmarkStart w:id="44" w:name="_Toc247691521"/>
      <w:bookmarkStart w:id="45" w:name="_Toc314842504"/>
      <w:bookmarkStart w:id="46" w:name="_Toc361226859"/>
      <w:r w:rsidRPr="00254787">
        <w:t>Efficacy</w:t>
      </w:r>
      <w:bookmarkEnd w:id="42"/>
      <w:bookmarkEnd w:id="43"/>
      <w:bookmarkEnd w:id="44"/>
      <w:bookmarkEnd w:id="45"/>
      <w:bookmarkEnd w:id="46"/>
    </w:p>
    <w:p w:rsidR="003D7C09" w:rsidRDefault="003D7C09" w:rsidP="00D066F7">
      <w:bookmarkStart w:id="47" w:name="_Toc184439992"/>
      <w:bookmarkStart w:id="48" w:name="_Toc184440279"/>
      <w:bookmarkStart w:id="49" w:name="_Toc184444657"/>
      <w:bookmarkStart w:id="50" w:name="_Toc196046487"/>
      <w:r>
        <w:t>Study IOPB makes no contribution to evidence of ef</w:t>
      </w:r>
      <w:r w:rsidR="000446B1">
        <w:t>ficacy</w:t>
      </w:r>
      <w:r>
        <w:t>. The rest of this section relates to Study GWCO.</w:t>
      </w:r>
    </w:p>
    <w:p w:rsidR="003D7C09" w:rsidRDefault="003D7C09" w:rsidP="00D066F7">
      <w:r>
        <w:t>Data on use with a TZD are inadequate because</w:t>
      </w:r>
      <w:r w:rsidR="00A10798">
        <w:t>:</w:t>
      </w:r>
    </w:p>
    <w:p w:rsidR="003D7C09" w:rsidRPr="003D7C09" w:rsidRDefault="003D7C09" w:rsidP="00D066F7">
      <w:pPr>
        <w:pStyle w:val="ListBullet"/>
      </w:pPr>
      <w:r w:rsidRPr="003D7C09">
        <w:t>the use of a TZD in Study GWCO is uncontrolled, so its role in any efficacy outcome cannot be discerned; and</w:t>
      </w:r>
    </w:p>
    <w:p w:rsidR="003D7C09" w:rsidRPr="003D7C09" w:rsidRDefault="003D7C09" w:rsidP="00D066F7">
      <w:pPr>
        <w:pStyle w:val="ListBullet"/>
      </w:pPr>
      <w:proofErr w:type="gramStart"/>
      <w:r w:rsidRPr="003D7C09">
        <w:t>particularly</w:t>
      </w:r>
      <w:proofErr w:type="gramEnd"/>
      <w:r w:rsidRPr="003D7C09">
        <w:t xml:space="preserve"> in the absence of </w:t>
      </w:r>
      <w:proofErr w:type="spellStart"/>
      <w:r w:rsidRPr="003D7C09">
        <w:t>metformin</w:t>
      </w:r>
      <w:proofErr w:type="spellEnd"/>
      <w:r w:rsidRPr="003D7C09">
        <w:t>, the number of relevant cases is insufficient.</w:t>
      </w:r>
    </w:p>
    <w:p w:rsidR="003D7C09" w:rsidRDefault="003D7C09" w:rsidP="00D066F7">
      <w:r>
        <w:t xml:space="preserve">Data on use with </w:t>
      </w:r>
      <w:proofErr w:type="spellStart"/>
      <w:r>
        <w:t>glargine</w:t>
      </w:r>
      <w:proofErr w:type="spellEnd"/>
      <w:r>
        <w:t xml:space="preserve"> in the absence of any OAM are inadequate because the number of relevant cases is insuffi</w:t>
      </w:r>
      <w:r w:rsidR="00ED2C93">
        <w:t>cient</w:t>
      </w:r>
      <w:r>
        <w:t xml:space="preserve">. Thus, in my opinion the only conclusions </w:t>
      </w:r>
      <w:r w:rsidR="00A10798">
        <w:t>that</w:t>
      </w:r>
      <w:r>
        <w:t xml:space="preserve"> can justifiably be drawn from the study relate to the use of </w:t>
      </w:r>
      <w:proofErr w:type="spellStart"/>
      <w:r>
        <w:t>exenatide</w:t>
      </w:r>
      <w:proofErr w:type="spellEnd"/>
      <w:r>
        <w:t xml:space="preserve"> in patients who are already being treated with </w:t>
      </w:r>
      <w:proofErr w:type="spellStart"/>
      <w:r>
        <w:t>metformin</w:t>
      </w:r>
      <w:proofErr w:type="spellEnd"/>
      <w:r>
        <w:t xml:space="preserve"> and </w:t>
      </w:r>
      <w:proofErr w:type="spellStart"/>
      <w:r>
        <w:t>glargine</w:t>
      </w:r>
      <w:proofErr w:type="spellEnd"/>
      <w:r>
        <w:t>.</w:t>
      </w:r>
    </w:p>
    <w:p w:rsidR="003D7C09" w:rsidRDefault="003D7C09" w:rsidP="00D066F7">
      <w:r>
        <w:lastRenderedPageBreak/>
        <w:t xml:space="preserve">The length of the one efficacy study submitted (30 weeks) is shorter than the minimum length envisaged in the relevant guideline for applications of this type. </w:t>
      </w:r>
      <w:r w:rsidR="00A10798">
        <w:t>The relevant European Medicines Agency (EMEA) guideline</w:t>
      </w:r>
      <w:r w:rsidR="00A10798">
        <w:rPr>
          <w:rStyle w:val="FootnoteReference"/>
        </w:rPr>
        <w:footnoteReference w:id="3"/>
      </w:r>
      <w:r w:rsidR="00A10798">
        <w:t xml:space="preserve"> advises that:</w:t>
      </w:r>
    </w:p>
    <w:p w:rsidR="003D7C09" w:rsidRPr="003D7C09" w:rsidRDefault="003D7C09" w:rsidP="003D7C09">
      <w:pPr>
        <w:ind w:left="720"/>
        <w:rPr>
          <w:i/>
        </w:rPr>
      </w:pPr>
      <w:r w:rsidRPr="003D7C09">
        <w:rPr>
          <w:i/>
        </w:rPr>
        <w:t>"Whatever the situation (</w:t>
      </w:r>
      <w:proofErr w:type="spellStart"/>
      <w:r w:rsidRPr="003D7C09">
        <w:rPr>
          <w:i/>
        </w:rPr>
        <w:t>monothe</w:t>
      </w:r>
      <w:r w:rsidR="00E44BC3">
        <w:rPr>
          <w:i/>
        </w:rPr>
        <w:t>rapy</w:t>
      </w:r>
      <w:proofErr w:type="spellEnd"/>
      <w:r w:rsidR="00E44BC3">
        <w:rPr>
          <w:i/>
        </w:rPr>
        <w:t xml:space="preserve">, add </w:t>
      </w:r>
      <w:r w:rsidRPr="003D7C09">
        <w:rPr>
          <w:i/>
        </w:rPr>
        <w:t>on therapy or combination with insulin), continuation or extension of the studies to at least 12 months is desirable to assess the maintenance of efficacy and safety in the long term."</w:t>
      </w:r>
    </w:p>
    <w:p w:rsidR="003D7C09" w:rsidRPr="00950A92" w:rsidRDefault="00ED2C93" w:rsidP="00D066F7">
      <w:r>
        <w:t>The</w:t>
      </w:r>
      <w:r w:rsidR="00DA5A94">
        <w:t xml:space="preserve"> sponsor has drawn attention </w:t>
      </w:r>
      <w:r w:rsidR="003D7C09">
        <w:t xml:space="preserve">to a paper </w:t>
      </w:r>
      <w:r w:rsidR="00DA5A94">
        <w:t xml:space="preserve">by </w:t>
      </w:r>
      <w:proofErr w:type="spellStart"/>
      <w:r w:rsidR="003D7C09">
        <w:t>Klonoff</w:t>
      </w:r>
      <w:proofErr w:type="spellEnd"/>
      <w:r w:rsidR="003D7C09">
        <w:t xml:space="preserve"> </w:t>
      </w:r>
      <w:r w:rsidR="00E76819">
        <w:t>and colleagues</w:t>
      </w:r>
      <w:r w:rsidR="00E76819">
        <w:rPr>
          <w:rStyle w:val="FootnoteReference"/>
        </w:rPr>
        <w:footnoteReference w:id="4"/>
      </w:r>
      <w:r w:rsidR="003D7C09">
        <w:t xml:space="preserve"> in support of durability of efficacy. The paper appears to describe open</w:t>
      </w:r>
      <w:r w:rsidR="005A621B">
        <w:t xml:space="preserve"> </w:t>
      </w:r>
      <w:r w:rsidR="003D7C09">
        <w:t>label extensions of some of the spons</w:t>
      </w:r>
      <w:r w:rsidR="005A621B">
        <w:t xml:space="preserve">or’s studies of </w:t>
      </w:r>
      <w:proofErr w:type="spellStart"/>
      <w:r w:rsidR="005A621B">
        <w:t>exenatide</w:t>
      </w:r>
      <w:proofErr w:type="spellEnd"/>
      <w:r w:rsidR="005A621B">
        <w:t>, but the clinical evaluator</w:t>
      </w:r>
      <w:r w:rsidR="003D7C09">
        <w:t xml:space="preserve"> could not find in it any mention of patients treated with </w:t>
      </w:r>
      <w:proofErr w:type="spellStart"/>
      <w:r w:rsidR="003D7C09">
        <w:t>glargine</w:t>
      </w:r>
      <w:proofErr w:type="spellEnd"/>
      <w:r w:rsidR="003D7C09">
        <w:t>. On the ot</w:t>
      </w:r>
      <w:r w:rsidR="00566646">
        <w:t>her hand, the clinical evaluator</w:t>
      </w:r>
      <w:r w:rsidR="003D7C09">
        <w:t xml:space="preserve"> ha</w:t>
      </w:r>
      <w:r w:rsidR="00566646">
        <w:t>s</w:t>
      </w:r>
      <w:r w:rsidR="003D7C09">
        <w:t xml:space="preserve"> some sympathy with the proposition that a drug which has been well studied in long term trials need not be subjected to durability studies pre</w:t>
      </w:r>
      <w:r w:rsidR="006844B7">
        <w:t xml:space="preserve"> </w:t>
      </w:r>
      <w:r w:rsidR="003D7C09">
        <w:t>approval for each new combination usage.</w:t>
      </w:r>
    </w:p>
    <w:p w:rsidR="003D7C09" w:rsidRDefault="003D7C09" w:rsidP="00D066F7">
      <w:r>
        <w:t>Subject to these co</w:t>
      </w:r>
      <w:r w:rsidR="00ED2C93">
        <w:t>ncerns, the mean reduction in %</w:t>
      </w:r>
      <w:r>
        <w:t xml:space="preserve">HbA1c (0.71) was clearly statistically significant, and in my opinion also indicated a clinically significant improvement in </w:t>
      </w:r>
      <w:proofErr w:type="spellStart"/>
      <w:r>
        <w:t>glycaemic</w:t>
      </w:r>
      <w:proofErr w:type="spellEnd"/>
      <w:r>
        <w:t xml:space="preserve"> control in the population studied. That population was reasonably diverse, although re</w:t>
      </w:r>
      <w:r w:rsidR="008556FC">
        <w:t>presentation by patients aged &gt;</w:t>
      </w:r>
      <w:r>
        <w:t>75 inclu</w:t>
      </w:r>
      <w:r w:rsidR="004A2494">
        <w:t>ded only two</w:t>
      </w:r>
      <w:r>
        <w:t xml:space="preserve"> on </w:t>
      </w:r>
      <w:proofErr w:type="spellStart"/>
      <w:r>
        <w:t>exenatide</w:t>
      </w:r>
      <w:proofErr w:type="spellEnd"/>
      <w:r>
        <w:t>.</w:t>
      </w:r>
    </w:p>
    <w:p w:rsidR="003D7C09" w:rsidRDefault="003D7C09" w:rsidP="00D066F7">
      <w:r>
        <w:t>Regarding secondary efficacy outcomes, the</w:t>
      </w:r>
      <w:r w:rsidR="00ED2C93">
        <w:t xml:space="preserve"> effects on weight, and on post </w:t>
      </w:r>
      <w:proofErr w:type="spellStart"/>
      <w:r>
        <w:t>prandial</w:t>
      </w:r>
      <w:proofErr w:type="spellEnd"/>
      <w:r>
        <w:t xml:space="preserve"> glucose, are of note.</w:t>
      </w:r>
    </w:p>
    <w:p w:rsidR="008E7846" w:rsidRPr="002E238E" w:rsidRDefault="008E7846" w:rsidP="008E7846">
      <w:pPr>
        <w:pStyle w:val="Heading3"/>
      </w:pPr>
      <w:bookmarkStart w:id="51" w:name="_Toc163441378"/>
      <w:bookmarkStart w:id="52" w:name="_Toc196046495"/>
      <w:bookmarkStart w:id="53" w:name="_Toc247691522"/>
      <w:bookmarkStart w:id="54" w:name="_Toc314842505"/>
      <w:bookmarkStart w:id="55" w:name="_Toc361226860"/>
      <w:bookmarkEnd w:id="47"/>
      <w:bookmarkEnd w:id="48"/>
      <w:bookmarkEnd w:id="49"/>
      <w:bookmarkEnd w:id="50"/>
      <w:r w:rsidRPr="002E238E">
        <w:t>Safety</w:t>
      </w:r>
      <w:bookmarkEnd w:id="51"/>
      <w:bookmarkEnd w:id="52"/>
      <w:bookmarkEnd w:id="53"/>
      <w:bookmarkEnd w:id="54"/>
      <w:bookmarkEnd w:id="55"/>
    </w:p>
    <w:p w:rsidR="008E7846" w:rsidRPr="00ED2C93" w:rsidRDefault="00ED2C93" w:rsidP="00D066F7">
      <w:bookmarkStart w:id="56" w:name="_Toc163441387"/>
      <w:r w:rsidRPr="00675703">
        <w:t xml:space="preserve">Overall, the </w:t>
      </w:r>
      <w:r>
        <w:t xml:space="preserve">observations on </w:t>
      </w:r>
      <w:r w:rsidRPr="00675703">
        <w:t xml:space="preserve">safety and tolerability of </w:t>
      </w:r>
      <w:proofErr w:type="spellStart"/>
      <w:r w:rsidRPr="00675703">
        <w:t>exenatide</w:t>
      </w:r>
      <w:proofErr w:type="spellEnd"/>
      <w:r w:rsidRPr="00675703">
        <w:t xml:space="preserve"> used in com</w:t>
      </w:r>
      <w:r>
        <w:t xml:space="preserve">bination with insulin in Study </w:t>
      </w:r>
      <w:r w:rsidRPr="00675703">
        <w:t xml:space="preserve">GWCO </w:t>
      </w:r>
      <w:r>
        <w:t>were</w:t>
      </w:r>
      <w:r w:rsidRPr="00675703">
        <w:t xml:space="preserve"> consistent with</w:t>
      </w:r>
      <w:r>
        <w:t xml:space="preserve"> the currently approved PI.</w:t>
      </w:r>
    </w:p>
    <w:p w:rsidR="008E7846" w:rsidRPr="006E137C" w:rsidRDefault="008E7846" w:rsidP="008E7846">
      <w:pPr>
        <w:pStyle w:val="Heading3"/>
      </w:pPr>
      <w:bookmarkStart w:id="57" w:name="_Toc247691523"/>
      <w:bookmarkStart w:id="58" w:name="_Toc314842507"/>
      <w:bookmarkStart w:id="59" w:name="_Toc361226861"/>
      <w:bookmarkStart w:id="60" w:name="_Toc184440295"/>
      <w:bookmarkStart w:id="61" w:name="_Toc184444673"/>
      <w:bookmarkStart w:id="62" w:name="_Toc196046503"/>
      <w:bookmarkEnd w:id="56"/>
      <w:r>
        <w:t>Clinical summary and conclusions</w:t>
      </w:r>
      <w:bookmarkEnd w:id="57"/>
      <w:bookmarkEnd w:id="58"/>
      <w:bookmarkEnd w:id="59"/>
    </w:p>
    <w:p w:rsidR="00A22F03" w:rsidRDefault="00A22F03" w:rsidP="00A22F03">
      <w:pPr>
        <w:pStyle w:val="Heading4"/>
      </w:pPr>
      <w:bookmarkStart w:id="63" w:name="_Toc236802592"/>
      <w:bookmarkStart w:id="64" w:name="_Toc241374331"/>
      <w:bookmarkStart w:id="65" w:name="_Ref272160836"/>
      <w:bookmarkStart w:id="66" w:name="_Toc272414693"/>
      <w:bookmarkStart w:id="67" w:name="_Toc290846331"/>
      <w:bookmarkStart w:id="68" w:name="_Toc308638507"/>
      <w:bookmarkStart w:id="69" w:name="_Toc196046504"/>
      <w:bookmarkStart w:id="70" w:name="_Toc163441390"/>
      <w:bookmarkEnd w:id="60"/>
      <w:bookmarkEnd w:id="61"/>
      <w:bookmarkEnd w:id="62"/>
      <w:r>
        <w:t>First round assessment of benefits</w:t>
      </w:r>
      <w:bookmarkEnd w:id="63"/>
      <w:bookmarkEnd w:id="64"/>
      <w:bookmarkEnd w:id="65"/>
      <w:bookmarkEnd w:id="66"/>
      <w:bookmarkEnd w:id="67"/>
      <w:bookmarkEnd w:id="68"/>
    </w:p>
    <w:p w:rsidR="00A22F03" w:rsidRDefault="00A22F03" w:rsidP="00D066F7">
      <w:r>
        <w:t xml:space="preserve">The benefits of </w:t>
      </w:r>
      <w:proofErr w:type="spellStart"/>
      <w:r>
        <w:t>exenatide</w:t>
      </w:r>
      <w:proofErr w:type="spellEnd"/>
      <w:r>
        <w:t xml:space="preserve"> in the pr</w:t>
      </w:r>
      <w:r w:rsidR="000D43AD">
        <w:t xml:space="preserve">oposed usage </w:t>
      </w:r>
      <w:r w:rsidR="00D066F7">
        <w:t>are:</w:t>
      </w:r>
    </w:p>
    <w:p w:rsidR="00A22F03" w:rsidRPr="00A22F03" w:rsidRDefault="00A22F03" w:rsidP="00D066F7">
      <w:pPr>
        <w:pStyle w:val="ListBullet"/>
      </w:pPr>
      <w:r w:rsidRPr="00A22F03">
        <w:t xml:space="preserve">improved mean HbA1c in patients who are already being treated with </w:t>
      </w:r>
      <w:proofErr w:type="spellStart"/>
      <w:r w:rsidRPr="00A22F03">
        <w:t>metformin</w:t>
      </w:r>
      <w:proofErr w:type="spellEnd"/>
      <w:r w:rsidRPr="00A22F03">
        <w:t xml:space="preserve"> and </w:t>
      </w:r>
      <w:proofErr w:type="spellStart"/>
      <w:r w:rsidRPr="00A22F03">
        <w:t>glargine</w:t>
      </w:r>
      <w:proofErr w:type="spellEnd"/>
      <w:r w:rsidRPr="00A22F03">
        <w:t xml:space="preserve">; and </w:t>
      </w:r>
    </w:p>
    <w:p w:rsidR="00A22F03" w:rsidRPr="00A22F03" w:rsidRDefault="000D43AD" w:rsidP="00D066F7">
      <w:pPr>
        <w:pStyle w:val="ListBullet"/>
      </w:pPr>
      <w:proofErr w:type="gramStart"/>
      <w:r>
        <w:t>possibly</w:t>
      </w:r>
      <w:proofErr w:type="gramEnd"/>
      <w:r w:rsidR="00A22F03" w:rsidRPr="00A22F03">
        <w:t xml:space="preserve"> other benefits such as favourable effect on weight.</w:t>
      </w:r>
    </w:p>
    <w:p w:rsidR="00A22F03" w:rsidRDefault="00A22F03" w:rsidP="00D066F7">
      <w:pPr>
        <w:pStyle w:val="Heading4"/>
      </w:pPr>
      <w:bookmarkStart w:id="71" w:name="_Toc236802596"/>
      <w:bookmarkStart w:id="72" w:name="_Toc241374334"/>
      <w:bookmarkStart w:id="73" w:name="_Ref272160964"/>
      <w:bookmarkStart w:id="74" w:name="_Toc272414694"/>
      <w:bookmarkStart w:id="75" w:name="_Toc290846332"/>
      <w:bookmarkStart w:id="76" w:name="_Toc308638508"/>
      <w:r>
        <w:t>First round assessment of risks</w:t>
      </w:r>
      <w:bookmarkEnd w:id="71"/>
      <w:bookmarkEnd w:id="72"/>
      <w:bookmarkEnd w:id="73"/>
      <w:bookmarkEnd w:id="74"/>
      <w:bookmarkEnd w:id="75"/>
      <w:bookmarkEnd w:id="76"/>
    </w:p>
    <w:p w:rsidR="00A22F03" w:rsidRDefault="00A22F03" w:rsidP="00D066F7">
      <w:r>
        <w:t xml:space="preserve">On the basis of the trial experience reported (a rather small trial of minimal duration), the risks of </w:t>
      </w:r>
      <w:proofErr w:type="spellStart"/>
      <w:r>
        <w:t>exenatide</w:t>
      </w:r>
      <w:proofErr w:type="spellEnd"/>
      <w:r>
        <w:t xml:space="preserve"> in the pr</w:t>
      </w:r>
      <w:r w:rsidR="000D43AD">
        <w:t xml:space="preserve">oposed usage </w:t>
      </w:r>
      <w:r>
        <w:t>appear similar to those of the usage which has already been approved.</w:t>
      </w:r>
    </w:p>
    <w:p w:rsidR="00745A68" w:rsidRDefault="00745A68">
      <w:pPr>
        <w:spacing w:before="0" w:after="0" w:line="240" w:lineRule="auto"/>
        <w:rPr>
          <w:b/>
          <w:bCs/>
          <w:szCs w:val="21"/>
        </w:rPr>
      </w:pPr>
      <w:bookmarkStart w:id="77" w:name="_Toc236802597"/>
      <w:bookmarkStart w:id="78" w:name="_Toc241374335"/>
      <w:bookmarkStart w:id="79" w:name="_Toc272414695"/>
      <w:bookmarkStart w:id="80" w:name="_Toc290846333"/>
      <w:bookmarkStart w:id="81" w:name="_Toc308638509"/>
      <w:r>
        <w:br w:type="page"/>
      </w:r>
    </w:p>
    <w:p w:rsidR="00A22F03" w:rsidRDefault="00A22F03" w:rsidP="00A22F03">
      <w:pPr>
        <w:pStyle w:val="Heading4"/>
      </w:pPr>
      <w:r>
        <w:lastRenderedPageBreak/>
        <w:t>First round assessment of benefit-risk balance</w:t>
      </w:r>
      <w:bookmarkEnd w:id="77"/>
      <w:bookmarkEnd w:id="78"/>
      <w:bookmarkEnd w:id="79"/>
      <w:bookmarkEnd w:id="80"/>
      <w:bookmarkEnd w:id="81"/>
    </w:p>
    <w:p w:rsidR="00D066F7" w:rsidRDefault="00A22F03" w:rsidP="00D066F7">
      <w:r>
        <w:t xml:space="preserve">The benefit-risk balance of </w:t>
      </w:r>
      <w:proofErr w:type="spellStart"/>
      <w:r>
        <w:t>exenatide</w:t>
      </w:r>
      <w:proofErr w:type="spellEnd"/>
      <w:r>
        <w:t xml:space="preserve"> is unfavourable given the proposed usage, but would become favourable if the changes recommended below are adopted.</w:t>
      </w:r>
    </w:p>
    <w:p w:rsidR="00A22F03" w:rsidRPr="00A22F03" w:rsidRDefault="00A22F03" w:rsidP="00D066F7">
      <w:pPr>
        <w:pStyle w:val="Heading4"/>
      </w:pPr>
      <w:r>
        <w:t>First round recommendation regarding authorisation</w:t>
      </w:r>
    </w:p>
    <w:p w:rsidR="00A22F03" w:rsidRPr="002E08B5" w:rsidRDefault="00A22F03" w:rsidP="00A22F03">
      <w:r>
        <w:t>The application should be approved only so far as to extend the indication to the following</w:t>
      </w:r>
      <w:r w:rsidRPr="002E08B5">
        <w:t>:</w:t>
      </w:r>
    </w:p>
    <w:p w:rsidR="00A22F03" w:rsidRPr="00A22F03" w:rsidRDefault="00A22F03" w:rsidP="00A22F03">
      <w:pPr>
        <w:ind w:left="720"/>
        <w:rPr>
          <w:i/>
        </w:rPr>
      </w:pPr>
      <w:proofErr w:type="spellStart"/>
      <w:r w:rsidRPr="00A22F03">
        <w:rPr>
          <w:i/>
        </w:rPr>
        <w:t>Exenatide</w:t>
      </w:r>
      <w:proofErr w:type="spellEnd"/>
      <w:r w:rsidRPr="00A22F03">
        <w:rPr>
          <w:i/>
        </w:rPr>
        <w:t xml:space="preserve"> is indicated as adjunctive therapy to improve </w:t>
      </w:r>
      <w:proofErr w:type="spellStart"/>
      <w:r w:rsidRPr="00A22F03">
        <w:rPr>
          <w:i/>
        </w:rPr>
        <w:t>glycaemic</w:t>
      </w:r>
      <w:proofErr w:type="spellEnd"/>
      <w:r w:rsidRPr="00A22F03">
        <w:rPr>
          <w:i/>
        </w:rPr>
        <w:t xml:space="preserve"> control in patients with </w:t>
      </w:r>
      <w:r w:rsidR="000D43AD">
        <w:rPr>
          <w:i/>
        </w:rPr>
        <w:t>T2DM</w:t>
      </w:r>
      <w:r w:rsidRPr="00A22F03">
        <w:rPr>
          <w:i/>
        </w:rPr>
        <w:t xml:space="preserve"> who are taking </w:t>
      </w:r>
      <w:proofErr w:type="spellStart"/>
      <w:r w:rsidRPr="00A22F03">
        <w:rPr>
          <w:i/>
        </w:rPr>
        <w:t>metformin</w:t>
      </w:r>
      <w:proofErr w:type="spellEnd"/>
      <w:r w:rsidRPr="00A22F03">
        <w:rPr>
          <w:i/>
        </w:rPr>
        <w:t xml:space="preserve">, a sulfonylurea, or a combination of </w:t>
      </w:r>
      <w:proofErr w:type="spellStart"/>
      <w:r w:rsidRPr="00A22F03">
        <w:rPr>
          <w:i/>
        </w:rPr>
        <w:t>metformin</w:t>
      </w:r>
      <w:proofErr w:type="spellEnd"/>
      <w:r w:rsidRPr="00A22F03">
        <w:rPr>
          <w:i/>
        </w:rPr>
        <w:t xml:space="preserve"> and a sulfonylurea, or a combination of </w:t>
      </w:r>
      <w:proofErr w:type="spellStart"/>
      <w:r w:rsidRPr="00A22F03">
        <w:rPr>
          <w:i/>
        </w:rPr>
        <w:t>metformin</w:t>
      </w:r>
      <w:proofErr w:type="spellEnd"/>
      <w:r w:rsidRPr="00A22F03">
        <w:rPr>
          <w:i/>
        </w:rPr>
        <w:t xml:space="preserve"> and a basal insulin, but are not achieving adequate </w:t>
      </w:r>
      <w:proofErr w:type="spellStart"/>
      <w:r w:rsidRPr="00A22F03">
        <w:rPr>
          <w:i/>
        </w:rPr>
        <w:t>glycaemic</w:t>
      </w:r>
      <w:proofErr w:type="spellEnd"/>
      <w:r w:rsidRPr="00A22F03">
        <w:rPr>
          <w:i/>
        </w:rPr>
        <w:t xml:space="preserve"> control.</w:t>
      </w:r>
    </w:p>
    <w:p w:rsidR="00AE6345" w:rsidRDefault="00AE6345" w:rsidP="00AE6345">
      <w:pPr>
        <w:pStyle w:val="Heading3"/>
      </w:pPr>
      <w:bookmarkStart w:id="82" w:name="_Toc255919423"/>
      <w:bookmarkStart w:id="83" w:name="_Toc241374329"/>
      <w:bookmarkStart w:id="84" w:name="_Toc270320087"/>
      <w:bookmarkStart w:id="85" w:name="_Toc314842506"/>
      <w:bookmarkStart w:id="86" w:name="_Toc361226862"/>
      <w:r>
        <w:t>List of questions</w:t>
      </w:r>
      <w:bookmarkEnd w:id="82"/>
      <w:bookmarkEnd w:id="83"/>
      <w:bookmarkEnd w:id="84"/>
      <w:bookmarkEnd w:id="85"/>
      <w:bookmarkEnd w:id="86"/>
    </w:p>
    <w:p w:rsidR="00AE6345" w:rsidRPr="00872461" w:rsidRDefault="00AE6345" w:rsidP="00AE6345">
      <w:pPr>
        <w:pStyle w:val="Heading4"/>
      </w:pPr>
      <w:bookmarkStart w:id="87" w:name="_Toc272414704"/>
      <w:bookmarkStart w:id="88" w:name="_Toc290846344"/>
      <w:bookmarkStart w:id="89" w:name="_Toc308638516"/>
      <w:r w:rsidRPr="00872461">
        <w:t>Efficacy</w:t>
      </w:r>
      <w:bookmarkEnd w:id="87"/>
      <w:bookmarkEnd w:id="88"/>
      <w:bookmarkEnd w:id="89"/>
    </w:p>
    <w:p w:rsidR="00AE6345" w:rsidRDefault="00AE6345" w:rsidP="00AE6345">
      <w:r>
        <w:t>The sponsor should be asked to clarify the definition of Full Analysis Set in Study GWCO.</w:t>
      </w:r>
    </w:p>
    <w:p w:rsidR="00AE6345" w:rsidRPr="00872461" w:rsidRDefault="00AE6345" w:rsidP="00AE6345">
      <w:pPr>
        <w:pStyle w:val="Heading4"/>
      </w:pPr>
      <w:bookmarkStart w:id="90" w:name="_Toc272414705"/>
      <w:bookmarkStart w:id="91" w:name="_Toc290846345"/>
      <w:bookmarkStart w:id="92" w:name="_Toc308638517"/>
      <w:r w:rsidRPr="00872461">
        <w:t>Safety</w:t>
      </w:r>
      <w:bookmarkEnd w:id="90"/>
      <w:bookmarkEnd w:id="91"/>
      <w:bookmarkEnd w:id="92"/>
    </w:p>
    <w:p w:rsidR="00AE6345" w:rsidRDefault="00AE6345" w:rsidP="00AE6345">
      <w:r>
        <w:t>The sponsor should be asked:</w:t>
      </w:r>
    </w:p>
    <w:p w:rsidR="00AE6345" w:rsidRPr="00AE6345" w:rsidRDefault="00AE6345" w:rsidP="00D066F7">
      <w:pPr>
        <w:pStyle w:val="ListBullet"/>
      </w:pPr>
      <w:r w:rsidRPr="00AE6345">
        <w:t xml:space="preserve">How is the absence of any routine collection of laboratory safety data after the screening visit consistent with the Protocol provisions (Safety Monitoring): "Lilly ... will review trends, laboratory analyses, and AEs at periodic intervals" (GWCO) and "Lilly will ... review trends, laboratory </w:t>
      </w:r>
      <w:proofErr w:type="spellStart"/>
      <w:r w:rsidRPr="00AE6345">
        <w:t>analytes</w:t>
      </w:r>
      <w:proofErr w:type="spellEnd"/>
      <w:r w:rsidRPr="00AE6345">
        <w:t>, and AEs at periodic intervals" (IOPB)?</w:t>
      </w:r>
    </w:p>
    <w:p w:rsidR="00AE6345" w:rsidRPr="00AE6345" w:rsidRDefault="00AE6345" w:rsidP="00D066F7">
      <w:pPr>
        <w:pStyle w:val="ListBullet"/>
      </w:pPr>
      <w:r w:rsidRPr="00AE6345">
        <w:t>How is the non</w:t>
      </w:r>
      <w:r>
        <w:t xml:space="preserve"> </w:t>
      </w:r>
      <w:r w:rsidRPr="00AE6345">
        <w:t>availability of Visit 1 clinical chemistry data for Study I</w:t>
      </w:r>
      <w:r w:rsidR="000D43AD">
        <w:t xml:space="preserve">OPB </w:t>
      </w:r>
      <w:r w:rsidRPr="00AE6345">
        <w:t xml:space="preserve">consistent with the </w:t>
      </w:r>
      <w:r w:rsidR="000D43AD">
        <w:t xml:space="preserve">Protocol provision </w:t>
      </w:r>
      <w:r w:rsidRPr="00AE6345">
        <w:t>that the relevant assays would be done at a central laboratory, and with the declaration that the study was performed in compliance with the principles of GCP?</w:t>
      </w:r>
    </w:p>
    <w:p w:rsidR="00AE6345" w:rsidRDefault="00AE6345" w:rsidP="00AE6345">
      <w:pPr>
        <w:pStyle w:val="Heading4"/>
      </w:pPr>
      <w:r>
        <w:t>Second round assessment of benefits</w:t>
      </w:r>
    </w:p>
    <w:p w:rsidR="00AE6345" w:rsidRPr="00AE6345" w:rsidRDefault="0008536A" w:rsidP="00AE6345">
      <w:r w:rsidRPr="0008536A">
        <w:t xml:space="preserve">The assessment is unchanged from the </w:t>
      </w:r>
      <w:r w:rsidR="00846018">
        <w:t>first round</w:t>
      </w:r>
      <w:r w:rsidRPr="0008536A">
        <w:t xml:space="preserve"> assessment.</w:t>
      </w:r>
    </w:p>
    <w:p w:rsidR="00AE6345" w:rsidRDefault="0008536A" w:rsidP="00AE6345">
      <w:pPr>
        <w:pStyle w:val="Heading4"/>
      </w:pPr>
      <w:r>
        <w:t xml:space="preserve">Second </w:t>
      </w:r>
      <w:r w:rsidR="00AE6345">
        <w:t>round assessment of risks</w:t>
      </w:r>
    </w:p>
    <w:p w:rsidR="00AB1024" w:rsidRPr="00AE6345" w:rsidRDefault="00AB1024" w:rsidP="00AB1024">
      <w:r w:rsidRPr="0008536A">
        <w:t xml:space="preserve">The assessment is unchanged from the </w:t>
      </w:r>
      <w:r w:rsidR="00846018">
        <w:t xml:space="preserve">first round </w:t>
      </w:r>
      <w:r w:rsidRPr="0008536A">
        <w:t>assessment.</w:t>
      </w:r>
    </w:p>
    <w:p w:rsidR="00AE6345" w:rsidRDefault="0008536A" w:rsidP="00AE6345">
      <w:pPr>
        <w:pStyle w:val="Heading4"/>
      </w:pPr>
      <w:r>
        <w:t>Second</w:t>
      </w:r>
      <w:r w:rsidR="00AE6345">
        <w:t xml:space="preserve"> round assessment of benefit-risk balance</w:t>
      </w:r>
    </w:p>
    <w:p w:rsidR="00AB1024" w:rsidRPr="00AE6345" w:rsidRDefault="00AB1024" w:rsidP="00AB1024">
      <w:r w:rsidRPr="0008536A">
        <w:t xml:space="preserve">The assessment is unchanged from the </w:t>
      </w:r>
      <w:r w:rsidR="00846018">
        <w:t>first round</w:t>
      </w:r>
      <w:r w:rsidRPr="0008536A">
        <w:t xml:space="preserve"> assessment.</w:t>
      </w:r>
    </w:p>
    <w:p w:rsidR="00AE6345" w:rsidRPr="00A22F03" w:rsidRDefault="0008536A" w:rsidP="00AE6345">
      <w:pPr>
        <w:pStyle w:val="Heading4"/>
      </w:pPr>
      <w:r>
        <w:t>Second</w:t>
      </w:r>
      <w:r w:rsidR="00AE6345">
        <w:t xml:space="preserve"> round recommendation regarding authorisation</w:t>
      </w:r>
    </w:p>
    <w:p w:rsidR="0008536A" w:rsidRDefault="0008536A" w:rsidP="0008536A">
      <w:bookmarkStart w:id="93" w:name="_Toc247691524"/>
      <w:bookmarkStart w:id="94" w:name="_Toc314842508"/>
      <w:r>
        <w:t xml:space="preserve">This recommendation is identical to </w:t>
      </w:r>
      <w:r w:rsidR="00D066F7">
        <w:t>the first round recommendation.</w:t>
      </w:r>
    </w:p>
    <w:p w:rsidR="008E7846" w:rsidRPr="00E41208" w:rsidRDefault="008E7846" w:rsidP="008E7846">
      <w:pPr>
        <w:pStyle w:val="Heading2"/>
      </w:pPr>
      <w:bookmarkStart w:id="95" w:name="_Toc361226863"/>
      <w:r w:rsidRPr="00E41208">
        <w:lastRenderedPageBreak/>
        <w:t xml:space="preserve">V. Pharmacovigilance </w:t>
      </w:r>
      <w:r>
        <w:t>f</w:t>
      </w:r>
      <w:r w:rsidRPr="00E41208">
        <w:t>indings</w:t>
      </w:r>
      <w:bookmarkEnd w:id="93"/>
      <w:bookmarkEnd w:id="94"/>
      <w:bookmarkEnd w:id="95"/>
    </w:p>
    <w:p w:rsidR="008E7846" w:rsidRDefault="00386150" w:rsidP="008E7846">
      <w:pPr>
        <w:pStyle w:val="Heading3"/>
        <w:rPr>
          <w:lang w:eastAsia="en-AU"/>
        </w:rPr>
      </w:pPr>
      <w:bookmarkStart w:id="96" w:name="_Toc247691526"/>
      <w:bookmarkStart w:id="97" w:name="_Toc314842509"/>
      <w:bookmarkStart w:id="98" w:name="_Toc361226864"/>
      <w:r>
        <w:rPr>
          <w:lang w:eastAsia="en-AU"/>
        </w:rPr>
        <w:t>Risk m</w:t>
      </w:r>
      <w:r w:rsidR="008E7846">
        <w:rPr>
          <w:lang w:eastAsia="en-AU"/>
        </w:rPr>
        <w:t xml:space="preserve">anagement </w:t>
      </w:r>
      <w:r>
        <w:rPr>
          <w:lang w:eastAsia="en-AU"/>
        </w:rPr>
        <w:t>p</w:t>
      </w:r>
      <w:r w:rsidR="008E7846">
        <w:rPr>
          <w:lang w:eastAsia="en-AU"/>
        </w:rPr>
        <w:t>lan</w:t>
      </w:r>
      <w:bookmarkEnd w:id="96"/>
      <w:bookmarkEnd w:id="97"/>
      <w:bookmarkEnd w:id="98"/>
    </w:p>
    <w:p w:rsidR="008E7846" w:rsidRDefault="008E7846" w:rsidP="008E7846">
      <w:pPr>
        <w:rPr>
          <w:lang w:eastAsia="en-AU"/>
        </w:rPr>
      </w:pPr>
      <w:r>
        <w:rPr>
          <w:lang w:eastAsia="en-AU"/>
        </w:rPr>
        <w:t xml:space="preserve">The sponsor submitted a Risk Management Plan </w:t>
      </w:r>
      <w:r w:rsidR="006575DD">
        <w:rPr>
          <w:lang w:eastAsia="en-AU"/>
        </w:rPr>
        <w:t xml:space="preserve">(RMP) </w:t>
      </w:r>
      <w:r w:rsidR="00BA361E">
        <w:rPr>
          <w:lang w:eastAsia="en-AU"/>
        </w:rPr>
        <w:t>that</w:t>
      </w:r>
      <w:r>
        <w:rPr>
          <w:lang w:eastAsia="en-AU"/>
        </w:rPr>
        <w:t xml:space="preserve"> was reviewed by the TGA’s Office of Product Review (OPR).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 xml:space="preserve">The sponsor provided a summary of </w:t>
      </w:r>
      <w:r w:rsidR="008D7BAE">
        <w:rPr>
          <w:lang w:eastAsia="en-AU"/>
        </w:rPr>
        <w:t>O</w:t>
      </w:r>
      <w:r>
        <w:rPr>
          <w:lang w:eastAsia="en-AU"/>
        </w:rPr>
        <w:t xml:space="preserve">ngoing </w:t>
      </w:r>
      <w:r w:rsidR="008D7BAE">
        <w:rPr>
          <w:lang w:eastAsia="en-AU"/>
        </w:rPr>
        <w:t>S</w:t>
      </w:r>
      <w:r>
        <w:rPr>
          <w:lang w:eastAsia="en-AU"/>
        </w:rPr>
        <w:t xml:space="preserve">afety </w:t>
      </w:r>
      <w:r w:rsidR="008D7BAE">
        <w:rPr>
          <w:lang w:eastAsia="en-AU"/>
        </w:rPr>
        <w:t>C</w:t>
      </w:r>
      <w:r>
        <w:rPr>
          <w:lang w:eastAsia="en-AU"/>
        </w:rPr>
        <w:t xml:space="preserve">oncerns which are shown </w:t>
      </w:r>
      <w:r w:rsidR="005D1C51">
        <w:rPr>
          <w:lang w:eastAsia="en-AU"/>
        </w:rPr>
        <w:t>below:</w:t>
      </w:r>
    </w:p>
    <w:p w:rsidR="00D066F7" w:rsidRDefault="00D066F7" w:rsidP="00D066F7">
      <w:pPr>
        <w:pStyle w:val="Heading5"/>
        <w:rPr>
          <w:lang w:eastAsia="en-AU"/>
        </w:rPr>
      </w:pPr>
      <w:r>
        <w:rPr>
          <w:lang w:eastAsia="en-AU"/>
        </w:rPr>
        <w:t>Identified important risks:</w:t>
      </w:r>
    </w:p>
    <w:p w:rsidR="00D066F7" w:rsidRDefault="00D066F7" w:rsidP="00D066F7">
      <w:pPr>
        <w:pStyle w:val="ListBullet"/>
        <w:rPr>
          <w:lang w:eastAsia="en-AU"/>
        </w:rPr>
      </w:pPr>
      <w:r>
        <w:rPr>
          <w:lang w:eastAsia="en-AU"/>
        </w:rPr>
        <w:t>Pancreatitis</w:t>
      </w:r>
    </w:p>
    <w:p w:rsidR="00D066F7" w:rsidRDefault="00D066F7" w:rsidP="00D066F7">
      <w:pPr>
        <w:pStyle w:val="ListBullet"/>
        <w:rPr>
          <w:lang w:eastAsia="en-AU"/>
        </w:rPr>
      </w:pPr>
      <w:r>
        <w:rPr>
          <w:lang w:eastAsia="en-AU"/>
        </w:rPr>
        <w:t>Acute renal failure</w:t>
      </w:r>
    </w:p>
    <w:p w:rsidR="00D066F7" w:rsidRDefault="00D066F7" w:rsidP="00D066F7">
      <w:pPr>
        <w:pStyle w:val="ListBullet"/>
        <w:rPr>
          <w:lang w:eastAsia="en-AU"/>
        </w:rPr>
      </w:pPr>
      <w:r>
        <w:rPr>
          <w:lang w:eastAsia="en-AU"/>
        </w:rPr>
        <w:t>Rapid weight loss</w:t>
      </w:r>
    </w:p>
    <w:p w:rsidR="00D066F7" w:rsidRDefault="00D066F7" w:rsidP="00D066F7">
      <w:pPr>
        <w:pStyle w:val="Heading5"/>
        <w:rPr>
          <w:lang w:eastAsia="en-AU"/>
        </w:rPr>
      </w:pPr>
      <w:r>
        <w:rPr>
          <w:lang w:eastAsia="en-AU"/>
        </w:rPr>
        <w:t>Potential important risks</w:t>
      </w:r>
    </w:p>
    <w:p w:rsidR="00D066F7" w:rsidRDefault="00D066F7" w:rsidP="00D066F7">
      <w:pPr>
        <w:pStyle w:val="ListBullet"/>
        <w:rPr>
          <w:lang w:eastAsia="en-AU"/>
        </w:rPr>
      </w:pPr>
      <w:r>
        <w:rPr>
          <w:lang w:eastAsia="en-AU"/>
        </w:rPr>
        <w:t xml:space="preserve">Risks associated with anti </w:t>
      </w:r>
      <w:proofErr w:type="spellStart"/>
      <w:r>
        <w:rPr>
          <w:lang w:eastAsia="en-AU"/>
        </w:rPr>
        <w:t>exenatide</w:t>
      </w:r>
      <w:proofErr w:type="spellEnd"/>
      <w:r>
        <w:rPr>
          <w:lang w:eastAsia="en-AU"/>
        </w:rPr>
        <w:t xml:space="preserve"> antibodies (focus on anaphylactic type reactions)</w:t>
      </w:r>
    </w:p>
    <w:p w:rsidR="00D066F7" w:rsidRDefault="00D066F7" w:rsidP="00D066F7">
      <w:pPr>
        <w:pStyle w:val="ListBullet"/>
        <w:rPr>
          <w:lang w:eastAsia="en-AU"/>
        </w:rPr>
      </w:pPr>
      <w:r>
        <w:rPr>
          <w:lang w:eastAsia="en-AU"/>
        </w:rPr>
        <w:t>Cardiac events</w:t>
      </w:r>
    </w:p>
    <w:p w:rsidR="00D066F7" w:rsidRDefault="00D066F7" w:rsidP="00D066F7">
      <w:pPr>
        <w:pStyle w:val="ListBullet"/>
        <w:rPr>
          <w:lang w:eastAsia="en-AU"/>
        </w:rPr>
      </w:pPr>
      <w:r>
        <w:rPr>
          <w:lang w:eastAsia="en-AU"/>
        </w:rPr>
        <w:t xml:space="preserve">Malignant neoplasm (focus on pancreatic cancer and thyroid </w:t>
      </w:r>
      <w:proofErr w:type="spellStart"/>
      <w:r>
        <w:rPr>
          <w:lang w:eastAsia="en-AU"/>
        </w:rPr>
        <w:t>neoplasms</w:t>
      </w:r>
      <w:proofErr w:type="spellEnd"/>
      <w:r>
        <w:rPr>
          <w:lang w:eastAsia="en-AU"/>
        </w:rPr>
        <w:t>)</w:t>
      </w:r>
    </w:p>
    <w:p w:rsidR="00D066F7" w:rsidRDefault="00D066F7" w:rsidP="00D066F7">
      <w:pPr>
        <w:pStyle w:val="Heading5"/>
        <w:rPr>
          <w:lang w:eastAsia="en-AU"/>
        </w:rPr>
      </w:pPr>
      <w:r>
        <w:rPr>
          <w:lang w:eastAsia="en-AU"/>
        </w:rPr>
        <w:t>Important missing information:</w:t>
      </w:r>
    </w:p>
    <w:p w:rsidR="00D066F7" w:rsidRDefault="00D066F7" w:rsidP="00D066F7">
      <w:pPr>
        <w:pStyle w:val="ListBullet"/>
        <w:rPr>
          <w:lang w:eastAsia="en-AU"/>
        </w:rPr>
      </w:pPr>
      <w:r>
        <w:rPr>
          <w:lang w:eastAsia="en-AU"/>
        </w:rPr>
        <w:t>Use in adolescent patients with type 2 diabetes</w:t>
      </w:r>
    </w:p>
    <w:p w:rsidR="00D066F7" w:rsidRDefault="00D066F7" w:rsidP="00D066F7">
      <w:pPr>
        <w:pStyle w:val="ListBullet"/>
        <w:rPr>
          <w:lang w:eastAsia="en-AU"/>
        </w:rPr>
      </w:pPr>
      <w:r>
        <w:rPr>
          <w:lang w:eastAsia="en-AU"/>
        </w:rPr>
        <w:t>Use in pregnancy</w:t>
      </w:r>
    </w:p>
    <w:p w:rsidR="00D066F7" w:rsidRDefault="00D066F7" w:rsidP="00D066F7">
      <w:pPr>
        <w:pStyle w:val="ListBullet"/>
        <w:rPr>
          <w:lang w:eastAsia="en-AU"/>
        </w:rPr>
      </w:pPr>
      <w:r>
        <w:rPr>
          <w:lang w:eastAsia="en-AU"/>
        </w:rPr>
        <w:t>Use in the very elderly (</w:t>
      </w:r>
      <w:r>
        <w:rPr>
          <w:lang w:eastAsia="en-AU"/>
        </w:rPr>
        <w:sym w:font="Symbol" w:char="F0B3"/>
      </w:r>
      <w:r>
        <w:rPr>
          <w:lang w:eastAsia="en-AU"/>
        </w:rPr>
        <w:t xml:space="preserve"> 75 years old)</w:t>
      </w:r>
    </w:p>
    <w:p w:rsidR="00D066F7" w:rsidRDefault="00D066F7" w:rsidP="00D066F7">
      <w:pPr>
        <w:pStyle w:val="ListBullet"/>
        <w:rPr>
          <w:lang w:eastAsia="en-AU"/>
        </w:rPr>
      </w:pPr>
      <w:r>
        <w:rPr>
          <w:lang w:eastAsia="en-AU"/>
        </w:rPr>
        <w:t xml:space="preserve">Use in the combination with other agents (TZDs and </w:t>
      </w:r>
      <w:proofErr w:type="spellStart"/>
      <w:r>
        <w:rPr>
          <w:lang w:eastAsia="en-AU"/>
        </w:rPr>
        <w:t>insulins</w:t>
      </w:r>
      <w:proofErr w:type="spellEnd"/>
      <w:r>
        <w:rPr>
          <w:lang w:eastAsia="en-AU"/>
        </w:rPr>
        <w:t>)</w:t>
      </w:r>
    </w:p>
    <w:p w:rsidR="00D066F7" w:rsidRDefault="00D066F7" w:rsidP="00D066F7">
      <w:pPr>
        <w:pStyle w:val="ListBullet"/>
        <w:rPr>
          <w:lang w:eastAsia="en-AU"/>
        </w:rPr>
      </w:pPr>
      <w:r>
        <w:rPr>
          <w:lang w:eastAsia="en-AU"/>
        </w:rPr>
        <w:t>Use in patients with severe gastrointestinal disease (</w:t>
      </w:r>
      <w:proofErr w:type="spellStart"/>
      <w:r>
        <w:rPr>
          <w:lang w:eastAsia="en-AU"/>
        </w:rPr>
        <w:t>exenatide</w:t>
      </w:r>
      <w:proofErr w:type="spellEnd"/>
      <w:r>
        <w:rPr>
          <w:lang w:eastAsia="en-AU"/>
        </w:rPr>
        <w:t xml:space="preserve"> once weekly)</w:t>
      </w:r>
    </w:p>
    <w:p w:rsidR="00D066F7" w:rsidRDefault="00D066F7" w:rsidP="00D066F7">
      <w:pPr>
        <w:pStyle w:val="ListBullet"/>
        <w:rPr>
          <w:lang w:eastAsia="en-AU"/>
        </w:rPr>
      </w:pPr>
      <w:r>
        <w:rPr>
          <w:lang w:eastAsia="en-AU"/>
        </w:rPr>
        <w:t>Use in patients with various degrees of impaired renal function (</w:t>
      </w:r>
      <w:proofErr w:type="spellStart"/>
      <w:r>
        <w:rPr>
          <w:lang w:eastAsia="en-AU"/>
        </w:rPr>
        <w:t>exenatide</w:t>
      </w:r>
      <w:proofErr w:type="spellEnd"/>
      <w:r>
        <w:rPr>
          <w:lang w:eastAsia="en-AU"/>
        </w:rPr>
        <w:t xml:space="preserve"> once weekly)</w:t>
      </w:r>
    </w:p>
    <w:p w:rsidR="008E7846" w:rsidRDefault="00D066F7" w:rsidP="00D066F7">
      <w:pPr>
        <w:pStyle w:val="ListBullet"/>
        <w:rPr>
          <w:lang w:eastAsia="en-AU"/>
        </w:rPr>
      </w:pPr>
      <w:r>
        <w:rPr>
          <w:lang w:eastAsia="en-AU"/>
        </w:rPr>
        <w:t>Use in patients with hepatic impairment (</w:t>
      </w:r>
      <w:proofErr w:type="spellStart"/>
      <w:r>
        <w:rPr>
          <w:lang w:eastAsia="en-AU"/>
        </w:rPr>
        <w:t>exenatide</w:t>
      </w:r>
      <w:proofErr w:type="spellEnd"/>
      <w:r>
        <w:rPr>
          <w:lang w:eastAsia="en-AU"/>
        </w:rPr>
        <w:t xml:space="preserve"> once weekly)</w:t>
      </w:r>
    </w:p>
    <w:p w:rsidR="00C924D2" w:rsidRPr="007B529C" w:rsidRDefault="00C924D2" w:rsidP="00C924D2">
      <w:pPr>
        <w:pStyle w:val="Heading5"/>
      </w:pPr>
      <w:r>
        <w:t>OPR</w:t>
      </w:r>
      <w:r w:rsidRPr="007B529C">
        <w:t xml:space="preserve"> reviewer</w:t>
      </w:r>
      <w:r w:rsidR="00717495">
        <w:t>’s</w:t>
      </w:r>
      <w:r w:rsidRPr="007B529C">
        <w:t xml:space="preserve"> comment:</w:t>
      </w:r>
      <w:r>
        <w:t xml:space="preserve"> </w:t>
      </w:r>
    </w:p>
    <w:p w:rsidR="004F284A" w:rsidRDefault="004F284A" w:rsidP="004F284A">
      <w:r>
        <w:t xml:space="preserve">The </w:t>
      </w:r>
      <w:r w:rsidR="006575DD">
        <w:t>s</w:t>
      </w:r>
      <w:r>
        <w:t>ponsor was asked to cla</w:t>
      </w:r>
      <w:r w:rsidRPr="00D066F7">
        <w:t>rify why “use in the combination with o</w:t>
      </w:r>
      <w:r w:rsidR="006575DD" w:rsidRPr="00D066F7">
        <w:t xml:space="preserve">ther agents (TZDs and </w:t>
      </w:r>
      <w:proofErr w:type="spellStart"/>
      <w:r w:rsidR="006575DD" w:rsidRPr="00D066F7">
        <w:t>insulins</w:t>
      </w:r>
      <w:proofErr w:type="spellEnd"/>
      <w:r w:rsidR="006575DD" w:rsidRPr="00D066F7">
        <w:t>)”</w:t>
      </w:r>
      <w:r w:rsidRPr="00D066F7">
        <w:t xml:space="preserve"> is included as an area of missing information considering the indication sought in this submission is for use in combination with insulin. In response to the s31 request for information (dated 3 April 2012), the </w:t>
      </w:r>
      <w:r w:rsidR="006575DD" w:rsidRPr="00D066F7">
        <w:t>s</w:t>
      </w:r>
      <w:r w:rsidRPr="00D066F7">
        <w:t xml:space="preserve">ponsor stated that this was added to the EU RMP as per the request of the EU Committee for Medicinal Products for Human Use (CHMP) although the </w:t>
      </w:r>
      <w:r w:rsidR="00AA1F81" w:rsidRPr="00D066F7">
        <w:t>s</w:t>
      </w:r>
      <w:r w:rsidRPr="00D066F7">
        <w:t>ponsor did not beli</w:t>
      </w:r>
      <w:r w:rsidR="00D066F7" w:rsidRPr="00D066F7">
        <w:t xml:space="preserve">eve that it should </w:t>
      </w:r>
      <w:r w:rsidR="00D066F7">
        <w:t>be included.</w:t>
      </w:r>
    </w:p>
    <w:p w:rsidR="00AA1F81" w:rsidRDefault="004F284A" w:rsidP="00D066F7">
      <w:r>
        <w:t xml:space="preserve">Hypoglycaemia is not included as a safety specification in the RMP despite the fact that it is a known adverse effect associated with the use of insulin. Considering that this submission sought to extend the indication for use in combination with insulin, the </w:t>
      </w:r>
      <w:r w:rsidR="00AA1F81">
        <w:t>s</w:t>
      </w:r>
      <w:r>
        <w:t>ponsor was asked to clari</w:t>
      </w:r>
      <w:r w:rsidR="00AA1F81">
        <w:t>fy, especially since the PI has:</w:t>
      </w:r>
    </w:p>
    <w:p w:rsidR="00AA1F81" w:rsidRDefault="004F284A" w:rsidP="00D066F7">
      <w:pPr>
        <w:pStyle w:val="Numberbullet0"/>
      </w:pPr>
      <w:r>
        <w:t xml:space="preserve">indicated that the clinical trial protocol to evaluate the efficacy and safety of combining </w:t>
      </w:r>
      <w:proofErr w:type="spellStart"/>
      <w:r>
        <w:t>exenatide</w:t>
      </w:r>
      <w:proofErr w:type="spellEnd"/>
      <w:r>
        <w:t xml:space="preserve"> and insulin was specifically designed to minimise the risk of hypoglycaemia by reducing the basal insulin dose (by 20%) in partic</w:t>
      </w:r>
      <w:r w:rsidR="00AA1F81">
        <w:t xml:space="preserve">ipants with HbA1c of </w:t>
      </w:r>
      <w:r w:rsidR="00D066F7">
        <w:sym w:font="Symbol" w:char="F0A3"/>
      </w:r>
      <w:r w:rsidR="00AA1F81">
        <w:t>8.0%, and</w:t>
      </w:r>
    </w:p>
    <w:p w:rsidR="00AA1F81" w:rsidRDefault="004F284A" w:rsidP="00D066F7">
      <w:pPr>
        <w:pStyle w:val="Numberbullet0"/>
      </w:pPr>
      <w:proofErr w:type="gramStart"/>
      <w:r>
        <w:lastRenderedPageBreak/>
        <w:t>recommended</w:t>
      </w:r>
      <w:proofErr w:type="gramEnd"/>
      <w:r>
        <w:t xml:space="preserve"> that a reduction of basal insulin dose is considered when used with </w:t>
      </w:r>
      <w:proofErr w:type="spellStart"/>
      <w:r>
        <w:t>exenatide</w:t>
      </w:r>
      <w:proofErr w:type="spellEnd"/>
      <w:r>
        <w:t xml:space="preserve"> (in the </w:t>
      </w:r>
      <w:r w:rsidRPr="00AE5C29">
        <w:rPr>
          <w:i/>
        </w:rPr>
        <w:t>Dosage and Administration</w:t>
      </w:r>
      <w:r>
        <w:t xml:space="preserve"> sect</w:t>
      </w:r>
      <w:r w:rsidR="00AA1F81">
        <w:t>ion of the PI).</w:t>
      </w:r>
    </w:p>
    <w:p w:rsidR="004F284A" w:rsidRDefault="004F284A" w:rsidP="004F284A">
      <w:r>
        <w:t xml:space="preserve">In response to the s31 request for information (dated 3 April 2012), the </w:t>
      </w:r>
      <w:r w:rsidR="00347C05">
        <w:t>s</w:t>
      </w:r>
      <w:r>
        <w:t>ponsor stated that the company did not consider hypoglycaemia to meet the RMP definition of an ‘important identified risk’ because it is not “</w:t>
      </w:r>
      <w:r w:rsidRPr="007051ED">
        <w:rPr>
          <w:i/>
        </w:rPr>
        <w:t>one judged to have implications for public health or one that impacts on the benefit-risk balance</w:t>
      </w:r>
      <w:r>
        <w:t xml:space="preserve">” due to the mechanism of action of </w:t>
      </w:r>
      <w:proofErr w:type="spellStart"/>
      <w:r>
        <w:t>B</w:t>
      </w:r>
      <w:r w:rsidR="00347C05">
        <w:t>yetta</w:t>
      </w:r>
      <w:proofErr w:type="spellEnd"/>
      <w:r>
        <w:t xml:space="preserve">. The </w:t>
      </w:r>
      <w:r w:rsidR="00347C05">
        <w:t>s</w:t>
      </w:r>
      <w:r>
        <w:t>ponsor further elaborated:</w:t>
      </w:r>
    </w:p>
    <w:p w:rsidR="004F284A" w:rsidRDefault="004F284A" w:rsidP="004F284A">
      <w:pPr>
        <w:ind w:left="720"/>
      </w:pPr>
      <w:r>
        <w:t>“</w:t>
      </w:r>
      <w:r>
        <w:rPr>
          <w:i/>
        </w:rPr>
        <w:t>T</w:t>
      </w:r>
      <w:r w:rsidRPr="008C3FA5">
        <w:rPr>
          <w:i/>
        </w:rPr>
        <w:t xml:space="preserve">he mechanisms of </w:t>
      </w:r>
      <w:proofErr w:type="spellStart"/>
      <w:r w:rsidRPr="008C3FA5">
        <w:rPr>
          <w:i/>
        </w:rPr>
        <w:t>exenatide</w:t>
      </w:r>
      <w:proofErr w:type="spellEnd"/>
      <w:r w:rsidRPr="008C3FA5">
        <w:rPr>
          <w:i/>
        </w:rPr>
        <w:t xml:space="preserve"> action include enhancement of glucose</w:t>
      </w:r>
      <w:r w:rsidR="00740105">
        <w:rPr>
          <w:i/>
        </w:rPr>
        <w:t xml:space="preserve"> </w:t>
      </w:r>
      <w:r w:rsidRPr="008C3FA5">
        <w:rPr>
          <w:i/>
        </w:rPr>
        <w:t>dependent insulin secretion, restoration of first</w:t>
      </w:r>
      <w:r w:rsidR="00740105">
        <w:rPr>
          <w:i/>
        </w:rPr>
        <w:t xml:space="preserve"> </w:t>
      </w:r>
      <w:r w:rsidRPr="008C3FA5">
        <w:rPr>
          <w:i/>
        </w:rPr>
        <w:t>phase insulin secretion, glucose</w:t>
      </w:r>
      <w:r w:rsidR="00740105">
        <w:rPr>
          <w:i/>
        </w:rPr>
        <w:t xml:space="preserve"> </w:t>
      </w:r>
      <w:r w:rsidRPr="008C3FA5">
        <w:rPr>
          <w:i/>
        </w:rPr>
        <w:t>dependent suppression of inappropriately elevated glucagon secretion, and slowing of the r</w:t>
      </w:r>
      <w:r w:rsidR="00740105">
        <w:rPr>
          <w:i/>
        </w:rPr>
        <w:t xml:space="preserve">ate of gastric emptying... </w:t>
      </w:r>
      <w:proofErr w:type="spellStart"/>
      <w:r w:rsidRPr="008C3FA5">
        <w:rPr>
          <w:i/>
        </w:rPr>
        <w:t>Exenatide</w:t>
      </w:r>
      <w:proofErr w:type="spellEnd"/>
      <w:r w:rsidRPr="008C3FA5">
        <w:rPr>
          <w:i/>
        </w:rPr>
        <w:t xml:space="preserve"> does not inhibit the counter</w:t>
      </w:r>
      <w:r w:rsidR="00740105">
        <w:rPr>
          <w:i/>
        </w:rPr>
        <w:t xml:space="preserve"> </w:t>
      </w:r>
      <w:r w:rsidRPr="008C3FA5">
        <w:rPr>
          <w:i/>
        </w:rPr>
        <w:t xml:space="preserve">regulatory effects of glucagon under </w:t>
      </w:r>
      <w:proofErr w:type="spellStart"/>
      <w:r w:rsidRPr="008C3FA5">
        <w:rPr>
          <w:i/>
        </w:rPr>
        <w:t>hypoglycemic</w:t>
      </w:r>
      <w:proofErr w:type="spellEnd"/>
      <w:r w:rsidRPr="008C3FA5">
        <w:rPr>
          <w:i/>
        </w:rPr>
        <w:t xml:space="preserve"> conditions. Nonclinical and clinical studies also indicate that the effect of </w:t>
      </w:r>
      <w:proofErr w:type="spellStart"/>
      <w:r w:rsidRPr="008C3FA5">
        <w:rPr>
          <w:i/>
        </w:rPr>
        <w:t>exenatide</w:t>
      </w:r>
      <w:proofErr w:type="spellEnd"/>
      <w:r w:rsidRPr="008C3FA5">
        <w:rPr>
          <w:i/>
        </w:rPr>
        <w:t xml:space="preserve"> to slow gastric emptying, which in turn slows the rate of glucose entry into the circulation, is reversed during hypoglycaemia. These glucose</w:t>
      </w:r>
      <w:r w:rsidR="0010482A">
        <w:rPr>
          <w:i/>
        </w:rPr>
        <w:t xml:space="preserve"> </w:t>
      </w:r>
      <w:r w:rsidRPr="008C3FA5">
        <w:rPr>
          <w:i/>
        </w:rPr>
        <w:t xml:space="preserve">dependent actions of </w:t>
      </w:r>
      <w:proofErr w:type="spellStart"/>
      <w:r w:rsidRPr="008C3FA5">
        <w:rPr>
          <w:i/>
        </w:rPr>
        <w:t>exenatide</w:t>
      </w:r>
      <w:proofErr w:type="spellEnd"/>
      <w:r w:rsidRPr="008C3FA5">
        <w:rPr>
          <w:i/>
        </w:rPr>
        <w:t xml:space="preserve"> lead to improvements in glucose control while minimi</w:t>
      </w:r>
      <w:r w:rsidR="00086058">
        <w:rPr>
          <w:i/>
        </w:rPr>
        <w:t>s</w:t>
      </w:r>
      <w:r w:rsidRPr="008C3FA5">
        <w:rPr>
          <w:i/>
        </w:rPr>
        <w:t>i</w:t>
      </w:r>
      <w:r w:rsidR="00740105">
        <w:rPr>
          <w:i/>
        </w:rPr>
        <w:t xml:space="preserve">ng the risk of </w:t>
      </w:r>
      <w:proofErr w:type="spellStart"/>
      <w:r w:rsidR="00740105">
        <w:rPr>
          <w:i/>
        </w:rPr>
        <w:t>hypolycemia</w:t>
      </w:r>
      <w:proofErr w:type="spellEnd"/>
      <w:r w:rsidR="00740105">
        <w:rPr>
          <w:i/>
        </w:rPr>
        <w:t xml:space="preserve">... </w:t>
      </w:r>
      <w:proofErr w:type="spellStart"/>
      <w:r w:rsidRPr="008C3FA5">
        <w:rPr>
          <w:i/>
        </w:rPr>
        <w:t>Hypoglycemia</w:t>
      </w:r>
      <w:proofErr w:type="spellEnd"/>
      <w:r w:rsidRPr="008C3FA5">
        <w:rPr>
          <w:i/>
        </w:rPr>
        <w:t xml:space="preserve"> as a result of the combination of </w:t>
      </w:r>
      <w:proofErr w:type="spellStart"/>
      <w:r w:rsidRPr="008C3FA5">
        <w:rPr>
          <w:i/>
        </w:rPr>
        <w:t>exenatide</w:t>
      </w:r>
      <w:proofErr w:type="spellEnd"/>
      <w:r w:rsidRPr="008C3FA5">
        <w:rPr>
          <w:i/>
        </w:rPr>
        <w:t xml:space="preserve"> plus basal insulin is also included in product labelling, b</w:t>
      </w:r>
      <w:r w:rsidR="00740105">
        <w:rPr>
          <w:i/>
        </w:rPr>
        <w:t xml:space="preserve">ut not included in the RMP... </w:t>
      </w:r>
      <w:r w:rsidRPr="008C3FA5">
        <w:rPr>
          <w:i/>
        </w:rPr>
        <w:t xml:space="preserve">there is no increase in incidence of hypoglycaemia when </w:t>
      </w:r>
      <w:proofErr w:type="spellStart"/>
      <w:r w:rsidRPr="008C3FA5">
        <w:rPr>
          <w:i/>
        </w:rPr>
        <w:t>exenatide</w:t>
      </w:r>
      <w:proofErr w:type="spellEnd"/>
      <w:r w:rsidRPr="008C3FA5">
        <w:rPr>
          <w:i/>
        </w:rPr>
        <w:t xml:space="preserve"> is used in combination with insulin </w:t>
      </w:r>
      <w:proofErr w:type="spellStart"/>
      <w:r w:rsidRPr="008C3FA5">
        <w:rPr>
          <w:i/>
        </w:rPr>
        <w:t>glargine</w:t>
      </w:r>
      <w:proofErr w:type="spellEnd"/>
      <w:r w:rsidRPr="008C3FA5">
        <w:rPr>
          <w:i/>
        </w:rPr>
        <w:t xml:space="preserve"> compared to insulin </w:t>
      </w:r>
      <w:proofErr w:type="spellStart"/>
      <w:r w:rsidRPr="008C3FA5">
        <w:rPr>
          <w:i/>
        </w:rPr>
        <w:t>glargine</w:t>
      </w:r>
      <w:proofErr w:type="spellEnd"/>
      <w:r w:rsidRPr="008C3FA5">
        <w:rPr>
          <w:i/>
        </w:rPr>
        <w:t xml:space="preserve"> alone</w:t>
      </w:r>
      <w:r>
        <w:t>.”</w:t>
      </w:r>
    </w:p>
    <w:p w:rsidR="004F284A" w:rsidRDefault="004F284A" w:rsidP="00D066F7">
      <w:r>
        <w:t xml:space="preserve">The above summary of the Ongoing Safety Concerns is considered acceptable, unless specific concerns are raised from the clinical evaluation by </w:t>
      </w:r>
      <w:r w:rsidR="00FC0E00">
        <w:t>the Office of Medicines Authorisation (</w:t>
      </w:r>
      <w:r>
        <w:t>OMA</w:t>
      </w:r>
      <w:r w:rsidR="00FC0E00">
        <w:t>)</w:t>
      </w:r>
      <w:r>
        <w:t>.</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973E93" w:rsidRDefault="00973E93" w:rsidP="00D066F7">
      <w:r>
        <w:t xml:space="preserve">The following are proposed pharmacovigilance (PV) activities for each </w:t>
      </w:r>
      <w:r w:rsidR="00FC0E00">
        <w:t>O</w:t>
      </w:r>
      <w:r>
        <w:t xml:space="preserve">ngoing </w:t>
      </w:r>
      <w:r w:rsidR="00FC0E00">
        <w:t>S</w:t>
      </w:r>
      <w:r>
        <w:t xml:space="preserve">afety </w:t>
      </w:r>
      <w:r w:rsidR="00FC0E00">
        <w:t>C</w:t>
      </w:r>
      <w:r>
        <w:t>oncern (protocols for studies that have completed or initiated are not reviewed for this report).</w:t>
      </w:r>
    </w:p>
    <w:p w:rsidR="00973E93" w:rsidRDefault="00D066F7" w:rsidP="00973E93">
      <w:pPr>
        <w:pStyle w:val="Heading5"/>
      </w:pPr>
      <w:r>
        <w:t>Identified i</w:t>
      </w:r>
      <w:r w:rsidR="00973E93">
        <w:t xml:space="preserve">mportant </w:t>
      </w:r>
      <w:r>
        <w:t>r</w:t>
      </w:r>
      <w:r w:rsidR="00973E93">
        <w:t>isks</w:t>
      </w:r>
    </w:p>
    <w:p w:rsidR="008E7846" w:rsidRPr="00D066F7" w:rsidRDefault="00973E93" w:rsidP="00D066F7">
      <w:pPr>
        <w:pStyle w:val="Numberbullet0"/>
        <w:numPr>
          <w:ilvl w:val="0"/>
          <w:numId w:val="33"/>
        </w:numPr>
        <w:rPr>
          <w:i/>
        </w:rPr>
      </w:pPr>
      <w:r w:rsidRPr="00D066F7">
        <w:rPr>
          <w:i/>
        </w:rPr>
        <w:t>Pancreatitis</w:t>
      </w:r>
    </w:p>
    <w:p w:rsidR="00973E93" w:rsidRPr="009404CC" w:rsidRDefault="00973E93" w:rsidP="00973E93">
      <w:r w:rsidRPr="009404CC">
        <w:t>Routine PV activities:</w:t>
      </w:r>
    </w:p>
    <w:p w:rsidR="00352774" w:rsidRDefault="00352774" w:rsidP="00D066F7">
      <w:pPr>
        <w:pStyle w:val="ListBullet"/>
      </w:pPr>
      <w:r>
        <w:t>Routine monitoring and review of spontaneously reported events (to be updated in Periodic Safety Update Reports (PSURs)).</w:t>
      </w:r>
    </w:p>
    <w:p w:rsidR="00973E93" w:rsidRPr="009404CC" w:rsidRDefault="00973E93" w:rsidP="00D066F7">
      <w:r w:rsidRPr="009404CC">
        <w:t>Additional PV activities:</w:t>
      </w:r>
    </w:p>
    <w:p w:rsidR="00973E93" w:rsidRDefault="0074754A" w:rsidP="00D066F7">
      <w:pPr>
        <w:pStyle w:val="ListBullet"/>
      </w:pPr>
      <w:r>
        <w:t xml:space="preserve">Expedited reporting of all post </w:t>
      </w:r>
      <w:r w:rsidR="00973E93">
        <w:t>marketing cases.</w:t>
      </w:r>
    </w:p>
    <w:p w:rsidR="00973E93" w:rsidRDefault="00973E93" w:rsidP="00D066F7">
      <w:pPr>
        <w:pStyle w:val="ListBullet"/>
      </w:pPr>
      <w:r>
        <w:t>Monitor and review events of pancreatitis from the cardiovascular outcome study (Study H8O-MC-GWDQ). See also ‘cardiac events’ section below:</w:t>
      </w:r>
    </w:p>
    <w:p w:rsidR="00973E93" w:rsidRDefault="00973E93" w:rsidP="00D066F7">
      <w:pPr>
        <w:pStyle w:val="ListBullet"/>
      </w:pPr>
      <w:r>
        <w:t>Targeted surveillance.</w:t>
      </w:r>
    </w:p>
    <w:p w:rsidR="00973E93" w:rsidRDefault="00973E93" w:rsidP="00D066F7">
      <w:pPr>
        <w:pStyle w:val="ListBullet"/>
      </w:pPr>
      <w:r>
        <w:t>Review of evolving aggregate data by an international expert advisory panel.</w:t>
      </w:r>
    </w:p>
    <w:p w:rsidR="00973E93" w:rsidRDefault="00973E93" w:rsidP="00D066F7">
      <w:pPr>
        <w:pStyle w:val="ListBullet"/>
      </w:pPr>
      <w:r>
        <w:t xml:space="preserve">Mechanistic study to evaluate potential change in gallbladder emptying as a surrogate measurement for increased tone of the sphincter of </w:t>
      </w:r>
      <w:proofErr w:type="spellStart"/>
      <w:r>
        <w:t>Oddi</w:t>
      </w:r>
      <w:proofErr w:type="spellEnd"/>
      <w:r>
        <w:t xml:space="preserve"> in healthy subjects treated with </w:t>
      </w:r>
      <w:proofErr w:type="spellStart"/>
      <w:r>
        <w:t>exenatide</w:t>
      </w:r>
      <w:proofErr w:type="spellEnd"/>
      <w:r>
        <w:t>:</w:t>
      </w:r>
    </w:p>
    <w:p w:rsidR="00973E93" w:rsidRDefault="00973E93" w:rsidP="00D066F7">
      <w:pPr>
        <w:pStyle w:val="ListBullet2"/>
      </w:pPr>
      <w:r>
        <w:t xml:space="preserve">Initial study (Study H8O-EW-GWCJ; summary report submitted Q2 2010 with PSUR 10) was terminated in November 2009 due to market withdrawal of </w:t>
      </w:r>
      <w:proofErr w:type="spellStart"/>
      <w:r>
        <w:t>caerulein</w:t>
      </w:r>
      <w:proofErr w:type="spellEnd"/>
      <w:r>
        <w:t xml:space="preserve">, inducer of gallbladder emptying. New study (H8O-US-GWDP) will be conducted in the US with an alternative agent, </w:t>
      </w:r>
      <w:proofErr w:type="spellStart"/>
      <w:r>
        <w:t>Kinevac</w:t>
      </w:r>
      <w:proofErr w:type="spellEnd"/>
      <w:r>
        <w:t>, pending FDA’s approval of the study protocol.</w:t>
      </w:r>
    </w:p>
    <w:p w:rsidR="00D52FD6" w:rsidRDefault="00973E93" w:rsidP="00D066F7">
      <w:pPr>
        <w:pStyle w:val="ListBullet2"/>
      </w:pPr>
      <w:r>
        <w:lastRenderedPageBreak/>
        <w:t xml:space="preserve">This study was proposed as a result of the suggestion made by a panel of external (EU) experts to explore if pancreatitis can be caused by </w:t>
      </w:r>
      <w:proofErr w:type="spellStart"/>
      <w:r>
        <w:t>exenatide</w:t>
      </w:r>
      <w:proofErr w:type="spellEnd"/>
      <w:r>
        <w:t xml:space="preserve"> via an effect on the tone of sphincter of </w:t>
      </w:r>
      <w:proofErr w:type="spellStart"/>
      <w:r>
        <w:t>Oddi</w:t>
      </w:r>
      <w:proofErr w:type="spellEnd"/>
      <w:r>
        <w:t xml:space="preserve">, resulting in the obstruction of pancreatic secretions into the duodenum and subsequent </w:t>
      </w:r>
      <w:proofErr w:type="spellStart"/>
      <w:r>
        <w:t>autodigestion</w:t>
      </w:r>
      <w:proofErr w:type="spellEnd"/>
      <w:r>
        <w:t xml:space="preserve"> of the pancreas by digestive enzymes (</w:t>
      </w:r>
      <w:r w:rsidR="00D52FD6">
        <w:t>s</w:t>
      </w:r>
      <w:r>
        <w:t>ponsor’s response</w:t>
      </w:r>
      <w:r w:rsidR="00D52FD6">
        <w:t>, dated 20 April 2011)</w:t>
      </w:r>
      <w:r w:rsidRPr="00FE4688">
        <w:t>:</w:t>
      </w:r>
    </w:p>
    <w:p w:rsidR="00F54E0D" w:rsidRDefault="00973E93" w:rsidP="00D066F7">
      <w:pPr>
        <w:pStyle w:val="ListBullet3"/>
      </w:pPr>
      <w:proofErr w:type="spellStart"/>
      <w:r>
        <w:t>Gallbaldder</w:t>
      </w:r>
      <w:proofErr w:type="spellEnd"/>
      <w:r>
        <w:t xml:space="preserve"> emptying is chosen as a non</w:t>
      </w:r>
      <w:r w:rsidR="002613CB">
        <w:t xml:space="preserve"> </w:t>
      </w:r>
      <w:r>
        <w:t xml:space="preserve">invasive surrogate marker for effect on sphincter of </w:t>
      </w:r>
      <w:proofErr w:type="spellStart"/>
      <w:r>
        <w:t>Oddi</w:t>
      </w:r>
      <w:proofErr w:type="spellEnd"/>
      <w:r>
        <w:t xml:space="preserve"> tone.</w:t>
      </w:r>
    </w:p>
    <w:p w:rsidR="00973E93" w:rsidRDefault="00973E93" w:rsidP="00D066F7">
      <w:pPr>
        <w:pStyle w:val="ListBullet3"/>
      </w:pPr>
      <w:r>
        <w:t xml:space="preserve">It is stated that the study outcomes are not expected to directly inform of safety or mitigate risk posed to T2DM patients treated with </w:t>
      </w:r>
      <w:proofErr w:type="spellStart"/>
      <w:r>
        <w:t>exenatide</w:t>
      </w:r>
      <w:proofErr w:type="spellEnd"/>
      <w:r>
        <w:t>.</w:t>
      </w:r>
    </w:p>
    <w:p w:rsidR="00973E93" w:rsidRPr="00BC49AA" w:rsidRDefault="00973E93" w:rsidP="00D066F7">
      <w:pPr>
        <w:pStyle w:val="Heading6"/>
      </w:pPr>
      <w:r w:rsidRPr="00BC49AA">
        <w:t>Completed activities:</w:t>
      </w:r>
    </w:p>
    <w:p w:rsidR="00973E93" w:rsidRDefault="00973E93" w:rsidP="00D066F7">
      <w:pPr>
        <w:pStyle w:val="ListBullet"/>
      </w:pPr>
      <w:r>
        <w:t>Review by an Independent Adjudication Committee of gastroenterology experts of clinical trials and 300 spontaneously reported cases (summarised in PSUR 09).</w:t>
      </w:r>
    </w:p>
    <w:p w:rsidR="00973E93" w:rsidRDefault="00973E93" w:rsidP="00D066F7">
      <w:pPr>
        <w:pStyle w:val="ListBullet"/>
      </w:pPr>
      <w:r>
        <w:t xml:space="preserve">Completion of a United HealthCare (UHC) database study to evaluate patients treated with </w:t>
      </w:r>
      <w:proofErr w:type="spellStart"/>
      <w:r>
        <w:t>exenatide</w:t>
      </w:r>
      <w:proofErr w:type="spellEnd"/>
      <w:r>
        <w:t xml:space="preserve"> versus other anti</w:t>
      </w:r>
      <w:r w:rsidR="00E34CEA">
        <w:t xml:space="preserve"> </w:t>
      </w:r>
      <w:r>
        <w:t xml:space="preserve">diabetic drugs or patients without diabetes, with approximately 25,000 </w:t>
      </w:r>
      <w:proofErr w:type="spellStart"/>
      <w:r>
        <w:t>exenatide</w:t>
      </w:r>
      <w:proofErr w:type="spellEnd"/>
      <w:r w:rsidR="00E34CEA">
        <w:t xml:space="preserve"> </w:t>
      </w:r>
      <w:r>
        <w:t>treated patients and greater numbers in the other cohorts. Patients who qualified for study cohorts between June 2005 and December 2007 were followed through March 2008. Final study report submitted in December 2009.</w:t>
      </w:r>
    </w:p>
    <w:p w:rsidR="00973E93" w:rsidRDefault="00973E93" w:rsidP="00D066F7">
      <w:pPr>
        <w:pStyle w:val="ListBullet"/>
      </w:pPr>
      <w:r>
        <w:t xml:space="preserve">Completion of additional </w:t>
      </w:r>
      <w:proofErr w:type="spellStart"/>
      <w:r>
        <w:t>pharmacoepidemiological</w:t>
      </w:r>
      <w:proofErr w:type="spellEnd"/>
      <w:r>
        <w:t xml:space="preserve"> study (IMS Health) to evaluate incidence of acute pancreatitis in patients using anti</w:t>
      </w:r>
      <w:r w:rsidR="00E34CEA">
        <w:t xml:space="preserve"> </w:t>
      </w:r>
      <w:r>
        <w:t xml:space="preserve">diabetic drugs including </w:t>
      </w:r>
      <w:proofErr w:type="spellStart"/>
      <w:r>
        <w:t>exenatide</w:t>
      </w:r>
      <w:proofErr w:type="spellEnd"/>
      <w:r>
        <w:t>. Final report to be submitted in December 2009.</w:t>
      </w:r>
    </w:p>
    <w:p w:rsidR="00973E93" w:rsidRDefault="00973E93" w:rsidP="00D066F7">
      <w:pPr>
        <w:pStyle w:val="ListBullet"/>
      </w:pPr>
      <w:r>
        <w:t xml:space="preserve">Completion of a pooled analysis of previous </w:t>
      </w:r>
      <w:proofErr w:type="spellStart"/>
      <w:r>
        <w:t>pharmacoepidemiological</w:t>
      </w:r>
      <w:proofErr w:type="spellEnd"/>
      <w:r>
        <w:t xml:space="preserve"> studies (UHC3 and IMS) evaluating incidence of acute pancreatitis in </w:t>
      </w:r>
      <w:r w:rsidR="00E34CEA">
        <w:t>T2DM</w:t>
      </w:r>
      <w:r>
        <w:t xml:space="preserve"> patients treated with </w:t>
      </w:r>
      <w:proofErr w:type="spellStart"/>
      <w:r>
        <w:t>exenatide</w:t>
      </w:r>
      <w:proofErr w:type="spellEnd"/>
      <w:r>
        <w:t xml:space="preserve"> versus other anti</w:t>
      </w:r>
      <w:r w:rsidR="00E34CEA">
        <w:t xml:space="preserve"> </w:t>
      </w:r>
      <w:r>
        <w:t xml:space="preserve">diabetic drugs or in patients without diabetes. Pooled final data analysis submitted in May 2010. Pooled analysis done using data from two cohort studies involving 49,956 </w:t>
      </w:r>
      <w:proofErr w:type="spellStart"/>
      <w:r>
        <w:t>exenatide</w:t>
      </w:r>
      <w:proofErr w:type="spellEnd"/>
      <w:r w:rsidR="008C7DBF">
        <w:t xml:space="preserve"> </w:t>
      </w:r>
      <w:r>
        <w:t xml:space="preserve">treated patients and about 700,000 in comparator group. Concluded that very little or no higher risk of acute pancreatitis associated with the use of </w:t>
      </w:r>
      <w:proofErr w:type="spellStart"/>
      <w:r>
        <w:t>exenatide</w:t>
      </w:r>
      <w:proofErr w:type="spellEnd"/>
      <w:r>
        <w:t>.</w:t>
      </w:r>
    </w:p>
    <w:p w:rsidR="00973E93" w:rsidRPr="00BC49AA" w:rsidRDefault="00973E93" w:rsidP="00D066F7">
      <w:pPr>
        <w:pStyle w:val="Heading6"/>
      </w:pPr>
      <w:r>
        <w:t xml:space="preserve">Specific to the </w:t>
      </w:r>
      <w:proofErr w:type="spellStart"/>
      <w:r>
        <w:t>exenatide</w:t>
      </w:r>
      <w:proofErr w:type="spellEnd"/>
      <w:r>
        <w:t xml:space="preserve"> once weekly</w:t>
      </w:r>
      <w:r w:rsidRPr="00BC49AA">
        <w:t xml:space="preserve"> formulation (</w:t>
      </w:r>
      <w:proofErr w:type="spellStart"/>
      <w:r w:rsidR="00E34CEA">
        <w:t>Bydureon</w:t>
      </w:r>
      <w:proofErr w:type="spellEnd"/>
      <w:r w:rsidRPr="00BC49AA">
        <w:t>):</w:t>
      </w:r>
    </w:p>
    <w:p w:rsidR="00973E93" w:rsidRDefault="00973E93" w:rsidP="00D066F7">
      <w:pPr>
        <w:pStyle w:val="ListBullet"/>
      </w:pPr>
      <w:r>
        <w:t>New once weekly clinical trial to include serum amylase and lipase measurements, with pancreas imaging in asymptomatic cases showing elevated enzyme levels by using a predefined algorithm:</w:t>
      </w:r>
    </w:p>
    <w:p w:rsidR="00973E93" w:rsidRDefault="00973E93" w:rsidP="00D066F7">
      <w:pPr>
        <w:pStyle w:val="ListBullet2"/>
      </w:pPr>
      <w:proofErr w:type="gramStart"/>
      <w:r>
        <w:t>the</w:t>
      </w:r>
      <w:proofErr w:type="gramEnd"/>
      <w:r>
        <w:t xml:space="preserve"> measurements of total amylase and pancreatic lipase are used as additional surrogate markers of severe and persistent gastrointestinal symptoms, although these markers are acknowledged to be nonspecific in asymptomatic patients (</w:t>
      </w:r>
      <w:r w:rsidR="00F54E0D">
        <w:t>s</w:t>
      </w:r>
      <w:r>
        <w:t>ponsor’s response, dated 20 April 201</w:t>
      </w:r>
      <w:r w:rsidR="00DB46E6">
        <w:t>1)</w:t>
      </w:r>
      <w:r w:rsidRPr="00FE4688">
        <w:t>.</w:t>
      </w:r>
    </w:p>
    <w:p w:rsidR="00973E93" w:rsidRDefault="00973E93" w:rsidP="00D066F7">
      <w:pPr>
        <w:pStyle w:val="ListBullet"/>
      </w:pPr>
      <w:r w:rsidRPr="00507A85">
        <w:t>(</w:t>
      </w:r>
      <w:r w:rsidRPr="00DB46E6">
        <w:t>Newly added to this RMP</w:t>
      </w:r>
      <w:r w:rsidRPr="00507A85">
        <w:t>)</w:t>
      </w:r>
      <w:r w:rsidRPr="00BE0E20">
        <w:t xml:space="preserve"> Modified Prescription Event Monitoring</w:t>
      </w:r>
      <w:r>
        <w:t xml:space="preserve"> (PEM) study in the UK to identify possible acute pancreatitis cases in </w:t>
      </w:r>
      <w:r w:rsidR="00DB46E6">
        <w:t>T2DM</w:t>
      </w:r>
      <w:r>
        <w:t xml:space="preserve"> patients in primary </w:t>
      </w:r>
      <w:r w:rsidR="00DB46E6">
        <w:t xml:space="preserve">care who are prescribed </w:t>
      </w:r>
      <w:proofErr w:type="spellStart"/>
      <w:r w:rsidR="00DB46E6">
        <w:t>Bydureon</w:t>
      </w:r>
      <w:proofErr w:type="spellEnd"/>
      <w:r>
        <w:t>:</w:t>
      </w:r>
    </w:p>
    <w:p w:rsidR="00973E93" w:rsidRDefault="00973E93" w:rsidP="00D066F7">
      <w:pPr>
        <w:pStyle w:val="ListBullet2"/>
      </w:pPr>
      <w:r>
        <w:t>Observational cohort study in primary care settings in the UK (patients identified though the National Health Service prescriptions).</w:t>
      </w:r>
    </w:p>
    <w:p w:rsidR="00973E93" w:rsidRDefault="00973E93" w:rsidP="00D066F7">
      <w:pPr>
        <w:pStyle w:val="ListBullet2"/>
      </w:pPr>
      <w:r>
        <w:t>Anticipated 5000 sample size to detect a two</w:t>
      </w:r>
      <w:r w:rsidR="00DB46E6">
        <w:t xml:space="preserve"> </w:t>
      </w:r>
      <w:r>
        <w:t>fold increase in acute pancreatitis with 80% power (background in non</w:t>
      </w:r>
      <w:r w:rsidR="00DB46E6">
        <w:t xml:space="preserve"> </w:t>
      </w:r>
      <w:r>
        <w:t>diabetics estimated at 0.2%), with follow</w:t>
      </w:r>
      <w:r w:rsidR="00DB46E6">
        <w:t xml:space="preserve"> </w:t>
      </w:r>
      <w:r>
        <w:t>up for 12 months.</w:t>
      </w:r>
    </w:p>
    <w:p w:rsidR="00973E93" w:rsidRDefault="00973E93" w:rsidP="00D066F7">
      <w:pPr>
        <w:pStyle w:val="ListBullet2"/>
      </w:pPr>
      <w:r>
        <w:t>Targeted questionnaire</w:t>
      </w:r>
      <w:r w:rsidR="00DB46E6">
        <w:t>s to general practitioners</w:t>
      </w:r>
      <w:r>
        <w:t xml:space="preserve"> for information on patient population (including off</w:t>
      </w:r>
      <w:r w:rsidR="00DB46E6">
        <w:t xml:space="preserve"> </w:t>
      </w:r>
      <w:r>
        <w:t>labe</w:t>
      </w:r>
      <w:r w:rsidR="00D066F7">
        <w:t>l use and use during pregnancy).</w:t>
      </w:r>
    </w:p>
    <w:p w:rsidR="00973E93" w:rsidRDefault="00973E93" w:rsidP="00D066F7">
      <w:pPr>
        <w:pStyle w:val="ListBullet2"/>
      </w:pPr>
      <w:r>
        <w:lastRenderedPageBreak/>
        <w:t>To describe cases and quantify incidence of acute pancreatitis and associated events that are indicative of pancreatitis, and to characterise any reported cases of pancreatic and thyroid cancers diagnosed after treatment initiation.</w:t>
      </w:r>
    </w:p>
    <w:p w:rsidR="00973E93" w:rsidRDefault="00973E93" w:rsidP="00D066F7">
      <w:r>
        <w:t xml:space="preserve">Initial questionnaire </w:t>
      </w:r>
      <w:r w:rsidR="00322788">
        <w:t xml:space="preserve">is </w:t>
      </w:r>
      <w:r>
        <w:t xml:space="preserve">to be sent out at least </w:t>
      </w:r>
      <w:r w:rsidR="00DB46E6">
        <w:t xml:space="preserve">12 months after initial </w:t>
      </w:r>
      <w:proofErr w:type="spellStart"/>
      <w:r w:rsidR="00DB46E6">
        <w:t>Bydureon</w:t>
      </w:r>
      <w:proofErr w:type="spellEnd"/>
      <w:r>
        <w:t xml:space="preserve"> prescription and a follow</w:t>
      </w:r>
      <w:r w:rsidR="00DB46E6">
        <w:t xml:space="preserve"> </w:t>
      </w:r>
      <w:r>
        <w:t>up questionnaire to be sent to further evaluate outcomes of interest including acute pancreatitis and associated events or unknown causes of death.</w:t>
      </w:r>
    </w:p>
    <w:p w:rsidR="00973E93" w:rsidRPr="00D066F7" w:rsidRDefault="00D066F7" w:rsidP="00D066F7">
      <w:pPr>
        <w:pStyle w:val="Numberbullet0"/>
        <w:rPr>
          <w:i/>
        </w:rPr>
      </w:pPr>
      <w:r>
        <w:rPr>
          <w:i/>
        </w:rPr>
        <w:t>Acute r</w:t>
      </w:r>
      <w:r w:rsidR="00973E93" w:rsidRPr="00D066F7">
        <w:rPr>
          <w:i/>
        </w:rPr>
        <w:t xml:space="preserve">enal </w:t>
      </w:r>
      <w:r>
        <w:rPr>
          <w:i/>
        </w:rPr>
        <w:t>f</w:t>
      </w:r>
      <w:r w:rsidR="00973E93" w:rsidRPr="00D066F7">
        <w:rPr>
          <w:i/>
        </w:rPr>
        <w:t>ailure</w:t>
      </w:r>
    </w:p>
    <w:p w:rsidR="001C1C30" w:rsidRPr="009404CC" w:rsidRDefault="001C1C30" w:rsidP="001C1C30">
      <w:r w:rsidRPr="009404CC">
        <w:t>Routine PV activities:</w:t>
      </w:r>
    </w:p>
    <w:p w:rsidR="001C1C30" w:rsidRDefault="001C1C30" w:rsidP="00D066F7">
      <w:pPr>
        <w:pStyle w:val="ListBullet"/>
      </w:pPr>
      <w:r>
        <w:t>Routine monitoring and review of spontaneously reported events (to be updated in PSURs).</w:t>
      </w:r>
    </w:p>
    <w:p w:rsidR="001C1C30" w:rsidRPr="009404CC" w:rsidRDefault="001C1C30" w:rsidP="00D066F7">
      <w:r w:rsidRPr="009404CC">
        <w:t>Additional PV activities:</w:t>
      </w:r>
    </w:p>
    <w:p w:rsidR="001C1C30" w:rsidRDefault="001C1C30" w:rsidP="00D066F7">
      <w:pPr>
        <w:pStyle w:val="ListBullet"/>
      </w:pPr>
      <w:r>
        <w:t>Expedited reporting of all post</w:t>
      </w:r>
      <w:r w:rsidR="00DB46E6">
        <w:t xml:space="preserve"> </w:t>
      </w:r>
      <w:r>
        <w:t>marketing cases.</w:t>
      </w:r>
    </w:p>
    <w:p w:rsidR="001C1C30" w:rsidRDefault="001C1C30" w:rsidP="00D066F7">
      <w:pPr>
        <w:pStyle w:val="ListBullet"/>
      </w:pPr>
      <w:r>
        <w:t>Monitor and review of all serious renal events from the cardiovascular outcome study (Study H8O-MC-GWDQ). See also ‘cardiac events’ section below:</w:t>
      </w:r>
    </w:p>
    <w:p w:rsidR="00973E93" w:rsidRDefault="001C1C30" w:rsidP="001C1C30">
      <w:proofErr w:type="gramStart"/>
      <w:r>
        <w:t xml:space="preserve">Targeted surveillance on acute renal failure/insufficiency, including dehydration and </w:t>
      </w:r>
      <w:proofErr w:type="spellStart"/>
      <w:r>
        <w:t>hypovolaemia</w:t>
      </w:r>
      <w:proofErr w:type="spellEnd"/>
      <w:r>
        <w:t xml:space="preserve"> events.</w:t>
      </w:r>
      <w:proofErr w:type="gramEnd"/>
    </w:p>
    <w:p w:rsidR="001C1C30" w:rsidRPr="00D066F7" w:rsidRDefault="00D066F7" w:rsidP="00D066F7">
      <w:pPr>
        <w:pStyle w:val="Numberbullet0"/>
        <w:rPr>
          <w:i/>
        </w:rPr>
      </w:pPr>
      <w:r>
        <w:rPr>
          <w:i/>
        </w:rPr>
        <w:t>Rapid w</w:t>
      </w:r>
      <w:r w:rsidR="001C1C30" w:rsidRPr="00D066F7">
        <w:rPr>
          <w:i/>
        </w:rPr>
        <w:t xml:space="preserve">eight </w:t>
      </w:r>
      <w:r>
        <w:rPr>
          <w:i/>
        </w:rPr>
        <w:t>l</w:t>
      </w:r>
      <w:r w:rsidR="001C1C30" w:rsidRPr="00D066F7">
        <w:rPr>
          <w:i/>
        </w:rPr>
        <w:t>oss</w:t>
      </w:r>
    </w:p>
    <w:p w:rsidR="001C1C30" w:rsidRPr="009404CC" w:rsidRDefault="001C1C30" w:rsidP="001C1C30">
      <w:r w:rsidRPr="009404CC">
        <w:t>Routine PV activities:</w:t>
      </w:r>
    </w:p>
    <w:p w:rsidR="00DB46E6" w:rsidRDefault="00DB46E6" w:rsidP="00D066F7">
      <w:pPr>
        <w:pStyle w:val="ListBullet"/>
      </w:pPr>
      <w:r w:rsidRPr="001C1C30">
        <w:t>Routine monitoring and review of spontaneously reported events (to be updated in PSURs)</w:t>
      </w:r>
      <w:r>
        <w:t>.</w:t>
      </w:r>
    </w:p>
    <w:p w:rsidR="007C5535" w:rsidRDefault="00D066F7" w:rsidP="007C5535">
      <w:pPr>
        <w:pStyle w:val="Heading5"/>
      </w:pPr>
      <w:r>
        <w:t>Potential i</w:t>
      </w:r>
      <w:r w:rsidR="007C5535">
        <w:t xml:space="preserve">mportant </w:t>
      </w:r>
      <w:r>
        <w:t>r</w:t>
      </w:r>
      <w:r w:rsidR="007C5535">
        <w:t>isks</w:t>
      </w:r>
    </w:p>
    <w:p w:rsidR="001C1C30" w:rsidRDefault="0094196A" w:rsidP="00D066F7">
      <w:pPr>
        <w:pStyle w:val="Numberbullet0"/>
        <w:numPr>
          <w:ilvl w:val="0"/>
          <w:numId w:val="34"/>
        </w:numPr>
        <w:rPr>
          <w:lang w:eastAsia="en-AU"/>
        </w:rPr>
      </w:pPr>
      <w:r w:rsidRPr="00D066F7">
        <w:rPr>
          <w:i/>
        </w:rPr>
        <w:t>Risks associated with anti</w:t>
      </w:r>
      <w:r w:rsidR="00694883" w:rsidRPr="00D066F7">
        <w:rPr>
          <w:i/>
        </w:rPr>
        <w:t xml:space="preserve"> </w:t>
      </w:r>
      <w:proofErr w:type="spellStart"/>
      <w:r w:rsidRPr="00D066F7">
        <w:rPr>
          <w:i/>
        </w:rPr>
        <w:t>exenatide</w:t>
      </w:r>
      <w:proofErr w:type="spellEnd"/>
      <w:r w:rsidRPr="00D066F7">
        <w:rPr>
          <w:i/>
        </w:rPr>
        <w:t xml:space="preserve"> ant</w:t>
      </w:r>
      <w:r w:rsidR="00694883" w:rsidRPr="00D066F7">
        <w:rPr>
          <w:i/>
        </w:rPr>
        <w:t xml:space="preserve">ibodies (focus on anaphylactic </w:t>
      </w:r>
      <w:r w:rsidRPr="00D066F7">
        <w:rPr>
          <w:i/>
        </w:rPr>
        <w:t>type reactions)</w:t>
      </w:r>
    </w:p>
    <w:p w:rsidR="0094196A" w:rsidRPr="009404CC" w:rsidRDefault="0094196A" w:rsidP="00D066F7">
      <w:r w:rsidRPr="009404CC">
        <w:t>Routine PV activities:</w:t>
      </w:r>
    </w:p>
    <w:p w:rsidR="0094196A" w:rsidRDefault="0094196A" w:rsidP="00D066F7">
      <w:pPr>
        <w:pStyle w:val="ListBullet"/>
      </w:pPr>
      <w:r>
        <w:t xml:space="preserve">Routine monitoring and review of spontaneously reported allergic/immunologic events (anaphylaxis or </w:t>
      </w:r>
      <w:proofErr w:type="spellStart"/>
      <w:r>
        <w:t>angioodema</w:t>
      </w:r>
      <w:proofErr w:type="spellEnd"/>
      <w:r>
        <w:t>) (to be updated in PSURs).</w:t>
      </w:r>
    </w:p>
    <w:p w:rsidR="0094196A" w:rsidRPr="009404CC" w:rsidRDefault="0094196A" w:rsidP="00D066F7">
      <w:r w:rsidRPr="009404CC">
        <w:t>Additional PV activities:</w:t>
      </w:r>
    </w:p>
    <w:p w:rsidR="0094196A" w:rsidRDefault="0094196A" w:rsidP="00D066F7">
      <w:pPr>
        <w:pStyle w:val="ListBullet"/>
      </w:pPr>
      <w:r>
        <w:t>Monitor and review of all serious immunologic events from the cardiovascular outcomes study (Study H8O-MC-GWDQ):</w:t>
      </w:r>
    </w:p>
    <w:p w:rsidR="0094196A" w:rsidRDefault="0094196A" w:rsidP="00D066F7">
      <w:pPr>
        <w:pStyle w:val="ListBullet2"/>
      </w:pPr>
      <w:r>
        <w:t>Caveat: laboratory tests may be ordered by treating physicians, but routine collections of samples for antibodies will not be performed (</w:t>
      </w:r>
      <w:r w:rsidR="00F54E0D">
        <w:t>s</w:t>
      </w:r>
      <w:r>
        <w:t>ponsor’s response</w:t>
      </w:r>
      <w:r w:rsidR="00694883">
        <w:t>, dated 20 April 2011)</w:t>
      </w:r>
      <w:r w:rsidRPr="00FE4688">
        <w:t>.</w:t>
      </w:r>
    </w:p>
    <w:p w:rsidR="0094196A" w:rsidRDefault="0094196A" w:rsidP="00D066F7">
      <w:pPr>
        <w:pStyle w:val="ListBullet"/>
      </w:pPr>
      <w:r>
        <w:t xml:space="preserve">Targeted surveillance on allergic/immunologic events (anaphylaxis, </w:t>
      </w:r>
      <w:proofErr w:type="spellStart"/>
      <w:r>
        <w:t>angioodema</w:t>
      </w:r>
      <w:proofErr w:type="spellEnd"/>
      <w:r>
        <w:t xml:space="preserve"> and laryngeal oedema).</w:t>
      </w:r>
    </w:p>
    <w:p w:rsidR="0094196A" w:rsidRDefault="00F320FA" w:rsidP="00D066F7">
      <w:pPr>
        <w:pStyle w:val="ListBullet"/>
      </w:pPr>
      <w:r>
        <w:t xml:space="preserve">Continuing three </w:t>
      </w:r>
      <w:r w:rsidR="0094196A">
        <w:t>year study (Study H8O-EW-GWBE) to collect anti</w:t>
      </w:r>
      <w:r w:rsidR="00694883">
        <w:t xml:space="preserve"> </w:t>
      </w:r>
      <w:proofErr w:type="spellStart"/>
      <w:r w:rsidR="0094196A">
        <w:t>exenatide</w:t>
      </w:r>
      <w:proofErr w:type="spellEnd"/>
      <w:r w:rsidR="0094196A">
        <w:t xml:space="preserve"> antibody titres from approximately 500 subjects treated with </w:t>
      </w:r>
      <w:proofErr w:type="spellStart"/>
      <w:r w:rsidR="0094196A">
        <w:t>exenatide</w:t>
      </w:r>
      <w:proofErr w:type="spellEnd"/>
      <w:r w:rsidR="0094196A">
        <w:t xml:space="preserve"> and who reported serious, potentially immune</w:t>
      </w:r>
      <w:r w:rsidR="00694883">
        <w:t xml:space="preserve"> </w:t>
      </w:r>
      <w:r w:rsidR="0094196A">
        <w:t>related adverse events:</w:t>
      </w:r>
    </w:p>
    <w:p w:rsidR="0094196A" w:rsidRDefault="0094196A" w:rsidP="00D066F7">
      <w:pPr>
        <w:pStyle w:val="ListBullet2"/>
      </w:pPr>
      <w:r>
        <w:t>Patients have on averag</w:t>
      </w:r>
      <w:r w:rsidR="00D066F7">
        <w:t>e about 1.5 years of exposure.</w:t>
      </w:r>
    </w:p>
    <w:p w:rsidR="0094196A" w:rsidRDefault="0094196A" w:rsidP="00D066F7">
      <w:pPr>
        <w:pStyle w:val="ListBullet2"/>
      </w:pPr>
      <w:r>
        <w:t>Estimated final data submissi</w:t>
      </w:r>
      <w:r w:rsidR="00D066F7">
        <w:t>on in Q3 2011.</w:t>
      </w:r>
    </w:p>
    <w:p w:rsidR="00D066F7" w:rsidRDefault="0094196A" w:rsidP="00D066F7">
      <w:r>
        <w:t xml:space="preserve">Protocol has not been evaluated previously as the study has already commenced at the time of review. The </w:t>
      </w:r>
      <w:r w:rsidR="00C25172">
        <w:t>s</w:t>
      </w:r>
      <w:r>
        <w:t>ponsor has confirmed that no new safety issues have been identified through this study so far and that a copy of the final study report will be made available to the TGA once completed (</w:t>
      </w:r>
      <w:r w:rsidR="00F54E0D">
        <w:t>s</w:t>
      </w:r>
      <w:r>
        <w:t>ponsor’s response</w:t>
      </w:r>
      <w:r w:rsidR="00C25172">
        <w:t>, dated 20 April 2011)</w:t>
      </w:r>
      <w:r w:rsidRPr="00FE4688">
        <w:t>.</w:t>
      </w:r>
    </w:p>
    <w:p w:rsidR="0094196A" w:rsidRPr="00D066F7" w:rsidRDefault="00D066F7" w:rsidP="00D066F7">
      <w:pPr>
        <w:pStyle w:val="Numberbullet0"/>
        <w:rPr>
          <w:i/>
          <w:lang w:eastAsia="en-AU"/>
        </w:rPr>
      </w:pPr>
      <w:r>
        <w:br w:type="page"/>
      </w:r>
      <w:r w:rsidR="0094196A" w:rsidRPr="00D066F7">
        <w:rPr>
          <w:i/>
        </w:rPr>
        <w:lastRenderedPageBreak/>
        <w:t>Cardiac events</w:t>
      </w:r>
    </w:p>
    <w:p w:rsidR="00D36F9C" w:rsidRPr="009404CC" w:rsidRDefault="00D36F9C" w:rsidP="00D36F9C">
      <w:r w:rsidRPr="009404CC">
        <w:t>Routine PV activities:</w:t>
      </w:r>
    </w:p>
    <w:p w:rsidR="00D36F9C" w:rsidRDefault="00D36F9C" w:rsidP="00D066F7">
      <w:pPr>
        <w:pStyle w:val="ListBullet"/>
      </w:pPr>
      <w:r>
        <w:t>Routine monitoring and review of spontaneously reported serious cardiac events (to be updated in PSURs).</w:t>
      </w:r>
    </w:p>
    <w:p w:rsidR="00D36F9C" w:rsidRPr="009404CC" w:rsidRDefault="00D36F9C" w:rsidP="00D066F7">
      <w:r w:rsidRPr="009404CC">
        <w:t>Additional PV activities:</w:t>
      </w:r>
    </w:p>
    <w:p w:rsidR="00D36F9C" w:rsidRPr="00D62B83" w:rsidRDefault="00D36F9C" w:rsidP="00D066F7">
      <w:pPr>
        <w:pStyle w:val="Heading6"/>
      </w:pPr>
      <w:r>
        <w:t xml:space="preserve">Specific to the </w:t>
      </w:r>
      <w:proofErr w:type="spellStart"/>
      <w:r>
        <w:t>exenatide</w:t>
      </w:r>
      <w:proofErr w:type="spellEnd"/>
      <w:r>
        <w:t xml:space="preserve"> once weekly</w:t>
      </w:r>
      <w:r w:rsidRPr="00BC49AA">
        <w:t xml:space="preserve"> formulation (BYDUREON):</w:t>
      </w:r>
    </w:p>
    <w:p w:rsidR="00D36F9C" w:rsidRPr="00F435B9" w:rsidRDefault="00D36F9C" w:rsidP="00D066F7">
      <w:pPr>
        <w:pStyle w:val="ListBullet"/>
      </w:pPr>
      <w:r w:rsidRPr="00FE50F2">
        <w:t>Assess cardiovascular (CV) outcomes</w:t>
      </w:r>
      <w:r>
        <w:t xml:space="preserve"> in a prospective long</w:t>
      </w:r>
      <w:r w:rsidR="00C25172">
        <w:t xml:space="preserve"> </w:t>
      </w:r>
      <w:r>
        <w:t xml:space="preserve">term study (Study H8O-MC-GWDQ; EXSCEL; Clinical Study Protocol BCB109) in T2DM subjects who are randomised to standard of care diabetes regimens with or without </w:t>
      </w:r>
      <w:proofErr w:type="spellStart"/>
      <w:r w:rsidR="00C25172">
        <w:t>Bydureon</w:t>
      </w:r>
      <w:proofErr w:type="spellEnd"/>
      <w:r>
        <w:t>:</w:t>
      </w:r>
    </w:p>
    <w:p w:rsidR="00D36F9C" w:rsidRDefault="00D36F9C" w:rsidP="00D066F7">
      <w:pPr>
        <w:pStyle w:val="ListBullet2"/>
      </w:pPr>
      <w:r>
        <w:t>This is a Phase 3b/4 randomised, double</w:t>
      </w:r>
      <w:r w:rsidR="00C25172">
        <w:t xml:space="preserve"> </w:t>
      </w:r>
      <w:r>
        <w:t>blind, placebo</w:t>
      </w:r>
      <w:r w:rsidR="00C25172">
        <w:t xml:space="preserve"> </w:t>
      </w:r>
      <w:r>
        <w:t xml:space="preserve">controlled multinational clinical trial, that would include participants with T2DM, with (60%) or without </w:t>
      </w:r>
      <w:r w:rsidR="00D066F7">
        <w:t>(40%) a history of CV disease.</w:t>
      </w:r>
    </w:p>
    <w:p w:rsidR="00D36F9C" w:rsidRDefault="00D36F9C" w:rsidP="00D066F7">
      <w:pPr>
        <w:pStyle w:val="ListBullet2"/>
      </w:pPr>
      <w:r>
        <w:t xml:space="preserve">Study outcomes will include MACEs </w:t>
      </w:r>
      <w:r w:rsidR="00C25172">
        <w:t>(</w:t>
      </w:r>
      <w:r w:rsidR="00C25172" w:rsidRPr="00C25172">
        <w:t>Major Adv</w:t>
      </w:r>
      <w:r w:rsidR="00C25172">
        <w:t xml:space="preserve">erse Cardiovascular Events) </w:t>
      </w:r>
      <w:r>
        <w:t>such as non</w:t>
      </w:r>
      <w:r w:rsidR="00C25172">
        <w:t xml:space="preserve"> </w:t>
      </w:r>
      <w:r>
        <w:t>fatal myocardial infarction, non</w:t>
      </w:r>
      <w:r w:rsidR="00C25172">
        <w:t xml:space="preserve"> </w:t>
      </w:r>
      <w:r>
        <w:t>fatal stroke and cardiovascular</w:t>
      </w:r>
      <w:r w:rsidR="00C25172">
        <w:t xml:space="preserve"> </w:t>
      </w:r>
      <w:r w:rsidR="00D066F7">
        <w:t>related death.</w:t>
      </w:r>
    </w:p>
    <w:p w:rsidR="00D36F9C" w:rsidRDefault="00D36F9C" w:rsidP="00D066F7">
      <w:pPr>
        <w:pStyle w:val="ListBullet2"/>
      </w:pPr>
      <w:r>
        <w:t>Study to start in Q2 2010, with the last patient visit estimated in Q2 2017. However, it is stated</w:t>
      </w:r>
      <w:r w:rsidRPr="0059657F">
        <w:t xml:space="preserve"> that clinical study report is anticipated in Q4 2016, which is sooner that the estimated last patient visit in Q2 2017. The </w:t>
      </w:r>
      <w:r w:rsidR="008E677D">
        <w:t>s</w:t>
      </w:r>
      <w:r w:rsidRPr="0059657F">
        <w:t>ponsor was requested to clarify this information. In response to the s31 request for information</w:t>
      </w:r>
      <w:r>
        <w:t xml:space="preserve"> (dated 3 April 2012)</w:t>
      </w:r>
      <w:r w:rsidRPr="0059657F">
        <w:t xml:space="preserve">, the </w:t>
      </w:r>
      <w:r w:rsidR="008E677D">
        <w:t>s</w:t>
      </w:r>
      <w:r w:rsidRPr="0059657F">
        <w:t>ponsor has stated that patient enrolment is currently progressing, with the last patient visit and final study report estimated in Q2 2017 and Q1 2018 respectively.</w:t>
      </w:r>
    </w:p>
    <w:p w:rsidR="00D36F9C" w:rsidRDefault="00D36F9C" w:rsidP="00D066F7">
      <w:pPr>
        <w:pStyle w:val="ListBullet2"/>
      </w:pPr>
      <w:r>
        <w:t>Approximately 9500 T2DM patients of ≥ 18 years old to be recruited over 3 years with a minimum follow</w:t>
      </w:r>
      <w:r w:rsidR="008E677D">
        <w:t xml:space="preserve"> </w:t>
      </w:r>
      <w:r>
        <w:t>up of 4 years (with visits at 1 week and 2 months after initial visit, and followed by six</w:t>
      </w:r>
      <w:r w:rsidR="008E677D">
        <w:t xml:space="preserve"> </w:t>
      </w:r>
      <w:r>
        <w:t xml:space="preserve">monthly visits until end of trial), randomised at 1:1 between </w:t>
      </w:r>
      <w:proofErr w:type="spellStart"/>
      <w:r w:rsidR="008E677D">
        <w:t>Bydureon</w:t>
      </w:r>
      <w:proofErr w:type="spellEnd"/>
      <w:r w:rsidR="008E677D">
        <w:t xml:space="preserve"> </w:t>
      </w:r>
      <w:r>
        <w:t>treatment and placebo, with continuing trial until adjudicated 1591 primary endpoints have been reached. Anticipated enrolled patients to consist of 1/3 from the Americas, 1/3 from Europe and 1/3 from Asia/Australasia (</w:t>
      </w:r>
      <w:r w:rsidR="00F54E0D">
        <w:t>s</w:t>
      </w:r>
      <w:r>
        <w:t>ponsor’s response</w:t>
      </w:r>
      <w:r w:rsidR="008E677D">
        <w:t>, dated 20 April 2011)</w:t>
      </w:r>
      <w:r w:rsidRPr="00FE4688">
        <w:t>.</w:t>
      </w:r>
    </w:p>
    <w:p w:rsidR="0094196A" w:rsidRDefault="00AD2162" w:rsidP="00D066F7">
      <w:pPr>
        <w:rPr>
          <w:lang w:eastAsia="en-AU"/>
        </w:rPr>
      </w:pPr>
      <w:r>
        <w:t xml:space="preserve">This study was initiated post </w:t>
      </w:r>
      <w:r w:rsidR="00D36F9C">
        <w:t xml:space="preserve">approval of </w:t>
      </w:r>
      <w:proofErr w:type="spellStart"/>
      <w:r w:rsidR="00D36F9C">
        <w:t>exenatide</w:t>
      </w:r>
      <w:proofErr w:type="spellEnd"/>
      <w:r w:rsidR="00D36F9C">
        <w:t xml:space="preserve"> bid as part of FDA’s recommendation in 2008 for the inclusion of CV r</w:t>
      </w:r>
      <w:r>
        <w:t xml:space="preserve">isk evaluation for all new anti </w:t>
      </w:r>
      <w:r w:rsidR="00D36F9C">
        <w:t>diabetic therapies to treat T2D</w:t>
      </w:r>
      <w:r w:rsidR="00C54BCA">
        <w:t>M</w:t>
      </w:r>
      <w:r w:rsidR="00C54BCA">
        <w:rPr>
          <w:rStyle w:val="FootnoteReference"/>
        </w:rPr>
        <w:footnoteReference w:id="5"/>
      </w:r>
      <w:r w:rsidR="00D36F9C">
        <w:t xml:space="preserve"> (</w:t>
      </w:r>
      <w:r w:rsidR="00235CC1">
        <w:t>s</w:t>
      </w:r>
      <w:r w:rsidR="00D36F9C">
        <w:t>ponsor’s response</w:t>
      </w:r>
      <w:r>
        <w:t>, dated 20 April 2011)</w:t>
      </w:r>
      <w:r w:rsidR="00D36F9C" w:rsidRPr="00FE4688">
        <w:t>.</w:t>
      </w:r>
    </w:p>
    <w:p w:rsidR="00D36F9C" w:rsidRPr="00D066F7" w:rsidRDefault="00D36F9C" w:rsidP="00D066F7">
      <w:pPr>
        <w:pStyle w:val="Numberbullet0"/>
        <w:rPr>
          <w:i/>
          <w:lang w:eastAsia="en-AU"/>
        </w:rPr>
      </w:pPr>
      <w:r w:rsidRPr="00D066F7">
        <w:rPr>
          <w:i/>
        </w:rPr>
        <w:t xml:space="preserve">Malignant </w:t>
      </w:r>
      <w:proofErr w:type="spellStart"/>
      <w:r w:rsidRPr="00D066F7">
        <w:rPr>
          <w:i/>
        </w:rPr>
        <w:t>neoplasms</w:t>
      </w:r>
      <w:proofErr w:type="spellEnd"/>
      <w:r w:rsidRPr="00D066F7">
        <w:rPr>
          <w:i/>
        </w:rPr>
        <w:t xml:space="preserve"> (focus on pancreatic cancer and thyroid </w:t>
      </w:r>
      <w:proofErr w:type="spellStart"/>
      <w:r w:rsidRPr="00D066F7">
        <w:rPr>
          <w:i/>
        </w:rPr>
        <w:t>neoplasms</w:t>
      </w:r>
      <w:proofErr w:type="spellEnd"/>
      <w:r w:rsidRPr="00D066F7">
        <w:rPr>
          <w:i/>
        </w:rPr>
        <w:t>)</w:t>
      </w:r>
    </w:p>
    <w:p w:rsidR="00FC5754" w:rsidRPr="009404CC" w:rsidRDefault="00FC5754" w:rsidP="00D066F7">
      <w:r w:rsidRPr="009404CC">
        <w:t>Routine PV activities:</w:t>
      </w:r>
    </w:p>
    <w:p w:rsidR="00FC5754" w:rsidRDefault="00FC5754" w:rsidP="00D066F7">
      <w:pPr>
        <w:pStyle w:val="ListBullet"/>
      </w:pPr>
      <w:r>
        <w:t>Routine monitoring and review of spontaneously reported events (to be updated in PSURs).</w:t>
      </w:r>
    </w:p>
    <w:p w:rsidR="00FC5754" w:rsidRPr="009404CC" w:rsidRDefault="00FC5754" w:rsidP="00FC5754">
      <w:r w:rsidRPr="009404CC">
        <w:t>Additional PV activities:</w:t>
      </w:r>
    </w:p>
    <w:p w:rsidR="00FC5754" w:rsidRDefault="00FC5754" w:rsidP="00D066F7">
      <w:pPr>
        <w:pStyle w:val="ListBullet"/>
      </w:pPr>
      <w:r>
        <w:t>Monitor and review of all pancreatic cancer and thyroid carcinoma events from the cardiovascular outc</w:t>
      </w:r>
      <w:r w:rsidR="00235CC1">
        <w:t xml:space="preserve">ome study (Study H8O-MC-GWDQ). </w:t>
      </w:r>
      <w:r>
        <w:t>See also previous ‘cardiac events’ section:</w:t>
      </w:r>
    </w:p>
    <w:p w:rsidR="00FC5754" w:rsidRDefault="00FC5754" w:rsidP="00D066F7">
      <w:pPr>
        <w:pStyle w:val="ListBullet"/>
      </w:pPr>
      <w:r>
        <w:lastRenderedPageBreak/>
        <w:t>Targeted surveillance for treatment</w:t>
      </w:r>
      <w:r w:rsidR="00235CC1">
        <w:t xml:space="preserve"> </w:t>
      </w:r>
      <w:r>
        <w:t xml:space="preserve">emergent malignancies and </w:t>
      </w:r>
      <w:proofErr w:type="spellStart"/>
      <w:r>
        <w:t>neoplasms</w:t>
      </w:r>
      <w:proofErr w:type="spellEnd"/>
      <w:r>
        <w:t xml:space="preserve"> with focus on pancreatic cancer and thyroid </w:t>
      </w:r>
      <w:proofErr w:type="spellStart"/>
      <w:r>
        <w:t>neoplasms</w:t>
      </w:r>
      <w:proofErr w:type="spellEnd"/>
      <w:r>
        <w:t>.</w:t>
      </w:r>
    </w:p>
    <w:p w:rsidR="00FC5754" w:rsidRPr="00BC0C33" w:rsidRDefault="00FC5754" w:rsidP="00D066F7">
      <w:pPr>
        <w:pStyle w:val="ListBullet"/>
      </w:pPr>
      <w:proofErr w:type="spellStart"/>
      <w:r>
        <w:t>P</w:t>
      </w:r>
      <w:r w:rsidRPr="00BC0C33">
        <w:t>harmacoepidemiological</w:t>
      </w:r>
      <w:proofErr w:type="spellEnd"/>
      <w:r w:rsidRPr="00BC0C33">
        <w:t xml:space="preserve"> study titled “Incidence of Pancreatic Malignancy and Thyroid Neoplasm in Type 2 Diabetes Mellitus Patients who Initiate </w:t>
      </w:r>
      <w:proofErr w:type="spellStart"/>
      <w:r w:rsidRPr="00BC0C33">
        <w:t>Exenatide</w:t>
      </w:r>
      <w:proofErr w:type="spellEnd"/>
      <w:r w:rsidRPr="00BC0C33">
        <w:t xml:space="preserve"> Compared to Other </w:t>
      </w:r>
      <w:proofErr w:type="spellStart"/>
      <w:r w:rsidRPr="00BC0C33">
        <w:t>Antihyperglycemic</w:t>
      </w:r>
      <w:proofErr w:type="spellEnd"/>
      <w:r w:rsidRPr="00BC0C33">
        <w:t xml:space="preserve"> Drugs” (updated final protocol provided with s31 response dated 3 April 2012):</w:t>
      </w:r>
    </w:p>
    <w:p w:rsidR="00FC5754" w:rsidRPr="00BC0C33" w:rsidRDefault="00FC5754" w:rsidP="00D066F7">
      <w:pPr>
        <w:pStyle w:val="ListBullet2"/>
      </w:pPr>
      <w:r w:rsidRPr="00BC0C33">
        <w:t xml:space="preserve">Primary objectives: to assess the absolute and relative incidences of newly diagnosed pancreatic cancer and thyroid cancer in </w:t>
      </w:r>
      <w:r>
        <w:t>T2DM</w:t>
      </w:r>
      <w:r w:rsidRPr="00BC0C33">
        <w:t xml:space="preserve"> patients who initiate </w:t>
      </w:r>
      <w:proofErr w:type="spellStart"/>
      <w:r w:rsidRPr="00BC0C33">
        <w:t>exenatide</w:t>
      </w:r>
      <w:proofErr w:type="spellEnd"/>
      <w:r w:rsidRPr="00BC0C33">
        <w:t xml:space="preserve"> versus other anti</w:t>
      </w:r>
      <w:r w:rsidR="00235CC1">
        <w:t xml:space="preserve"> </w:t>
      </w:r>
      <w:r w:rsidRPr="00BC0C33">
        <w:t>diabetic drugs.</w:t>
      </w:r>
    </w:p>
    <w:p w:rsidR="00FC5754" w:rsidRPr="00BC0C33" w:rsidRDefault="00FC5754" w:rsidP="00D066F7">
      <w:pPr>
        <w:pStyle w:val="ListBullet2"/>
      </w:pPr>
      <w:r w:rsidRPr="00BC0C33">
        <w:t xml:space="preserve">Secondary objective: to estimate the absolute incidence of benign thyroid neoplasm, </w:t>
      </w:r>
      <w:proofErr w:type="spellStart"/>
      <w:r w:rsidRPr="00BC0C33">
        <w:t>medullary</w:t>
      </w:r>
      <w:proofErr w:type="spellEnd"/>
      <w:r w:rsidRPr="00BC0C33">
        <w:t xml:space="preserve"> thyroid cancer (MTC) and non</w:t>
      </w:r>
      <w:r w:rsidR="00235CC1">
        <w:t xml:space="preserve"> </w:t>
      </w:r>
      <w:r>
        <w:t>MTC neoplasm in T2DM</w:t>
      </w:r>
      <w:r w:rsidRPr="00BC0C33">
        <w:t xml:space="preserve"> patients who initiate </w:t>
      </w:r>
      <w:proofErr w:type="spellStart"/>
      <w:r w:rsidRPr="00BC0C33">
        <w:t>exenatide</w:t>
      </w:r>
      <w:proofErr w:type="spellEnd"/>
      <w:r w:rsidRPr="00BC0C33">
        <w:t xml:space="preserve"> versus other anti-diabetic drugs.</w:t>
      </w:r>
    </w:p>
    <w:p w:rsidR="00FC5754" w:rsidRPr="000A1758" w:rsidRDefault="00FC5754" w:rsidP="00D066F7">
      <w:pPr>
        <w:pStyle w:val="ListBullet2"/>
      </w:pPr>
      <w:r w:rsidRPr="000A1758">
        <w:t>Data sources: US</w:t>
      </w:r>
      <w:r w:rsidR="00235CC1">
        <w:t xml:space="preserve"> </w:t>
      </w:r>
      <w:r w:rsidRPr="000A1758">
        <w:t>based health insurance claims databases that will include medical and pharmacy claims – Life Sciences Research Database</w:t>
      </w:r>
      <w:r w:rsidR="00D066F7">
        <w:t xml:space="preserve"> and Impact National Benchmark.</w:t>
      </w:r>
    </w:p>
    <w:p w:rsidR="00FC5754" w:rsidRPr="000A1758" w:rsidRDefault="00FC5754" w:rsidP="00D066F7">
      <w:pPr>
        <w:pStyle w:val="ListBullet2"/>
      </w:pPr>
      <w:r w:rsidRPr="000A1758">
        <w:t>Study population: T2D patients wi</w:t>
      </w:r>
      <w:r>
        <w:t xml:space="preserve">th 9 months of continuous </w:t>
      </w:r>
      <w:r w:rsidRPr="000A1758">
        <w:t xml:space="preserve">enrolment </w:t>
      </w:r>
      <w:r>
        <w:t xml:space="preserve">prior </w:t>
      </w:r>
      <w:r w:rsidRPr="000A1758">
        <w:t>to index date (cohort entry)</w:t>
      </w:r>
      <w:r>
        <w:t>, and</w:t>
      </w:r>
      <w:r w:rsidRPr="000A1758">
        <w:t xml:space="preserve"> who initiated treatment between 1 June 2005 and 31 July 2010 (with no prior </w:t>
      </w:r>
      <w:proofErr w:type="spellStart"/>
      <w:r w:rsidRPr="000A1758">
        <w:t>exenatide</w:t>
      </w:r>
      <w:proofErr w:type="spellEnd"/>
      <w:r w:rsidRPr="000A1758">
        <w:t xml:space="preserve"> or other anti</w:t>
      </w:r>
      <w:r w:rsidR="00235CC1">
        <w:t xml:space="preserve"> </w:t>
      </w:r>
      <w:r w:rsidRPr="000A1758">
        <w:t>diabetic drug di</w:t>
      </w:r>
      <w:r w:rsidR="00D066F7">
        <w:t>spensed within past 9 months).</w:t>
      </w:r>
    </w:p>
    <w:p w:rsidR="00FC5754" w:rsidRPr="000A1758" w:rsidRDefault="00FC5754" w:rsidP="00D066F7">
      <w:pPr>
        <w:pStyle w:val="ListBullet2"/>
      </w:pPr>
      <w:r w:rsidRPr="000A1758">
        <w:t>Patients are to be followed up for 1 year after drug initiation, to date of first incident, loss to follow-up or end of study follow</w:t>
      </w:r>
      <w:r w:rsidR="00235CC1">
        <w:t xml:space="preserve"> </w:t>
      </w:r>
      <w:r w:rsidRPr="000A1758">
        <w:t xml:space="preserve">up period (reported as 31 December 2010 in Section 3.4 </w:t>
      </w:r>
      <w:r w:rsidRPr="000A1758">
        <w:rPr>
          <w:i/>
        </w:rPr>
        <w:t>Study Population</w:t>
      </w:r>
      <w:r w:rsidRPr="000A1758">
        <w:t xml:space="preserve"> of the study protocol but as 31 December 2011 in Section 4.3 </w:t>
      </w:r>
      <w:r w:rsidRPr="000A1758">
        <w:rPr>
          <w:i/>
        </w:rPr>
        <w:t>Intent-to-treat Analysis</w:t>
      </w:r>
      <w:r w:rsidRPr="000A1758">
        <w:t xml:space="preserve"> of the study protocol</w:t>
      </w:r>
      <w:r>
        <w:t>,</w:t>
      </w:r>
      <w:r w:rsidRPr="000A1758">
        <w:t xml:space="preserve"> provided in Appendix 4 of the RMP). Clarification was sought from the </w:t>
      </w:r>
      <w:r w:rsidR="00235CC1">
        <w:t>s</w:t>
      </w:r>
      <w:r w:rsidRPr="000A1758">
        <w:t>ponsor on the estimated end</w:t>
      </w:r>
      <w:r w:rsidR="009A06FD">
        <w:t xml:space="preserve"> </w:t>
      </w:r>
      <w:r w:rsidRPr="000A1758">
        <w:t>of</w:t>
      </w:r>
      <w:r w:rsidR="009A06FD">
        <w:t xml:space="preserve"> </w:t>
      </w:r>
      <w:r w:rsidRPr="000A1758">
        <w:t>study follow</w:t>
      </w:r>
      <w:r w:rsidR="009A06FD">
        <w:t xml:space="preserve"> </w:t>
      </w:r>
      <w:r w:rsidRPr="000A1758">
        <w:t xml:space="preserve">up. The </w:t>
      </w:r>
      <w:r w:rsidR="009A06FD">
        <w:t>s</w:t>
      </w:r>
      <w:r w:rsidRPr="000A1758">
        <w:t>ponsor has confirmed in the response to s31 request for information (dated 3 April 2012) that the correct estimated end</w:t>
      </w:r>
      <w:r w:rsidR="009A06FD">
        <w:t xml:space="preserve"> </w:t>
      </w:r>
      <w:r w:rsidRPr="000A1758">
        <w:t>of</w:t>
      </w:r>
      <w:r w:rsidR="009A06FD">
        <w:t xml:space="preserve"> </w:t>
      </w:r>
      <w:r w:rsidRPr="000A1758">
        <w:t>study follow</w:t>
      </w:r>
      <w:r w:rsidR="009A06FD">
        <w:t xml:space="preserve"> </w:t>
      </w:r>
      <w:r w:rsidRPr="000A1758">
        <w:t>up is 31 December 2010 and the final study re</w:t>
      </w:r>
      <w:r w:rsidR="00D066F7">
        <w:t>port is anticipated in Q1 2013.</w:t>
      </w:r>
    </w:p>
    <w:p w:rsidR="00FC5754" w:rsidRPr="003B0F34" w:rsidRDefault="00FC5754" w:rsidP="00D066F7">
      <w:pPr>
        <w:pStyle w:val="ListBullet2"/>
      </w:pPr>
      <w:r w:rsidRPr="003B0F34">
        <w:t xml:space="preserve">Each </w:t>
      </w:r>
      <w:proofErr w:type="spellStart"/>
      <w:r w:rsidRPr="003B0F34">
        <w:t>exenatide</w:t>
      </w:r>
      <w:proofErr w:type="spellEnd"/>
      <w:r w:rsidRPr="003B0F34">
        <w:t xml:space="preserve"> initiator will be matched w</w:t>
      </w:r>
      <w:r>
        <w:t xml:space="preserve">ith two other </w:t>
      </w:r>
      <w:r w:rsidRPr="003B0F34">
        <w:t>anti</w:t>
      </w:r>
      <w:r w:rsidR="009D1179">
        <w:t xml:space="preserve"> </w:t>
      </w:r>
      <w:r w:rsidRPr="003B0F34">
        <w:t xml:space="preserve">diabetic drug initiators. Incidents </w:t>
      </w:r>
      <w:r>
        <w:t>from claim</w:t>
      </w:r>
      <w:r w:rsidRPr="003B0F34">
        <w:t xml:space="preserve"> cases with reported thyroid or pancreatic cancers 9 months prior </w:t>
      </w:r>
      <w:r w:rsidR="00D066F7">
        <w:t>to index date will be excluded.</w:t>
      </w:r>
    </w:p>
    <w:p w:rsidR="00FC5754" w:rsidRPr="003B0F34" w:rsidRDefault="00FC5754" w:rsidP="00D066F7">
      <w:pPr>
        <w:pStyle w:val="ListBullet2"/>
      </w:pPr>
      <w:r w:rsidRPr="003B0F34">
        <w:t>Confirmation of available potential cases of study outcomes from medical records and independent adjudication by two different clinical experts.</w:t>
      </w:r>
    </w:p>
    <w:p w:rsidR="00FC5754" w:rsidRPr="00D066F7" w:rsidRDefault="00FC5754" w:rsidP="00D066F7">
      <w:pPr>
        <w:pStyle w:val="ListBullet2"/>
      </w:pPr>
      <w:r w:rsidRPr="003B0F34">
        <w:t xml:space="preserve">It is stated that there were 61,834 </w:t>
      </w:r>
      <w:proofErr w:type="spellStart"/>
      <w:r w:rsidRPr="003B0F34">
        <w:t>exenatide</w:t>
      </w:r>
      <w:proofErr w:type="spellEnd"/>
      <w:r w:rsidR="009D1179">
        <w:t xml:space="preserve"> </w:t>
      </w:r>
      <w:r w:rsidRPr="003B0F34">
        <w:t xml:space="preserve">treated patients with at least one </w:t>
      </w:r>
      <w:proofErr w:type="spellStart"/>
      <w:r w:rsidR="004350DA">
        <w:t>Byetta</w:t>
      </w:r>
      <w:proofErr w:type="spellEnd"/>
      <w:r w:rsidR="004350DA">
        <w:t xml:space="preserve"> </w:t>
      </w:r>
      <w:r w:rsidRPr="003B0F34">
        <w:t>prescription filled and preceded by at least 9 months of continuous health plan enrolment. The maj</w:t>
      </w:r>
      <w:r w:rsidR="004350DA">
        <w:t xml:space="preserve">ority had up to 1 year of </w:t>
      </w:r>
      <w:proofErr w:type="spellStart"/>
      <w:r w:rsidR="004350DA">
        <w:t>Byetta</w:t>
      </w:r>
      <w:proofErr w:type="spellEnd"/>
      <w:r w:rsidRPr="003B0F34">
        <w:t xml:space="preserve"> exposure time (</w:t>
      </w:r>
      <w:r>
        <w:t>51,</w:t>
      </w:r>
      <w:r w:rsidRPr="003B0F34">
        <w:t xml:space="preserve">834), with longer term exposures at 1-2 years (7,054), 2-3 years (2,130), 3-4 years (612), 4-5 years (199) and more than 5 years (6). Mean </w:t>
      </w:r>
      <w:proofErr w:type="spellStart"/>
      <w:r w:rsidRPr="003B0F34">
        <w:t>exenatide</w:t>
      </w:r>
      <w:proofErr w:type="spellEnd"/>
      <w:r w:rsidRPr="003B0F34">
        <w:t xml:space="preserve"> exposure time was 212.45 days.</w:t>
      </w:r>
    </w:p>
    <w:p w:rsidR="00FC5754" w:rsidRPr="00D066F7" w:rsidRDefault="00FC5754" w:rsidP="00D066F7">
      <w:pPr>
        <w:pStyle w:val="ListBullet2"/>
      </w:pPr>
      <w:r>
        <w:t>Some of the major study limitations discussed: accuracy of medical data reported, relationship between insurance claims and actual medication utilisation, relatively short enrolment duration for follow</w:t>
      </w:r>
      <w:r w:rsidR="004350DA">
        <w:t xml:space="preserve"> </w:t>
      </w:r>
      <w:r w:rsidR="00D066F7">
        <w:t>up.</w:t>
      </w:r>
    </w:p>
    <w:p w:rsidR="00FC5754" w:rsidRPr="003C4A2B" w:rsidRDefault="00FC5754" w:rsidP="00D066F7">
      <w:pPr>
        <w:pStyle w:val="Heading6"/>
      </w:pPr>
      <w:r w:rsidRPr="003C4A2B">
        <w:t>Completed activities:</w:t>
      </w:r>
    </w:p>
    <w:p w:rsidR="00FC5754" w:rsidRPr="00D066F7" w:rsidRDefault="00FC5754" w:rsidP="00D066F7">
      <w:pPr>
        <w:pStyle w:val="ListBullet"/>
      </w:pPr>
      <w:r>
        <w:t xml:space="preserve">Completed a signal detection exercise utilising </w:t>
      </w:r>
      <w:proofErr w:type="spellStart"/>
      <w:r>
        <w:t>Aperio</w:t>
      </w:r>
      <w:proofErr w:type="spellEnd"/>
      <w:r>
        <w:t xml:space="preserve"> in a UHC claims database, with study summary submitted in December 2009. Patients who initiated medications between 1 June 2005 and 30 June 2008 were followed through to 30 June 2009. Additional analyses using a different methodology are being conducted.</w:t>
      </w:r>
    </w:p>
    <w:p w:rsidR="00FC5754" w:rsidRPr="003330FA" w:rsidRDefault="00FC5754" w:rsidP="003330FA">
      <w:pPr>
        <w:pStyle w:val="ListBullet"/>
      </w:pPr>
      <w:r>
        <w:lastRenderedPageBreak/>
        <w:t xml:space="preserve">Completed an additional database study to assess the incidence of pancreatic cancer and thyroid </w:t>
      </w:r>
      <w:proofErr w:type="spellStart"/>
      <w:r>
        <w:t>neoplasms</w:t>
      </w:r>
      <w:proofErr w:type="spellEnd"/>
      <w:r>
        <w:t xml:space="preserve"> in patients with </w:t>
      </w:r>
      <w:r w:rsidR="009D0303">
        <w:t>T2DM</w:t>
      </w:r>
      <w:r>
        <w:t>. A retrospective cohort study using claims from US managed care database from 1 January 2004 to 31 December 2008, involving a total of 1,120,255 patients with T2DM with no cancer diagnoses in previous year compared to 2,240,510 patients with no prior claim for diabetes or cancer in previous year:</w:t>
      </w:r>
    </w:p>
    <w:p w:rsidR="00FC5754" w:rsidRPr="00BC49AA" w:rsidRDefault="00FC5754" w:rsidP="003330FA">
      <w:pPr>
        <w:pStyle w:val="ListBullet2"/>
        <w:rPr>
          <w:i/>
        </w:rPr>
      </w:pPr>
      <w:r>
        <w:t>Concluded that there is an increased risk of de novo pancreatic cancer in patients with T2DM compared to non</w:t>
      </w:r>
      <w:r w:rsidR="009D0303">
        <w:t xml:space="preserve"> </w:t>
      </w:r>
      <w:r>
        <w:t>diabetics, with a hazard ratio of 1.66 (incidence of 0.64/1000 person</w:t>
      </w:r>
      <w:r w:rsidR="009D0303">
        <w:t xml:space="preserve"> </w:t>
      </w:r>
      <w:r>
        <w:t>years in T2DM versus 0.39/1000 person</w:t>
      </w:r>
      <w:r w:rsidR="009D0303">
        <w:t xml:space="preserve"> </w:t>
      </w:r>
      <w:r>
        <w:t>years in non</w:t>
      </w:r>
      <w:r w:rsidR="009D0303">
        <w:t xml:space="preserve"> </w:t>
      </w:r>
      <w:r>
        <w:t>diabetics), and no evidence of association of T2DM and thyroid cancer.</w:t>
      </w:r>
    </w:p>
    <w:p w:rsidR="00FC5754" w:rsidRPr="00BC49AA" w:rsidRDefault="00FC5754" w:rsidP="003330FA">
      <w:pPr>
        <w:pStyle w:val="ListBullet2"/>
        <w:rPr>
          <w:i/>
        </w:rPr>
      </w:pPr>
      <w:r>
        <w:t>Final study report submitted in Q2 2010 with PSUR 10.</w:t>
      </w:r>
    </w:p>
    <w:p w:rsidR="00FC5754" w:rsidRPr="00BC49AA" w:rsidRDefault="00FC5754" w:rsidP="003330FA">
      <w:pPr>
        <w:pStyle w:val="Heading6"/>
      </w:pPr>
      <w:r>
        <w:t xml:space="preserve">Specific to the </w:t>
      </w:r>
      <w:proofErr w:type="spellStart"/>
      <w:r>
        <w:t>exenatide</w:t>
      </w:r>
      <w:proofErr w:type="spellEnd"/>
      <w:r>
        <w:t xml:space="preserve"> once weekly</w:t>
      </w:r>
      <w:r w:rsidRPr="00BC49AA">
        <w:t xml:space="preserve"> formulation (BYDUREON):</w:t>
      </w:r>
    </w:p>
    <w:p w:rsidR="00FC5754" w:rsidRDefault="00FC5754" w:rsidP="003330FA">
      <w:pPr>
        <w:pStyle w:val="ListBullet"/>
      </w:pPr>
      <w:r>
        <w:t>New once</w:t>
      </w:r>
      <w:r w:rsidR="009D0303">
        <w:t xml:space="preserve"> </w:t>
      </w:r>
      <w:r>
        <w:t xml:space="preserve">weekly clinical trial (BCB108) to include </w:t>
      </w:r>
      <w:proofErr w:type="spellStart"/>
      <w:r>
        <w:t>calcitonin</w:t>
      </w:r>
      <w:proofErr w:type="spellEnd"/>
      <w:r>
        <w:t xml:space="preserve"> level screening and monitoring:</w:t>
      </w:r>
    </w:p>
    <w:p w:rsidR="00FC5754" w:rsidRDefault="00FC5754" w:rsidP="003330FA">
      <w:pPr>
        <w:pStyle w:val="ListBullet2"/>
      </w:pPr>
      <w:proofErr w:type="spellStart"/>
      <w:r>
        <w:t>Calcitonin</w:t>
      </w:r>
      <w:proofErr w:type="spellEnd"/>
      <w:r>
        <w:t xml:space="preserve"> is used as a surrogate marker of thyroid c-cell hyperplasia and </w:t>
      </w:r>
      <w:proofErr w:type="spellStart"/>
      <w:r>
        <w:t>medullary</w:t>
      </w:r>
      <w:proofErr w:type="spellEnd"/>
      <w:r>
        <w:t xml:space="preserve"> carcinoma (</w:t>
      </w:r>
      <w:r w:rsidR="009D0303">
        <w:t>s</w:t>
      </w:r>
      <w:r>
        <w:t>ponsor’s response</w:t>
      </w:r>
      <w:r w:rsidR="009D0303">
        <w:t>, dated 20 April 2011)</w:t>
      </w:r>
      <w:r w:rsidRPr="00FE4688">
        <w:t>.</w:t>
      </w:r>
    </w:p>
    <w:p w:rsidR="00FC5754" w:rsidRDefault="00FC5754" w:rsidP="003330FA">
      <w:pPr>
        <w:pStyle w:val="ListBullet"/>
      </w:pPr>
      <w:r w:rsidRPr="00593B60">
        <w:t>(</w:t>
      </w:r>
      <w:r w:rsidRPr="009D0303">
        <w:t>Newly added to this RMP</w:t>
      </w:r>
      <w:r w:rsidRPr="00593B60">
        <w:t xml:space="preserve">) </w:t>
      </w:r>
      <w:proofErr w:type="spellStart"/>
      <w:r w:rsidRPr="00593B60">
        <w:t>Pharmacoepidemiological</w:t>
      </w:r>
      <w:proofErr w:type="spellEnd"/>
      <w:r w:rsidRPr="00593B60">
        <w:t xml:space="preserve"> study </w:t>
      </w:r>
      <w:r>
        <w:t xml:space="preserve">using one or more European (may include UK) databases to identify possible cases of thyroid </w:t>
      </w:r>
      <w:proofErr w:type="spellStart"/>
      <w:r>
        <w:t>neoplasms</w:t>
      </w:r>
      <w:proofErr w:type="spellEnd"/>
      <w:r>
        <w:t xml:space="preserve"> (benign and malignant) and pancreatic cancer in T2DM patients with who initiate </w:t>
      </w:r>
      <w:proofErr w:type="spellStart"/>
      <w:r w:rsidR="009D0303">
        <w:t>Bydureon</w:t>
      </w:r>
      <w:proofErr w:type="spellEnd"/>
      <w:r>
        <w:t>:</w:t>
      </w:r>
    </w:p>
    <w:p w:rsidR="00FC5754" w:rsidRDefault="00FC5754" w:rsidP="003330FA">
      <w:pPr>
        <w:pStyle w:val="ListBullet2"/>
      </w:pPr>
      <w:r>
        <w:t xml:space="preserve">Protocol title: Incidence of Thyroid Neoplasm and Pancreas Cancer in Patients with Type 2 Diabetes Mellitus Who Initiate </w:t>
      </w:r>
      <w:proofErr w:type="spellStart"/>
      <w:r>
        <w:t>Bydureon</w:t>
      </w:r>
      <w:proofErr w:type="spellEnd"/>
      <w:r>
        <w:t xml:space="preserve"> Compared to other </w:t>
      </w:r>
      <w:proofErr w:type="spellStart"/>
      <w:r>
        <w:t>Antidiabetic</w:t>
      </w:r>
      <w:proofErr w:type="spellEnd"/>
      <w:r>
        <w:t xml:space="preserve"> Drugs in Europe.</w:t>
      </w:r>
    </w:p>
    <w:p w:rsidR="00FC5754" w:rsidRDefault="00FC5754" w:rsidP="003330FA">
      <w:pPr>
        <w:pStyle w:val="ListBullet2"/>
      </w:pPr>
      <w:r>
        <w:t>Primary study objectives: to estimate absolute and relative incidences of new onset thyroid cancer and pancreatic cancer in T2DM patients (</w:t>
      </w:r>
      <w:r w:rsidR="003330FA">
        <w:sym w:font="Symbol" w:char="F0B3"/>
      </w:r>
      <w:r>
        <w:t xml:space="preserve"> 18 y</w:t>
      </w:r>
      <w:r w:rsidR="009D0303">
        <w:t xml:space="preserve">ears old) who initiated </w:t>
      </w:r>
      <w:proofErr w:type="spellStart"/>
      <w:r w:rsidR="009D0303">
        <w:t>Bydureon</w:t>
      </w:r>
      <w:proofErr w:type="spellEnd"/>
      <w:r w:rsidR="009D0303">
        <w:t xml:space="preserve"> compared to other anti </w:t>
      </w:r>
      <w:r>
        <w:t>diabetic drugs.</w:t>
      </w:r>
    </w:p>
    <w:p w:rsidR="00FC5754" w:rsidRDefault="00FC5754" w:rsidP="003330FA">
      <w:pPr>
        <w:pStyle w:val="ListBullet2"/>
      </w:pPr>
      <w:r>
        <w:t xml:space="preserve">Secondary study objective: </w:t>
      </w:r>
    </w:p>
    <w:p w:rsidR="009D0303" w:rsidRDefault="009D0303" w:rsidP="003330FA">
      <w:pPr>
        <w:pStyle w:val="ListBullet3"/>
      </w:pPr>
      <w:proofErr w:type="gramStart"/>
      <w:r>
        <w:t>to</w:t>
      </w:r>
      <w:proofErr w:type="gramEnd"/>
      <w:r>
        <w:t xml:space="preserve"> characterise the incidence of malignant thyroid cancer subtypes in T2DM patients who initiated </w:t>
      </w:r>
      <w:proofErr w:type="spellStart"/>
      <w:r>
        <w:t>Bydureon</w:t>
      </w:r>
      <w:proofErr w:type="spellEnd"/>
      <w:r>
        <w:t xml:space="preserve"> compared to other anti-diabetic drugs.</w:t>
      </w:r>
    </w:p>
    <w:p w:rsidR="009D0303" w:rsidRDefault="009D0303" w:rsidP="003330FA">
      <w:pPr>
        <w:pStyle w:val="ListBullet3"/>
      </w:pPr>
      <w:proofErr w:type="gramStart"/>
      <w:r>
        <w:t>to</w:t>
      </w:r>
      <w:proofErr w:type="gramEnd"/>
      <w:r>
        <w:t xml:space="preserve"> estimate the comparative incidences of thyroid and pancreatic cancers over exposure time.</w:t>
      </w:r>
    </w:p>
    <w:p w:rsidR="009D0303" w:rsidRDefault="009D0303" w:rsidP="003330FA">
      <w:pPr>
        <w:pStyle w:val="ListBullet3"/>
      </w:pPr>
      <w:r>
        <w:t xml:space="preserve">to estimate incidence of benign thyroid </w:t>
      </w:r>
      <w:proofErr w:type="spellStart"/>
      <w:r>
        <w:t>neoplasms</w:t>
      </w:r>
      <w:proofErr w:type="spellEnd"/>
      <w:r>
        <w:t xml:space="preserve"> in T2DM patients who initiated </w:t>
      </w:r>
      <w:proofErr w:type="spellStart"/>
      <w:r>
        <w:t>Bydureon</w:t>
      </w:r>
      <w:proofErr w:type="spellEnd"/>
      <w:r>
        <w:t xml:space="preserve"> compared to other anti diabetic drugs</w:t>
      </w:r>
    </w:p>
    <w:p w:rsidR="009D0303" w:rsidRDefault="009D0303" w:rsidP="003330FA">
      <w:pPr>
        <w:pStyle w:val="ListBullet3"/>
      </w:pPr>
      <w:proofErr w:type="gramStart"/>
      <w:r>
        <w:t>to</w:t>
      </w:r>
      <w:proofErr w:type="gramEnd"/>
      <w:r>
        <w:t xml:space="preserve"> determine incidence of events of interest prior to </w:t>
      </w:r>
      <w:proofErr w:type="spellStart"/>
      <w:r>
        <w:t>exenatide</w:t>
      </w:r>
      <w:proofErr w:type="spellEnd"/>
      <w:r>
        <w:t xml:space="preserve"> or comparator drug exposure.</w:t>
      </w:r>
    </w:p>
    <w:p w:rsidR="00FC5754" w:rsidRDefault="00FC5754" w:rsidP="003330FA">
      <w:pPr>
        <w:pStyle w:val="ListBullet2"/>
      </w:pPr>
      <w:r>
        <w:t>Patients are to be followed up to date of first incident, death, loss to follow-up or end of study, after a minimum of 1 year enrolment. Incidents of thyroid or pancreatic cancers will be included for analysis after one</w:t>
      </w:r>
      <w:r w:rsidR="007E40D5">
        <w:t xml:space="preserve"> </w:t>
      </w:r>
      <w:r>
        <w:t>year of drug initiation.</w:t>
      </w:r>
    </w:p>
    <w:p w:rsidR="00FC5754" w:rsidRDefault="00FC5754" w:rsidP="003330FA">
      <w:pPr>
        <w:pStyle w:val="ListBullet2"/>
      </w:pPr>
      <w:r>
        <w:t>Stated that the reported incidence for pancreatic cancer is estimated at 11 per 100,000 patients and for thyroid cancer is 10.2 per 100,000 patients in the US (while incidence per 100,000 populations for thyroid cancer in Europe ranges from 0.9-2.9 for males and 2.3-7.1 for females).</w:t>
      </w:r>
    </w:p>
    <w:p w:rsidR="00D36F9C" w:rsidRDefault="00FC5754" w:rsidP="003330FA">
      <w:pPr>
        <w:pStyle w:val="ListBullet2"/>
      </w:pPr>
      <w:r>
        <w:t>Estimate</w:t>
      </w:r>
      <w:r w:rsidR="007E40D5">
        <w:t xml:space="preserve">d sample size of 55,000 </w:t>
      </w:r>
      <w:proofErr w:type="spellStart"/>
      <w:r w:rsidR="007E40D5">
        <w:t>Bydureon</w:t>
      </w:r>
      <w:proofErr w:type="spellEnd"/>
      <w:r w:rsidR="007E40D5">
        <w:t xml:space="preserve"> </w:t>
      </w:r>
      <w:r>
        <w:t>treated subjects for a 3 fold detection rate of thyroid cancer (assuming background incidence of 5/100,000 patients) over that of expected rate in comparison cohort, based on 80% power, two</w:t>
      </w:r>
      <w:r w:rsidR="007E40D5">
        <w:t xml:space="preserve"> </w:t>
      </w:r>
      <w:r>
        <w:t>sided alpha of 0.05 and 1:4 BYDUREON to comparator ratio.</w:t>
      </w:r>
    </w:p>
    <w:p w:rsidR="00C54BCA" w:rsidRDefault="003330FA" w:rsidP="00C54BCA">
      <w:pPr>
        <w:pStyle w:val="Heading5"/>
      </w:pPr>
      <w:r>
        <w:lastRenderedPageBreak/>
        <w:t>Important m</w:t>
      </w:r>
      <w:r w:rsidR="00C54BCA">
        <w:t xml:space="preserve">issing </w:t>
      </w:r>
      <w:r>
        <w:t>i</w:t>
      </w:r>
      <w:r w:rsidR="00C54BCA">
        <w:t>nformation</w:t>
      </w:r>
    </w:p>
    <w:p w:rsidR="00C54BCA" w:rsidRPr="003330FA" w:rsidRDefault="00A25B98" w:rsidP="003330FA">
      <w:pPr>
        <w:pStyle w:val="Numberbullet0"/>
        <w:numPr>
          <w:ilvl w:val="0"/>
          <w:numId w:val="35"/>
        </w:numPr>
        <w:rPr>
          <w:i/>
          <w:lang w:eastAsia="en-AU"/>
        </w:rPr>
      </w:pPr>
      <w:r w:rsidRPr="003330FA">
        <w:rPr>
          <w:i/>
        </w:rPr>
        <w:t>Adolescents</w:t>
      </w:r>
    </w:p>
    <w:p w:rsidR="00794A5A" w:rsidRPr="009404CC" w:rsidRDefault="00794A5A" w:rsidP="003330FA">
      <w:r w:rsidRPr="009404CC">
        <w:t>Additional PV activities:</w:t>
      </w:r>
    </w:p>
    <w:p w:rsidR="00794A5A" w:rsidRDefault="00794A5A" w:rsidP="003330FA">
      <w:pPr>
        <w:pStyle w:val="ListBullet"/>
      </w:pPr>
      <w:r>
        <w:t xml:space="preserve">Study H8O-MC-GWBQ to assess safety and efficacy on </w:t>
      </w:r>
      <w:proofErr w:type="spellStart"/>
      <w:r>
        <w:t>exenatide</w:t>
      </w:r>
      <w:proofErr w:type="spellEnd"/>
      <w:r>
        <w:t xml:space="preserve"> twice daily in adolescents with T2DM:</w:t>
      </w:r>
    </w:p>
    <w:p w:rsidR="00794A5A" w:rsidRDefault="00794A5A" w:rsidP="003330FA">
      <w:pPr>
        <w:pStyle w:val="ListBullet2"/>
      </w:pPr>
      <w:r>
        <w:t>This is a 28</w:t>
      </w:r>
      <w:r w:rsidR="00607F8D">
        <w:t xml:space="preserve"> </w:t>
      </w:r>
      <w:r>
        <w:t>week, placebo</w:t>
      </w:r>
      <w:r w:rsidR="00607F8D">
        <w:t xml:space="preserve"> </w:t>
      </w:r>
      <w:r>
        <w:t>controlled, randomised, 3</w:t>
      </w:r>
      <w:r w:rsidR="00607F8D">
        <w:t xml:space="preserve"> </w:t>
      </w:r>
      <w:r>
        <w:t>arm clinical trial.</w:t>
      </w:r>
    </w:p>
    <w:p w:rsidR="00794A5A" w:rsidRDefault="00794A5A" w:rsidP="003330FA">
      <w:pPr>
        <w:pStyle w:val="ListBullet2"/>
      </w:pPr>
      <w:r>
        <w:t>Study was initiated in June 2008 wit</w:t>
      </w:r>
      <w:r w:rsidR="00607F8D">
        <w:t xml:space="preserve">h a target of 195 participants; </w:t>
      </w:r>
      <w:r>
        <w:t>however</w:t>
      </w:r>
      <w:r w:rsidR="00607F8D">
        <w:t>,</w:t>
      </w:r>
      <w:r>
        <w:t xml:space="preserve"> as of 2 July 2010, only 79 participants have been screened and 42 participants were randomised.  </w:t>
      </w:r>
    </w:p>
    <w:p w:rsidR="00794A5A" w:rsidRDefault="00794A5A" w:rsidP="003330FA">
      <w:pPr>
        <w:pStyle w:val="ListBullet2"/>
      </w:pPr>
      <w:r>
        <w:t>An update on study enrolment rate provided with the response to s31 request for in</w:t>
      </w:r>
      <w:r w:rsidR="00607F8D">
        <w:t xml:space="preserve">formation (dated 3 April 2012); </w:t>
      </w:r>
      <w:r>
        <w:t>as of 20 March 2012, 75 participants were randomised with 41 having completed the study.</w:t>
      </w:r>
    </w:p>
    <w:p w:rsidR="00794A5A" w:rsidRDefault="00794A5A" w:rsidP="003330FA">
      <w:pPr>
        <w:pStyle w:val="ListBullet2"/>
      </w:pPr>
      <w:r>
        <w:t>Participant age group is 10-17 years old inclusive, with the number of participants at 17 years old limited to no more than 10% of each treatment arm (response to s31 request for information dated 3 April 2012).</w:t>
      </w:r>
    </w:p>
    <w:p w:rsidR="00794A5A" w:rsidRDefault="00794A5A" w:rsidP="003330FA">
      <w:pPr>
        <w:pStyle w:val="ListBullet2"/>
      </w:pPr>
      <w:r>
        <w:t>Treatment randomisation at ratio 2:2:1:1 (5</w:t>
      </w:r>
      <w:r w:rsidR="00607F8D">
        <w:t xml:space="preserve"> </w:t>
      </w:r>
      <w:r w:rsidR="003330FA">
        <w:sym w:font="Symbol" w:char="F06D"/>
      </w:r>
      <w:r>
        <w:t xml:space="preserve">g </w:t>
      </w:r>
      <w:proofErr w:type="spellStart"/>
      <w:r>
        <w:t>exenatide</w:t>
      </w:r>
      <w:proofErr w:type="spellEnd"/>
      <w:r>
        <w:t>: 10</w:t>
      </w:r>
      <w:r w:rsidR="00607F8D">
        <w:t xml:space="preserve"> </w:t>
      </w:r>
      <w:r w:rsidR="003330FA">
        <w:sym w:font="Symbol" w:char="F06D"/>
      </w:r>
      <w:r>
        <w:t xml:space="preserve">g </w:t>
      </w:r>
      <w:proofErr w:type="spellStart"/>
      <w:r>
        <w:t>exenatide</w:t>
      </w:r>
      <w:proofErr w:type="spellEnd"/>
      <w:r>
        <w:t>: placebo at volume of 5</w:t>
      </w:r>
      <w:r w:rsidR="00607F8D">
        <w:t xml:space="preserve"> </w:t>
      </w:r>
      <w:r w:rsidR="003330FA">
        <w:sym w:font="Symbol" w:char="F06D"/>
      </w:r>
      <w:r>
        <w:t xml:space="preserve">g </w:t>
      </w:r>
      <w:proofErr w:type="spellStart"/>
      <w:r>
        <w:t>exenatide</w:t>
      </w:r>
      <w:proofErr w:type="spellEnd"/>
      <w:r>
        <w:t>: placebo at volume of 10</w:t>
      </w:r>
      <w:r w:rsidR="00607F8D">
        <w:t xml:space="preserve"> </w:t>
      </w:r>
      <w:r w:rsidR="003330FA">
        <w:sym w:font="Symbol" w:char="F06D"/>
      </w:r>
      <w:r>
        <w:t xml:space="preserve">g </w:t>
      </w:r>
      <w:proofErr w:type="spellStart"/>
      <w:r>
        <w:t>exenatide</w:t>
      </w:r>
      <w:proofErr w:type="spellEnd"/>
      <w:r>
        <w:t>).</w:t>
      </w:r>
    </w:p>
    <w:p w:rsidR="00794A5A" w:rsidRDefault="00794A5A" w:rsidP="003330FA">
      <w:pPr>
        <w:pStyle w:val="ListBullet2"/>
      </w:pPr>
      <w:r>
        <w:t>Last patient visit is expected in October 2012.</w:t>
      </w:r>
    </w:p>
    <w:p w:rsidR="00794A5A" w:rsidRDefault="00794A5A" w:rsidP="003330FA">
      <w:pPr>
        <w:pStyle w:val="ListBullet2"/>
      </w:pPr>
      <w:r>
        <w:t>Study protocol previously provided (</w:t>
      </w:r>
      <w:r w:rsidR="00607F8D">
        <w:t>s</w:t>
      </w:r>
      <w:r>
        <w:t>ponsor’s response, dat</w:t>
      </w:r>
      <w:r w:rsidR="00607F8D">
        <w:t>ed 20 April 2011)</w:t>
      </w:r>
      <w:r>
        <w:t>.</w:t>
      </w:r>
    </w:p>
    <w:p w:rsidR="00794A5A" w:rsidRPr="002B751F" w:rsidRDefault="00794A5A" w:rsidP="003330FA">
      <w:pPr>
        <w:pStyle w:val="Heading6"/>
      </w:pPr>
      <w:r w:rsidRPr="00BC49AA">
        <w:t xml:space="preserve">Specific to the </w:t>
      </w:r>
      <w:proofErr w:type="spellStart"/>
      <w:r>
        <w:t>exenatide</w:t>
      </w:r>
      <w:proofErr w:type="spellEnd"/>
      <w:r>
        <w:t xml:space="preserve"> once weekly</w:t>
      </w:r>
      <w:r w:rsidR="00607F8D">
        <w:t xml:space="preserve"> formulation </w:t>
      </w:r>
      <w:r w:rsidR="00144FB8">
        <w:t>(</w:t>
      </w:r>
      <w:proofErr w:type="spellStart"/>
      <w:r w:rsidR="00607F8D">
        <w:t>Bydureon</w:t>
      </w:r>
      <w:proofErr w:type="spellEnd"/>
      <w:r w:rsidRPr="00BC49AA">
        <w:t>):</w:t>
      </w:r>
    </w:p>
    <w:p w:rsidR="00794A5A" w:rsidRDefault="00794A5A" w:rsidP="003330FA">
      <w:pPr>
        <w:pStyle w:val="ListBullet"/>
      </w:pPr>
      <w:r w:rsidRPr="008E7123">
        <w:t>Double</w:t>
      </w:r>
      <w:r w:rsidR="00E13F45">
        <w:t xml:space="preserve"> </w:t>
      </w:r>
      <w:r w:rsidRPr="008E7123">
        <w:t>blind, placebo</w:t>
      </w:r>
      <w:r w:rsidR="00E13F45">
        <w:t xml:space="preserve"> </w:t>
      </w:r>
      <w:r>
        <w:t xml:space="preserve">controlled study to assess safety and efficacy of BYDUREON as </w:t>
      </w:r>
      <w:proofErr w:type="spellStart"/>
      <w:r>
        <w:t>monotherapy</w:t>
      </w:r>
      <w:proofErr w:type="spellEnd"/>
      <w:r>
        <w:t xml:space="preserve"> and adjunct therapy to other anti</w:t>
      </w:r>
      <w:r w:rsidR="00E13F45">
        <w:t xml:space="preserve"> </w:t>
      </w:r>
      <w:r>
        <w:t>diabetic drugs in children and adolescents with T2DM:</w:t>
      </w:r>
    </w:p>
    <w:p w:rsidR="00794A5A" w:rsidRDefault="00794A5A" w:rsidP="003330FA">
      <w:pPr>
        <w:pStyle w:val="ListBullet2"/>
      </w:pPr>
      <w:r w:rsidRPr="008E7123">
        <w:t>Study BCB114 protocol previously provided</w:t>
      </w:r>
      <w:r w:rsidR="00E13F45">
        <w:t xml:space="preserve"> (protocol restricted to 10-</w:t>
      </w:r>
      <w:r>
        <w:t xml:space="preserve">17 years old; </w:t>
      </w:r>
      <w:r w:rsidR="00E13F45">
        <w:t>s</w:t>
      </w:r>
      <w:r>
        <w:t>ponsor’s response, dat</w:t>
      </w:r>
      <w:r w:rsidR="00E13F45">
        <w:t>ed 20 April 2011, Attachment 8)</w:t>
      </w:r>
      <w:r w:rsidRPr="00FE4688">
        <w:t>:</w:t>
      </w:r>
    </w:p>
    <w:p w:rsidR="00E13F45" w:rsidRDefault="00E13F45" w:rsidP="003330FA">
      <w:pPr>
        <w:pStyle w:val="ListBullet2"/>
      </w:pPr>
      <w:r>
        <w:t xml:space="preserve">Phase 3, 14 week, randomised, placebo controlled study, followed by 52 week extension open label period with all participants receiving </w:t>
      </w:r>
      <w:proofErr w:type="spellStart"/>
      <w:r>
        <w:t>B</w:t>
      </w:r>
      <w:r w:rsidR="00322788">
        <w:t>ydureon</w:t>
      </w:r>
      <w:proofErr w:type="spellEnd"/>
      <w:r>
        <w:t>;</w:t>
      </w:r>
    </w:p>
    <w:p w:rsidR="00E13F45" w:rsidRDefault="00E13F45" w:rsidP="003330FA">
      <w:pPr>
        <w:pStyle w:val="ListBullet2"/>
      </w:pPr>
      <w:r>
        <w:t>Primary objectives: efficacy (</w:t>
      </w:r>
      <w:proofErr w:type="spellStart"/>
      <w:r>
        <w:t>glycemic</w:t>
      </w:r>
      <w:proofErr w:type="spellEnd"/>
      <w:r>
        <w:t xml:space="preserve"> control as measured by HbA1c) and safety;</w:t>
      </w:r>
    </w:p>
    <w:p w:rsidR="00E13F45" w:rsidRDefault="00E13F45" w:rsidP="003330FA">
      <w:pPr>
        <w:pStyle w:val="ListBullet2"/>
      </w:pPr>
      <w:r>
        <w:t>Secondary objectives: to include measurements of fasting plasma glucose concentration, body weight and Tanner pubertal stage, blood pressure and lipids, beta cell function (HOMA-B) and insulin sensitivity (HOMA-S);</w:t>
      </w:r>
    </w:p>
    <w:p w:rsidR="00E13F45" w:rsidRDefault="00E13F45" w:rsidP="003330FA">
      <w:pPr>
        <w:pStyle w:val="ListBullet2"/>
      </w:pPr>
      <w:r>
        <w:t>Age of participants confirmed to be from 10 to &lt;18 years old (response to s31 request for information dated 3 April 2012);</w:t>
      </w:r>
    </w:p>
    <w:p w:rsidR="00E13F45" w:rsidRDefault="00E13F45" w:rsidP="003330FA">
      <w:pPr>
        <w:pStyle w:val="ListBullet2"/>
      </w:pPr>
      <w:r>
        <w:t xml:space="preserve">Approximately 100 subjects assigned at a ratio of 2 </w:t>
      </w:r>
      <w:proofErr w:type="spellStart"/>
      <w:r>
        <w:t>Bydureon</w:t>
      </w:r>
      <w:proofErr w:type="spellEnd"/>
      <w:r>
        <w:t>: 1 placebo;</w:t>
      </w:r>
    </w:p>
    <w:p w:rsidR="00E13F45" w:rsidRDefault="00E13F45" w:rsidP="003330FA">
      <w:pPr>
        <w:pStyle w:val="ListBullet2"/>
      </w:pPr>
      <w:r>
        <w:t xml:space="preserve">Approximately 20 participants will be followed further for another 10-12 weeks after discontinuation of </w:t>
      </w:r>
      <w:proofErr w:type="spellStart"/>
      <w:r>
        <w:t>exenatide</w:t>
      </w:r>
      <w:proofErr w:type="spellEnd"/>
      <w:r>
        <w:t xml:space="preserve"> treatment to assess postprandial beta cell function (assessed by C-peptide secretion), postprandial glucose and glucagon response during a mixed meal test.</w:t>
      </w:r>
    </w:p>
    <w:p w:rsidR="003330FA" w:rsidRDefault="00794A5A" w:rsidP="003330FA">
      <w:r>
        <w:t>Study start date anticipated in mid</w:t>
      </w:r>
      <w:r w:rsidR="00E13F45">
        <w:t xml:space="preserve"> </w:t>
      </w:r>
      <w:r>
        <w:t>2011 and will be conducted in multiple countries including US and Europe.</w:t>
      </w:r>
    </w:p>
    <w:p w:rsidR="00794A5A" w:rsidRPr="003330FA" w:rsidRDefault="003330FA" w:rsidP="003330FA">
      <w:pPr>
        <w:pStyle w:val="Numberbullet0"/>
        <w:rPr>
          <w:i/>
          <w:lang w:eastAsia="en-AU"/>
        </w:rPr>
      </w:pPr>
      <w:r>
        <w:br w:type="page"/>
      </w:r>
      <w:r w:rsidR="00794A5A" w:rsidRPr="003330FA">
        <w:rPr>
          <w:i/>
        </w:rPr>
        <w:lastRenderedPageBreak/>
        <w:t>Pregnant women</w:t>
      </w:r>
    </w:p>
    <w:p w:rsidR="00794A5A" w:rsidRPr="009404CC" w:rsidRDefault="00794A5A" w:rsidP="003330FA">
      <w:r w:rsidRPr="009404CC">
        <w:t>Additional PV activities:</w:t>
      </w:r>
    </w:p>
    <w:p w:rsidR="00794A5A" w:rsidRDefault="00794A5A" w:rsidP="003330FA">
      <w:pPr>
        <w:pStyle w:val="ListBullet"/>
      </w:pPr>
      <w:r>
        <w:t xml:space="preserve">Pregnancy registry (BCA401) to determine if </w:t>
      </w:r>
      <w:proofErr w:type="spellStart"/>
      <w:r>
        <w:t>exenatide</w:t>
      </w:r>
      <w:proofErr w:type="spellEnd"/>
      <w:r>
        <w:t xml:space="preserve"> poses a risk to pregnant women or developing foetuses:</w:t>
      </w:r>
    </w:p>
    <w:p w:rsidR="00794A5A" w:rsidRDefault="00794A5A" w:rsidP="003330FA">
      <w:pPr>
        <w:pStyle w:val="ListBullet2"/>
      </w:pPr>
      <w:r>
        <w:t xml:space="preserve">Registry was initiated in December 2007, with only 3 patients enrolled to date. Target recruitment is 200 </w:t>
      </w:r>
      <w:proofErr w:type="spellStart"/>
      <w:r>
        <w:t>exenatide</w:t>
      </w:r>
      <w:proofErr w:type="spellEnd"/>
      <w:r w:rsidR="00E13F45">
        <w:t xml:space="preserve"> </w:t>
      </w:r>
      <w:r>
        <w:t>treated and 200 non</w:t>
      </w:r>
      <w:r w:rsidR="00E13F45">
        <w:t xml:space="preserve"> </w:t>
      </w:r>
      <w:proofErr w:type="spellStart"/>
      <w:r>
        <w:t>e</w:t>
      </w:r>
      <w:r w:rsidR="003330FA">
        <w:t>xenatide</w:t>
      </w:r>
      <w:proofErr w:type="spellEnd"/>
      <w:r w:rsidR="003330FA">
        <w:t xml:space="preserve"> treated T2DM patients.</w:t>
      </w:r>
    </w:p>
    <w:p w:rsidR="00794A5A" w:rsidRDefault="00794A5A" w:rsidP="003330FA">
      <w:pPr>
        <w:pStyle w:val="ListBullet2"/>
      </w:pPr>
      <w:r>
        <w:t>Clinical study report is expected in Q3 2012.</w:t>
      </w:r>
    </w:p>
    <w:p w:rsidR="00794A5A" w:rsidRDefault="00794A5A" w:rsidP="003330FA">
      <w:pPr>
        <w:pStyle w:val="ListBullet2"/>
      </w:pPr>
      <w:r w:rsidRPr="008E7123">
        <w:t xml:space="preserve">Study protocol </w:t>
      </w:r>
      <w:r>
        <w:t xml:space="preserve">submitted </w:t>
      </w:r>
      <w:r w:rsidRPr="008E7123">
        <w:t xml:space="preserve">previously </w:t>
      </w:r>
      <w:r>
        <w:t>(</w:t>
      </w:r>
      <w:r w:rsidR="00E13F45">
        <w:t>s</w:t>
      </w:r>
      <w:r>
        <w:t>ponsor’s response, dat</w:t>
      </w:r>
      <w:r w:rsidR="00E13F45">
        <w:t>ed 20 April 2011)</w:t>
      </w:r>
      <w:r w:rsidRPr="00FE4688">
        <w:t>:</w:t>
      </w:r>
    </w:p>
    <w:p w:rsidR="00E13F45" w:rsidRDefault="00E13F45" w:rsidP="003330FA">
      <w:pPr>
        <w:pStyle w:val="ListBullet3"/>
      </w:pPr>
      <w:r>
        <w:t>Sample size of 200 is expected to yield approximately 105 live births assuming a 15% loss of follow up and 65% live birth rate. Live births of 105 is expected to provide 80% power to detect a relative risk of 2.57, based on the expected 9% birth defect generally observed in T2DM population;</w:t>
      </w:r>
    </w:p>
    <w:p w:rsidR="00E13F45" w:rsidRDefault="00E13F45" w:rsidP="003330FA">
      <w:pPr>
        <w:pStyle w:val="ListBullet3"/>
      </w:pPr>
      <w:r>
        <w:t>Study to include infant assessments at 4 months and 12 months after birth;</w:t>
      </w:r>
    </w:p>
    <w:p w:rsidR="00E13F45" w:rsidRDefault="00E13F45" w:rsidP="003330FA">
      <w:pPr>
        <w:pStyle w:val="ListBullet3"/>
      </w:pPr>
      <w:r>
        <w:t>Study to be conducted in the US only, with enrolment period of 3-5 years.</w:t>
      </w:r>
    </w:p>
    <w:p w:rsidR="00794A5A" w:rsidRDefault="00794A5A" w:rsidP="003330FA">
      <w:pPr>
        <w:rPr>
          <w:lang w:eastAsia="en-AU"/>
        </w:rPr>
      </w:pPr>
      <w:r>
        <w:t>Study may be discontinued from low enrolment rate.</w:t>
      </w:r>
    </w:p>
    <w:p w:rsidR="00794A5A" w:rsidRPr="003330FA" w:rsidRDefault="00794A5A" w:rsidP="003330FA">
      <w:pPr>
        <w:pStyle w:val="Numberbullet0"/>
        <w:rPr>
          <w:i/>
          <w:lang w:eastAsia="en-AU"/>
        </w:rPr>
      </w:pPr>
      <w:r w:rsidRPr="003330FA">
        <w:rPr>
          <w:i/>
        </w:rPr>
        <w:t>Very elderly (</w:t>
      </w:r>
      <w:r w:rsidR="003330FA" w:rsidRPr="003330FA">
        <w:rPr>
          <w:i/>
        </w:rPr>
        <w:sym w:font="Symbol" w:char="F0B3"/>
      </w:r>
      <w:r w:rsidRPr="003330FA">
        <w:rPr>
          <w:i/>
        </w:rPr>
        <w:t xml:space="preserve"> 75 years of age)</w:t>
      </w:r>
    </w:p>
    <w:p w:rsidR="00794A5A" w:rsidRPr="009404CC" w:rsidRDefault="00794A5A" w:rsidP="003330FA">
      <w:r w:rsidRPr="009404CC">
        <w:t>Routine PV activities:</w:t>
      </w:r>
    </w:p>
    <w:p w:rsidR="00794A5A" w:rsidRDefault="00794A5A" w:rsidP="003330FA">
      <w:pPr>
        <w:pStyle w:val="ListBullet"/>
      </w:pPr>
      <w:r>
        <w:t>Routine monitoring and review of spontaneously reported adverse events in very elderly patients (to be updated in PSURs).</w:t>
      </w:r>
    </w:p>
    <w:p w:rsidR="00794A5A" w:rsidRPr="003330FA" w:rsidRDefault="00794A5A" w:rsidP="003330FA">
      <w:pPr>
        <w:pStyle w:val="Numberbullet0"/>
        <w:rPr>
          <w:i/>
          <w:lang w:eastAsia="en-AU"/>
        </w:rPr>
      </w:pPr>
      <w:r w:rsidRPr="003330FA">
        <w:rPr>
          <w:i/>
        </w:rPr>
        <w:t xml:space="preserve">Use in combination with other agents (TZDs and </w:t>
      </w:r>
      <w:proofErr w:type="spellStart"/>
      <w:r w:rsidRPr="003330FA">
        <w:rPr>
          <w:i/>
        </w:rPr>
        <w:t>insulins</w:t>
      </w:r>
      <w:proofErr w:type="spellEnd"/>
      <w:r w:rsidRPr="003330FA">
        <w:rPr>
          <w:i/>
        </w:rPr>
        <w:t>)</w:t>
      </w:r>
    </w:p>
    <w:p w:rsidR="00794A5A" w:rsidRPr="009404CC" w:rsidRDefault="00794A5A" w:rsidP="003330FA">
      <w:r w:rsidRPr="009404CC">
        <w:t>Routine PV activities:</w:t>
      </w:r>
    </w:p>
    <w:p w:rsidR="00794A5A" w:rsidRDefault="00794A5A" w:rsidP="003330FA">
      <w:pPr>
        <w:pStyle w:val="ListBullet"/>
      </w:pPr>
      <w:r>
        <w:t>Routine monitoring and review of spontaneously reported adverse events associated with anti</w:t>
      </w:r>
      <w:r w:rsidR="00E13F45">
        <w:t xml:space="preserve"> </w:t>
      </w:r>
      <w:r>
        <w:t>d</w:t>
      </w:r>
      <w:r w:rsidR="00E13F45">
        <w:t xml:space="preserve">iabetic drug combinations (that is, </w:t>
      </w:r>
      <w:r>
        <w:t xml:space="preserve">TZDs and </w:t>
      </w:r>
      <w:proofErr w:type="spellStart"/>
      <w:r>
        <w:t>insulins</w:t>
      </w:r>
      <w:proofErr w:type="spellEnd"/>
      <w:r>
        <w:t>) that are not yet globally approved (to be updated in PSURs).</w:t>
      </w:r>
    </w:p>
    <w:p w:rsidR="00794A5A" w:rsidRPr="003330FA" w:rsidRDefault="00794A5A" w:rsidP="003330FA">
      <w:pPr>
        <w:pStyle w:val="Numberbullet0"/>
        <w:rPr>
          <w:i/>
          <w:lang w:eastAsia="en-AU"/>
        </w:rPr>
      </w:pPr>
      <w:r w:rsidRPr="003330FA">
        <w:rPr>
          <w:i/>
        </w:rPr>
        <w:t>Severe gastrointestinal disease (</w:t>
      </w:r>
      <w:proofErr w:type="spellStart"/>
      <w:r w:rsidRPr="003330FA">
        <w:rPr>
          <w:i/>
        </w:rPr>
        <w:t>exenatide</w:t>
      </w:r>
      <w:proofErr w:type="spellEnd"/>
      <w:r w:rsidRPr="003330FA">
        <w:rPr>
          <w:i/>
        </w:rPr>
        <w:t xml:space="preserve"> once weekly)</w:t>
      </w:r>
    </w:p>
    <w:p w:rsidR="00794A5A" w:rsidRPr="009404CC" w:rsidRDefault="00794A5A" w:rsidP="003330FA">
      <w:r w:rsidRPr="009404CC">
        <w:t>Routine PV activities:</w:t>
      </w:r>
    </w:p>
    <w:p w:rsidR="00794A5A" w:rsidRDefault="00794A5A" w:rsidP="003330FA">
      <w:pPr>
        <w:pStyle w:val="ListBullet"/>
      </w:pPr>
      <w:proofErr w:type="gramStart"/>
      <w:r w:rsidRPr="0094625B">
        <w:t xml:space="preserve">None </w:t>
      </w:r>
      <w:r>
        <w:t xml:space="preserve">proposed </w:t>
      </w:r>
      <w:r w:rsidRPr="0094625B">
        <w:t xml:space="preserve">as </w:t>
      </w:r>
      <w:proofErr w:type="spellStart"/>
      <w:r w:rsidRPr="0094625B">
        <w:t>exenatide</w:t>
      </w:r>
      <w:proofErr w:type="spellEnd"/>
      <w:r w:rsidRPr="0094625B">
        <w:t xml:space="preserve"> is not recommended for use in patients with severe gastrointestinal disease</w:t>
      </w:r>
      <w:r>
        <w:t>.</w:t>
      </w:r>
      <w:proofErr w:type="gramEnd"/>
      <w:r>
        <w:t xml:space="preserve"> It is stated in the RMP that PSURs 1-9 did not reveal any new safety information.</w:t>
      </w:r>
    </w:p>
    <w:p w:rsidR="00794A5A" w:rsidRPr="003330FA" w:rsidRDefault="00BF78A2" w:rsidP="003330FA">
      <w:pPr>
        <w:pStyle w:val="Numberbullet0"/>
        <w:rPr>
          <w:i/>
          <w:lang w:eastAsia="en-AU"/>
        </w:rPr>
      </w:pPr>
      <w:r w:rsidRPr="003330FA">
        <w:rPr>
          <w:i/>
        </w:rPr>
        <w:t>Various degrees of impaired renal function (</w:t>
      </w:r>
      <w:proofErr w:type="spellStart"/>
      <w:r w:rsidRPr="003330FA">
        <w:rPr>
          <w:i/>
        </w:rPr>
        <w:t>exenatide</w:t>
      </w:r>
      <w:proofErr w:type="spellEnd"/>
      <w:r w:rsidRPr="003330FA">
        <w:rPr>
          <w:i/>
        </w:rPr>
        <w:t xml:space="preserve"> once weekly)</w:t>
      </w:r>
    </w:p>
    <w:p w:rsidR="00BF78A2" w:rsidRPr="009404CC" w:rsidRDefault="00BF78A2" w:rsidP="003330FA">
      <w:r w:rsidRPr="009404CC">
        <w:t>Routine PV activities:</w:t>
      </w:r>
    </w:p>
    <w:p w:rsidR="00BF78A2" w:rsidRDefault="00BF78A2" w:rsidP="003330FA">
      <w:pPr>
        <w:pStyle w:val="ListBullet"/>
      </w:pPr>
      <w:r>
        <w:t>Routine monitoring and review of spontaneously reported adverse events in patients with mild</w:t>
      </w:r>
      <w:r w:rsidR="00E13F45">
        <w:t xml:space="preserve"> </w:t>
      </w:r>
      <w:r>
        <w:t>to</w:t>
      </w:r>
      <w:r w:rsidR="00E13F45">
        <w:t xml:space="preserve"> </w:t>
      </w:r>
      <w:r>
        <w:t>moderate renal impairment or potential off</w:t>
      </w:r>
      <w:r w:rsidR="00E13F45">
        <w:t xml:space="preserve"> </w:t>
      </w:r>
      <w:r>
        <w:t>label use in patients with severe renal impairment (to be updated in PSURs).</w:t>
      </w:r>
    </w:p>
    <w:p w:rsidR="00794A5A" w:rsidRPr="003330FA" w:rsidRDefault="00BF78A2" w:rsidP="003330FA">
      <w:pPr>
        <w:pStyle w:val="Numberbullet0"/>
        <w:rPr>
          <w:i/>
          <w:lang w:eastAsia="en-AU"/>
        </w:rPr>
      </w:pPr>
      <w:r w:rsidRPr="003330FA">
        <w:rPr>
          <w:i/>
        </w:rPr>
        <w:t>Hepatic impairment (</w:t>
      </w:r>
      <w:proofErr w:type="spellStart"/>
      <w:r w:rsidRPr="003330FA">
        <w:rPr>
          <w:i/>
        </w:rPr>
        <w:t>exenatide</w:t>
      </w:r>
      <w:proofErr w:type="spellEnd"/>
      <w:r w:rsidRPr="003330FA">
        <w:rPr>
          <w:i/>
        </w:rPr>
        <w:t xml:space="preserve"> once weekly)</w:t>
      </w:r>
    </w:p>
    <w:p w:rsidR="00BF78A2" w:rsidRPr="009404CC" w:rsidRDefault="00BF78A2" w:rsidP="00BF78A2">
      <w:r w:rsidRPr="009404CC">
        <w:t>Routine PV activities:</w:t>
      </w:r>
    </w:p>
    <w:p w:rsidR="00BF78A2" w:rsidRDefault="00BF78A2" w:rsidP="003330FA">
      <w:pPr>
        <w:pStyle w:val="ListBullet"/>
      </w:pPr>
      <w:r>
        <w:t>Routine monitoring and review of spontaneously reported adverse events in patients with hepatic impairment (to be updated in PSURs).</w:t>
      </w:r>
    </w:p>
    <w:p w:rsidR="000E2F9C" w:rsidRPr="003330FA" w:rsidRDefault="000E2F9C" w:rsidP="003330FA">
      <w:pPr>
        <w:pStyle w:val="Heading5"/>
      </w:pPr>
      <w:bookmarkStart w:id="99" w:name="_Toc323194179"/>
      <w:r w:rsidRPr="003330FA">
        <w:lastRenderedPageBreak/>
        <w:t>OPR reviewer’s comments in regard</w:t>
      </w:r>
      <w:r w:rsidR="00E6550F" w:rsidRPr="003330FA">
        <w:t xml:space="preserve"> to the pharmacovigilance plan</w:t>
      </w:r>
      <w:r w:rsidRPr="003330FA">
        <w:t xml:space="preserve"> and the appropriateness of milestones</w:t>
      </w:r>
      <w:bookmarkEnd w:id="99"/>
    </w:p>
    <w:p w:rsidR="000E2F9C" w:rsidRDefault="000E2F9C" w:rsidP="003330FA">
      <w:r>
        <w:t>The assessment of the pharmacovigilance plan for this submission has been focused primarily on new proposed studies that hav</w:t>
      </w:r>
      <w:r w:rsidR="00D154A0">
        <w:t>e not been previously evaluated</w:t>
      </w:r>
      <w:r>
        <w:t>, and pertaining to indications sought i</w:t>
      </w:r>
      <w:r w:rsidR="00D154A0">
        <w:t xml:space="preserve">n this current submission (that is, </w:t>
      </w:r>
      <w:proofErr w:type="spellStart"/>
      <w:r w:rsidR="00D154A0">
        <w:t>Byetta</w:t>
      </w:r>
      <w:proofErr w:type="spellEnd"/>
      <w:r w:rsidR="00D154A0">
        <w:t xml:space="preserve"> </w:t>
      </w:r>
      <w:r>
        <w:t>only).</w:t>
      </w:r>
    </w:p>
    <w:p w:rsidR="000E2F9C" w:rsidRDefault="000E2F9C" w:rsidP="003330FA">
      <w:r w:rsidRPr="00FE4688">
        <w:t>One remaining outstanding issue was raised by the RMP evaluator in the review of the previous RMP for potential cardiovascular risk, specifically on QT prolongation</w:t>
      </w:r>
      <w:r>
        <w:t xml:space="preserve">. The Sponsor has previously stated that there was no evidence to suggest that </w:t>
      </w:r>
      <w:proofErr w:type="spellStart"/>
      <w:r>
        <w:t>exenatide</w:t>
      </w:r>
      <w:proofErr w:type="spellEnd"/>
      <w:r>
        <w:t xml:space="preserve"> is associated with cardiovascular events and QT prolongation, and that the proposed or completed studies to evaluate these events were done as part of the general recommendations made by FDA</w:t>
      </w:r>
      <w:r w:rsidR="00BE1EC2">
        <w:rPr>
          <w:rStyle w:val="FootnoteReference"/>
        </w:rPr>
        <w:footnoteReference w:id="6"/>
      </w:r>
      <w:r>
        <w:t xml:space="preserve"> for all new anti</w:t>
      </w:r>
      <w:r w:rsidR="00DB072B">
        <w:t xml:space="preserve"> </w:t>
      </w:r>
      <w:r>
        <w:t>diabetic drugs to treat T2DM (</w:t>
      </w:r>
      <w:r w:rsidR="00DB072B">
        <w:t>s</w:t>
      </w:r>
      <w:r>
        <w:t>ponsor’s response, dated 20 April 2011), and had noted the following:</w:t>
      </w:r>
    </w:p>
    <w:p w:rsidR="000E2F9C" w:rsidRPr="00AF418A" w:rsidRDefault="00DB072B" w:rsidP="003330FA">
      <w:pPr>
        <w:pStyle w:val="ListBullet"/>
      </w:pPr>
      <w:r>
        <w:t xml:space="preserve">A previously published </w:t>
      </w:r>
      <w:proofErr w:type="gramStart"/>
      <w:r>
        <w:t>meta</w:t>
      </w:r>
      <w:proofErr w:type="gramEnd"/>
      <w:r>
        <w:t xml:space="preserve"> </w:t>
      </w:r>
      <w:r w:rsidR="000E2F9C">
        <w:t>analysis on</w:t>
      </w:r>
      <w:r>
        <w:t xml:space="preserve"> the effects of </w:t>
      </w:r>
      <w:proofErr w:type="spellStart"/>
      <w:r>
        <w:t>exenatide</w:t>
      </w:r>
      <w:proofErr w:type="spellEnd"/>
      <w:r>
        <w:t xml:space="preserve"> twice </w:t>
      </w:r>
      <w:r w:rsidR="000E2F9C">
        <w:t>daily on cardiovascular events</w:t>
      </w:r>
      <w:r>
        <w:rPr>
          <w:rStyle w:val="FootnoteReference"/>
        </w:rPr>
        <w:footnoteReference w:id="7"/>
      </w:r>
      <w:r w:rsidR="000E2F9C">
        <w:t xml:space="preserve"> indicated that there is no increase risk for major adverse cardiovascular events, with a relative risk of 0.7 as calculated by Mantel-</w:t>
      </w:r>
      <w:proofErr w:type="spellStart"/>
      <w:r w:rsidR="000E2F9C">
        <w:t>Haenszel</w:t>
      </w:r>
      <w:proofErr w:type="spellEnd"/>
      <w:r w:rsidR="000E2F9C">
        <w:t xml:space="preserve"> m</w:t>
      </w:r>
      <w:r w:rsidR="002E2613">
        <w:t xml:space="preserve">ethod and stratified by study. </w:t>
      </w:r>
      <w:r w:rsidR="000E2F9C">
        <w:t>A summary of this study design:</w:t>
      </w:r>
    </w:p>
    <w:p w:rsidR="000E2F9C" w:rsidRDefault="000E2F9C" w:rsidP="003330FA">
      <w:pPr>
        <w:pStyle w:val="ListBullet2"/>
      </w:pPr>
      <w:r>
        <w:t xml:space="preserve">This was a pooled </w:t>
      </w:r>
      <w:proofErr w:type="gramStart"/>
      <w:r>
        <w:t>meta</w:t>
      </w:r>
      <w:proofErr w:type="gramEnd"/>
      <w:r w:rsidR="002E2613">
        <w:t xml:space="preserve"> </w:t>
      </w:r>
      <w:r>
        <w:t>analysis of 12 previous</w:t>
      </w:r>
      <w:r w:rsidR="002E2613">
        <w:t xml:space="preserve">ly completed (8 blinded, 4 open </w:t>
      </w:r>
      <w:r>
        <w:t xml:space="preserve">label), controlled, randomised 12-52 weeks clinical trials comparing </w:t>
      </w:r>
      <w:proofErr w:type="spellStart"/>
      <w:r>
        <w:t>exenatide</w:t>
      </w:r>
      <w:proofErr w:type="spellEnd"/>
      <w:r>
        <w:t xml:space="preserve"> twice</w:t>
      </w:r>
      <w:r w:rsidR="002E2613">
        <w:t xml:space="preserve"> </w:t>
      </w:r>
      <w:r>
        <w:t>daily treatment versus comparator (placebo or insulin)</w:t>
      </w:r>
      <w:r w:rsidR="003330FA">
        <w:t>.</w:t>
      </w:r>
    </w:p>
    <w:p w:rsidR="000E2F9C" w:rsidRDefault="000E2F9C" w:rsidP="003330FA">
      <w:pPr>
        <w:pStyle w:val="ListBullet2"/>
      </w:pPr>
      <w:r>
        <w:t>Primary study outcomes: CV mortality, stroke, myocardial infarction, acute coronary syndrome and</w:t>
      </w:r>
      <w:r w:rsidR="003330FA">
        <w:t xml:space="preserve"> revascularisation procedures.</w:t>
      </w:r>
    </w:p>
    <w:p w:rsidR="000E2F9C" w:rsidRDefault="000E2F9C" w:rsidP="003330FA">
      <w:pPr>
        <w:pStyle w:val="ListBullet2"/>
      </w:pPr>
      <w:r>
        <w:t>Secondary study ou</w:t>
      </w:r>
      <w:r w:rsidR="003330FA">
        <w:t>tcomes: all CV adverse events.</w:t>
      </w:r>
    </w:p>
    <w:p w:rsidR="000E2F9C" w:rsidRDefault="002E2613" w:rsidP="003330FA">
      <w:pPr>
        <w:pStyle w:val="ListBullet2"/>
      </w:pPr>
      <w:r>
        <w:t xml:space="preserve">Data included </w:t>
      </w:r>
      <w:r w:rsidR="003330FA">
        <w:sym w:font="Symbol" w:char="F07E"/>
      </w:r>
      <w:r w:rsidR="000E2F9C">
        <w:t xml:space="preserve">4000 T2DM patients, with 2316 patients treated with </w:t>
      </w:r>
      <w:proofErr w:type="spellStart"/>
      <w:r w:rsidR="000E2F9C">
        <w:t>exenatide</w:t>
      </w:r>
      <w:proofErr w:type="spellEnd"/>
      <w:r w:rsidR="000E2F9C">
        <w:t xml:space="preserve"> (equivalent to 1072 person-years at 2.5</w:t>
      </w:r>
      <w:r>
        <w:t xml:space="preserve"> </w:t>
      </w:r>
      <w:r w:rsidR="003330FA">
        <w:sym w:font="Symbol" w:char="F06D"/>
      </w:r>
      <w:r w:rsidR="000E2F9C">
        <w:t>g, 5</w:t>
      </w:r>
      <w:r>
        <w:t xml:space="preserve"> </w:t>
      </w:r>
      <w:r w:rsidR="003330FA">
        <w:sym w:font="Symbol" w:char="F06D"/>
      </w:r>
      <w:r w:rsidR="000E2F9C">
        <w:t>g or 10</w:t>
      </w:r>
      <w:r>
        <w:t xml:space="preserve"> </w:t>
      </w:r>
      <w:r w:rsidR="003330FA">
        <w:sym w:font="Symbol" w:char="F06D"/>
      </w:r>
      <w:r w:rsidR="000E2F9C">
        <w:t>g, with data pooled for analysis due to low CV events), 658 patients treated with insulin and 971 patients in the placebo group (equivalent to 780 person</w:t>
      </w:r>
      <w:r>
        <w:t xml:space="preserve"> </w:t>
      </w:r>
      <w:r w:rsidR="000E2F9C">
        <w:t>years exposure in insulin</w:t>
      </w:r>
      <w:r w:rsidR="003330FA">
        <w:t>/placebo group as comparators).</w:t>
      </w:r>
    </w:p>
    <w:p w:rsidR="000E2F9C" w:rsidRDefault="000E2F9C" w:rsidP="003330FA">
      <w:pPr>
        <w:pStyle w:val="ListBullet2"/>
      </w:pPr>
      <w:r>
        <w:t xml:space="preserve">The reported exposure-adjusted incidence rate: 18.73/1000 person-years for </w:t>
      </w:r>
      <w:proofErr w:type="spellStart"/>
      <w:r>
        <w:t>exenatide</w:t>
      </w:r>
      <w:proofErr w:type="spellEnd"/>
      <w:r>
        <w:t xml:space="preserve"> group and 23.17/1000 person-years for pooled comparator group.</w:t>
      </w:r>
    </w:p>
    <w:p w:rsidR="000E2F9C" w:rsidRDefault="000E2F9C" w:rsidP="003330FA">
      <w:pPr>
        <w:pStyle w:val="ListBullet2"/>
      </w:pPr>
      <w:r>
        <w:t>Caveats discussed: retrospective analysis of events identified by physicians blinded to treatment as studies not specifically designed to assess CV risk, low number of CV events, short exposure time (</w:t>
      </w:r>
      <w:r w:rsidR="003330FA">
        <w:sym w:font="Symbol" w:char="F0A3"/>
      </w:r>
      <w:r>
        <w:t xml:space="preserve"> 1 year) and a single comparator (insulin).</w:t>
      </w:r>
    </w:p>
    <w:p w:rsidR="000E2F9C" w:rsidRPr="00E052AE" w:rsidRDefault="000E2F9C" w:rsidP="003330FA">
      <w:pPr>
        <w:pStyle w:val="ListBullet2"/>
      </w:pPr>
      <w:r>
        <w:t xml:space="preserve">Cited a previous finding that there is no strong evidence to suggest that there is a clinically significant </w:t>
      </w:r>
      <w:proofErr w:type="spellStart"/>
      <w:r>
        <w:t>QTc</w:t>
      </w:r>
      <w:proofErr w:type="spellEnd"/>
      <w:r>
        <w:t xml:space="preserve"> prolongation in healthy volunteers treated with </w:t>
      </w:r>
      <w:proofErr w:type="spellStart"/>
      <w:r>
        <w:t>exenatide</w:t>
      </w:r>
      <w:proofErr w:type="spellEnd"/>
      <w:r>
        <w:t xml:space="preserve"> twice</w:t>
      </w:r>
      <w:r w:rsidR="00E6550F">
        <w:t xml:space="preserve"> </w:t>
      </w:r>
      <w:r>
        <w:t>daily as compared to placeb</w:t>
      </w:r>
      <w:r w:rsidR="00447D6E">
        <w:t>o.</w:t>
      </w:r>
      <w:r w:rsidR="002E2613">
        <w:rPr>
          <w:rStyle w:val="FootnoteReference"/>
        </w:rPr>
        <w:footnoteReference w:id="8"/>
      </w:r>
    </w:p>
    <w:p w:rsidR="000E2F9C" w:rsidRPr="001170DD" w:rsidRDefault="000E2F9C" w:rsidP="000E2F9C">
      <w:r w:rsidRPr="001170DD">
        <w:t xml:space="preserve">The information above on CV events as provided by the </w:t>
      </w:r>
      <w:r w:rsidR="00E6550F" w:rsidRPr="001170DD">
        <w:t>s</w:t>
      </w:r>
      <w:r w:rsidRPr="001170DD">
        <w:t xml:space="preserve">ponsor to support the argument that there is no increase risk for CV events, and particularly for QT prolongation appears reasonable unless specific concerns are raised from the clinical evaluation by OMA. The </w:t>
      </w:r>
      <w:r w:rsidR="00E6550F" w:rsidRPr="001170DD">
        <w:lastRenderedPageBreak/>
        <w:t>s</w:t>
      </w:r>
      <w:r w:rsidRPr="001170DD">
        <w:t xml:space="preserve">ponsor has also proposed to investigate the effects of </w:t>
      </w:r>
      <w:proofErr w:type="spellStart"/>
      <w:r w:rsidRPr="001170DD">
        <w:t>supratherapeutic</w:t>
      </w:r>
      <w:proofErr w:type="spellEnd"/>
      <w:r w:rsidRPr="001170DD">
        <w:t xml:space="preserve"> plasma </w:t>
      </w:r>
      <w:proofErr w:type="spellStart"/>
      <w:r w:rsidRPr="001170DD">
        <w:t>exenatide</w:t>
      </w:r>
      <w:proofErr w:type="spellEnd"/>
      <w:r w:rsidRPr="001170DD">
        <w:t xml:space="preserve"> concentrations on QT interval, which might be achieved with </w:t>
      </w:r>
      <w:proofErr w:type="spellStart"/>
      <w:r w:rsidRPr="001170DD">
        <w:t>exenatide</w:t>
      </w:r>
      <w:proofErr w:type="spellEnd"/>
      <w:r w:rsidRPr="001170DD">
        <w:t xml:space="preserve"> once weekly formulations in patients with mild or moderate renal impa</w:t>
      </w:r>
      <w:r w:rsidR="00E6550F" w:rsidRPr="001170DD">
        <w:t xml:space="preserve">irment. A copy of the protocol – </w:t>
      </w:r>
      <w:r w:rsidRPr="001170DD">
        <w:t xml:space="preserve">BCB112: Phase </w:t>
      </w:r>
      <w:r w:rsidR="00E6550F" w:rsidRPr="001170DD">
        <w:t>1</w:t>
      </w:r>
      <w:r w:rsidRPr="001170DD">
        <w:t xml:space="preserve"> randomised, three</w:t>
      </w:r>
      <w:r w:rsidR="00E6550F" w:rsidRPr="001170DD">
        <w:t xml:space="preserve"> </w:t>
      </w:r>
      <w:r w:rsidRPr="001170DD">
        <w:t>period, double</w:t>
      </w:r>
      <w:r w:rsidR="00E6550F" w:rsidRPr="001170DD">
        <w:t xml:space="preserve"> </w:t>
      </w:r>
      <w:r w:rsidRPr="001170DD">
        <w:t>blind, placebo and positive</w:t>
      </w:r>
      <w:r w:rsidR="00E6550F" w:rsidRPr="001170DD">
        <w:t xml:space="preserve"> </w:t>
      </w:r>
      <w:r w:rsidRPr="001170DD">
        <w:t xml:space="preserve">controlled crossover study on the effects of </w:t>
      </w:r>
      <w:proofErr w:type="spellStart"/>
      <w:r w:rsidRPr="001170DD">
        <w:t>exenatide</w:t>
      </w:r>
      <w:proofErr w:type="spellEnd"/>
      <w:r w:rsidRPr="001170DD">
        <w:t xml:space="preserve"> at therapeutic and </w:t>
      </w:r>
      <w:proofErr w:type="spellStart"/>
      <w:r w:rsidRPr="001170DD">
        <w:t>supratherapeutic</w:t>
      </w:r>
      <w:proofErr w:type="spellEnd"/>
      <w:r w:rsidRPr="001170DD">
        <w:t xml:space="preserve"> concentrations on the 12-lead electrocardiogram QT interval in healthy subject </w:t>
      </w:r>
      <w:r w:rsidR="00E6550F" w:rsidRPr="001170DD">
        <w:t xml:space="preserve">– </w:t>
      </w:r>
      <w:r w:rsidRPr="001170DD">
        <w:t>has previously been provided (</w:t>
      </w:r>
      <w:r w:rsidR="00E6550F" w:rsidRPr="001170DD">
        <w:t>s</w:t>
      </w:r>
      <w:r w:rsidRPr="001170DD">
        <w:t>ponsor’s response</w:t>
      </w:r>
      <w:r w:rsidR="00E6550F" w:rsidRPr="001170DD">
        <w:t>, dated 20 April 2011)</w:t>
      </w:r>
      <w:r w:rsidRPr="001170DD">
        <w:t>.</w:t>
      </w:r>
      <w:r w:rsidR="00E6550F" w:rsidRPr="001170DD">
        <w:t xml:space="preserve"> </w:t>
      </w:r>
      <w:r w:rsidRPr="001170DD">
        <w:t>A search on the website clinicaltri</w:t>
      </w:r>
      <w:r w:rsidR="00E6550F" w:rsidRPr="001170DD">
        <w:t>als.gov has indicated that the S</w:t>
      </w:r>
      <w:r w:rsidRPr="001170DD">
        <w:t>tudy BCB112 is estimated for completion in August 2011.</w:t>
      </w:r>
      <w:r w:rsidR="0073169F" w:rsidRPr="001170DD">
        <w:footnoteReference w:id="9"/>
      </w:r>
      <w:r w:rsidRPr="001170DD">
        <w:t xml:space="preserve"> Unless specific concerns are raised from the clinical evaluation by OMA, the pharmacovigilance plan as prop</w:t>
      </w:r>
      <w:r w:rsidR="001170DD">
        <w:t>osed is considered acceptable.</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717495" w:rsidRPr="00FC5DD5" w:rsidRDefault="00717495" w:rsidP="00717495">
      <w:pPr>
        <w:pStyle w:val="Heading5"/>
      </w:pPr>
      <w:bookmarkStart w:id="100" w:name="_Toc323194181"/>
      <w:bookmarkStart w:id="101" w:name="_Toc247691527"/>
      <w:r w:rsidRPr="00FC5DD5">
        <w:t>Sponsor’s conclusion in regard to the need for risk minimisation activities</w:t>
      </w:r>
      <w:bookmarkEnd w:id="100"/>
    </w:p>
    <w:p w:rsidR="00717495" w:rsidRDefault="00717495" w:rsidP="001170DD">
      <w:r>
        <w:t xml:space="preserve">The </w:t>
      </w:r>
      <w:r w:rsidR="00E6550F">
        <w:t>S</w:t>
      </w:r>
      <w:r>
        <w:t xml:space="preserve">ponsor has proposed only routine risk minimisation activities, which include the provision of Consumer Medicine Information (CMI) and PI in every pack of </w:t>
      </w:r>
      <w:proofErr w:type="spellStart"/>
      <w:r w:rsidR="00E6550F">
        <w:t>Byetta</w:t>
      </w:r>
      <w:proofErr w:type="spellEnd"/>
      <w:r>
        <w:t xml:space="preserve">. It is also stated in Module 1, Section 1.13.1 </w:t>
      </w:r>
      <w:r w:rsidRPr="00026233">
        <w:rPr>
          <w:i/>
        </w:rPr>
        <w:t>Australian Annex</w:t>
      </w:r>
      <w:r>
        <w:t xml:space="preserve"> to RMP, that:</w:t>
      </w:r>
    </w:p>
    <w:p w:rsidR="00717495" w:rsidRPr="001170DD" w:rsidRDefault="00717495" w:rsidP="001170DD">
      <w:pPr>
        <w:pStyle w:val="ListBullet"/>
        <w:rPr>
          <w:i/>
        </w:rPr>
      </w:pPr>
      <w:r w:rsidRPr="001170DD">
        <w:rPr>
          <w:i/>
        </w:rPr>
        <w:t xml:space="preserve">“Risk minimisation activities described in EU RMP included with this application are applicable to the Australian circumstances for all identified and potential risks.  </w:t>
      </w:r>
    </w:p>
    <w:p w:rsidR="00717495" w:rsidRPr="001170DD" w:rsidRDefault="00717495" w:rsidP="001170DD">
      <w:pPr>
        <w:pStyle w:val="ListBullet"/>
        <w:rPr>
          <w:i/>
        </w:rPr>
      </w:pPr>
      <w:r w:rsidRPr="001170DD">
        <w:rPr>
          <w:i/>
        </w:rPr>
        <w:t>Activities described to address missing information are appropriate for Australia for all categories except very elderly pat</w:t>
      </w:r>
      <w:r w:rsidR="00E6550F" w:rsidRPr="001170DD">
        <w:rPr>
          <w:i/>
        </w:rPr>
        <w:t xml:space="preserve">ients (&gt;75 years of age)... </w:t>
      </w:r>
      <w:r w:rsidRPr="001170DD">
        <w:rPr>
          <w:i/>
        </w:rPr>
        <w:t xml:space="preserve">will update the </w:t>
      </w:r>
      <w:proofErr w:type="spellStart"/>
      <w:r w:rsidR="00E6550F" w:rsidRPr="001170DD">
        <w:rPr>
          <w:i/>
        </w:rPr>
        <w:t>Byetta</w:t>
      </w:r>
      <w:proofErr w:type="spellEnd"/>
      <w:r w:rsidRPr="001170DD">
        <w:rPr>
          <w:i/>
        </w:rPr>
        <w:t xml:space="preserve"> PI to incorporate the instruction for caution when escalating dosing in this application. Upon final approval, the changes will be incorporated into the proposed PI for this application.”</w:t>
      </w:r>
    </w:p>
    <w:p w:rsidR="00717495" w:rsidRPr="007B529C" w:rsidRDefault="00717495" w:rsidP="00717495">
      <w:pPr>
        <w:pStyle w:val="Heading5"/>
      </w:pPr>
      <w:r>
        <w:t>OPR</w:t>
      </w:r>
      <w:r w:rsidRPr="007B529C">
        <w:t xml:space="preserve"> reviewer</w:t>
      </w:r>
      <w:r>
        <w:t>’s</w:t>
      </w:r>
      <w:r w:rsidRPr="007B529C">
        <w:t xml:space="preserve"> comment:</w:t>
      </w:r>
    </w:p>
    <w:p w:rsidR="00717495" w:rsidRPr="00D02C31" w:rsidRDefault="00717495" w:rsidP="001170DD">
      <w:r>
        <w:t xml:space="preserve">This is considered acceptable unless specific concerns are raised from </w:t>
      </w:r>
      <w:r w:rsidR="001170DD">
        <w:t>the clinical evaluation by OMA.</w:t>
      </w:r>
    </w:p>
    <w:p w:rsidR="00717495" w:rsidRPr="00FC5DD5" w:rsidRDefault="00717495" w:rsidP="00717495">
      <w:pPr>
        <w:pStyle w:val="Heading5"/>
      </w:pPr>
      <w:bookmarkStart w:id="102" w:name="_Toc268857338"/>
      <w:bookmarkStart w:id="103" w:name="_Toc323194182"/>
      <w:r w:rsidRPr="00FC5DD5">
        <w:t>Potential for medication errors</w:t>
      </w:r>
      <w:bookmarkEnd w:id="102"/>
      <w:bookmarkEnd w:id="103"/>
    </w:p>
    <w:p w:rsidR="00717495" w:rsidRPr="003A66EF" w:rsidRDefault="00717495" w:rsidP="00717495">
      <w:pPr>
        <w:pStyle w:val="Heading6"/>
      </w:pPr>
      <w:r w:rsidRPr="003A66EF">
        <w:t xml:space="preserve">Medication </w:t>
      </w:r>
      <w:r>
        <w:t>e</w:t>
      </w:r>
      <w:r w:rsidRPr="003A66EF">
        <w:t>rror</w:t>
      </w:r>
    </w:p>
    <w:p w:rsidR="00717495" w:rsidRDefault="00717495" w:rsidP="001170DD">
      <w:r>
        <w:t xml:space="preserve">Instruction for use (User Manual) will be available to detail the step by step process to follow on how to initiate the </w:t>
      </w:r>
      <w:proofErr w:type="spellStart"/>
      <w:r w:rsidR="00FC154B">
        <w:t>Byetta</w:t>
      </w:r>
      <w:proofErr w:type="spellEnd"/>
      <w:r>
        <w:t xml:space="preserve"> pen and to administer each dose. The company states that it will continue to improve the usability of the </w:t>
      </w:r>
      <w:proofErr w:type="spellStart"/>
      <w:r w:rsidR="00FC154B">
        <w:t>Byetta</w:t>
      </w:r>
      <w:proofErr w:type="spellEnd"/>
      <w:r>
        <w:t xml:space="preserve"> pen by ongoing review of global product feedbacks that will guide future updates of patient educational materials.</w:t>
      </w:r>
    </w:p>
    <w:p w:rsidR="00717495" w:rsidRDefault="00717495" w:rsidP="001170DD">
      <w:r>
        <w:t xml:space="preserve">To mitigate the potential for medication error, the company has proposed to provide educational presentations to HCPs </w:t>
      </w:r>
      <w:r w:rsidR="00FC154B">
        <w:t xml:space="preserve">(Health Care Professionals) </w:t>
      </w:r>
      <w:r>
        <w:t xml:space="preserve">at diabetes symposia and conferences, post education materials on appropriate use of </w:t>
      </w:r>
      <w:proofErr w:type="spellStart"/>
      <w:r w:rsidR="00FC154B">
        <w:t>Byetta</w:t>
      </w:r>
      <w:proofErr w:type="spellEnd"/>
      <w:r>
        <w:t xml:space="preserve"> on websites (so far, available in Germany and US), prepare Global Response Documents for distribution upon request by HCPs and set</w:t>
      </w:r>
      <w:r w:rsidR="00FC154B">
        <w:t xml:space="preserve"> </w:t>
      </w:r>
      <w:r>
        <w:t xml:space="preserve">up Call Centres to receive inquiries from HCPs and patients, and provide a ‘Welcome Kit’ for patient who are newly prescribed </w:t>
      </w:r>
      <w:proofErr w:type="spellStart"/>
      <w:r w:rsidR="00FC154B">
        <w:t>Byetta</w:t>
      </w:r>
      <w:proofErr w:type="spellEnd"/>
      <w:r w:rsidR="00FC154B">
        <w:t xml:space="preserve"> that includes a one </w:t>
      </w:r>
      <w:r>
        <w:t xml:space="preserve">page Discussion Guide for the initial consultation, a Reference Booklet for detailed information and a Patient Diary to record blood glucose measurements and body weights during the first month of use. A training video may also be available to instruct patients on how to use the </w:t>
      </w:r>
      <w:proofErr w:type="spellStart"/>
      <w:r w:rsidR="00FC154B">
        <w:t>Byetta</w:t>
      </w:r>
      <w:proofErr w:type="spellEnd"/>
      <w:r>
        <w:t xml:space="preserve"> pen. However, this proposed risk minimisation strategy may differ from those available in Australia, for example the use of Australian websites as educational tools will not be promoted and the types of professional conferences in Australia for educational presentations on </w:t>
      </w:r>
      <w:proofErr w:type="spellStart"/>
      <w:r w:rsidR="00FC154B">
        <w:t>Byetta</w:t>
      </w:r>
      <w:proofErr w:type="spellEnd"/>
      <w:r>
        <w:t xml:space="preserve"> may differ from those offered in other </w:t>
      </w:r>
      <w:r>
        <w:lastRenderedPageBreak/>
        <w:t xml:space="preserve">jurisdictions, although the aims and content of the materials are expected to be similar (Section 1.13.1 </w:t>
      </w:r>
      <w:r w:rsidRPr="00A25098">
        <w:rPr>
          <w:i/>
        </w:rPr>
        <w:t>Australian Annex</w:t>
      </w:r>
      <w:r>
        <w:t xml:space="preserve"> to RMP).</w:t>
      </w:r>
    </w:p>
    <w:p w:rsidR="00717495" w:rsidRPr="00210FB1" w:rsidRDefault="00717495" w:rsidP="00717495">
      <w:pPr>
        <w:pStyle w:val="Heading6"/>
      </w:pPr>
      <w:r>
        <w:t xml:space="preserve">Off </w:t>
      </w:r>
      <w:r w:rsidRPr="00210FB1">
        <w:t>label use:</w:t>
      </w:r>
    </w:p>
    <w:p w:rsidR="00717495" w:rsidRDefault="00717495" w:rsidP="001170DD">
      <w:r>
        <w:t>Discussion was pr</w:t>
      </w:r>
      <w:r w:rsidR="00FC154B">
        <w:t xml:space="preserve">ovided on the potential for off </w:t>
      </w:r>
      <w:r>
        <w:t xml:space="preserve">label use, including in patients with severe gastrointestinal disease, end stage renal disease or severe renal impairment, who are not recommended in the PI to use </w:t>
      </w:r>
      <w:proofErr w:type="spellStart"/>
      <w:r w:rsidR="00FC154B">
        <w:t>Byetta</w:t>
      </w:r>
      <w:proofErr w:type="spellEnd"/>
      <w:r>
        <w:t>. It is stated in the RMP that no new safety concern relating to off</w:t>
      </w:r>
      <w:r w:rsidR="002C1078">
        <w:t xml:space="preserve"> </w:t>
      </w:r>
      <w:r>
        <w:t>label use has been detected so far through routine pharmacovigilance. The potential for off</w:t>
      </w:r>
      <w:r w:rsidR="00FC154B">
        <w:t xml:space="preserve"> </w:t>
      </w:r>
      <w:r>
        <w:t>label use for weight loss was also discussed, with a reported incidence rate of about 0.7% as obtained from post</w:t>
      </w:r>
      <w:r w:rsidR="00FC154B">
        <w:t xml:space="preserve"> </w:t>
      </w:r>
      <w:r>
        <w:t>market spontaneous reports (as of review c</w:t>
      </w:r>
      <w:r w:rsidR="001170DD">
        <w:t>onducted up to 31 March 2009).</w:t>
      </w:r>
    </w:p>
    <w:p w:rsidR="00717495" w:rsidRDefault="00717495" w:rsidP="001170DD">
      <w:r>
        <w:t>It is also discussed that th</w:t>
      </w:r>
      <w:r w:rsidR="00FC154B">
        <w:t xml:space="preserve">e company had collected up to two years of post </w:t>
      </w:r>
      <w:r>
        <w:t>market data for off</w:t>
      </w:r>
      <w:r w:rsidR="00FC154B">
        <w:t xml:space="preserve"> </w:t>
      </w:r>
      <w:r>
        <w:t>label use in Germany, UK, France and Belgium from primary care databases, and the data did not show a significant concern with off</w:t>
      </w:r>
      <w:r w:rsidR="00FC154B">
        <w:t xml:space="preserve"> </w:t>
      </w:r>
      <w:r>
        <w:t>label use, although the patient numbers with data collected were low. In addition, it is stated that the company is proposing educational presentations for HCPs at medical conferences and symposia.</w:t>
      </w:r>
    </w:p>
    <w:p w:rsidR="00717495" w:rsidRPr="00FC5DD5" w:rsidRDefault="00717495" w:rsidP="00717495">
      <w:pPr>
        <w:pStyle w:val="Heading5"/>
      </w:pPr>
      <w:bookmarkStart w:id="104" w:name="_Toc323194183"/>
      <w:r>
        <w:t>Toxicity in overdose</w:t>
      </w:r>
      <w:bookmarkEnd w:id="104"/>
    </w:p>
    <w:p w:rsidR="00717495" w:rsidRDefault="00717495" w:rsidP="001170DD">
      <w:r>
        <w:t xml:space="preserve">It is discussed in </w:t>
      </w:r>
      <w:r w:rsidR="00FC154B">
        <w:t xml:space="preserve">the </w:t>
      </w:r>
      <w:r w:rsidRPr="00037C47">
        <w:rPr>
          <w:i/>
        </w:rPr>
        <w:t>Potential for Overdose</w:t>
      </w:r>
      <w:r>
        <w:t xml:space="preserve"> </w:t>
      </w:r>
      <w:r w:rsidR="00FC154B">
        <w:t xml:space="preserve">section </w:t>
      </w:r>
      <w:r>
        <w:t>of the RMP that the potential for ov</w:t>
      </w:r>
      <w:r w:rsidR="00FC154B">
        <w:t xml:space="preserve">erdose is low because the </w:t>
      </w:r>
      <w:proofErr w:type="spellStart"/>
      <w:r w:rsidR="00FC154B">
        <w:t>Byetta</w:t>
      </w:r>
      <w:proofErr w:type="spellEnd"/>
      <w:r>
        <w:t xml:space="preserve"> pen is designed to deliver a fixed dose of 5 µg or 10 µg per injection. For overdose to occur, repeated injections will have to be administered. The company considers the provision of the User Manual to be sufficient to minimise this risk. Instruction to seek immediate medical attention and the contact information for the Poisons Information Centre in Australia are also provided in the CMI. Cases of overdose from clinical trials (n=3) and spontaneous report (n=1) are described, with all cases having recovered from the incidents, in the </w:t>
      </w:r>
      <w:proofErr w:type="spellStart"/>
      <w:r w:rsidRPr="000A4834">
        <w:rPr>
          <w:i/>
        </w:rPr>
        <w:t>Overdosage</w:t>
      </w:r>
      <w:proofErr w:type="spellEnd"/>
      <w:r>
        <w:t xml:space="preserve"> </w:t>
      </w:r>
      <w:r w:rsidR="00FC154B">
        <w:t xml:space="preserve">section </w:t>
      </w:r>
      <w:r>
        <w:t>of the PI.</w:t>
      </w:r>
    </w:p>
    <w:p w:rsidR="00717495" w:rsidRDefault="00717495" w:rsidP="00717495">
      <w:pPr>
        <w:rPr>
          <w:b/>
        </w:rPr>
      </w:pPr>
      <w:r>
        <w:rPr>
          <w:b/>
          <w:i/>
        </w:rPr>
        <w:t>OPR</w:t>
      </w:r>
      <w:r w:rsidRPr="007B529C">
        <w:rPr>
          <w:b/>
          <w:i/>
        </w:rPr>
        <w:t xml:space="preserve"> reviewer</w:t>
      </w:r>
      <w:r>
        <w:rPr>
          <w:b/>
          <w:i/>
        </w:rPr>
        <w:t>’s</w:t>
      </w:r>
      <w:r w:rsidRPr="007B529C">
        <w:rPr>
          <w:b/>
          <w:i/>
        </w:rPr>
        <w:t xml:space="preserve"> comment</w:t>
      </w:r>
      <w:r>
        <w:rPr>
          <w:b/>
          <w:i/>
        </w:rPr>
        <w:t>s</w:t>
      </w:r>
      <w:r w:rsidRPr="007B529C">
        <w:rPr>
          <w:b/>
          <w:i/>
        </w:rPr>
        <w:t>:</w:t>
      </w:r>
    </w:p>
    <w:p w:rsidR="00717495" w:rsidRDefault="00717495" w:rsidP="001170DD">
      <w:r>
        <w:t xml:space="preserve">The </w:t>
      </w:r>
      <w:r w:rsidR="00FC154B">
        <w:t>s</w:t>
      </w:r>
      <w:r>
        <w:t>ponsor has previously stated that the additional risk minimisation activity proposed on collecting consumer feedback to improve the user friendliness of the pen would include data from the Australian market, as all customer feedback from Australia would be reported to the global Lilly office, and globally identified changes would be implemented and communicated through Lilly Australia (</w:t>
      </w:r>
      <w:r w:rsidR="002C1078">
        <w:t>s</w:t>
      </w:r>
      <w:r>
        <w:t>ponsor’s response, date</w:t>
      </w:r>
      <w:r w:rsidR="00FC154B">
        <w:t>d 20 April 2011)</w:t>
      </w:r>
      <w:r w:rsidRPr="00FE4688">
        <w:t>.</w:t>
      </w:r>
      <w:r>
        <w:t xml:space="preserve"> The discussions provided by the </w:t>
      </w:r>
      <w:r w:rsidR="00FC154B">
        <w:t>s</w:t>
      </w:r>
      <w:r>
        <w:t>ponsor on mitigating the potential risks of med</w:t>
      </w:r>
      <w:r w:rsidR="00FC154B">
        <w:t xml:space="preserve">ication error, overdose and off </w:t>
      </w:r>
      <w:r>
        <w:t>label use are considered acceptable unless specific concerns are raised from the clinical evaluation by OMA.</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51606F" w:rsidRDefault="0051606F" w:rsidP="001170DD">
      <w:bookmarkStart w:id="105" w:name="_Toc314842510"/>
      <w:r>
        <w:t>The final RMP may need to be updated if additional safety concerns are identified by the clinical evaluator. Pending the finalisation of the clinical evaluation report by the OMA, the OPR provides the recommendation in the context that the submitted RMP is supportive to the application:</w:t>
      </w:r>
    </w:p>
    <w:p w:rsidR="0051606F" w:rsidRPr="0051606F" w:rsidRDefault="0051606F" w:rsidP="001170DD">
      <w:pPr>
        <w:pStyle w:val="ListBullet"/>
      </w:pPr>
      <w:proofErr w:type="gramStart"/>
      <w:r w:rsidRPr="0051606F">
        <w:t>the</w:t>
      </w:r>
      <w:proofErr w:type="gramEnd"/>
      <w:r w:rsidRPr="0051606F">
        <w:t xml:space="preserve"> implementation of a RMP identified as EU RMP Version 16 (Revision 15, data lock point 31 </w:t>
      </w:r>
      <w:r w:rsidR="00FC154B">
        <w:t xml:space="preserve">March 2010) with the Australian </w:t>
      </w:r>
      <w:r w:rsidRPr="0051606F">
        <w:t>specific Annex to the RMP (Revision 15_v1.0), and any subsequent versions, be imposed as a condition of registration.</w:t>
      </w:r>
    </w:p>
    <w:p w:rsidR="008E7846" w:rsidRPr="00792A32" w:rsidRDefault="007F0FFA" w:rsidP="008E7846">
      <w:pPr>
        <w:pStyle w:val="Heading2"/>
      </w:pPr>
      <w:r>
        <w:br w:type="page"/>
      </w:r>
      <w:bookmarkStart w:id="106" w:name="_Toc361226865"/>
      <w:r w:rsidR="008E7846">
        <w:lastRenderedPageBreak/>
        <w:t xml:space="preserve">VI. </w:t>
      </w:r>
      <w:r w:rsidR="008E7846" w:rsidRPr="00792A32">
        <w:t xml:space="preserve">Overall </w:t>
      </w:r>
      <w:r w:rsidR="008E7846">
        <w:t>c</w:t>
      </w:r>
      <w:r w:rsidR="008E7846" w:rsidRPr="00792A32">
        <w:t xml:space="preserve">onclusion and </w:t>
      </w:r>
      <w:r w:rsidR="008E7846">
        <w:t>r</w:t>
      </w:r>
      <w:r w:rsidR="008E7846" w:rsidRPr="00792A32">
        <w:t>isk/</w:t>
      </w:r>
      <w:r w:rsidR="008E7846">
        <w:t>b</w:t>
      </w:r>
      <w:r w:rsidR="008E7846" w:rsidRPr="00792A32">
        <w:t xml:space="preserve">enefit </w:t>
      </w:r>
      <w:r w:rsidR="008E7846">
        <w:t>a</w:t>
      </w:r>
      <w:r w:rsidR="008E7846" w:rsidRPr="00792A32">
        <w:t>ssessment</w:t>
      </w:r>
      <w:bookmarkEnd w:id="69"/>
      <w:bookmarkEnd w:id="101"/>
      <w:bookmarkEnd w:id="105"/>
      <w:bookmarkEnd w:id="106"/>
    </w:p>
    <w:p w:rsidR="008E7846" w:rsidRDefault="008E7846" w:rsidP="008E7846">
      <w:bookmarkStart w:id="107"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08" w:name="_Toc314842511"/>
      <w:bookmarkStart w:id="109" w:name="_Toc361226866"/>
      <w:r>
        <w:t>Quality</w:t>
      </w:r>
      <w:bookmarkEnd w:id="107"/>
      <w:bookmarkEnd w:id="108"/>
      <w:bookmarkEnd w:id="109"/>
    </w:p>
    <w:p w:rsidR="00E45619" w:rsidRDefault="008E7846" w:rsidP="003A7F6C">
      <w:r>
        <w:t>There was no requirement for a quality evaluation in a submission of this type.</w:t>
      </w:r>
    </w:p>
    <w:p w:rsidR="008E7846" w:rsidRDefault="008E7846" w:rsidP="008E7846">
      <w:pPr>
        <w:pStyle w:val="Heading3"/>
      </w:pPr>
      <w:bookmarkStart w:id="110" w:name="_Toc314842512"/>
      <w:bookmarkStart w:id="111" w:name="_Toc361226867"/>
      <w:r>
        <w:t>Nonclinical</w:t>
      </w:r>
      <w:bookmarkEnd w:id="110"/>
      <w:bookmarkEnd w:id="111"/>
    </w:p>
    <w:p w:rsidR="008E7846" w:rsidRDefault="008E7846" w:rsidP="008E7846">
      <w:r>
        <w:t>There was no requirement for a nonclinical evaluation in a submission of this type.</w:t>
      </w:r>
    </w:p>
    <w:p w:rsidR="008E7846" w:rsidRDefault="008E7846" w:rsidP="008E7846">
      <w:pPr>
        <w:pStyle w:val="Heading3"/>
      </w:pPr>
      <w:bookmarkStart w:id="112" w:name="_Toc247691530"/>
      <w:bookmarkStart w:id="113" w:name="_Toc314842513"/>
      <w:bookmarkStart w:id="114" w:name="_Toc361226868"/>
      <w:r>
        <w:t>Clinical</w:t>
      </w:r>
      <w:bookmarkEnd w:id="112"/>
      <w:bookmarkEnd w:id="113"/>
      <w:bookmarkEnd w:id="114"/>
    </w:p>
    <w:p w:rsidR="007F0E1C" w:rsidRDefault="007F0FFA" w:rsidP="007F0E1C">
      <w:r>
        <w:t>Two studies are submitted.</w:t>
      </w:r>
    </w:p>
    <w:p w:rsidR="007F0E1C" w:rsidRDefault="007F0E1C" w:rsidP="007F0E1C">
      <w:r>
        <w:t>The pivotal study, GWCO, is a multicentre randomised double bl</w:t>
      </w:r>
      <w:r w:rsidR="00233DA3">
        <w:t>ind placebo controlled study</w:t>
      </w:r>
      <w:r>
        <w:t>.</w:t>
      </w:r>
    </w:p>
    <w:p w:rsidR="007F0E1C" w:rsidRDefault="007F0E1C" w:rsidP="007F0E1C">
      <w:r>
        <w:t xml:space="preserve">The evaluator mentions that </w:t>
      </w:r>
      <w:proofErr w:type="spellStart"/>
      <w:r>
        <w:t>exenatide</w:t>
      </w:r>
      <w:proofErr w:type="spellEnd"/>
      <w:r>
        <w:t xml:space="preserve"> was compared to placebo in patients with T2DM who did not meet the </w:t>
      </w:r>
      <w:proofErr w:type="spellStart"/>
      <w:r>
        <w:t>glycaemic</w:t>
      </w:r>
      <w:proofErr w:type="spellEnd"/>
      <w:r>
        <w:t xml:space="preserve"> targets with insulin </w:t>
      </w:r>
      <w:proofErr w:type="spellStart"/>
      <w:r>
        <w:t>glargine</w:t>
      </w:r>
      <w:proofErr w:type="spellEnd"/>
      <w:r>
        <w:t xml:space="preserve"> with or without </w:t>
      </w:r>
      <w:proofErr w:type="spellStart"/>
      <w:r>
        <w:t>metformin</w:t>
      </w:r>
      <w:proofErr w:type="spellEnd"/>
      <w:r>
        <w:t xml:space="preserve">, </w:t>
      </w:r>
      <w:proofErr w:type="spellStart"/>
      <w:r>
        <w:t>pioglitazone</w:t>
      </w:r>
      <w:proofErr w:type="spellEnd"/>
      <w:r>
        <w:t xml:space="preserve"> </w:t>
      </w:r>
      <w:r w:rsidR="007F0FFA">
        <w:t>or both.</w:t>
      </w:r>
    </w:p>
    <w:p w:rsidR="007F0E1C" w:rsidRDefault="007F0E1C" w:rsidP="007F0E1C">
      <w:r>
        <w:t xml:space="preserve">Subjects diagnosed with T2DM, at least 18 years old with a stable body weight </w:t>
      </w:r>
      <w:r w:rsidR="0002035C">
        <w:sym w:font="Symbol" w:char="F0B3"/>
      </w:r>
      <w:r>
        <w:t xml:space="preserve"> 3 months prior to study entry with a BMI </w:t>
      </w:r>
      <w:r w:rsidR="0002035C">
        <w:sym w:font="Symbol" w:char="F0A3"/>
      </w:r>
      <w:r>
        <w:t xml:space="preserve"> 45 kg/m</w:t>
      </w:r>
      <w:r w:rsidRPr="00233DA3">
        <w:rPr>
          <w:vertAlign w:val="superscript"/>
        </w:rPr>
        <w:t>2</w:t>
      </w:r>
      <w:r>
        <w:t xml:space="preserve"> were eligible. HbA1c was to be within 7.1% and 10.5%; insulin </w:t>
      </w:r>
      <w:proofErr w:type="spellStart"/>
      <w:r>
        <w:t>glargine</w:t>
      </w:r>
      <w:proofErr w:type="spellEnd"/>
      <w:r>
        <w:t xml:space="preserve"> of </w:t>
      </w:r>
      <w:r w:rsidR="0002035C">
        <w:sym w:font="Symbol" w:char="F0B3"/>
      </w:r>
      <w:r>
        <w:t xml:space="preserve"> 20 units alone or in conjunction with </w:t>
      </w:r>
      <w:proofErr w:type="spellStart"/>
      <w:r>
        <w:t>metformin</w:t>
      </w:r>
      <w:proofErr w:type="spellEnd"/>
      <w:r>
        <w:t xml:space="preserve"> and or </w:t>
      </w:r>
      <w:proofErr w:type="spellStart"/>
      <w:r>
        <w:t>piglitazone</w:t>
      </w:r>
      <w:proofErr w:type="spellEnd"/>
      <w:r>
        <w:t xml:space="preserve"> were inclusion criteria. Details of inclusion and exclusion criteria are found in </w:t>
      </w:r>
      <w:r w:rsidR="00D34F25">
        <w:t>the clinical evaluation report</w:t>
      </w:r>
      <w:r w:rsidR="0002035C">
        <w:t>.</w:t>
      </w:r>
    </w:p>
    <w:p w:rsidR="007F0E1C" w:rsidRDefault="007F0E1C" w:rsidP="007F0E1C">
      <w:r>
        <w:t xml:space="preserve">Details of dose titration in relation to insulin and other details regarding dosing are included </w:t>
      </w:r>
      <w:r w:rsidR="00D34F25">
        <w:t>in the clinical evaluation report</w:t>
      </w:r>
      <w:r w:rsidR="0002035C">
        <w:t>.</w:t>
      </w:r>
    </w:p>
    <w:p w:rsidR="007F0E1C" w:rsidRDefault="007F0E1C" w:rsidP="007F0E1C">
      <w:r>
        <w:t xml:space="preserve">The primary efficacy outcome was change in HbA1c from baseline to </w:t>
      </w:r>
      <w:r w:rsidR="008D554E">
        <w:t>W</w:t>
      </w:r>
      <w:r w:rsidR="0002035C">
        <w:t>eek 30.</w:t>
      </w:r>
    </w:p>
    <w:p w:rsidR="007F0E1C" w:rsidRDefault="007F0E1C" w:rsidP="007F0E1C">
      <w:r>
        <w:t xml:space="preserve">Randomisation details and the definition of populations analysed are included </w:t>
      </w:r>
      <w:r w:rsidR="008D554E">
        <w:t xml:space="preserve">in </w:t>
      </w:r>
      <w:r w:rsidR="008D554E" w:rsidRPr="008D554E">
        <w:t>the clinical evaluation report</w:t>
      </w:r>
      <w:r>
        <w:t>. These are acceptable. Statistical</w:t>
      </w:r>
      <w:r w:rsidR="008D554E">
        <w:t xml:space="preserve"> considerations are discussed</w:t>
      </w:r>
      <w:r>
        <w:t>. It is stated that the numbers were included based on an anticipated mean difference of 0.5% in</w:t>
      </w:r>
      <w:r w:rsidR="008D554E">
        <w:t xml:space="preserve"> HbA1c between groups. This, too, </w:t>
      </w:r>
      <w:r w:rsidR="0002035C">
        <w:t>is acceptable.</w:t>
      </w:r>
    </w:p>
    <w:p w:rsidR="007F0E1C" w:rsidRDefault="007F0E1C" w:rsidP="007F0E1C">
      <w:r>
        <w:t xml:space="preserve">The demographic </w:t>
      </w:r>
      <w:proofErr w:type="gramStart"/>
      <w:r>
        <w:t xml:space="preserve">details extracted from the </w:t>
      </w:r>
      <w:r w:rsidR="00C26541">
        <w:t>clinical evaluation report</w:t>
      </w:r>
      <w:r w:rsidR="00322788">
        <w:t xml:space="preserve"> is</w:t>
      </w:r>
      <w:proofErr w:type="gramEnd"/>
      <w:r w:rsidR="00322788">
        <w:t xml:space="preserve"> given in Tables 2-3</w:t>
      </w:r>
      <w:r>
        <w:t>.</w:t>
      </w:r>
    </w:p>
    <w:p w:rsidR="007C241D" w:rsidRDefault="007C241D" w:rsidP="0002035C">
      <w:pPr>
        <w:pStyle w:val="TableTitle"/>
        <w:rPr>
          <w:lang w:val="en-GB"/>
        </w:rPr>
      </w:pPr>
      <w:proofErr w:type="gramStart"/>
      <w:r>
        <w:t xml:space="preserve">Table </w:t>
      </w:r>
      <w:r w:rsidR="00322788">
        <w:t>2</w:t>
      </w:r>
      <w:r>
        <w:t>:</w:t>
      </w:r>
      <w:r w:rsidRPr="004C5C28">
        <w:t xml:space="preserve"> </w:t>
      </w:r>
      <w:r w:rsidR="00013C15">
        <w:t>Demographic details</w:t>
      </w:r>
      <w:r>
        <w:t>.</w:t>
      </w:r>
      <w:proofErr w:type="gramEnd"/>
    </w:p>
    <w:p w:rsidR="008E7846" w:rsidRDefault="00192EAB" w:rsidP="0002035C">
      <w:r>
        <w:rPr>
          <w:noProof/>
          <w:lang w:eastAsia="en-AU"/>
        </w:rPr>
        <w:drawing>
          <wp:inline distT="0" distB="0" distL="0" distR="0">
            <wp:extent cx="5391150" cy="1133475"/>
            <wp:effectExtent l="19050" t="0" r="0" b="0"/>
            <wp:docPr id="2" name="Picture 2" descr="Table 2: Demographic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2: Demographic details."/>
                    <pic:cNvPicPr>
                      <a:picLocks noChangeAspect="1" noChangeArrowheads="1"/>
                    </pic:cNvPicPr>
                  </pic:nvPicPr>
                  <pic:blipFill>
                    <a:blip r:embed="rId15" cstate="print"/>
                    <a:srcRect/>
                    <a:stretch>
                      <a:fillRect/>
                    </a:stretch>
                  </pic:blipFill>
                  <pic:spPr bwMode="auto">
                    <a:xfrm>
                      <a:off x="0" y="0"/>
                      <a:ext cx="5391150" cy="1133475"/>
                    </a:xfrm>
                    <a:prstGeom prst="rect">
                      <a:avLst/>
                    </a:prstGeom>
                    <a:noFill/>
                    <a:ln w="9525">
                      <a:noFill/>
                      <a:miter lim="800000"/>
                      <a:headEnd/>
                      <a:tailEnd/>
                    </a:ln>
                  </pic:spPr>
                </pic:pic>
              </a:graphicData>
            </a:graphic>
          </wp:inline>
        </w:drawing>
      </w:r>
    </w:p>
    <w:p w:rsidR="0065643F" w:rsidRDefault="008B661A" w:rsidP="0002035C">
      <w:pPr>
        <w:pStyle w:val="TableTitle"/>
        <w:rPr>
          <w:lang w:val="en-GB"/>
        </w:rPr>
      </w:pPr>
      <w:r>
        <w:br w:type="page"/>
      </w:r>
      <w:proofErr w:type="gramStart"/>
      <w:r w:rsidR="0065643F">
        <w:lastRenderedPageBreak/>
        <w:t xml:space="preserve">Table </w:t>
      </w:r>
      <w:r w:rsidR="00322788">
        <w:t>3</w:t>
      </w:r>
      <w:r w:rsidR="0065643F">
        <w:t>:</w:t>
      </w:r>
      <w:r w:rsidR="0065643F" w:rsidRPr="004C5C28">
        <w:t xml:space="preserve"> </w:t>
      </w:r>
      <w:r w:rsidR="0065643F" w:rsidRPr="0065643F">
        <w:t>Baseline data relating to disease state and treatment</w:t>
      </w:r>
      <w:r w:rsidR="0065643F">
        <w:t>.</w:t>
      </w:r>
      <w:proofErr w:type="gramEnd"/>
    </w:p>
    <w:p w:rsidR="007C241D" w:rsidRDefault="00192EAB" w:rsidP="0002035C">
      <w:r>
        <w:rPr>
          <w:noProof/>
          <w:lang w:eastAsia="en-AU"/>
        </w:rPr>
        <w:drawing>
          <wp:inline distT="0" distB="0" distL="0" distR="0">
            <wp:extent cx="5233670" cy="1570990"/>
            <wp:effectExtent l="19050" t="0" r="5080" b="0"/>
            <wp:docPr id="3" name="Picture 3" descr="Table 3: Baseline data relating to disease state an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 3: Baseline data relating to disease state and treatment."/>
                    <pic:cNvPicPr>
                      <a:picLocks noChangeAspect="1" noChangeArrowheads="1"/>
                    </pic:cNvPicPr>
                  </pic:nvPicPr>
                  <pic:blipFill>
                    <a:blip r:embed="rId16" cstate="print"/>
                    <a:srcRect/>
                    <a:stretch>
                      <a:fillRect/>
                    </a:stretch>
                  </pic:blipFill>
                  <pic:spPr bwMode="auto">
                    <a:xfrm>
                      <a:off x="0" y="0"/>
                      <a:ext cx="5233670" cy="1570990"/>
                    </a:xfrm>
                    <a:prstGeom prst="rect">
                      <a:avLst/>
                    </a:prstGeom>
                    <a:noFill/>
                    <a:ln w="9525">
                      <a:noFill/>
                      <a:miter lim="800000"/>
                      <a:headEnd/>
                      <a:tailEnd/>
                    </a:ln>
                  </pic:spPr>
                </pic:pic>
              </a:graphicData>
            </a:graphic>
          </wp:inline>
        </w:drawing>
      </w:r>
    </w:p>
    <w:p w:rsidR="00013C15" w:rsidRDefault="00013C15" w:rsidP="00013C15">
      <w:r>
        <w:t xml:space="preserve">The mean change from baseline in HbA1c is given </w:t>
      </w:r>
      <w:r w:rsidR="00844013">
        <w:t>in Figure 1</w:t>
      </w:r>
      <w:r>
        <w:t>.</w:t>
      </w:r>
    </w:p>
    <w:p w:rsidR="00013C15" w:rsidRPr="0002035C" w:rsidRDefault="00013C15" w:rsidP="0002035C">
      <w:pPr>
        <w:pStyle w:val="FigureTitle"/>
      </w:pPr>
      <w:r w:rsidRPr="0002035C">
        <w:t xml:space="preserve">Figure </w:t>
      </w:r>
      <w:r w:rsidR="00844013" w:rsidRPr="0002035C">
        <w:t>1</w:t>
      </w:r>
      <w:r w:rsidRPr="0002035C">
        <w:t xml:space="preserve">: </w:t>
      </w:r>
      <w:r w:rsidR="007F71D7" w:rsidRPr="0002035C">
        <w:t>Mean change from baseline in HbA1c</w:t>
      </w:r>
      <w:r w:rsidRPr="0002035C">
        <w:t>.</w:t>
      </w:r>
    </w:p>
    <w:p w:rsidR="0065643F" w:rsidRDefault="00192EAB" w:rsidP="0002035C">
      <w:r>
        <w:rPr>
          <w:noProof/>
          <w:lang w:eastAsia="en-AU"/>
        </w:rPr>
        <w:drawing>
          <wp:inline distT="0" distB="0" distL="0" distR="0">
            <wp:extent cx="4667250" cy="1643380"/>
            <wp:effectExtent l="19050" t="0" r="0" b="0"/>
            <wp:docPr id="4" name="Picture 4" descr="Figure 1: Mean change from baseline in HbA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Mean change from baseline in HbA1c."/>
                    <pic:cNvPicPr>
                      <a:picLocks noChangeAspect="1" noChangeArrowheads="1"/>
                    </pic:cNvPicPr>
                  </pic:nvPicPr>
                  <pic:blipFill>
                    <a:blip r:embed="rId17" cstate="print"/>
                    <a:srcRect/>
                    <a:stretch>
                      <a:fillRect/>
                    </a:stretch>
                  </pic:blipFill>
                  <pic:spPr bwMode="auto">
                    <a:xfrm>
                      <a:off x="0" y="0"/>
                      <a:ext cx="4667250" cy="1643380"/>
                    </a:xfrm>
                    <a:prstGeom prst="rect">
                      <a:avLst/>
                    </a:prstGeom>
                    <a:noFill/>
                    <a:ln w="9525">
                      <a:noFill/>
                      <a:miter lim="800000"/>
                      <a:headEnd/>
                      <a:tailEnd/>
                    </a:ln>
                  </pic:spPr>
                </pic:pic>
              </a:graphicData>
            </a:graphic>
          </wp:inline>
        </w:drawing>
      </w:r>
    </w:p>
    <w:p w:rsidR="00753120" w:rsidRDefault="00753120" w:rsidP="0002035C">
      <w:pPr>
        <w:rPr>
          <w:lang w:val="en-US"/>
        </w:rPr>
      </w:pPr>
      <w:r>
        <w:rPr>
          <w:lang w:val="en-US"/>
        </w:rPr>
        <w:t>The change</w:t>
      </w:r>
      <w:r w:rsidR="0002035C">
        <w:rPr>
          <w:lang w:val="en-US"/>
        </w:rPr>
        <w:t xml:space="preserve"> was statistically significant.</w:t>
      </w:r>
    </w:p>
    <w:p w:rsidR="00753120" w:rsidRDefault="00753120" w:rsidP="0002035C">
      <w:pPr>
        <w:rPr>
          <w:lang w:val="en-US"/>
        </w:rPr>
      </w:pPr>
      <w:r>
        <w:rPr>
          <w:lang w:val="en-US"/>
        </w:rPr>
        <w:t xml:space="preserve">Subjects were stratified based on baseline HbA1c </w:t>
      </w:r>
      <w:r w:rsidR="000B55A5">
        <w:rPr>
          <w:lang w:val="en-US"/>
        </w:rPr>
        <w:t>(</w:t>
      </w:r>
      <w:r w:rsidR="0002035C">
        <w:rPr>
          <w:lang w:val="en-US"/>
        </w:rPr>
        <w:sym w:font="Symbol" w:char="F0A3"/>
      </w:r>
      <w:r w:rsidR="000B55A5">
        <w:rPr>
          <w:lang w:val="en-US"/>
        </w:rPr>
        <w:t xml:space="preserve">8% and &gt; 8%). The changes in </w:t>
      </w:r>
      <w:r>
        <w:rPr>
          <w:lang w:val="en-US"/>
        </w:rPr>
        <w:t xml:space="preserve">&gt; 8% </w:t>
      </w:r>
      <w:r w:rsidR="000B55A5">
        <w:rPr>
          <w:lang w:val="en-US"/>
        </w:rPr>
        <w:t xml:space="preserve">subjects </w:t>
      </w:r>
      <w:r>
        <w:rPr>
          <w:lang w:val="en-US"/>
        </w:rPr>
        <w:t>w</w:t>
      </w:r>
      <w:r w:rsidR="000B55A5">
        <w:rPr>
          <w:lang w:val="en-US"/>
        </w:rPr>
        <w:t>ere</w:t>
      </w:r>
      <w:r>
        <w:rPr>
          <w:lang w:val="en-US"/>
        </w:rPr>
        <w:t xml:space="preserve"> greater with </w:t>
      </w:r>
      <w:proofErr w:type="spellStart"/>
      <w:r>
        <w:rPr>
          <w:lang w:val="en-US"/>
        </w:rPr>
        <w:t>exenatide</w:t>
      </w:r>
      <w:proofErr w:type="spellEnd"/>
      <w:r>
        <w:rPr>
          <w:lang w:val="en-US"/>
        </w:rPr>
        <w:t xml:space="preserve"> tre</w:t>
      </w:r>
      <w:r w:rsidR="000B55A5">
        <w:rPr>
          <w:lang w:val="en-US"/>
        </w:rPr>
        <w:t>atment</w:t>
      </w:r>
      <w:r w:rsidR="0002035C">
        <w:rPr>
          <w:lang w:val="en-US"/>
        </w:rPr>
        <w:t>.</w:t>
      </w:r>
    </w:p>
    <w:p w:rsidR="00753120" w:rsidRDefault="00753120" w:rsidP="0002035C">
      <w:pPr>
        <w:rPr>
          <w:lang w:val="en-US"/>
        </w:rPr>
      </w:pPr>
      <w:r>
        <w:rPr>
          <w:lang w:val="en-US"/>
        </w:rPr>
        <w:t>In relation to the secondary efficacy endpoints the evaluator contends that no adjustments were made regarding multiplicity issues. In view of this, the evaluator recommends that the results of the secondary e</w:t>
      </w:r>
      <w:r w:rsidR="0002035C">
        <w:rPr>
          <w:lang w:val="en-US"/>
        </w:rPr>
        <w:t>fficacy outcomes be discounted.</w:t>
      </w:r>
    </w:p>
    <w:p w:rsidR="00753120" w:rsidRDefault="00753120" w:rsidP="0002035C">
      <w:pPr>
        <w:rPr>
          <w:lang w:val="en-US"/>
        </w:rPr>
      </w:pPr>
      <w:r>
        <w:rPr>
          <w:lang w:val="en-US"/>
        </w:rPr>
        <w:t>Study IOPB did not contribute to efficacy as it did not</w:t>
      </w:r>
      <w:r w:rsidR="0002035C">
        <w:rPr>
          <w:lang w:val="en-US"/>
        </w:rPr>
        <w:t xml:space="preserve"> address the indication sought.</w:t>
      </w:r>
    </w:p>
    <w:p w:rsidR="00753120" w:rsidRDefault="00753120" w:rsidP="00753120">
      <w:pPr>
        <w:pStyle w:val="Heading4"/>
      </w:pPr>
      <w:r>
        <w:t>Safety</w:t>
      </w:r>
    </w:p>
    <w:p w:rsidR="00753120" w:rsidRDefault="00753120" w:rsidP="0002035C">
      <w:r>
        <w:t xml:space="preserve">Two studies are discussed: </w:t>
      </w:r>
      <w:r w:rsidR="00670DEB">
        <w:t>Studies GWCO and IOPB</w:t>
      </w:r>
      <w:r w:rsidR="0002035C">
        <w:t>.</w:t>
      </w:r>
    </w:p>
    <w:p w:rsidR="00753120" w:rsidRDefault="00753120" w:rsidP="0002035C">
      <w:r>
        <w:t>The evaluator states that Study IOPB did not provide evidence of efficacy; and safety data are of “marginal” value as only 2 subjects were relevant in relation to the combination sought.</w:t>
      </w:r>
    </w:p>
    <w:p w:rsidR="00753120" w:rsidRDefault="00753120" w:rsidP="0002035C">
      <w:r>
        <w:t xml:space="preserve">Overall, the results obtained with </w:t>
      </w:r>
      <w:proofErr w:type="spellStart"/>
      <w:r>
        <w:t>exenatide</w:t>
      </w:r>
      <w:proofErr w:type="spellEnd"/>
      <w:r w:rsidR="00670DEB">
        <w:t xml:space="preserve"> and</w:t>
      </w:r>
      <w:r>
        <w:t xml:space="preserve"> insulin in GWCO is “consistent with currently approved PI”.</w:t>
      </w:r>
    </w:p>
    <w:p w:rsidR="00753120" w:rsidRDefault="00753120" w:rsidP="00753120">
      <w:pPr>
        <w:pStyle w:val="Heading4"/>
      </w:pPr>
      <w:r>
        <w:t>Overall conclusions of the evaluator</w:t>
      </w:r>
    </w:p>
    <w:p w:rsidR="00753120" w:rsidRDefault="00753120" w:rsidP="0002035C">
      <w:r>
        <w:t xml:space="preserve">The evaluator mentions that data to support the use of </w:t>
      </w:r>
      <w:proofErr w:type="spellStart"/>
      <w:r>
        <w:t>exenatide</w:t>
      </w:r>
      <w:proofErr w:type="spellEnd"/>
      <w:r>
        <w:t xml:space="preserve"> with insulin </w:t>
      </w:r>
      <w:proofErr w:type="spellStart"/>
      <w:r>
        <w:t>glargine</w:t>
      </w:r>
      <w:proofErr w:type="spellEnd"/>
      <w:r>
        <w:t xml:space="preserve"> (without OAM) is insufficient based on Study GWCO. 14.7% of those in Study GWCO had insulin </w:t>
      </w:r>
      <w:proofErr w:type="spellStart"/>
      <w:r>
        <w:t>glargine</w:t>
      </w:r>
      <w:proofErr w:type="spellEnd"/>
      <w:r>
        <w:t xml:space="preserve"> only with </w:t>
      </w:r>
      <w:proofErr w:type="spellStart"/>
      <w:r>
        <w:t>exenatide</w:t>
      </w:r>
      <w:proofErr w:type="spellEnd"/>
      <w:r>
        <w:t xml:space="preserve"> or placeb</w:t>
      </w:r>
      <w:r w:rsidR="0002035C">
        <w:t>o added to their treatment.</w:t>
      </w:r>
    </w:p>
    <w:p w:rsidR="00753120" w:rsidRDefault="00753120" w:rsidP="0002035C">
      <w:r>
        <w:t>The evaluator recommends approval as follows:</w:t>
      </w:r>
    </w:p>
    <w:p w:rsidR="00753120" w:rsidRPr="007B5AF9" w:rsidRDefault="00753120" w:rsidP="007B5AF9">
      <w:pPr>
        <w:ind w:left="720"/>
        <w:rPr>
          <w:i/>
        </w:rPr>
      </w:pPr>
      <w:proofErr w:type="spellStart"/>
      <w:r w:rsidRPr="007B5AF9">
        <w:rPr>
          <w:i/>
          <w:iCs/>
          <w:lang w:val="en-US"/>
        </w:rPr>
        <w:t>Exenatide</w:t>
      </w:r>
      <w:proofErr w:type="spellEnd"/>
      <w:r w:rsidRPr="007B5AF9">
        <w:rPr>
          <w:i/>
          <w:iCs/>
          <w:lang w:val="en-US"/>
        </w:rPr>
        <w:t xml:space="preserve"> is indicated as adjunctive therapy to improve </w:t>
      </w:r>
      <w:proofErr w:type="spellStart"/>
      <w:r w:rsidRPr="007B5AF9">
        <w:rPr>
          <w:i/>
          <w:iCs/>
          <w:lang w:val="en-US"/>
        </w:rPr>
        <w:t>glycaemic</w:t>
      </w:r>
      <w:proofErr w:type="spellEnd"/>
      <w:r w:rsidRPr="007B5AF9">
        <w:rPr>
          <w:i/>
          <w:iCs/>
          <w:lang w:val="en-US"/>
        </w:rPr>
        <w:t xml:space="preserve"> control in patients with type 2 diabetes mellitus who are taking </w:t>
      </w:r>
      <w:proofErr w:type="spellStart"/>
      <w:r w:rsidRPr="007B5AF9">
        <w:rPr>
          <w:i/>
          <w:iCs/>
          <w:lang w:val="en-US"/>
        </w:rPr>
        <w:t>metformin</w:t>
      </w:r>
      <w:proofErr w:type="spellEnd"/>
      <w:r w:rsidRPr="007B5AF9">
        <w:rPr>
          <w:i/>
          <w:iCs/>
          <w:lang w:val="en-US"/>
        </w:rPr>
        <w:t xml:space="preserve">, a sulfonylurea, or a </w:t>
      </w:r>
      <w:r w:rsidRPr="007B5AF9">
        <w:rPr>
          <w:i/>
          <w:iCs/>
          <w:lang w:val="en-US"/>
        </w:rPr>
        <w:lastRenderedPageBreak/>
        <w:t xml:space="preserve">combination of </w:t>
      </w:r>
      <w:proofErr w:type="spellStart"/>
      <w:r w:rsidRPr="007B5AF9">
        <w:rPr>
          <w:i/>
          <w:iCs/>
          <w:lang w:val="en-US"/>
        </w:rPr>
        <w:t>metformin</w:t>
      </w:r>
      <w:proofErr w:type="spellEnd"/>
      <w:r w:rsidRPr="007B5AF9">
        <w:rPr>
          <w:i/>
          <w:iCs/>
          <w:lang w:val="en-US"/>
        </w:rPr>
        <w:t xml:space="preserve"> and a sulfonylurea, or a combination of </w:t>
      </w:r>
      <w:proofErr w:type="spellStart"/>
      <w:r w:rsidRPr="007B5AF9">
        <w:rPr>
          <w:i/>
          <w:iCs/>
          <w:lang w:val="en-US"/>
        </w:rPr>
        <w:t>metformin</w:t>
      </w:r>
      <w:proofErr w:type="spellEnd"/>
      <w:r w:rsidRPr="007B5AF9">
        <w:rPr>
          <w:i/>
          <w:iCs/>
          <w:lang w:val="en-US"/>
        </w:rPr>
        <w:t xml:space="preserve"> and a basal insulin, but are not achieving adequate </w:t>
      </w:r>
      <w:proofErr w:type="spellStart"/>
      <w:r w:rsidRPr="007B5AF9">
        <w:rPr>
          <w:i/>
          <w:iCs/>
          <w:lang w:val="en-US"/>
        </w:rPr>
        <w:t>glycaemic</w:t>
      </w:r>
      <w:proofErr w:type="spellEnd"/>
      <w:r w:rsidRPr="007B5AF9">
        <w:rPr>
          <w:i/>
          <w:iCs/>
          <w:lang w:val="en-US"/>
        </w:rPr>
        <w:t xml:space="preserve"> control.</w:t>
      </w:r>
    </w:p>
    <w:p w:rsidR="00753120" w:rsidRDefault="00753120" w:rsidP="0002035C">
      <w:r>
        <w:t>The evaluator recommends rejection of concomitant use with TZDs because,</w:t>
      </w:r>
    </w:p>
    <w:p w:rsidR="00753120" w:rsidRPr="00753120" w:rsidRDefault="00753120" w:rsidP="0002035C">
      <w:pPr>
        <w:pStyle w:val="ListBullet"/>
      </w:pPr>
      <w:r w:rsidRPr="00753120">
        <w:t>the use of a TZD in Study GWCO is uncontrolled, so its role in any efficacy outcome cannot be discerned; and</w:t>
      </w:r>
    </w:p>
    <w:p w:rsidR="00753120" w:rsidRPr="00753120" w:rsidRDefault="00753120" w:rsidP="0002035C">
      <w:pPr>
        <w:pStyle w:val="ListBullet"/>
      </w:pPr>
      <w:proofErr w:type="gramStart"/>
      <w:r w:rsidRPr="00753120">
        <w:t>particularly</w:t>
      </w:r>
      <w:proofErr w:type="gramEnd"/>
      <w:r w:rsidRPr="00753120">
        <w:t xml:space="preserve"> in the absence of </w:t>
      </w:r>
      <w:proofErr w:type="spellStart"/>
      <w:r w:rsidRPr="00753120">
        <w:t>metformin</w:t>
      </w:r>
      <w:proofErr w:type="spellEnd"/>
      <w:r w:rsidRPr="00753120">
        <w:t>, the number of relevant cases is insuffi</w:t>
      </w:r>
      <w:r w:rsidR="002C1078">
        <w:t>cient</w:t>
      </w:r>
      <w:r w:rsidRPr="00753120">
        <w:t>.</w:t>
      </w:r>
    </w:p>
    <w:p w:rsidR="008E7846" w:rsidRDefault="00386150" w:rsidP="008E7846">
      <w:pPr>
        <w:pStyle w:val="Heading3"/>
        <w:rPr>
          <w:lang w:eastAsia="en-AU"/>
        </w:rPr>
      </w:pPr>
      <w:bookmarkStart w:id="115" w:name="_Toc314842514"/>
      <w:bookmarkStart w:id="116" w:name="_Toc361226869"/>
      <w:r>
        <w:rPr>
          <w:lang w:eastAsia="en-AU"/>
        </w:rPr>
        <w:t>Risk m</w:t>
      </w:r>
      <w:r w:rsidR="008E7846">
        <w:rPr>
          <w:lang w:eastAsia="en-AU"/>
        </w:rPr>
        <w:t xml:space="preserve">anagement </w:t>
      </w:r>
      <w:r>
        <w:rPr>
          <w:lang w:eastAsia="en-AU"/>
        </w:rPr>
        <w:t>p</w:t>
      </w:r>
      <w:r w:rsidR="008E7846">
        <w:rPr>
          <w:lang w:eastAsia="en-AU"/>
        </w:rPr>
        <w:t>lan</w:t>
      </w:r>
      <w:bookmarkEnd w:id="115"/>
      <w:bookmarkEnd w:id="116"/>
    </w:p>
    <w:p w:rsidR="0080273C" w:rsidRPr="00F96911" w:rsidRDefault="0080273C" w:rsidP="0002035C">
      <w:r>
        <w:t>The RMP evaluation is attached. Some PI a</w:t>
      </w:r>
      <w:r w:rsidR="0002035C">
        <w:t>nd CMI amendments are proposed.</w:t>
      </w:r>
    </w:p>
    <w:p w:rsidR="0080273C" w:rsidRDefault="0080273C" w:rsidP="0002035C">
      <w:r>
        <w:t>Overall, the evaluator recommends that the RMP is “supportive to the application”.</w:t>
      </w:r>
    </w:p>
    <w:p w:rsidR="008E7846" w:rsidRDefault="00AA0ED0" w:rsidP="008E7846">
      <w:pPr>
        <w:pStyle w:val="Heading3"/>
      </w:pPr>
      <w:bookmarkStart w:id="117" w:name="_Toc247691531"/>
      <w:bookmarkStart w:id="118" w:name="_Toc314842515"/>
      <w:bookmarkStart w:id="119" w:name="_Toc361226870"/>
      <w:bookmarkStart w:id="120" w:name="_Toc196046505"/>
      <w:bookmarkStart w:id="121" w:name="_Toc196046949"/>
      <w:r>
        <w:t>Risk-benefit a</w:t>
      </w:r>
      <w:r w:rsidR="008E7846">
        <w:t>nalysis</w:t>
      </w:r>
      <w:bookmarkEnd w:id="117"/>
      <w:bookmarkEnd w:id="118"/>
      <w:bookmarkEnd w:id="119"/>
    </w:p>
    <w:p w:rsidR="008E7846" w:rsidRDefault="008E7846" w:rsidP="008E7846">
      <w:pPr>
        <w:pStyle w:val="Heading4"/>
      </w:pPr>
      <w:r>
        <w:t xml:space="preserve">Delegate </w:t>
      </w:r>
      <w:r w:rsidR="00ED3CAD">
        <w:t>c</w:t>
      </w:r>
      <w:r>
        <w:t>onsiderations</w:t>
      </w:r>
    </w:p>
    <w:p w:rsidR="0080273C" w:rsidRDefault="0080273C" w:rsidP="0002035C">
      <w:proofErr w:type="spellStart"/>
      <w:r>
        <w:t>Exenatide</w:t>
      </w:r>
      <w:proofErr w:type="spellEnd"/>
      <w:r>
        <w:t xml:space="preserve"> in comb</w:t>
      </w:r>
      <w:r w:rsidR="002C1078">
        <w:t xml:space="preserve">ination with TZDs </w:t>
      </w:r>
      <w:r>
        <w:t xml:space="preserve">was rejected by </w:t>
      </w:r>
      <w:r w:rsidR="002C1078">
        <w:t xml:space="preserve">the </w:t>
      </w:r>
      <w:r>
        <w:t>TGA in Feb</w:t>
      </w:r>
      <w:r w:rsidR="002C1078">
        <w:t>ruary</w:t>
      </w:r>
      <w:r>
        <w:t xml:space="preserve"> 2012, based essentiall</w:t>
      </w:r>
      <w:r w:rsidR="002C1078">
        <w:t xml:space="preserve">y on insufficient safety data. </w:t>
      </w:r>
      <w:r>
        <w:t>This application was considered by ACPM at the 2011 December meeting; the Committee recommended rejection (Res 9609).</w:t>
      </w:r>
    </w:p>
    <w:p w:rsidR="0080273C" w:rsidRDefault="0080273C" w:rsidP="0002035C">
      <w:r>
        <w:t>The current submission also includes a small data set (n=25) who were giv</w:t>
      </w:r>
      <w:r w:rsidR="002C1078">
        <w:t xml:space="preserve">en </w:t>
      </w:r>
      <w:proofErr w:type="spellStart"/>
      <w:r w:rsidR="002C1078">
        <w:t>pioglitazone</w:t>
      </w:r>
      <w:proofErr w:type="spellEnd"/>
      <w:r w:rsidR="002C1078">
        <w:t xml:space="preserve"> in Study GWCO. The delegate</w:t>
      </w:r>
      <w:r>
        <w:t xml:space="preserve"> agree</w:t>
      </w:r>
      <w:r w:rsidR="002C1078">
        <w:t>s</w:t>
      </w:r>
      <w:r>
        <w:t xml:space="preserve"> with the evaluator that the data are inadequate to establish efficacy or safety of combination use (TZDs and in</w:t>
      </w:r>
      <w:r w:rsidR="0002035C">
        <w:t>sulin) and recommend rejection.</w:t>
      </w:r>
    </w:p>
    <w:p w:rsidR="0080273C" w:rsidRDefault="0080273C" w:rsidP="0080273C">
      <w:pPr>
        <w:pStyle w:val="Heading4"/>
      </w:pPr>
      <w:r w:rsidRPr="00DF390A">
        <w:t>Questions to the Committee:</w:t>
      </w:r>
    </w:p>
    <w:p w:rsidR="0080273C" w:rsidRPr="00753120" w:rsidRDefault="0080273C" w:rsidP="0002035C">
      <w:pPr>
        <w:pStyle w:val="Numberbullet0"/>
        <w:numPr>
          <w:ilvl w:val="0"/>
          <w:numId w:val="36"/>
        </w:numPr>
      </w:pPr>
      <w:r w:rsidRPr="00753120">
        <w:t xml:space="preserve">Is the evidence of efficacy seen in the </w:t>
      </w:r>
      <w:r w:rsidR="0058592F">
        <w:t>f</w:t>
      </w:r>
      <w:r w:rsidRPr="00753120">
        <w:t>igure on page 3 compelling, considering that there was a significant placebo effect? Should this figure be included in the PI?</w:t>
      </w:r>
    </w:p>
    <w:p w:rsidR="0080273C" w:rsidRPr="00753120" w:rsidRDefault="0080273C" w:rsidP="0002035C">
      <w:pPr>
        <w:pStyle w:val="Numberbullet0"/>
        <w:numPr>
          <w:ilvl w:val="0"/>
          <w:numId w:val="36"/>
        </w:numPr>
      </w:pPr>
      <w:r w:rsidRPr="00753120">
        <w:t>Is this (evidence of efficacy) likely to</w:t>
      </w:r>
      <w:r w:rsidR="0058592F">
        <w:t xml:space="preserve"> be seen in the “real </w:t>
      </w:r>
      <w:r w:rsidRPr="00753120">
        <w:t>world” situation?</w:t>
      </w:r>
    </w:p>
    <w:p w:rsidR="0080273C" w:rsidRPr="00753120" w:rsidRDefault="0080273C" w:rsidP="0002035C">
      <w:pPr>
        <w:pStyle w:val="Numberbullet0"/>
        <w:numPr>
          <w:ilvl w:val="0"/>
          <w:numId w:val="36"/>
        </w:numPr>
      </w:pPr>
      <w:r w:rsidRPr="00753120">
        <w:t xml:space="preserve">There </w:t>
      </w:r>
      <w:r w:rsidR="0058592F">
        <w:t>has been no comparative study versus</w:t>
      </w:r>
      <w:r w:rsidRPr="00753120">
        <w:t xml:space="preserve"> basal bolus regimen. Thus, when there is secondary failure there is a need to cease </w:t>
      </w:r>
      <w:proofErr w:type="spellStart"/>
      <w:r w:rsidRPr="00753120">
        <w:t>exenatide</w:t>
      </w:r>
      <w:proofErr w:type="spellEnd"/>
      <w:r w:rsidRPr="00753120">
        <w:t xml:space="preserve"> and commence basal bolus insulin therapy. Sho</w:t>
      </w:r>
      <w:r w:rsidR="0002035C">
        <w:t>uld this be included in the PI?</w:t>
      </w:r>
    </w:p>
    <w:p w:rsidR="0080273C" w:rsidRDefault="0002035C" w:rsidP="0080273C">
      <w:pPr>
        <w:pStyle w:val="Heading4"/>
      </w:pPr>
      <w:r>
        <w:t>Proposed action</w:t>
      </w:r>
    </w:p>
    <w:p w:rsidR="0080273C" w:rsidRPr="00A27088" w:rsidRDefault="0080273C" w:rsidP="0002035C">
      <w:r>
        <w:t xml:space="preserve">In relation to combined use with basal insulin, the </w:t>
      </w:r>
      <w:r w:rsidR="0058592F">
        <w:t>d</w:t>
      </w:r>
      <w:r>
        <w:t xml:space="preserve">elegate agrees with the evaluator and recommends that </w:t>
      </w:r>
      <w:proofErr w:type="spellStart"/>
      <w:r w:rsidRPr="00A27088">
        <w:rPr>
          <w:lang w:val="en-US"/>
        </w:rPr>
        <w:t>Exenatide</w:t>
      </w:r>
      <w:proofErr w:type="spellEnd"/>
      <w:r w:rsidRPr="00A27088">
        <w:rPr>
          <w:lang w:val="en-US"/>
        </w:rPr>
        <w:t xml:space="preserve"> is indicated as adjunctive therapy to improve </w:t>
      </w:r>
      <w:proofErr w:type="spellStart"/>
      <w:r w:rsidRPr="00A27088">
        <w:rPr>
          <w:lang w:val="en-US"/>
        </w:rPr>
        <w:t>glycaemic</w:t>
      </w:r>
      <w:proofErr w:type="spellEnd"/>
      <w:r w:rsidRPr="00A27088">
        <w:rPr>
          <w:lang w:val="en-US"/>
        </w:rPr>
        <w:t xml:space="preserve"> control in patients with </w:t>
      </w:r>
      <w:r w:rsidR="0058592F">
        <w:rPr>
          <w:lang w:val="en-US"/>
        </w:rPr>
        <w:t>T2DM</w:t>
      </w:r>
      <w:r w:rsidRPr="00A27088">
        <w:rPr>
          <w:lang w:val="en-US"/>
        </w:rPr>
        <w:t xml:space="preserve"> who are taking </w:t>
      </w:r>
      <w:proofErr w:type="spellStart"/>
      <w:r w:rsidRPr="00A27088">
        <w:rPr>
          <w:lang w:val="en-US"/>
        </w:rPr>
        <w:t>metformin</w:t>
      </w:r>
      <w:proofErr w:type="spellEnd"/>
      <w:r w:rsidRPr="00A27088">
        <w:rPr>
          <w:lang w:val="en-US"/>
        </w:rPr>
        <w:t xml:space="preserve">, a sulfonylurea, or a combination of </w:t>
      </w:r>
      <w:proofErr w:type="spellStart"/>
      <w:r w:rsidRPr="00A27088">
        <w:rPr>
          <w:lang w:val="en-US"/>
        </w:rPr>
        <w:t>metformin</w:t>
      </w:r>
      <w:proofErr w:type="spellEnd"/>
      <w:r w:rsidRPr="00A27088">
        <w:rPr>
          <w:lang w:val="en-US"/>
        </w:rPr>
        <w:t xml:space="preserve"> and a sulfonylurea, or a combination of </w:t>
      </w:r>
      <w:proofErr w:type="spellStart"/>
      <w:r w:rsidRPr="00A27088">
        <w:rPr>
          <w:lang w:val="en-US"/>
        </w:rPr>
        <w:t>metformin</w:t>
      </w:r>
      <w:proofErr w:type="spellEnd"/>
      <w:r w:rsidRPr="00A27088">
        <w:rPr>
          <w:lang w:val="en-US"/>
        </w:rPr>
        <w:t xml:space="preserve"> and a basal insulin, but are not achieving adequate </w:t>
      </w:r>
      <w:proofErr w:type="spellStart"/>
      <w:r w:rsidRPr="00A27088">
        <w:rPr>
          <w:lang w:val="en-US"/>
        </w:rPr>
        <w:t>glycaemic</w:t>
      </w:r>
      <w:proofErr w:type="spellEnd"/>
      <w:r w:rsidRPr="00A27088">
        <w:rPr>
          <w:lang w:val="en-US"/>
        </w:rPr>
        <w:t xml:space="preserve"> control.</w:t>
      </w:r>
    </w:p>
    <w:p w:rsidR="0080273C" w:rsidRDefault="0080273C" w:rsidP="0002035C">
      <w:r>
        <w:t>The Committee’s advice is sought.</w:t>
      </w:r>
    </w:p>
    <w:p w:rsidR="008E7846" w:rsidRDefault="008E7846" w:rsidP="008E7846">
      <w:pPr>
        <w:pStyle w:val="Heading4"/>
      </w:pPr>
      <w:r>
        <w:t xml:space="preserve">Response from </w:t>
      </w:r>
      <w:r w:rsidR="004F0920">
        <w:t>s</w:t>
      </w:r>
      <w:r>
        <w:t>ponsor</w:t>
      </w:r>
    </w:p>
    <w:p w:rsidR="008E7846" w:rsidRDefault="005B0FC1" w:rsidP="0002035C">
      <w:r w:rsidRPr="005B0FC1">
        <w:t>Eli Lilly and Company (Lilly) ackn</w:t>
      </w:r>
      <w:r>
        <w:t>owledges receipt of the Delegate’</w:t>
      </w:r>
      <w:r w:rsidRPr="005B0FC1">
        <w:t xml:space="preserve">s </w:t>
      </w:r>
      <w:r w:rsidR="0058592F">
        <w:t>o</w:t>
      </w:r>
      <w:r w:rsidRPr="005B0FC1">
        <w:t>verview which includes the</w:t>
      </w:r>
      <w:r>
        <w:t xml:space="preserve"> </w:t>
      </w:r>
      <w:r w:rsidRPr="005B0FC1">
        <w:t>recommendation of approval of the application with an amended indication. Lilly wishes to thank the</w:t>
      </w:r>
      <w:r>
        <w:t xml:space="preserve"> </w:t>
      </w:r>
      <w:r w:rsidRPr="005B0FC1">
        <w:t>TGA for this opportunity to provide comments.</w:t>
      </w:r>
    </w:p>
    <w:p w:rsidR="009C1DD1" w:rsidRDefault="009C1DD1" w:rsidP="009C1DD1">
      <w:pPr>
        <w:pStyle w:val="Heading5"/>
      </w:pPr>
      <w:r>
        <w:t xml:space="preserve">Combination use with insulin: Approval </w:t>
      </w:r>
      <w:r w:rsidR="008B661A">
        <w:t>s</w:t>
      </w:r>
      <w:r>
        <w:t xml:space="preserve">tatus in the </w:t>
      </w:r>
      <w:r w:rsidR="008B661A">
        <w:t>US</w:t>
      </w:r>
      <w:r>
        <w:t xml:space="preserve"> and </w:t>
      </w:r>
      <w:r w:rsidR="008B661A">
        <w:t>EU</w:t>
      </w:r>
    </w:p>
    <w:p w:rsidR="009C1DD1" w:rsidRDefault="009C1DD1" w:rsidP="0002035C">
      <w:r>
        <w:t>The s</w:t>
      </w:r>
      <w:r w:rsidR="00244FFC">
        <w:t>ubmission in the US</w:t>
      </w:r>
      <w:r>
        <w:t xml:space="preserve"> included Study GWCO and was approved on 19 October 2011.</w:t>
      </w:r>
    </w:p>
    <w:p w:rsidR="009C1DD1" w:rsidRDefault="009C1DD1" w:rsidP="0002035C">
      <w:r>
        <w:lastRenderedPageBreak/>
        <w:t>The label is published on the FDA website.</w:t>
      </w:r>
    </w:p>
    <w:p w:rsidR="0038481F" w:rsidRDefault="0038481F" w:rsidP="0002035C">
      <w:r>
        <w:t>The approved indication is:</w:t>
      </w:r>
    </w:p>
    <w:p w:rsidR="009C1DD1" w:rsidRPr="0038481F" w:rsidRDefault="00244FFC" w:rsidP="0038481F">
      <w:pPr>
        <w:ind w:left="720"/>
        <w:rPr>
          <w:i/>
        </w:rPr>
      </w:pPr>
      <w:r>
        <w:rPr>
          <w:i/>
        </w:rPr>
        <w:t>“</w:t>
      </w:r>
      <w:proofErr w:type="spellStart"/>
      <w:r w:rsidR="008B661A" w:rsidRPr="0038481F">
        <w:rPr>
          <w:i/>
        </w:rPr>
        <w:t>B</w:t>
      </w:r>
      <w:r w:rsidR="008B661A">
        <w:rPr>
          <w:i/>
        </w:rPr>
        <w:t>yetta</w:t>
      </w:r>
      <w:proofErr w:type="spellEnd"/>
      <w:r>
        <w:rPr>
          <w:i/>
        </w:rPr>
        <w:t xml:space="preserve"> is a glucagon </w:t>
      </w:r>
      <w:r w:rsidR="009C1DD1" w:rsidRPr="0038481F">
        <w:rPr>
          <w:i/>
        </w:rPr>
        <w:t>like peptide-1 (GLP-1) receptor agonist indicated as</w:t>
      </w:r>
      <w:r w:rsidR="0038481F" w:rsidRPr="0038481F">
        <w:rPr>
          <w:i/>
        </w:rPr>
        <w:t xml:space="preserve"> </w:t>
      </w:r>
      <w:r w:rsidR="009C1DD1" w:rsidRPr="0038481F">
        <w:rPr>
          <w:i/>
        </w:rPr>
        <w:t xml:space="preserve">an adjunct to diet and exercise to improve </w:t>
      </w:r>
      <w:proofErr w:type="spellStart"/>
      <w:r w:rsidR="009C1DD1" w:rsidRPr="0038481F">
        <w:rPr>
          <w:i/>
        </w:rPr>
        <w:t>glycaemic</w:t>
      </w:r>
      <w:proofErr w:type="spellEnd"/>
      <w:r w:rsidR="009C1DD1" w:rsidRPr="0038481F">
        <w:rPr>
          <w:i/>
        </w:rPr>
        <w:t xml:space="preserve"> control in adults with type 2 diabetes mellitus.”</w:t>
      </w:r>
    </w:p>
    <w:p w:rsidR="0038481F" w:rsidRDefault="009C1DD1" w:rsidP="009C1DD1">
      <w:r>
        <w:t>The label descri</w:t>
      </w:r>
      <w:r w:rsidR="0038481F">
        <w:t>bes the results from Study GWCO:</w:t>
      </w:r>
    </w:p>
    <w:p w:rsidR="009C1DD1" w:rsidRPr="0038481F" w:rsidRDefault="00244FFC" w:rsidP="0038481F">
      <w:pPr>
        <w:ind w:firstLine="720"/>
        <w:rPr>
          <w:i/>
        </w:rPr>
      </w:pPr>
      <w:r>
        <w:rPr>
          <w:i/>
        </w:rPr>
        <w:t xml:space="preserve">“Add </w:t>
      </w:r>
      <w:r w:rsidR="009C1DD1" w:rsidRPr="0038481F">
        <w:rPr>
          <w:i/>
        </w:rPr>
        <w:t xml:space="preserve">on to insulin </w:t>
      </w:r>
      <w:proofErr w:type="spellStart"/>
      <w:r w:rsidR="009C1DD1" w:rsidRPr="0038481F">
        <w:rPr>
          <w:i/>
        </w:rPr>
        <w:t>glargine</w:t>
      </w:r>
      <w:proofErr w:type="spellEnd"/>
      <w:r w:rsidR="009C1DD1" w:rsidRPr="0038481F">
        <w:rPr>
          <w:i/>
        </w:rPr>
        <w:t xml:space="preserve"> with or without </w:t>
      </w:r>
      <w:proofErr w:type="spellStart"/>
      <w:r w:rsidR="009C1DD1" w:rsidRPr="0038481F">
        <w:rPr>
          <w:i/>
        </w:rPr>
        <w:t>metformin</w:t>
      </w:r>
      <w:proofErr w:type="spellEnd"/>
      <w:r w:rsidR="0038481F" w:rsidRPr="0038481F">
        <w:rPr>
          <w:i/>
        </w:rPr>
        <w:t xml:space="preserve"> </w:t>
      </w:r>
      <w:r w:rsidR="009C1DD1" w:rsidRPr="0038481F">
        <w:rPr>
          <w:i/>
        </w:rPr>
        <w:t xml:space="preserve">and/or </w:t>
      </w:r>
      <w:proofErr w:type="spellStart"/>
      <w:r w:rsidR="009C1DD1" w:rsidRPr="0038481F">
        <w:rPr>
          <w:i/>
        </w:rPr>
        <w:t>thiazolidinedione</w:t>
      </w:r>
      <w:proofErr w:type="spellEnd"/>
      <w:r w:rsidR="009C1DD1" w:rsidRPr="0038481F">
        <w:rPr>
          <w:i/>
        </w:rPr>
        <w:t>.”</w:t>
      </w:r>
    </w:p>
    <w:p w:rsidR="0038481F" w:rsidRDefault="009C1DD1" w:rsidP="009C1DD1">
      <w:r>
        <w:t>The su</w:t>
      </w:r>
      <w:r w:rsidR="00244FFC">
        <w:t>bmission in the EU</w:t>
      </w:r>
      <w:r>
        <w:t xml:space="preserve"> consisted of Studies GWCO and IOPB and was approved on</w:t>
      </w:r>
      <w:r w:rsidR="0038481F">
        <w:t xml:space="preserve"> </w:t>
      </w:r>
      <w:r>
        <w:t>19 March 2012. Information from Studies GWCO and IOPB are provided in the label. The approved</w:t>
      </w:r>
      <w:r w:rsidR="0038481F">
        <w:t xml:space="preserve"> </w:t>
      </w:r>
      <w:r>
        <w:t>indication is</w:t>
      </w:r>
      <w:r w:rsidR="0038481F">
        <w:t>:</w:t>
      </w:r>
    </w:p>
    <w:p w:rsidR="009C1DD1" w:rsidRPr="0038481F" w:rsidRDefault="009C1DD1" w:rsidP="0038481F">
      <w:pPr>
        <w:ind w:left="720"/>
        <w:rPr>
          <w:i/>
        </w:rPr>
      </w:pPr>
      <w:r w:rsidRPr="0038481F">
        <w:rPr>
          <w:i/>
        </w:rPr>
        <w:t>“</w:t>
      </w:r>
      <w:proofErr w:type="spellStart"/>
      <w:r w:rsidRPr="0038481F">
        <w:rPr>
          <w:i/>
        </w:rPr>
        <w:t>B</w:t>
      </w:r>
      <w:r w:rsidR="008B661A">
        <w:rPr>
          <w:i/>
        </w:rPr>
        <w:t>yetta</w:t>
      </w:r>
      <w:proofErr w:type="spellEnd"/>
      <w:r w:rsidRPr="0038481F">
        <w:rPr>
          <w:i/>
        </w:rPr>
        <w:t xml:space="preserve"> is also indicated as adjunctive therapy to basal insulin with or without </w:t>
      </w:r>
      <w:proofErr w:type="spellStart"/>
      <w:r w:rsidRPr="0038481F">
        <w:rPr>
          <w:i/>
        </w:rPr>
        <w:t>metformin</w:t>
      </w:r>
      <w:proofErr w:type="spellEnd"/>
      <w:r w:rsidR="0038481F" w:rsidRPr="0038481F">
        <w:rPr>
          <w:i/>
        </w:rPr>
        <w:t xml:space="preserve"> </w:t>
      </w:r>
      <w:r w:rsidRPr="0038481F">
        <w:rPr>
          <w:i/>
        </w:rPr>
        <w:t xml:space="preserve">and/or </w:t>
      </w:r>
      <w:proofErr w:type="spellStart"/>
      <w:r w:rsidRPr="0038481F">
        <w:rPr>
          <w:i/>
        </w:rPr>
        <w:t>pioglitazone</w:t>
      </w:r>
      <w:proofErr w:type="spellEnd"/>
      <w:r w:rsidRPr="0038481F">
        <w:rPr>
          <w:i/>
        </w:rPr>
        <w:t xml:space="preserve"> in adults who have not achieved adequate </w:t>
      </w:r>
      <w:proofErr w:type="spellStart"/>
      <w:r w:rsidRPr="0038481F">
        <w:rPr>
          <w:i/>
        </w:rPr>
        <w:t>glycaemic</w:t>
      </w:r>
      <w:proofErr w:type="spellEnd"/>
      <w:r w:rsidRPr="0038481F">
        <w:rPr>
          <w:i/>
        </w:rPr>
        <w:t xml:space="preserve"> control with these agents.”</w:t>
      </w:r>
    </w:p>
    <w:p w:rsidR="005B0FC1" w:rsidRDefault="009C1DD1" w:rsidP="0002035C">
      <w:r>
        <w:t>The label is published on the European Commission website</w:t>
      </w:r>
      <w:r w:rsidR="0038481F">
        <w:t>.</w:t>
      </w:r>
    </w:p>
    <w:p w:rsidR="006A0B99" w:rsidRPr="006A0B99" w:rsidRDefault="0002035C" w:rsidP="00C2192A">
      <w:pPr>
        <w:pStyle w:val="Heading5"/>
        <w:rPr>
          <w:rFonts w:eastAsia="Arial,BoldItalic"/>
        </w:rPr>
      </w:pPr>
      <w:r>
        <w:rPr>
          <w:rFonts w:eastAsia="Arial,BoldItalic"/>
        </w:rPr>
        <w:t>Study GWCO s</w:t>
      </w:r>
      <w:r w:rsidR="006A0B99" w:rsidRPr="006A0B99">
        <w:rPr>
          <w:rFonts w:eastAsia="Arial,BoldItalic"/>
        </w:rPr>
        <w:t xml:space="preserve">econdary </w:t>
      </w:r>
      <w:r>
        <w:rPr>
          <w:rFonts w:eastAsia="Arial,BoldItalic"/>
        </w:rPr>
        <w:t>e</w:t>
      </w:r>
      <w:r w:rsidR="006A0B99" w:rsidRPr="006A0B99">
        <w:rPr>
          <w:rFonts w:eastAsia="Arial,BoldItalic"/>
        </w:rPr>
        <w:t>ndpoints</w:t>
      </w:r>
    </w:p>
    <w:p w:rsidR="006A0B99" w:rsidRPr="006A0B99" w:rsidRDefault="006A0B99" w:rsidP="0002035C">
      <w:r w:rsidRPr="006A0B99">
        <w:t>The evaluator comments that since no adjustments were made regarding multiplicity issues the results of</w:t>
      </w:r>
      <w:r>
        <w:t xml:space="preserve"> </w:t>
      </w:r>
      <w:r w:rsidRPr="006A0B99">
        <w:t>the secondary efficacy outcomes should be discounted.</w:t>
      </w:r>
    </w:p>
    <w:p w:rsidR="006A0B99" w:rsidRPr="006A0B99" w:rsidRDefault="006A0B99" w:rsidP="0002035C">
      <w:r>
        <w:t>Lilly acknowledges the evaluator’</w:t>
      </w:r>
      <w:r w:rsidRPr="006A0B99">
        <w:t>s comment on the lack of multiplicity adjustment for the secondary</w:t>
      </w:r>
      <w:r>
        <w:t xml:space="preserve"> </w:t>
      </w:r>
      <w:proofErr w:type="gramStart"/>
      <w:r w:rsidRPr="006A0B99">
        <w:t>endpoints,</w:t>
      </w:r>
      <w:proofErr w:type="gramEnd"/>
      <w:r w:rsidRPr="006A0B99">
        <w:t xml:space="preserve"> however, the summaries of the secondary variables provide valuable clinical information to</w:t>
      </w:r>
      <w:r>
        <w:t xml:space="preserve"> </w:t>
      </w:r>
      <w:r w:rsidRPr="006A0B99">
        <w:t xml:space="preserve">potential prescribers of </w:t>
      </w:r>
      <w:proofErr w:type="spellStart"/>
      <w:r w:rsidRPr="006A0B99">
        <w:t>exenatide</w:t>
      </w:r>
      <w:proofErr w:type="spellEnd"/>
      <w:r w:rsidRPr="006A0B99">
        <w:t xml:space="preserve"> in combination with insulin.</w:t>
      </w:r>
    </w:p>
    <w:p w:rsidR="006A0B99" w:rsidRPr="006A0B99" w:rsidRDefault="006A0B99" w:rsidP="0002035C">
      <w:r w:rsidRPr="006A0B99">
        <w:t>Healthcare providers and patients are concerned about weight gain as a result of insulin use; therefore,</w:t>
      </w:r>
      <w:r>
        <w:t xml:space="preserve"> </w:t>
      </w:r>
      <w:r w:rsidRPr="006A0B99">
        <w:t>this information is useful to convey. A disadvantage of current insulin therapy is that intensive glucose</w:t>
      </w:r>
      <w:r>
        <w:t xml:space="preserve"> </w:t>
      </w:r>
      <w:r w:rsidRPr="006A0B99">
        <w:t xml:space="preserve">lowering is almost always accompanied by weight gain, which may confound detection of </w:t>
      </w:r>
      <w:proofErr w:type="spellStart"/>
      <w:r w:rsidRPr="006A0B99">
        <w:t>macrovascular</w:t>
      </w:r>
      <w:proofErr w:type="spellEnd"/>
      <w:r>
        <w:t xml:space="preserve"> </w:t>
      </w:r>
      <w:r w:rsidRPr="006A0B99">
        <w:t xml:space="preserve">benefit. With </w:t>
      </w:r>
      <w:proofErr w:type="spellStart"/>
      <w:r w:rsidRPr="006A0B99">
        <w:t>exenatide</w:t>
      </w:r>
      <w:proofErr w:type="spellEnd"/>
      <w:r w:rsidRPr="006A0B99">
        <w:t xml:space="preserve">, improved </w:t>
      </w:r>
      <w:proofErr w:type="spellStart"/>
      <w:r w:rsidRPr="006A0B99">
        <w:t>glycaemic</w:t>
      </w:r>
      <w:proofErr w:type="spellEnd"/>
      <w:r w:rsidRPr="006A0B99">
        <w:t xml:space="preserve"> control is achieved without weight gain (even when used in</w:t>
      </w:r>
      <w:r>
        <w:t xml:space="preserve"> </w:t>
      </w:r>
      <w:r w:rsidRPr="006A0B99">
        <w:t>combination with long</w:t>
      </w:r>
      <w:r w:rsidR="0027674D">
        <w:t xml:space="preserve"> </w:t>
      </w:r>
      <w:r w:rsidRPr="006A0B99">
        <w:t>acting insulin) and with added benefits of modest improvements in blood pressure</w:t>
      </w:r>
      <w:r>
        <w:t xml:space="preserve"> </w:t>
      </w:r>
      <w:r w:rsidRPr="006A0B99">
        <w:t>and lipid profiles. Maintenance of body weight (or for subjects who are overweight or obese, modest</w:t>
      </w:r>
      <w:r>
        <w:t xml:space="preserve"> </w:t>
      </w:r>
      <w:r w:rsidRPr="006A0B99">
        <w:t>weight loss), especially in subjects receiving insulin therapy, may further reduce attendant long</w:t>
      </w:r>
      <w:r w:rsidR="0027674D">
        <w:t xml:space="preserve"> </w:t>
      </w:r>
      <w:r w:rsidRPr="006A0B99">
        <w:t>term risks</w:t>
      </w:r>
      <w:r>
        <w:t xml:space="preserve"> </w:t>
      </w:r>
      <w:r w:rsidRPr="006A0B99">
        <w:t>of diabetes.</w:t>
      </w:r>
    </w:p>
    <w:p w:rsidR="006A0B99" w:rsidRPr="006A0B99" w:rsidRDefault="006A0B99" w:rsidP="0002035C">
      <w:r w:rsidRPr="006A0B99">
        <w:t>A physician may benefit from considering the effect</w:t>
      </w:r>
      <w:r w:rsidR="002A158D">
        <w:t xml:space="preserve">s of </w:t>
      </w:r>
      <w:proofErr w:type="spellStart"/>
      <w:r w:rsidR="002A158D">
        <w:t>exenatide</w:t>
      </w:r>
      <w:proofErr w:type="spellEnd"/>
      <w:r w:rsidR="002A158D">
        <w:t xml:space="preserve"> on reducing post </w:t>
      </w:r>
      <w:r w:rsidRPr="006A0B99">
        <w:t>breakfast and</w:t>
      </w:r>
      <w:r>
        <w:t xml:space="preserve"> </w:t>
      </w:r>
      <w:r w:rsidR="002A158D">
        <w:t xml:space="preserve">post </w:t>
      </w:r>
      <w:r w:rsidRPr="006A0B99">
        <w:t>dinner glucose excursions. These are the main secondary efficacy endpoints of Study GWCO,</w:t>
      </w:r>
      <w:r>
        <w:t xml:space="preserve"> </w:t>
      </w:r>
      <w:r w:rsidRPr="006A0B99">
        <w:t xml:space="preserve">which was purposely designed to evaluate the complementary effects of basal insulin and </w:t>
      </w:r>
      <w:proofErr w:type="spellStart"/>
      <w:r w:rsidRPr="006A0B99">
        <w:t>exenatide</w:t>
      </w:r>
      <w:proofErr w:type="spellEnd"/>
      <w:r w:rsidRPr="006A0B99">
        <w:t xml:space="preserve"> on</w:t>
      </w:r>
      <w:r>
        <w:t xml:space="preserve"> </w:t>
      </w:r>
      <w:r w:rsidRPr="006A0B99">
        <w:t xml:space="preserve">fasting and postprandial glucose (PPG), respectively. All patients in the </w:t>
      </w:r>
      <w:proofErr w:type="spellStart"/>
      <w:r w:rsidRPr="006A0B99">
        <w:t>Intetnt</w:t>
      </w:r>
      <w:proofErr w:type="spellEnd"/>
      <w:r w:rsidR="0027674D">
        <w:t xml:space="preserve"> </w:t>
      </w:r>
      <w:r w:rsidRPr="006A0B99">
        <w:t>to</w:t>
      </w:r>
      <w:r w:rsidR="0027674D">
        <w:t xml:space="preserve"> </w:t>
      </w:r>
      <w:r w:rsidRPr="006A0B99">
        <w:t>Treat (ITT) population</w:t>
      </w:r>
      <w:r>
        <w:t xml:space="preserve"> </w:t>
      </w:r>
      <w:r w:rsidR="0027674D">
        <w:t xml:space="preserve">(N=259) assessed self </w:t>
      </w:r>
      <w:r w:rsidRPr="006A0B99">
        <w:t>monitored blood glucose (SMBG) at study midpoint and endpoint. The data</w:t>
      </w:r>
      <w:r>
        <w:t xml:space="preserve"> </w:t>
      </w:r>
      <w:r w:rsidRPr="006A0B99">
        <w:t>demonstrated significant di</w:t>
      </w:r>
      <w:r w:rsidR="0027674D">
        <w:t xml:space="preserve">fferences between the </w:t>
      </w:r>
      <w:proofErr w:type="spellStart"/>
      <w:r w:rsidR="0027674D">
        <w:t>exenatide</w:t>
      </w:r>
      <w:proofErr w:type="spellEnd"/>
      <w:r w:rsidR="0027674D">
        <w:t xml:space="preserve"> and placebo </w:t>
      </w:r>
      <w:r w:rsidRPr="006A0B99">
        <w:t>treated patients at 6 of the 7</w:t>
      </w:r>
      <w:r>
        <w:t xml:space="preserve"> </w:t>
      </w:r>
      <w:r w:rsidRPr="006A0B99">
        <w:t>time points, showing significant reductions in blood glucose excursions after the morning and evening</w:t>
      </w:r>
      <w:r>
        <w:t xml:space="preserve"> </w:t>
      </w:r>
      <w:r w:rsidRPr="006A0B99">
        <w:t xml:space="preserve">meals when </w:t>
      </w:r>
      <w:proofErr w:type="spellStart"/>
      <w:r w:rsidRPr="006A0B99">
        <w:t>exenatide</w:t>
      </w:r>
      <w:proofErr w:type="spellEnd"/>
      <w:r w:rsidRPr="006A0B99">
        <w:t xml:space="preserve"> was administered.</w:t>
      </w:r>
    </w:p>
    <w:p w:rsidR="006A0B99" w:rsidRPr="006A0B99" w:rsidRDefault="006A0B99" w:rsidP="006A0B99">
      <w:r w:rsidRPr="006A0B99">
        <w:t xml:space="preserve">Lilly believes these data are appropriate for inclusion in the </w:t>
      </w:r>
      <w:proofErr w:type="spellStart"/>
      <w:r w:rsidRPr="006A0B99">
        <w:t>exenatide</w:t>
      </w:r>
      <w:proofErr w:type="spellEnd"/>
      <w:r w:rsidRPr="006A0B99">
        <w:t xml:space="preserve"> label as they demonstrate the</w:t>
      </w:r>
      <w:r>
        <w:t xml:space="preserve"> </w:t>
      </w:r>
      <w:r w:rsidRPr="006A0B99">
        <w:t xml:space="preserve">robustness of the </w:t>
      </w:r>
      <w:proofErr w:type="spellStart"/>
      <w:r w:rsidRPr="006A0B99">
        <w:t>ex</w:t>
      </w:r>
      <w:r w:rsidR="0027674D">
        <w:t>enatide</w:t>
      </w:r>
      <w:proofErr w:type="spellEnd"/>
      <w:r w:rsidR="0027674D">
        <w:t xml:space="preserve"> mechanism of action (for example, glucose </w:t>
      </w:r>
      <w:r w:rsidRPr="006A0B99">
        <w:t>dependent insulin secretion, glucagon</w:t>
      </w:r>
      <w:r>
        <w:t xml:space="preserve"> </w:t>
      </w:r>
      <w:r w:rsidRPr="006A0B99">
        <w:t>suppression, and slowing of gastric emptying) and its effects on PPG. The PPG effects of a diabetes</w:t>
      </w:r>
      <w:r>
        <w:t xml:space="preserve"> </w:t>
      </w:r>
      <w:r w:rsidRPr="006A0B99">
        <w:t>product are used by prescribing physicians both in selecting therapies, and as a clinical target for</w:t>
      </w:r>
      <w:r>
        <w:t xml:space="preserve"> </w:t>
      </w:r>
      <w:r w:rsidRPr="006A0B99">
        <w:t xml:space="preserve">improving </w:t>
      </w:r>
      <w:proofErr w:type="spellStart"/>
      <w:r w:rsidRPr="006A0B99">
        <w:t>glycaemic</w:t>
      </w:r>
      <w:proofErr w:type="spellEnd"/>
      <w:r w:rsidRPr="006A0B99">
        <w:t xml:space="preserve"> control. The American Diabetes Association and the European Association for the</w:t>
      </w:r>
      <w:r>
        <w:t xml:space="preserve"> </w:t>
      </w:r>
      <w:r w:rsidRPr="006A0B99">
        <w:t>Study of Diabetes (ADA and EASD) have both issued guidelines for treatment that include</w:t>
      </w:r>
      <w:r>
        <w:t xml:space="preserve"> </w:t>
      </w:r>
      <w:r w:rsidRPr="006A0B99">
        <w:t>recommendations for PPG control. The proportional contribution of PPG to overall hyperglycaemia</w:t>
      </w:r>
      <w:r w:rsidR="0002035C">
        <w:t xml:space="preserve"> </w:t>
      </w:r>
      <w:r w:rsidRPr="006A0B99">
        <w:t xml:space="preserve">increases </w:t>
      </w:r>
      <w:r w:rsidRPr="006A0B99">
        <w:lastRenderedPageBreak/>
        <w:t>as patients near commonly utilised HbA1c targets, making the understanding of PPG effects a</w:t>
      </w:r>
      <w:r>
        <w:t xml:space="preserve"> </w:t>
      </w:r>
      <w:r w:rsidRPr="006A0B99">
        <w:t>useful element of the decision making process</w:t>
      </w:r>
      <w:r w:rsidR="00D8503C">
        <w:t>.</w:t>
      </w:r>
      <w:r w:rsidR="00D8503C">
        <w:rPr>
          <w:rStyle w:val="FootnoteReference"/>
        </w:rPr>
        <w:footnoteReference w:id="10"/>
      </w:r>
    </w:p>
    <w:p w:rsidR="006A0B99" w:rsidRDefault="006A0B99" w:rsidP="0002035C">
      <w:r w:rsidRPr="006A0B99">
        <w:t xml:space="preserve">To address the </w:t>
      </w:r>
      <w:r>
        <w:t>evaluator’</w:t>
      </w:r>
      <w:r w:rsidRPr="006A0B99">
        <w:t>s concerns regarding multiplicity adjustment with a large number of secondary</w:t>
      </w:r>
      <w:r>
        <w:t xml:space="preserve"> </w:t>
      </w:r>
      <w:r w:rsidRPr="006A0B99">
        <w:t>endpoints, the company is proposing to limit the number of included vari</w:t>
      </w:r>
      <w:r w:rsidR="00241BA7">
        <w:t xml:space="preserve">ables in the </w:t>
      </w:r>
      <w:r w:rsidRPr="006A0B99">
        <w:t>PI to only those of highest clinical interest to healthcare providers and patients: weight, SMBG, FSG</w:t>
      </w:r>
      <w:r w:rsidR="000F2280">
        <w:t xml:space="preserve"> </w:t>
      </w:r>
      <w:r w:rsidRPr="006A0B99">
        <w:t>and will delete the endpoints of SBP, DBP and HR. Lilly proposes to ame</w:t>
      </w:r>
      <w:r w:rsidR="000F2280">
        <w:t xml:space="preserve">nd Table 4 of the PI to include </w:t>
      </w:r>
      <w:r w:rsidRPr="006A0B99">
        <w:t>headings to clearly indicate the primary and secondary endpoints. Lastly, Lilly proposes to delete the</w:t>
      </w:r>
      <w:r w:rsidR="000F2280">
        <w:t xml:space="preserve"> </w:t>
      </w:r>
      <w:r w:rsidRPr="00CB0ABC">
        <w:rPr>
          <w:i/>
        </w:rPr>
        <w:t>p</w:t>
      </w:r>
      <w:r w:rsidR="00CB0ABC">
        <w:t xml:space="preserve"> </w:t>
      </w:r>
      <w:r w:rsidRPr="006A0B99">
        <w:t>values from Table 4 of the PI for the secondary clinical efficacy variables, and will only provide the</w:t>
      </w:r>
      <w:r w:rsidR="000F2280">
        <w:t xml:space="preserve"> </w:t>
      </w:r>
      <w:r w:rsidRPr="006A0B99">
        <w:t>observed changes in each treatment group and the 95% confidence intervals for the observed changes.</w:t>
      </w:r>
    </w:p>
    <w:p w:rsidR="00C2192A" w:rsidRDefault="0002035C" w:rsidP="00C2192A">
      <w:pPr>
        <w:pStyle w:val="Heading5"/>
      </w:pPr>
      <w:r>
        <w:t>Study IOPB r</w:t>
      </w:r>
      <w:r w:rsidR="00C2192A">
        <w:t xml:space="preserve">elevant </w:t>
      </w:r>
      <w:r>
        <w:t>p</w:t>
      </w:r>
      <w:r w:rsidR="00C2192A">
        <w:t>atients</w:t>
      </w:r>
    </w:p>
    <w:p w:rsidR="00C2192A" w:rsidRDefault="00C2192A" w:rsidP="0002035C">
      <w:r>
        <w:t>The evaluator indicates that only two patients were on the therapy described by the proposed indication.</w:t>
      </w:r>
    </w:p>
    <w:p w:rsidR="00C2192A" w:rsidRDefault="00C2192A" w:rsidP="0002035C">
      <w:r>
        <w:t>This is not correct.</w:t>
      </w:r>
    </w:p>
    <w:p w:rsidR="00C2192A" w:rsidRDefault="00C2192A" w:rsidP="0002035C">
      <w:r>
        <w:t xml:space="preserve">In Study IOPB, 7 subjects out of 339 (2%) were on combination therapy of </w:t>
      </w:r>
      <w:proofErr w:type="spellStart"/>
      <w:r>
        <w:t>metformin</w:t>
      </w:r>
      <w:proofErr w:type="spellEnd"/>
      <w:r>
        <w:t xml:space="preserve"> plus an </w:t>
      </w:r>
      <w:proofErr w:type="spellStart"/>
      <w:r>
        <w:t>sulphonylurea</w:t>
      </w:r>
      <w:proofErr w:type="spellEnd"/>
      <w:r>
        <w:t xml:space="preserve"> (SU) plus a </w:t>
      </w:r>
      <w:r w:rsidR="000446B1">
        <w:t>TZD</w:t>
      </w:r>
      <w:r>
        <w:t xml:space="preserve">; 209 (62%) were on an SU plus </w:t>
      </w:r>
      <w:proofErr w:type="spellStart"/>
      <w:r>
        <w:t>metformin</w:t>
      </w:r>
      <w:proofErr w:type="spellEnd"/>
      <w:r>
        <w:t xml:space="preserve">; 32 (9%) were on a TZD plus </w:t>
      </w:r>
      <w:proofErr w:type="spellStart"/>
      <w:r>
        <w:t>metformin</w:t>
      </w:r>
      <w:proofErr w:type="spellEnd"/>
      <w:r>
        <w:t xml:space="preserve">; 1 (0.3%) was on an SU plus a TZD; 87 (26%) were on </w:t>
      </w:r>
      <w:proofErr w:type="spellStart"/>
      <w:r>
        <w:t>metformin</w:t>
      </w:r>
      <w:proofErr w:type="spellEnd"/>
      <w:r>
        <w:t xml:space="preserve"> alone;</w:t>
      </w:r>
      <w:r w:rsidR="004A7016">
        <w:t xml:space="preserve"> </w:t>
      </w:r>
      <w:r>
        <w:t>1 (0.3%) was on an SU alone; and no subjects were on a TZD alone.</w:t>
      </w:r>
    </w:p>
    <w:p w:rsidR="00C2192A" w:rsidRDefault="00C2192A" w:rsidP="00C2192A">
      <w:pPr>
        <w:pStyle w:val="Heading5"/>
      </w:pPr>
      <w:r>
        <w:t>Indication</w:t>
      </w:r>
    </w:p>
    <w:p w:rsidR="00CB0ABC" w:rsidRDefault="00C2192A" w:rsidP="00C2192A">
      <w:r>
        <w:t xml:space="preserve">The evaluator proposes to reject the use of TZD with </w:t>
      </w:r>
      <w:proofErr w:type="spellStart"/>
      <w:r>
        <w:t>insulins</w:t>
      </w:r>
      <w:proofErr w:type="spellEnd"/>
      <w:r>
        <w:t xml:space="preserve"> and </w:t>
      </w:r>
      <w:proofErr w:type="spellStart"/>
      <w:r>
        <w:t>Byetta</w:t>
      </w:r>
      <w:proofErr w:type="spellEnd"/>
      <w:r>
        <w:t xml:space="preserve"> and proposes the followin</w:t>
      </w:r>
      <w:r w:rsidR="00A35124">
        <w:t>g am</w:t>
      </w:r>
      <w:r w:rsidR="00CB0ABC">
        <w:t>ended indication:</w:t>
      </w:r>
    </w:p>
    <w:p w:rsidR="00C2192A" w:rsidRDefault="00A35124" w:rsidP="00CB0ABC">
      <w:pPr>
        <w:ind w:left="720"/>
      </w:pPr>
      <w:r>
        <w:t>“</w:t>
      </w:r>
      <w:proofErr w:type="spellStart"/>
      <w:r w:rsidR="00C2192A">
        <w:t>Exenatide</w:t>
      </w:r>
      <w:proofErr w:type="spellEnd"/>
      <w:r w:rsidR="00C2192A">
        <w:t xml:space="preserve"> is indicated as adjunctive therapy to improve </w:t>
      </w:r>
      <w:proofErr w:type="spellStart"/>
      <w:r w:rsidR="00C2192A">
        <w:t>glycaemic</w:t>
      </w:r>
      <w:proofErr w:type="spellEnd"/>
      <w:r w:rsidR="00C2192A">
        <w:t xml:space="preserve"> control in patients with type 2 diabetes mellitus who are taking </w:t>
      </w:r>
      <w:proofErr w:type="spellStart"/>
      <w:r w:rsidR="00C2192A">
        <w:t>metformin</w:t>
      </w:r>
      <w:proofErr w:type="spellEnd"/>
      <w:r w:rsidR="00C2192A">
        <w:t xml:space="preserve">, a sulfonylurea, or a combination of </w:t>
      </w:r>
      <w:proofErr w:type="spellStart"/>
      <w:r w:rsidR="00C2192A">
        <w:t>metformin</w:t>
      </w:r>
      <w:proofErr w:type="spellEnd"/>
      <w:r w:rsidR="00C2192A">
        <w:t xml:space="preserve"> and a sulfonylurea, or a combination of </w:t>
      </w:r>
      <w:proofErr w:type="spellStart"/>
      <w:r w:rsidR="00C2192A">
        <w:t>metformin</w:t>
      </w:r>
      <w:proofErr w:type="spellEnd"/>
      <w:r w:rsidR="00C2192A">
        <w:t xml:space="preserve"> and </w:t>
      </w:r>
      <w:proofErr w:type="gramStart"/>
      <w:r w:rsidR="00C2192A">
        <w:t>a basal</w:t>
      </w:r>
      <w:proofErr w:type="gramEnd"/>
      <w:r w:rsidR="00C2192A">
        <w:t xml:space="preserve"> insulin.”</w:t>
      </w:r>
    </w:p>
    <w:p w:rsidR="00C2192A" w:rsidRDefault="00C2192A" w:rsidP="00C2192A">
      <w:r>
        <w:t>Lilly agrees with this proposal.</w:t>
      </w:r>
    </w:p>
    <w:p w:rsidR="00C2192A" w:rsidRDefault="0002035C" w:rsidP="00C2192A">
      <w:pPr>
        <w:pStyle w:val="Heading5"/>
      </w:pPr>
      <w:r>
        <w:t>Evidence of e</w:t>
      </w:r>
      <w:r w:rsidR="00C2192A">
        <w:t>fficacy and</w:t>
      </w:r>
      <w:r>
        <w:t xml:space="preserve"> F</w:t>
      </w:r>
      <w:r w:rsidR="00C2192A">
        <w:t>igure 3</w:t>
      </w:r>
    </w:p>
    <w:p w:rsidR="00C2192A" w:rsidRPr="00C2192A" w:rsidRDefault="00C2192A" w:rsidP="0002035C">
      <w:r w:rsidRPr="00F34608">
        <w:t>In Study GWCO, 29% of placebo treated subjects achieved target HbA1c &lt;7% at study</w:t>
      </w:r>
      <w:r>
        <w:t xml:space="preserve"> endpoint. Part of the improvement in </w:t>
      </w:r>
      <w:proofErr w:type="spellStart"/>
      <w:r>
        <w:t>glycaemic</w:t>
      </w:r>
      <w:proofErr w:type="spellEnd"/>
      <w:r>
        <w:t xml:space="preserve"> control in the placebo subjects can be attributed to study effect. In addition, investigators were requested to </w:t>
      </w:r>
      <w:proofErr w:type="gramStart"/>
      <w:r>
        <w:t>titrate</w:t>
      </w:r>
      <w:proofErr w:type="gramEnd"/>
      <w:r>
        <w:t xml:space="preserve"> insulin </w:t>
      </w:r>
      <w:proofErr w:type="spellStart"/>
      <w:r>
        <w:t>glargine</w:t>
      </w:r>
      <w:proofErr w:type="spellEnd"/>
      <w:r>
        <w:t xml:space="preserve"> to a target value for fasting plasma glucose concentrations of</w:t>
      </w:r>
      <w:r w:rsidR="00D109C3">
        <w:t xml:space="preserve"> 5.6 </w:t>
      </w:r>
      <w:proofErr w:type="spellStart"/>
      <w:r w:rsidR="00D109C3">
        <w:t>mmol</w:t>
      </w:r>
      <w:proofErr w:type="spellEnd"/>
      <w:r w:rsidR="00D109C3">
        <w:t>/L</w:t>
      </w:r>
      <w:r>
        <w:t>.</w:t>
      </w:r>
      <w:r w:rsidR="00D109C3">
        <w:rPr>
          <w:rStyle w:val="FootnoteReference"/>
        </w:rPr>
        <w:footnoteReference w:id="11"/>
      </w:r>
      <w:r>
        <w:t xml:space="preserve"> As expected, HbA1c concentrations decreased in both groups. However, despite continued optimisation of insulin dose in the placebo</w:t>
      </w:r>
      <w:r w:rsidR="00D109C3">
        <w:t xml:space="preserve"> </w:t>
      </w:r>
      <w:r>
        <w:t xml:space="preserve">treated </w:t>
      </w:r>
      <w:r w:rsidRPr="00C2192A">
        <w:t xml:space="preserve">patients, the reduction in HbA1c was </w:t>
      </w:r>
      <w:r w:rsidR="0002035C">
        <w:sym w:font="Symbol" w:char="F07E"/>
      </w:r>
      <w:r w:rsidRPr="00C2192A">
        <w:t xml:space="preserve">0.7% greater in subjects treated with </w:t>
      </w:r>
      <w:proofErr w:type="spellStart"/>
      <w:r w:rsidRPr="00C2192A">
        <w:t>exenatide</w:t>
      </w:r>
      <w:proofErr w:type="spellEnd"/>
      <w:r w:rsidRPr="00C2192A">
        <w:t xml:space="preserve"> than</w:t>
      </w:r>
      <w:r>
        <w:t xml:space="preserve"> </w:t>
      </w:r>
      <w:r w:rsidRPr="00C2192A">
        <w:t>in the placebo</w:t>
      </w:r>
      <w:r w:rsidR="009B25FA">
        <w:t xml:space="preserve"> </w:t>
      </w:r>
      <w:r w:rsidRPr="00C2192A">
        <w:t>treated subjects</w:t>
      </w:r>
      <w:r w:rsidR="008B661A">
        <w:t>.</w:t>
      </w:r>
    </w:p>
    <w:p w:rsidR="00C2192A" w:rsidRPr="00C2192A" w:rsidRDefault="00C2192A" w:rsidP="0002035C">
      <w:r w:rsidRPr="00C2192A">
        <w:t xml:space="preserve">Lilly considers that the evidence of efficacy of </w:t>
      </w:r>
      <w:proofErr w:type="spellStart"/>
      <w:r w:rsidRPr="00C2192A">
        <w:t>exenatide</w:t>
      </w:r>
      <w:proofErr w:type="spellEnd"/>
      <w:r w:rsidRPr="00C2192A">
        <w:t xml:space="preserve"> versus titrated insulin alone is compelling and</w:t>
      </w:r>
      <w:r>
        <w:t xml:space="preserve"> </w:t>
      </w:r>
      <w:r w:rsidRPr="00C2192A">
        <w:t>that Figure 3 could be included in the PI to convey the comparative efficacy profiles over time to</w:t>
      </w:r>
      <w:r>
        <w:t xml:space="preserve"> </w:t>
      </w:r>
      <w:r w:rsidRPr="00C2192A">
        <w:t>healthcare providers and patients</w:t>
      </w:r>
      <w:r w:rsidR="009B25FA">
        <w:t>.</w:t>
      </w:r>
    </w:p>
    <w:p w:rsidR="00C2192A" w:rsidRPr="00C2192A" w:rsidRDefault="00C2192A" w:rsidP="00C2192A">
      <w:pPr>
        <w:pStyle w:val="Heading5"/>
        <w:rPr>
          <w:rFonts w:eastAsia="Arial,BoldItalic"/>
        </w:rPr>
      </w:pPr>
      <w:r w:rsidRPr="00C2192A">
        <w:rPr>
          <w:rFonts w:eastAsia="Arial,BoldItalic"/>
        </w:rPr>
        <w:lastRenderedPageBreak/>
        <w:t>Is this (evidence of eff</w:t>
      </w:r>
      <w:r>
        <w:rPr>
          <w:rFonts w:eastAsia="Arial,BoldItalic"/>
        </w:rPr>
        <w:t>icacy) likely to be seen in the “real world”</w:t>
      </w:r>
      <w:r w:rsidRPr="00C2192A">
        <w:rPr>
          <w:rFonts w:eastAsia="Arial,BoldItalic"/>
        </w:rPr>
        <w:t xml:space="preserve"> situation?</w:t>
      </w:r>
    </w:p>
    <w:p w:rsidR="00C2192A" w:rsidRDefault="00C2192A" w:rsidP="0002035C">
      <w:r w:rsidRPr="00C2192A">
        <w:t>Lilly is providing the literature review as discussed in the clinical overview, while the Committee is</w:t>
      </w:r>
      <w:r>
        <w:t xml:space="preserve"> considering the Delegate’</w:t>
      </w:r>
      <w:r w:rsidRPr="00C2192A">
        <w:t>s question</w:t>
      </w:r>
      <w:r>
        <w:t>:</w:t>
      </w:r>
    </w:p>
    <w:p w:rsidR="000F7A8F" w:rsidRPr="000F7A8F" w:rsidRDefault="000F7A8F" w:rsidP="00F80B61">
      <w:pPr>
        <w:ind w:left="720"/>
      </w:pPr>
      <w:r w:rsidRPr="000F7A8F">
        <w:t xml:space="preserve">Although use of </w:t>
      </w:r>
      <w:proofErr w:type="spellStart"/>
      <w:r w:rsidRPr="000F7A8F">
        <w:t>exenatide</w:t>
      </w:r>
      <w:proofErr w:type="spellEnd"/>
      <w:r w:rsidRPr="000F7A8F">
        <w:t xml:space="preserve"> in combination with basal insulin has not received regulatory approval</w:t>
      </w:r>
      <w:r>
        <w:t xml:space="preserve"> </w:t>
      </w:r>
      <w:r w:rsidRPr="000F7A8F">
        <w:t>in any geography, (at the timing of writing this overview) numerous clinicians have explored the</w:t>
      </w:r>
      <w:r>
        <w:t xml:space="preserve"> </w:t>
      </w:r>
      <w:r w:rsidRPr="000F7A8F">
        <w:t>therapeutic potential of this combined therapy by applying it in patient care (see literature review).</w:t>
      </w:r>
    </w:p>
    <w:p w:rsidR="000F7A8F" w:rsidRPr="000F7A8F" w:rsidRDefault="002C47BA" w:rsidP="00F80B61">
      <w:pPr>
        <w:ind w:left="720"/>
      </w:pPr>
      <w:r>
        <w:t xml:space="preserve">Recently, </w:t>
      </w:r>
      <w:proofErr w:type="spellStart"/>
      <w:r>
        <w:t>Nayak</w:t>
      </w:r>
      <w:proofErr w:type="spellEnd"/>
      <w:r>
        <w:t xml:space="preserve"> and colleagues</w:t>
      </w:r>
      <w:r>
        <w:rPr>
          <w:rStyle w:val="FootnoteReference"/>
        </w:rPr>
        <w:footnoteReference w:id="12"/>
      </w:r>
      <w:r w:rsidR="000F7A8F" w:rsidRPr="000F7A8F">
        <w:t xml:space="preserve"> and T</w:t>
      </w:r>
      <w:r w:rsidR="005256D0">
        <w:t>hong and colleagues</w:t>
      </w:r>
      <w:r w:rsidR="005256D0">
        <w:rPr>
          <w:rStyle w:val="FootnoteReference"/>
        </w:rPr>
        <w:footnoteReference w:id="13"/>
      </w:r>
      <w:r w:rsidR="000F7A8F" w:rsidRPr="000F7A8F">
        <w:t xml:space="preserve"> have reported results of audits conducted in</w:t>
      </w:r>
      <w:r w:rsidR="000F7A8F">
        <w:t xml:space="preserve"> </w:t>
      </w:r>
      <w:r w:rsidR="000F7A8F" w:rsidRPr="000F7A8F">
        <w:t>the United Kingdom. The larger of the observational studies was the report from the Association</w:t>
      </w:r>
      <w:r w:rsidR="000F7A8F">
        <w:t xml:space="preserve"> </w:t>
      </w:r>
      <w:r w:rsidR="000F7A8F" w:rsidRPr="000F7A8F">
        <w:t xml:space="preserve">of British Clinical </w:t>
      </w:r>
      <w:proofErr w:type="spellStart"/>
      <w:r w:rsidR="000F7A8F" w:rsidRPr="000F7A8F">
        <w:t>Diabetolo</w:t>
      </w:r>
      <w:r w:rsidR="00D643AE">
        <w:t>gists</w:t>
      </w:r>
      <w:proofErr w:type="spellEnd"/>
      <w:r w:rsidR="00D643AE">
        <w:t xml:space="preserve"> (ABCD)</w:t>
      </w:r>
      <w:r w:rsidR="000F7A8F" w:rsidRPr="000F7A8F">
        <w:t>.</w:t>
      </w:r>
      <w:r w:rsidR="00D643AE">
        <w:rPr>
          <w:rStyle w:val="FootnoteReference"/>
        </w:rPr>
        <w:footnoteReference w:id="14"/>
      </w:r>
      <w:r w:rsidR="000F7A8F" w:rsidRPr="000F7A8F">
        <w:t xml:space="preserve"> A total of 6717 patients with</w:t>
      </w:r>
      <w:r w:rsidR="000F7A8F">
        <w:t xml:space="preserve"> </w:t>
      </w:r>
      <w:r w:rsidR="000F7A8F" w:rsidRPr="000F7A8F">
        <w:t>diabetes were included in the audit with 4857 patients having baseline and follow</w:t>
      </w:r>
      <w:r w:rsidR="00D643AE">
        <w:t xml:space="preserve"> </w:t>
      </w:r>
      <w:r w:rsidR="000F7A8F" w:rsidRPr="000F7A8F">
        <w:t>up treatment.</w:t>
      </w:r>
      <w:r w:rsidR="000F7A8F">
        <w:t xml:space="preserve"> </w:t>
      </w:r>
      <w:r w:rsidR="000F7A8F" w:rsidRPr="000F7A8F">
        <w:t xml:space="preserve">Most of the patients were on background OAD therapy (SUs, </w:t>
      </w:r>
      <w:proofErr w:type="spellStart"/>
      <w:r w:rsidR="000F7A8F">
        <w:t>metformin</w:t>
      </w:r>
      <w:proofErr w:type="spellEnd"/>
      <w:r w:rsidR="000F7A8F">
        <w:t xml:space="preserve">, TZDs). More than 25% </w:t>
      </w:r>
      <w:r w:rsidR="000F7A8F" w:rsidRPr="000F7A8F">
        <w:t xml:space="preserve">of the audited patients (n=1921) were taking </w:t>
      </w:r>
      <w:proofErr w:type="spellStart"/>
      <w:r w:rsidR="000F7A8F" w:rsidRPr="000F7A8F">
        <w:t>exenatide</w:t>
      </w:r>
      <w:proofErr w:type="spellEnd"/>
      <w:r w:rsidR="000F7A8F" w:rsidRPr="000F7A8F">
        <w:t xml:space="preserve"> plus insulin therapy. Among the </w:t>
      </w:r>
      <w:proofErr w:type="spellStart"/>
      <w:r w:rsidR="000F7A8F" w:rsidRPr="000F7A8F">
        <w:t>exenatide</w:t>
      </w:r>
      <w:proofErr w:type="spellEnd"/>
      <w:r w:rsidR="000F7A8F">
        <w:t xml:space="preserve"> </w:t>
      </w:r>
      <w:r w:rsidR="000F7A8F" w:rsidRPr="000F7A8F">
        <w:t>plus insulin</w:t>
      </w:r>
      <w:r w:rsidR="00D643AE">
        <w:t xml:space="preserve"> </w:t>
      </w:r>
      <w:r w:rsidR="000F7A8F" w:rsidRPr="000F7A8F">
        <w:t>treated patients, approximately two</w:t>
      </w:r>
      <w:r w:rsidR="00D643AE">
        <w:t xml:space="preserve"> </w:t>
      </w:r>
      <w:r w:rsidR="000F7A8F" w:rsidRPr="000F7A8F">
        <w:t xml:space="preserve">thirds (n=1257) had added </w:t>
      </w:r>
      <w:proofErr w:type="spellStart"/>
      <w:r w:rsidR="000F7A8F" w:rsidRPr="000F7A8F">
        <w:t>exenatide</w:t>
      </w:r>
      <w:proofErr w:type="spellEnd"/>
      <w:r w:rsidR="000F7A8F" w:rsidRPr="000F7A8F">
        <w:t xml:space="preserve"> to insulin</w:t>
      </w:r>
      <w:r w:rsidR="000F7A8F">
        <w:t xml:space="preserve"> </w:t>
      </w:r>
      <w:r w:rsidR="000F7A8F" w:rsidRPr="000F7A8F">
        <w:t>(similar to the design of Study GWCO) whereas the remaining one</w:t>
      </w:r>
      <w:r w:rsidR="00D643AE">
        <w:t xml:space="preserve"> </w:t>
      </w:r>
      <w:r w:rsidR="000F7A8F" w:rsidRPr="000F7A8F">
        <w:t>third (n=664) of patients had</w:t>
      </w:r>
      <w:r w:rsidR="000F7A8F">
        <w:t xml:space="preserve"> </w:t>
      </w:r>
      <w:r w:rsidR="000F7A8F" w:rsidRPr="000F7A8F">
        <w:t xml:space="preserve">added insulin to </w:t>
      </w:r>
      <w:proofErr w:type="spellStart"/>
      <w:r w:rsidR="000F7A8F" w:rsidRPr="000F7A8F">
        <w:t>exenatide</w:t>
      </w:r>
      <w:proofErr w:type="spellEnd"/>
      <w:r w:rsidR="000F7A8F" w:rsidRPr="000F7A8F">
        <w:t xml:space="preserve"> therapy (similar to design of Study IOPB). The patients who had added</w:t>
      </w:r>
      <w:r w:rsidR="000F7A8F">
        <w:t xml:space="preserve"> </w:t>
      </w:r>
      <w:proofErr w:type="spellStart"/>
      <w:r w:rsidR="000F7A8F" w:rsidRPr="000F7A8F">
        <w:t>exenatide</w:t>
      </w:r>
      <w:proofErr w:type="spellEnd"/>
      <w:r w:rsidR="000F7A8F" w:rsidRPr="000F7A8F">
        <w:t xml:space="preserve"> to insulin were taking mean 120 U/day of insulin at </w:t>
      </w:r>
      <w:proofErr w:type="spellStart"/>
      <w:r w:rsidR="000F7A8F" w:rsidRPr="000F7A8F">
        <w:t>exen</w:t>
      </w:r>
      <w:r w:rsidR="000F7A8F">
        <w:t>atide</w:t>
      </w:r>
      <w:proofErr w:type="spellEnd"/>
      <w:r w:rsidR="000F7A8F">
        <w:t xml:space="preserve"> initiation (higher </w:t>
      </w:r>
      <w:r w:rsidR="000F7A8F" w:rsidRPr="000F7A8F">
        <w:t>than the</w:t>
      </w:r>
      <w:r w:rsidR="000F7A8F">
        <w:t xml:space="preserve"> </w:t>
      </w:r>
      <w:r w:rsidR="000F7A8F" w:rsidRPr="000F7A8F">
        <w:t>dose in Study GWCO) and this dose was decreased to 78 U/day at the end of follow</w:t>
      </w:r>
      <w:r w:rsidR="00D643AE">
        <w:t xml:space="preserve"> </w:t>
      </w:r>
      <w:r w:rsidR="000F7A8F" w:rsidRPr="000F7A8F">
        <w:t>up.</w:t>
      </w:r>
      <w:r w:rsidR="000F7A8F">
        <w:t xml:space="preserve"> </w:t>
      </w:r>
      <w:r w:rsidR="000F7A8F" w:rsidRPr="000F7A8F">
        <w:t xml:space="preserve">Furthermore, 34% of patients who continued </w:t>
      </w:r>
      <w:proofErr w:type="spellStart"/>
      <w:r w:rsidR="000F7A8F" w:rsidRPr="000F7A8F">
        <w:t>exenatide</w:t>
      </w:r>
      <w:proofErr w:type="spellEnd"/>
      <w:r w:rsidR="000F7A8F" w:rsidRPr="000F7A8F">
        <w:t xml:space="preserve"> plus insulin had an HbA1c reduction of</w:t>
      </w:r>
      <w:r w:rsidR="000F7A8F">
        <w:t xml:space="preserve"> </w:t>
      </w:r>
      <w:r w:rsidR="0002035C">
        <w:sym w:font="Symbol" w:char="F0B3"/>
      </w:r>
      <w:r w:rsidR="000F7A8F" w:rsidRPr="000F7A8F">
        <w:t xml:space="preserve">1.0% and a mean weight loss of 6 kg. This large study </w:t>
      </w:r>
      <w:r w:rsidR="000F7A8F">
        <w:t xml:space="preserve">generally is concordant with the </w:t>
      </w:r>
      <w:r w:rsidR="000F7A8F" w:rsidRPr="000F7A8F">
        <w:t xml:space="preserve">observations from Study GWCO and supports the concept that </w:t>
      </w:r>
      <w:proofErr w:type="spellStart"/>
      <w:r w:rsidR="000F7A8F" w:rsidRPr="000F7A8F">
        <w:t>exenatide</w:t>
      </w:r>
      <w:proofErr w:type="spellEnd"/>
      <w:r w:rsidR="000F7A8F" w:rsidRPr="000F7A8F">
        <w:t xml:space="preserve"> use (added to OAD</w:t>
      </w:r>
      <w:r w:rsidR="000F7A8F">
        <w:t xml:space="preserve"> </w:t>
      </w:r>
      <w:r w:rsidR="000F7A8F" w:rsidRPr="000F7A8F">
        <w:t>therapies) with insulin has favo</w:t>
      </w:r>
      <w:r w:rsidR="00D643AE">
        <w:t>u</w:t>
      </w:r>
      <w:r w:rsidR="000F7A8F" w:rsidRPr="000F7A8F">
        <w:t xml:space="preserve">rable </w:t>
      </w:r>
      <w:proofErr w:type="spellStart"/>
      <w:r w:rsidR="000F7A8F" w:rsidRPr="000F7A8F">
        <w:t>glycaemic</w:t>
      </w:r>
      <w:proofErr w:type="spellEnd"/>
      <w:r w:rsidR="000F7A8F" w:rsidRPr="000F7A8F">
        <w:t xml:space="preserve"> and weight effects, and perhaps insulin dose</w:t>
      </w:r>
      <w:r w:rsidR="000F7A8F">
        <w:t xml:space="preserve"> </w:t>
      </w:r>
      <w:r w:rsidR="000F7A8F" w:rsidRPr="000F7A8F">
        <w:t>reductions.</w:t>
      </w:r>
    </w:p>
    <w:p w:rsidR="000F7A8F" w:rsidRPr="000F7A8F" w:rsidRDefault="000F7A8F" w:rsidP="00F80B61">
      <w:pPr>
        <w:ind w:left="720"/>
      </w:pPr>
      <w:r w:rsidRPr="000F7A8F">
        <w:t>I</w:t>
      </w:r>
      <w:r w:rsidR="00D643AE">
        <w:t xml:space="preserve">n addition, </w:t>
      </w:r>
      <w:proofErr w:type="spellStart"/>
      <w:r w:rsidR="00D643AE">
        <w:t>Nayak</w:t>
      </w:r>
      <w:proofErr w:type="spellEnd"/>
      <w:r w:rsidR="00D643AE">
        <w:t xml:space="preserve"> and colleagues </w:t>
      </w:r>
      <w:r w:rsidRPr="000F7A8F">
        <w:t xml:space="preserve">reported on the effects of adding </w:t>
      </w:r>
      <w:proofErr w:type="spellStart"/>
      <w:r w:rsidRPr="000F7A8F">
        <w:t>exenatide</w:t>
      </w:r>
      <w:proofErr w:type="spellEnd"/>
      <w:r w:rsidRPr="000F7A8F">
        <w:t xml:space="preserve"> to insulin in 160</w:t>
      </w:r>
      <w:r>
        <w:t xml:space="preserve"> </w:t>
      </w:r>
      <w:r w:rsidRPr="000F7A8F">
        <w:t xml:space="preserve">patients also treated with </w:t>
      </w:r>
      <w:proofErr w:type="spellStart"/>
      <w:r w:rsidRPr="000F7A8F">
        <w:t>metformin</w:t>
      </w:r>
      <w:proofErr w:type="spellEnd"/>
      <w:r w:rsidRPr="000F7A8F">
        <w:t>. This study had an obese cohort (body mass index [BMI]</w:t>
      </w:r>
      <w:r>
        <w:t xml:space="preserve"> </w:t>
      </w:r>
      <w:r w:rsidRPr="000F7A8F">
        <w:t>&gt;40 kg/m</w:t>
      </w:r>
      <w:r w:rsidRPr="00D643AE">
        <w:rPr>
          <w:vertAlign w:val="superscript"/>
        </w:rPr>
        <w:t>2</w:t>
      </w:r>
      <w:r w:rsidRPr="000F7A8F">
        <w:t xml:space="preserve">). The purpose of the study was to determine whether </w:t>
      </w:r>
      <w:proofErr w:type="spellStart"/>
      <w:r w:rsidRPr="000F7A8F">
        <w:t>exenatide</w:t>
      </w:r>
      <w:proofErr w:type="spellEnd"/>
      <w:r w:rsidRPr="000F7A8F">
        <w:t xml:space="preserve"> use would be</w:t>
      </w:r>
      <w:r>
        <w:t xml:space="preserve"> </w:t>
      </w:r>
      <w:r w:rsidRPr="000F7A8F">
        <w:t>associated with insulin sparing effects and a corresponding reduction in weight. Mean weight loss</w:t>
      </w:r>
      <w:r>
        <w:t xml:space="preserve"> </w:t>
      </w:r>
      <w:r w:rsidRPr="000F7A8F">
        <w:t>over 6 months was &gt;10 kg and insulin doses were decreased from a mean of 144 U/day to</w:t>
      </w:r>
      <w:r>
        <w:t xml:space="preserve"> </w:t>
      </w:r>
      <w:r w:rsidRPr="000F7A8F">
        <w:t>51 U/day. There was, however, no significant change in HbA1c. Nonetheless, these data support</w:t>
      </w:r>
      <w:r>
        <w:t xml:space="preserve"> </w:t>
      </w:r>
      <w:r w:rsidRPr="000F7A8F">
        <w:t xml:space="preserve">the efficacy of </w:t>
      </w:r>
      <w:proofErr w:type="spellStart"/>
      <w:r w:rsidRPr="000F7A8F">
        <w:t>exenatide</w:t>
      </w:r>
      <w:proofErr w:type="spellEnd"/>
      <w:r w:rsidRPr="000F7A8F">
        <w:t xml:space="preserve"> even when added to large doses of insulin in obese subjects.</w:t>
      </w:r>
    </w:p>
    <w:p w:rsidR="000F7A8F" w:rsidRDefault="00D643AE" w:rsidP="00F80B61">
      <w:pPr>
        <w:ind w:left="720"/>
      </w:pPr>
      <w:proofErr w:type="spellStart"/>
      <w:r>
        <w:t>Tzefos</w:t>
      </w:r>
      <w:proofErr w:type="spellEnd"/>
      <w:r>
        <w:t xml:space="preserve"> and Olin</w:t>
      </w:r>
      <w:r>
        <w:rPr>
          <w:rStyle w:val="FootnoteReference"/>
        </w:rPr>
        <w:footnoteReference w:id="15"/>
      </w:r>
      <w:r>
        <w:t xml:space="preserve"> </w:t>
      </w:r>
      <w:r w:rsidR="000F7A8F" w:rsidRPr="000F7A8F">
        <w:t>reviewed the literature on this topi</w:t>
      </w:r>
      <w:r w:rsidR="000F7A8F">
        <w:t xml:space="preserve">c and reported on 10 studies of </w:t>
      </w:r>
      <w:r w:rsidR="000F7A8F" w:rsidRPr="000F7A8F">
        <w:t xml:space="preserve">combined </w:t>
      </w:r>
      <w:proofErr w:type="spellStart"/>
      <w:r w:rsidR="000F7A8F" w:rsidRPr="000F7A8F">
        <w:t>exenatide</w:t>
      </w:r>
      <w:proofErr w:type="spellEnd"/>
      <w:r w:rsidR="000F7A8F" w:rsidRPr="000F7A8F">
        <w:t xml:space="preserve"> and insulin use that included approximatel</w:t>
      </w:r>
      <w:r w:rsidR="000F7A8F">
        <w:t xml:space="preserve">y 700 patients. These </w:t>
      </w:r>
      <w:r w:rsidR="000F7A8F" w:rsidRPr="000F7A8F">
        <w:t>studies</w:t>
      </w:r>
      <w:r w:rsidR="000F7A8F">
        <w:t xml:space="preserve"> </w:t>
      </w:r>
      <w:r w:rsidR="000F7A8F" w:rsidRPr="000F7A8F">
        <w:t>varied in design: prospective versus retrospective; efficacy and/or safety data collection; basal</w:t>
      </w:r>
      <w:r w:rsidR="000F7A8F">
        <w:t xml:space="preserve"> </w:t>
      </w:r>
      <w:r w:rsidR="000F7A8F" w:rsidRPr="000F7A8F">
        <w:t xml:space="preserve">insulin, bolus insulin, or basal plus bolus insulin users; order of combining </w:t>
      </w:r>
      <w:proofErr w:type="spellStart"/>
      <w:r w:rsidR="000F7A8F" w:rsidRPr="000F7A8F">
        <w:t>exenatide</w:t>
      </w:r>
      <w:proofErr w:type="spellEnd"/>
      <w:r w:rsidR="000F7A8F" w:rsidRPr="000F7A8F">
        <w:t xml:space="preserve"> and insulin</w:t>
      </w:r>
      <w:r w:rsidR="000F7A8F">
        <w:t xml:space="preserve"> </w:t>
      </w:r>
      <w:r w:rsidR="000F7A8F" w:rsidRPr="000F7A8F">
        <w:t>use. Overall, the efficacy results of these studies showed minor to no effect of combined</w:t>
      </w:r>
      <w:r w:rsidR="000F7A8F">
        <w:t xml:space="preserve"> </w:t>
      </w:r>
      <w:proofErr w:type="spellStart"/>
      <w:r w:rsidR="000F7A8F" w:rsidRPr="000F7A8F">
        <w:t>exenatide</w:t>
      </w:r>
      <w:proofErr w:type="spellEnd"/>
      <w:r w:rsidR="000F7A8F" w:rsidRPr="000F7A8F">
        <w:t xml:space="preserve"> and insulin treatment on HbA1c. In contrast, most subjects demonstrated statistically</w:t>
      </w:r>
      <w:r w:rsidR="000F7A8F">
        <w:t xml:space="preserve"> </w:t>
      </w:r>
      <w:r w:rsidR="000F7A8F" w:rsidRPr="000F7A8F">
        <w:t xml:space="preserve">significant weight loss. Total insulin doses tended to decrease when </w:t>
      </w:r>
      <w:proofErr w:type="spellStart"/>
      <w:r w:rsidR="000F7A8F" w:rsidRPr="000F7A8F">
        <w:t>exenatide</w:t>
      </w:r>
      <w:proofErr w:type="spellEnd"/>
      <w:r w:rsidR="000F7A8F" w:rsidRPr="000F7A8F">
        <w:t xml:space="preserve"> was added to the</w:t>
      </w:r>
      <w:r w:rsidR="000F7A8F">
        <w:t xml:space="preserve"> </w:t>
      </w:r>
      <w:r w:rsidR="000F7A8F" w:rsidRPr="000F7A8F">
        <w:lastRenderedPageBreak/>
        <w:t>treatment regimen but these changes were largely attributable to removal or reduction of bolus</w:t>
      </w:r>
      <w:r w:rsidR="000F7A8F">
        <w:t xml:space="preserve"> </w:t>
      </w:r>
      <w:r w:rsidR="000F7A8F" w:rsidRPr="000F7A8F">
        <w:t>insulin doses without substantive changes in basal doses. These studies found safety and</w:t>
      </w:r>
      <w:r w:rsidR="000F7A8F">
        <w:t xml:space="preserve"> tolerability with combined </w:t>
      </w:r>
      <w:proofErr w:type="spellStart"/>
      <w:r w:rsidR="000F7A8F">
        <w:t>exenatide</w:t>
      </w:r>
      <w:proofErr w:type="spellEnd"/>
      <w:r w:rsidR="000F7A8F">
        <w:t xml:space="preserve"> and insulin treatment similar to that of existing indications for </w:t>
      </w:r>
      <w:proofErr w:type="spellStart"/>
      <w:r w:rsidR="000F7A8F">
        <w:t>exenatide</w:t>
      </w:r>
      <w:proofErr w:type="spellEnd"/>
      <w:r w:rsidR="000F7A8F">
        <w:t xml:space="preserve"> plus OAD(s). Specifically, the most frequently noted events were gastrointestinal in nature, some of which led to withdrawal from the studies. Mild hypoglycaemic episodes were reported as well as a case of severe hypoglycaemia.</w:t>
      </w:r>
    </w:p>
    <w:p w:rsidR="000F7A8F" w:rsidRDefault="000F7A8F" w:rsidP="00F80B61">
      <w:pPr>
        <w:ind w:left="720"/>
      </w:pPr>
      <w:r>
        <w:t xml:space="preserve">In 2009, the ABCD determined that the benefit of using </w:t>
      </w:r>
      <w:proofErr w:type="spellStart"/>
      <w:r>
        <w:t>exenatide</w:t>
      </w:r>
      <w:proofErr w:type="spellEnd"/>
      <w:r>
        <w:t xml:space="preserve"> in combination with insulin outweighed the potential for worsening of </w:t>
      </w:r>
      <w:proofErr w:type="spellStart"/>
      <w:r>
        <w:t>glycaemic</w:t>
      </w:r>
      <w:proofErr w:type="spellEnd"/>
      <w:r>
        <w:t xml:space="preserve"> control if insulin were stopped with initiation of </w:t>
      </w:r>
      <w:proofErr w:type="spellStart"/>
      <w:r>
        <w:t>exenatide</w:t>
      </w:r>
      <w:proofErr w:type="spellEnd"/>
      <w:r>
        <w:t xml:space="preserve">, particularly in obese patients with marginal </w:t>
      </w:r>
      <w:proofErr w:type="spellStart"/>
      <w:r>
        <w:t>glycaemic</w:t>
      </w:r>
      <w:proofErr w:type="spellEnd"/>
      <w:r>
        <w:t xml:space="preserve"> con</w:t>
      </w:r>
      <w:r w:rsidR="00663481">
        <w:t>trol</w:t>
      </w:r>
      <w:r>
        <w:t>.</w:t>
      </w:r>
      <w:r w:rsidR="00663481">
        <w:rPr>
          <w:rStyle w:val="FootnoteReference"/>
        </w:rPr>
        <w:footnoteReference w:id="16"/>
      </w:r>
      <w:r>
        <w:t xml:space="preserve"> </w:t>
      </w:r>
      <w:r w:rsidRPr="00F80B61">
        <w:rPr>
          <w:b/>
        </w:rPr>
        <w:t xml:space="preserve">Consequently, the Association of British Clinical </w:t>
      </w:r>
      <w:proofErr w:type="spellStart"/>
      <w:r w:rsidRPr="00F80B61">
        <w:rPr>
          <w:b/>
        </w:rPr>
        <w:t>Diabetologists</w:t>
      </w:r>
      <w:proofErr w:type="spellEnd"/>
      <w:r w:rsidRPr="00F80B61">
        <w:rPr>
          <w:b/>
        </w:rPr>
        <w:t xml:space="preserve"> made the following recommendation for use of </w:t>
      </w:r>
      <w:proofErr w:type="spellStart"/>
      <w:r w:rsidRPr="00F80B61">
        <w:rPr>
          <w:b/>
        </w:rPr>
        <w:t>exenatide</w:t>
      </w:r>
      <w:proofErr w:type="spellEnd"/>
      <w:r w:rsidRPr="00F80B61">
        <w:rPr>
          <w:b/>
        </w:rPr>
        <w:t xml:space="preserve"> by specialist </w:t>
      </w:r>
      <w:proofErr w:type="spellStart"/>
      <w:r w:rsidRPr="00F80B61">
        <w:rPr>
          <w:b/>
        </w:rPr>
        <w:t>diabetologists</w:t>
      </w:r>
      <w:proofErr w:type="spellEnd"/>
      <w:r w:rsidRPr="00F80B61">
        <w:rPr>
          <w:b/>
        </w:rPr>
        <w:t>:</w:t>
      </w:r>
    </w:p>
    <w:p w:rsidR="000F7A8F" w:rsidRDefault="000F7A8F" w:rsidP="00F80B61">
      <w:pPr>
        <w:ind w:left="1440"/>
        <w:rPr>
          <w:b/>
          <w:i/>
        </w:rPr>
      </w:pPr>
      <w:r w:rsidRPr="00F80B61">
        <w:rPr>
          <w:b/>
          <w:i/>
        </w:rPr>
        <w:t>Possible role in combination with insulin in carefully controlled situations especially where insulin sparing and weight loss</w:t>
      </w:r>
      <w:r w:rsidR="003F4055">
        <w:rPr>
          <w:b/>
          <w:i/>
        </w:rPr>
        <w:t xml:space="preserve"> could benefit </w:t>
      </w:r>
      <w:proofErr w:type="spellStart"/>
      <w:r w:rsidR="003F4055">
        <w:rPr>
          <w:b/>
          <w:i/>
        </w:rPr>
        <w:t>comorbidity</w:t>
      </w:r>
      <w:proofErr w:type="spellEnd"/>
      <w:r w:rsidR="003F4055">
        <w:rPr>
          <w:b/>
          <w:i/>
        </w:rPr>
        <w:t>, for example</w:t>
      </w:r>
      <w:r w:rsidRPr="00F80B61">
        <w:rPr>
          <w:b/>
          <w:i/>
        </w:rPr>
        <w:t xml:space="preserve">, sleep apnoea. </w:t>
      </w:r>
      <w:proofErr w:type="gramStart"/>
      <w:r w:rsidRPr="00F80B61">
        <w:rPr>
          <w:b/>
          <w:i/>
        </w:rPr>
        <w:t xml:space="preserve">Reduction in insulin dose of 20-50% on initiation of </w:t>
      </w:r>
      <w:proofErr w:type="spellStart"/>
      <w:r w:rsidRPr="00F80B61">
        <w:rPr>
          <w:b/>
          <w:i/>
        </w:rPr>
        <w:t>exenatide</w:t>
      </w:r>
      <w:proofErr w:type="spellEnd"/>
      <w:r w:rsidRPr="00F80B61">
        <w:rPr>
          <w:b/>
          <w:i/>
        </w:rPr>
        <w:t>.</w:t>
      </w:r>
      <w:proofErr w:type="gramEnd"/>
    </w:p>
    <w:p w:rsidR="00D34A3F" w:rsidRPr="00D34A3F" w:rsidRDefault="00D34A3F" w:rsidP="004709F4">
      <w:pPr>
        <w:pStyle w:val="Heading5"/>
        <w:rPr>
          <w:rFonts w:eastAsia="Arial,BoldItalic"/>
        </w:rPr>
      </w:pPr>
      <w:r w:rsidRPr="00D34A3F">
        <w:rPr>
          <w:rFonts w:eastAsia="Arial,BoldItalic"/>
        </w:rPr>
        <w:t xml:space="preserve">When there is secondary failure, there is a need to cease </w:t>
      </w:r>
      <w:proofErr w:type="spellStart"/>
      <w:r w:rsidRPr="00D34A3F">
        <w:rPr>
          <w:rFonts w:eastAsia="Arial,BoldItalic"/>
        </w:rPr>
        <w:t>exenatide</w:t>
      </w:r>
      <w:proofErr w:type="spellEnd"/>
      <w:r w:rsidRPr="00D34A3F">
        <w:rPr>
          <w:rFonts w:eastAsia="Arial,BoldItalic"/>
        </w:rPr>
        <w:t xml:space="preserve"> and</w:t>
      </w:r>
      <w:r>
        <w:t xml:space="preserve"> </w:t>
      </w:r>
      <w:r w:rsidRPr="00D34A3F">
        <w:rPr>
          <w:rFonts w:eastAsia="Arial,BoldItalic"/>
        </w:rPr>
        <w:t>commence basal bolus insulin therapy. Should this be indicated in the PI?</w:t>
      </w:r>
    </w:p>
    <w:p w:rsidR="00D34A3F" w:rsidRPr="00D34A3F" w:rsidRDefault="00D34A3F" w:rsidP="00D34A3F">
      <w:r w:rsidRPr="00D34A3F">
        <w:t>It is not common practice in a PI to provide recommendations for the next therapy. Currently basal bolus</w:t>
      </w:r>
      <w:r>
        <w:t xml:space="preserve"> </w:t>
      </w:r>
      <w:r w:rsidRPr="00D34A3F">
        <w:t>insulin therapy is the likely next step for a patient not achieving sufficient glucose control using basal</w:t>
      </w:r>
      <w:r>
        <w:t xml:space="preserve"> </w:t>
      </w:r>
      <w:r w:rsidRPr="00D34A3F">
        <w:t xml:space="preserve">insulin and </w:t>
      </w:r>
      <w:proofErr w:type="spellStart"/>
      <w:r w:rsidRPr="00D34A3F">
        <w:t>exenatide</w:t>
      </w:r>
      <w:proofErr w:type="spellEnd"/>
      <w:r w:rsidRPr="00D34A3F">
        <w:t>; however, this may change with the introduction of new anti</w:t>
      </w:r>
      <w:r w:rsidR="003F4055">
        <w:t xml:space="preserve"> </w:t>
      </w:r>
      <w:r w:rsidRPr="00D34A3F">
        <w:t>diabetes agents. It is</w:t>
      </w:r>
      <w:r>
        <w:t xml:space="preserve"> </w:t>
      </w:r>
      <w:r w:rsidRPr="00D34A3F">
        <w:t>more appropriate to discuss treatment steps within treatment guidelines.</w:t>
      </w:r>
    </w:p>
    <w:p w:rsidR="00D34A3F" w:rsidRDefault="00D34A3F" w:rsidP="00D34A3F">
      <w:r w:rsidRPr="00D34A3F">
        <w:t xml:space="preserve">The PI has been amended as recommended in the </w:t>
      </w:r>
      <w:r w:rsidR="004709F4">
        <w:t>RMP</w:t>
      </w:r>
      <w:r w:rsidRPr="00D34A3F">
        <w:t xml:space="preserve"> evaluation report to include the</w:t>
      </w:r>
      <w:r>
        <w:t xml:space="preserve"> following statement:</w:t>
      </w:r>
    </w:p>
    <w:p w:rsidR="00D34A3F" w:rsidRPr="00D34A3F" w:rsidRDefault="00D34A3F" w:rsidP="00D34A3F">
      <w:pPr>
        <w:ind w:left="720"/>
        <w:rPr>
          <w:i/>
        </w:rPr>
      </w:pPr>
      <w:r w:rsidRPr="00D34A3F">
        <w:rPr>
          <w:i/>
        </w:rPr>
        <w:t xml:space="preserve">“The concurrent use of </w:t>
      </w:r>
      <w:proofErr w:type="spellStart"/>
      <w:r w:rsidRPr="00D34A3F">
        <w:rPr>
          <w:i/>
        </w:rPr>
        <w:t>exenatide</w:t>
      </w:r>
      <w:proofErr w:type="spellEnd"/>
      <w:r w:rsidRPr="00D34A3F">
        <w:rPr>
          <w:i/>
        </w:rPr>
        <w:t xml:space="preserve"> with </w:t>
      </w:r>
      <w:proofErr w:type="spellStart"/>
      <w:r w:rsidRPr="00D34A3F">
        <w:rPr>
          <w:i/>
        </w:rPr>
        <w:t>prandial</w:t>
      </w:r>
      <w:proofErr w:type="spellEnd"/>
      <w:r w:rsidRPr="00D34A3F">
        <w:rPr>
          <w:i/>
        </w:rPr>
        <w:t xml:space="preserve"> insulin has not been studied and cannot be recommended.”</w:t>
      </w:r>
    </w:p>
    <w:p w:rsidR="00D34A3F" w:rsidRPr="00D34A3F" w:rsidRDefault="00D34A3F" w:rsidP="00D34A3F">
      <w:r>
        <w:t>This may address the Delegate’</w:t>
      </w:r>
      <w:r w:rsidRPr="00D34A3F">
        <w:t>s comment if it concerns the fact that no</w:t>
      </w:r>
      <w:r>
        <w:t xml:space="preserve"> </w:t>
      </w:r>
      <w:r w:rsidRPr="00D34A3F">
        <w:t xml:space="preserve">information is currently available on the use of </w:t>
      </w:r>
      <w:proofErr w:type="spellStart"/>
      <w:r w:rsidRPr="00D34A3F">
        <w:t>exenatide</w:t>
      </w:r>
      <w:proofErr w:type="spellEnd"/>
      <w:r w:rsidRPr="00D34A3F">
        <w:t xml:space="preserve"> and bolus insulin.</w:t>
      </w:r>
    </w:p>
    <w:p w:rsidR="008E7846" w:rsidRDefault="008E7846" w:rsidP="008E7846">
      <w:pPr>
        <w:pStyle w:val="Heading4"/>
      </w:pPr>
      <w:r>
        <w:t>Advisory Committee Considerations</w:t>
      </w:r>
    </w:p>
    <w:p w:rsidR="00185929" w:rsidRDefault="00185929" w:rsidP="00185929">
      <w:r>
        <w:t xml:space="preserve">The </w:t>
      </w:r>
      <w:r>
        <w:rPr>
          <w:bCs/>
        </w:rPr>
        <w:t>Advisory Committee on Prescription Medicines (</w:t>
      </w:r>
      <w:r w:rsidRPr="001C5DFC">
        <w:rPr>
          <w:bCs/>
        </w:rPr>
        <w:t>AC</w:t>
      </w:r>
      <w:r>
        <w:rPr>
          <w:bCs/>
        </w:rPr>
        <w:t>PM)</w:t>
      </w:r>
      <w:r>
        <w:t>, taking into account the submitted evidence of efficacy, safety and quality, agreed with the delegate and considered these products to have an overall positive benefit-risk profile for the following indication:</w:t>
      </w:r>
    </w:p>
    <w:p w:rsidR="00185929" w:rsidRPr="006F1404" w:rsidRDefault="00185929" w:rsidP="006F1404">
      <w:pPr>
        <w:ind w:left="720"/>
        <w:rPr>
          <w:i/>
        </w:rPr>
      </w:pPr>
      <w:proofErr w:type="spellStart"/>
      <w:r w:rsidRPr="006F1404">
        <w:rPr>
          <w:i/>
        </w:rPr>
        <w:t>Exenatide</w:t>
      </w:r>
      <w:proofErr w:type="spellEnd"/>
      <w:r w:rsidRPr="006F1404">
        <w:rPr>
          <w:i/>
        </w:rPr>
        <w:t xml:space="preserve"> is indicated as adjunctive therapy to improve </w:t>
      </w:r>
      <w:proofErr w:type="spellStart"/>
      <w:r w:rsidRPr="006F1404">
        <w:rPr>
          <w:i/>
        </w:rPr>
        <w:t>glycaemic</w:t>
      </w:r>
      <w:proofErr w:type="spellEnd"/>
      <w:r w:rsidRPr="006F1404">
        <w:rPr>
          <w:i/>
        </w:rPr>
        <w:t xml:space="preserve"> control in patients with type 2 diabetes mellitus who are taking </w:t>
      </w:r>
      <w:proofErr w:type="spellStart"/>
      <w:r w:rsidRPr="006F1404">
        <w:rPr>
          <w:i/>
        </w:rPr>
        <w:t>metformin</w:t>
      </w:r>
      <w:proofErr w:type="spellEnd"/>
      <w:r w:rsidRPr="006F1404">
        <w:rPr>
          <w:i/>
        </w:rPr>
        <w:t xml:space="preserve">, a sulfonylurea, or a combination of </w:t>
      </w:r>
      <w:proofErr w:type="spellStart"/>
      <w:r w:rsidRPr="006F1404">
        <w:rPr>
          <w:i/>
        </w:rPr>
        <w:t>metformin</w:t>
      </w:r>
      <w:proofErr w:type="spellEnd"/>
      <w:r w:rsidRPr="006F1404">
        <w:rPr>
          <w:i/>
        </w:rPr>
        <w:t xml:space="preserve"> and a sulfonylurea, or a combination of </w:t>
      </w:r>
      <w:proofErr w:type="spellStart"/>
      <w:r w:rsidRPr="006F1404">
        <w:rPr>
          <w:i/>
        </w:rPr>
        <w:t>metformin</w:t>
      </w:r>
      <w:proofErr w:type="spellEnd"/>
      <w:r w:rsidRPr="006F1404">
        <w:rPr>
          <w:i/>
        </w:rPr>
        <w:t xml:space="preserve"> and a basal insulin</w:t>
      </w:r>
      <w:r w:rsidR="0002035C">
        <w:rPr>
          <w:i/>
        </w:rPr>
        <w:t>.</w:t>
      </w:r>
    </w:p>
    <w:p w:rsidR="00185929" w:rsidRDefault="00185929" w:rsidP="00185929">
      <w:r>
        <w:t xml:space="preserve">The ACPM also agreed with the delegate that there was insufficient evidence to support the use of </w:t>
      </w:r>
      <w:proofErr w:type="spellStart"/>
      <w:r>
        <w:t>exenatide</w:t>
      </w:r>
      <w:proofErr w:type="spellEnd"/>
      <w:r>
        <w:t xml:space="preserve"> with </w:t>
      </w:r>
      <w:r w:rsidR="000446B1">
        <w:t>TZD</w:t>
      </w:r>
      <w:r>
        <w:t xml:space="preserve"> with insulin.</w:t>
      </w:r>
    </w:p>
    <w:p w:rsidR="00185929" w:rsidRDefault="00185929" w:rsidP="00185929">
      <w:r>
        <w:t>The ACPM agreed with the delegate to the proposed amendme</w:t>
      </w:r>
      <w:r w:rsidR="00551BF5">
        <w:t>nts to the PI</w:t>
      </w:r>
      <w:r>
        <w:t xml:space="preserve"> and</w:t>
      </w:r>
      <w:r w:rsidR="003F4055">
        <w:t xml:space="preserve"> CMI</w:t>
      </w:r>
      <w:r>
        <w:t xml:space="preserve"> and specifically advised on the inclusion of the following;</w:t>
      </w:r>
    </w:p>
    <w:p w:rsidR="00185929" w:rsidRPr="00185929" w:rsidRDefault="00185929" w:rsidP="00185929">
      <w:pPr>
        <w:ind w:left="720"/>
        <w:rPr>
          <w:i/>
        </w:rPr>
      </w:pPr>
      <w:r w:rsidRPr="00185929">
        <w:rPr>
          <w:i/>
        </w:rPr>
        <w:lastRenderedPageBreak/>
        <w:t>- a statement in the Dosage and Administration section of the CMI to clarify the use of the term “separately” as the intent is to advice on the use of separate administrati</w:t>
      </w:r>
      <w:r w:rsidR="0002035C">
        <w:rPr>
          <w:i/>
        </w:rPr>
        <w:t>on sites and not dosage times.</w:t>
      </w:r>
    </w:p>
    <w:p w:rsidR="00185929" w:rsidRPr="00A322B3" w:rsidRDefault="00185929" w:rsidP="00185929">
      <w:r>
        <w:t>The ACPM advised that the implementation by the sponsor of the recommendations outlined above to the satisfaction of the TGA, in addition to the evidence of efficacy and safety provided would support the safe and effective use of these products.</w:t>
      </w:r>
    </w:p>
    <w:p w:rsidR="008E7846" w:rsidRPr="002E238E" w:rsidRDefault="008E7846" w:rsidP="008E7846">
      <w:pPr>
        <w:pStyle w:val="Heading3"/>
      </w:pPr>
      <w:bookmarkStart w:id="122" w:name="_Toc247691532"/>
      <w:bookmarkStart w:id="123" w:name="_Toc314842516"/>
      <w:bookmarkStart w:id="124" w:name="_Toc361226871"/>
      <w:bookmarkEnd w:id="70"/>
      <w:bookmarkEnd w:id="120"/>
      <w:bookmarkEnd w:id="121"/>
      <w:r>
        <w:t>Outcome</w:t>
      </w:r>
      <w:bookmarkEnd w:id="122"/>
      <w:bookmarkEnd w:id="123"/>
      <w:bookmarkEnd w:id="124"/>
    </w:p>
    <w:p w:rsidR="00B572EB" w:rsidRDefault="00B572EB" w:rsidP="0002035C">
      <w:r>
        <w:t xml:space="preserve">Based on a review of quality, safety and efficacy, TGA approved the registration of </w:t>
      </w:r>
      <w:proofErr w:type="spellStart"/>
      <w:r>
        <w:t>Byetta</w:t>
      </w:r>
      <w:proofErr w:type="spellEnd"/>
      <w:r>
        <w:t xml:space="preserve"> (</w:t>
      </w:r>
      <w:proofErr w:type="spellStart"/>
      <w:r>
        <w:t>exenatide</w:t>
      </w:r>
      <w:proofErr w:type="spellEnd"/>
      <w:r>
        <w:t xml:space="preserve">) 5 </w:t>
      </w:r>
      <w:r w:rsidR="0002035C">
        <w:sym w:font="Symbol" w:char="F06D"/>
      </w:r>
      <w:r>
        <w:t xml:space="preserve">g/20 </w:t>
      </w:r>
      <w:r w:rsidR="0002035C">
        <w:sym w:font="Symbol" w:char="F06D"/>
      </w:r>
      <w:r>
        <w:t xml:space="preserve">l and 10 </w:t>
      </w:r>
      <w:r w:rsidR="0002035C">
        <w:sym w:font="Symbol" w:char="F06D"/>
      </w:r>
      <w:r>
        <w:t xml:space="preserve">g/40 </w:t>
      </w:r>
      <w:r w:rsidR="0002035C">
        <w:sym w:font="Symbol" w:char="F06D"/>
      </w:r>
      <w:r>
        <w:t>l solution for injection. The improved indication reads as follows:</w:t>
      </w:r>
    </w:p>
    <w:p w:rsidR="00B572EB" w:rsidRPr="0002035C" w:rsidRDefault="005B67D9" w:rsidP="0002035C">
      <w:pPr>
        <w:ind w:left="709"/>
        <w:rPr>
          <w:i/>
        </w:rPr>
      </w:pPr>
      <w:proofErr w:type="spellStart"/>
      <w:r w:rsidRPr="0002035C">
        <w:rPr>
          <w:i/>
        </w:rPr>
        <w:t>Exenatide</w:t>
      </w:r>
      <w:proofErr w:type="spellEnd"/>
      <w:r w:rsidRPr="0002035C">
        <w:rPr>
          <w:i/>
        </w:rPr>
        <w:t xml:space="preserve"> is indicated</w:t>
      </w:r>
      <w:r w:rsidR="00CF5791" w:rsidRPr="0002035C">
        <w:rPr>
          <w:i/>
        </w:rPr>
        <w:t xml:space="preserve"> </w:t>
      </w:r>
      <w:r w:rsidR="00F22137" w:rsidRPr="0002035C">
        <w:rPr>
          <w:i/>
        </w:rPr>
        <w:t xml:space="preserve">as adjunctive therapy to improve </w:t>
      </w:r>
      <w:proofErr w:type="spellStart"/>
      <w:r w:rsidR="00F22137" w:rsidRPr="0002035C">
        <w:rPr>
          <w:i/>
        </w:rPr>
        <w:t>glycaemic</w:t>
      </w:r>
      <w:proofErr w:type="spellEnd"/>
      <w:r w:rsidR="00F22137" w:rsidRPr="0002035C">
        <w:rPr>
          <w:i/>
        </w:rPr>
        <w:t xml:space="preserve"> control in patients with type 2 diabetes mellitus who are taking </w:t>
      </w:r>
      <w:proofErr w:type="spellStart"/>
      <w:r w:rsidR="00F22137" w:rsidRPr="0002035C">
        <w:rPr>
          <w:i/>
        </w:rPr>
        <w:t>metformin</w:t>
      </w:r>
      <w:proofErr w:type="spellEnd"/>
      <w:r w:rsidR="00F22137" w:rsidRPr="0002035C">
        <w:rPr>
          <w:i/>
        </w:rPr>
        <w:t xml:space="preserve">, a sulfonylurea, or a combination of </w:t>
      </w:r>
      <w:proofErr w:type="spellStart"/>
      <w:r w:rsidR="00F22137" w:rsidRPr="0002035C">
        <w:rPr>
          <w:i/>
        </w:rPr>
        <w:t>metformin</w:t>
      </w:r>
      <w:proofErr w:type="spellEnd"/>
      <w:r w:rsidR="00F22137" w:rsidRPr="0002035C">
        <w:rPr>
          <w:i/>
        </w:rPr>
        <w:t xml:space="preserve"> and a sulfonylurea, or a combination of </w:t>
      </w:r>
      <w:proofErr w:type="spellStart"/>
      <w:r w:rsidR="00F22137" w:rsidRPr="0002035C">
        <w:rPr>
          <w:i/>
        </w:rPr>
        <w:t>metformin</w:t>
      </w:r>
      <w:proofErr w:type="spellEnd"/>
      <w:r w:rsidR="00F22137" w:rsidRPr="0002035C">
        <w:rPr>
          <w:i/>
        </w:rPr>
        <w:t xml:space="preserve"> and a basal insulin, but are not achieving adequate </w:t>
      </w:r>
      <w:proofErr w:type="spellStart"/>
      <w:r w:rsidR="00F22137" w:rsidRPr="0002035C">
        <w:rPr>
          <w:i/>
        </w:rPr>
        <w:t>glycaemic</w:t>
      </w:r>
      <w:proofErr w:type="spellEnd"/>
      <w:r w:rsidR="00F22137" w:rsidRPr="0002035C">
        <w:rPr>
          <w:i/>
        </w:rPr>
        <w:t xml:space="preserve"> control.</w:t>
      </w:r>
    </w:p>
    <w:p w:rsidR="0048181A" w:rsidRPr="005B5947" w:rsidRDefault="0048181A" w:rsidP="0002035C">
      <w:pPr>
        <w:pStyle w:val="Heading4"/>
      </w:pPr>
      <w:r w:rsidRPr="005B5947">
        <w:t>Specific conditions of registration applying to these therapeutic goods:</w:t>
      </w:r>
    </w:p>
    <w:p w:rsidR="0048181A" w:rsidRDefault="0048181A" w:rsidP="0002035C">
      <w:pPr>
        <w:pStyle w:val="Numberbullet0"/>
        <w:numPr>
          <w:ilvl w:val="0"/>
          <w:numId w:val="37"/>
        </w:numPr>
      </w:pPr>
      <w:r w:rsidRPr="00CF5ABB">
        <w:t xml:space="preserve">The implementation in Australia of </w:t>
      </w:r>
      <w:r>
        <w:t xml:space="preserve">the </w:t>
      </w:r>
      <w:proofErr w:type="spellStart"/>
      <w:r>
        <w:t>Byetta</w:t>
      </w:r>
      <w:proofErr w:type="spellEnd"/>
      <w:r>
        <w:t xml:space="preserve"> (</w:t>
      </w:r>
      <w:proofErr w:type="spellStart"/>
      <w:r>
        <w:t>exenatide</w:t>
      </w:r>
      <w:proofErr w:type="spellEnd"/>
      <w:r>
        <w:t>) (EU RMP version 16 (Revision 15; data lock point 31 March 2010) with the Australian specific Annex to the RMP Revision 15_v1.0), included with the submission PM 2011-01931-3-5</w:t>
      </w:r>
      <w:r w:rsidRPr="00CF5ABB">
        <w:t xml:space="preserve">, and any subsequent revisions, as agreed with the TGA and its </w:t>
      </w:r>
      <w:r>
        <w:t>OPR.</w:t>
      </w:r>
    </w:p>
    <w:p w:rsidR="008E7846" w:rsidRDefault="008E7846" w:rsidP="008E7846">
      <w:pPr>
        <w:pStyle w:val="Heading2"/>
      </w:pPr>
      <w:bookmarkStart w:id="125" w:name="_Toc247691533"/>
      <w:bookmarkStart w:id="126" w:name="_Toc314842517"/>
      <w:bookmarkStart w:id="127" w:name="_Toc361226872"/>
      <w:proofErr w:type="gramStart"/>
      <w:r>
        <w:t>Attachment 1.</w:t>
      </w:r>
      <w:proofErr w:type="gramEnd"/>
      <w:r>
        <w:tab/>
        <w:t xml:space="preserve">Product </w:t>
      </w:r>
      <w:r w:rsidR="00AA0ED0">
        <w:t>I</w:t>
      </w:r>
      <w:r>
        <w:t>nformation</w:t>
      </w:r>
      <w:bookmarkEnd w:id="125"/>
      <w:bookmarkEnd w:id="126"/>
      <w:bookmarkEnd w:id="127"/>
    </w:p>
    <w:p w:rsidR="003D1E62" w:rsidRDefault="008E7846" w:rsidP="00A12C42">
      <w:pPr>
        <w:autoSpaceDE w:val="0"/>
        <w:autoSpaceDN w:val="0"/>
        <w:adjustRightInd w:val="0"/>
        <w:spacing w:after="0"/>
        <w:rPr>
          <w:color w:val="000000"/>
          <w:lang w:eastAsia="en-AU"/>
        </w:rPr>
      </w:pPr>
      <w:r w:rsidRPr="0037352E">
        <w:t>The following Product Information was approved at the time this AusPAR was published. For the current Product Information please refer to the TGA website at</w:t>
      </w:r>
      <w:r w:rsidR="008F6943">
        <w:t xml:space="preserve"> &lt;</w:t>
      </w:r>
      <w:r w:rsidR="00722B57" w:rsidRPr="00722B57">
        <w:rPr>
          <w:rStyle w:val="Hyperlink"/>
        </w:rPr>
        <w:t>http://www.tga.gov.au/hp/information-medicines-pi.htm</w:t>
      </w:r>
      <w:hyperlink w:history="1"/>
      <w:r w:rsidR="008F6943">
        <w:rPr>
          <w:color w:val="000000"/>
          <w:lang w:eastAsia="en-AU"/>
        </w:rPr>
        <w:t>&gt;.</w:t>
      </w:r>
    </w:p>
    <w:p w:rsidR="00115900" w:rsidRDefault="00115900" w:rsidP="00115900">
      <w:pPr>
        <w:pStyle w:val="Heading2"/>
      </w:pPr>
      <w:bookmarkStart w:id="128" w:name="_Toc356479253"/>
      <w:bookmarkStart w:id="129" w:name="_Toc357785297"/>
      <w:bookmarkStart w:id="130" w:name="_Toc361226873"/>
      <w:proofErr w:type="gramStart"/>
      <w:r>
        <w:rPr>
          <w:lang w:eastAsia="en-AU"/>
        </w:rPr>
        <w:t>Attachment 2.</w:t>
      </w:r>
      <w:proofErr w:type="gramEnd"/>
      <w:r>
        <w:rPr>
          <w:lang w:eastAsia="en-AU"/>
        </w:rPr>
        <w:t xml:space="preserve"> Extract from the Clinical Evaluation Report</w:t>
      </w:r>
      <w:bookmarkEnd w:id="128"/>
      <w:bookmarkEnd w:id="129"/>
      <w:bookmarkEnd w:id="130"/>
    </w:p>
    <w:p w:rsidR="00115900" w:rsidRPr="00115900" w:rsidRDefault="00115900" w:rsidP="00115900">
      <w:pPr>
        <w:sectPr w:rsidR="00115900" w:rsidRPr="00115900" w:rsidSect="00B452CE">
          <w:headerReference w:type="even" r:id="rId18"/>
          <w:headerReference w:type="default" r:id="rId19"/>
          <w:footerReference w:type="default" r:id="rId20"/>
          <w:headerReference w:type="first" r:id="rId21"/>
          <w:footerReference w:type="first" r:id="rId22"/>
          <w:pgSz w:w="11906" w:h="16838" w:code="9"/>
          <w:pgMar w:top="834" w:right="1701" w:bottom="1191" w:left="1701" w:header="907" w:footer="216" w:gutter="0"/>
          <w:cols w:space="708"/>
          <w:docGrid w:linePitch="360"/>
        </w:sectPr>
      </w:pPr>
    </w:p>
    <w:p w:rsidR="00774E1D" w:rsidRPr="008A5E0B" w:rsidRDefault="00774E1D" w:rsidP="00973C1B"/>
    <w:sectPr w:rsidR="00774E1D" w:rsidRPr="008A5E0B" w:rsidSect="00E45619">
      <w:headerReference w:type="even" r:id="rId23"/>
      <w:headerReference w:type="default" r:id="rId24"/>
      <w:footerReference w:type="default" r:id="rId25"/>
      <w:headerReference w:type="first" r:id="rId26"/>
      <w:footerReference w:type="first" r:id="rId27"/>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A68" w:rsidRDefault="00745A68" w:rsidP="00C40A36">
      <w:pPr>
        <w:spacing w:after="0"/>
      </w:pPr>
      <w:r>
        <w:separator/>
      </w:r>
    </w:p>
  </w:endnote>
  <w:endnote w:type="continuationSeparator" w:id="0">
    <w:p w:rsidR="00745A68" w:rsidRDefault="00745A68"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745A68" w:rsidRPr="00487162" w:rsidTr="0053625B">
      <w:trPr>
        <w:trHeight w:val="269"/>
      </w:trPr>
      <w:tc>
        <w:tcPr>
          <w:tcW w:w="7938" w:type="dxa"/>
          <w:tcMar>
            <w:top w:w="142" w:type="dxa"/>
            <w:bottom w:w="0" w:type="dxa"/>
          </w:tcMar>
        </w:tcPr>
        <w:p w:rsidR="00745A68" w:rsidRPr="00487162" w:rsidRDefault="00745A68" w:rsidP="000543FF">
          <w:pPr>
            <w:pStyle w:val="Footer"/>
          </w:pPr>
          <w:proofErr w:type="spellStart"/>
          <w:r w:rsidRPr="00487162">
            <w:t>AusPAR</w:t>
          </w:r>
          <w:proofErr w:type="spellEnd"/>
          <w:r w:rsidRPr="00487162">
            <w:t xml:space="preserve"> </w:t>
          </w:r>
          <w:proofErr w:type="spellStart"/>
          <w:r>
            <w:t>Byetta</w:t>
          </w:r>
          <w:proofErr w:type="spellEnd"/>
          <w:r w:rsidRPr="00487162">
            <w:t xml:space="preserve"> </w:t>
          </w:r>
          <w:r>
            <w:t xml:space="preserve">Eli Lilly Australia Pty Ltd </w:t>
          </w:r>
          <w:r w:rsidRPr="007E364D">
            <w:t>PM-2011-01931-3-5</w:t>
          </w:r>
          <w:r>
            <w:br/>
            <w:t>Final 3 June 2013</w:t>
          </w:r>
        </w:p>
      </w:tc>
      <w:tc>
        <w:tcPr>
          <w:tcW w:w="923" w:type="dxa"/>
          <w:tcMar>
            <w:top w:w="142" w:type="dxa"/>
            <w:bottom w:w="0" w:type="dxa"/>
          </w:tcMar>
        </w:tcPr>
        <w:p w:rsidR="00745A68" w:rsidRPr="00487162" w:rsidRDefault="00745A68" w:rsidP="00D855D4">
          <w:pPr>
            <w:pStyle w:val="Footer"/>
            <w:jc w:val="right"/>
          </w:pPr>
          <w:r w:rsidRPr="00487162">
            <w:t xml:space="preserve">Page </w:t>
          </w:r>
          <w:r>
            <w:t>2</w:t>
          </w:r>
          <w:r w:rsidRPr="00487162">
            <w:t xml:space="preserve"> of </w:t>
          </w:r>
          <w:fldSimple w:instr=" NUMPAGES  \* Arabic ">
            <w:r w:rsidR="00607312">
              <w:rPr>
                <w:noProof/>
              </w:rPr>
              <w:t>29</w:t>
            </w:r>
          </w:fldSimple>
        </w:p>
      </w:tc>
    </w:tr>
  </w:tbl>
  <w:p w:rsidR="00745A68" w:rsidRDefault="00745A68"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68" w:rsidRDefault="00745A68" w:rsidP="00165389"/>
  <w:p w:rsidR="00745A68" w:rsidRDefault="00745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4519"/>
      <w:gridCol w:w="4342"/>
    </w:tblGrid>
    <w:tr w:rsidR="00745A68" w:rsidRPr="00487162" w:rsidTr="00E26130">
      <w:trPr>
        <w:trHeight w:val="269"/>
      </w:trPr>
      <w:tc>
        <w:tcPr>
          <w:tcW w:w="4519" w:type="dxa"/>
          <w:tcMar>
            <w:top w:w="142" w:type="dxa"/>
            <w:bottom w:w="0" w:type="dxa"/>
          </w:tcMar>
        </w:tcPr>
        <w:p w:rsidR="00745A68" w:rsidRPr="00487162" w:rsidRDefault="00745A68" w:rsidP="00813E8A">
          <w:pPr>
            <w:pStyle w:val="Footer"/>
          </w:pPr>
          <w:proofErr w:type="spellStart"/>
          <w:r w:rsidRPr="00487162">
            <w:t>Au</w:t>
          </w:r>
          <w:r w:rsidRPr="003B4D60">
            <w:t>sPAR</w:t>
          </w:r>
          <w:proofErr w:type="spellEnd"/>
          <w:r w:rsidRPr="003B4D60">
            <w:t xml:space="preserve"> </w:t>
          </w:r>
          <w:proofErr w:type="spellStart"/>
          <w:r>
            <w:t>Byetta</w:t>
          </w:r>
          <w:proofErr w:type="spellEnd"/>
          <w:r w:rsidRPr="00487162">
            <w:t xml:space="preserve"> </w:t>
          </w:r>
          <w:r>
            <w:t xml:space="preserve">Eli Lilly Australia Pty Ltd </w:t>
          </w:r>
          <w:r w:rsidRPr="007E364D">
            <w:t>PM-2011-01931-3-5</w:t>
          </w:r>
          <w:r>
            <w:br/>
            <w:t xml:space="preserve">Final </w:t>
          </w:r>
          <w:r w:rsidR="00813E8A">
            <w:t>3 June</w:t>
          </w:r>
          <w:r>
            <w:t xml:space="preserve"> 2013</w:t>
          </w:r>
        </w:p>
      </w:tc>
      <w:tc>
        <w:tcPr>
          <w:tcW w:w="4342" w:type="dxa"/>
          <w:tcMar>
            <w:top w:w="142" w:type="dxa"/>
            <w:bottom w:w="0" w:type="dxa"/>
          </w:tcMar>
        </w:tcPr>
        <w:p w:rsidR="00745A68" w:rsidRPr="00487162" w:rsidRDefault="00745A68" w:rsidP="00E45619">
          <w:pPr>
            <w:pStyle w:val="Footer"/>
            <w:jc w:val="right"/>
          </w:pPr>
          <w:r w:rsidRPr="00487162">
            <w:t xml:space="preserve">Page </w:t>
          </w:r>
          <w:fldSimple w:instr="PAGE">
            <w:r w:rsidR="00607312">
              <w:rPr>
                <w:noProof/>
              </w:rPr>
              <w:t>3</w:t>
            </w:r>
          </w:fldSimple>
          <w:r w:rsidRPr="00487162">
            <w:t xml:space="preserve"> of </w:t>
          </w:r>
          <w:fldSimple w:instr=" NUMPAGES  \* Arabic ">
            <w:r w:rsidR="00607312">
              <w:rPr>
                <w:noProof/>
              </w:rPr>
              <w:t>29</w:t>
            </w:r>
          </w:fldSimple>
        </w:p>
      </w:tc>
    </w:tr>
  </w:tbl>
  <w:p w:rsidR="00745A68" w:rsidRDefault="00745A68" w:rsidP="00E261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745A68" w:rsidRPr="00487162" w:rsidTr="00E45619">
      <w:trPr>
        <w:trHeight w:val="269"/>
      </w:trPr>
      <w:tc>
        <w:tcPr>
          <w:tcW w:w="4519" w:type="dxa"/>
          <w:tcBorders>
            <w:top w:val="single" w:sz="4" w:space="0" w:color="auto"/>
          </w:tcBorders>
          <w:tcMar>
            <w:top w:w="142" w:type="dxa"/>
            <w:bottom w:w="0" w:type="dxa"/>
          </w:tcMar>
        </w:tcPr>
        <w:p w:rsidR="00745A68" w:rsidRPr="00487162" w:rsidRDefault="00745A68" w:rsidP="00FE1DEE">
          <w:pPr>
            <w:pStyle w:val="Footer"/>
          </w:pPr>
          <w:r w:rsidRPr="00487162">
            <w:t>Document title, Part #, Section # - Section title</w:t>
          </w:r>
        </w:p>
        <w:p w:rsidR="00745A68" w:rsidRPr="00487162" w:rsidRDefault="00745A68" w:rsidP="00FE1DEE">
          <w:pPr>
            <w:pStyle w:val="Footer"/>
          </w:pPr>
          <w:r w:rsidRPr="00487162">
            <w:t>V1.0 October 2010</w:t>
          </w:r>
        </w:p>
      </w:tc>
      <w:tc>
        <w:tcPr>
          <w:tcW w:w="4342" w:type="dxa"/>
          <w:tcBorders>
            <w:top w:val="single" w:sz="4" w:space="0" w:color="auto"/>
          </w:tcBorders>
          <w:tcMar>
            <w:top w:w="142" w:type="dxa"/>
            <w:bottom w:w="0" w:type="dxa"/>
          </w:tcMar>
        </w:tcPr>
        <w:p w:rsidR="00745A68" w:rsidRPr="00487162" w:rsidRDefault="00745A68"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6</w:t>
            </w:r>
          </w:fldSimple>
        </w:p>
      </w:tc>
    </w:tr>
  </w:tbl>
  <w:p w:rsidR="00745A68" w:rsidRDefault="00745A6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68" w:rsidRDefault="00745A68">
    <w:pPr>
      <w:pStyle w:val="Footer"/>
      <w:jc w:val="right"/>
    </w:pPr>
  </w:p>
  <w:tbl>
    <w:tblPr>
      <w:tblW w:w="9175" w:type="dxa"/>
      <w:tblInd w:w="-284" w:type="dxa"/>
      <w:tblLayout w:type="fixed"/>
      <w:tblCellMar>
        <w:left w:w="0" w:type="dxa"/>
        <w:right w:w="0" w:type="dxa"/>
      </w:tblCellMar>
      <w:tblLook w:val="04A0"/>
    </w:tblPr>
    <w:tblGrid>
      <w:gridCol w:w="9175"/>
    </w:tblGrid>
    <w:tr w:rsidR="00745A68" w:rsidRPr="00487162" w:rsidTr="00E45619">
      <w:trPr>
        <w:trHeight w:hRule="exact" w:val="704"/>
      </w:trPr>
      <w:tc>
        <w:tcPr>
          <w:tcW w:w="9175" w:type="dxa"/>
        </w:tcPr>
        <w:p w:rsidR="00745A68" w:rsidRPr="00487162" w:rsidRDefault="00745A68" w:rsidP="008E7846">
          <w:pPr>
            <w:pStyle w:val="TGASignoff"/>
          </w:pPr>
          <w:r w:rsidRPr="00487162">
            <w:t>Therapeutic Goods Administration</w:t>
          </w:r>
        </w:p>
      </w:tc>
    </w:tr>
    <w:tr w:rsidR="00745A68" w:rsidRPr="00487162" w:rsidTr="00E45619">
      <w:trPr>
        <w:trHeight w:val="1221"/>
      </w:trPr>
      <w:tc>
        <w:tcPr>
          <w:tcW w:w="9175" w:type="dxa"/>
          <w:tcMar>
            <w:top w:w="28" w:type="dxa"/>
          </w:tcMar>
        </w:tcPr>
        <w:p w:rsidR="00745A68" w:rsidRPr="00487162" w:rsidRDefault="00745A68" w:rsidP="00E45619">
          <w:pPr>
            <w:pStyle w:val="Address"/>
          </w:pPr>
          <w:r w:rsidRPr="00487162">
            <w:t>PO Box 100 Woden ACT 2606 Australia</w:t>
          </w:r>
        </w:p>
        <w:p w:rsidR="00745A68" w:rsidRPr="00487162" w:rsidRDefault="00745A68" w:rsidP="00E45619">
          <w:pPr>
            <w:pStyle w:val="Address"/>
          </w:pPr>
          <w:r w:rsidRPr="00487162">
            <w:t>Email: info@tga.gov.au  Phone: 1800 020 653  Fax: 02 6232 8605</w:t>
          </w:r>
        </w:p>
        <w:p w:rsidR="00745A68" w:rsidRPr="00112F56" w:rsidRDefault="00873037" w:rsidP="00E45619">
          <w:pPr>
            <w:pStyle w:val="Address"/>
            <w:spacing w:line="260" w:lineRule="atLeast"/>
            <w:rPr>
              <w:rStyle w:val="Hyperlink"/>
              <w:b/>
            </w:rPr>
          </w:pPr>
          <w:hyperlink r:id="rId1" w:history="1">
            <w:r w:rsidRPr="009F1EB0">
              <w:rPr>
                <w:rStyle w:val="Hyperlink"/>
                <w:b/>
              </w:rPr>
              <w:t>http://www.tga.gov.au</w:t>
            </w:r>
          </w:hyperlink>
        </w:p>
        <w:p w:rsidR="00745A68" w:rsidRDefault="00745A68" w:rsidP="00E45619">
          <w:pPr>
            <w:pStyle w:val="Reference"/>
            <w:jc w:val="center"/>
          </w:pPr>
          <w:r w:rsidRPr="00487162">
            <w:t>Reference/Publication #</w:t>
          </w:r>
        </w:p>
        <w:p w:rsidR="00745A68" w:rsidRPr="00487162" w:rsidRDefault="00745A68" w:rsidP="00E45619">
          <w:pPr>
            <w:pStyle w:val="Reference"/>
            <w:ind w:firstLine="0"/>
          </w:pPr>
        </w:p>
      </w:tc>
    </w:tr>
  </w:tbl>
  <w:p w:rsidR="00745A68" w:rsidRDefault="00745A68" w:rsidP="008E7846">
    <w:pPr>
      <w:pStyle w:val="Notes"/>
    </w:pPr>
  </w:p>
  <w:p w:rsidR="00745A68" w:rsidRPr="008E7846" w:rsidRDefault="00745A68" w:rsidP="008E784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745A68" w:rsidTr="0010601F">
      <w:trPr>
        <w:trHeight w:val="108"/>
      </w:trPr>
      <w:tc>
        <w:tcPr>
          <w:tcW w:w="8875" w:type="dxa"/>
          <w:gridSpan w:val="2"/>
          <w:tcBorders>
            <w:bottom w:val="single" w:sz="4" w:space="0" w:color="auto"/>
          </w:tcBorders>
          <w:tcMar>
            <w:right w:w="284" w:type="dxa"/>
          </w:tcMar>
        </w:tcPr>
        <w:p w:rsidR="00745A68" w:rsidRDefault="00745A68" w:rsidP="006E08B3">
          <w:pPr>
            <w:pStyle w:val="Heading3"/>
          </w:pPr>
          <w:r>
            <w:t>Copyright</w:t>
          </w:r>
        </w:p>
        <w:p w:rsidR="00745A68" w:rsidRDefault="00745A68" w:rsidP="006E08B3">
          <w:r>
            <w:rPr>
              <w:rFonts w:cs="Arial"/>
            </w:rPr>
            <w:t>©</w:t>
          </w:r>
          <w:r>
            <w:t xml:space="preserve"> Commonwealth of Australia [add year]</w:t>
          </w:r>
        </w:p>
        <w:p w:rsidR="00745A68" w:rsidRDefault="00745A68" w:rsidP="006E08B3"/>
        <w:p w:rsidR="00745A68" w:rsidRDefault="00745A6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745A68" w:rsidRDefault="00745A68" w:rsidP="006E08B3"/>
        <w:p w:rsidR="00745A68" w:rsidRDefault="00745A68" w:rsidP="006E08B3">
          <w:pPr>
            <w:pStyle w:val="Heading3"/>
          </w:pPr>
          <w:r>
            <w:t>Confidentiality</w:t>
          </w:r>
        </w:p>
        <w:p w:rsidR="00745A68" w:rsidRDefault="00745A6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745A68" w:rsidRDefault="00745A68" w:rsidP="006E08B3"/>
        <w:p w:rsidR="00745A68" w:rsidRDefault="00745A68" w:rsidP="006E08B3">
          <w:r>
            <w:t>For submission made by individuals, all personal details, other than your name, will be removed from your submission before it is published on the TGA’s Internet site.</w:t>
          </w:r>
        </w:p>
        <w:p w:rsidR="00745A68" w:rsidRDefault="00745A68" w:rsidP="006E08B3"/>
        <w:p w:rsidR="00745A68" w:rsidRDefault="00745A68"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45A68" w:rsidTr="0010601F">
      <w:trPr>
        <w:trHeight w:val="417"/>
      </w:trPr>
      <w:tc>
        <w:tcPr>
          <w:tcW w:w="4519" w:type="dxa"/>
          <w:tcBorders>
            <w:top w:val="single" w:sz="4" w:space="0" w:color="auto"/>
          </w:tcBorders>
          <w:tcMar>
            <w:top w:w="142" w:type="dxa"/>
            <w:bottom w:w="0" w:type="dxa"/>
          </w:tcMar>
        </w:tcPr>
        <w:p w:rsidR="00745A68" w:rsidRDefault="00745A68" w:rsidP="006E08B3">
          <w:r>
            <w:t>Document title, Part #, Section # - Section title</w:t>
          </w:r>
        </w:p>
        <w:p w:rsidR="00745A68" w:rsidRDefault="00745A68" w:rsidP="006E08B3">
          <w:r>
            <w:t>V1.0 October 2010</w:t>
          </w:r>
        </w:p>
      </w:tc>
      <w:tc>
        <w:tcPr>
          <w:tcW w:w="4356" w:type="dxa"/>
          <w:tcBorders>
            <w:top w:val="single" w:sz="4" w:space="0" w:color="auto"/>
          </w:tcBorders>
          <w:tcMar>
            <w:top w:w="142" w:type="dxa"/>
            <w:bottom w:w="0" w:type="dxa"/>
          </w:tcMar>
        </w:tcPr>
        <w:p w:rsidR="00745A68" w:rsidRDefault="00745A68" w:rsidP="006E08B3">
          <w:pPr>
            <w:jc w:val="right"/>
          </w:pPr>
          <w:r>
            <w:t xml:space="preserve">Page </w:t>
          </w:r>
          <w:fldSimple w:instr=" PAGE   \* MERGEFORMAT ">
            <w:r>
              <w:rPr>
                <w:noProof/>
              </w:rPr>
              <w:t>1</w:t>
            </w:r>
          </w:fldSimple>
          <w:r>
            <w:t xml:space="preserve"> of </w:t>
          </w:r>
          <w:fldSimple w:instr=" NUMPAGES  \* Arabic ">
            <w:r>
              <w:rPr>
                <w:noProof/>
              </w:rPr>
              <w:t>1</w:t>
            </w:r>
          </w:fldSimple>
          <w:r>
            <w:t xml:space="preserve">  </w:t>
          </w:r>
        </w:p>
      </w:tc>
    </w:tr>
  </w:tbl>
  <w:p w:rsidR="00745A68" w:rsidRDefault="00745A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A68" w:rsidRDefault="00745A68" w:rsidP="00C40A36">
      <w:pPr>
        <w:spacing w:after="0"/>
      </w:pPr>
      <w:r>
        <w:separator/>
      </w:r>
    </w:p>
  </w:footnote>
  <w:footnote w:type="continuationSeparator" w:id="0">
    <w:p w:rsidR="00745A68" w:rsidRDefault="00745A68" w:rsidP="00C40A36">
      <w:pPr>
        <w:spacing w:after="0"/>
      </w:pPr>
      <w:r>
        <w:continuationSeparator/>
      </w:r>
    </w:p>
  </w:footnote>
  <w:footnote w:id="1">
    <w:p w:rsidR="00745A68" w:rsidRDefault="00745A68">
      <w:pPr>
        <w:pStyle w:val="FootnoteText"/>
      </w:pPr>
      <w:r>
        <w:rPr>
          <w:rStyle w:val="FootnoteReference"/>
        </w:rPr>
        <w:footnoteRef/>
      </w:r>
      <w:r>
        <w:t xml:space="preserve"> </w:t>
      </w:r>
      <w:r w:rsidRPr="00B10058">
        <w:t>Bristol-Myers Squibb Australia Pty Ltd is now the sponsor of this product in Australia</w:t>
      </w:r>
      <w:r>
        <w:t>.</w:t>
      </w:r>
    </w:p>
  </w:footnote>
  <w:footnote w:id="2">
    <w:p w:rsidR="00745A68" w:rsidRDefault="00745A68">
      <w:pPr>
        <w:pStyle w:val="FootnoteText"/>
      </w:pPr>
      <w:r>
        <w:rPr>
          <w:rStyle w:val="FootnoteReference"/>
        </w:rPr>
        <w:footnoteRef/>
      </w:r>
      <w:r>
        <w:t xml:space="preserve"> </w:t>
      </w:r>
      <w:r w:rsidRPr="00B10058">
        <w:t>Bristol-Myers Squibb Australia Pt</w:t>
      </w:r>
      <w:r>
        <w:t xml:space="preserve">y Ltd, 4 Nexus Court, Mulgrave </w:t>
      </w:r>
      <w:r w:rsidRPr="00B10058">
        <w:t>VIC 3170, is now the sponsor of this product in Australia</w:t>
      </w:r>
      <w:r>
        <w:t>.</w:t>
      </w:r>
    </w:p>
  </w:footnote>
  <w:footnote w:id="3">
    <w:p w:rsidR="00745A68" w:rsidRDefault="00745A68">
      <w:pPr>
        <w:pStyle w:val="FootnoteText"/>
      </w:pPr>
      <w:r>
        <w:rPr>
          <w:rStyle w:val="FootnoteReference"/>
        </w:rPr>
        <w:footnoteRef/>
      </w:r>
      <w:r>
        <w:t xml:space="preserve"> European Medicines Agency, “Committee for Proprietary Medicinal Products (CPMP): Note for Guidance on Clinical Investigation of Medicinal Products in the Treatment of Diabetes Mellitus (CPMP</w:t>
      </w:r>
      <w:r w:rsidRPr="00322BA0">
        <w:t>/</w:t>
      </w:r>
      <w:r>
        <w:t>EMP</w:t>
      </w:r>
      <w:r w:rsidRPr="00322BA0">
        <w:t>/</w:t>
      </w:r>
      <w:r>
        <w:t>1080/00</w:t>
      </w:r>
      <w:r w:rsidRPr="00322BA0">
        <w:t>)”,</w:t>
      </w:r>
      <w:r>
        <w:t xml:space="preserve"> 30 May 2002</w:t>
      </w:r>
      <w:r w:rsidRPr="00322BA0">
        <w:t xml:space="preserve">, Web, accessed </w:t>
      </w:r>
      <w:r>
        <w:t>18 February 2013 &lt;</w:t>
      </w:r>
      <w:r w:rsidRPr="00E44BC3">
        <w:t>www.ema.europa.eu/</w:t>
      </w:r>
      <w:r>
        <w:t xml:space="preserve"> </w:t>
      </w:r>
      <w:r w:rsidRPr="00E44BC3">
        <w:t>docs/en_GB/document_library/Scientific_guideline/2009/09/WC500003262.pdf</w:t>
      </w:r>
      <w:r w:rsidRPr="00322BA0">
        <w:t>&gt;.</w:t>
      </w:r>
    </w:p>
  </w:footnote>
  <w:footnote w:id="4">
    <w:p w:rsidR="00745A68" w:rsidRDefault="00745A68">
      <w:pPr>
        <w:pStyle w:val="FootnoteText"/>
      </w:pPr>
      <w:r>
        <w:rPr>
          <w:rStyle w:val="FootnoteReference"/>
        </w:rPr>
        <w:footnoteRef/>
      </w:r>
      <w:r>
        <w:t xml:space="preserve"> </w:t>
      </w:r>
      <w:proofErr w:type="spellStart"/>
      <w:r w:rsidRPr="00E76819">
        <w:t>Klonoff</w:t>
      </w:r>
      <w:proofErr w:type="spellEnd"/>
      <w:r w:rsidRPr="00E76819">
        <w:t xml:space="preserve"> DC</w:t>
      </w:r>
      <w:r>
        <w:t xml:space="preserve">, et al. (2008) </w:t>
      </w:r>
      <w:proofErr w:type="spellStart"/>
      <w:r w:rsidRPr="00E76819">
        <w:t>Exenatide</w:t>
      </w:r>
      <w:proofErr w:type="spellEnd"/>
      <w:r w:rsidRPr="00E76819">
        <w:t xml:space="preserve"> effects on diabetes, obesity, cardiovascular risk factors and hepatic biomarkers in patients with type 2 diabetes treated for at least 3</w:t>
      </w:r>
      <w:r>
        <w:t xml:space="preserve"> years. </w:t>
      </w:r>
      <w:proofErr w:type="spellStart"/>
      <w:proofErr w:type="gramStart"/>
      <w:r w:rsidRPr="00E76819">
        <w:rPr>
          <w:i/>
        </w:rPr>
        <w:t>Curr</w:t>
      </w:r>
      <w:proofErr w:type="spellEnd"/>
      <w:r w:rsidRPr="00E76819">
        <w:rPr>
          <w:i/>
        </w:rPr>
        <w:t xml:space="preserve"> Med Res </w:t>
      </w:r>
      <w:proofErr w:type="spellStart"/>
      <w:r w:rsidRPr="00E76819">
        <w:rPr>
          <w:i/>
        </w:rPr>
        <w:t>Opin</w:t>
      </w:r>
      <w:proofErr w:type="spellEnd"/>
      <w:r w:rsidRPr="00E76819">
        <w:rPr>
          <w:i/>
        </w:rPr>
        <w:t>.</w:t>
      </w:r>
      <w:proofErr w:type="gramEnd"/>
      <w:r>
        <w:t xml:space="preserve"> 24</w:t>
      </w:r>
      <w:r w:rsidRPr="00E76819">
        <w:t>:</w:t>
      </w:r>
      <w:r>
        <w:t xml:space="preserve"> </w:t>
      </w:r>
      <w:r w:rsidRPr="00E76819">
        <w:t>275-286</w:t>
      </w:r>
      <w:r>
        <w:t>.</w:t>
      </w:r>
    </w:p>
  </w:footnote>
  <w:footnote w:id="5">
    <w:p w:rsidR="00745A68" w:rsidRDefault="00745A68">
      <w:pPr>
        <w:pStyle w:val="FootnoteText"/>
      </w:pPr>
      <w:r>
        <w:rPr>
          <w:rStyle w:val="FootnoteReference"/>
        </w:rPr>
        <w:footnoteRef/>
      </w:r>
      <w:r>
        <w:t xml:space="preserve"> </w:t>
      </w:r>
      <w:r w:rsidRPr="00AD2162">
        <w:t xml:space="preserve">US Food and Drug Administration, "Guidance for Industry: Diabetes Mellitus – Evaluating Cardiovascular Risk in New </w:t>
      </w:r>
      <w:proofErr w:type="spellStart"/>
      <w:r w:rsidRPr="00AD2162">
        <w:t>Antidiabetic</w:t>
      </w:r>
      <w:proofErr w:type="spellEnd"/>
      <w:r w:rsidRPr="00AD2162">
        <w:t xml:space="preserve"> Therapies to Treat Type 2 Diabetes", December 2008, Web, ac</w:t>
      </w:r>
      <w:r>
        <w:t>cessed 18 February 2013 &lt;</w:t>
      </w:r>
      <w:r w:rsidRPr="00A817EB">
        <w:rPr>
          <w:color w:val="0000FF"/>
          <w:u w:val="single"/>
        </w:rPr>
        <w:t xml:space="preserve">www.fda.gov/downloads/Drugs/GuidanceCompliance </w:t>
      </w:r>
      <w:proofErr w:type="spellStart"/>
      <w:r w:rsidRPr="00A817EB">
        <w:rPr>
          <w:color w:val="0000FF"/>
          <w:u w:val="single"/>
        </w:rPr>
        <w:t>RegulatoryInformation</w:t>
      </w:r>
      <w:proofErr w:type="spellEnd"/>
      <w:r w:rsidRPr="00A817EB">
        <w:rPr>
          <w:color w:val="0000FF"/>
          <w:u w:val="single"/>
        </w:rPr>
        <w:t>/</w:t>
      </w:r>
      <w:proofErr w:type="spellStart"/>
      <w:r w:rsidRPr="00A817EB">
        <w:rPr>
          <w:color w:val="0000FF"/>
          <w:u w:val="single"/>
        </w:rPr>
        <w:t>Guidances</w:t>
      </w:r>
      <w:proofErr w:type="spellEnd"/>
      <w:r w:rsidRPr="00A817EB">
        <w:rPr>
          <w:color w:val="0000FF"/>
          <w:u w:val="single"/>
        </w:rPr>
        <w:t>/ucm071627.pdf</w:t>
      </w:r>
      <w:r w:rsidRPr="00AD2162">
        <w:t>&gt;</w:t>
      </w:r>
      <w:r>
        <w:t>.</w:t>
      </w:r>
    </w:p>
  </w:footnote>
  <w:footnote w:id="6">
    <w:p w:rsidR="00745A68" w:rsidRPr="001170DD" w:rsidRDefault="00745A68" w:rsidP="001170DD">
      <w:pPr>
        <w:pStyle w:val="FootnoteText"/>
      </w:pPr>
      <w:r w:rsidRPr="001170DD">
        <w:rPr>
          <w:rStyle w:val="FootnoteReference"/>
        </w:rPr>
        <w:footnoteRef/>
      </w:r>
      <w:r w:rsidRPr="001170DD">
        <w:t xml:space="preserve"> US Food and Drug Administration, "Guidance for Industry: Diabetes Mellitus – Evaluating Cardiovascular Risk in New </w:t>
      </w:r>
      <w:proofErr w:type="spellStart"/>
      <w:r w:rsidRPr="001170DD">
        <w:t>Antidiabetic</w:t>
      </w:r>
      <w:proofErr w:type="spellEnd"/>
      <w:r w:rsidRPr="001170DD">
        <w:t xml:space="preserve"> Therapies to Treat Type 2 Diabetes", December 2008, Web, accessed 18 February 2013 &lt;www.fda.gov/downloads/Drugs/GuidanceCompliance </w:t>
      </w:r>
      <w:proofErr w:type="spellStart"/>
      <w:r w:rsidRPr="001170DD">
        <w:t>RegulatoryInformation</w:t>
      </w:r>
      <w:proofErr w:type="spellEnd"/>
      <w:r w:rsidRPr="001170DD">
        <w:t>/</w:t>
      </w:r>
      <w:proofErr w:type="spellStart"/>
      <w:r w:rsidRPr="001170DD">
        <w:t>Guidances</w:t>
      </w:r>
      <w:proofErr w:type="spellEnd"/>
      <w:r w:rsidRPr="001170DD">
        <w:t>/ucm071627.pdf&gt;.</w:t>
      </w:r>
    </w:p>
  </w:footnote>
  <w:footnote w:id="7">
    <w:p w:rsidR="00745A68" w:rsidRPr="001170DD" w:rsidRDefault="00745A68" w:rsidP="001170DD">
      <w:pPr>
        <w:pStyle w:val="FootnoteText"/>
      </w:pPr>
      <w:r w:rsidRPr="001170DD">
        <w:rPr>
          <w:rStyle w:val="FootnoteReference"/>
        </w:rPr>
        <w:footnoteRef/>
      </w:r>
      <w:r w:rsidRPr="001170DD">
        <w:t xml:space="preserve"> </w:t>
      </w:r>
      <w:proofErr w:type="spellStart"/>
      <w:r w:rsidRPr="001170DD">
        <w:t>Ratner</w:t>
      </w:r>
      <w:proofErr w:type="spellEnd"/>
      <w:r w:rsidRPr="001170DD">
        <w:t xml:space="preserve"> R, et al. (2011) </w:t>
      </w:r>
      <w:proofErr w:type="gramStart"/>
      <w:r w:rsidRPr="001170DD">
        <w:t>Cardiovascular</w:t>
      </w:r>
      <w:proofErr w:type="gramEnd"/>
      <w:r w:rsidRPr="001170DD">
        <w:t xml:space="preserve"> safety of </w:t>
      </w:r>
      <w:proofErr w:type="spellStart"/>
      <w:r w:rsidRPr="001170DD">
        <w:t>exenatide</w:t>
      </w:r>
      <w:proofErr w:type="spellEnd"/>
      <w:r w:rsidRPr="001170DD">
        <w:t xml:space="preserve"> BID: an integrated analysis from controlled clinical trials in participants with type 2 diabetes. </w:t>
      </w:r>
      <w:proofErr w:type="spellStart"/>
      <w:r w:rsidRPr="001170DD">
        <w:t>Cardiovasc</w:t>
      </w:r>
      <w:proofErr w:type="spellEnd"/>
      <w:r w:rsidRPr="001170DD">
        <w:t xml:space="preserve"> </w:t>
      </w:r>
      <w:proofErr w:type="spellStart"/>
      <w:r w:rsidRPr="001170DD">
        <w:t>Diabetol</w:t>
      </w:r>
      <w:proofErr w:type="spellEnd"/>
      <w:r w:rsidRPr="001170DD">
        <w:t>. 10: 22.</w:t>
      </w:r>
    </w:p>
  </w:footnote>
  <w:footnote w:id="8">
    <w:p w:rsidR="00745A68" w:rsidRPr="001170DD" w:rsidRDefault="00745A68" w:rsidP="001170DD">
      <w:pPr>
        <w:pStyle w:val="FootnoteText"/>
      </w:pPr>
      <w:r w:rsidRPr="001170DD">
        <w:rPr>
          <w:rStyle w:val="FootnoteReference"/>
        </w:rPr>
        <w:footnoteRef/>
      </w:r>
      <w:r w:rsidRPr="001170DD">
        <w:t xml:space="preserve"> </w:t>
      </w:r>
      <w:proofErr w:type="spellStart"/>
      <w:proofErr w:type="gramStart"/>
      <w:r w:rsidRPr="001170DD">
        <w:t>Linnebjerg</w:t>
      </w:r>
      <w:proofErr w:type="spellEnd"/>
      <w:r w:rsidRPr="001170DD">
        <w:t xml:space="preserve"> H, et al. (2011) A thorough QT study to evaluate the effects of </w:t>
      </w:r>
      <w:proofErr w:type="spellStart"/>
      <w:r w:rsidRPr="001170DD">
        <w:t>singledose</w:t>
      </w:r>
      <w:proofErr w:type="spellEnd"/>
      <w:r w:rsidRPr="001170DD">
        <w:t xml:space="preserve"> </w:t>
      </w:r>
      <w:proofErr w:type="spellStart"/>
      <w:r w:rsidRPr="001170DD">
        <w:t>exenatide</w:t>
      </w:r>
      <w:proofErr w:type="spellEnd"/>
      <w:r w:rsidRPr="001170DD">
        <w:t xml:space="preserve"> 10 </w:t>
      </w:r>
      <w:r>
        <w:sym w:font="Symbol" w:char="F06D"/>
      </w:r>
      <w:r w:rsidRPr="001170DD">
        <w:t xml:space="preserve">g on cardiac </w:t>
      </w:r>
      <w:proofErr w:type="spellStart"/>
      <w:r w:rsidRPr="001170DD">
        <w:t>repolarization</w:t>
      </w:r>
      <w:proofErr w:type="spellEnd"/>
      <w:r w:rsidRPr="001170DD">
        <w:t xml:space="preserve"> in healthy subjects.</w:t>
      </w:r>
      <w:proofErr w:type="gramEnd"/>
      <w:r w:rsidRPr="001170DD">
        <w:t xml:space="preserve"> </w:t>
      </w:r>
      <w:proofErr w:type="spellStart"/>
      <w:r w:rsidRPr="001170DD">
        <w:t>Int</w:t>
      </w:r>
      <w:proofErr w:type="spellEnd"/>
      <w:r w:rsidRPr="001170DD">
        <w:t xml:space="preserve"> J </w:t>
      </w:r>
      <w:proofErr w:type="spellStart"/>
      <w:r w:rsidRPr="001170DD">
        <w:t>Clin</w:t>
      </w:r>
      <w:proofErr w:type="spellEnd"/>
      <w:r w:rsidRPr="001170DD">
        <w:t xml:space="preserve"> </w:t>
      </w:r>
      <w:proofErr w:type="spellStart"/>
      <w:r w:rsidRPr="001170DD">
        <w:t>Pharmacol</w:t>
      </w:r>
      <w:proofErr w:type="spellEnd"/>
      <w:r w:rsidRPr="001170DD">
        <w:t xml:space="preserve"> </w:t>
      </w:r>
      <w:proofErr w:type="spellStart"/>
      <w:r w:rsidRPr="001170DD">
        <w:t>Ther</w:t>
      </w:r>
      <w:proofErr w:type="spellEnd"/>
      <w:r w:rsidRPr="001170DD">
        <w:t>. 49: 594-604.</w:t>
      </w:r>
    </w:p>
  </w:footnote>
  <w:footnote w:id="9">
    <w:p w:rsidR="00745A68" w:rsidRDefault="00745A68">
      <w:pPr>
        <w:pStyle w:val="FootnoteText"/>
      </w:pPr>
      <w:r>
        <w:rPr>
          <w:rStyle w:val="FootnoteReference"/>
        </w:rPr>
        <w:footnoteRef/>
      </w:r>
      <w:r>
        <w:t xml:space="preserve"> </w:t>
      </w:r>
      <w:r w:rsidR="00A817EB">
        <w:t>&lt;</w:t>
      </w:r>
      <w:r w:rsidRPr="00A817EB">
        <w:rPr>
          <w:color w:val="0000FF"/>
        </w:rPr>
        <w:t>http://clinicaltrials.gov/ct2/show/NCT01297062?term=exenatide+AND+QT&amp;rank=1</w:t>
      </w:r>
      <w:r w:rsidRPr="0073169F">
        <w:t>&gt;</w:t>
      </w:r>
    </w:p>
  </w:footnote>
  <w:footnote w:id="10">
    <w:p w:rsidR="00745A68" w:rsidRDefault="00745A68" w:rsidP="00A817EB">
      <w:pPr>
        <w:pStyle w:val="FootnoteText"/>
        <w:spacing w:before="0" w:after="0"/>
      </w:pPr>
      <w:r>
        <w:rPr>
          <w:rStyle w:val="FootnoteReference"/>
        </w:rPr>
        <w:footnoteRef/>
      </w:r>
      <w:r>
        <w:t xml:space="preserve"> </w:t>
      </w:r>
      <w:proofErr w:type="spellStart"/>
      <w:r w:rsidRPr="00D8503C">
        <w:t>Balkau</w:t>
      </w:r>
      <w:proofErr w:type="spellEnd"/>
      <w:r w:rsidRPr="00D8503C">
        <w:t xml:space="preserve"> B, </w:t>
      </w:r>
      <w:r w:rsidRPr="0002035C">
        <w:rPr>
          <w:i/>
        </w:rPr>
        <w:t>et al</w:t>
      </w:r>
      <w:r w:rsidRPr="00D8503C">
        <w:t xml:space="preserve">. (2002) Frequency of the WHO metabolic syndrome in European cohorts, and an alternative definition of an insulin resistance syndrome. </w:t>
      </w:r>
      <w:proofErr w:type="gramStart"/>
      <w:r w:rsidRPr="00D8503C">
        <w:rPr>
          <w:i/>
        </w:rPr>
        <w:t xml:space="preserve">Diabetes </w:t>
      </w:r>
      <w:proofErr w:type="spellStart"/>
      <w:r w:rsidRPr="00D8503C">
        <w:rPr>
          <w:i/>
        </w:rPr>
        <w:t>Metab</w:t>
      </w:r>
      <w:proofErr w:type="spellEnd"/>
      <w:r w:rsidRPr="00D8503C">
        <w:rPr>
          <w:i/>
        </w:rPr>
        <w:t>.</w:t>
      </w:r>
      <w:proofErr w:type="gramEnd"/>
      <w:r w:rsidRPr="00D8503C">
        <w:rPr>
          <w:i/>
        </w:rPr>
        <w:t xml:space="preserve"> </w:t>
      </w:r>
      <w:r>
        <w:t>28</w:t>
      </w:r>
      <w:r w:rsidRPr="00D8503C">
        <w:t>:</w:t>
      </w:r>
      <w:r>
        <w:t xml:space="preserve"> </w:t>
      </w:r>
      <w:r w:rsidRPr="00D8503C">
        <w:t>364-</w:t>
      </w:r>
      <w:r>
        <w:t>3</w:t>
      </w:r>
      <w:r w:rsidRPr="00D8503C">
        <w:t>76</w:t>
      </w:r>
      <w:r>
        <w:t xml:space="preserve">; </w:t>
      </w:r>
      <w:proofErr w:type="spellStart"/>
      <w:r w:rsidRPr="001B7810">
        <w:t>Gerich</w:t>
      </w:r>
      <w:proofErr w:type="spellEnd"/>
      <w:r w:rsidRPr="001B7810">
        <w:t xml:space="preserve"> JE. </w:t>
      </w:r>
      <w:proofErr w:type="gramStart"/>
      <w:r w:rsidRPr="001B7810">
        <w:t xml:space="preserve">(2003) Clinical significance, pathogenesis, and management of postprandial </w:t>
      </w:r>
      <w:proofErr w:type="spellStart"/>
      <w:r w:rsidRPr="001B7810">
        <w:t>hyperglycemia</w:t>
      </w:r>
      <w:proofErr w:type="spellEnd"/>
      <w:r w:rsidRPr="001B7810">
        <w:t>.</w:t>
      </w:r>
      <w:proofErr w:type="gramEnd"/>
      <w:r w:rsidRPr="001B7810">
        <w:t xml:space="preserve"> </w:t>
      </w:r>
      <w:r w:rsidRPr="001B7810">
        <w:rPr>
          <w:i/>
        </w:rPr>
        <w:t xml:space="preserve">Arch Intern Med. </w:t>
      </w:r>
      <w:r>
        <w:t>163</w:t>
      </w:r>
      <w:r w:rsidRPr="001B7810">
        <w:t>:</w:t>
      </w:r>
      <w:r>
        <w:t xml:space="preserve"> </w:t>
      </w:r>
      <w:r w:rsidRPr="001B7810">
        <w:t>1306-16</w:t>
      </w:r>
      <w:r>
        <w:t xml:space="preserve">; </w:t>
      </w:r>
      <w:proofErr w:type="spellStart"/>
      <w:r w:rsidRPr="00825F40">
        <w:t>Monnier</w:t>
      </w:r>
      <w:proofErr w:type="spellEnd"/>
      <w:r w:rsidRPr="00825F40">
        <w:t xml:space="preserve"> L, </w:t>
      </w:r>
      <w:r w:rsidRPr="0002035C">
        <w:rPr>
          <w:i/>
        </w:rPr>
        <w:t>et al</w:t>
      </w:r>
      <w:r w:rsidRPr="00825F40">
        <w:t xml:space="preserve">. (2003) Contributions of fasting and postprandial plasma glucose increments to the overall diurnal </w:t>
      </w:r>
      <w:proofErr w:type="spellStart"/>
      <w:r w:rsidRPr="00825F40">
        <w:t>hyperglycemia</w:t>
      </w:r>
      <w:proofErr w:type="spellEnd"/>
      <w:r w:rsidRPr="00825F40">
        <w:t xml:space="preserve"> of type 2 diabetic patients: variations with increasing levels of </w:t>
      </w:r>
      <w:proofErr w:type="spellStart"/>
      <w:proofErr w:type="gramStart"/>
      <w:r w:rsidRPr="00825F40">
        <w:t>HbA</w:t>
      </w:r>
      <w:proofErr w:type="spellEnd"/>
      <w:r w:rsidRPr="00825F40">
        <w:t>(</w:t>
      </w:r>
      <w:proofErr w:type="gramEnd"/>
      <w:r w:rsidRPr="00825F40">
        <w:t>1c</w:t>
      </w:r>
      <w:r>
        <w:t xml:space="preserve">). </w:t>
      </w:r>
      <w:r w:rsidRPr="00825F40">
        <w:rPr>
          <w:i/>
        </w:rPr>
        <w:t>Diabetes Care</w:t>
      </w:r>
      <w:r>
        <w:t xml:space="preserve"> 26</w:t>
      </w:r>
      <w:r w:rsidRPr="00825F40">
        <w:t>:</w:t>
      </w:r>
      <w:r>
        <w:t xml:space="preserve"> </w:t>
      </w:r>
      <w:r w:rsidRPr="00825F40">
        <w:t>881-</w:t>
      </w:r>
      <w:r>
        <w:t>88</w:t>
      </w:r>
      <w:r w:rsidRPr="00825F40">
        <w:t>5</w:t>
      </w:r>
      <w:r>
        <w:t>.</w:t>
      </w:r>
    </w:p>
  </w:footnote>
  <w:footnote w:id="11">
    <w:p w:rsidR="00745A68" w:rsidRDefault="00745A68" w:rsidP="00A817EB">
      <w:pPr>
        <w:pStyle w:val="FootnoteText"/>
        <w:spacing w:before="0" w:after="0"/>
      </w:pPr>
      <w:r>
        <w:rPr>
          <w:rStyle w:val="FootnoteReference"/>
        </w:rPr>
        <w:footnoteRef/>
      </w:r>
      <w:r>
        <w:t xml:space="preserve"> </w:t>
      </w:r>
      <w:r w:rsidRPr="00D109C3">
        <w:t xml:space="preserve">Riddle MC, </w:t>
      </w:r>
      <w:r w:rsidRPr="0002035C">
        <w:rPr>
          <w:i/>
        </w:rPr>
        <w:t>et al</w:t>
      </w:r>
      <w:r w:rsidRPr="00D109C3">
        <w:t xml:space="preserve">. (2003) </w:t>
      </w:r>
      <w:proofErr w:type="gramStart"/>
      <w:r w:rsidRPr="00D109C3">
        <w:t>The</w:t>
      </w:r>
      <w:proofErr w:type="gramEnd"/>
      <w:r w:rsidRPr="00D109C3">
        <w:t xml:space="preserve"> treat-to-target trial: randomized addition of </w:t>
      </w:r>
      <w:proofErr w:type="spellStart"/>
      <w:r w:rsidRPr="00D109C3">
        <w:t>glargine</w:t>
      </w:r>
      <w:proofErr w:type="spellEnd"/>
      <w:r w:rsidRPr="00D109C3">
        <w:t xml:space="preserve"> or human NPH insulin to oral therapy of type 2 diabetic patients</w:t>
      </w:r>
      <w:r>
        <w:t xml:space="preserve">. </w:t>
      </w:r>
      <w:r w:rsidRPr="00D109C3">
        <w:rPr>
          <w:i/>
        </w:rPr>
        <w:t>Diabetes Care</w:t>
      </w:r>
      <w:r>
        <w:t xml:space="preserve"> 26</w:t>
      </w:r>
      <w:r w:rsidRPr="00D109C3">
        <w:t>:</w:t>
      </w:r>
      <w:r>
        <w:t xml:space="preserve"> </w:t>
      </w:r>
      <w:r w:rsidRPr="00D109C3">
        <w:t>3080-</w:t>
      </w:r>
      <w:r>
        <w:t>308</w:t>
      </w:r>
      <w:r w:rsidRPr="00D109C3">
        <w:t>6</w:t>
      </w:r>
      <w:r>
        <w:t>.</w:t>
      </w:r>
    </w:p>
  </w:footnote>
  <w:footnote w:id="12">
    <w:p w:rsidR="00745A68" w:rsidRPr="0002035C" w:rsidRDefault="00745A68" w:rsidP="00A817EB">
      <w:pPr>
        <w:pStyle w:val="FootnoteText"/>
        <w:spacing w:before="0" w:after="0"/>
      </w:pPr>
      <w:r>
        <w:rPr>
          <w:rStyle w:val="FootnoteReference"/>
        </w:rPr>
        <w:footnoteRef/>
      </w:r>
      <w:r>
        <w:t xml:space="preserve"> </w:t>
      </w:r>
      <w:proofErr w:type="spellStart"/>
      <w:r w:rsidRPr="0002035C">
        <w:t>Nayak</w:t>
      </w:r>
      <w:proofErr w:type="spellEnd"/>
      <w:r w:rsidRPr="0002035C">
        <w:t xml:space="preserve"> UA, et al. (2010) </w:t>
      </w:r>
      <w:proofErr w:type="spellStart"/>
      <w:r w:rsidRPr="0002035C">
        <w:t>Exenatide</w:t>
      </w:r>
      <w:proofErr w:type="spellEnd"/>
      <w:r w:rsidRPr="0002035C">
        <w:t xml:space="preserve"> therapy in insulin-treated type 2 diabetes and obesity. QJM 103: 687-694.</w:t>
      </w:r>
    </w:p>
  </w:footnote>
  <w:footnote w:id="13">
    <w:p w:rsidR="00745A68" w:rsidRDefault="00745A68" w:rsidP="00A817EB">
      <w:pPr>
        <w:pStyle w:val="FootnoteText"/>
        <w:spacing w:before="0" w:after="0"/>
      </w:pPr>
      <w:r>
        <w:rPr>
          <w:rStyle w:val="FootnoteReference"/>
        </w:rPr>
        <w:footnoteRef/>
      </w:r>
      <w:r>
        <w:t xml:space="preserve"> </w:t>
      </w:r>
      <w:r w:rsidRPr="005256D0">
        <w:t xml:space="preserve">Thong KY, </w:t>
      </w:r>
      <w:r w:rsidRPr="0002035C">
        <w:rPr>
          <w:i/>
        </w:rPr>
        <w:t>et al</w:t>
      </w:r>
      <w:r w:rsidRPr="005256D0">
        <w:t xml:space="preserve">. (2011) Safety, efficacy and tolerability of </w:t>
      </w:r>
      <w:proofErr w:type="spellStart"/>
      <w:r w:rsidRPr="005256D0">
        <w:t>exenatide</w:t>
      </w:r>
      <w:proofErr w:type="spellEnd"/>
      <w:r w:rsidRPr="005256D0">
        <w:t xml:space="preserve"> in combination with insulin in the Association of British Clinical </w:t>
      </w:r>
      <w:proofErr w:type="spellStart"/>
      <w:r w:rsidRPr="005256D0">
        <w:t>Diabetologists</w:t>
      </w:r>
      <w:proofErr w:type="spellEnd"/>
      <w:r w:rsidRPr="005256D0">
        <w:t xml:space="preserve"> nationwide </w:t>
      </w:r>
      <w:proofErr w:type="spellStart"/>
      <w:r w:rsidRPr="005256D0">
        <w:t>exenatide</w:t>
      </w:r>
      <w:proofErr w:type="spellEnd"/>
      <w:r w:rsidRPr="005256D0">
        <w:t xml:space="preserve"> audit. </w:t>
      </w:r>
      <w:proofErr w:type="gramStart"/>
      <w:r w:rsidRPr="005256D0">
        <w:rPr>
          <w:i/>
        </w:rPr>
        <w:t xml:space="preserve">Diabetes </w:t>
      </w:r>
      <w:proofErr w:type="spellStart"/>
      <w:r w:rsidRPr="005256D0">
        <w:rPr>
          <w:i/>
        </w:rPr>
        <w:t>Obes</w:t>
      </w:r>
      <w:proofErr w:type="spellEnd"/>
      <w:r w:rsidRPr="005256D0">
        <w:rPr>
          <w:i/>
        </w:rPr>
        <w:t xml:space="preserve"> </w:t>
      </w:r>
      <w:proofErr w:type="spellStart"/>
      <w:r w:rsidRPr="005256D0">
        <w:rPr>
          <w:i/>
        </w:rPr>
        <w:t>Metab</w:t>
      </w:r>
      <w:proofErr w:type="spellEnd"/>
      <w:r w:rsidRPr="005256D0">
        <w:rPr>
          <w:i/>
        </w:rPr>
        <w:t>.</w:t>
      </w:r>
      <w:proofErr w:type="gramEnd"/>
      <w:r>
        <w:t xml:space="preserve"> 13</w:t>
      </w:r>
      <w:r w:rsidRPr="005256D0">
        <w:t>:</w:t>
      </w:r>
      <w:r>
        <w:t xml:space="preserve"> </w:t>
      </w:r>
      <w:r w:rsidRPr="005256D0">
        <w:t>703-</w:t>
      </w:r>
      <w:r>
        <w:t>7</w:t>
      </w:r>
      <w:r w:rsidRPr="005256D0">
        <w:t>10</w:t>
      </w:r>
      <w:r>
        <w:t>.</w:t>
      </w:r>
    </w:p>
  </w:footnote>
  <w:footnote w:id="14">
    <w:p w:rsidR="00745A68" w:rsidRDefault="00745A68" w:rsidP="00A817EB">
      <w:pPr>
        <w:pStyle w:val="FootnoteText"/>
        <w:spacing w:before="0" w:after="0"/>
      </w:pPr>
      <w:r>
        <w:rPr>
          <w:rStyle w:val="FootnoteReference"/>
        </w:rPr>
        <w:footnoteRef/>
      </w:r>
      <w:r>
        <w:t xml:space="preserve"> </w:t>
      </w:r>
      <w:r w:rsidRPr="005256D0">
        <w:t xml:space="preserve">Thong KY, </w:t>
      </w:r>
      <w:r w:rsidRPr="0002035C">
        <w:rPr>
          <w:i/>
        </w:rPr>
        <w:t>et al</w:t>
      </w:r>
      <w:r w:rsidRPr="005256D0">
        <w:t xml:space="preserve">. (2011) Safety, efficacy and tolerability of </w:t>
      </w:r>
      <w:proofErr w:type="spellStart"/>
      <w:r w:rsidRPr="005256D0">
        <w:t>exenatide</w:t>
      </w:r>
      <w:proofErr w:type="spellEnd"/>
      <w:r w:rsidRPr="005256D0">
        <w:t xml:space="preserve"> in combination with insulin in the Association of British Clinical </w:t>
      </w:r>
      <w:proofErr w:type="spellStart"/>
      <w:r w:rsidRPr="005256D0">
        <w:t>Diabetologists</w:t>
      </w:r>
      <w:proofErr w:type="spellEnd"/>
      <w:r w:rsidRPr="005256D0">
        <w:t xml:space="preserve"> nationwide </w:t>
      </w:r>
      <w:proofErr w:type="spellStart"/>
      <w:r w:rsidRPr="005256D0">
        <w:t>exenatide</w:t>
      </w:r>
      <w:proofErr w:type="spellEnd"/>
      <w:r w:rsidRPr="005256D0">
        <w:t xml:space="preserve"> audit. </w:t>
      </w:r>
      <w:proofErr w:type="gramStart"/>
      <w:r w:rsidRPr="005256D0">
        <w:rPr>
          <w:i/>
        </w:rPr>
        <w:t xml:space="preserve">Diabetes </w:t>
      </w:r>
      <w:proofErr w:type="spellStart"/>
      <w:r w:rsidRPr="005256D0">
        <w:rPr>
          <w:i/>
        </w:rPr>
        <w:t>Obes</w:t>
      </w:r>
      <w:proofErr w:type="spellEnd"/>
      <w:r w:rsidRPr="005256D0">
        <w:rPr>
          <w:i/>
        </w:rPr>
        <w:t xml:space="preserve"> </w:t>
      </w:r>
      <w:proofErr w:type="spellStart"/>
      <w:r w:rsidRPr="005256D0">
        <w:rPr>
          <w:i/>
        </w:rPr>
        <w:t>Metab</w:t>
      </w:r>
      <w:proofErr w:type="spellEnd"/>
      <w:r w:rsidRPr="005256D0">
        <w:rPr>
          <w:i/>
        </w:rPr>
        <w:t>.</w:t>
      </w:r>
      <w:proofErr w:type="gramEnd"/>
      <w:r>
        <w:t xml:space="preserve"> 13</w:t>
      </w:r>
      <w:r w:rsidRPr="005256D0">
        <w:t>:</w:t>
      </w:r>
      <w:r>
        <w:t xml:space="preserve"> </w:t>
      </w:r>
      <w:r w:rsidRPr="005256D0">
        <w:t>703-</w:t>
      </w:r>
      <w:r>
        <w:t>7</w:t>
      </w:r>
      <w:r w:rsidRPr="005256D0">
        <w:t>10</w:t>
      </w:r>
      <w:r>
        <w:t>.</w:t>
      </w:r>
    </w:p>
  </w:footnote>
  <w:footnote w:id="15">
    <w:p w:rsidR="00745A68" w:rsidRDefault="00745A68" w:rsidP="00A817EB">
      <w:pPr>
        <w:pStyle w:val="FootnoteText"/>
        <w:spacing w:before="0" w:after="0"/>
      </w:pPr>
      <w:r>
        <w:rPr>
          <w:rStyle w:val="FootnoteReference"/>
        </w:rPr>
        <w:footnoteRef/>
      </w:r>
      <w:r>
        <w:t xml:space="preserve"> </w:t>
      </w:r>
      <w:proofErr w:type="spellStart"/>
      <w:r w:rsidRPr="00D643AE">
        <w:t>Tzefos</w:t>
      </w:r>
      <w:proofErr w:type="spellEnd"/>
      <w:r w:rsidRPr="00D643AE">
        <w:t xml:space="preserve"> M, Olin JL. (2010) Glucagon-like peptide-1 </w:t>
      </w:r>
      <w:proofErr w:type="spellStart"/>
      <w:r w:rsidRPr="00D643AE">
        <w:t>analog</w:t>
      </w:r>
      <w:proofErr w:type="spellEnd"/>
      <w:r w:rsidRPr="00D643AE">
        <w:t xml:space="preserve"> and insulin combination therapy in the management of adults with type 2 diabetes mellitus. </w:t>
      </w:r>
      <w:r w:rsidRPr="00D643AE">
        <w:rPr>
          <w:i/>
        </w:rPr>
        <w:t xml:space="preserve">Ann </w:t>
      </w:r>
      <w:proofErr w:type="spellStart"/>
      <w:r w:rsidRPr="00D643AE">
        <w:rPr>
          <w:i/>
        </w:rPr>
        <w:t>Pharmacother</w:t>
      </w:r>
      <w:proofErr w:type="spellEnd"/>
      <w:r w:rsidRPr="00D643AE">
        <w:rPr>
          <w:i/>
        </w:rPr>
        <w:t>.</w:t>
      </w:r>
      <w:r>
        <w:t xml:space="preserve"> 44</w:t>
      </w:r>
      <w:r w:rsidRPr="00D643AE">
        <w:t>:</w:t>
      </w:r>
      <w:r>
        <w:t xml:space="preserve"> </w:t>
      </w:r>
      <w:r w:rsidRPr="00D643AE">
        <w:t>1294-</w:t>
      </w:r>
      <w:r>
        <w:t>1</w:t>
      </w:r>
      <w:r w:rsidRPr="00D643AE">
        <w:t>300</w:t>
      </w:r>
      <w:r>
        <w:t>.</w:t>
      </w:r>
    </w:p>
  </w:footnote>
  <w:footnote w:id="16">
    <w:p w:rsidR="00745A68" w:rsidRDefault="00745A68">
      <w:pPr>
        <w:pStyle w:val="FootnoteText"/>
      </w:pPr>
      <w:r>
        <w:rPr>
          <w:rStyle w:val="FootnoteReference"/>
        </w:rPr>
        <w:footnoteRef/>
      </w:r>
      <w:r>
        <w:t xml:space="preserve"> </w:t>
      </w:r>
      <w:r w:rsidRPr="00663481">
        <w:t xml:space="preserve">Edwards CMB, </w:t>
      </w:r>
      <w:proofErr w:type="spellStart"/>
      <w:r w:rsidRPr="00663481">
        <w:t>Winocour</w:t>
      </w:r>
      <w:proofErr w:type="spellEnd"/>
      <w:r w:rsidRPr="00663481">
        <w:t xml:space="preserve"> PH. (2009) ABCD position statement on </w:t>
      </w:r>
      <w:proofErr w:type="spellStart"/>
      <w:r w:rsidRPr="00663481">
        <w:t>incretin</w:t>
      </w:r>
      <w:proofErr w:type="spellEnd"/>
      <w:r w:rsidRPr="00663481">
        <w:t xml:space="preserve"> </w:t>
      </w:r>
      <w:proofErr w:type="spellStart"/>
      <w:r w:rsidRPr="00663481">
        <w:t>mimetics</w:t>
      </w:r>
      <w:proofErr w:type="spellEnd"/>
      <w:r w:rsidRPr="00663481">
        <w:t xml:space="preserve"> and DPP-4 inhibit</w:t>
      </w:r>
      <w:r>
        <w:t xml:space="preserve">ors – 2009. </w:t>
      </w:r>
      <w:proofErr w:type="spellStart"/>
      <w:r w:rsidRPr="00663481">
        <w:rPr>
          <w:i/>
        </w:rPr>
        <w:t>Pract</w:t>
      </w:r>
      <w:proofErr w:type="spellEnd"/>
      <w:r w:rsidRPr="00663481">
        <w:rPr>
          <w:i/>
        </w:rPr>
        <w:t xml:space="preserve"> </w:t>
      </w:r>
      <w:proofErr w:type="spellStart"/>
      <w:r w:rsidRPr="00663481">
        <w:rPr>
          <w:i/>
        </w:rPr>
        <w:t>Diab</w:t>
      </w:r>
      <w:proofErr w:type="spellEnd"/>
      <w:r w:rsidRPr="00663481">
        <w:rPr>
          <w:i/>
        </w:rPr>
        <w:t xml:space="preserve"> Int. </w:t>
      </w:r>
      <w:r w:rsidRPr="00663481">
        <w:t>26: 191-194.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68" w:rsidRDefault="00745A68"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68" w:rsidRDefault="00745A68">
    <w:pPr>
      <w:rPr>
        <w:noProof/>
        <w:lang w:eastAsia="en-AU"/>
      </w:rPr>
    </w:pPr>
    <w:r>
      <w:rPr>
        <w:noProof/>
        <w:lang w:eastAsia="en-AU"/>
      </w:rPr>
      <w:drawing>
        <wp:anchor distT="0" distB="0" distL="114300" distR="114300" simplePos="0" relativeHeight="251657728" behindDoc="1" locked="0" layoutInCell="1" allowOverlap="1">
          <wp:simplePos x="0" y="0"/>
          <wp:positionH relativeFrom="column">
            <wp:posOffset>-1087789</wp:posOffset>
          </wp:positionH>
          <wp:positionV relativeFrom="paragraph">
            <wp:posOffset>-878876</wp:posOffset>
          </wp:positionV>
          <wp:extent cx="7572726" cy="10709139"/>
          <wp:effectExtent l="19050" t="0" r="9174" b="0"/>
          <wp:wrapNone/>
          <wp:docPr id="1" name="Picture 1" descr="Therapeutic Goods Administration.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apeutic Goods Administration. Health, Safety, Regulation"/>
                  <pic:cNvPicPr>
                    <a:picLocks noChangeAspect="1" noChangeArrowheads="1"/>
                  </pic:cNvPicPr>
                </pic:nvPicPr>
                <pic:blipFill>
                  <a:blip r:embed="rId1"/>
                  <a:srcRect/>
                  <a:stretch>
                    <a:fillRect/>
                  </a:stretch>
                </pic:blipFill>
                <pic:spPr bwMode="auto">
                  <a:xfrm>
                    <a:off x="0" y="0"/>
                    <a:ext cx="7572726" cy="10709139"/>
                  </a:xfrm>
                  <a:prstGeom prst="rect">
                    <a:avLst/>
                  </a:prstGeom>
                  <a:noFill/>
                </pic:spPr>
              </pic:pic>
            </a:graphicData>
          </a:graphic>
        </wp:anchor>
      </w:drawing>
    </w:r>
  </w:p>
  <w:p w:rsidR="00745A68" w:rsidRDefault="00745A68" w:rsidP="00593AD1">
    <w:pPr>
      <w:pStyle w:val="HeaderNoLine"/>
    </w:pPr>
    <w:r>
      <w:rPr>
        <w:noProof/>
        <w:lang w:eastAsia="en-AU"/>
      </w:rPr>
      <w:drawing>
        <wp:inline distT="0" distB="0" distL="0" distR="0">
          <wp:extent cx="5396865" cy="7635240"/>
          <wp:effectExtent l="19050" t="0" r="0" b="0"/>
          <wp:docPr id="5" name="Picture 5"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ghtblue.jpg"/>
                  <pic:cNvPicPr>
                    <a:picLocks noChangeAspect="1" noChangeArrowheads="1"/>
                  </pic:cNvPicPr>
                </pic:nvPicPr>
                <pic:blipFill>
                  <a:blip r:embed="rId2"/>
                  <a:srcRect/>
                  <a:stretch>
                    <a:fillRect/>
                  </a:stretch>
                </pic:blipFill>
                <pic:spPr bwMode="auto">
                  <a:xfrm>
                    <a:off x="0" y="0"/>
                    <a:ext cx="5396865" cy="763524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68" w:rsidRDefault="00745A6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68" w:rsidRDefault="00745A68">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68" w:rsidRDefault="00745A68">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68" w:rsidRDefault="00745A6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68" w:rsidRDefault="00745A68" w:rsidP="00873037">
    <w:pPr>
      <w:pStyle w:val="Header"/>
      <w:pBdr>
        <w:bottom w:val="none" w:sz="0" w:space="0" w:color="auto"/>
      </w:pBdr>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68" w:rsidRDefault="00745A68" w:rsidP="006E08B3">
    <w:r>
      <w:t>Therapeutic Goods Administration</w:t>
    </w:r>
  </w:p>
  <w:p w:rsidR="00745A68" w:rsidRDefault="00745A68"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A1A"/>
    <w:multiLevelType w:val="hybridMultilevel"/>
    <w:tmpl w:val="7A72D732"/>
    <w:lvl w:ilvl="0" w:tplc="52469E1E">
      <w:numFmt w:val="bullet"/>
      <w:lvlText w:val="-"/>
      <w:lvlJc w:val="left"/>
      <w:pPr>
        <w:ind w:left="1305" w:hanging="360"/>
      </w:pPr>
      <w:rPr>
        <w:rFonts w:ascii="Times New Roman" w:eastAsia="Times New Roman" w:hAnsi="Times New Roman" w:cs="Times New Roman" w:hint="default"/>
      </w:rPr>
    </w:lvl>
    <w:lvl w:ilvl="1" w:tplc="0C090003" w:tentative="1">
      <w:start w:val="1"/>
      <w:numFmt w:val="bullet"/>
      <w:lvlText w:val="o"/>
      <w:lvlJc w:val="left"/>
      <w:pPr>
        <w:ind w:left="2025" w:hanging="360"/>
      </w:pPr>
      <w:rPr>
        <w:rFonts w:ascii="Courier New" w:hAnsi="Courier New" w:cs="Courier New" w:hint="default"/>
      </w:rPr>
    </w:lvl>
    <w:lvl w:ilvl="2" w:tplc="0C090005" w:tentative="1">
      <w:start w:val="1"/>
      <w:numFmt w:val="bullet"/>
      <w:lvlText w:val=""/>
      <w:lvlJc w:val="left"/>
      <w:pPr>
        <w:ind w:left="2745" w:hanging="360"/>
      </w:pPr>
      <w:rPr>
        <w:rFonts w:ascii="Wingdings" w:hAnsi="Wingdings" w:hint="default"/>
      </w:rPr>
    </w:lvl>
    <w:lvl w:ilvl="3" w:tplc="0C090001" w:tentative="1">
      <w:start w:val="1"/>
      <w:numFmt w:val="bullet"/>
      <w:lvlText w:val=""/>
      <w:lvlJc w:val="left"/>
      <w:pPr>
        <w:ind w:left="3465" w:hanging="360"/>
      </w:pPr>
      <w:rPr>
        <w:rFonts w:ascii="Symbol" w:hAnsi="Symbol" w:hint="default"/>
      </w:rPr>
    </w:lvl>
    <w:lvl w:ilvl="4" w:tplc="0C090003" w:tentative="1">
      <w:start w:val="1"/>
      <w:numFmt w:val="bullet"/>
      <w:lvlText w:val="o"/>
      <w:lvlJc w:val="left"/>
      <w:pPr>
        <w:ind w:left="4185" w:hanging="360"/>
      </w:pPr>
      <w:rPr>
        <w:rFonts w:ascii="Courier New" w:hAnsi="Courier New" w:cs="Courier New" w:hint="default"/>
      </w:rPr>
    </w:lvl>
    <w:lvl w:ilvl="5" w:tplc="0C090005" w:tentative="1">
      <w:start w:val="1"/>
      <w:numFmt w:val="bullet"/>
      <w:lvlText w:val=""/>
      <w:lvlJc w:val="left"/>
      <w:pPr>
        <w:ind w:left="4905" w:hanging="360"/>
      </w:pPr>
      <w:rPr>
        <w:rFonts w:ascii="Wingdings" w:hAnsi="Wingdings" w:hint="default"/>
      </w:rPr>
    </w:lvl>
    <w:lvl w:ilvl="6" w:tplc="0C090001" w:tentative="1">
      <w:start w:val="1"/>
      <w:numFmt w:val="bullet"/>
      <w:lvlText w:val=""/>
      <w:lvlJc w:val="left"/>
      <w:pPr>
        <w:ind w:left="5625" w:hanging="360"/>
      </w:pPr>
      <w:rPr>
        <w:rFonts w:ascii="Symbol" w:hAnsi="Symbol" w:hint="default"/>
      </w:rPr>
    </w:lvl>
    <w:lvl w:ilvl="7" w:tplc="0C090003" w:tentative="1">
      <w:start w:val="1"/>
      <w:numFmt w:val="bullet"/>
      <w:lvlText w:val="o"/>
      <w:lvlJc w:val="left"/>
      <w:pPr>
        <w:ind w:left="6345" w:hanging="360"/>
      </w:pPr>
      <w:rPr>
        <w:rFonts w:ascii="Courier New" w:hAnsi="Courier New" w:cs="Courier New" w:hint="default"/>
      </w:rPr>
    </w:lvl>
    <w:lvl w:ilvl="8" w:tplc="0C090005" w:tentative="1">
      <w:start w:val="1"/>
      <w:numFmt w:val="bullet"/>
      <w:lvlText w:val=""/>
      <w:lvlJc w:val="left"/>
      <w:pPr>
        <w:ind w:left="7065" w:hanging="360"/>
      </w:pPr>
      <w:rPr>
        <w:rFonts w:ascii="Wingdings" w:hAnsi="Wingdings" w:hint="default"/>
      </w:rPr>
    </w:lvl>
  </w:abstractNum>
  <w:abstractNum w:abstractNumId="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nsid w:val="12021947"/>
    <w:multiLevelType w:val="hybridMultilevel"/>
    <w:tmpl w:val="D55A8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71344F"/>
    <w:multiLevelType w:val="hybridMultilevel"/>
    <w:tmpl w:val="F47C02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7A13159"/>
    <w:multiLevelType w:val="hybridMultilevel"/>
    <w:tmpl w:val="AEF0AE56"/>
    <w:lvl w:ilvl="0" w:tplc="C87815E6">
      <w:start w:val="1"/>
      <w:numFmt w:val="decimal"/>
      <w:lvlText w:val="(%1)"/>
      <w:lvlJc w:val="left"/>
      <w:pPr>
        <w:ind w:left="1037" w:hanging="360"/>
      </w:pPr>
      <w:rPr>
        <w:rFonts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6">
    <w:nsid w:val="181B6F7E"/>
    <w:multiLevelType w:val="hybridMultilevel"/>
    <w:tmpl w:val="15E2F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5E5634"/>
    <w:multiLevelType w:val="hybridMultilevel"/>
    <w:tmpl w:val="56209924"/>
    <w:lvl w:ilvl="0" w:tplc="0C090003">
      <w:start w:val="1"/>
      <w:numFmt w:val="bullet"/>
      <w:lvlText w:val="o"/>
      <w:lvlJc w:val="left"/>
      <w:pPr>
        <w:ind w:left="1037" w:hanging="360"/>
      </w:pPr>
      <w:rPr>
        <w:rFonts w:ascii="Courier New" w:hAnsi="Courier New" w:cs="Courier New"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8">
    <w:nsid w:val="1A987740"/>
    <w:multiLevelType w:val="hybridMultilevel"/>
    <w:tmpl w:val="240C2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9F1DDC"/>
    <w:multiLevelType w:val="hybridMultilevel"/>
    <w:tmpl w:val="5164CD26"/>
    <w:lvl w:ilvl="0" w:tplc="52469E1E">
      <w:numFmt w:val="bullet"/>
      <w:lvlText w:val="-"/>
      <w:lvlJc w:val="left"/>
      <w:pPr>
        <w:ind w:left="1338" w:hanging="360"/>
      </w:pPr>
      <w:rPr>
        <w:rFonts w:ascii="Times New Roman" w:eastAsia="Times New Roman" w:hAnsi="Times New Roman" w:cs="Times New Roman" w:hint="default"/>
      </w:rPr>
    </w:lvl>
    <w:lvl w:ilvl="1" w:tplc="0C090003" w:tentative="1">
      <w:start w:val="1"/>
      <w:numFmt w:val="bullet"/>
      <w:lvlText w:val="o"/>
      <w:lvlJc w:val="left"/>
      <w:pPr>
        <w:ind w:left="2058" w:hanging="360"/>
      </w:pPr>
      <w:rPr>
        <w:rFonts w:ascii="Courier New" w:hAnsi="Courier New" w:cs="Courier New" w:hint="default"/>
      </w:rPr>
    </w:lvl>
    <w:lvl w:ilvl="2" w:tplc="0C090005" w:tentative="1">
      <w:start w:val="1"/>
      <w:numFmt w:val="bullet"/>
      <w:lvlText w:val=""/>
      <w:lvlJc w:val="left"/>
      <w:pPr>
        <w:ind w:left="2778" w:hanging="360"/>
      </w:pPr>
      <w:rPr>
        <w:rFonts w:ascii="Wingdings" w:hAnsi="Wingdings" w:hint="default"/>
      </w:rPr>
    </w:lvl>
    <w:lvl w:ilvl="3" w:tplc="0C090001" w:tentative="1">
      <w:start w:val="1"/>
      <w:numFmt w:val="bullet"/>
      <w:lvlText w:val=""/>
      <w:lvlJc w:val="left"/>
      <w:pPr>
        <w:ind w:left="3498" w:hanging="360"/>
      </w:pPr>
      <w:rPr>
        <w:rFonts w:ascii="Symbol" w:hAnsi="Symbol" w:hint="default"/>
      </w:rPr>
    </w:lvl>
    <w:lvl w:ilvl="4" w:tplc="0C090003" w:tentative="1">
      <w:start w:val="1"/>
      <w:numFmt w:val="bullet"/>
      <w:lvlText w:val="o"/>
      <w:lvlJc w:val="left"/>
      <w:pPr>
        <w:ind w:left="4218" w:hanging="360"/>
      </w:pPr>
      <w:rPr>
        <w:rFonts w:ascii="Courier New" w:hAnsi="Courier New" w:cs="Courier New" w:hint="default"/>
      </w:rPr>
    </w:lvl>
    <w:lvl w:ilvl="5" w:tplc="0C090005" w:tentative="1">
      <w:start w:val="1"/>
      <w:numFmt w:val="bullet"/>
      <w:lvlText w:val=""/>
      <w:lvlJc w:val="left"/>
      <w:pPr>
        <w:ind w:left="4938" w:hanging="360"/>
      </w:pPr>
      <w:rPr>
        <w:rFonts w:ascii="Wingdings" w:hAnsi="Wingdings" w:hint="default"/>
      </w:rPr>
    </w:lvl>
    <w:lvl w:ilvl="6" w:tplc="0C090001" w:tentative="1">
      <w:start w:val="1"/>
      <w:numFmt w:val="bullet"/>
      <w:lvlText w:val=""/>
      <w:lvlJc w:val="left"/>
      <w:pPr>
        <w:ind w:left="5658" w:hanging="360"/>
      </w:pPr>
      <w:rPr>
        <w:rFonts w:ascii="Symbol" w:hAnsi="Symbol" w:hint="default"/>
      </w:rPr>
    </w:lvl>
    <w:lvl w:ilvl="7" w:tplc="0C090003" w:tentative="1">
      <w:start w:val="1"/>
      <w:numFmt w:val="bullet"/>
      <w:lvlText w:val="o"/>
      <w:lvlJc w:val="left"/>
      <w:pPr>
        <w:ind w:left="6378" w:hanging="360"/>
      </w:pPr>
      <w:rPr>
        <w:rFonts w:ascii="Courier New" w:hAnsi="Courier New" w:cs="Courier New" w:hint="default"/>
      </w:rPr>
    </w:lvl>
    <w:lvl w:ilvl="8" w:tplc="0C090005" w:tentative="1">
      <w:start w:val="1"/>
      <w:numFmt w:val="bullet"/>
      <w:lvlText w:val=""/>
      <w:lvlJc w:val="left"/>
      <w:pPr>
        <w:ind w:left="7098" w:hanging="360"/>
      </w:pPr>
      <w:rPr>
        <w:rFonts w:ascii="Wingdings" w:hAnsi="Wingdings" w:hint="default"/>
      </w:rPr>
    </w:lvl>
  </w:abstractNum>
  <w:abstractNum w:abstractNumId="10">
    <w:nsid w:val="210B6508"/>
    <w:multiLevelType w:val="hybridMultilevel"/>
    <w:tmpl w:val="0AA6E110"/>
    <w:lvl w:ilvl="0" w:tplc="0C090003">
      <w:start w:val="1"/>
      <w:numFmt w:val="bullet"/>
      <w:lvlText w:val="o"/>
      <w:lvlJc w:val="left"/>
      <w:pPr>
        <w:ind w:left="1037" w:hanging="360"/>
      </w:pPr>
      <w:rPr>
        <w:rFonts w:ascii="Courier New" w:hAnsi="Courier New" w:cs="Courier New"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1">
    <w:nsid w:val="3066740A"/>
    <w:multiLevelType w:val="hybridMultilevel"/>
    <w:tmpl w:val="21508352"/>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33284CEE"/>
    <w:multiLevelType w:val="hybridMultilevel"/>
    <w:tmpl w:val="1DA8FD52"/>
    <w:lvl w:ilvl="0" w:tplc="52469E1E">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3FF6C11"/>
    <w:multiLevelType w:val="hybridMultilevel"/>
    <w:tmpl w:val="3A9A9C46"/>
    <w:lvl w:ilvl="0" w:tplc="0C090003">
      <w:start w:val="1"/>
      <w:numFmt w:val="bullet"/>
      <w:lvlText w:val="o"/>
      <w:lvlJc w:val="left"/>
      <w:pPr>
        <w:ind w:left="1141" w:hanging="360"/>
      </w:pPr>
      <w:rPr>
        <w:rFonts w:ascii="Courier New" w:hAnsi="Courier New" w:cs="Courier New"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4">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5">
    <w:nsid w:val="3B143BBE"/>
    <w:multiLevelType w:val="hybridMultilevel"/>
    <w:tmpl w:val="5AB08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5B16A18"/>
    <w:multiLevelType w:val="hybridMultilevel"/>
    <w:tmpl w:val="D9F87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F67EB1"/>
    <w:multiLevelType w:val="hybridMultilevel"/>
    <w:tmpl w:val="33C6B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D4B043A"/>
    <w:multiLevelType w:val="hybridMultilevel"/>
    <w:tmpl w:val="3E1644DE"/>
    <w:lvl w:ilvl="0" w:tplc="9DE27AB0">
      <w:start w:val="2"/>
      <w:numFmt w:val="bullet"/>
      <w:lvlText w:val="-"/>
      <w:lvlJc w:val="left"/>
      <w:pPr>
        <w:ind w:left="1397" w:hanging="360"/>
      </w:pPr>
      <w:rPr>
        <w:rFonts w:ascii="Cambria" w:eastAsia="Cambria" w:hAnsi="Cambria" w:cs="Times New Roman" w:hint="default"/>
      </w:rPr>
    </w:lvl>
    <w:lvl w:ilvl="1" w:tplc="0C090003" w:tentative="1">
      <w:start w:val="1"/>
      <w:numFmt w:val="bullet"/>
      <w:lvlText w:val="o"/>
      <w:lvlJc w:val="left"/>
      <w:pPr>
        <w:ind w:left="2117" w:hanging="360"/>
      </w:pPr>
      <w:rPr>
        <w:rFonts w:ascii="Courier New" w:hAnsi="Courier New" w:cs="Courier New" w:hint="default"/>
      </w:rPr>
    </w:lvl>
    <w:lvl w:ilvl="2" w:tplc="0C090005" w:tentative="1">
      <w:start w:val="1"/>
      <w:numFmt w:val="bullet"/>
      <w:lvlText w:val=""/>
      <w:lvlJc w:val="left"/>
      <w:pPr>
        <w:ind w:left="2837" w:hanging="360"/>
      </w:pPr>
      <w:rPr>
        <w:rFonts w:ascii="Wingdings" w:hAnsi="Wingdings" w:hint="default"/>
      </w:rPr>
    </w:lvl>
    <w:lvl w:ilvl="3" w:tplc="0C090001" w:tentative="1">
      <w:start w:val="1"/>
      <w:numFmt w:val="bullet"/>
      <w:lvlText w:val=""/>
      <w:lvlJc w:val="left"/>
      <w:pPr>
        <w:ind w:left="3557" w:hanging="360"/>
      </w:pPr>
      <w:rPr>
        <w:rFonts w:ascii="Symbol" w:hAnsi="Symbol" w:hint="default"/>
      </w:rPr>
    </w:lvl>
    <w:lvl w:ilvl="4" w:tplc="0C090003" w:tentative="1">
      <w:start w:val="1"/>
      <w:numFmt w:val="bullet"/>
      <w:lvlText w:val="o"/>
      <w:lvlJc w:val="left"/>
      <w:pPr>
        <w:ind w:left="4277" w:hanging="360"/>
      </w:pPr>
      <w:rPr>
        <w:rFonts w:ascii="Courier New" w:hAnsi="Courier New" w:cs="Courier New" w:hint="default"/>
      </w:rPr>
    </w:lvl>
    <w:lvl w:ilvl="5" w:tplc="0C090005" w:tentative="1">
      <w:start w:val="1"/>
      <w:numFmt w:val="bullet"/>
      <w:lvlText w:val=""/>
      <w:lvlJc w:val="left"/>
      <w:pPr>
        <w:ind w:left="4997" w:hanging="360"/>
      </w:pPr>
      <w:rPr>
        <w:rFonts w:ascii="Wingdings" w:hAnsi="Wingdings" w:hint="default"/>
      </w:rPr>
    </w:lvl>
    <w:lvl w:ilvl="6" w:tplc="0C090001" w:tentative="1">
      <w:start w:val="1"/>
      <w:numFmt w:val="bullet"/>
      <w:lvlText w:val=""/>
      <w:lvlJc w:val="left"/>
      <w:pPr>
        <w:ind w:left="5717" w:hanging="360"/>
      </w:pPr>
      <w:rPr>
        <w:rFonts w:ascii="Symbol" w:hAnsi="Symbol" w:hint="default"/>
      </w:rPr>
    </w:lvl>
    <w:lvl w:ilvl="7" w:tplc="0C090003" w:tentative="1">
      <w:start w:val="1"/>
      <w:numFmt w:val="bullet"/>
      <w:lvlText w:val="o"/>
      <w:lvlJc w:val="left"/>
      <w:pPr>
        <w:ind w:left="6437" w:hanging="360"/>
      </w:pPr>
      <w:rPr>
        <w:rFonts w:ascii="Courier New" w:hAnsi="Courier New" w:cs="Courier New" w:hint="default"/>
      </w:rPr>
    </w:lvl>
    <w:lvl w:ilvl="8" w:tplc="0C090005" w:tentative="1">
      <w:start w:val="1"/>
      <w:numFmt w:val="bullet"/>
      <w:lvlText w:val=""/>
      <w:lvlJc w:val="left"/>
      <w:pPr>
        <w:ind w:left="7157" w:hanging="360"/>
      </w:pPr>
      <w:rPr>
        <w:rFonts w:ascii="Wingdings" w:hAnsi="Wingdings" w:hint="default"/>
      </w:rPr>
    </w:lvl>
  </w:abstractNum>
  <w:abstractNum w:abstractNumId="19">
    <w:nsid w:val="50F21B92"/>
    <w:multiLevelType w:val="hybridMultilevel"/>
    <w:tmpl w:val="F11A29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3EB1E8C"/>
    <w:multiLevelType w:val="hybridMultilevel"/>
    <w:tmpl w:val="553C5080"/>
    <w:lvl w:ilvl="0" w:tplc="0C090003">
      <w:start w:val="1"/>
      <w:numFmt w:val="bullet"/>
      <w:lvlText w:val="o"/>
      <w:lvlJc w:val="left"/>
      <w:pPr>
        <w:ind w:left="1037" w:hanging="360"/>
      </w:pPr>
      <w:rPr>
        <w:rFonts w:ascii="Courier New" w:hAnsi="Courier New" w:cs="Courier New"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21">
    <w:nsid w:val="548E0375"/>
    <w:multiLevelType w:val="hybridMultilevel"/>
    <w:tmpl w:val="8126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FE40CA"/>
    <w:multiLevelType w:val="hybridMultilevel"/>
    <w:tmpl w:val="7C5086B2"/>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23">
    <w:nsid w:val="5B807E7B"/>
    <w:multiLevelType w:val="hybridMultilevel"/>
    <w:tmpl w:val="276CDE32"/>
    <w:lvl w:ilvl="0" w:tplc="52469E1E">
      <w:numFmt w:val="bullet"/>
      <w:lvlText w:val="-"/>
      <w:lvlJc w:val="left"/>
      <w:pPr>
        <w:ind w:left="1305" w:hanging="360"/>
      </w:pPr>
      <w:rPr>
        <w:rFonts w:ascii="Times New Roman" w:eastAsia="Times New Roman" w:hAnsi="Times New Roman" w:cs="Times New Roman" w:hint="default"/>
      </w:rPr>
    </w:lvl>
    <w:lvl w:ilvl="1" w:tplc="0C090003" w:tentative="1">
      <w:start w:val="1"/>
      <w:numFmt w:val="bullet"/>
      <w:lvlText w:val="o"/>
      <w:lvlJc w:val="left"/>
      <w:pPr>
        <w:ind w:left="2025" w:hanging="360"/>
      </w:pPr>
      <w:rPr>
        <w:rFonts w:ascii="Courier New" w:hAnsi="Courier New" w:cs="Courier New" w:hint="default"/>
      </w:rPr>
    </w:lvl>
    <w:lvl w:ilvl="2" w:tplc="0C090005" w:tentative="1">
      <w:start w:val="1"/>
      <w:numFmt w:val="bullet"/>
      <w:lvlText w:val=""/>
      <w:lvlJc w:val="left"/>
      <w:pPr>
        <w:ind w:left="2745" w:hanging="360"/>
      </w:pPr>
      <w:rPr>
        <w:rFonts w:ascii="Wingdings" w:hAnsi="Wingdings" w:hint="default"/>
      </w:rPr>
    </w:lvl>
    <w:lvl w:ilvl="3" w:tplc="0C090001" w:tentative="1">
      <w:start w:val="1"/>
      <w:numFmt w:val="bullet"/>
      <w:lvlText w:val=""/>
      <w:lvlJc w:val="left"/>
      <w:pPr>
        <w:ind w:left="3465" w:hanging="360"/>
      </w:pPr>
      <w:rPr>
        <w:rFonts w:ascii="Symbol" w:hAnsi="Symbol" w:hint="default"/>
      </w:rPr>
    </w:lvl>
    <w:lvl w:ilvl="4" w:tplc="0C090003" w:tentative="1">
      <w:start w:val="1"/>
      <w:numFmt w:val="bullet"/>
      <w:lvlText w:val="o"/>
      <w:lvlJc w:val="left"/>
      <w:pPr>
        <w:ind w:left="4185" w:hanging="360"/>
      </w:pPr>
      <w:rPr>
        <w:rFonts w:ascii="Courier New" w:hAnsi="Courier New" w:cs="Courier New" w:hint="default"/>
      </w:rPr>
    </w:lvl>
    <w:lvl w:ilvl="5" w:tplc="0C090005" w:tentative="1">
      <w:start w:val="1"/>
      <w:numFmt w:val="bullet"/>
      <w:lvlText w:val=""/>
      <w:lvlJc w:val="left"/>
      <w:pPr>
        <w:ind w:left="4905" w:hanging="360"/>
      </w:pPr>
      <w:rPr>
        <w:rFonts w:ascii="Wingdings" w:hAnsi="Wingdings" w:hint="default"/>
      </w:rPr>
    </w:lvl>
    <w:lvl w:ilvl="6" w:tplc="0C090001" w:tentative="1">
      <w:start w:val="1"/>
      <w:numFmt w:val="bullet"/>
      <w:lvlText w:val=""/>
      <w:lvlJc w:val="left"/>
      <w:pPr>
        <w:ind w:left="5625" w:hanging="360"/>
      </w:pPr>
      <w:rPr>
        <w:rFonts w:ascii="Symbol" w:hAnsi="Symbol" w:hint="default"/>
      </w:rPr>
    </w:lvl>
    <w:lvl w:ilvl="7" w:tplc="0C090003" w:tentative="1">
      <w:start w:val="1"/>
      <w:numFmt w:val="bullet"/>
      <w:lvlText w:val="o"/>
      <w:lvlJc w:val="left"/>
      <w:pPr>
        <w:ind w:left="6345" w:hanging="360"/>
      </w:pPr>
      <w:rPr>
        <w:rFonts w:ascii="Courier New" w:hAnsi="Courier New" w:cs="Courier New" w:hint="default"/>
      </w:rPr>
    </w:lvl>
    <w:lvl w:ilvl="8" w:tplc="0C090005" w:tentative="1">
      <w:start w:val="1"/>
      <w:numFmt w:val="bullet"/>
      <w:lvlText w:val=""/>
      <w:lvlJc w:val="left"/>
      <w:pPr>
        <w:ind w:left="7065" w:hanging="360"/>
      </w:pPr>
      <w:rPr>
        <w:rFonts w:ascii="Wingdings" w:hAnsi="Wingdings" w:hint="default"/>
      </w:rPr>
    </w:lvl>
  </w:abstractNum>
  <w:abstractNum w:abstractNumId="24">
    <w:nsid w:val="5E4A78AF"/>
    <w:multiLevelType w:val="hybridMultilevel"/>
    <w:tmpl w:val="9A065322"/>
    <w:lvl w:ilvl="0" w:tplc="C87815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40E2A0F"/>
    <w:multiLevelType w:val="hybridMultilevel"/>
    <w:tmpl w:val="77DA8820"/>
    <w:lvl w:ilvl="0" w:tplc="0C090003">
      <w:start w:val="1"/>
      <w:numFmt w:val="bullet"/>
      <w:lvlText w:val="o"/>
      <w:lvlJc w:val="left"/>
      <w:pPr>
        <w:ind w:left="1054" w:hanging="360"/>
      </w:pPr>
      <w:rPr>
        <w:rFonts w:ascii="Courier New" w:hAnsi="Courier New" w:cs="Courier New" w:hint="default"/>
      </w:rPr>
    </w:lvl>
    <w:lvl w:ilvl="1" w:tplc="0C090003" w:tentative="1">
      <w:start w:val="1"/>
      <w:numFmt w:val="bullet"/>
      <w:lvlText w:val="o"/>
      <w:lvlJc w:val="left"/>
      <w:pPr>
        <w:ind w:left="1774" w:hanging="360"/>
      </w:pPr>
      <w:rPr>
        <w:rFonts w:ascii="Courier New" w:hAnsi="Courier New" w:cs="Courier New" w:hint="default"/>
      </w:rPr>
    </w:lvl>
    <w:lvl w:ilvl="2" w:tplc="0C090005" w:tentative="1">
      <w:start w:val="1"/>
      <w:numFmt w:val="bullet"/>
      <w:lvlText w:val=""/>
      <w:lvlJc w:val="left"/>
      <w:pPr>
        <w:ind w:left="2494" w:hanging="360"/>
      </w:pPr>
      <w:rPr>
        <w:rFonts w:ascii="Wingdings" w:hAnsi="Wingdings" w:hint="default"/>
      </w:rPr>
    </w:lvl>
    <w:lvl w:ilvl="3" w:tplc="0C090001" w:tentative="1">
      <w:start w:val="1"/>
      <w:numFmt w:val="bullet"/>
      <w:lvlText w:val=""/>
      <w:lvlJc w:val="left"/>
      <w:pPr>
        <w:ind w:left="3214" w:hanging="360"/>
      </w:pPr>
      <w:rPr>
        <w:rFonts w:ascii="Symbol" w:hAnsi="Symbol" w:hint="default"/>
      </w:rPr>
    </w:lvl>
    <w:lvl w:ilvl="4" w:tplc="0C090003" w:tentative="1">
      <w:start w:val="1"/>
      <w:numFmt w:val="bullet"/>
      <w:lvlText w:val="o"/>
      <w:lvlJc w:val="left"/>
      <w:pPr>
        <w:ind w:left="3934" w:hanging="360"/>
      </w:pPr>
      <w:rPr>
        <w:rFonts w:ascii="Courier New" w:hAnsi="Courier New" w:cs="Courier New" w:hint="default"/>
      </w:rPr>
    </w:lvl>
    <w:lvl w:ilvl="5" w:tplc="0C090005" w:tentative="1">
      <w:start w:val="1"/>
      <w:numFmt w:val="bullet"/>
      <w:lvlText w:val=""/>
      <w:lvlJc w:val="left"/>
      <w:pPr>
        <w:ind w:left="4654" w:hanging="360"/>
      </w:pPr>
      <w:rPr>
        <w:rFonts w:ascii="Wingdings" w:hAnsi="Wingdings" w:hint="default"/>
      </w:rPr>
    </w:lvl>
    <w:lvl w:ilvl="6" w:tplc="0C090001" w:tentative="1">
      <w:start w:val="1"/>
      <w:numFmt w:val="bullet"/>
      <w:lvlText w:val=""/>
      <w:lvlJc w:val="left"/>
      <w:pPr>
        <w:ind w:left="5374" w:hanging="360"/>
      </w:pPr>
      <w:rPr>
        <w:rFonts w:ascii="Symbol" w:hAnsi="Symbol" w:hint="default"/>
      </w:rPr>
    </w:lvl>
    <w:lvl w:ilvl="7" w:tplc="0C090003" w:tentative="1">
      <w:start w:val="1"/>
      <w:numFmt w:val="bullet"/>
      <w:lvlText w:val="o"/>
      <w:lvlJc w:val="left"/>
      <w:pPr>
        <w:ind w:left="6094" w:hanging="360"/>
      </w:pPr>
      <w:rPr>
        <w:rFonts w:ascii="Courier New" w:hAnsi="Courier New" w:cs="Courier New" w:hint="default"/>
      </w:rPr>
    </w:lvl>
    <w:lvl w:ilvl="8" w:tplc="0C090005" w:tentative="1">
      <w:start w:val="1"/>
      <w:numFmt w:val="bullet"/>
      <w:lvlText w:val=""/>
      <w:lvlJc w:val="left"/>
      <w:pPr>
        <w:ind w:left="6814" w:hanging="360"/>
      </w:pPr>
      <w:rPr>
        <w:rFonts w:ascii="Wingdings" w:hAnsi="Wingdings" w:hint="default"/>
      </w:rPr>
    </w:lvl>
  </w:abstractNum>
  <w:abstractNum w:abstractNumId="26">
    <w:nsid w:val="708B593A"/>
    <w:multiLevelType w:val="hybridMultilevel"/>
    <w:tmpl w:val="A978D9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10478CA"/>
    <w:multiLevelType w:val="hybridMultilevel"/>
    <w:tmpl w:val="3DF43BE4"/>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8">
    <w:nsid w:val="71453886"/>
    <w:multiLevelType w:val="hybridMultilevel"/>
    <w:tmpl w:val="62F851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3137212"/>
    <w:multiLevelType w:val="hybridMultilevel"/>
    <w:tmpl w:val="EB3C24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4"/>
  </w:num>
  <w:num w:numId="4">
    <w:abstractNumId w:val="1"/>
  </w:num>
  <w:num w:numId="5">
    <w:abstractNumId w:val="16"/>
  </w:num>
  <w:num w:numId="6">
    <w:abstractNumId w:val="28"/>
  </w:num>
  <w:num w:numId="7">
    <w:abstractNumId w:val="3"/>
  </w:num>
  <w:num w:numId="8">
    <w:abstractNumId w:val="6"/>
  </w:num>
  <w:num w:numId="9">
    <w:abstractNumId w:val="29"/>
  </w:num>
  <w:num w:numId="10">
    <w:abstractNumId w:val="7"/>
  </w:num>
  <w:num w:numId="11">
    <w:abstractNumId w:val="12"/>
  </w:num>
  <w:num w:numId="12">
    <w:abstractNumId w:val="15"/>
  </w:num>
  <w:num w:numId="13">
    <w:abstractNumId w:val="25"/>
  </w:num>
  <w:num w:numId="14">
    <w:abstractNumId w:val="20"/>
  </w:num>
  <w:num w:numId="15">
    <w:abstractNumId w:val="13"/>
  </w:num>
  <w:num w:numId="16">
    <w:abstractNumId w:val="9"/>
  </w:num>
  <w:num w:numId="17">
    <w:abstractNumId w:val="27"/>
  </w:num>
  <w:num w:numId="18">
    <w:abstractNumId w:val="10"/>
  </w:num>
  <w:num w:numId="19">
    <w:abstractNumId w:val="0"/>
  </w:num>
  <w:num w:numId="20">
    <w:abstractNumId w:val="23"/>
  </w:num>
  <w:num w:numId="21">
    <w:abstractNumId w:val="11"/>
  </w:num>
  <w:num w:numId="22">
    <w:abstractNumId w:val="14"/>
  </w:num>
  <w:num w:numId="23">
    <w:abstractNumId w:val="2"/>
  </w:num>
  <w:num w:numId="24">
    <w:abstractNumId w:val="17"/>
  </w:num>
  <w:num w:numId="25">
    <w:abstractNumId w:val="21"/>
  </w:num>
  <w:num w:numId="26">
    <w:abstractNumId w:val="8"/>
  </w:num>
  <w:num w:numId="27">
    <w:abstractNumId w:val="19"/>
  </w:num>
  <w:num w:numId="28">
    <w:abstractNumId w:val="24"/>
  </w:num>
  <w:num w:numId="29">
    <w:abstractNumId w:val="5"/>
  </w:num>
  <w:num w:numId="30">
    <w:abstractNumId w:val="22"/>
  </w:num>
  <w:num w:numId="31">
    <w:abstractNumId w:val="18"/>
  </w:num>
  <w:num w:numId="32">
    <w:abstractNumId w:val="2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proofState w:spelling="clean" w:grammar="clean"/>
  <w:stylePaneFormatFilter w:val="1001"/>
  <w:stylePaneSortMethod w:val="0000"/>
  <w:defaultTabStop w:val="720"/>
  <w:defaultTableStyle w:val="TableTGAblack"/>
  <w:drawingGridHorizontalSpacing w:val="110"/>
  <w:displayHorizontalDrawingGridEvery w:val="2"/>
  <w:characterSpacingControl w:val="doNotCompress"/>
  <w:hdrShapeDefaults>
    <o:shapedefaults v:ext="edit" spidmax="63489">
      <o:colormenu v:ext="edit" fillcolor="none [3206]"/>
    </o:shapedefaults>
  </w:hdrShapeDefaults>
  <w:footnotePr>
    <w:footnote w:id="-1"/>
    <w:footnote w:id="0"/>
  </w:footnotePr>
  <w:endnotePr>
    <w:endnote w:id="-1"/>
    <w:endnote w:id="0"/>
  </w:endnotePr>
  <w:compat/>
  <w:rsids>
    <w:rsidRoot w:val="00C70D53"/>
    <w:rsid w:val="00002031"/>
    <w:rsid w:val="00004734"/>
    <w:rsid w:val="00006B22"/>
    <w:rsid w:val="0001276A"/>
    <w:rsid w:val="00013C15"/>
    <w:rsid w:val="0002035C"/>
    <w:rsid w:val="000246AE"/>
    <w:rsid w:val="00025C67"/>
    <w:rsid w:val="00027DFC"/>
    <w:rsid w:val="000320A8"/>
    <w:rsid w:val="00032456"/>
    <w:rsid w:val="000446B1"/>
    <w:rsid w:val="00054043"/>
    <w:rsid w:val="000543FF"/>
    <w:rsid w:val="0005559E"/>
    <w:rsid w:val="00077775"/>
    <w:rsid w:val="0008536A"/>
    <w:rsid w:val="00086058"/>
    <w:rsid w:val="00090471"/>
    <w:rsid w:val="000B3532"/>
    <w:rsid w:val="000B3A75"/>
    <w:rsid w:val="000B55A5"/>
    <w:rsid w:val="000B573D"/>
    <w:rsid w:val="000C690F"/>
    <w:rsid w:val="000D1295"/>
    <w:rsid w:val="000D391B"/>
    <w:rsid w:val="000D3D6D"/>
    <w:rsid w:val="000D43AD"/>
    <w:rsid w:val="000D4F34"/>
    <w:rsid w:val="000D4FC7"/>
    <w:rsid w:val="000E2F9C"/>
    <w:rsid w:val="000E322D"/>
    <w:rsid w:val="000F2280"/>
    <w:rsid w:val="000F4869"/>
    <w:rsid w:val="000F5B42"/>
    <w:rsid w:val="000F6E6F"/>
    <w:rsid w:val="000F7A8F"/>
    <w:rsid w:val="000F7EAB"/>
    <w:rsid w:val="0010195B"/>
    <w:rsid w:val="001019E8"/>
    <w:rsid w:val="0010482A"/>
    <w:rsid w:val="00105A4C"/>
    <w:rsid w:val="0010601F"/>
    <w:rsid w:val="00106051"/>
    <w:rsid w:val="0010788A"/>
    <w:rsid w:val="00107A31"/>
    <w:rsid w:val="00110EA5"/>
    <w:rsid w:val="00112F56"/>
    <w:rsid w:val="00115900"/>
    <w:rsid w:val="001170DD"/>
    <w:rsid w:val="00125318"/>
    <w:rsid w:val="001305A2"/>
    <w:rsid w:val="00133238"/>
    <w:rsid w:val="00134868"/>
    <w:rsid w:val="0014197B"/>
    <w:rsid w:val="001447CD"/>
    <w:rsid w:val="00144FB8"/>
    <w:rsid w:val="001516B1"/>
    <w:rsid w:val="00153980"/>
    <w:rsid w:val="00154EBB"/>
    <w:rsid w:val="00156316"/>
    <w:rsid w:val="00165389"/>
    <w:rsid w:val="0017693F"/>
    <w:rsid w:val="0018110E"/>
    <w:rsid w:val="00181684"/>
    <w:rsid w:val="001843C6"/>
    <w:rsid w:val="001850E0"/>
    <w:rsid w:val="00185929"/>
    <w:rsid w:val="00192EAB"/>
    <w:rsid w:val="00196839"/>
    <w:rsid w:val="001A2158"/>
    <w:rsid w:val="001A525F"/>
    <w:rsid w:val="001B09F9"/>
    <w:rsid w:val="001B6448"/>
    <w:rsid w:val="001B7810"/>
    <w:rsid w:val="001C1C30"/>
    <w:rsid w:val="001C3B37"/>
    <w:rsid w:val="001D2848"/>
    <w:rsid w:val="001E07CF"/>
    <w:rsid w:val="001E59F1"/>
    <w:rsid w:val="001F48A5"/>
    <w:rsid w:val="001F49EB"/>
    <w:rsid w:val="001F6305"/>
    <w:rsid w:val="001F6CBA"/>
    <w:rsid w:val="001F7D91"/>
    <w:rsid w:val="00201D4E"/>
    <w:rsid w:val="002172E7"/>
    <w:rsid w:val="00220B8A"/>
    <w:rsid w:val="002257F3"/>
    <w:rsid w:val="00233456"/>
    <w:rsid w:val="002339A5"/>
    <w:rsid w:val="00233DA3"/>
    <w:rsid w:val="00235CC1"/>
    <w:rsid w:val="00241BA7"/>
    <w:rsid w:val="00244FFC"/>
    <w:rsid w:val="00257848"/>
    <w:rsid w:val="0026122F"/>
    <w:rsid w:val="002613CB"/>
    <w:rsid w:val="00266A71"/>
    <w:rsid w:val="0027067B"/>
    <w:rsid w:val="0027084A"/>
    <w:rsid w:val="0027674D"/>
    <w:rsid w:val="00284B56"/>
    <w:rsid w:val="00286434"/>
    <w:rsid w:val="00286C59"/>
    <w:rsid w:val="002942D1"/>
    <w:rsid w:val="0029501A"/>
    <w:rsid w:val="002A158D"/>
    <w:rsid w:val="002A64E6"/>
    <w:rsid w:val="002B1638"/>
    <w:rsid w:val="002C1078"/>
    <w:rsid w:val="002C47BA"/>
    <w:rsid w:val="002D0560"/>
    <w:rsid w:val="002E2613"/>
    <w:rsid w:val="002E4C9A"/>
    <w:rsid w:val="002F11F8"/>
    <w:rsid w:val="002F3F56"/>
    <w:rsid w:val="002F44B5"/>
    <w:rsid w:val="00311AC0"/>
    <w:rsid w:val="003173D7"/>
    <w:rsid w:val="00322788"/>
    <w:rsid w:val="0032583B"/>
    <w:rsid w:val="00327883"/>
    <w:rsid w:val="003330FA"/>
    <w:rsid w:val="00335504"/>
    <w:rsid w:val="003419FB"/>
    <w:rsid w:val="00347C05"/>
    <w:rsid w:val="003521E8"/>
    <w:rsid w:val="00352774"/>
    <w:rsid w:val="003720DD"/>
    <w:rsid w:val="00372623"/>
    <w:rsid w:val="003728F3"/>
    <w:rsid w:val="0037496E"/>
    <w:rsid w:val="00377E0B"/>
    <w:rsid w:val="0038481F"/>
    <w:rsid w:val="00386150"/>
    <w:rsid w:val="003865F4"/>
    <w:rsid w:val="003874CE"/>
    <w:rsid w:val="00390900"/>
    <w:rsid w:val="00392E5E"/>
    <w:rsid w:val="003A7F6C"/>
    <w:rsid w:val="003B31F5"/>
    <w:rsid w:val="003B4D60"/>
    <w:rsid w:val="003B7E39"/>
    <w:rsid w:val="003C58DC"/>
    <w:rsid w:val="003D1AE5"/>
    <w:rsid w:val="003D1E62"/>
    <w:rsid w:val="003D7C09"/>
    <w:rsid w:val="003E2486"/>
    <w:rsid w:val="003E3208"/>
    <w:rsid w:val="003F0B04"/>
    <w:rsid w:val="003F4055"/>
    <w:rsid w:val="0040134E"/>
    <w:rsid w:val="00407E98"/>
    <w:rsid w:val="004350DA"/>
    <w:rsid w:val="00440A2D"/>
    <w:rsid w:val="00447ABE"/>
    <w:rsid w:val="00447D6E"/>
    <w:rsid w:val="004564A7"/>
    <w:rsid w:val="004617BF"/>
    <w:rsid w:val="00463658"/>
    <w:rsid w:val="004709F4"/>
    <w:rsid w:val="004722CC"/>
    <w:rsid w:val="0048181A"/>
    <w:rsid w:val="004936E4"/>
    <w:rsid w:val="00494E60"/>
    <w:rsid w:val="00497487"/>
    <w:rsid w:val="004A2494"/>
    <w:rsid w:val="004A7016"/>
    <w:rsid w:val="004A74BD"/>
    <w:rsid w:val="004B779C"/>
    <w:rsid w:val="004B7B76"/>
    <w:rsid w:val="004C1CAC"/>
    <w:rsid w:val="004C2DCA"/>
    <w:rsid w:val="004D1156"/>
    <w:rsid w:val="004F0920"/>
    <w:rsid w:val="004F0F38"/>
    <w:rsid w:val="004F284A"/>
    <w:rsid w:val="00501921"/>
    <w:rsid w:val="00507191"/>
    <w:rsid w:val="0051421B"/>
    <w:rsid w:val="0051606F"/>
    <w:rsid w:val="005256D0"/>
    <w:rsid w:val="00530354"/>
    <w:rsid w:val="0053625B"/>
    <w:rsid w:val="005434C6"/>
    <w:rsid w:val="00543B39"/>
    <w:rsid w:val="00550096"/>
    <w:rsid w:val="00551BF5"/>
    <w:rsid w:val="00555BF5"/>
    <w:rsid w:val="00557FF9"/>
    <w:rsid w:val="00566646"/>
    <w:rsid w:val="00576378"/>
    <w:rsid w:val="00577945"/>
    <w:rsid w:val="00577E38"/>
    <w:rsid w:val="00585322"/>
    <w:rsid w:val="005857C6"/>
    <w:rsid w:val="0058592F"/>
    <w:rsid w:val="00592F6E"/>
    <w:rsid w:val="00593AD1"/>
    <w:rsid w:val="005963DF"/>
    <w:rsid w:val="005A59F9"/>
    <w:rsid w:val="005A621B"/>
    <w:rsid w:val="005A68B6"/>
    <w:rsid w:val="005B0FC1"/>
    <w:rsid w:val="005B67D9"/>
    <w:rsid w:val="005C5570"/>
    <w:rsid w:val="005C79A4"/>
    <w:rsid w:val="005D1C51"/>
    <w:rsid w:val="005D5442"/>
    <w:rsid w:val="005E1D30"/>
    <w:rsid w:val="00603F32"/>
    <w:rsid w:val="00604772"/>
    <w:rsid w:val="00607312"/>
    <w:rsid w:val="00607F8D"/>
    <w:rsid w:val="0063033F"/>
    <w:rsid w:val="00632398"/>
    <w:rsid w:val="0064082B"/>
    <w:rsid w:val="00640FC3"/>
    <w:rsid w:val="00642020"/>
    <w:rsid w:val="00645460"/>
    <w:rsid w:val="00650B6D"/>
    <w:rsid w:val="0065337B"/>
    <w:rsid w:val="0065419D"/>
    <w:rsid w:val="0065643F"/>
    <w:rsid w:val="006575DD"/>
    <w:rsid w:val="006604D8"/>
    <w:rsid w:val="00661BF1"/>
    <w:rsid w:val="00663481"/>
    <w:rsid w:val="00664A5B"/>
    <w:rsid w:val="006676A4"/>
    <w:rsid w:val="00670DEB"/>
    <w:rsid w:val="00675BD2"/>
    <w:rsid w:val="006763D2"/>
    <w:rsid w:val="00680C08"/>
    <w:rsid w:val="006844B7"/>
    <w:rsid w:val="006931B1"/>
    <w:rsid w:val="00694883"/>
    <w:rsid w:val="006A0692"/>
    <w:rsid w:val="006A0B99"/>
    <w:rsid w:val="006A15C0"/>
    <w:rsid w:val="006C3990"/>
    <w:rsid w:val="006C3E2A"/>
    <w:rsid w:val="006C642F"/>
    <w:rsid w:val="006D03E5"/>
    <w:rsid w:val="006D52E2"/>
    <w:rsid w:val="006D5D3E"/>
    <w:rsid w:val="006E08B3"/>
    <w:rsid w:val="006F1404"/>
    <w:rsid w:val="006F17AC"/>
    <w:rsid w:val="006F3D80"/>
    <w:rsid w:val="006F572E"/>
    <w:rsid w:val="007046D6"/>
    <w:rsid w:val="00704B82"/>
    <w:rsid w:val="007053BB"/>
    <w:rsid w:val="00705DB0"/>
    <w:rsid w:val="00711797"/>
    <w:rsid w:val="00714153"/>
    <w:rsid w:val="00717495"/>
    <w:rsid w:val="00722B57"/>
    <w:rsid w:val="0073169F"/>
    <w:rsid w:val="00740105"/>
    <w:rsid w:val="0074253D"/>
    <w:rsid w:val="0074429B"/>
    <w:rsid w:val="00745A68"/>
    <w:rsid w:val="0074754A"/>
    <w:rsid w:val="00753120"/>
    <w:rsid w:val="007615BC"/>
    <w:rsid w:val="00762F05"/>
    <w:rsid w:val="00763A70"/>
    <w:rsid w:val="007652FF"/>
    <w:rsid w:val="00770EF1"/>
    <w:rsid w:val="00773EF7"/>
    <w:rsid w:val="00774E1D"/>
    <w:rsid w:val="0077675A"/>
    <w:rsid w:val="00780355"/>
    <w:rsid w:val="00785721"/>
    <w:rsid w:val="00793A59"/>
    <w:rsid w:val="00794A5A"/>
    <w:rsid w:val="007B5AF9"/>
    <w:rsid w:val="007B6E9F"/>
    <w:rsid w:val="007B7B3D"/>
    <w:rsid w:val="007C1216"/>
    <w:rsid w:val="007C1AF7"/>
    <w:rsid w:val="007C241D"/>
    <w:rsid w:val="007C5535"/>
    <w:rsid w:val="007E364D"/>
    <w:rsid w:val="007E40D5"/>
    <w:rsid w:val="007E41F1"/>
    <w:rsid w:val="007F0E1C"/>
    <w:rsid w:val="007F0FFA"/>
    <w:rsid w:val="007F1D2D"/>
    <w:rsid w:val="007F3D75"/>
    <w:rsid w:val="007F4DE1"/>
    <w:rsid w:val="007F71D7"/>
    <w:rsid w:val="0080273C"/>
    <w:rsid w:val="00805D27"/>
    <w:rsid w:val="00811D2E"/>
    <w:rsid w:val="00813E8A"/>
    <w:rsid w:val="00817FE9"/>
    <w:rsid w:val="00821776"/>
    <w:rsid w:val="00825F40"/>
    <w:rsid w:val="008321F5"/>
    <w:rsid w:val="00832369"/>
    <w:rsid w:val="00833650"/>
    <w:rsid w:val="00834660"/>
    <w:rsid w:val="00836BC2"/>
    <w:rsid w:val="00840057"/>
    <w:rsid w:val="0084221F"/>
    <w:rsid w:val="00844013"/>
    <w:rsid w:val="00846018"/>
    <w:rsid w:val="008556FC"/>
    <w:rsid w:val="0085641B"/>
    <w:rsid w:val="00857136"/>
    <w:rsid w:val="0087135F"/>
    <w:rsid w:val="00873037"/>
    <w:rsid w:val="00886D15"/>
    <w:rsid w:val="00887DD8"/>
    <w:rsid w:val="00891EE5"/>
    <w:rsid w:val="00896018"/>
    <w:rsid w:val="008960DD"/>
    <w:rsid w:val="0089635C"/>
    <w:rsid w:val="008A2B9D"/>
    <w:rsid w:val="008A5E0B"/>
    <w:rsid w:val="008A6D59"/>
    <w:rsid w:val="008B4B03"/>
    <w:rsid w:val="008B534B"/>
    <w:rsid w:val="008B596F"/>
    <w:rsid w:val="008B661A"/>
    <w:rsid w:val="008C0ABD"/>
    <w:rsid w:val="008C159F"/>
    <w:rsid w:val="008C1623"/>
    <w:rsid w:val="008C31E5"/>
    <w:rsid w:val="008C51A9"/>
    <w:rsid w:val="008C7DBF"/>
    <w:rsid w:val="008D554E"/>
    <w:rsid w:val="008D7BAE"/>
    <w:rsid w:val="008E4D8E"/>
    <w:rsid w:val="008E677D"/>
    <w:rsid w:val="008E7846"/>
    <w:rsid w:val="008F1CCC"/>
    <w:rsid w:val="008F2967"/>
    <w:rsid w:val="008F6943"/>
    <w:rsid w:val="00902A21"/>
    <w:rsid w:val="00903913"/>
    <w:rsid w:val="009150C1"/>
    <w:rsid w:val="009168B2"/>
    <w:rsid w:val="00920330"/>
    <w:rsid w:val="009219D7"/>
    <w:rsid w:val="00921C20"/>
    <w:rsid w:val="00922D53"/>
    <w:rsid w:val="00923B70"/>
    <w:rsid w:val="00924482"/>
    <w:rsid w:val="00930237"/>
    <w:rsid w:val="009404CC"/>
    <w:rsid w:val="0094196A"/>
    <w:rsid w:val="00945830"/>
    <w:rsid w:val="00946EA5"/>
    <w:rsid w:val="00956A13"/>
    <w:rsid w:val="00956FE6"/>
    <w:rsid w:val="00963C08"/>
    <w:rsid w:val="009714AB"/>
    <w:rsid w:val="00973C1B"/>
    <w:rsid w:val="00973E93"/>
    <w:rsid w:val="0098585A"/>
    <w:rsid w:val="009A06FD"/>
    <w:rsid w:val="009A4CED"/>
    <w:rsid w:val="009A690D"/>
    <w:rsid w:val="009B1D12"/>
    <w:rsid w:val="009B25FA"/>
    <w:rsid w:val="009B416B"/>
    <w:rsid w:val="009C1DD1"/>
    <w:rsid w:val="009C4BD5"/>
    <w:rsid w:val="009D0303"/>
    <w:rsid w:val="009D1179"/>
    <w:rsid w:val="009D7B77"/>
    <w:rsid w:val="009E0BB0"/>
    <w:rsid w:val="009E1510"/>
    <w:rsid w:val="009E3FBB"/>
    <w:rsid w:val="009F5A17"/>
    <w:rsid w:val="009F714B"/>
    <w:rsid w:val="00A037E4"/>
    <w:rsid w:val="00A102E4"/>
    <w:rsid w:val="00A10798"/>
    <w:rsid w:val="00A12C42"/>
    <w:rsid w:val="00A14DF7"/>
    <w:rsid w:val="00A15988"/>
    <w:rsid w:val="00A20B85"/>
    <w:rsid w:val="00A22F03"/>
    <w:rsid w:val="00A25B98"/>
    <w:rsid w:val="00A3246D"/>
    <w:rsid w:val="00A35124"/>
    <w:rsid w:val="00A36FA7"/>
    <w:rsid w:val="00A379A2"/>
    <w:rsid w:val="00A475B7"/>
    <w:rsid w:val="00A47AF7"/>
    <w:rsid w:val="00A47C3E"/>
    <w:rsid w:val="00A50226"/>
    <w:rsid w:val="00A60BAD"/>
    <w:rsid w:val="00A7767E"/>
    <w:rsid w:val="00A817EB"/>
    <w:rsid w:val="00A959B9"/>
    <w:rsid w:val="00A964D1"/>
    <w:rsid w:val="00AA0ED0"/>
    <w:rsid w:val="00AA1F81"/>
    <w:rsid w:val="00AB1024"/>
    <w:rsid w:val="00AC2B40"/>
    <w:rsid w:val="00AC2BB2"/>
    <w:rsid w:val="00AC2C3C"/>
    <w:rsid w:val="00AC512D"/>
    <w:rsid w:val="00AD135B"/>
    <w:rsid w:val="00AD2162"/>
    <w:rsid w:val="00AE6345"/>
    <w:rsid w:val="00AE65EB"/>
    <w:rsid w:val="00AE67A7"/>
    <w:rsid w:val="00AF1D94"/>
    <w:rsid w:val="00AF60C5"/>
    <w:rsid w:val="00B009C6"/>
    <w:rsid w:val="00B01548"/>
    <w:rsid w:val="00B01C58"/>
    <w:rsid w:val="00B117C4"/>
    <w:rsid w:val="00B13F77"/>
    <w:rsid w:val="00B21D29"/>
    <w:rsid w:val="00B25034"/>
    <w:rsid w:val="00B33588"/>
    <w:rsid w:val="00B33863"/>
    <w:rsid w:val="00B37D17"/>
    <w:rsid w:val="00B4175E"/>
    <w:rsid w:val="00B452CE"/>
    <w:rsid w:val="00B54C25"/>
    <w:rsid w:val="00B572EB"/>
    <w:rsid w:val="00B76B91"/>
    <w:rsid w:val="00B77EB1"/>
    <w:rsid w:val="00B811C6"/>
    <w:rsid w:val="00B92E08"/>
    <w:rsid w:val="00BA361E"/>
    <w:rsid w:val="00BA7D2F"/>
    <w:rsid w:val="00BC604D"/>
    <w:rsid w:val="00BC622A"/>
    <w:rsid w:val="00BE0A78"/>
    <w:rsid w:val="00BE1EC2"/>
    <w:rsid w:val="00BE79F0"/>
    <w:rsid w:val="00BF046D"/>
    <w:rsid w:val="00BF5D04"/>
    <w:rsid w:val="00BF78A2"/>
    <w:rsid w:val="00C0287E"/>
    <w:rsid w:val="00C06ECB"/>
    <w:rsid w:val="00C10655"/>
    <w:rsid w:val="00C1164D"/>
    <w:rsid w:val="00C16861"/>
    <w:rsid w:val="00C2192A"/>
    <w:rsid w:val="00C21FB9"/>
    <w:rsid w:val="00C25172"/>
    <w:rsid w:val="00C26541"/>
    <w:rsid w:val="00C30214"/>
    <w:rsid w:val="00C33608"/>
    <w:rsid w:val="00C404A6"/>
    <w:rsid w:val="00C40A36"/>
    <w:rsid w:val="00C420D9"/>
    <w:rsid w:val="00C44419"/>
    <w:rsid w:val="00C45E7B"/>
    <w:rsid w:val="00C471B1"/>
    <w:rsid w:val="00C54BCA"/>
    <w:rsid w:val="00C6316B"/>
    <w:rsid w:val="00C634A9"/>
    <w:rsid w:val="00C64586"/>
    <w:rsid w:val="00C70D53"/>
    <w:rsid w:val="00C73416"/>
    <w:rsid w:val="00C73D0B"/>
    <w:rsid w:val="00C772FF"/>
    <w:rsid w:val="00C801AF"/>
    <w:rsid w:val="00C80256"/>
    <w:rsid w:val="00C924D2"/>
    <w:rsid w:val="00CA57E9"/>
    <w:rsid w:val="00CB0ABC"/>
    <w:rsid w:val="00CB2D71"/>
    <w:rsid w:val="00CB6BC0"/>
    <w:rsid w:val="00CC0AD4"/>
    <w:rsid w:val="00CC1B7C"/>
    <w:rsid w:val="00CC727F"/>
    <w:rsid w:val="00CE35DC"/>
    <w:rsid w:val="00CF11EA"/>
    <w:rsid w:val="00CF15C3"/>
    <w:rsid w:val="00CF2B6F"/>
    <w:rsid w:val="00CF5791"/>
    <w:rsid w:val="00CF58B6"/>
    <w:rsid w:val="00D017ED"/>
    <w:rsid w:val="00D040D3"/>
    <w:rsid w:val="00D04C65"/>
    <w:rsid w:val="00D066F7"/>
    <w:rsid w:val="00D109C3"/>
    <w:rsid w:val="00D154A0"/>
    <w:rsid w:val="00D224FE"/>
    <w:rsid w:val="00D24F30"/>
    <w:rsid w:val="00D263E5"/>
    <w:rsid w:val="00D34A3F"/>
    <w:rsid w:val="00D34F25"/>
    <w:rsid w:val="00D36F9C"/>
    <w:rsid w:val="00D5216F"/>
    <w:rsid w:val="00D52FD6"/>
    <w:rsid w:val="00D643AE"/>
    <w:rsid w:val="00D6493E"/>
    <w:rsid w:val="00D7301E"/>
    <w:rsid w:val="00D77CAB"/>
    <w:rsid w:val="00D81481"/>
    <w:rsid w:val="00D83AE1"/>
    <w:rsid w:val="00D8503C"/>
    <w:rsid w:val="00D855D4"/>
    <w:rsid w:val="00D93466"/>
    <w:rsid w:val="00DA1124"/>
    <w:rsid w:val="00DA5A94"/>
    <w:rsid w:val="00DB072B"/>
    <w:rsid w:val="00DB46E6"/>
    <w:rsid w:val="00DB75B7"/>
    <w:rsid w:val="00DB7B8E"/>
    <w:rsid w:val="00DC6E02"/>
    <w:rsid w:val="00DE02AE"/>
    <w:rsid w:val="00DF03E1"/>
    <w:rsid w:val="00DF1D7F"/>
    <w:rsid w:val="00DF4BE4"/>
    <w:rsid w:val="00E02FB4"/>
    <w:rsid w:val="00E13F45"/>
    <w:rsid w:val="00E14B7E"/>
    <w:rsid w:val="00E1574B"/>
    <w:rsid w:val="00E20571"/>
    <w:rsid w:val="00E235F7"/>
    <w:rsid w:val="00E23659"/>
    <w:rsid w:val="00E239D4"/>
    <w:rsid w:val="00E2594F"/>
    <w:rsid w:val="00E26130"/>
    <w:rsid w:val="00E34CEA"/>
    <w:rsid w:val="00E40B22"/>
    <w:rsid w:val="00E44BC3"/>
    <w:rsid w:val="00E45556"/>
    <w:rsid w:val="00E45619"/>
    <w:rsid w:val="00E4588F"/>
    <w:rsid w:val="00E46DA3"/>
    <w:rsid w:val="00E51BB1"/>
    <w:rsid w:val="00E61540"/>
    <w:rsid w:val="00E624A5"/>
    <w:rsid w:val="00E6550F"/>
    <w:rsid w:val="00E7344E"/>
    <w:rsid w:val="00E76819"/>
    <w:rsid w:val="00EB0798"/>
    <w:rsid w:val="00EB40AD"/>
    <w:rsid w:val="00EB586E"/>
    <w:rsid w:val="00EB5FC8"/>
    <w:rsid w:val="00ED2C93"/>
    <w:rsid w:val="00ED3CAD"/>
    <w:rsid w:val="00ED5A41"/>
    <w:rsid w:val="00ED74AE"/>
    <w:rsid w:val="00EE1DE8"/>
    <w:rsid w:val="00EF103A"/>
    <w:rsid w:val="00F00350"/>
    <w:rsid w:val="00F033EC"/>
    <w:rsid w:val="00F04F68"/>
    <w:rsid w:val="00F12670"/>
    <w:rsid w:val="00F14B27"/>
    <w:rsid w:val="00F15706"/>
    <w:rsid w:val="00F22137"/>
    <w:rsid w:val="00F3148D"/>
    <w:rsid w:val="00F320FA"/>
    <w:rsid w:val="00F325C5"/>
    <w:rsid w:val="00F32FE0"/>
    <w:rsid w:val="00F34608"/>
    <w:rsid w:val="00F35298"/>
    <w:rsid w:val="00F47333"/>
    <w:rsid w:val="00F47E37"/>
    <w:rsid w:val="00F50792"/>
    <w:rsid w:val="00F5248D"/>
    <w:rsid w:val="00F53C07"/>
    <w:rsid w:val="00F54B65"/>
    <w:rsid w:val="00F54E0D"/>
    <w:rsid w:val="00F640B6"/>
    <w:rsid w:val="00F64787"/>
    <w:rsid w:val="00F80B61"/>
    <w:rsid w:val="00F80E40"/>
    <w:rsid w:val="00F848D9"/>
    <w:rsid w:val="00F95855"/>
    <w:rsid w:val="00FA5B82"/>
    <w:rsid w:val="00FA639E"/>
    <w:rsid w:val="00FC0E00"/>
    <w:rsid w:val="00FC154B"/>
    <w:rsid w:val="00FC25E4"/>
    <w:rsid w:val="00FC4EF7"/>
    <w:rsid w:val="00FC5754"/>
    <w:rsid w:val="00FD630B"/>
    <w:rsid w:val="00FE1DEE"/>
    <w:rsid w:val="00FF2126"/>
    <w:rsid w:val="00FF3403"/>
    <w:rsid w:val="00FF49DA"/>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sz w:val="22"/>
      <w:szCs w:val="22"/>
      <w:lang w:eastAsia="en-US"/>
    </w:rPr>
  </w:style>
  <w:style w:type="paragraph" w:styleId="Heading1">
    <w:name w:val="heading 1"/>
    <w:basedOn w:val="Heading2"/>
    <w:next w:val="Normal"/>
    <w:link w:val="Heading1Char"/>
    <w:qFormat/>
    <w:rsid w:val="000C690F"/>
    <w:pPr>
      <w:spacing w:before="120" w:after="360"/>
      <w:outlineLvl w:val="0"/>
    </w:pPr>
    <w:rPr>
      <w:rFonts w:cs="Arial"/>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4722CC"/>
    <w:pPr>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4722CC"/>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4722CC"/>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Arial" w:eastAsia="Times New Roman" w:hAnsi="Arial" w:cs="Arial"/>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29501A"/>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8960DD"/>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8960DD"/>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ind w:left="170" w:right="170"/>
    </w:pPr>
    <w:rPr>
      <w:color w:val="000000"/>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ind w:left="170" w:right="170"/>
    </w:pPr>
    <w:rPr>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styleId="FootnoteText">
    <w:name w:val="footnote text"/>
    <w:basedOn w:val="Normal"/>
    <w:link w:val="FootnoteTextChar"/>
    <w:unhideWhenUsed/>
    <w:rsid w:val="009C1DD1"/>
    <w:rPr>
      <w:sz w:val="20"/>
      <w:szCs w:val="20"/>
    </w:rPr>
  </w:style>
  <w:style w:type="character" w:customStyle="1" w:styleId="FootnoteTextChar">
    <w:name w:val="Footnote Text Char"/>
    <w:basedOn w:val="DefaultParagraphFont"/>
    <w:link w:val="FootnoteText"/>
    <w:uiPriority w:val="99"/>
    <w:rsid w:val="009C1DD1"/>
    <w:rPr>
      <w:lang w:eastAsia="en-US"/>
    </w:rPr>
  </w:style>
  <w:style w:type="character" w:styleId="FootnoteReference">
    <w:name w:val="footnote reference"/>
    <w:basedOn w:val="DefaultParagraphFont"/>
    <w:unhideWhenUsed/>
    <w:rsid w:val="009C1DD1"/>
    <w:rPr>
      <w:vertAlign w:val="superscript"/>
    </w:rPr>
  </w:style>
  <w:style w:type="paragraph" w:styleId="ListParagraph">
    <w:name w:val="List Paragraph"/>
    <w:basedOn w:val="Normal"/>
    <w:uiPriority w:val="34"/>
    <w:qFormat/>
    <w:rsid w:val="00753120"/>
    <w:pPr>
      <w:spacing w:before="0" w:after="0" w:line="240" w:lineRule="auto"/>
      <w:ind w:left="720"/>
    </w:pPr>
    <w:rPr>
      <w:rFonts w:ascii="Times New Roman" w:eastAsia="Times New Roman" w:hAnsi="Times New Roman"/>
      <w:sz w:val="24"/>
      <w:szCs w:val="20"/>
      <w:lang w:eastAsia="en-AU"/>
    </w:rPr>
  </w:style>
  <w:style w:type="paragraph" w:customStyle="1" w:styleId="Bullet1">
    <w:name w:val="Bullet 1"/>
    <w:basedOn w:val="Normal"/>
    <w:rsid w:val="002D0560"/>
    <w:pPr>
      <w:numPr>
        <w:numId w:val="21"/>
      </w:numPr>
      <w:spacing w:after="0" w:line="240" w:lineRule="auto"/>
    </w:pPr>
    <w:rPr>
      <w:rFonts w:eastAsia="Times New Roman"/>
      <w:kern w:val="24"/>
      <w:szCs w:val="24"/>
      <w:lang w:eastAsia="en-AU"/>
    </w:rPr>
  </w:style>
  <w:style w:type="paragraph" w:customStyle="1" w:styleId="Bullet2">
    <w:name w:val="Bullet 2"/>
    <w:basedOn w:val="Bullet1"/>
    <w:rsid w:val="002D0560"/>
    <w:pPr>
      <w:numPr>
        <w:numId w:val="22"/>
      </w:numPr>
    </w:pPr>
  </w:style>
</w:styles>
</file>

<file path=word/webSettings.xml><?xml version="1.0" encoding="utf-8"?>
<w:webSettings xmlns:r="http://schemas.openxmlformats.org/officeDocument/2006/relationships" xmlns:w="http://schemas.openxmlformats.org/wordprocessingml/2006/main">
  <w:divs>
    <w:div w:id="1880316408">
      <w:bodyDiv w:val="1"/>
      <w:marLeft w:val="0"/>
      <w:marRight w:val="0"/>
      <w:marTop w:val="0"/>
      <w:marBottom w:val="0"/>
      <w:divBdr>
        <w:top w:val="none" w:sz="0" w:space="0" w:color="auto"/>
        <w:left w:val="none" w:sz="0" w:space="0" w:color="auto"/>
        <w:bottom w:val="none" w:sz="0" w:space="0" w:color="auto"/>
        <w:right w:val="none" w:sz="0" w:space="0" w:color="auto"/>
      </w:divBdr>
      <w:divsChild>
        <w:div w:id="1043214659">
          <w:marLeft w:val="0"/>
          <w:marRight w:val="0"/>
          <w:marTop w:val="0"/>
          <w:marBottom w:val="0"/>
          <w:divBdr>
            <w:top w:val="none" w:sz="0" w:space="0" w:color="auto"/>
            <w:left w:val="none" w:sz="0" w:space="0" w:color="auto"/>
            <w:bottom w:val="none" w:sz="0" w:space="0" w:color="auto"/>
            <w:right w:val="none" w:sz="0" w:space="0" w:color="auto"/>
          </w:divBdr>
          <w:divsChild>
            <w:div w:id="1822189874">
              <w:marLeft w:val="0"/>
              <w:marRight w:val="0"/>
              <w:marTop w:val="0"/>
              <w:marBottom w:val="0"/>
              <w:divBdr>
                <w:top w:val="none" w:sz="0" w:space="0" w:color="auto"/>
                <w:left w:val="none" w:sz="0" w:space="0" w:color="auto"/>
                <w:bottom w:val="none" w:sz="0" w:space="0" w:color="auto"/>
                <w:right w:val="none" w:sz="0" w:space="0" w:color="auto"/>
              </w:divBdr>
              <w:divsChild>
                <w:div w:id="279457101">
                  <w:marLeft w:val="0"/>
                  <w:marRight w:val="0"/>
                  <w:marTop w:val="0"/>
                  <w:marBottom w:val="0"/>
                  <w:divBdr>
                    <w:top w:val="none" w:sz="0" w:space="0" w:color="auto"/>
                    <w:left w:val="none" w:sz="0" w:space="0" w:color="auto"/>
                    <w:bottom w:val="none" w:sz="0" w:space="0" w:color="auto"/>
                    <w:right w:val="none" w:sz="0" w:space="0" w:color="auto"/>
                  </w:divBdr>
                  <w:divsChild>
                    <w:div w:id="259290744">
                      <w:marLeft w:val="0"/>
                      <w:marRight w:val="0"/>
                      <w:marTop w:val="0"/>
                      <w:marBottom w:val="0"/>
                      <w:divBdr>
                        <w:top w:val="none" w:sz="0" w:space="0" w:color="auto"/>
                        <w:left w:val="none" w:sz="0" w:space="0" w:color="auto"/>
                        <w:bottom w:val="none" w:sz="0" w:space="0" w:color="auto"/>
                        <w:right w:val="none" w:sz="0" w:space="0" w:color="auto"/>
                      </w:divBdr>
                      <w:divsChild>
                        <w:div w:id="1241597657">
                          <w:marLeft w:val="0"/>
                          <w:marRight w:val="0"/>
                          <w:marTop w:val="0"/>
                          <w:marBottom w:val="0"/>
                          <w:divBdr>
                            <w:top w:val="none" w:sz="0" w:space="0" w:color="auto"/>
                            <w:left w:val="none" w:sz="0" w:space="0" w:color="auto"/>
                            <w:bottom w:val="none" w:sz="0" w:space="0" w:color="auto"/>
                            <w:right w:val="none" w:sz="0" w:space="0" w:color="auto"/>
                          </w:divBdr>
                          <w:divsChild>
                            <w:div w:id="1256860397">
                              <w:marLeft w:val="0"/>
                              <w:marRight w:val="0"/>
                              <w:marTop w:val="0"/>
                              <w:marBottom w:val="0"/>
                              <w:divBdr>
                                <w:top w:val="none" w:sz="0" w:space="0" w:color="auto"/>
                                <w:left w:val="none" w:sz="0" w:space="0" w:color="auto"/>
                                <w:bottom w:val="none" w:sz="0" w:space="0" w:color="auto"/>
                                <w:right w:val="none" w:sz="0" w:space="0" w:color="auto"/>
                              </w:divBdr>
                              <w:divsChild>
                                <w:div w:id="2031637428">
                                  <w:marLeft w:val="0"/>
                                  <w:marRight w:val="0"/>
                                  <w:marTop w:val="0"/>
                                  <w:marBottom w:val="0"/>
                                  <w:divBdr>
                                    <w:top w:val="none" w:sz="0" w:space="0" w:color="auto"/>
                                    <w:left w:val="none" w:sz="0" w:space="0" w:color="auto"/>
                                    <w:bottom w:val="none" w:sz="0" w:space="0" w:color="auto"/>
                                    <w:right w:val="none" w:sz="0" w:space="0" w:color="auto"/>
                                  </w:divBdr>
                                  <w:divsChild>
                                    <w:div w:id="332687317">
                                      <w:marLeft w:val="0"/>
                                      <w:marRight w:val="0"/>
                                      <w:marTop w:val="0"/>
                                      <w:marBottom w:val="0"/>
                                      <w:divBdr>
                                        <w:top w:val="none" w:sz="0" w:space="0" w:color="auto"/>
                                        <w:left w:val="none" w:sz="0" w:space="0" w:color="auto"/>
                                        <w:bottom w:val="none" w:sz="0" w:space="0" w:color="auto"/>
                                        <w:right w:val="none" w:sz="0" w:space="0" w:color="auto"/>
                                      </w:divBdr>
                                    </w:div>
                                    <w:div w:id="12432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3.jpeg"/><Relationship Id="rId22" Type="http://schemas.openxmlformats.org/officeDocument/2006/relationships/footer" Target="footer4.xml"/><Relationship Id="rId27"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hyperlink" Target="http://www.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8E171-9A35-4D31-9DD1-87E5240F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29</Pages>
  <Words>9902</Words>
  <Characters>56446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Australian public assessment for exenatide</vt:lpstr>
    </vt:vector>
  </TitlesOfParts>
  <Company>TGA</Company>
  <LinksUpToDate>false</LinksUpToDate>
  <CharactersWithSpaces>66216</CharactersWithSpaces>
  <SharedDoc>false</SharedDoc>
  <HLinks>
    <vt:vector size="168" baseType="variant">
      <vt:variant>
        <vt:i4>1835057</vt:i4>
      </vt:variant>
      <vt:variant>
        <vt:i4>152</vt:i4>
      </vt:variant>
      <vt:variant>
        <vt:i4>0</vt:i4>
      </vt:variant>
      <vt:variant>
        <vt:i4>5</vt:i4>
      </vt:variant>
      <vt:variant>
        <vt:lpwstr/>
      </vt:variant>
      <vt:variant>
        <vt:lpwstr>_Toc350862441</vt:lpwstr>
      </vt:variant>
      <vt:variant>
        <vt:i4>1835057</vt:i4>
      </vt:variant>
      <vt:variant>
        <vt:i4>146</vt:i4>
      </vt:variant>
      <vt:variant>
        <vt:i4>0</vt:i4>
      </vt:variant>
      <vt:variant>
        <vt:i4>5</vt:i4>
      </vt:variant>
      <vt:variant>
        <vt:lpwstr/>
      </vt:variant>
      <vt:variant>
        <vt:lpwstr>_Toc350862440</vt:lpwstr>
      </vt:variant>
      <vt:variant>
        <vt:i4>1769521</vt:i4>
      </vt:variant>
      <vt:variant>
        <vt:i4>140</vt:i4>
      </vt:variant>
      <vt:variant>
        <vt:i4>0</vt:i4>
      </vt:variant>
      <vt:variant>
        <vt:i4>5</vt:i4>
      </vt:variant>
      <vt:variant>
        <vt:lpwstr/>
      </vt:variant>
      <vt:variant>
        <vt:lpwstr>_Toc350862439</vt:lpwstr>
      </vt:variant>
      <vt:variant>
        <vt:i4>1769521</vt:i4>
      </vt:variant>
      <vt:variant>
        <vt:i4>134</vt:i4>
      </vt:variant>
      <vt:variant>
        <vt:i4>0</vt:i4>
      </vt:variant>
      <vt:variant>
        <vt:i4>5</vt:i4>
      </vt:variant>
      <vt:variant>
        <vt:lpwstr/>
      </vt:variant>
      <vt:variant>
        <vt:lpwstr>_Toc350862438</vt:lpwstr>
      </vt:variant>
      <vt:variant>
        <vt:i4>1769521</vt:i4>
      </vt:variant>
      <vt:variant>
        <vt:i4>128</vt:i4>
      </vt:variant>
      <vt:variant>
        <vt:i4>0</vt:i4>
      </vt:variant>
      <vt:variant>
        <vt:i4>5</vt:i4>
      </vt:variant>
      <vt:variant>
        <vt:lpwstr/>
      </vt:variant>
      <vt:variant>
        <vt:lpwstr>_Toc350862437</vt:lpwstr>
      </vt:variant>
      <vt:variant>
        <vt:i4>1769521</vt:i4>
      </vt:variant>
      <vt:variant>
        <vt:i4>122</vt:i4>
      </vt:variant>
      <vt:variant>
        <vt:i4>0</vt:i4>
      </vt:variant>
      <vt:variant>
        <vt:i4>5</vt:i4>
      </vt:variant>
      <vt:variant>
        <vt:lpwstr/>
      </vt:variant>
      <vt:variant>
        <vt:lpwstr>_Toc350862436</vt:lpwstr>
      </vt:variant>
      <vt:variant>
        <vt:i4>1769521</vt:i4>
      </vt:variant>
      <vt:variant>
        <vt:i4>116</vt:i4>
      </vt:variant>
      <vt:variant>
        <vt:i4>0</vt:i4>
      </vt:variant>
      <vt:variant>
        <vt:i4>5</vt:i4>
      </vt:variant>
      <vt:variant>
        <vt:lpwstr/>
      </vt:variant>
      <vt:variant>
        <vt:lpwstr>_Toc350862435</vt:lpwstr>
      </vt:variant>
      <vt:variant>
        <vt:i4>1769521</vt:i4>
      </vt:variant>
      <vt:variant>
        <vt:i4>110</vt:i4>
      </vt:variant>
      <vt:variant>
        <vt:i4>0</vt:i4>
      </vt:variant>
      <vt:variant>
        <vt:i4>5</vt:i4>
      </vt:variant>
      <vt:variant>
        <vt:lpwstr/>
      </vt:variant>
      <vt:variant>
        <vt:lpwstr>_Toc350862434</vt:lpwstr>
      </vt:variant>
      <vt:variant>
        <vt:i4>1769521</vt:i4>
      </vt:variant>
      <vt:variant>
        <vt:i4>104</vt:i4>
      </vt:variant>
      <vt:variant>
        <vt:i4>0</vt:i4>
      </vt:variant>
      <vt:variant>
        <vt:i4>5</vt:i4>
      </vt:variant>
      <vt:variant>
        <vt:lpwstr/>
      </vt:variant>
      <vt:variant>
        <vt:lpwstr>_Toc350862433</vt:lpwstr>
      </vt:variant>
      <vt:variant>
        <vt:i4>1769521</vt:i4>
      </vt:variant>
      <vt:variant>
        <vt:i4>98</vt:i4>
      </vt:variant>
      <vt:variant>
        <vt:i4>0</vt:i4>
      </vt:variant>
      <vt:variant>
        <vt:i4>5</vt:i4>
      </vt:variant>
      <vt:variant>
        <vt:lpwstr/>
      </vt:variant>
      <vt:variant>
        <vt:lpwstr>_Toc350862432</vt:lpwstr>
      </vt:variant>
      <vt:variant>
        <vt:i4>1769521</vt:i4>
      </vt:variant>
      <vt:variant>
        <vt:i4>92</vt:i4>
      </vt:variant>
      <vt:variant>
        <vt:i4>0</vt:i4>
      </vt:variant>
      <vt:variant>
        <vt:i4>5</vt:i4>
      </vt:variant>
      <vt:variant>
        <vt:lpwstr/>
      </vt:variant>
      <vt:variant>
        <vt:lpwstr>_Toc350862431</vt:lpwstr>
      </vt:variant>
      <vt:variant>
        <vt:i4>1769521</vt:i4>
      </vt:variant>
      <vt:variant>
        <vt:i4>86</vt:i4>
      </vt:variant>
      <vt:variant>
        <vt:i4>0</vt:i4>
      </vt:variant>
      <vt:variant>
        <vt:i4>5</vt:i4>
      </vt:variant>
      <vt:variant>
        <vt:lpwstr/>
      </vt:variant>
      <vt:variant>
        <vt:lpwstr>_Toc350862430</vt:lpwstr>
      </vt:variant>
      <vt:variant>
        <vt:i4>1703985</vt:i4>
      </vt:variant>
      <vt:variant>
        <vt:i4>80</vt:i4>
      </vt:variant>
      <vt:variant>
        <vt:i4>0</vt:i4>
      </vt:variant>
      <vt:variant>
        <vt:i4>5</vt:i4>
      </vt:variant>
      <vt:variant>
        <vt:lpwstr/>
      </vt:variant>
      <vt:variant>
        <vt:lpwstr>_Toc350862429</vt:lpwstr>
      </vt:variant>
      <vt:variant>
        <vt:i4>1703985</vt:i4>
      </vt:variant>
      <vt:variant>
        <vt:i4>74</vt:i4>
      </vt:variant>
      <vt:variant>
        <vt:i4>0</vt:i4>
      </vt:variant>
      <vt:variant>
        <vt:i4>5</vt:i4>
      </vt:variant>
      <vt:variant>
        <vt:lpwstr/>
      </vt:variant>
      <vt:variant>
        <vt:lpwstr>_Toc350862428</vt:lpwstr>
      </vt:variant>
      <vt:variant>
        <vt:i4>1703985</vt:i4>
      </vt:variant>
      <vt:variant>
        <vt:i4>68</vt:i4>
      </vt:variant>
      <vt:variant>
        <vt:i4>0</vt:i4>
      </vt:variant>
      <vt:variant>
        <vt:i4>5</vt:i4>
      </vt:variant>
      <vt:variant>
        <vt:lpwstr/>
      </vt:variant>
      <vt:variant>
        <vt:lpwstr>_Toc350862427</vt:lpwstr>
      </vt:variant>
      <vt:variant>
        <vt:i4>1703985</vt:i4>
      </vt:variant>
      <vt:variant>
        <vt:i4>62</vt:i4>
      </vt:variant>
      <vt:variant>
        <vt:i4>0</vt:i4>
      </vt:variant>
      <vt:variant>
        <vt:i4>5</vt:i4>
      </vt:variant>
      <vt:variant>
        <vt:lpwstr/>
      </vt:variant>
      <vt:variant>
        <vt:lpwstr>_Toc350862426</vt:lpwstr>
      </vt:variant>
      <vt:variant>
        <vt:i4>1703985</vt:i4>
      </vt:variant>
      <vt:variant>
        <vt:i4>56</vt:i4>
      </vt:variant>
      <vt:variant>
        <vt:i4>0</vt:i4>
      </vt:variant>
      <vt:variant>
        <vt:i4>5</vt:i4>
      </vt:variant>
      <vt:variant>
        <vt:lpwstr/>
      </vt:variant>
      <vt:variant>
        <vt:lpwstr>_Toc350862425</vt:lpwstr>
      </vt:variant>
      <vt:variant>
        <vt:i4>1703985</vt:i4>
      </vt:variant>
      <vt:variant>
        <vt:i4>50</vt:i4>
      </vt:variant>
      <vt:variant>
        <vt:i4>0</vt:i4>
      </vt:variant>
      <vt:variant>
        <vt:i4>5</vt:i4>
      </vt:variant>
      <vt:variant>
        <vt:lpwstr/>
      </vt:variant>
      <vt:variant>
        <vt:lpwstr>_Toc350862424</vt:lpwstr>
      </vt:variant>
      <vt:variant>
        <vt:i4>1703985</vt:i4>
      </vt:variant>
      <vt:variant>
        <vt:i4>44</vt:i4>
      </vt:variant>
      <vt:variant>
        <vt:i4>0</vt:i4>
      </vt:variant>
      <vt:variant>
        <vt:i4>5</vt:i4>
      </vt:variant>
      <vt:variant>
        <vt:lpwstr/>
      </vt:variant>
      <vt:variant>
        <vt:lpwstr>_Toc350862423</vt:lpwstr>
      </vt:variant>
      <vt:variant>
        <vt:i4>1703985</vt:i4>
      </vt:variant>
      <vt:variant>
        <vt:i4>38</vt:i4>
      </vt:variant>
      <vt:variant>
        <vt:i4>0</vt:i4>
      </vt:variant>
      <vt:variant>
        <vt:i4>5</vt:i4>
      </vt:variant>
      <vt:variant>
        <vt:lpwstr/>
      </vt:variant>
      <vt:variant>
        <vt:lpwstr>_Toc350862422</vt:lpwstr>
      </vt:variant>
      <vt:variant>
        <vt:i4>1703985</vt:i4>
      </vt:variant>
      <vt:variant>
        <vt:i4>32</vt:i4>
      </vt:variant>
      <vt:variant>
        <vt:i4>0</vt:i4>
      </vt:variant>
      <vt:variant>
        <vt:i4>5</vt:i4>
      </vt:variant>
      <vt:variant>
        <vt:lpwstr/>
      </vt:variant>
      <vt:variant>
        <vt:lpwstr>_Toc350862421</vt:lpwstr>
      </vt:variant>
      <vt:variant>
        <vt:i4>1703985</vt:i4>
      </vt:variant>
      <vt:variant>
        <vt:i4>26</vt:i4>
      </vt:variant>
      <vt:variant>
        <vt:i4>0</vt:i4>
      </vt:variant>
      <vt:variant>
        <vt:i4>5</vt:i4>
      </vt:variant>
      <vt:variant>
        <vt:lpwstr/>
      </vt:variant>
      <vt:variant>
        <vt:lpwstr>_Toc350862420</vt:lpwstr>
      </vt:variant>
      <vt:variant>
        <vt:i4>1638449</vt:i4>
      </vt:variant>
      <vt:variant>
        <vt:i4>20</vt:i4>
      </vt:variant>
      <vt:variant>
        <vt:i4>0</vt:i4>
      </vt:variant>
      <vt:variant>
        <vt:i4>5</vt:i4>
      </vt:variant>
      <vt:variant>
        <vt:lpwstr/>
      </vt:variant>
      <vt:variant>
        <vt:lpwstr>_Toc350862419</vt:lpwstr>
      </vt:variant>
      <vt:variant>
        <vt:i4>1638449</vt:i4>
      </vt:variant>
      <vt:variant>
        <vt:i4>14</vt:i4>
      </vt:variant>
      <vt:variant>
        <vt:i4>0</vt:i4>
      </vt:variant>
      <vt:variant>
        <vt:i4>5</vt:i4>
      </vt:variant>
      <vt:variant>
        <vt:lpwstr/>
      </vt:variant>
      <vt:variant>
        <vt:lpwstr>_Toc350862418</vt:lpwstr>
      </vt:variant>
      <vt:variant>
        <vt:i4>1638449</vt:i4>
      </vt:variant>
      <vt:variant>
        <vt:i4>8</vt:i4>
      </vt:variant>
      <vt:variant>
        <vt:i4>0</vt:i4>
      </vt:variant>
      <vt:variant>
        <vt:i4>5</vt:i4>
      </vt:variant>
      <vt:variant>
        <vt:lpwstr/>
      </vt:variant>
      <vt:variant>
        <vt:lpwstr>_Toc350862417</vt:lpwstr>
      </vt:variant>
      <vt:variant>
        <vt:i4>6291548</vt:i4>
      </vt:variant>
      <vt:variant>
        <vt:i4>3</vt:i4>
      </vt:variant>
      <vt:variant>
        <vt:i4>0</vt:i4>
      </vt:variant>
      <vt:variant>
        <vt:i4>5</vt:i4>
      </vt:variant>
      <vt:variant>
        <vt:lpwstr>mailto:tga.copyright@tga.gov.au</vt:lpwstr>
      </vt:variant>
      <vt:variant>
        <vt:lpwstr/>
      </vt:variant>
      <vt:variant>
        <vt:i4>6357037</vt:i4>
      </vt:variant>
      <vt:variant>
        <vt:i4>0</vt:i4>
      </vt:variant>
      <vt:variant>
        <vt:i4>0</vt:i4>
      </vt:variant>
      <vt:variant>
        <vt:i4>5</vt:i4>
      </vt:variant>
      <vt:variant>
        <vt:lpwstr>http://www.tga.gov.au/</vt:lpwstr>
      </vt:variant>
      <vt:variant>
        <vt:lpwstr/>
      </vt:variant>
      <vt:variant>
        <vt:i4>6357037</vt:i4>
      </vt:variant>
      <vt:variant>
        <vt:i4>15</vt:i4>
      </vt:variant>
      <vt:variant>
        <vt:i4>0</vt:i4>
      </vt:variant>
      <vt:variant>
        <vt:i4>5</vt:i4>
      </vt:variant>
      <vt:variant>
        <vt:lpwstr>http://www.tga.gov.au/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exenatide</dc:title>
  <dc:subject>prescription medicine regulation</dc:subject>
  <dc:creator>Therapeutic Goods Administration</dc:creator>
  <cp:keywords>auspar, prescription, medicine, assessment, regulation, australia, exenatide, byetta</cp:keywords>
  <cp:lastModifiedBy>Sheppard, Fran</cp:lastModifiedBy>
  <cp:revision>19</cp:revision>
  <cp:lastPrinted>2010-12-20T21:59:00Z</cp:lastPrinted>
  <dcterms:created xsi:type="dcterms:W3CDTF">2013-07-10T03:06:00Z</dcterms:created>
  <dcterms:modified xsi:type="dcterms:W3CDTF">2013-07-11T00:48:00Z</dcterms:modified>
</cp:coreProperties>
</file>