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F8214FB" w14:textId="77777777" w:rsidR="00692CDE" w:rsidRDefault="00692CDE" w:rsidP="00692CDE">
      <w:pPr>
        <w:pStyle w:val="PI-MainHeader"/>
        <w:jc w:val="center"/>
        <w:rPr>
          <w:sz w:val="24"/>
          <w:szCs w:val="24"/>
        </w:rPr>
      </w:pPr>
      <w:proofErr w:type="spellStart"/>
      <w:r w:rsidRPr="00211159">
        <w:rPr>
          <w:sz w:val="24"/>
          <w:szCs w:val="24"/>
        </w:rPr>
        <w:t>Repatha</w:t>
      </w:r>
      <w:proofErr w:type="spellEnd"/>
      <w:r w:rsidRPr="00692CDE">
        <w:rPr>
          <w:vertAlign w:val="superscript"/>
        </w:rPr>
        <w:t>®</w:t>
      </w:r>
      <w:r w:rsidRPr="00211159">
        <w:rPr>
          <w:sz w:val="24"/>
          <w:szCs w:val="24"/>
        </w:rPr>
        <w:t xml:space="preserve"> (</w:t>
      </w:r>
      <w:proofErr w:type="spellStart"/>
      <w:r w:rsidRPr="00211159">
        <w:rPr>
          <w:sz w:val="24"/>
          <w:szCs w:val="24"/>
        </w:rPr>
        <w:t>evolocumab</w:t>
      </w:r>
      <w:proofErr w:type="spellEnd"/>
      <w:r w:rsidRPr="00211159">
        <w:rPr>
          <w:sz w:val="24"/>
          <w:szCs w:val="24"/>
        </w:rPr>
        <w:t>)</w:t>
      </w:r>
    </w:p>
    <w:p w14:paraId="2C6BA106" w14:textId="77777777" w:rsidR="007D3C6A" w:rsidRDefault="007D3C6A" w:rsidP="005B4DE4">
      <w:pPr>
        <w:pStyle w:val="PI-MainHeader"/>
      </w:pPr>
      <w:r>
        <w:t xml:space="preserve">NAME OF THE </w:t>
      </w:r>
      <w:r w:rsidR="002D130D">
        <w:t>MEDICINE</w:t>
      </w:r>
    </w:p>
    <w:p w14:paraId="380D33BA" w14:textId="77777777" w:rsidR="00F03B6C" w:rsidRDefault="002B68B8" w:rsidP="00F03B6C">
      <w:pPr>
        <w:pStyle w:val="Text"/>
        <w:rPr>
          <w:rFonts w:cs="Arial"/>
          <w:szCs w:val="22"/>
          <w:lang w:eastAsia="en-AU"/>
        </w:rPr>
      </w:pPr>
      <w:r>
        <w:rPr>
          <w:rFonts w:cs="Arial"/>
          <w:szCs w:val="22"/>
          <w:lang w:eastAsia="en-AU"/>
        </w:rPr>
        <w:t>Repatha</w:t>
      </w:r>
      <w:r w:rsidR="008E6084">
        <w:rPr>
          <w:rFonts w:cs="Arial"/>
          <w:szCs w:val="22"/>
          <w:lang w:eastAsia="en-AU"/>
        </w:rPr>
        <w:t xml:space="preserve"> is the Amgen Inc. trademark for </w:t>
      </w:r>
      <w:r w:rsidR="00F10D81">
        <w:rPr>
          <w:rFonts w:cs="Arial"/>
          <w:szCs w:val="22"/>
          <w:lang w:eastAsia="en-AU"/>
        </w:rPr>
        <w:t>evo</w:t>
      </w:r>
      <w:r w:rsidR="00A314B6">
        <w:rPr>
          <w:rFonts w:cs="Arial"/>
          <w:szCs w:val="22"/>
          <w:lang w:eastAsia="en-AU"/>
        </w:rPr>
        <w:t>lo</w:t>
      </w:r>
      <w:r w:rsidR="00F10D81">
        <w:rPr>
          <w:rFonts w:cs="Arial"/>
          <w:szCs w:val="22"/>
          <w:lang w:eastAsia="en-AU"/>
        </w:rPr>
        <w:t>cumab</w:t>
      </w:r>
      <w:r w:rsidR="008E6084">
        <w:rPr>
          <w:rFonts w:cs="Arial"/>
          <w:szCs w:val="22"/>
          <w:lang w:eastAsia="en-AU"/>
        </w:rPr>
        <w:t xml:space="preserve"> (rch)</w:t>
      </w:r>
      <w:bookmarkStart w:id="0" w:name="_Ref352158556"/>
      <w:bookmarkStart w:id="1" w:name="_Ref352135661"/>
    </w:p>
    <w:p w14:paraId="6D864A86" w14:textId="77777777" w:rsidR="00F03B6C" w:rsidRPr="005B4DE4" w:rsidRDefault="00F03B6C" w:rsidP="00A9075D">
      <w:pPr>
        <w:pStyle w:val="TableCenterAlign"/>
      </w:pPr>
      <w:r w:rsidRPr="005B4DE4">
        <w:rPr>
          <w:b/>
        </w:rPr>
        <w:t xml:space="preserve">Figure </w:t>
      </w:r>
      <w:r w:rsidRPr="00A9075D">
        <w:rPr>
          <w:b/>
        </w:rPr>
        <w:fldChar w:fldCharType="begin"/>
      </w:r>
      <w:r w:rsidRPr="005B4DE4">
        <w:rPr>
          <w:b/>
        </w:rPr>
        <w:instrText xml:space="preserve"> SEQ Figure \* ARABIC </w:instrText>
      </w:r>
      <w:r w:rsidRPr="00A9075D">
        <w:rPr>
          <w:b/>
        </w:rPr>
        <w:fldChar w:fldCharType="separate"/>
      </w:r>
      <w:r w:rsidR="008C495D">
        <w:rPr>
          <w:b/>
          <w:noProof/>
        </w:rPr>
        <w:t>1</w:t>
      </w:r>
      <w:r w:rsidRPr="00A9075D">
        <w:rPr>
          <w:b/>
        </w:rPr>
        <w:fldChar w:fldCharType="end"/>
      </w:r>
      <w:bookmarkEnd w:id="0"/>
      <w:r w:rsidRPr="005B4DE4">
        <w:rPr>
          <w:b/>
        </w:rPr>
        <w:t xml:space="preserve">.  Schematic of </w:t>
      </w:r>
      <w:r w:rsidR="00BD6730" w:rsidRPr="005B4DE4">
        <w:rPr>
          <w:b/>
        </w:rPr>
        <w:t>Repatha</w:t>
      </w:r>
      <w:r w:rsidRPr="005B4DE4">
        <w:rPr>
          <w:b/>
        </w:rPr>
        <w:t xml:space="preserve"> Structure</w:t>
      </w:r>
      <w:bookmarkEnd w:id="1"/>
    </w:p>
    <w:p w14:paraId="53E5DC5B" w14:textId="393FFAD9" w:rsidR="00D10A4B" w:rsidRDefault="0005561A" w:rsidP="00763346">
      <w:pPr>
        <w:pStyle w:val="FootnoteText"/>
        <w:jc w:val="center"/>
      </w:pPr>
      <w:r w:rsidRPr="004F6F71">
        <w:rPr>
          <w:noProof/>
          <w:lang w:eastAsia="en-AU"/>
        </w:rPr>
        <w:drawing>
          <wp:inline distT="0" distB="0" distL="0" distR="0" wp14:anchorId="03A8A21C" wp14:editId="691CDFF4">
            <wp:extent cx="4107180" cy="2667000"/>
            <wp:effectExtent l="0" t="0" r="0" b="0"/>
            <wp:docPr id="1" name="Picture 1" descr="Figure 1.  Schematic of Repatha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7180" cy="2667000"/>
                    </a:xfrm>
                    <a:prstGeom prst="rect">
                      <a:avLst/>
                    </a:prstGeom>
                    <a:noFill/>
                    <a:ln>
                      <a:noFill/>
                    </a:ln>
                  </pic:spPr>
                </pic:pic>
              </a:graphicData>
            </a:graphic>
          </wp:inline>
        </w:drawing>
      </w:r>
    </w:p>
    <w:p w14:paraId="34437BA1" w14:textId="77777777" w:rsidR="00374625" w:rsidRDefault="00374625" w:rsidP="005B4DE4">
      <w:pPr>
        <w:pStyle w:val="FootnoteText"/>
      </w:pPr>
      <w:r>
        <w:t>V</w:t>
      </w:r>
      <w:r>
        <w:rPr>
          <w:vertAlign w:val="subscript"/>
        </w:rPr>
        <w:t>H</w:t>
      </w:r>
      <w:r>
        <w:t xml:space="preserve"> is the variable domain of the heavy chain</w:t>
      </w:r>
    </w:p>
    <w:p w14:paraId="1BEAB0E6" w14:textId="77777777" w:rsidR="00374625" w:rsidRDefault="00374625" w:rsidP="005B4DE4">
      <w:pPr>
        <w:pStyle w:val="FootnoteText"/>
      </w:pPr>
      <w:r>
        <w:t>C</w:t>
      </w:r>
      <w:r>
        <w:rPr>
          <w:vertAlign w:val="subscript"/>
        </w:rPr>
        <w:t>H</w:t>
      </w:r>
      <w:r>
        <w:t>1, C</w:t>
      </w:r>
      <w:r>
        <w:rPr>
          <w:vertAlign w:val="subscript"/>
        </w:rPr>
        <w:t>H</w:t>
      </w:r>
      <w:r>
        <w:t>2, and C</w:t>
      </w:r>
      <w:r>
        <w:rPr>
          <w:vertAlign w:val="subscript"/>
        </w:rPr>
        <w:t>H</w:t>
      </w:r>
      <w:r>
        <w:t>3 are the constant domains of the heavy chain</w:t>
      </w:r>
    </w:p>
    <w:p w14:paraId="15912021" w14:textId="77777777" w:rsidR="00374625" w:rsidRDefault="00374625" w:rsidP="005B4DE4">
      <w:pPr>
        <w:pStyle w:val="FootnoteText"/>
      </w:pPr>
      <w:r>
        <w:t>V</w:t>
      </w:r>
      <w:r>
        <w:rPr>
          <w:vertAlign w:val="subscript"/>
        </w:rPr>
        <w:t>L</w:t>
      </w:r>
      <w:r>
        <w:t xml:space="preserve"> is the variable domain of the light chain</w:t>
      </w:r>
    </w:p>
    <w:p w14:paraId="7B8A4AC8" w14:textId="77777777" w:rsidR="00374625" w:rsidRDefault="00374625" w:rsidP="005B4DE4">
      <w:pPr>
        <w:pStyle w:val="FootnoteText"/>
        <w:rPr>
          <w:rFonts w:cs="Arial"/>
        </w:rPr>
      </w:pPr>
      <w:r>
        <w:t>C</w:t>
      </w:r>
      <w:r>
        <w:rPr>
          <w:vertAlign w:val="subscript"/>
        </w:rPr>
        <w:t>L</w:t>
      </w:r>
      <w:r>
        <w:t xml:space="preserve"> is the constant </w:t>
      </w:r>
      <w:r w:rsidRPr="007E743F">
        <w:t>domain of the light chain</w:t>
      </w:r>
    </w:p>
    <w:p w14:paraId="0363CEB9" w14:textId="77777777" w:rsidR="007D3C6A" w:rsidRPr="005B4DE4" w:rsidRDefault="007D3C6A" w:rsidP="005B4DE4">
      <w:pPr>
        <w:pStyle w:val="PI-MainHeader"/>
      </w:pPr>
      <w:r w:rsidRPr="005B4DE4">
        <w:t>DESCRIPTION</w:t>
      </w:r>
    </w:p>
    <w:p w14:paraId="26FE509F" w14:textId="77777777" w:rsidR="00224FB1" w:rsidRPr="00F309DA" w:rsidRDefault="00DA265F" w:rsidP="00F309DA">
      <w:pPr>
        <w:pStyle w:val="PI-text"/>
      </w:pPr>
      <w:r w:rsidRPr="00F309DA">
        <w:t>Repatha</w:t>
      </w:r>
      <w:r w:rsidR="007C34F2" w:rsidRPr="00F309DA">
        <w:t xml:space="preserve"> is a </w:t>
      </w:r>
      <w:r w:rsidR="00B83E75" w:rsidRPr="00F309DA">
        <w:t xml:space="preserve">fully </w:t>
      </w:r>
      <w:r w:rsidR="007C34F2" w:rsidRPr="00F309DA">
        <w:t>human</w:t>
      </w:r>
      <w:r w:rsidRPr="00F309DA">
        <w:t xml:space="preserve"> immunoglobulin G2 (</w:t>
      </w:r>
      <w:r w:rsidR="007C34F2" w:rsidRPr="00F309DA">
        <w:t>IgG2</w:t>
      </w:r>
      <w:r w:rsidRPr="00F309DA">
        <w:t>)</w:t>
      </w:r>
      <w:r w:rsidR="007C34F2" w:rsidRPr="00F309DA">
        <w:t xml:space="preserve"> monoclonal antibody</w:t>
      </w:r>
      <w:r w:rsidR="008E6084" w:rsidRPr="00F309DA">
        <w:t xml:space="preserve"> with </w:t>
      </w:r>
      <w:r w:rsidR="007C34F2" w:rsidRPr="00F309DA">
        <w:t xml:space="preserve">high affinity binding to </w:t>
      </w:r>
      <w:proofErr w:type="spellStart"/>
      <w:r w:rsidR="007C34F2" w:rsidRPr="00F309DA">
        <w:t>Proprotein</w:t>
      </w:r>
      <w:proofErr w:type="spellEnd"/>
      <w:r w:rsidR="007C34F2" w:rsidRPr="00F309DA">
        <w:t xml:space="preserve"> Convertase </w:t>
      </w:r>
      <w:proofErr w:type="spellStart"/>
      <w:r w:rsidR="007C34F2" w:rsidRPr="00F309DA">
        <w:t>Subtilisin</w:t>
      </w:r>
      <w:proofErr w:type="spellEnd"/>
      <w:r w:rsidR="007C34F2" w:rsidRPr="00F309DA">
        <w:t>/</w:t>
      </w:r>
      <w:proofErr w:type="spellStart"/>
      <w:r w:rsidR="007C34F2" w:rsidRPr="00F309DA">
        <w:t>Kexin</w:t>
      </w:r>
      <w:proofErr w:type="spellEnd"/>
      <w:r w:rsidR="007C34F2" w:rsidRPr="00F309DA">
        <w:t xml:space="preserve"> Type 9 (PCSK9)</w:t>
      </w:r>
      <w:r w:rsidR="00224FB1" w:rsidRPr="00F309DA">
        <w:t xml:space="preserve">.  </w:t>
      </w:r>
      <w:r w:rsidRPr="00F309DA">
        <w:t>Repatha</w:t>
      </w:r>
      <w:r w:rsidR="008E6084" w:rsidRPr="00F309DA">
        <w:t xml:space="preserve"> has an approximate molecular weight of 144 </w:t>
      </w:r>
      <w:proofErr w:type="spellStart"/>
      <w:r w:rsidR="008E6084" w:rsidRPr="00F309DA">
        <w:t>kDa</w:t>
      </w:r>
      <w:proofErr w:type="spellEnd"/>
      <w:r w:rsidR="008E6084" w:rsidRPr="00F309DA">
        <w:t xml:space="preserve"> and is </w:t>
      </w:r>
      <w:r w:rsidR="00224FB1" w:rsidRPr="00F309DA">
        <w:t xml:space="preserve">produced </w:t>
      </w:r>
      <w:r w:rsidRPr="00F309DA">
        <w:t>using recombinant DNA technology in</w:t>
      </w:r>
      <w:r w:rsidR="008E6084" w:rsidRPr="00F309DA">
        <w:t xml:space="preserve"> mammalian (</w:t>
      </w:r>
      <w:r w:rsidR="00224FB1" w:rsidRPr="00F309DA">
        <w:t>Chinese Hamster Ovary</w:t>
      </w:r>
      <w:r w:rsidR="008E6084" w:rsidRPr="00F309DA">
        <w:t>,</w:t>
      </w:r>
      <w:r w:rsidR="00224FB1" w:rsidRPr="00F309DA">
        <w:t xml:space="preserve"> CHO) cells</w:t>
      </w:r>
      <w:r w:rsidR="007C34F2" w:rsidRPr="00F309DA">
        <w:t>.</w:t>
      </w:r>
    </w:p>
    <w:p w14:paraId="0567AD32" w14:textId="77777777" w:rsidR="007D3C6A" w:rsidRPr="00F309DA" w:rsidRDefault="00DA265F" w:rsidP="00F309DA">
      <w:pPr>
        <w:pStyle w:val="PI-text"/>
      </w:pPr>
      <w:r w:rsidRPr="00F309DA">
        <w:t>Repatha</w:t>
      </w:r>
      <w:r w:rsidR="00A70696" w:rsidRPr="00F309DA">
        <w:t xml:space="preserve"> is a </w:t>
      </w:r>
      <w:r w:rsidR="007D3C6A" w:rsidRPr="00F309DA">
        <w:t xml:space="preserve">sterile, </w:t>
      </w:r>
      <w:r w:rsidR="00214C24" w:rsidRPr="00F309DA">
        <w:t>preservative-free</w:t>
      </w:r>
      <w:r w:rsidR="00672CD6" w:rsidRPr="00F309DA">
        <w:t xml:space="preserve"> solution</w:t>
      </w:r>
      <w:r w:rsidR="00214C24" w:rsidRPr="00F309DA">
        <w:t>, clear to opalescent; colo</w:t>
      </w:r>
      <w:r w:rsidR="001647F4" w:rsidRPr="00F309DA">
        <w:t>u</w:t>
      </w:r>
      <w:r w:rsidR="00214C24" w:rsidRPr="00F309DA">
        <w:t>rless to yellowish solution</w:t>
      </w:r>
      <w:r w:rsidR="008E6084" w:rsidRPr="00F309DA">
        <w:t xml:space="preserve"> for injection</w:t>
      </w:r>
      <w:r w:rsidR="00214C24" w:rsidRPr="00F309DA">
        <w:t>, practically free from particles</w:t>
      </w:r>
      <w:r w:rsidR="007D3C6A" w:rsidRPr="00F309DA">
        <w:t xml:space="preserve">. </w:t>
      </w:r>
      <w:r w:rsidR="006720C4">
        <w:t xml:space="preserve"> </w:t>
      </w:r>
      <w:r w:rsidRPr="00F309DA">
        <w:t>Repatha</w:t>
      </w:r>
      <w:r w:rsidR="00214C24" w:rsidRPr="00F309DA">
        <w:t xml:space="preserve"> </w:t>
      </w:r>
      <w:r w:rsidR="007D3C6A" w:rsidRPr="00F309DA">
        <w:t xml:space="preserve">is formulated </w:t>
      </w:r>
      <w:r w:rsidR="0001154C" w:rsidRPr="00F309DA">
        <w:t xml:space="preserve">from </w:t>
      </w:r>
      <w:r w:rsidR="00374625" w:rsidRPr="00F309DA">
        <w:t>p</w:t>
      </w:r>
      <w:r w:rsidR="00214C24" w:rsidRPr="00F309DA">
        <w:t xml:space="preserve">roline, </w:t>
      </w:r>
      <w:r w:rsidR="00374625" w:rsidRPr="00F309DA">
        <w:t>g</w:t>
      </w:r>
      <w:r w:rsidR="00214C24" w:rsidRPr="00F309DA">
        <w:t xml:space="preserve">lacial acetic acid, </w:t>
      </w:r>
      <w:r w:rsidR="00374625" w:rsidRPr="00F309DA">
        <w:t>p</w:t>
      </w:r>
      <w:r w:rsidR="00214C24" w:rsidRPr="00F309DA">
        <w:t xml:space="preserve">olysorbate 80, </w:t>
      </w:r>
      <w:r w:rsidR="00374625" w:rsidRPr="00F309DA">
        <w:t>w</w:t>
      </w:r>
      <w:r w:rsidR="00214C24" w:rsidRPr="00F309DA">
        <w:t xml:space="preserve">ater for </w:t>
      </w:r>
      <w:r w:rsidR="00374625" w:rsidRPr="00F309DA">
        <w:t>i</w:t>
      </w:r>
      <w:r w:rsidR="00214C24" w:rsidRPr="00F309DA">
        <w:t xml:space="preserve">njection and </w:t>
      </w:r>
      <w:r w:rsidR="00374625" w:rsidRPr="00F309DA">
        <w:t>s</w:t>
      </w:r>
      <w:r w:rsidR="00214C24" w:rsidRPr="00F309DA">
        <w:t>odium hydroxide</w:t>
      </w:r>
      <w:r w:rsidR="0001361D" w:rsidRPr="00F309DA">
        <w:t>.</w:t>
      </w:r>
    </w:p>
    <w:p w14:paraId="756C0AF0" w14:textId="77777777" w:rsidR="007D3C6A" w:rsidRDefault="007D3C6A" w:rsidP="005B4DE4">
      <w:pPr>
        <w:pStyle w:val="PI-MainHeader"/>
      </w:pPr>
      <w:r>
        <w:t>PHARMACOLOGY</w:t>
      </w:r>
    </w:p>
    <w:p w14:paraId="4CEC86BB" w14:textId="77777777" w:rsidR="00E6628F" w:rsidRPr="005B4DE4" w:rsidRDefault="00E6628F" w:rsidP="005B4DE4">
      <w:pPr>
        <w:pStyle w:val="PI-UnderlinedSubHeader"/>
      </w:pPr>
      <w:r w:rsidRPr="005B4DE4">
        <w:t>Mechanism of action</w:t>
      </w:r>
    </w:p>
    <w:p w14:paraId="28F9A35B" w14:textId="77777777" w:rsidR="00FF7AFE" w:rsidRPr="005B4DE4" w:rsidRDefault="00DA265F" w:rsidP="00F309DA">
      <w:pPr>
        <w:pStyle w:val="PI-text"/>
      </w:pPr>
      <w:r w:rsidRPr="005B4DE4">
        <w:t>Repatha</w:t>
      </w:r>
      <w:r w:rsidR="00E6628F" w:rsidRPr="005B4DE4">
        <w:t xml:space="preserve"> </w:t>
      </w:r>
      <w:r w:rsidR="00FF7AFE" w:rsidRPr="005B4DE4">
        <w:t xml:space="preserve">binds selectively and with high affinity to PCSK9 and </w:t>
      </w:r>
      <w:r w:rsidR="001647F4" w:rsidRPr="005B4DE4">
        <w:t>inhibi</w:t>
      </w:r>
      <w:r w:rsidR="00FF7AFE" w:rsidRPr="005B4DE4">
        <w:t xml:space="preserve">ts circulating PCSK9 from binding to the </w:t>
      </w:r>
      <w:r w:rsidR="001647F4" w:rsidRPr="005B4DE4">
        <w:t xml:space="preserve">low density lipoprotein </w:t>
      </w:r>
      <w:r w:rsidR="00FF7AFE" w:rsidRPr="005B4DE4">
        <w:t>receptor (LDLR) on the liver cell surface, thus preventing PCSK9-mediated LDLR degradation.</w:t>
      </w:r>
      <w:r w:rsidR="009B07BF">
        <w:t xml:space="preserve"> </w:t>
      </w:r>
      <w:r w:rsidR="00FF7AFE" w:rsidRPr="005B4DE4">
        <w:t xml:space="preserve"> </w:t>
      </w:r>
      <w:r w:rsidR="001647F4" w:rsidRPr="005B4DE4">
        <w:t xml:space="preserve">Increasing liver LDLR levels results in associated reductions in serum </w:t>
      </w:r>
      <w:r w:rsidR="00314187" w:rsidRPr="005B4DE4">
        <w:t>low density lipoprotein</w:t>
      </w:r>
      <w:r w:rsidR="001647F4" w:rsidRPr="005B4DE4">
        <w:t xml:space="preserve">-cholesterol (LDL-C). </w:t>
      </w:r>
    </w:p>
    <w:p w14:paraId="0BFC915C" w14:textId="77777777" w:rsidR="005E1C80" w:rsidRDefault="005E1C80" w:rsidP="00F309DA">
      <w:pPr>
        <w:pStyle w:val="PI-UnderlinedSubHeader"/>
        <w:rPr>
          <w:snapToGrid w:val="0"/>
        </w:rPr>
      </w:pPr>
      <w:r>
        <w:t>Pharmacodynamics</w:t>
      </w:r>
    </w:p>
    <w:p w14:paraId="73612BD8" w14:textId="77777777" w:rsidR="00AB20B6" w:rsidRPr="00AB20B6" w:rsidRDefault="00AB20B6" w:rsidP="00F309DA">
      <w:pPr>
        <w:pStyle w:val="PI-text"/>
      </w:pPr>
      <w:r w:rsidRPr="00AB20B6">
        <w:t>Clinical studies have demonstrated that elevated levels of total cholesterol</w:t>
      </w:r>
      <w:r w:rsidR="00314187">
        <w:t xml:space="preserve"> (TC)</w:t>
      </w:r>
      <w:r w:rsidRPr="00AB20B6">
        <w:t xml:space="preserve">, </w:t>
      </w:r>
      <w:r w:rsidR="00314187">
        <w:t>non-high density lipoprotein cholesterol (</w:t>
      </w:r>
      <w:r w:rsidRPr="00AB20B6">
        <w:t>non-HDL-C</w:t>
      </w:r>
      <w:r w:rsidR="00314187">
        <w:t>)</w:t>
      </w:r>
      <w:r w:rsidRPr="00AB20B6">
        <w:t xml:space="preserve">, LDL-C and </w:t>
      </w:r>
      <w:r w:rsidR="00314187">
        <w:t>apolipoprotein B (</w:t>
      </w:r>
      <w:proofErr w:type="spellStart"/>
      <w:r w:rsidRPr="00AB20B6">
        <w:t>ApoB</w:t>
      </w:r>
      <w:proofErr w:type="spellEnd"/>
      <w:r w:rsidR="00314187">
        <w:t>)</w:t>
      </w:r>
      <w:r w:rsidRPr="00AB20B6">
        <w:t xml:space="preserve">, </w:t>
      </w:r>
      <w:r w:rsidRPr="00AB20B6">
        <w:lastRenderedPageBreak/>
        <w:t xml:space="preserve">the major protein constituent of LDL, promote human atherosclerosis. </w:t>
      </w:r>
      <w:r w:rsidR="009B07BF">
        <w:t xml:space="preserve"> </w:t>
      </w:r>
      <w:r w:rsidRPr="00AB20B6">
        <w:t xml:space="preserve">In addition, decreased levels of HDL-C are associated with the development of atherosclerosis. Epidemiologic studies have established that cardiovascular morbidity and mortality vary directly with the level of </w:t>
      </w:r>
      <w:r w:rsidR="00314187">
        <w:t>TC</w:t>
      </w:r>
      <w:r w:rsidRPr="00AB20B6">
        <w:t xml:space="preserve">, non-HDL-C, LDL-C, </w:t>
      </w:r>
      <w:proofErr w:type="spellStart"/>
      <w:r w:rsidRPr="00AB20B6">
        <w:t>ApoB</w:t>
      </w:r>
      <w:proofErr w:type="spellEnd"/>
      <w:r w:rsidRPr="00AB20B6">
        <w:t xml:space="preserve"> and </w:t>
      </w:r>
      <w:r w:rsidR="00314187">
        <w:t>lipoprotein(a) [</w:t>
      </w:r>
      <w:proofErr w:type="spellStart"/>
      <w:r w:rsidRPr="00AB20B6">
        <w:t>Lp</w:t>
      </w:r>
      <w:proofErr w:type="spellEnd"/>
      <w:r w:rsidRPr="00AB20B6">
        <w:t>(a)</w:t>
      </w:r>
      <w:r w:rsidR="00314187">
        <w:t>]</w:t>
      </w:r>
      <w:r w:rsidRPr="00AB20B6">
        <w:t xml:space="preserve">, and inversely with the level of HDL-C. Like LDL, cholesterol-enriched triglyceride-rich lipoproteins, including very-low density lipoproteins (VLDL), intermediate-density lipoproteins (IDL), and remnants, can also promote atherosclerosis. </w:t>
      </w:r>
      <w:r w:rsidR="009B07BF">
        <w:t xml:space="preserve"> </w:t>
      </w:r>
      <w:r w:rsidRPr="00AB20B6">
        <w:t>The independent effect of raising HDL-C or lowering triglycerides</w:t>
      </w:r>
      <w:r w:rsidR="00DC6124">
        <w:t xml:space="preserve"> (TG)</w:t>
      </w:r>
      <w:r w:rsidRPr="00AB20B6">
        <w:t xml:space="preserve"> or </w:t>
      </w:r>
      <w:proofErr w:type="spellStart"/>
      <w:r w:rsidRPr="00AB20B6">
        <w:t>Lp</w:t>
      </w:r>
      <w:proofErr w:type="spellEnd"/>
      <w:r w:rsidRPr="00AB20B6">
        <w:t>(a) on the risk of cardiovascular morbidity and mortality has not been determined.</w:t>
      </w:r>
    </w:p>
    <w:p w14:paraId="71DBEADD" w14:textId="574ABC76" w:rsidR="000A463A" w:rsidRDefault="00AB20B6" w:rsidP="00F309DA">
      <w:pPr>
        <w:pStyle w:val="PI-text"/>
      </w:pPr>
      <w:r w:rsidRPr="00AB20B6">
        <w:t xml:space="preserve">In clinical trials, </w:t>
      </w:r>
      <w:r w:rsidR="00460B68">
        <w:t xml:space="preserve">in patients with </w:t>
      </w:r>
      <w:r w:rsidR="0012487F">
        <w:t xml:space="preserve">primary </w:t>
      </w:r>
      <w:r w:rsidR="00460B68">
        <w:t>hypercholesterolaemia</w:t>
      </w:r>
      <w:r w:rsidR="006006CC">
        <w:t>,</w:t>
      </w:r>
      <w:r w:rsidR="00460B68">
        <w:t xml:space="preserve"> </w:t>
      </w:r>
      <w:r w:rsidR="00DC6124">
        <w:t xml:space="preserve">Repatha </w:t>
      </w:r>
      <w:r w:rsidRPr="00AB20B6">
        <w:t xml:space="preserve">reduced LDL-C, </w:t>
      </w:r>
      <w:r w:rsidR="00DC6124">
        <w:t>TC</w:t>
      </w:r>
      <w:r w:rsidRPr="00AB20B6">
        <w:t xml:space="preserve">, </w:t>
      </w:r>
      <w:proofErr w:type="spellStart"/>
      <w:r w:rsidRPr="00AB20B6">
        <w:t>ApoB</w:t>
      </w:r>
      <w:proofErr w:type="spellEnd"/>
      <w:r w:rsidRPr="00AB20B6">
        <w:t xml:space="preserve">, non-HDL-C, </w:t>
      </w:r>
      <w:r w:rsidR="00DC6124">
        <w:t xml:space="preserve">TC/HDL-C, </w:t>
      </w:r>
      <w:proofErr w:type="spellStart"/>
      <w:r w:rsidR="00DC6124">
        <w:t>ApoB</w:t>
      </w:r>
      <w:proofErr w:type="spellEnd"/>
      <w:r w:rsidR="00DC6124">
        <w:t xml:space="preserve">/apolipoprotein A1 (ApoA1), </w:t>
      </w:r>
      <w:r w:rsidRPr="00AB20B6">
        <w:t xml:space="preserve">VLDL-C, </w:t>
      </w:r>
      <w:r w:rsidR="00DC6124">
        <w:t>TG</w:t>
      </w:r>
      <w:r w:rsidRPr="00AB20B6">
        <w:t xml:space="preserve"> and </w:t>
      </w:r>
      <w:proofErr w:type="spellStart"/>
      <w:r w:rsidRPr="00AB20B6">
        <w:t>Lp</w:t>
      </w:r>
      <w:proofErr w:type="spellEnd"/>
      <w:r w:rsidRPr="00AB20B6">
        <w:t>(a), and increased HDL-C and ApoA1</w:t>
      </w:r>
      <w:r w:rsidR="00460B68">
        <w:t>.</w:t>
      </w:r>
    </w:p>
    <w:p w14:paraId="1CCE019F" w14:textId="77777777" w:rsidR="00AB20B6" w:rsidRPr="00AB20B6" w:rsidRDefault="00AB20B6" w:rsidP="00F309DA">
      <w:pPr>
        <w:pStyle w:val="PI-text"/>
      </w:pPr>
      <w:r w:rsidRPr="00AB20B6">
        <w:t xml:space="preserve">A single subcutaneous administration of </w:t>
      </w:r>
      <w:r w:rsidR="00FB25E7">
        <w:t xml:space="preserve">Repatha </w:t>
      </w:r>
      <w:r w:rsidRPr="00AB20B6">
        <w:t>140 mg or 420 mg resulted in maximum suppression of circulating unbound PCSK9 by 4 hours followed by a reduction in LDL-C reaching a mean nadir in response by 14 and 21 days, respectively.</w:t>
      </w:r>
      <w:r w:rsidR="009B07BF">
        <w:t xml:space="preserve"> </w:t>
      </w:r>
      <w:r w:rsidRPr="00AB20B6">
        <w:t xml:space="preserve"> Changes in unbound PCSK9 and serum lipoproteins were reversible upon discontinuation of </w:t>
      </w:r>
      <w:r w:rsidR="00FB25E7">
        <w:t>Repatha</w:t>
      </w:r>
      <w:r w:rsidRPr="00AB20B6">
        <w:t xml:space="preserve">. </w:t>
      </w:r>
      <w:r w:rsidR="009B07BF">
        <w:t xml:space="preserve"> </w:t>
      </w:r>
      <w:r w:rsidRPr="00AB20B6">
        <w:t xml:space="preserve">No increase in unbound PCSK9 or LDL-C above baseline was observed during the washout of </w:t>
      </w:r>
      <w:r w:rsidR="00F10D81">
        <w:t>evolocumab</w:t>
      </w:r>
      <w:r w:rsidRPr="00AB20B6">
        <w:t xml:space="preserve"> suggesting that compensatory mechanisms to increase production of PCSK9 and LDL-C do not occur during treatment.</w:t>
      </w:r>
    </w:p>
    <w:p w14:paraId="2620E271" w14:textId="32D6E6D6" w:rsidR="003D2EB5" w:rsidRPr="003D2EB5" w:rsidRDefault="003D2EB5" w:rsidP="00F309DA">
      <w:pPr>
        <w:pStyle w:val="PI-text"/>
      </w:pPr>
      <w:r w:rsidRPr="003D2EB5">
        <w:t>Based on dose-range finding studies, subcutaneous regimens of 140 mg every 2 weeks and 420 mg once monthly</w:t>
      </w:r>
      <w:r>
        <w:t xml:space="preserve"> </w:t>
      </w:r>
      <w:r w:rsidRPr="003D2EB5">
        <w:t xml:space="preserve">were identified as the optimal regimens to achieve maximal LDL-C </w:t>
      </w:r>
      <w:r w:rsidRPr="00110CE2">
        <w:t xml:space="preserve">lowering </w:t>
      </w:r>
      <w:r w:rsidR="008E4A94" w:rsidRPr="00110CE2">
        <w:t>(</w:t>
      </w:r>
      <w:r w:rsidR="00763346" w:rsidRPr="00110CE2">
        <w:fldChar w:fldCharType="begin"/>
      </w:r>
      <w:r w:rsidR="00763346" w:rsidRPr="00110CE2">
        <w:instrText xml:space="preserve"> REF _Ref395871991 \h  \* MERGEFORMAT </w:instrText>
      </w:r>
      <w:r w:rsidR="00763346" w:rsidRPr="00110CE2">
        <w:fldChar w:fldCharType="separate"/>
      </w:r>
      <w:r w:rsidR="008C495D" w:rsidRPr="008C495D">
        <w:t>Figure 2</w:t>
      </w:r>
      <w:r w:rsidR="00763346" w:rsidRPr="00110CE2">
        <w:fldChar w:fldCharType="end"/>
      </w:r>
      <w:r w:rsidR="008E4A94" w:rsidRPr="00110CE2">
        <w:t>)</w:t>
      </w:r>
      <w:r w:rsidR="008E4A94">
        <w:t xml:space="preserve"> </w:t>
      </w:r>
      <w:r w:rsidRPr="003D2EB5">
        <w:t>and were equivalent in average LDL-C</w:t>
      </w:r>
      <w:r>
        <w:t xml:space="preserve"> </w:t>
      </w:r>
      <w:r w:rsidRPr="003D2EB5">
        <w:t>lowering (</w:t>
      </w:r>
      <w:r w:rsidR="005014D4">
        <w:t>mean</w:t>
      </w:r>
      <w:r w:rsidRPr="003D2EB5">
        <w:t xml:space="preserve"> of weeks 10 and 12), resulting in -7</w:t>
      </w:r>
      <w:r w:rsidR="00687936">
        <w:t>2</w:t>
      </w:r>
      <w:r w:rsidRPr="003D2EB5">
        <w:t xml:space="preserve"> to -</w:t>
      </w:r>
      <w:r w:rsidR="00687936">
        <w:t>57</w:t>
      </w:r>
      <w:r w:rsidRPr="003D2EB5">
        <w:t>%</w:t>
      </w:r>
      <w:r>
        <w:t xml:space="preserve"> </w:t>
      </w:r>
      <w:r w:rsidRPr="003D2EB5">
        <w:t xml:space="preserve">from baseline compared to placebo. Treatment with </w:t>
      </w:r>
      <w:r w:rsidR="00687936">
        <w:t>Repatha</w:t>
      </w:r>
      <w:r w:rsidRPr="003D2EB5">
        <w:t xml:space="preserve"> resulted in similar reduction of LDL-C when used alone or in combination</w:t>
      </w:r>
      <w:r>
        <w:t xml:space="preserve"> </w:t>
      </w:r>
      <w:r w:rsidRPr="003D2EB5">
        <w:t>with other lipid lowering therapy.</w:t>
      </w:r>
      <w:r w:rsidR="009B07BF">
        <w:t xml:space="preserve"> </w:t>
      </w:r>
      <w:r w:rsidRPr="003D2EB5">
        <w:t xml:space="preserve"> The effect of LDL-C lowering is sustained.</w:t>
      </w:r>
    </w:p>
    <w:p w14:paraId="569BCCEF" w14:textId="77777777" w:rsidR="009160F4" w:rsidRDefault="003D2EB5" w:rsidP="00F309DA">
      <w:pPr>
        <w:pStyle w:val="PI-text"/>
      </w:pPr>
      <w:r w:rsidRPr="003D2EB5">
        <w:t xml:space="preserve">Doses of 140 mg </w:t>
      </w:r>
      <w:r w:rsidR="00687936">
        <w:t>subcutaneously</w:t>
      </w:r>
      <w:r w:rsidRPr="003D2EB5">
        <w:t xml:space="preserve"> every </w:t>
      </w:r>
      <w:r w:rsidR="00687936">
        <w:t>2</w:t>
      </w:r>
      <w:r w:rsidRPr="003D2EB5">
        <w:t xml:space="preserve"> weeks and 420 mg </w:t>
      </w:r>
      <w:r w:rsidR="00687936">
        <w:t>subcutaneously</w:t>
      </w:r>
      <w:r w:rsidRPr="003D2EB5">
        <w:t xml:space="preserve"> once monthly achieve approximately 80% of the theoretical</w:t>
      </w:r>
      <w:r>
        <w:t xml:space="preserve"> </w:t>
      </w:r>
      <w:r w:rsidRPr="003D2EB5">
        <w:t>maximal reduction in calculated LDL-C at the mean of weeks 10 and 12 based on exposure response models.</w:t>
      </w:r>
      <w:r w:rsidR="00687936">
        <w:t xml:space="preserve"> </w:t>
      </w:r>
      <w:r>
        <w:t xml:space="preserve"> </w:t>
      </w:r>
      <w:r w:rsidRPr="003D2EB5">
        <w:t>Intrinsic and extrinsic covariates, such as demographics, co-medications, lab</w:t>
      </w:r>
      <w:r w:rsidR="00687936">
        <w:t>oratory</w:t>
      </w:r>
      <w:r w:rsidRPr="003D2EB5">
        <w:t xml:space="preserve"> variables and disease states are not</w:t>
      </w:r>
      <w:r>
        <w:t xml:space="preserve"> </w:t>
      </w:r>
      <w:r w:rsidRPr="003D2EB5">
        <w:t>expected to modify LDL-C response</w:t>
      </w:r>
      <w:r w:rsidR="00F17BF5">
        <w:t xml:space="preserve"> </w:t>
      </w:r>
      <w:r w:rsidRPr="00F17BF5">
        <w:t>(</w:t>
      </w:r>
      <w:r w:rsidR="00F17BF5" w:rsidRPr="00F17BF5">
        <w:t xml:space="preserve">see </w:t>
      </w:r>
      <w:r w:rsidR="00687936" w:rsidRPr="00F17BF5">
        <w:rPr>
          <w:rStyle w:val="Heading1Char"/>
        </w:rPr>
        <w:t>DOSAGE AND ADMINISTRATION</w:t>
      </w:r>
      <w:r w:rsidRPr="00F17BF5">
        <w:t>).</w:t>
      </w:r>
    </w:p>
    <w:p w14:paraId="3211DC65" w14:textId="77777777" w:rsidR="00AB7468" w:rsidRPr="00F309DA" w:rsidRDefault="00763346" w:rsidP="00D36731">
      <w:pPr>
        <w:pStyle w:val="TableCenterAlign"/>
        <w:keepNext/>
      </w:pPr>
      <w:bookmarkStart w:id="2" w:name="_Ref395871991"/>
      <w:bookmarkStart w:id="3" w:name="_Ref485891909"/>
      <w:r w:rsidRPr="00F309DA">
        <w:rPr>
          <w:b/>
        </w:rPr>
        <w:lastRenderedPageBreak/>
        <w:t xml:space="preserve">Figure </w:t>
      </w:r>
      <w:r w:rsidRPr="00A97855">
        <w:rPr>
          <w:b/>
        </w:rPr>
        <w:fldChar w:fldCharType="begin"/>
      </w:r>
      <w:r w:rsidRPr="00F309DA">
        <w:rPr>
          <w:b/>
        </w:rPr>
        <w:instrText xml:space="preserve"> SEQ Figure \* ARABIC </w:instrText>
      </w:r>
      <w:r w:rsidRPr="00A97855">
        <w:rPr>
          <w:b/>
        </w:rPr>
        <w:fldChar w:fldCharType="separate"/>
      </w:r>
      <w:r w:rsidR="008C495D">
        <w:rPr>
          <w:b/>
          <w:noProof/>
        </w:rPr>
        <w:t>2</w:t>
      </w:r>
      <w:r w:rsidRPr="00A97855">
        <w:rPr>
          <w:b/>
        </w:rPr>
        <w:fldChar w:fldCharType="end"/>
      </w:r>
      <w:bookmarkEnd w:id="2"/>
      <w:bookmarkEnd w:id="3"/>
      <w:r w:rsidRPr="00F309DA">
        <w:rPr>
          <w:b/>
        </w:rPr>
        <w:t xml:space="preserve">.  </w:t>
      </w:r>
      <w:r w:rsidR="001516E2" w:rsidRPr="00F309DA">
        <w:rPr>
          <w:b/>
        </w:rPr>
        <w:t xml:space="preserve">Effect of </w:t>
      </w:r>
      <w:r w:rsidR="00A5337D" w:rsidRPr="00F309DA">
        <w:rPr>
          <w:b/>
        </w:rPr>
        <w:t xml:space="preserve">subcutaneous administration of </w:t>
      </w:r>
      <w:r w:rsidR="001516E2" w:rsidRPr="00F309DA">
        <w:rPr>
          <w:b/>
        </w:rPr>
        <w:t xml:space="preserve">Repatha </w:t>
      </w:r>
      <w:r w:rsidR="00AB7468" w:rsidRPr="00F309DA">
        <w:rPr>
          <w:b/>
        </w:rPr>
        <w:t xml:space="preserve">140 mg </w:t>
      </w:r>
      <w:r w:rsidR="001516E2" w:rsidRPr="00F309DA">
        <w:rPr>
          <w:b/>
        </w:rPr>
        <w:t>e</w:t>
      </w:r>
      <w:r w:rsidR="00AB7468" w:rsidRPr="00F309DA">
        <w:rPr>
          <w:b/>
        </w:rPr>
        <w:t xml:space="preserve">very 2 </w:t>
      </w:r>
      <w:r w:rsidR="003F0BBA" w:rsidRPr="00F309DA">
        <w:rPr>
          <w:b/>
        </w:rPr>
        <w:t>w</w:t>
      </w:r>
      <w:r w:rsidRPr="00F309DA">
        <w:rPr>
          <w:b/>
        </w:rPr>
        <w:t xml:space="preserve">eeks or </w:t>
      </w:r>
      <w:r w:rsidR="00AB7468" w:rsidRPr="00F309DA">
        <w:rPr>
          <w:b/>
        </w:rPr>
        <w:t xml:space="preserve">420 mg </w:t>
      </w:r>
      <w:r w:rsidR="003F0BBA" w:rsidRPr="00F309DA">
        <w:rPr>
          <w:b/>
        </w:rPr>
        <w:t>o</w:t>
      </w:r>
      <w:r w:rsidR="00AB7468" w:rsidRPr="00F309DA">
        <w:rPr>
          <w:b/>
        </w:rPr>
        <w:t xml:space="preserve">nce </w:t>
      </w:r>
      <w:r w:rsidR="003F0BBA" w:rsidRPr="00F309DA">
        <w:rPr>
          <w:b/>
        </w:rPr>
        <w:t>m</w:t>
      </w:r>
      <w:r w:rsidR="00AB7468" w:rsidRPr="00F309DA">
        <w:rPr>
          <w:b/>
        </w:rPr>
        <w:t>onthly</w:t>
      </w:r>
      <w:r w:rsidR="001516E2" w:rsidRPr="00F309DA">
        <w:rPr>
          <w:b/>
        </w:rPr>
        <w:t xml:space="preserve"> on LDL-C</w:t>
      </w:r>
    </w:p>
    <w:p w14:paraId="7240D3EC" w14:textId="7F9463AC" w:rsidR="001516E2" w:rsidRPr="00AB7468" w:rsidRDefault="0005561A" w:rsidP="00763346">
      <w:pPr>
        <w:jc w:val="center"/>
        <w:rPr>
          <w:b/>
        </w:rPr>
      </w:pPr>
      <w:r w:rsidRPr="004F6F71">
        <w:rPr>
          <w:b/>
          <w:noProof/>
          <w:lang w:eastAsia="en-AU"/>
        </w:rPr>
        <w:drawing>
          <wp:inline distT="0" distB="0" distL="0" distR="0" wp14:anchorId="775FCD95" wp14:editId="0BA11369">
            <wp:extent cx="5783580" cy="4472940"/>
            <wp:effectExtent l="0" t="0" r="7620" b="3810"/>
            <wp:docPr id="2" name="Picture 2" descr="Figure 2.  Effect of subcutaneous administration of Repatha 140 mg every 2 weeks or 420 mg once monthly on LD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3580" cy="4472940"/>
                    </a:xfrm>
                    <a:prstGeom prst="rect">
                      <a:avLst/>
                    </a:prstGeom>
                    <a:noFill/>
                    <a:ln>
                      <a:noFill/>
                    </a:ln>
                  </pic:spPr>
                </pic:pic>
              </a:graphicData>
            </a:graphic>
          </wp:inline>
        </w:drawing>
      </w:r>
    </w:p>
    <w:p w14:paraId="3C0EFEA5" w14:textId="77777777" w:rsidR="001516E2" w:rsidRPr="00AB20B6" w:rsidRDefault="001516E2" w:rsidP="00F309DA">
      <w:pPr>
        <w:pStyle w:val="FootnoteText"/>
      </w:pPr>
      <w:r>
        <w:rPr>
          <w:lang w:eastAsia="en-AU"/>
        </w:rPr>
        <w:t>Vertical lines represent median values of calculated LDL-C with 25th and 75th percentiles</w:t>
      </w:r>
      <w:r w:rsidR="00D5736C">
        <w:rPr>
          <w:lang w:eastAsia="en-AU"/>
        </w:rPr>
        <w:t>.</w:t>
      </w:r>
    </w:p>
    <w:p w14:paraId="264BC7CD" w14:textId="77777777" w:rsidR="001516E2" w:rsidRDefault="001516E2" w:rsidP="00AB7468">
      <w:pPr>
        <w:rPr>
          <w:b/>
        </w:rPr>
      </w:pPr>
    </w:p>
    <w:p w14:paraId="443CBE5E" w14:textId="77777777" w:rsidR="005D76B7" w:rsidRPr="008F62AB" w:rsidRDefault="005D76B7" w:rsidP="00F309DA">
      <w:pPr>
        <w:pStyle w:val="PI-UnderlinedSubHeader"/>
      </w:pPr>
      <w:r w:rsidRPr="00F90E98">
        <w:t>Pharmacokinetics</w:t>
      </w:r>
    </w:p>
    <w:p w14:paraId="695FED25" w14:textId="77777777" w:rsidR="0004193C" w:rsidRDefault="0004193C" w:rsidP="0004193C">
      <w:pPr>
        <w:pStyle w:val="PI-text"/>
      </w:pPr>
      <w:r>
        <w:t>Evolocumab</w:t>
      </w:r>
      <w:r w:rsidRPr="0030759F">
        <w:t xml:space="preserve"> exhibits non-linear kinetics as a result of binding to PCSK9. Administration of the 140 mg dose in healthy volunteers resulted in a </w:t>
      </w:r>
      <w:proofErr w:type="spellStart"/>
      <w:r w:rsidRPr="0030759F">
        <w:t>C</w:t>
      </w:r>
      <w:r w:rsidRPr="0004193C">
        <w:rPr>
          <w:vertAlign w:val="subscript"/>
        </w:rPr>
        <w:t>max</w:t>
      </w:r>
      <w:proofErr w:type="spellEnd"/>
      <w:r w:rsidRPr="0030759F">
        <w:t xml:space="preserve"> mean (standard deviation [SD]) of 18.6 (7.3) </w:t>
      </w:r>
      <w:proofErr w:type="spellStart"/>
      <w:r w:rsidRPr="0030759F">
        <w:t>μg</w:t>
      </w:r>
      <w:proofErr w:type="spellEnd"/>
      <w:r w:rsidRPr="0030759F">
        <w:t xml:space="preserve">/mL and </w:t>
      </w:r>
      <w:proofErr w:type="spellStart"/>
      <w:r w:rsidRPr="0030759F">
        <w:t>AUC</w:t>
      </w:r>
      <w:r w:rsidRPr="0004193C">
        <w:rPr>
          <w:vertAlign w:val="subscript"/>
        </w:rPr>
        <w:t>last</w:t>
      </w:r>
      <w:proofErr w:type="spellEnd"/>
      <w:r w:rsidRPr="0030759F">
        <w:t xml:space="preserve"> mean (SD) of 188 (98.6) </w:t>
      </w:r>
      <w:proofErr w:type="spellStart"/>
      <w:r w:rsidRPr="0030759F">
        <w:t>day•μg</w:t>
      </w:r>
      <w:proofErr w:type="spellEnd"/>
      <w:r w:rsidRPr="0030759F">
        <w:t>/</w:t>
      </w:r>
      <w:proofErr w:type="spellStart"/>
      <w:r w:rsidRPr="0030759F">
        <w:t>mL.</w:t>
      </w:r>
      <w:proofErr w:type="spellEnd"/>
      <w:r w:rsidRPr="0030759F">
        <w:t xml:space="preserve"> Administration of the 420 mg dose in healthy volunteers resulted in a </w:t>
      </w:r>
      <w:proofErr w:type="spellStart"/>
      <w:r w:rsidRPr="0030759F">
        <w:t>C</w:t>
      </w:r>
      <w:r w:rsidRPr="0004193C">
        <w:rPr>
          <w:vertAlign w:val="subscript"/>
        </w:rPr>
        <w:t>max</w:t>
      </w:r>
      <w:proofErr w:type="spellEnd"/>
      <w:r w:rsidRPr="0030759F">
        <w:t xml:space="preserve"> mean (SD) of 59.0 (17.2) </w:t>
      </w:r>
      <w:proofErr w:type="spellStart"/>
      <w:r w:rsidRPr="0030759F">
        <w:t>μg</w:t>
      </w:r>
      <w:proofErr w:type="spellEnd"/>
      <w:r w:rsidRPr="0030759F">
        <w:t xml:space="preserve">/mL and </w:t>
      </w:r>
      <w:proofErr w:type="spellStart"/>
      <w:r w:rsidRPr="0030759F">
        <w:t>AUC</w:t>
      </w:r>
      <w:r w:rsidRPr="0004193C">
        <w:rPr>
          <w:vertAlign w:val="subscript"/>
        </w:rPr>
        <w:t>last</w:t>
      </w:r>
      <w:proofErr w:type="spellEnd"/>
      <w:r w:rsidRPr="0004193C">
        <w:rPr>
          <w:vertAlign w:val="subscript"/>
        </w:rPr>
        <w:t xml:space="preserve"> </w:t>
      </w:r>
      <w:r w:rsidRPr="0030759F">
        <w:t xml:space="preserve">mean (SD) of 924 (346) </w:t>
      </w:r>
      <w:proofErr w:type="spellStart"/>
      <w:r w:rsidRPr="0030759F">
        <w:t>day•μg</w:t>
      </w:r>
      <w:proofErr w:type="spellEnd"/>
      <w:r w:rsidRPr="0030759F">
        <w:t>/</w:t>
      </w:r>
      <w:proofErr w:type="spellStart"/>
      <w:r w:rsidRPr="0030759F">
        <w:t>mL.</w:t>
      </w:r>
      <w:proofErr w:type="spellEnd"/>
      <w:r w:rsidRPr="0030759F">
        <w:t xml:space="preserve"> Following a single 420 mg intravenous dose</w:t>
      </w:r>
      <w:r>
        <w:t xml:space="preserve">, </w:t>
      </w:r>
      <w:r w:rsidRPr="0030759F">
        <w:t>the mean (SD) systemic clearance was estimated to be 12</w:t>
      </w:r>
      <w:r>
        <w:t> </w:t>
      </w:r>
      <w:r w:rsidRPr="0030759F">
        <w:t>(2) mL/hr.</w:t>
      </w:r>
      <w:r>
        <w:t xml:space="preserve"> </w:t>
      </w:r>
      <w:r w:rsidRPr="0030759F">
        <w:t xml:space="preserve">An approximate </w:t>
      </w:r>
      <w:r>
        <w:t>2</w:t>
      </w:r>
      <w:r w:rsidRPr="0030759F">
        <w:t xml:space="preserve">- to </w:t>
      </w:r>
      <w:r>
        <w:t>3</w:t>
      </w:r>
      <w:r w:rsidRPr="0030759F">
        <w:t>-fold accumulation was observed in trough serum concentrations (</w:t>
      </w:r>
      <w:proofErr w:type="spellStart"/>
      <w:r w:rsidRPr="0030759F">
        <w:t>C</w:t>
      </w:r>
      <w:r w:rsidRPr="0004193C">
        <w:rPr>
          <w:vertAlign w:val="subscript"/>
        </w:rPr>
        <w:t>min</w:t>
      </w:r>
      <w:proofErr w:type="spellEnd"/>
      <w:r w:rsidRPr="0004193C">
        <w:rPr>
          <w:vertAlign w:val="subscript"/>
        </w:rPr>
        <w:t xml:space="preserve"> </w:t>
      </w:r>
      <w:r w:rsidRPr="0030759F">
        <w:t xml:space="preserve">[SD] 7.21 [6.6]) following 140 mg doses </w:t>
      </w:r>
      <w:r>
        <w:t xml:space="preserve">administered subcutaneously </w:t>
      </w:r>
      <w:r w:rsidRPr="0030759F">
        <w:t xml:space="preserve">every 2 weeks or following 420 mg doses administered </w:t>
      </w:r>
      <w:r w:rsidRPr="006A4E5A">
        <w:t xml:space="preserve">subcutaneously </w:t>
      </w:r>
      <w:r w:rsidRPr="0030759F">
        <w:t>monthly (</w:t>
      </w:r>
      <w:proofErr w:type="spellStart"/>
      <w:r w:rsidRPr="0030759F">
        <w:t>C</w:t>
      </w:r>
      <w:r w:rsidRPr="0004193C">
        <w:rPr>
          <w:vertAlign w:val="subscript"/>
        </w:rPr>
        <w:t>min</w:t>
      </w:r>
      <w:proofErr w:type="spellEnd"/>
      <w:r>
        <w:t> </w:t>
      </w:r>
      <w:r w:rsidRPr="0030759F">
        <w:t>[SD] 11.2 [10.8]), and serum trough concentrations approached steady state by 12 weeks of dosing.</w:t>
      </w:r>
    </w:p>
    <w:p w14:paraId="20198BD8" w14:textId="77777777" w:rsidR="003A5807" w:rsidRPr="00F309DA" w:rsidRDefault="003A5807" w:rsidP="00F309DA">
      <w:pPr>
        <w:pStyle w:val="PI-subheadernounderline"/>
      </w:pPr>
      <w:r w:rsidRPr="00F309DA">
        <w:t xml:space="preserve">Absorption </w:t>
      </w:r>
    </w:p>
    <w:p w14:paraId="0F16AA6C" w14:textId="77777777" w:rsidR="003A5807" w:rsidRDefault="003A5807" w:rsidP="00F309DA">
      <w:pPr>
        <w:pStyle w:val="PI-text"/>
      </w:pPr>
      <w:r w:rsidRPr="003A5807">
        <w:t xml:space="preserve">Following a single </w:t>
      </w:r>
      <w:r w:rsidR="00B83E75">
        <w:t xml:space="preserve">subcutaneous dose of </w:t>
      </w:r>
      <w:r w:rsidR="008E4A94" w:rsidRPr="003A5807">
        <w:t xml:space="preserve">140 mg or 420 mg </w:t>
      </w:r>
      <w:r w:rsidR="0037363F">
        <w:t xml:space="preserve">Repatha </w:t>
      </w:r>
      <w:r w:rsidRPr="003A5807">
        <w:t xml:space="preserve">administered to healthy adults, median peak serum concentrations were attained in 3 to 4 days and estimated absolute bioavailability was 72%.  </w:t>
      </w:r>
    </w:p>
    <w:p w14:paraId="7394B99D" w14:textId="77777777" w:rsidR="0004193C" w:rsidRPr="00047C29" w:rsidRDefault="0004193C" w:rsidP="00047C29">
      <w:pPr>
        <w:pStyle w:val="PI-UnderlinedSubHeader"/>
        <w:rPr>
          <w:u w:val="none"/>
        </w:rPr>
      </w:pPr>
      <w:r w:rsidRPr="00047C29">
        <w:rPr>
          <w:u w:val="none"/>
        </w:rPr>
        <w:lastRenderedPageBreak/>
        <w:t>Distribution</w:t>
      </w:r>
    </w:p>
    <w:p w14:paraId="2BA1A7B5" w14:textId="77777777" w:rsidR="003A5807" w:rsidRPr="003A5807" w:rsidRDefault="003A5807" w:rsidP="00F309DA">
      <w:pPr>
        <w:pStyle w:val="PI-text"/>
      </w:pPr>
      <w:r w:rsidRPr="003A5807">
        <w:t xml:space="preserve">Following a single 420 mg </w:t>
      </w:r>
      <w:r w:rsidR="00BD6730">
        <w:t>Repatha</w:t>
      </w:r>
      <w:r w:rsidR="003D2EB5">
        <w:t xml:space="preserve"> </w:t>
      </w:r>
      <w:r w:rsidRPr="003A5807">
        <w:t xml:space="preserve">intravenous dose, the steady-state volume of distribution was estimated to be 3.3 </w:t>
      </w:r>
      <w:r w:rsidR="00BD6730">
        <w:t xml:space="preserve">(0.5) </w:t>
      </w:r>
      <w:r w:rsidRPr="003A5807">
        <w:t xml:space="preserve">L, suggesting </w:t>
      </w:r>
      <w:r w:rsidR="00BD6730">
        <w:t>Repatha</w:t>
      </w:r>
      <w:r w:rsidRPr="003A5807">
        <w:t xml:space="preserve"> has limited tissue distribution. </w:t>
      </w:r>
    </w:p>
    <w:p w14:paraId="73ABA557" w14:textId="77777777" w:rsidR="003A5807" w:rsidRPr="00A36BDA" w:rsidRDefault="003A5807" w:rsidP="00F309DA">
      <w:pPr>
        <w:pStyle w:val="PI-subheadernounderline"/>
      </w:pPr>
      <w:r w:rsidRPr="00A36BDA">
        <w:t xml:space="preserve">Metabolism </w:t>
      </w:r>
    </w:p>
    <w:p w14:paraId="1AF2EB9A" w14:textId="77777777" w:rsidR="003611FD" w:rsidRDefault="008B6F26" w:rsidP="00F309DA">
      <w:pPr>
        <w:pStyle w:val="PI-text"/>
      </w:pPr>
      <w:r w:rsidRPr="003A5807">
        <w:t xml:space="preserve">As a </w:t>
      </w:r>
      <w:r>
        <w:t xml:space="preserve">fully </w:t>
      </w:r>
      <w:r w:rsidRPr="003A5807">
        <w:t xml:space="preserve">human IgG2 antibody, the clearance of </w:t>
      </w:r>
      <w:r>
        <w:t>Repatha</w:t>
      </w:r>
      <w:r w:rsidRPr="003A5807">
        <w:t xml:space="preserve"> is mediated by specific binding and complex formation with its target ligand, PCSK9, as well as by typical IgG clearance processes in the reticuloendothelial system (RES). </w:t>
      </w:r>
      <w:r>
        <w:t xml:space="preserve"> Repatha</w:t>
      </w:r>
      <w:r w:rsidRPr="003A5807">
        <w:t xml:space="preserve"> is expected to be degraded into small peptides and amino acids via these catabolic pathways.</w:t>
      </w:r>
      <w:r>
        <w:t xml:space="preserve"> </w:t>
      </w:r>
    </w:p>
    <w:p w14:paraId="7445231F" w14:textId="77777777" w:rsidR="003611FD" w:rsidRPr="003611FD" w:rsidRDefault="003611FD" w:rsidP="00F309DA">
      <w:pPr>
        <w:pStyle w:val="PI-text"/>
        <w:rPr>
          <w:rFonts w:cs="Times New Roman"/>
          <w:b/>
          <w:szCs w:val="20"/>
          <w:lang w:val="en-US"/>
        </w:rPr>
      </w:pPr>
      <w:r w:rsidRPr="003611FD">
        <w:rPr>
          <w:rFonts w:cs="Times New Roman"/>
          <w:b/>
          <w:szCs w:val="20"/>
          <w:lang w:val="en-US"/>
        </w:rPr>
        <w:t>Excretion</w:t>
      </w:r>
    </w:p>
    <w:p w14:paraId="1B615499" w14:textId="77777777" w:rsidR="00A36BDA" w:rsidRDefault="00BD6730" w:rsidP="00F309DA">
      <w:pPr>
        <w:pStyle w:val="PI-text"/>
      </w:pPr>
      <w:r>
        <w:t>Repatha</w:t>
      </w:r>
      <w:r w:rsidR="00A36BDA" w:rsidRPr="00A36BDA">
        <w:t xml:space="preserve"> was estimated to have an effective half-life of 11 to 17 days.</w:t>
      </w:r>
    </w:p>
    <w:p w14:paraId="7FF740A1" w14:textId="77777777" w:rsidR="003A5807" w:rsidRPr="003A5807" w:rsidRDefault="003A5807" w:rsidP="00F309DA">
      <w:pPr>
        <w:pStyle w:val="PI-text"/>
      </w:pPr>
      <w:r w:rsidRPr="003A5807">
        <w:t xml:space="preserve">No time dependent changes were observed in serum </w:t>
      </w:r>
      <w:r w:rsidR="00BD6730">
        <w:t xml:space="preserve">evolocumab </w:t>
      </w:r>
      <w:r w:rsidRPr="003A5807">
        <w:t xml:space="preserve">concentrations over a period of </w:t>
      </w:r>
      <w:r w:rsidR="005014D4">
        <w:t>124</w:t>
      </w:r>
      <w:r w:rsidRPr="003A5807">
        <w:t xml:space="preserve"> weeks.</w:t>
      </w:r>
    </w:p>
    <w:p w14:paraId="4B775287" w14:textId="77777777" w:rsidR="00690EE2" w:rsidRDefault="00FD3B45" w:rsidP="00F309DA">
      <w:pPr>
        <w:pStyle w:val="PI-text"/>
      </w:pPr>
      <w:r w:rsidRPr="00690EE2">
        <w:t xml:space="preserve">An approximate 20% increase in the clearance of </w:t>
      </w:r>
      <w:r w:rsidR="00BD6730" w:rsidRPr="00690EE2">
        <w:t>Repatha</w:t>
      </w:r>
      <w:r w:rsidRPr="00690EE2">
        <w:t xml:space="preserve"> was observed in patients co</w:t>
      </w:r>
      <w:r w:rsidR="00690EE2" w:rsidRPr="00690EE2">
        <w:t>-</w:t>
      </w:r>
      <w:r w:rsidRPr="00690EE2">
        <w:t xml:space="preserve">administered with statins. </w:t>
      </w:r>
      <w:r w:rsidR="006720C4">
        <w:t xml:space="preserve"> </w:t>
      </w:r>
      <w:r w:rsidRPr="00690EE2">
        <w:t xml:space="preserve">This increased clearance is in part mediated by statins increasing the concentration of PCSK9 which did not adversely impact the pharmacodynamic effect of </w:t>
      </w:r>
      <w:r w:rsidR="00BD6730" w:rsidRPr="00690EE2">
        <w:t>Repatha</w:t>
      </w:r>
      <w:r w:rsidRPr="00690EE2">
        <w:t xml:space="preserve"> on lipids. </w:t>
      </w:r>
      <w:r w:rsidR="006720C4">
        <w:t xml:space="preserve"> </w:t>
      </w:r>
      <w:r w:rsidRPr="00690EE2">
        <w:t xml:space="preserve">Population pharmacokinetic analysis indicated no appreciable differences in </w:t>
      </w:r>
      <w:r w:rsidR="00690EE2" w:rsidRPr="00690EE2">
        <w:t xml:space="preserve">evolocumab </w:t>
      </w:r>
      <w:r w:rsidRPr="00690EE2">
        <w:t xml:space="preserve">serum concentrations in </w:t>
      </w:r>
      <w:proofErr w:type="spellStart"/>
      <w:r w:rsidR="00DA5FDF" w:rsidRPr="00690EE2">
        <w:t>hypercholesterolaemic</w:t>
      </w:r>
      <w:proofErr w:type="spellEnd"/>
      <w:r w:rsidR="008905BA">
        <w:t xml:space="preserve"> (non-FH or FH)</w:t>
      </w:r>
      <w:r w:rsidR="00DA5FDF" w:rsidRPr="00690EE2">
        <w:t xml:space="preserve"> patients taking concomitant statins (see</w:t>
      </w:r>
      <w:r w:rsidR="00DA5FDF">
        <w:t xml:space="preserve"> </w:t>
      </w:r>
      <w:r w:rsidR="00DA5FDF" w:rsidRPr="00690EE2">
        <w:rPr>
          <w:b/>
        </w:rPr>
        <w:t>INTERACTIONS WITH OTHER MEDICINES</w:t>
      </w:r>
      <w:r w:rsidR="00DA5FDF">
        <w:t>).</w:t>
      </w:r>
    </w:p>
    <w:p w14:paraId="3BA5F091" w14:textId="77777777" w:rsidR="003A5807" w:rsidRPr="0075487E" w:rsidRDefault="003A5807" w:rsidP="00F309DA">
      <w:pPr>
        <w:pStyle w:val="PI-subheadernounderline"/>
        <w:rPr>
          <w:u w:val="single"/>
        </w:rPr>
      </w:pPr>
      <w:r w:rsidRPr="0075487E">
        <w:rPr>
          <w:u w:val="single"/>
        </w:rPr>
        <w:t xml:space="preserve">Special </w:t>
      </w:r>
      <w:r w:rsidR="00F309DA" w:rsidRPr="0075487E">
        <w:rPr>
          <w:u w:val="single"/>
        </w:rPr>
        <w:t>populations</w:t>
      </w:r>
    </w:p>
    <w:p w14:paraId="680AB740" w14:textId="77777777" w:rsidR="000E34D3" w:rsidRDefault="003A5807" w:rsidP="005E4431">
      <w:pPr>
        <w:pStyle w:val="PI-text"/>
      </w:pPr>
      <w:r w:rsidRPr="003A5807">
        <w:t>Population pharmacokinetic analyses suggest that no dose adju</w:t>
      </w:r>
      <w:r w:rsidR="00690EE2">
        <w:t>stments are necessary for age</w:t>
      </w:r>
      <w:r w:rsidRPr="003A5807">
        <w:t xml:space="preserve">, race or gender. </w:t>
      </w:r>
      <w:r w:rsidR="00690EE2" w:rsidRPr="00690EE2">
        <w:t xml:space="preserve">The pharmacokinetics of </w:t>
      </w:r>
      <w:r w:rsidR="00690EE2">
        <w:t>Repatha</w:t>
      </w:r>
      <w:r w:rsidR="00690EE2" w:rsidRPr="00690EE2">
        <w:t xml:space="preserve"> were influenced by body weight without having any notable impact on</w:t>
      </w:r>
      <w:r w:rsidR="00690EE2">
        <w:t xml:space="preserve"> </w:t>
      </w:r>
      <w:r w:rsidR="00690EE2" w:rsidRPr="00690EE2">
        <w:t xml:space="preserve">LDL-C lowering. </w:t>
      </w:r>
      <w:r w:rsidR="009B07BF">
        <w:t xml:space="preserve"> </w:t>
      </w:r>
      <w:r w:rsidR="00690EE2" w:rsidRPr="00690EE2">
        <w:t>Therefore, no dose adjustments are necessary based on body weight.</w:t>
      </w:r>
    </w:p>
    <w:p w14:paraId="7E250483" w14:textId="77777777" w:rsidR="0075487E" w:rsidRPr="000F33DD" w:rsidRDefault="0075487E" w:rsidP="005E4431">
      <w:pPr>
        <w:pStyle w:val="PI-text"/>
        <w:rPr>
          <w:i/>
        </w:rPr>
      </w:pPr>
      <w:r w:rsidRPr="000F33DD">
        <w:rPr>
          <w:i/>
        </w:rPr>
        <w:t>Hepatic impairment</w:t>
      </w:r>
    </w:p>
    <w:p w14:paraId="6D2B15DD" w14:textId="77777777" w:rsidR="0075487E" w:rsidRDefault="0075487E" w:rsidP="005E4431">
      <w:pPr>
        <w:pStyle w:val="PI-text"/>
      </w:pPr>
      <w:r w:rsidRPr="00A014AD">
        <w:t xml:space="preserve">Single 140 mg subcutaneous doses of </w:t>
      </w:r>
      <w:r>
        <w:t>Repatha</w:t>
      </w:r>
      <w:r w:rsidRPr="00A014AD">
        <w:t xml:space="preserve"> were studied in 8 patients with mild hepatic impairment, 8 patients with moderate hepatic impairment and 8 healthy subjects.  The exposure to evolocumab was found to be approximately 40% to 50% lower compared with healthy subjects.  However, baseline PCSK9 levels and the degree and time course of PCSK9 neutrali</w:t>
      </w:r>
      <w:r>
        <w:t>s</w:t>
      </w:r>
      <w:r w:rsidRPr="00A014AD">
        <w:t>ation were found to be similar between patients with mild or moderate hepatic impairment and healthy subjects.  This resulted in similar time course and extent of absolute LDL-C lowering.</w:t>
      </w:r>
    </w:p>
    <w:p w14:paraId="28F2BE4A" w14:textId="77777777" w:rsidR="0075487E" w:rsidRPr="000F33DD" w:rsidRDefault="0075487E" w:rsidP="00D36731">
      <w:pPr>
        <w:pStyle w:val="PI-text"/>
        <w:keepNext/>
        <w:rPr>
          <w:i/>
        </w:rPr>
      </w:pPr>
      <w:r w:rsidRPr="000F33DD">
        <w:rPr>
          <w:i/>
        </w:rPr>
        <w:lastRenderedPageBreak/>
        <w:t>Renal impairment</w:t>
      </w:r>
    </w:p>
    <w:p w14:paraId="037AF23B" w14:textId="77777777" w:rsidR="000B0595" w:rsidRDefault="0075487E" w:rsidP="00FA360D">
      <w:pPr>
        <w:pStyle w:val="PI-text"/>
      </w:pPr>
      <w:r w:rsidRPr="00624069">
        <w:t xml:space="preserve">Population pharmacokinetic analysis of integrated data from the </w:t>
      </w:r>
      <w:r>
        <w:t>Repatha</w:t>
      </w:r>
      <w:r w:rsidRPr="00624069">
        <w:t xml:space="preserve"> clinical trials did not reveal a difference in pharmacokinetics in </w:t>
      </w:r>
      <w:r w:rsidR="000B0595">
        <w:t xml:space="preserve">Chronic Kidney Disease (CKD) </w:t>
      </w:r>
      <w:r w:rsidRPr="00624069">
        <w:t xml:space="preserve">patients with </w:t>
      </w:r>
      <w:r>
        <w:t xml:space="preserve">stages 2 and 3 </w:t>
      </w:r>
      <w:r w:rsidRPr="00624069">
        <w:t>renal impairment</w:t>
      </w:r>
      <w:r w:rsidR="001161AB">
        <w:t xml:space="preserve"> </w:t>
      </w:r>
      <w:r w:rsidRPr="00624069">
        <w:t>relative to non-renally impaired patients.</w:t>
      </w:r>
    </w:p>
    <w:p w14:paraId="1EAB70A4" w14:textId="77777777" w:rsidR="00FA360D" w:rsidRDefault="008B63BA" w:rsidP="008B63BA">
      <w:pPr>
        <w:pStyle w:val="PI-text"/>
      </w:pPr>
      <w:r>
        <w:rPr>
          <w:rFonts w:eastAsia="TimesNewRoman"/>
          <w:lang w:eastAsia="ja-JP"/>
        </w:rPr>
        <w:t xml:space="preserve">In a clinical trial of 18 patients with either normal renal function </w:t>
      </w:r>
      <w:r w:rsidR="00A439BE" w:rsidRPr="001C4E9F">
        <w:t>(</w:t>
      </w:r>
      <w:r w:rsidR="00A439BE" w:rsidRPr="00BD4857">
        <w:t>estimated glomerular filtration rate [</w:t>
      </w:r>
      <w:r w:rsidR="00A439BE" w:rsidRPr="001C4E9F">
        <w:t>eGFR] ≥ 90 mL/min/1.73 m</w:t>
      </w:r>
      <w:r w:rsidR="00A439BE" w:rsidRPr="00367986">
        <w:rPr>
          <w:vertAlign w:val="superscript"/>
        </w:rPr>
        <w:t>2</w:t>
      </w:r>
      <w:r w:rsidR="00A439BE" w:rsidRPr="001C4E9F">
        <w:t>)</w:t>
      </w:r>
      <w:r>
        <w:rPr>
          <w:rFonts w:eastAsia="TimesNewRoman"/>
          <w:lang w:eastAsia="ja-JP"/>
        </w:rPr>
        <w:t xml:space="preserve">, </w:t>
      </w:r>
      <w:r w:rsidR="00A439BE">
        <w:t xml:space="preserve">stage 4 CKD </w:t>
      </w:r>
      <w:r w:rsidR="00A439BE" w:rsidRPr="00BD4857">
        <w:t>(</w:t>
      </w:r>
      <w:r w:rsidR="00A439BE" w:rsidRPr="001C4E9F">
        <w:t>eGFR &lt; 30 mL/min/1.73 m</w:t>
      </w:r>
      <w:r w:rsidR="00A439BE" w:rsidRPr="00367986">
        <w:rPr>
          <w:vertAlign w:val="superscript"/>
        </w:rPr>
        <w:t>2</w:t>
      </w:r>
      <w:r w:rsidR="00A439BE" w:rsidRPr="001C4E9F">
        <w:t>)</w:t>
      </w:r>
      <w:r>
        <w:rPr>
          <w:rFonts w:eastAsia="TimesNewRoman"/>
          <w:lang w:eastAsia="ja-JP"/>
        </w:rPr>
        <w:t xml:space="preserve"> or </w:t>
      </w:r>
      <w:r w:rsidR="00A439BE">
        <w:t xml:space="preserve">stage 5 CKD </w:t>
      </w:r>
      <w:r w:rsidR="00A439BE" w:rsidRPr="00BD4857">
        <w:t>(estimated glomerular filtration rate</w:t>
      </w:r>
      <w:r w:rsidR="00A439BE">
        <w:t xml:space="preserve"> [</w:t>
      </w:r>
      <w:r w:rsidR="00A439BE" w:rsidRPr="001C4E9F">
        <w:t xml:space="preserve">eGFR] &lt; </w:t>
      </w:r>
      <w:r w:rsidR="00A439BE">
        <w:t>15</w:t>
      </w:r>
      <w:r w:rsidR="00A439BE" w:rsidRPr="001C4E9F">
        <w:t xml:space="preserve"> mL/min/1.73 m</w:t>
      </w:r>
      <w:r w:rsidR="00A439BE" w:rsidRPr="00367986">
        <w:rPr>
          <w:vertAlign w:val="superscript"/>
        </w:rPr>
        <w:t>2</w:t>
      </w:r>
      <w:r w:rsidR="00A439BE">
        <w:rPr>
          <w:vertAlign w:val="superscript"/>
        </w:rPr>
        <w:t xml:space="preserve"> </w:t>
      </w:r>
      <w:r w:rsidR="00A439BE" w:rsidRPr="00056C35">
        <w:t xml:space="preserve">or </w:t>
      </w:r>
      <w:r w:rsidR="00A439BE">
        <w:t xml:space="preserve">on </w:t>
      </w:r>
      <w:r w:rsidR="00A439BE" w:rsidRPr="00056C35">
        <w:t>dialysis</w:t>
      </w:r>
      <w:r w:rsidR="00A439BE" w:rsidRPr="001C4E9F">
        <w:t>)</w:t>
      </w:r>
      <w:r>
        <w:rPr>
          <w:rFonts w:eastAsia="TimesNewRoman"/>
          <w:lang w:eastAsia="ja-JP"/>
        </w:rPr>
        <w:t xml:space="preserve">, </w:t>
      </w:r>
      <w:r w:rsidR="00FA360D" w:rsidRPr="001C4E9F">
        <w:t xml:space="preserve">exposure, as assessed by </w:t>
      </w:r>
      <w:proofErr w:type="spellStart"/>
      <w:r w:rsidR="00FA360D" w:rsidRPr="001C4E9F">
        <w:t>C</w:t>
      </w:r>
      <w:r w:rsidR="00FA360D" w:rsidRPr="00BD4857">
        <w:rPr>
          <w:vertAlign w:val="subscript"/>
        </w:rPr>
        <w:t>max</w:t>
      </w:r>
      <w:proofErr w:type="spellEnd"/>
      <w:r w:rsidR="00FA360D" w:rsidRPr="001C4E9F">
        <w:t xml:space="preserve">, </w:t>
      </w:r>
      <w:r w:rsidR="00FA360D" w:rsidRPr="00FA360D">
        <w:rPr>
          <w:color w:val="000000"/>
        </w:rPr>
        <w:t xml:space="preserve">was found to be approximately 30% to 45% lower in patients with </w:t>
      </w:r>
      <w:r w:rsidR="00FA360D">
        <w:rPr>
          <w:color w:val="000000"/>
        </w:rPr>
        <w:t xml:space="preserve">stage 4 or 5 CKD </w:t>
      </w:r>
      <w:r w:rsidR="00FA360D" w:rsidRPr="00FA360D">
        <w:rPr>
          <w:color w:val="000000"/>
        </w:rPr>
        <w:t xml:space="preserve">compared with patients with normal renal function.  </w:t>
      </w:r>
      <w:r w:rsidR="00FA360D">
        <w:t>The</w:t>
      </w:r>
      <w:r w:rsidR="00FA360D" w:rsidRPr="001C4E9F">
        <w:t xml:space="preserve"> median </w:t>
      </w:r>
      <w:proofErr w:type="spellStart"/>
      <w:r w:rsidR="00FA360D" w:rsidRPr="001C4E9F">
        <w:t>t</w:t>
      </w:r>
      <w:r w:rsidR="00FA360D" w:rsidRPr="00BD4857">
        <w:rPr>
          <w:vertAlign w:val="subscript"/>
        </w:rPr>
        <w:t>max</w:t>
      </w:r>
      <w:proofErr w:type="spellEnd"/>
      <w:r w:rsidR="00FA360D" w:rsidRPr="00BD4857">
        <w:t xml:space="preserve"> </w:t>
      </w:r>
      <w:r w:rsidR="00FA360D" w:rsidRPr="001C4E9F">
        <w:t xml:space="preserve">was similar across all groups. </w:t>
      </w:r>
      <w:r w:rsidR="00FA360D">
        <w:t xml:space="preserve"> </w:t>
      </w:r>
      <w:r w:rsidR="00FA360D" w:rsidRPr="001C4E9F">
        <w:t>The pharmacodynamic</w:t>
      </w:r>
      <w:r w:rsidR="00FA360D">
        <w:t>s</w:t>
      </w:r>
      <w:r w:rsidR="00FA360D" w:rsidRPr="001C4E9F">
        <w:t xml:space="preserve"> and safety of </w:t>
      </w:r>
      <w:r w:rsidR="00FA360D">
        <w:t>Repatha</w:t>
      </w:r>
      <w:r w:rsidR="00FA360D" w:rsidRPr="001C4E9F">
        <w:t xml:space="preserve"> in </w:t>
      </w:r>
      <w:r w:rsidR="00FA360D">
        <w:t>patients</w:t>
      </w:r>
      <w:r w:rsidR="00FA360D" w:rsidRPr="001C4E9F">
        <w:t xml:space="preserve"> with </w:t>
      </w:r>
      <w:r w:rsidR="00FA360D">
        <w:t>stage 4 or 5 CKD</w:t>
      </w:r>
      <w:r w:rsidR="00FA360D" w:rsidRPr="001C4E9F">
        <w:t xml:space="preserve"> were similar to </w:t>
      </w:r>
      <w:r w:rsidR="00FA360D">
        <w:t>patients with normal renal function and</w:t>
      </w:r>
      <w:r w:rsidR="00FA360D" w:rsidRPr="001C4E9F">
        <w:t xml:space="preserve"> there were no clinically meaningful differences in LDL-C lowering.</w:t>
      </w:r>
      <w:r w:rsidR="00FA360D">
        <w:t xml:space="preserve">  </w:t>
      </w:r>
      <w:r w:rsidR="00FA360D" w:rsidRPr="00462FD1">
        <w:t>Therefore</w:t>
      </w:r>
      <w:r w:rsidR="00FA360D" w:rsidRPr="00906FB6">
        <w:t xml:space="preserve">, </w:t>
      </w:r>
      <w:r w:rsidR="00FA360D" w:rsidRPr="00462FD1">
        <w:t xml:space="preserve">no dose adjustments are necessary </w:t>
      </w:r>
      <w:r w:rsidR="00FA360D" w:rsidRPr="00906FB6">
        <w:t xml:space="preserve">in patients with </w:t>
      </w:r>
      <w:r w:rsidR="00FA360D">
        <w:t>stage 4 or 5 CKD</w:t>
      </w:r>
      <w:r w:rsidR="00C23F42">
        <w:rPr>
          <w:sz w:val="20"/>
        </w:rPr>
        <w:t>.</w:t>
      </w:r>
    </w:p>
    <w:p w14:paraId="320D07B0" w14:textId="77777777" w:rsidR="007D3C6A" w:rsidRPr="005E4431" w:rsidRDefault="007D3C6A" w:rsidP="005E4431">
      <w:pPr>
        <w:pStyle w:val="PI-text"/>
        <w:rPr>
          <w:b/>
          <w:szCs w:val="20"/>
          <w:lang w:val="en-US"/>
        </w:rPr>
      </w:pPr>
      <w:r w:rsidRPr="005E4431">
        <w:rPr>
          <w:b/>
          <w:szCs w:val="20"/>
          <w:lang w:val="en-US"/>
        </w:rPr>
        <w:t>C</w:t>
      </w:r>
      <w:r w:rsidR="00EF12E5" w:rsidRPr="005E4431">
        <w:rPr>
          <w:b/>
          <w:szCs w:val="20"/>
          <w:lang w:val="en-US"/>
        </w:rPr>
        <w:t>LINICAL TRIALS</w:t>
      </w:r>
    </w:p>
    <w:p w14:paraId="38ECC90C" w14:textId="77777777" w:rsidR="00355573" w:rsidRDefault="003614D4" w:rsidP="00F309DA">
      <w:pPr>
        <w:pStyle w:val="PI-UnderlinedSubHeader"/>
      </w:pPr>
      <w:r>
        <w:t xml:space="preserve">Summary of clinical </w:t>
      </w:r>
      <w:r w:rsidR="00355573">
        <w:t>efficacy</w:t>
      </w:r>
    </w:p>
    <w:p w14:paraId="6EE9B097" w14:textId="77777777" w:rsidR="00596B96" w:rsidRDefault="004630BE" w:rsidP="004467BC">
      <w:pPr>
        <w:pStyle w:val="PI-subheadernounderline"/>
        <w:ind w:left="0" w:firstLine="0"/>
      </w:pPr>
      <w:r>
        <w:t>Prevention of Cardiovascular events</w:t>
      </w:r>
    </w:p>
    <w:p w14:paraId="16288BE4" w14:textId="77777777" w:rsidR="004630BE" w:rsidRPr="006D0523" w:rsidRDefault="00596B96" w:rsidP="006D0523">
      <w:pPr>
        <w:pStyle w:val="PI-text"/>
        <w:rPr>
          <w:color w:val="000000"/>
        </w:rPr>
      </w:pPr>
      <w:r w:rsidRPr="006D0523">
        <w:rPr>
          <w:color w:val="000000"/>
        </w:rPr>
        <w:t>I</w:t>
      </w:r>
      <w:r w:rsidR="004467BC" w:rsidRPr="006D0523">
        <w:rPr>
          <w:color w:val="000000"/>
        </w:rPr>
        <w:t xml:space="preserve">n adults with established cardiovascular disease in combination with </w:t>
      </w:r>
      <w:r w:rsidR="002C092C" w:rsidRPr="006D0523">
        <w:rPr>
          <w:color w:val="000000"/>
        </w:rPr>
        <w:t>a</w:t>
      </w:r>
      <w:r w:rsidR="004467BC" w:rsidRPr="006D0523">
        <w:rPr>
          <w:color w:val="000000"/>
        </w:rPr>
        <w:t xml:space="preserve"> statin</w:t>
      </w:r>
      <w:r w:rsidR="002C092C" w:rsidRPr="006D0523">
        <w:rPr>
          <w:color w:val="000000"/>
        </w:rPr>
        <w:t xml:space="preserve"> and/or other lipid-lowering therapies</w:t>
      </w:r>
      <w:r w:rsidR="00C81DFF">
        <w:rPr>
          <w:color w:val="000000"/>
        </w:rPr>
        <w:t>:</w:t>
      </w:r>
    </w:p>
    <w:p w14:paraId="2C8B6732" w14:textId="77777777" w:rsidR="0029016E" w:rsidRDefault="004630BE" w:rsidP="00535E34">
      <w:pPr>
        <w:pStyle w:val="PItextbullet"/>
      </w:pPr>
      <w:r w:rsidRPr="004630BE">
        <w:rPr>
          <w:rFonts w:eastAsia="MS Mincho"/>
          <w:lang w:eastAsia="ja-JP"/>
        </w:rPr>
        <w:t xml:space="preserve">Repatha significantly </w:t>
      </w:r>
      <w:r w:rsidRPr="00535E34">
        <w:t>reduced the risk for the primary composite endpoint (</w:t>
      </w:r>
      <w:r w:rsidRPr="00535E34">
        <w:rPr>
          <w:rFonts w:eastAsia="MS Mincho"/>
          <w:lang w:eastAsia="ja-JP"/>
        </w:rPr>
        <w:t>time to cardiovascular death, myocardial infarction, stroke, hospitalisation for unstable angina, or coronary revascularisation,</w:t>
      </w:r>
      <w:r w:rsidRPr="00535E34">
        <w:t xml:space="preserve"> </w:t>
      </w:r>
      <w:r w:rsidRPr="00535E34">
        <w:rPr>
          <w:rFonts w:eastAsia="MS Mincho"/>
          <w:lang w:eastAsia="ja-JP"/>
        </w:rPr>
        <w:t>whichever occurred first)</w:t>
      </w:r>
      <w:r w:rsidRPr="00535E34">
        <w:t xml:space="preserve"> </w:t>
      </w:r>
      <w:r w:rsidR="0029016E">
        <w:t xml:space="preserve">by </w:t>
      </w:r>
      <w:r w:rsidR="0029016E" w:rsidRPr="00464D4D">
        <w:t>15%</w:t>
      </w:r>
      <w:r w:rsidR="0029016E">
        <w:t xml:space="preserve"> compared to placebo.</w:t>
      </w:r>
    </w:p>
    <w:p w14:paraId="7B02B9EF" w14:textId="77777777" w:rsidR="004630BE" w:rsidRDefault="0029016E" w:rsidP="00535E34">
      <w:pPr>
        <w:pStyle w:val="PItextbullet"/>
      </w:pPr>
      <w:r>
        <w:t xml:space="preserve">Repatha reduced the risk of </w:t>
      </w:r>
      <w:r w:rsidR="004630BE" w:rsidRPr="00535E34">
        <w:t>the key secondary composite endpoint</w:t>
      </w:r>
      <w:r w:rsidR="004630BE" w:rsidRPr="00A3554A">
        <w:t xml:space="preserve"> (</w:t>
      </w:r>
      <w:r w:rsidR="004630BE" w:rsidRPr="00A3554A">
        <w:rPr>
          <w:rFonts w:eastAsia="MS Mincho"/>
          <w:lang w:eastAsia="ja-JP"/>
        </w:rPr>
        <w:t>time to cardiovascular death, myocardial infarction, or stroke,</w:t>
      </w:r>
      <w:r w:rsidR="004630BE" w:rsidRPr="00A3554A">
        <w:t xml:space="preserve"> </w:t>
      </w:r>
      <w:r w:rsidR="004630BE" w:rsidRPr="00A3554A">
        <w:rPr>
          <w:rFonts w:eastAsia="MS Mincho"/>
          <w:lang w:eastAsia="ja-JP"/>
        </w:rPr>
        <w:t>whichever occurred first)</w:t>
      </w:r>
      <w:r>
        <w:rPr>
          <w:rFonts w:eastAsia="MS Mincho"/>
          <w:lang w:eastAsia="ja-JP"/>
        </w:rPr>
        <w:t xml:space="preserve"> by 20% compared with placebo</w:t>
      </w:r>
      <w:r w:rsidR="004630BE" w:rsidRPr="00A34D91">
        <w:t>.</w:t>
      </w:r>
    </w:p>
    <w:p w14:paraId="32A3FEAF" w14:textId="77777777" w:rsidR="0049772F" w:rsidRDefault="000B0595" w:rsidP="0049772F">
      <w:pPr>
        <w:pStyle w:val="PItextbullet"/>
      </w:pPr>
      <w:r>
        <w:t>9</w:t>
      </w:r>
      <w:r w:rsidR="00315E47">
        <w:t>,</w:t>
      </w:r>
      <w:r>
        <w:t xml:space="preserve">518 </w:t>
      </w:r>
      <w:r w:rsidR="0049772F">
        <w:t>patients treated with Repatha</w:t>
      </w:r>
      <w:r w:rsidR="004E25D8">
        <w:t xml:space="preserve"> in the cardiovascular outcomes study</w:t>
      </w:r>
      <w:r w:rsidR="008B2CE2">
        <w:t>,</w:t>
      </w:r>
      <w:r w:rsidR="0049772F">
        <w:t xml:space="preserve"> achieved</w:t>
      </w:r>
      <w:r w:rsidR="0049772F" w:rsidRPr="001546E2">
        <w:t xml:space="preserve"> at least one LDL-C value &lt; </w:t>
      </w:r>
      <w:r w:rsidR="0049772F">
        <w:t>0.6</w:t>
      </w:r>
      <w:r w:rsidR="0049772F" w:rsidRPr="001546E2">
        <w:t xml:space="preserve"> m</w:t>
      </w:r>
      <w:r w:rsidR="0049772F">
        <w:t>mol/L</w:t>
      </w:r>
      <w:r w:rsidR="0049772F" w:rsidRPr="001546E2">
        <w:t xml:space="preserve">. </w:t>
      </w:r>
      <w:r w:rsidR="0049772F">
        <w:t xml:space="preserve"> </w:t>
      </w:r>
      <w:r w:rsidR="0049772F" w:rsidRPr="001546E2">
        <w:t>These patients had similar type</w:t>
      </w:r>
      <w:r w:rsidR="004E25D8">
        <w:t>s</w:t>
      </w:r>
      <w:r w:rsidR="0049772F" w:rsidRPr="001546E2">
        <w:t xml:space="preserve"> of adverse events</w:t>
      </w:r>
      <w:r w:rsidR="004E25D8">
        <w:t xml:space="preserve"> at a similar or lower incidence</w:t>
      </w:r>
      <w:r w:rsidR="008B2CE2">
        <w:t>,</w:t>
      </w:r>
      <w:r w:rsidR="004E25D8">
        <w:t xml:space="preserve"> </w:t>
      </w:r>
      <w:r w:rsidR="0049772F" w:rsidRPr="001546E2">
        <w:t xml:space="preserve">compared to patients treated with Repatha or placebo who always had LDL-C ≥ </w:t>
      </w:r>
      <w:r w:rsidR="0049772F">
        <w:t>1.0 mmol/L.</w:t>
      </w:r>
    </w:p>
    <w:p w14:paraId="586E58F6" w14:textId="77777777" w:rsidR="00535E34" w:rsidRPr="002C092C" w:rsidRDefault="00535E34" w:rsidP="002C092C">
      <w:pPr>
        <w:pStyle w:val="PI-subheadernounderline"/>
        <w:rPr>
          <w:b w:val="0"/>
          <w:color w:val="000000"/>
        </w:rPr>
      </w:pPr>
      <w:r w:rsidRPr="00F235F6">
        <w:t>Regression of Atherosclerosis</w:t>
      </w:r>
      <w:r w:rsidRPr="002C092C">
        <w:rPr>
          <w:b w:val="0"/>
          <w:color w:val="000000"/>
        </w:rPr>
        <w:t xml:space="preserve"> </w:t>
      </w:r>
    </w:p>
    <w:p w14:paraId="1C57C9F5" w14:textId="77777777" w:rsidR="00535E34" w:rsidRPr="00535E34" w:rsidRDefault="002C092C" w:rsidP="00BE3AB2">
      <w:pPr>
        <w:pStyle w:val="PItextbullet"/>
      </w:pPr>
      <w:r w:rsidRPr="002C092C">
        <w:t xml:space="preserve">In adults with </w:t>
      </w:r>
      <w:r>
        <w:t xml:space="preserve">coronary artery disease on </w:t>
      </w:r>
      <w:r w:rsidRPr="002C092C">
        <w:t>lipid-lowering therap</w:t>
      </w:r>
      <w:r>
        <w:t>y,</w:t>
      </w:r>
      <w:r w:rsidRPr="002C092C">
        <w:t xml:space="preserve"> </w:t>
      </w:r>
      <w:r w:rsidR="00A3554A">
        <w:t>Repatha reduced</w:t>
      </w:r>
      <w:r w:rsidR="00A3554A" w:rsidRPr="003E7975">
        <w:t xml:space="preserve"> percent atheroma volume</w:t>
      </w:r>
      <w:r w:rsidR="00A3554A" w:rsidRPr="00D92916">
        <w:t xml:space="preserve"> </w:t>
      </w:r>
      <w:r w:rsidR="00A3554A">
        <w:t>(</w:t>
      </w:r>
      <w:r w:rsidR="00A3554A" w:rsidRPr="00D92916">
        <w:t>PAV</w:t>
      </w:r>
      <w:r w:rsidR="00A3554A">
        <w:t>) and total</w:t>
      </w:r>
      <w:r w:rsidR="00A3554A" w:rsidRPr="00D92916">
        <w:t xml:space="preserve"> atheroma volume (</w:t>
      </w:r>
      <w:r w:rsidR="00A3554A">
        <w:t>T</w:t>
      </w:r>
      <w:r w:rsidR="00A3554A" w:rsidRPr="00D92916">
        <w:t>AV)</w:t>
      </w:r>
      <w:r w:rsidR="00A3554A" w:rsidRPr="003E7975">
        <w:t xml:space="preserve"> </w:t>
      </w:r>
      <w:r w:rsidR="00B013C6">
        <w:t xml:space="preserve">by 1.01% (0.64, 1.38) and 4.89 </w:t>
      </w:r>
      <w:r w:rsidR="00B013C6" w:rsidRPr="00B013C6">
        <w:t>mm</w:t>
      </w:r>
      <w:r w:rsidR="00B013C6" w:rsidRPr="002C092C">
        <w:rPr>
          <w:vertAlign w:val="superscript"/>
        </w:rPr>
        <w:t>3</w:t>
      </w:r>
      <w:r w:rsidR="00B013C6">
        <w:t xml:space="preserve"> (2.53, 7.25) respectively </w:t>
      </w:r>
      <w:r w:rsidR="00A3554A" w:rsidRPr="00B013C6">
        <w:t>from</w:t>
      </w:r>
      <w:r w:rsidR="00A3554A" w:rsidRPr="00D92916">
        <w:t xml:space="preserve"> baseline</w:t>
      </w:r>
      <w:r w:rsidR="00A3554A">
        <w:t xml:space="preserve"> to week 78 compared to placebo</w:t>
      </w:r>
      <w:r w:rsidR="00B013C6">
        <w:t xml:space="preserve"> (p&lt;0.0001)</w:t>
      </w:r>
      <w:r w:rsidR="00A3554A">
        <w:t>.</w:t>
      </w:r>
    </w:p>
    <w:p w14:paraId="6EEB87C1" w14:textId="088459F4" w:rsidR="004E0E66" w:rsidRPr="00624DE0" w:rsidRDefault="0012487F" w:rsidP="00F309DA">
      <w:pPr>
        <w:pStyle w:val="PI-subheadernounderline"/>
      </w:pPr>
      <w:r>
        <w:lastRenderedPageBreak/>
        <w:t xml:space="preserve">Primary </w:t>
      </w:r>
      <w:r w:rsidR="001601CD">
        <w:t>H</w:t>
      </w:r>
      <w:r w:rsidR="0027632E">
        <w:t>ypercholesterolaemia</w:t>
      </w:r>
      <w:r w:rsidR="004E0E66" w:rsidRPr="00624DE0">
        <w:t>:</w:t>
      </w:r>
    </w:p>
    <w:p w14:paraId="5CC3E974" w14:textId="04873D13" w:rsidR="00983CBE" w:rsidRPr="00983CBE" w:rsidRDefault="00DA265F" w:rsidP="00F309DA">
      <w:pPr>
        <w:pStyle w:val="PItextbullet"/>
      </w:pPr>
      <w:r w:rsidRPr="00983CBE">
        <w:t>Repatha</w:t>
      </w:r>
      <w:r w:rsidR="006B4114" w:rsidRPr="00983CBE">
        <w:t xml:space="preserve"> </w:t>
      </w:r>
      <w:r w:rsidR="004E0E66" w:rsidRPr="00983CBE">
        <w:rPr>
          <w:lang w:eastAsia="en-AU"/>
        </w:rPr>
        <w:t xml:space="preserve">reduced LDL-C, TC, </w:t>
      </w:r>
      <w:proofErr w:type="spellStart"/>
      <w:r w:rsidR="004E0E66" w:rsidRPr="00983CBE">
        <w:rPr>
          <w:lang w:eastAsia="en-AU"/>
        </w:rPr>
        <w:t>ApoB</w:t>
      </w:r>
      <w:proofErr w:type="spellEnd"/>
      <w:r w:rsidR="004E0E66" w:rsidRPr="00983CBE">
        <w:rPr>
          <w:lang w:eastAsia="en-AU"/>
        </w:rPr>
        <w:t xml:space="preserve">, non-HDL-C, TC/HDL-C, </w:t>
      </w:r>
      <w:proofErr w:type="spellStart"/>
      <w:r w:rsidR="004E0E66" w:rsidRPr="00983CBE">
        <w:rPr>
          <w:lang w:eastAsia="en-AU"/>
        </w:rPr>
        <w:t>ApoB</w:t>
      </w:r>
      <w:proofErr w:type="spellEnd"/>
      <w:r w:rsidR="004E0E66" w:rsidRPr="00983CBE">
        <w:rPr>
          <w:lang w:eastAsia="en-AU"/>
        </w:rPr>
        <w:t xml:space="preserve">/ApoA1, VLDL-C, TG, and </w:t>
      </w:r>
      <w:proofErr w:type="spellStart"/>
      <w:r w:rsidR="004E0E66" w:rsidRPr="00983CBE">
        <w:rPr>
          <w:lang w:eastAsia="en-AU"/>
        </w:rPr>
        <w:t>Lp</w:t>
      </w:r>
      <w:proofErr w:type="spellEnd"/>
      <w:r w:rsidR="004E0E66" w:rsidRPr="00983CBE">
        <w:rPr>
          <w:lang w:eastAsia="en-AU"/>
        </w:rPr>
        <w:t>(a),</w:t>
      </w:r>
      <w:r w:rsidR="00983CBE" w:rsidRPr="00983CBE">
        <w:rPr>
          <w:lang w:eastAsia="en-AU"/>
        </w:rPr>
        <w:t xml:space="preserve"> </w:t>
      </w:r>
      <w:r w:rsidR="004E0E66" w:rsidRPr="00983CBE">
        <w:rPr>
          <w:lang w:eastAsia="en-AU"/>
        </w:rPr>
        <w:t>and increased HDL-C and ApoA1</w:t>
      </w:r>
      <w:r w:rsidR="00983CBE" w:rsidRPr="00983CBE">
        <w:rPr>
          <w:lang w:eastAsia="en-AU"/>
        </w:rPr>
        <w:t xml:space="preserve"> in patients with </w:t>
      </w:r>
      <w:r w:rsidR="003F6A04">
        <w:rPr>
          <w:lang w:eastAsia="en-AU"/>
        </w:rPr>
        <w:t xml:space="preserve">primary </w:t>
      </w:r>
      <w:r w:rsidR="0027632E">
        <w:rPr>
          <w:lang w:eastAsia="en-AU"/>
        </w:rPr>
        <w:t>hypercholesterolaemia</w:t>
      </w:r>
      <w:r w:rsidR="005014D4">
        <w:rPr>
          <w:lang w:eastAsia="en-AU"/>
        </w:rPr>
        <w:t>.</w:t>
      </w:r>
    </w:p>
    <w:p w14:paraId="62DFE82C" w14:textId="77777777" w:rsidR="00EB3724" w:rsidRPr="00EB3724" w:rsidRDefault="00EB3724" w:rsidP="00F309DA">
      <w:pPr>
        <w:pStyle w:val="PItextbullet"/>
      </w:pPr>
      <w:r w:rsidRPr="00983CBE">
        <w:t xml:space="preserve">Repatha was superior to ezetimibe in reducing LDL-C, total cholesterol, </w:t>
      </w:r>
      <w:proofErr w:type="spellStart"/>
      <w:r w:rsidRPr="00983CBE">
        <w:t>ApoB</w:t>
      </w:r>
      <w:proofErr w:type="spellEnd"/>
      <w:r w:rsidRPr="00983CBE">
        <w:t xml:space="preserve">, non-HDL-C, </w:t>
      </w:r>
      <w:proofErr w:type="spellStart"/>
      <w:proofErr w:type="gramStart"/>
      <w:r w:rsidRPr="00983CBE">
        <w:t>Lp</w:t>
      </w:r>
      <w:proofErr w:type="spellEnd"/>
      <w:r w:rsidRPr="00983CBE">
        <w:t>(</w:t>
      </w:r>
      <w:proofErr w:type="gramEnd"/>
      <w:r w:rsidRPr="00983CBE">
        <w:t xml:space="preserve">a),TC/HDL-C, and </w:t>
      </w:r>
      <w:proofErr w:type="spellStart"/>
      <w:r w:rsidRPr="00983CBE">
        <w:t>ApoB</w:t>
      </w:r>
      <w:proofErr w:type="spellEnd"/>
      <w:r w:rsidRPr="00983CBE">
        <w:t>/ApoA1</w:t>
      </w:r>
      <w:r w:rsidR="00D5736C">
        <w:t>.</w:t>
      </w:r>
    </w:p>
    <w:p w14:paraId="42DAC271" w14:textId="77777777" w:rsidR="004E0E66" w:rsidRPr="00983CBE" w:rsidRDefault="004E0E66" w:rsidP="00F309DA">
      <w:pPr>
        <w:pStyle w:val="PItextbullet"/>
      </w:pPr>
      <w:r w:rsidRPr="00983CBE">
        <w:t>Repatha 140 mg every 2 weeks and 420 mg once monthly dosing regi</w:t>
      </w:r>
      <w:r w:rsidR="00D5736C">
        <w:t>mens are clinically equivalent.</w:t>
      </w:r>
    </w:p>
    <w:p w14:paraId="5D623673" w14:textId="77777777" w:rsidR="00983CBE" w:rsidRPr="00983CBE" w:rsidRDefault="00212A66" w:rsidP="00F309DA">
      <w:pPr>
        <w:pStyle w:val="PItextbullet"/>
      </w:pPr>
      <w:r w:rsidRPr="00983CBE">
        <w:t xml:space="preserve">LDL-C </w:t>
      </w:r>
      <w:r w:rsidR="00EB3724">
        <w:t xml:space="preserve">reduction of </w:t>
      </w:r>
      <w:r w:rsidRPr="00983CBE">
        <w:t xml:space="preserve">approximately 55% to 75% </w:t>
      </w:r>
      <w:r w:rsidR="00EB3724">
        <w:t xml:space="preserve">was achieved with Repatha </w:t>
      </w:r>
      <w:r w:rsidRPr="00983CBE">
        <w:t xml:space="preserve">as early as week 1 and </w:t>
      </w:r>
      <w:r w:rsidR="00EB3724">
        <w:t>maintained with long term therapy.  M</w:t>
      </w:r>
      <w:r w:rsidRPr="00983CBE">
        <w:t xml:space="preserve">aximal response was generally achieved within </w:t>
      </w:r>
      <w:r w:rsidR="00EB3724">
        <w:t xml:space="preserve">1 to </w:t>
      </w:r>
      <w:r w:rsidRPr="00983CBE">
        <w:t xml:space="preserve">2 weeks </w:t>
      </w:r>
      <w:r w:rsidR="00EB3724">
        <w:t>after dosing</w:t>
      </w:r>
      <w:r w:rsidRPr="00983CBE">
        <w:t>.</w:t>
      </w:r>
    </w:p>
    <w:p w14:paraId="1BCFCBF8" w14:textId="77777777" w:rsidR="00EB3724" w:rsidRDefault="00212A66" w:rsidP="00F309DA">
      <w:pPr>
        <w:pStyle w:val="PItextbullet"/>
      </w:pPr>
      <w:r w:rsidRPr="00983CBE">
        <w:t xml:space="preserve">In </w:t>
      </w:r>
      <w:r w:rsidR="00B9126B" w:rsidRPr="00983CBE">
        <w:t xml:space="preserve">80-85% </w:t>
      </w:r>
      <w:r w:rsidRPr="00983CBE">
        <w:t xml:space="preserve">of all patients treated with either dose, </w:t>
      </w:r>
      <w:r w:rsidR="00DA265F" w:rsidRPr="00983CBE">
        <w:t>Repatha</w:t>
      </w:r>
      <w:r w:rsidRPr="00983CBE">
        <w:t xml:space="preserve"> demonstrated a ≥</w:t>
      </w:r>
      <w:r w:rsidR="00B9126B" w:rsidRPr="00983CBE">
        <w:t xml:space="preserve"> </w:t>
      </w:r>
      <w:r w:rsidRPr="00983CBE">
        <w:t xml:space="preserve">50% reduction in LDL-C at </w:t>
      </w:r>
      <w:r w:rsidR="00EB3724">
        <w:t xml:space="preserve">the mean of </w:t>
      </w:r>
      <w:r w:rsidRPr="00983CBE">
        <w:t>weeks 10 and 12.</w:t>
      </w:r>
    </w:p>
    <w:p w14:paraId="0DD0BC0B" w14:textId="77777777" w:rsidR="00624DE0" w:rsidRPr="00983CBE" w:rsidRDefault="00212A66" w:rsidP="00F309DA">
      <w:pPr>
        <w:pStyle w:val="PItextbullet"/>
      </w:pPr>
      <w:r w:rsidRPr="00983CBE">
        <w:t xml:space="preserve">Up </w:t>
      </w:r>
      <w:r w:rsidR="003E5957" w:rsidRPr="00983CBE">
        <w:t xml:space="preserve">to 99% of patients treated with either dose of </w:t>
      </w:r>
      <w:r w:rsidR="00DA265F" w:rsidRPr="00983CBE">
        <w:t>Repatha</w:t>
      </w:r>
      <w:r w:rsidR="003E5957" w:rsidRPr="00983CBE">
        <w:t xml:space="preserve"> achieved an LDL-C of &lt; 2.6 mmol/L and up </w:t>
      </w:r>
      <w:r w:rsidRPr="00983CBE">
        <w:t>to 9</w:t>
      </w:r>
      <w:r w:rsidR="00B9126B" w:rsidRPr="00983CBE">
        <w:t>5</w:t>
      </w:r>
      <w:r w:rsidRPr="00983CBE">
        <w:t xml:space="preserve">% patients treated with either dose of </w:t>
      </w:r>
      <w:r w:rsidR="00DA265F" w:rsidRPr="00983CBE">
        <w:t>Repatha</w:t>
      </w:r>
      <w:r w:rsidR="006B4114" w:rsidRPr="00983CBE">
        <w:t xml:space="preserve"> achieved an LDL-C &lt; 1.8 mmol/L</w:t>
      </w:r>
      <w:r w:rsidR="00EB3724">
        <w:t xml:space="preserve"> at the mean of weeks 10 and 12</w:t>
      </w:r>
      <w:r w:rsidR="003E5957" w:rsidRPr="00983CBE">
        <w:t>.</w:t>
      </w:r>
    </w:p>
    <w:p w14:paraId="1BCAA866" w14:textId="77777777" w:rsidR="00B9126B" w:rsidRDefault="00DA265F" w:rsidP="00F309DA">
      <w:pPr>
        <w:pStyle w:val="PItextbullet"/>
      </w:pPr>
      <w:r w:rsidRPr="00FA7A15">
        <w:t>Repatha</w:t>
      </w:r>
      <w:r w:rsidR="00212A66" w:rsidRPr="00FA7A15">
        <w:t xml:space="preserve"> </w:t>
      </w:r>
      <w:r w:rsidR="00B9126B" w:rsidRPr="00FA7A15">
        <w:t xml:space="preserve">was effective in </w:t>
      </w:r>
      <w:r w:rsidR="00493AB1" w:rsidRPr="00FA7A15">
        <w:t>reducing LDL-C regardless of baseline characteristics</w:t>
      </w:r>
      <w:r w:rsidR="00B2451A">
        <w:t>,</w:t>
      </w:r>
      <w:r w:rsidR="00493AB1" w:rsidRPr="00FA7A15">
        <w:t xml:space="preserve"> </w:t>
      </w:r>
      <w:r w:rsidR="00B9126B" w:rsidRPr="00FA7A15">
        <w:t>with no notable differences observed between subgroup, such as age, race, gender,</w:t>
      </w:r>
      <w:r w:rsidR="00EB3724" w:rsidRPr="00FA7A15">
        <w:t xml:space="preserve"> region,</w:t>
      </w:r>
      <w:r w:rsidR="00B9126B" w:rsidRPr="00FA7A15">
        <w:t xml:space="preserve"> body mass index</w:t>
      </w:r>
      <w:r w:rsidR="00BA577E">
        <w:t>,</w:t>
      </w:r>
      <w:r w:rsidR="00FA7A15" w:rsidRPr="00FA7A15">
        <w:t xml:space="preserve"> National Cholesterol Education Program (NCEP) risk, current smoking status, baseline coronary heart disease (CHD) risk factors, family history of premature CHD, glucose tolerance status (i.e., diabetes mellitus type 2, metabolic syndrome, or neither), hypertension, </w:t>
      </w:r>
      <w:r w:rsidR="00CD2AFE">
        <w:t xml:space="preserve">statin dose and intensity, </w:t>
      </w:r>
      <w:r w:rsidR="00FA7A15" w:rsidRPr="00FA7A15">
        <w:t>unbound baseline PCSK9, baseline LDL-C and baseline TG.</w:t>
      </w:r>
    </w:p>
    <w:p w14:paraId="48AAFF96" w14:textId="77777777" w:rsidR="00624DE0" w:rsidRPr="00624DE0" w:rsidRDefault="00355573" w:rsidP="00F309DA">
      <w:pPr>
        <w:pStyle w:val="PI-subheadernounderline"/>
      </w:pPr>
      <w:r>
        <w:t>H</w:t>
      </w:r>
      <w:r w:rsidR="00624DE0" w:rsidRPr="00624DE0">
        <w:t>omozygous familial hypercholesterol</w:t>
      </w:r>
      <w:r w:rsidR="003E3401">
        <w:t>a</w:t>
      </w:r>
      <w:r w:rsidR="00624DE0" w:rsidRPr="00624DE0">
        <w:t>emia:</w:t>
      </w:r>
    </w:p>
    <w:p w14:paraId="631BEF9D" w14:textId="77777777" w:rsidR="003E3401" w:rsidRPr="003E3401" w:rsidRDefault="003E3401" w:rsidP="00F309DA">
      <w:pPr>
        <w:pStyle w:val="PItextbullet"/>
      </w:pPr>
      <w:r w:rsidRPr="003E3401">
        <w:t xml:space="preserve">Repatha was effective in reducing LDL-C, TC, </w:t>
      </w:r>
      <w:proofErr w:type="spellStart"/>
      <w:r w:rsidRPr="003E3401">
        <w:t>ApoB</w:t>
      </w:r>
      <w:proofErr w:type="spellEnd"/>
      <w:r w:rsidRPr="003E3401">
        <w:t xml:space="preserve">, and non-HDL-C in patients with homozygous familial </w:t>
      </w:r>
      <w:r w:rsidR="00983361">
        <w:t>hypercholesterolaemia</w:t>
      </w:r>
      <w:r w:rsidRPr="003E3401">
        <w:t xml:space="preserve"> (HoFH).</w:t>
      </w:r>
    </w:p>
    <w:p w14:paraId="41C436DF" w14:textId="77777777" w:rsidR="003E3401" w:rsidRPr="003E3401" w:rsidRDefault="003E3401" w:rsidP="00F309DA">
      <w:pPr>
        <w:pStyle w:val="PItextbullet"/>
      </w:pPr>
      <w:r w:rsidRPr="003E3401">
        <w:t>Repatha 420</w:t>
      </w:r>
      <w:r w:rsidR="009160F4">
        <w:t xml:space="preserve"> mg</w:t>
      </w:r>
      <w:r w:rsidRPr="003E3401">
        <w:t xml:space="preserve"> once monthly and 420 mg once every 2 weeks demonstrated a sustained treatment effect as evidenced by reduction </w:t>
      </w:r>
      <w:r w:rsidR="00D5736C">
        <w:t>in</w:t>
      </w:r>
      <w:r w:rsidRPr="003E3401">
        <w:t xml:space="preserve"> LDL-C of approximately 20% to 30% in patients with HoFH not on apheresis and approximately 15% to 25% in patients with HoFH on apheresis.</w:t>
      </w:r>
    </w:p>
    <w:p w14:paraId="1F79E4E0" w14:textId="77777777" w:rsidR="00DB5264" w:rsidRDefault="003E3401" w:rsidP="00F309DA">
      <w:pPr>
        <w:pStyle w:val="PItextbullet"/>
      </w:pPr>
      <w:r w:rsidRPr="003E3401">
        <w:t xml:space="preserve">No overall differences in safety or efficacy of </w:t>
      </w:r>
      <w:r w:rsidR="00A26DB4">
        <w:t>Repatha</w:t>
      </w:r>
      <w:r w:rsidRPr="003E3401">
        <w:t xml:space="preserve"> were observed between adolescent and adult patients with HoFH.</w:t>
      </w:r>
    </w:p>
    <w:p w14:paraId="224E3361" w14:textId="77777777" w:rsidR="002950E5" w:rsidRPr="004A4E89" w:rsidRDefault="002950E5" w:rsidP="002950E5">
      <w:pPr>
        <w:pStyle w:val="PI-UnderlinedSubHeader"/>
        <w:rPr>
          <w:rFonts w:eastAsia="MS Mincho"/>
          <w:lang w:eastAsia="ja-JP"/>
        </w:rPr>
      </w:pPr>
      <w:r w:rsidRPr="004A4E89">
        <w:rPr>
          <w:rFonts w:eastAsia="MS Mincho"/>
          <w:lang w:eastAsia="ja-JP"/>
        </w:rPr>
        <w:t xml:space="preserve">Prevention of Cardiovascular Events </w:t>
      </w:r>
    </w:p>
    <w:p w14:paraId="2D15C716" w14:textId="77777777" w:rsidR="002950E5" w:rsidRPr="004E0E70" w:rsidRDefault="002950E5" w:rsidP="002950E5">
      <w:pPr>
        <w:pStyle w:val="PI-text"/>
        <w:rPr>
          <w:rFonts w:eastAsia="MS Mincho"/>
          <w:lang w:eastAsia="ja-JP"/>
        </w:rPr>
      </w:pPr>
      <w:r w:rsidRPr="004E0E70">
        <w:rPr>
          <w:rFonts w:eastAsia="MS Mincho"/>
          <w:lang w:eastAsia="ja-JP"/>
        </w:rPr>
        <w:t>FOURIER was a phase 3, double-blind, randomi</w:t>
      </w:r>
      <w:r>
        <w:rPr>
          <w:rFonts w:eastAsia="MS Mincho"/>
          <w:lang w:eastAsia="ja-JP"/>
        </w:rPr>
        <w:t>s</w:t>
      </w:r>
      <w:r w:rsidRPr="004E0E70">
        <w:rPr>
          <w:rFonts w:eastAsia="MS Mincho"/>
          <w:lang w:eastAsia="ja-JP"/>
        </w:rPr>
        <w:t xml:space="preserve">ed, placebo-controlled, event-driven, cardiovascular outcomes study to evaluate the effects of Repatha treatment in adult </w:t>
      </w:r>
      <w:r w:rsidRPr="004E0E70">
        <w:rPr>
          <w:rFonts w:eastAsia="MS Mincho"/>
          <w:lang w:eastAsia="ja-JP"/>
        </w:rPr>
        <w:lastRenderedPageBreak/>
        <w:t>patients with established cardiovascular disease [</w:t>
      </w:r>
      <w:r>
        <w:t xml:space="preserve">prior </w:t>
      </w:r>
      <w:r w:rsidRPr="00704EBB">
        <w:t>myocardial infarction</w:t>
      </w:r>
      <w:r>
        <w:t xml:space="preserve"> (81%)</w:t>
      </w:r>
      <w:r w:rsidRPr="00704EBB">
        <w:t xml:space="preserve">, </w:t>
      </w:r>
      <w:r>
        <w:t>prior</w:t>
      </w:r>
      <w:r w:rsidRPr="0009045F">
        <w:t xml:space="preserve"> </w:t>
      </w:r>
      <w:r w:rsidRPr="00704EBB">
        <w:t>non-h</w:t>
      </w:r>
      <w:r w:rsidR="008B2CE2">
        <w:t>a</w:t>
      </w:r>
      <w:r w:rsidRPr="00704EBB">
        <w:t>emorrhagic stroke</w:t>
      </w:r>
      <w:r>
        <w:t xml:space="preserve"> (19%)</w:t>
      </w:r>
      <w:r w:rsidRPr="00704EBB">
        <w:t>, or symptomatic peripheral arterial disease</w:t>
      </w:r>
      <w:r>
        <w:t xml:space="preserve"> (13%)]</w:t>
      </w:r>
      <w:r w:rsidRPr="004E0E70">
        <w:rPr>
          <w:rFonts w:eastAsia="MS Mincho"/>
          <w:lang w:eastAsia="ja-JP"/>
        </w:rPr>
        <w:t>.</w:t>
      </w:r>
    </w:p>
    <w:p w14:paraId="37836F55" w14:textId="77777777" w:rsidR="002950E5" w:rsidRPr="00315E47" w:rsidRDefault="002950E5" w:rsidP="002F5A60">
      <w:pPr>
        <w:pStyle w:val="PI-text"/>
        <w:rPr>
          <w:rFonts w:cs="Times New Roman"/>
          <w:szCs w:val="20"/>
          <w:lang w:val="en-AU"/>
        </w:rPr>
      </w:pPr>
      <w:r w:rsidRPr="0020340F">
        <w:t>Enrolled patients were on a stable background lipid lowering therapy</w:t>
      </w:r>
      <w:r w:rsidRPr="004E0E70">
        <w:rPr>
          <w:rFonts w:eastAsia="MS Mincho"/>
          <w:lang w:eastAsia="ja-JP"/>
        </w:rPr>
        <w:t xml:space="preserve"> </w:t>
      </w:r>
      <w:r w:rsidRPr="0020340F">
        <w:t>and h</w:t>
      </w:r>
      <w:r w:rsidR="00315E47">
        <w:t>ad</w:t>
      </w:r>
      <w:r w:rsidRPr="0020340F">
        <w:t xml:space="preserve"> LDL-C values </w:t>
      </w:r>
      <w:r w:rsidRPr="0020340F">
        <w:sym w:font="Symbol" w:char="F0B3"/>
      </w:r>
      <w:r w:rsidRPr="0020340F">
        <w:t xml:space="preserve"> 1.8 mmol/L or non-HDL-C values </w:t>
      </w:r>
      <w:r w:rsidRPr="0020340F">
        <w:sym w:font="Symbol" w:char="F0B3"/>
      </w:r>
      <w:r w:rsidRPr="0020340F">
        <w:t> 2.6 mmol/L with at least one major or at least two minor risk factors.</w:t>
      </w:r>
      <w:r w:rsidR="00921C54" w:rsidRPr="004E0E70">
        <w:t xml:space="preserve"> </w:t>
      </w:r>
      <w:r w:rsidRPr="004E0E70">
        <w:t>Most patients (99.7%) were on a high- (69.3%) or moderate-intensity (30.4%) statin therapy at baseline and most patients (99.6%) were taking at least one other cardiovascular medication</w:t>
      </w:r>
      <w:r w:rsidR="00315E47" w:rsidRPr="00315E47">
        <w:rPr>
          <w:rFonts w:cs="Times New Roman"/>
          <w:szCs w:val="20"/>
        </w:rPr>
        <w:t xml:space="preserve"> such as anti-platelet</w:t>
      </w:r>
      <w:r w:rsidR="00315E47">
        <w:t xml:space="preserve"> </w:t>
      </w:r>
      <w:r w:rsidR="00315E47" w:rsidRPr="00315E47">
        <w:rPr>
          <w:rFonts w:cs="Times New Roman"/>
          <w:szCs w:val="20"/>
          <w:lang w:val="en-AU"/>
        </w:rPr>
        <w:t>agents, beta blockers, ACE inhibitors, or angiotensin receptor blockers.</w:t>
      </w:r>
    </w:p>
    <w:p w14:paraId="4852EFA3" w14:textId="77777777" w:rsidR="002950E5" w:rsidRDefault="002950E5" w:rsidP="002950E5">
      <w:pPr>
        <w:pStyle w:val="PI-text"/>
      </w:pPr>
      <w:r w:rsidRPr="004E0E70">
        <w:t>A total of 27</w:t>
      </w:r>
      <w:r w:rsidR="00315E47">
        <w:t>,</w:t>
      </w:r>
      <w:r w:rsidRPr="004E0E70">
        <w:t>564 patients were randomi</w:t>
      </w:r>
      <w:r>
        <w:t>s</w:t>
      </w:r>
      <w:r w:rsidRPr="004E0E70">
        <w:t>ed 1:1 to receive either Repatha (140 mg every 2 weeks or 420 mg once monthly) or placebo (every 2 weeks or once monthly, respectively) subcutaneously with regular assessments every 12 weeks.</w:t>
      </w:r>
      <w:r>
        <w:t xml:space="preserve">  </w:t>
      </w:r>
      <w:r w:rsidRPr="004E0E70">
        <w:t>Patients were followed for a mean (SD) of 26.1 (6.4) months.  A total of 24.6% of patients were female, 85.1% were White, 9.9% were Asian, 2.4% were Black, and 7.9% were Hispanic/Latino. The mean (SD) age was 62.5 (9.0) years.</w:t>
      </w:r>
      <w:r>
        <w:t xml:space="preserve"> </w:t>
      </w:r>
      <w:r w:rsidRPr="004E0E70">
        <w:t xml:space="preserve"> </w:t>
      </w:r>
      <w:r w:rsidRPr="0009045F">
        <w:rPr>
          <w:lang w:val="en-AU"/>
        </w:rPr>
        <w:t>The median</w:t>
      </w:r>
      <w:r w:rsidRPr="00444A13">
        <w:t xml:space="preserve"> </w:t>
      </w:r>
      <w:r w:rsidRPr="00444A13">
        <w:rPr>
          <w:lang w:val="en-AU"/>
        </w:rPr>
        <w:t>(</w:t>
      </w:r>
      <w:r>
        <w:rPr>
          <w:lang w:val="en-AU"/>
        </w:rPr>
        <w:t>Q1, Q3</w:t>
      </w:r>
      <w:r w:rsidRPr="00444A13">
        <w:rPr>
          <w:lang w:val="en-AU"/>
        </w:rPr>
        <w:t>)</w:t>
      </w:r>
      <w:r w:rsidRPr="0009045F">
        <w:rPr>
          <w:lang w:val="en-AU"/>
        </w:rPr>
        <w:t xml:space="preserve"> LDL-C </w:t>
      </w:r>
      <w:r>
        <w:rPr>
          <w:lang w:val="en-AU"/>
        </w:rPr>
        <w:t xml:space="preserve">at baseline was </w:t>
      </w:r>
      <w:r w:rsidRPr="00444A13">
        <w:t>2.</w:t>
      </w:r>
      <w:r>
        <w:t>4</w:t>
      </w:r>
      <w:r w:rsidRPr="00444A13">
        <w:t xml:space="preserve"> </w:t>
      </w:r>
      <w:r>
        <w:t>(</w:t>
      </w:r>
      <w:r w:rsidRPr="00444A13">
        <w:t>2.</w:t>
      </w:r>
      <w:r>
        <w:t>1</w:t>
      </w:r>
      <w:r w:rsidRPr="00444A13">
        <w:t>, 2.8</w:t>
      </w:r>
      <w:r>
        <w:t>)</w:t>
      </w:r>
      <w:r w:rsidRPr="00444A13">
        <w:t xml:space="preserve"> mmol/L.</w:t>
      </w:r>
    </w:p>
    <w:p w14:paraId="10C8E018" w14:textId="7AC25268" w:rsidR="00D36731" w:rsidRDefault="002950E5" w:rsidP="002950E5">
      <w:pPr>
        <w:pStyle w:val="PI-text"/>
        <w:rPr>
          <w:rFonts w:eastAsia="MS Mincho"/>
          <w:lang w:eastAsia="ja-JP"/>
        </w:rPr>
      </w:pPr>
      <w:r w:rsidRPr="004E0E70">
        <w:rPr>
          <w:rFonts w:eastAsia="MS Mincho"/>
          <w:lang w:eastAsia="ja-JP"/>
        </w:rPr>
        <w:t xml:space="preserve">Repatha significantly </w:t>
      </w:r>
      <w:r w:rsidRPr="00486E20">
        <w:t>reduced the risk for the primary composite endpoint</w:t>
      </w:r>
      <w:r>
        <w:t xml:space="preserve"> (</w:t>
      </w:r>
      <w:r w:rsidRPr="004E0E70">
        <w:rPr>
          <w:rFonts w:eastAsia="MS Mincho"/>
          <w:lang w:eastAsia="ja-JP"/>
        </w:rPr>
        <w:t>time to cardiovascular death, myocardial infarction, stroke, hospitali</w:t>
      </w:r>
      <w:r>
        <w:rPr>
          <w:rFonts w:eastAsia="MS Mincho"/>
          <w:lang w:eastAsia="ja-JP"/>
        </w:rPr>
        <w:t>s</w:t>
      </w:r>
      <w:r w:rsidRPr="004E0E70">
        <w:rPr>
          <w:rFonts w:eastAsia="MS Mincho"/>
          <w:lang w:eastAsia="ja-JP"/>
        </w:rPr>
        <w:t>ation for unstable angina, or coronary revasculari</w:t>
      </w:r>
      <w:r>
        <w:rPr>
          <w:rFonts w:eastAsia="MS Mincho"/>
          <w:lang w:eastAsia="ja-JP"/>
        </w:rPr>
        <w:t>s</w:t>
      </w:r>
      <w:r w:rsidRPr="004E0E70">
        <w:rPr>
          <w:rFonts w:eastAsia="MS Mincho"/>
          <w:lang w:eastAsia="ja-JP"/>
        </w:rPr>
        <w:t>ation,</w:t>
      </w:r>
      <w:r w:rsidRPr="00486E20">
        <w:t xml:space="preserve"> </w:t>
      </w:r>
      <w:r w:rsidRPr="004E0E70">
        <w:rPr>
          <w:rFonts w:eastAsia="MS Mincho"/>
          <w:lang w:eastAsia="ja-JP"/>
        </w:rPr>
        <w:t>whichever occurred first)</w:t>
      </w:r>
      <w:r w:rsidRPr="00486E20">
        <w:t xml:space="preserve"> </w:t>
      </w:r>
      <w:r>
        <w:t>and the</w:t>
      </w:r>
      <w:r w:rsidRPr="00486E20">
        <w:t xml:space="preserve"> key secondary composite endpoint</w:t>
      </w:r>
      <w:r>
        <w:t xml:space="preserve"> (</w:t>
      </w:r>
      <w:r w:rsidRPr="004E0E70">
        <w:rPr>
          <w:rFonts w:eastAsia="MS Mincho"/>
          <w:lang w:eastAsia="ja-JP"/>
        </w:rPr>
        <w:t>time to cardiovascular death, myocardial infarction, or stroke,</w:t>
      </w:r>
      <w:r w:rsidRPr="00486E20">
        <w:t xml:space="preserve"> </w:t>
      </w:r>
      <w:r w:rsidRPr="004E0E70">
        <w:rPr>
          <w:rFonts w:eastAsia="MS Mincho"/>
          <w:lang w:eastAsia="ja-JP"/>
        </w:rPr>
        <w:t>whichever occurred first)</w:t>
      </w:r>
      <w:r>
        <w:t>.</w:t>
      </w:r>
      <w:r w:rsidR="00F40F21">
        <w:t xml:space="preserve">  </w:t>
      </w:r>
      <w:r w:rsidR="006D0523">
        <w:t xml:space="preserve">No significant difference was observed on cardiovascular </w:t>
      </w:r>
      <w:r w:rsidR="00392961">
        <w:t>or all-cause mortality</w:t>
      </w:r>
      <w:r w:rsidR="00DE438F">
        <w:t xml:space="preserve">; </w:t>
      </w:r>
      <w:r w:rsidR="00BE3AB2">
        <w:t xml:space="preserve">the study was not </w:t>
      </w:r>
      <w:r w:rsidR="00DF3D32">
        <w:t xml:space="preserve">powered </w:t>
      </w:r>
      <w:r w:rsidR="00BE3AB2">
        <w:t>to detect such a difference.</w:t>
      </w:r>
      <w:r w:rsidR="00BA11A6">
        <w:rPr>
          <w:rFonts w:eastAsia="MS Mincho"/>
          <w:lang w:eastAsia="ja-JP"/>
        </w:rPr>
        <w:t xml:space="preserve">  </w:t>
      </w:r>
      <w:r w:rsidRPr="004E0E70">
        <w:rPr>
          <w:rFonts w:eastAsia="MS Mincho"/>
          <w:lang w:eastAsia="ja-JP"/>
        </w:rPr>
        <w:t xml:space="preserve">The results of primary and secondary efficacy endpoints are shown in </w:t>
      </w:r>
      <w:r w:rsidR="00A25458">
        <w:rPr>
          <w:rFonts w:eastAsia="MS Mincho"/>
          <w:lang w:eastAsia="ja-JP"/>
        </w:rPr>
        <w:fldChar w:fldCharType="begin"/>
      </w:r>
      <w:r w:rsidR="00A25458">
        <w:rPr>
          <w:rFonts w:eastAsia="MS Mincho"/>
          <w:lang w:eastAsia="ja-JP"/>
        </w:rPr>
        <w:instrText xml:space="preserve"> REF _Ref506363611 \h </w:instrText>
      </w:r>
      <w:r w:rsidR="00A25458">
        <w:rPr>
          <w:rFonts w:eastAsia="MS Mincho"/>
          <w:lang w:eastAsia="ja-JP"/>
        </w:rPr>
      </w:r>
      <w:r w:rsidR="00A25458">
        <w:rPr>
          <w:rFonts w:eastAsia="MS Mincho"/>
          <w:lang w:eastAsia="ja-JP"/>
        </w:rPr>
        <w:fldChar w:fldCharType="separate"/>
      </w:r>
      <w:r w:rsidR="008C495D" w:rsidRPr="00E37367">
        <w:t xml:space="preserve">Table </w:t>
      </w:r>
      <w:r w:rsidR="008C495D">
        <w:rPr>
          <w:noProof/>
        </w:rPr>
        <w:t>1</w:t>
      </w:r>
      <w:r w:rsidR="00A25458">
        <w:rPr>
          <w:rFonts w:eastAsia="MS Mincho"/>
          <w:lang w:eastAsia="ja-JP"/>
        </w:rPr>
        <w:fldChar w:fldCharType="end"/>
      </w:r>
      <w:r w:rsidR="00A25458">
        <w:rPr>
          <w:rFonts w:eastAsia="MS Mincho"/>
          <w:lang w:eastAsia="ja-JP"/>
        </w:rPr>
        <w:t xml:space="preserve"> </w:t>
      </w:r>
      <w:r w:rsidRPr="004E0E70">
        <w:rPr>
          <w:rFonts w:eastAsia="MS Mincho"/>
          <w:lang w:eastAsia="ja-JP"/>
        </w:rPr>
        <w:t>and</w:t>
      </w:r>
      <w:r w:rsidR="001C10B6">
        <w:rPr>
          <w:rFonts w:eastAsia="MS Mincho"/>
          <w:lang w:eastAsia="ja-JP"/>
        </w:rPr>
        <w:t xml:space="preserve"> </w:t>
      </w:r>
      <w:r w:rsidR="001C10B6">
        <w:rPr>
          <w:rFonts w:eastAsia="MS Mincho"/>
          <w:lang w:eastAsia="ja-JP"/>
        </w:rPr>
        <w:fldChar w:fldCharType="begin"/>
      </w:r>
      <w:r w:rsidR="001C10B6">
        <w:rPr>
          <w:rFonts w:eastAsia="MS Mincho"/>
          <w:lang w:eastAsia="ja-JP"/>
        </w:rPr>
        <w:instrText xml:space="preserve"> REF _Ref506364002 \h </w:instrText>
      </w:r>
      <w:r w:rsidR="001C10B6">
        <w:rPr>
          <w:rFonts w:eastAsia="MS Mincho"/>
          <w:lang w:eastAsia="ja-JP"/>
        </w:rPr>
      </w:r>
      <w:r w:rsidR="001C10B6">
        <w:rPr>
          <w:rFonts w:eastAsia="MS Mincho"/>
          <w:lang w:eastAsia="ja-JP"/>
        </w:rPr>
        <w:fldChar w:fldCharType="separate"/>
      </w:r>
      <w:r w:rsidR="008C495D" w:rsidRPr="00D10DBB">
        <w:t xml:space="preserve">Figure </w:t>
      </w:r>
      <w:r w:rsidR="008C495D">
        <w:rPr>
          <w:noProof/>
        </w:rPr>
        <w:t>3</w:t>
      </w:r>
      <w:r w:rsidR="001C10B6">
        <w:rPr>
          <w:rFonts w:eastAsia="MS Mincho"/>
          <w:lang w:eastAsia="ja-JP"/>
        </w:rPr>
        <w:fldChar w:fldCharType="end"/>
      </w:r>
      <w:r w:rsidR="001C10B6">
        <w:rPr>
          <w:rFonts w:eastAsia="MS Mincho"/>
          <w:lang w:eastAsia="ja-JP"/>
        </w:rPr>
        <w:t xml:space="preserve"> </w:t>
      </w:r>
      <w:r w:rsidRPr="004E0E70">
        <w:rPr>
          <w:rFonts w:eastAsia="MS Mincho"/>
          <w:lang w:eastAsia="ja-JP"/>
        </w:rPr>
        <w:t xml:space="preserve">and </w:t>
      </w:r>
      <w:r w:rsidR="001C10B6">
        <w:rPr>
          <w:rFonts w:eastAsia="MS Mincho"/>
        </w:rPr>
        <w:fldChar w:fldCharType="begin"/>
      </w:r>
      <w:r w:rsidR="001C10B6">
        <w:rPr>
          <w:rFonts w:eastAsia="MS Mincho"/>
          <w:lang w:eastAsia="ja-JP"/>
        </w:rPr>
        <w:instrText xml:space="preserve"> REF _Ref506364021 \h </w:instrText>
      </w:r>
      <w:r w:rsidR="001C10B6">
        <w:rPr>
          <w:rFonts w:eastAsia="MS Mincho"/>
        </w:rPr>
      </w:r>
      <w:r w:rsidR="001C10B6">
        <w:rPr>
          <w:rFonts w:eastAsia="MS Mincho"/>
        </w:rPr>
        <w:fldChar w:fldCharType="separate"/>
      </w:r>
      <w:r w:rsidR="008C495D" w:rsidRPr="00D10DBB">
        <w:t xml:space="preserve">Figure </w:t>
      </w:r>
      <w:r w:rsidR="008C495D">
        <w:rPr>
          <w:noProof/>
        </w:rPr>
        <w:t>4</w:t>
      </w:r>
      <w:r w:rsidR="001C10B6">
        <w:rPr>
          <w:rFonts w:eastAsia="MS Mincho"/>
        </w:rPr>
        <w:fldChar w:fldCharType="end"/>
      </w:r>
      <w:r w:rsidRPr="004E0E70">
        <w:rPr>
          <w:rFonts w:eastAsia="MS Mincho"/>
          <w:lang w:eastAsia="ja-JP"/>
        </w:rPr>
        <w:t xml:space="preserve"> below.</w:t>
      </w:r>
    </w:p>
    <w:p w14:paraId="557D93B4" w14:textId="77777777" w:rsidR="00A729F6" w:rsidRPr="00E37367" w:rsidRDefault="00110CE2" w:rsidP="0001737E">
      <w:pPr>
        <w:pStyle w:val="Caption"/>
        <w:spacing w:after="240"/>
      </w:pPr>
      <w:bookmarkStart w:id="4" w:name="_Ref506363611"/>
      <w:bookmarkStart w:id="5" w:name="_Toc475880311"/>
      <w:proofErr w:type="gramStart"/>
      <w:r w:rsidRPr="00E37367">
        <w:t xml:space="preserve">Table </w:t>
      </w:r>
      <w:r w:rsidR="002351AF">
        <w:fldChar w:fldCharType="begin"/>
      </w:r>
      <w:r w:rsidR="002351AF">
        <w:instrText xml:space="preserve"> SEQ Table \* ARABIC </w:instrText>
      </w:r>
      <w:r w:rsidR="002351AF">
        <w:fldChar w:fldCharType="separate"/>
      </w:r>
      <w:r w:rsidR="008C495D">
        <w:rPr>
          <w:noProof/>
        </w:rPr>
        <w:t>1</w:t>
      </w:r>
      <w:r w:rsidR="002351AF">
        <w:rPr>
          <w:noProof/>
        </w:rPr>
        <w:fldChar w:fldCharType="end"/>
      </w:r>
      <w:bookmarkEnd w:id="4"/>
      <w:r w:rsidRPr="00E37367">
        <w:t>.</w:t>
      </w:r>
      <w:proofErr w:type="gramEnd"/>
      <w:r w:rsidRPr="00E37367">
        <w:t xml:space="preserve"> </w:t>
      </w:r>
      <w:r w:rsidR="00A25458" w:rsidRPr="00E37367">
        <w:t xml:space="preserve"> </w:t>
      </w:r>
      <w:r w:rsidR="00A729F6" w:rsidRPr="00E37367">
        <w:t>Summary of Primary and Secondary Efficacy Endpoints</w:t>
      </w:r>
    </w:p>
    <w:bookmarkEnd w:id="5"/>
    <w:tbl>
      <w:tblPr>
        <w:tblW w:w="9395" w:type="dxa"/>
        <w:jc w:val="center"/>
        <w:tblLayout w:type="fixed"/>
        <w:tblCellMar>
          <w:left w:w="0" w:type="dxa"/>
          <w:right w:w="0" w:type="dxa"/>
        </w:tblCellMar>
        <w:tblLook w:val="0000" w:firstRow="0" w:lastRow="0" w:firstColumn="0" w:lastColumn="0" w:noHBand="0" w:noVBand="0"/>
      </w:tblPr>
      <w:tblGrid>
        <w:gridCol w:w="3671"/>
        <w:gridCol w:w="1429"/>
        <w:gridCol w:w="1430"/>
        <w:gridCol w:w="1876"/>
        <w:gridCol w:w="989"/>
      </w:tblGrid>
      <w:tr w:rsidR="004A5245" w:rsidRPr="00B46403" w14:paraId="6D05EB2B" w14:textId="77777777" w:rsidTr="003E6D93">
        <w:trPr>
          <w:cantSplit/>
          <w:trHeight w:val="400"/>
          <w:tblHeader/>
          <w:jc w:val="center"/>
        </w:trPr>
        <w:tc>
          <w:tcPr>
            <w:tcW w:w="3671" w:type="dxa"/>
            <w:tcBorders>
              <w:top w:val="single" w:sz="4" w:space="0" w:color="000000"/>
              <w:left w:val="single" w:sz="4" w:space="0" w:color="000000"/>
              <w:bottom w:val="single" w:sz="4" w:space="0" w:color="000000"/>
              <w:right w:val="nil"/>
            </w:tcBorders>
            <w:shd w:val="clear" w:color="auto" w:fill="FFFFFF"/>
            <w:tcMar>
              <w:left w:w="20" w:type="dxa"/>
              <w:right w:w="20" w:type="dxa"/>
            </w:tcMar>
            <w:vAlign w:val="bottom"/>
          </w:tcPr>
          <w:p w14:paraId="4D984C36" w14:textId="77777777" w:rsidR="00A729F6" w:rsidRPr="00B46403" w:rsidRDefault="00A729F6" w:rsidP="00D5220E">
            <w:pPr>
              <w:spacing w:before="120" w:after="120" w:line="240" w:lineRule="atLeast"/>
              <w:jc w:val="center"/>
              <w:rPr>
                <w:color w:val="000000"/>
                <w:sz w:val="20"/>
              </w:rPr>
            </w:pPr>
          </w:p>
        </w:tc>
        <w:tc>
          <w:tcPr>
            <w:tcW w:w="1429" w:type="dxa"/>
            <w:tcBorders>
              <w:top w:val="single" w:sz="4" w:space="0" w:color="000000"/>
              <w:left w:val="nil"/>
              <w:bottom w:val="single" w:sz="4" w:space="0" w:color="000000"/>
              <w:right w:val="nil"/>
            </w:tcBorders>
            <w:shd w:val="clear" w:color="auto" w:fill="FFFFFF"/>
            <w:tcMar>
              <w:left w:w="20" w:type="dxa"/>
              <w:right w:w="20" w:type="dxa"/>
            </w:tcMar>
            <w:vAlign w:val="bottom"/>
          </w:tcPr>
          <w:p w14:paraId="66B09C11" w14:textId="77777777" w:rsidR="00A729F6" w:rsidRPr="00B46403" w:rsidRDefault="00A729F6" w:rsidP="00D5220E">
            <w:pPr>
              <w:spacing w:before="120" w:after="120" w:line="240" w:lineRule="atLeast"/>
              <w:jc w:val="center"/>
              <w:rPr>
                <w:color w:val="000000"/>
                <w:sz w:val="20"/>
              </w:rPr>
            </w:pPr>
            <w:proofErr w:type="gramStart"/>
            <w:r w:rsidRPr="00B46403">
              <w:rPr>
                <w:color w:val="000000"/>
                <w:sz w:val="20"/>
              </w:rPr>
              <w:t>Placebo</w:t>
            </w:r>
            <w:proofErr w:type="gramEnd"/>
            <w:r w:rsidRPr="00B46403">
              <w:rPr>
                <w:color w:val="000000"/>
                <w:sz w:val="20"/>
              </w:rPr>
              <w:br/>
              <w:t>(N = 13780)</w:t>
            </w:r>
            <w:r w:rsidRPr="00B46403">
              <w:rPr>
                <w:color w:val="000000"/>
                <w:sz w:val="20"/>
              </w:rPr>
              <w:br/>
              <w:t>n  (%)</w:t>
            </w:r>
          </w:p>
        </w:tc>
        <w:tc>
          <w:tcPr>
            <w:tcW w:w="1430" w:type="dxa"/>
            <w:tcBorders>
              <w:top w:val="single" w:sz="4" w:space="0" w:color="000000"/>
              <w:left w:val="nil"/>
              <w:bottom w:val="single" w:sz="4" w:space="0" w:color="000000"/>
              <w:right w:val="nil"/>
            </w:tcBorders>
            <w:shd w:val="clear" w:color="auto" w:fill="FFFFFF"/>
            <w:tcMar>
              <w:left w:w="20" w:type="dxa"/>
              <w:right w:w="20" w:type="dxa"/>
            </w:tcMar>
            <w:vAlign w:val="bottom"/>
          </w:tcPr>
          <w:p w14:paraId="206019F6" w14:textId="77777777" w:rsidR="00A729F6" w:rsidRPr="00B46403" w:rsidRDefault="00A729F6" w:rsidP="00D5220E">
            <w:pPr>
              <w:spacing w:before="120" w:after="120" w:line="240" w:lineRule="atLeast"/>
              <w:jc w:val="center"/>
              <w:rPr>
                <w:color w:val="000000"/>
                <w:sz w:val="20"/>
              </w:rPr>
            </w:pPr>
            <w:proofErr w:type="gramStart"/>
            <w:r w:rsidRPr="00B46403">
              <w:rPr>
                <w:color w:val="000000"/>
                <w:sz w:val="20"/>
              </w:rPr>
              <w:t>Repatha</w:t>
            </w:r>
            <w:proofErr w:type="gramEnd"/>
            <w:r w:rsidRPr="00B46403">
              <w:rPr>
                <w:color w:val="000000"/>
                <w:sz w:val="20"/>
              </w:rPr>
              <w:br/>
              <w:t>(N = 13784)</w:t>
            </w:r>
            <w:r w:rsidRPr="00B46403">
              <w:rPr>
                <w:color w:val="000000"/>
                <w:sz w:val="20"/>
              </w:rPr>
              <w:br/>
              <w:t>n  (%)</w:t>
            </w:r>
          </w:p>
        </w:tc>
        <w:tc>
          <w:tcPr>
            <w:tcW w:w="1876" w:type="dxa"/>
            <w:tcBorders>
              <w:top w:val="single" w:sz="4" w:space="0" w:color="000000"/>
              <w:left w:val="nil"/>
              <w:bottom w:val="single" w:sz="4" w:space="0" w:color="000000"/>
              <w:right w:val="nil"/>
            </w:tcBorders>
            <w:shd w:val="clear" w:color="auto" w:fill="FFFFFF"/>
            <w:tcMar>
              <w:left w:w="20" w:type="dxa"/>
              <w:right w:w="20" w:type="dxa"/>
            </w:tcMar>
            <w:vAlign w:val="bottom"/>
          </w:tcPr>
          <w:p w14:paraId="21D0A76B" w14:textId="77777777" w:rsidR="00A729F6" w:rsidRPr="00B46403" w:rsidRDefault="00A729F6" w:rsidP="00D5220E">
            <w:pPr>
              <w:spacing w:before="120" w:after="120" w:line="240" w:lineRule="atLeast"/>
              <w:jc w:val="center"/>
              <w:rPr>
                <w:color w:val="000000"/>
                <w:sz w:val="20"/>
              </w:rPr>
            </w:pPr>
            <w:r w:rsidRPr="00B46403">
              <w:rPr>
                <w:color w:val="000000"/>
                <w:sz w:val="20"/>
              </w:rPr>
              <w:t xml:space="preserve">Hazard </w:t>
            </w:r>
            <w:proofErr w:type="spellStart"/>
            <w:r w:rsidRPr="00B46403">
              <w:rPr>
                <w:color w:val="000000"/>
                <w:sz w:val="20"/>
              </w:rPr>
              <w:t>Ratio</w:t>
            </w:r>
            <w:r w:rsidRPr="00B46403">
              <w:rPr>
                <w:color w:val="000000"/>
                <w:sz w:val="20"/>
                <w:vertAlign w:val="superscript"/>
              </w:rPr>
              <w:t>a</w:t>
            </w:r>
            <w:proofErr w:type="spellEnd"/>
            <w:r w:rsidRPr="00B46403">
              <w:rPr>
                <w:color w:val="000000"/>
                <w:sz w:val="20"/>
              </w:rPr>
              <w:br/>
              <w:t>(95% CI)</w:t>
            </w:r>
          </w:p>
        </w:tc>
        <w:tc>
          <w:tcPr>
            <w:tcW w:w="989" w:type="dxa"/>
            <w:tcBorders>
              <w:top w:val="single" w:sz="4" w:space="0" w:color="000000"/>
              <w:left w:val="nil"/>
              <w:bottom w:val="single" w:sz="4" w:space="0" w:color="000000"/>
              <w:right w:val="single" w:sz="4" w:space="0" w:color="000000"/>
            </w:tcBorders>
            <w:shd w:val="clear" w:color="auto" w:fill="FFFFFF"/>
            <w:tcMar>
              <w:left w:w="20" w:type="dxa"/>
              <w:right w:w="20" w:type="dxa"/>
            </w:tcMar>
            <w:vAlign w:val="bottom"/>
          </w:tcPr>
          <w:p w14:paraId="5CB37E6C" w14:textId="77777777" w:rsidR="00A729F6" w:rsidRPr="00B46403" w:rsidRDefault="00A729F6" w:rsidP="00D5220E">
            <w:pPr>
              <w:spacing w:before="120" w:after="120" w:line="240" w:lineRule="atLeast"/>
              <w:jc w:val="center"/>
              <w:rPr>
                <w:color w:val="000000"/>
                <w:sz w:val="20"/>
              </w:rPr>
            </w:pPr>
            <w:r w:rsidRPr="00B46403">
              <w:rPr>
                <w:color w:val="000000"/>
                <w:sz w:val="20"/>
              </w:rPr>
              <w:t>p-</w:t>
            </w:r>
            <w:proofErr w:type="spellStart"/>
            <w:r w:rsidRPr="00B46403">
              <w:rPr>
                <w:color w:val="000000"/>
                <w:sz w:val="20"/>
              </w:rPr>
              <w:t>value</w:t>
            </w:r>
            <w:r w:rsidRPr="00B46403">
              <w:rPr>
                <w:color w:val="000000"/>
                <w:sz w:val="20"/>
                <w:vertAlign w:val="superscript"/>
              </w:rPr>
              <w:t>b</w:t>
            </w:r>
            <w:proofErr w:type="spellEnd"/>
          </w:p>
        </w:tc>
      </w:tr>
      <w:tr w:rsidR="00A729F6" w:rsidRPr="00B46403" w14:paraId="672D9808" w14:textId="77777777" w:rsidTr="000D5746">
        <w:trPr>
          <w:cantSplit/>
          <w:trHeight w:val="174"/>
          <w:jc w:val="center"/>
        </w:trPr>
        <w:tc>
          <w:tcPr>
            <w:tcW w:w="3671" w:type="dxa"/>
            <w:tcBorders>
              <w:top w:val="nil"/>
              <w:left w:val="single" w:sz="4" w:space="0" w:color="000000"/>
              <w:bottom w:val="nil"/>
              <w:right w:val="nil"/>
            </w:tcBorders>
            <w:shd w:val="clear" w:color="auto" w:fill="FFFFFF"/>
            <w:tcMar>
              <w:left w:w="20" w:type="dxa"/>
              <w:right w:w="20" w:type="dxa"/>
            </w:tcMar>
            <w:vAlign w:val="center"/>
          </w:tcPr>
          <w:p w14:paraId="171BCD14" w14:textId="77777777" w:rsidR="00A729F6" w:rsidRPr="00B46403" w:rsidRDefault="00A729F6" w:rsidP="00D36731">
            <w:pPr>
              <w:spacing w:beforeLines="20" w:before="48" w:afterLines="20" w:after="48" w:line="240" w:lineRule="atLeast"/>
              <w:rPr>
                <w:color w:val="000000"/>
                <w:sz w:val="20"/>
              </w:rPr>
            </w:pPr>
            <w:r w:rsidRPr="00B46403">
              <w:rPr>
                <w:color w:val="000000"/>
                <w:sz w:val="20"/>
              </w:rPr>
              <w:t>Primary endpoint</w:t>
            </w:r>
          </w:p>
          <w:p w14:paraId="209746DE" w14:textId="77777777" w:rsidR="00EE6420" w:rsidRPr="00B46403" w:rsidRDefault="00EE6420" w:rsidP="00D36731">
            <w:pPr>
              <w:spacing w:beforeLines="20" w:before="48" w:afterLines="20" w:after="48" w:line="240" w:lineRule="atLeast"/>
              <w:rPr>
                <w:color w:val="000000"/>
                <w:sz w:val="20"/>
              </w:rPr>
            </w:pPr>
            <w:r w:rsidRPr="00B46403">
              <w:rPr>
                <w:color w:val="000000"/>
                <w:sz w:val="20"/>
              </w:rPr>
              <w:t>(</w:t>
            </w:r>
            <w:r w:rsidR="001E1E22" w:rsidRPr="00B46403">
              <w:rPr>
                <w:color w:val="000000"/>
                <w:sz w:val="20"/>
              </w:rPr>
              <w:t>C</w:t>
            </w:r>
            <w:r w:rsidRPr="00B46403">
              <w:rPr>
                <w:color w:val="000000"/>
                <w:sz w:val="20"/>
              </w:rPr>
              <w:t>ardiovascular death, myocardial infarction, hospitali</w:t>
            </w:r>
            <w:r w:rsidR="00224391" w:rsidRPr="00B46403">
              <w:rPr>
                <w:color w:val="000000"/>
                <w:sz w:val="20"/>
              </w:rPr>
              <w:t>s</w:t>
            </w:r>
            <w:r w:rsidRPr="00B46403">
              <w:rPr>
                <w:color w:val="000000"/>
                <w:sz w:val="20"/>
              </w:rPr>
              <w:t>ation for unstable angina, stroke, or coronary revasculari</w:t>
            </w:r>
            <w:r w:rsidR="00224391" w:rsidRPr="00B46403">
              <w:rPr>
                <w:color w:val="000000"/>
                <w:sz w:val="20"/>
              </w:rPr>
              <w:t>s</w:t>
            </w:r>
            <w:r w:rsidRPr="00B46403">
              <w:rPr>
                <w:color w:val="000000"/>
                <w:sz w:val="20"/>
              </w:rPr>
              <w:t>ation)</w:t>
            </w:r>
          </w:p>
        </w:tc>
        <w:tc>
          <w:tcPr>
            <w:tcW w:w="1429" w:type="dxa"/>
            <w:tcBorders>
              <w:top w:val="nil"/>
              <w:left w:val="nil"/>
              <w:bottom w:val="nil"/>
              <w:right w:val="nil"/>
            </w:tcBorders>
            <w:shd w:val="clear" w:color="auto" w:fill="FFFFFF"/>
            <w:tcMar>
              <w:left w:w="20" w:type="dxa"/>
              <w:right w:w="20" w:type="dxa"/>
            </w:tcMar>
          </w:tcPr>
          <w:p w14:paraId="66867AE1"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1563 (11.34)</w:t>
            </w:r>
          </w:p>
        </w:tc>
        <w:tc>
          <w:tcPr>
            <w:tcW w:w="1430" w:type="dxa"/>
            <w:tcBorders>
              <w:top w:val="nil"/>
              <w:left w:val="nil"/>
              <w:bottom w:val="nil"/>
              <w:right w:val="nil"/>
            </w:tcBorders>
            <w:shd w:val="clear" w:color="auto" w:fill="FFFFFF"/>
            <w:tcMar>
              <w:left w:w="20" w:type="dxa"/>
              <w:right w:w="20" w:type="dxa"/>
            </w:tcMar>
          </w:tcPr>
          <w:p w14:paraId="5024E779"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1344 (9.75)</w:t>
            </w:r>
          </w:p>
        </w:tc>
        <w:tc>
          <w:tcPr>
            <w:tcW w:w="1876" w:type="dxa"/>
            <w:tcBorders>
              <w:top w:val="nil"/>
              <w:left w:val="nil"/>
              <w:bottom w:val="nil"/>
              <w:right w:val="nil"/>
            </w:tcBorders>
            <w:shd w:val="clear" w:color="auto" w:fill="FFFFFF"/>
            <w:tcMar>
              <w:left w:w="20" w:type="dxa"/>
              <w:right w:w="20" w:type="dxa"/>
            </w:tcMar>
          </w:tcPr>
          <w:p w14:paraId="32D0EFB7"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0.85 (0.79, 0.92)</w:t>
            </w:r>
          </w:p>
        </w:tc>
        <w:tc>
          <w:tcPr>
            <w:tcW w:w="989" w:type="dxa"/>
            <w:tcBorders>
              <w:top w:val="nil"/>
              <w:left w:val="nil"/>
              <w:bottom w:val="nil"/>
              <w:right w:val="single" w:sz="4" w:space="0" w:color="000000"/>
            </w:tcBorders>
            <w:shd w:val="clear" w:color="auto" w:fill="FFFFFF"/>
            <w:tcMar>
              <w:left w:w="20" w:type="dxa"/>
              <w:right w:w="20" w:type="dxa"/>
            </w:tcMar>
          </w:tcPr>
          <w:p w14:paraId="14890265"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&lt;0.0001</w:t>
            </w:r>
          </w:p>
        </w:tc>
      </w:tr>
      <w:tr w:rsidR="00A729F6" w:rsidRPr="00B46403" w14:paraId="6A42DCA9" w14:textId="77777777" w:rsidTr="003E6D93">
        <w:trPr>
          <w:cantSplit/>
          <w:trHeight w:val="165"/>
          <w:jc w:val="center"/>
        </w:trPr>
        <w:tc>
          <w:tcPr>
            <w:tcW w:w="3671" w:type="dxa"/>
            <w:tcBorders>
              <w:top w:val="nil"/>
              <w:left w:val="single" w:sz="4" w:space="0" w:color="000000"/>
              <w:bottom w:val="nil"/>
              <w:right w:val="nil"/>
            </w:tcBorders>
            <w:shd w:val="clear" w:color="auto" w:fill="FFFFFF"/>
            <w:tcMar>
              <w:left w:w="20" w:type="dxa"/>
              <w:right w:w="20" w:type="dxa"/>
            </w:tcMar>
            <w:vAlign w:val="center"/>
          </w:tcPr>
          <w:p w14:paraId="5B2E65B6" w14:textId="77777777" w:rsidR="00A729F6" w:rsidRPr="00B46403" w:rsidRDefault="00A729F6" w:rsidP="00D36731">
            <w:pPr>
              <w:spacing w:beforeLines="20" w:before="48" w:afterLines="20" w:after="48" w:line="240" w:lineRule="atLeast"/>
              <w:rPr>
                <w:color w:val="000000"/>
                <w:sz w:val="20"/>
              </w:rPr>
            </w:pPr>
            <w:r w:rsidRPr="00B46403">
              <w:rPr>
                <w:color w:val="000000"/>
                <w:sz w:val="20"/>
              </w:rPr>
              <w:t>Key secondary endpoint</w:t>
            </w:r>
          </w:p>
        </w:tc>
        <w:tc>
          <w:tcPr>
            <w:tcW w:w="1429" w:type="dxa"/>
            <w:tcBorders>
              <w:top w:val="nil"/>
              <w:left w:val="nil"/>
              <w:bottom w:val="nil"/>
              <w:right w:val="nil"/>
            </w:tcBorders>
            <w:shd w:val="clear" w:color="auto" w:fill="FFFFFF"/>
            <w:tcMar>
              <w:left w:w="20" w:type="dxa"/>
              <w:right w:w="20" w:type="dxa"/>
            </w:tcMar>
            <w:vAlign w:val="center"/>
          </w:tcPr>
          <w:p w14:paraId="1E00EC28"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1013 (7.35)</w:t>
            </w:r>
          </w:p>
        </w:tc>
        <w:tc>
          <w:tcPr>
            <w:tcW w:w="1430" w:type="dxa"/>
            <w:tcBorders>
              <w:top w:val="nil"/>
              <w:left w:val="nil"/>
              <w:bottom w:val="nil"/>
              <w:right w:val="nil"/>
            </w:tcBorders>
            <w:shd w:val="clear" w:color="auto" w:fill="FFFFFF"/>
            <w:tcMar>
              <w:left w:w="20" w:type="dxa"/>
              <w:right w:w="20" w:type="dxa"/>
            </w:tcMar>
            <w:vAlign w:val="center"/>
          </w:tcPr>
          <w:p w14:paraId="247089BC"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816 (5.92)</w:t>
            </w:r>
          </w:p>
        </w:tc>
        <w:tc>
          <w:tcPr>
            <w:tcW w:w="1876" w:type="dxa"/>
            <w:tcBorders>
              <w:top w:val="nil"/>
              <w:left w:val="nil"/>
              <w:bottom w:val="nil"/>
              <w:right w:val="nil"/>
            </w:tcBorders>
            <w:shd w:val="clear" w:color="auto" w:fill="FFFFFF"/>
            <w:tcMar>
              <w:left w:w="20" w:type="dxa"/>
              <w:right w:w="20" w:type="dxa"/>
            </w:tcMar>
            <w:vAlign w:val="center"/>
          </w:tcPr>
          <w:p w14:paraId="0C60A48D"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0.80 (0.73, 0.88)</w:t>
            </w:r>
          </w:p>
        </w:tc>
        <w:tc>
          <w:tcPr>
            <w:tcW w:w="989" w:type="dxa"/>
            <w:tcBorders>
              <w:top w:val="nil"/>
              <w:left w:val="nil"/>
              <w:bottom w:val="nil"/>
              <w:right w:val="single" w:sz="4" w:space="0" w:color="000000"/>
            </w:tcBorders>
            <w:shd w:val="clear" w:color="auto" w:fill="FFFFFF"/>
            <w:tcMar>
              <w:left w:w="20" w:type="dxa"/>
              <w:right w:w="20" w:type="dxa"/>
            </w:tcMar>
            <w:vAlign w:val="center"/>
          </w:tcPr>
          <w:p w14:paraId="729571FD"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&lt;0.0001</w:t>
            </w:r>
          </w:p>
        </w:tc>
      </w:tr>
      <w:tr w:rsidR="00A729F6" w:rsidRPr="00B46403" w14:paraId="13C3F360" w14:textId="77777777" w:rsidTr="003E6D93">
        <w:trPr>
          <w:cantSplit/>
          <w:trHeight w:val="57"/>
          <w:jc w:val="center"/>
        </w:trPr>
        <w:tc>
          <w:tcPr>
            <w:tcW w:w="9395" w:type="dxa"/>
            <w:gridSpan w:val="5"/>
            <w:tcBorders>
              <w:top w:val="nil"/>
              <w:left w:val="single" w:sz="4" w:space="0" w:color="000000"/>
              <w:bottom w:val="nil"/>
              <w:right w:val="single" w:sz="4" w:space="0" w:color="000000"/>
            </w:tcBorders>
            <w:shd w:val="clear" w:color="auto" w:fill="FFFFFF"/>
            <w:tcMar>
              <w:left w:w="20" w:type="dxa"/>
              <w:right w:w="20" w:type="dxa"/>
            </w:tcMar>
            <w:vAlign w:val="center"/>
          </w:tcPr>
          <w:p w14:paraId="22183303" w14:textId="77777777" w:rsidR="00FC5117" w:rsidRPr="00B46403" w:rsidRDefault="00FC5117" w:rsidP="00D36731">
            <w:pPr>
              <w:spacing w:beforeLines="20" w:before="48" w:afterLines="20" w:after="48" w:line="240" w:lineRule="atLeast"/>
              <w:jc w:val="both"/>
              <w:rPr>
                <w:color w:val="000000"/>
                <w:sz w:val="20"/>
              </w:rPr>
            </w:pPr>
            <w:r w:rsidRPr="00B46403">
              <w:rPr>
                <w:color w:val="000000"/>
                <w:sz w:val="20"/>
              </w:rPr>
              <w:t>(</w:t>
            </w:r>
            <w:r w:rsidR="001E1E22" w:rsidRPr="00B46403">
              <w:rPr>
                <w:color w:val="000000"/>
                <w:sz w:val="20"/>
              </w:rPr>
              <w:t>C</w:t>
            </w:r>
            <w:r w:rsidRPr="00B46403">
              <w:rPr>
                <w:color w:val="000000"/>
                <w:sz w:val="20"/>
              </w:rPr>
              <w:t xml:space="preserve">ardiovascular death, myocardial </w:t>
            </w:r>
          </w:p>
          <w:p w14:paraId="1569B7FC" w14:textId="77777777" w:rsidR="00A729F6" w:rsidRPr="002351AF" w:rsidRDefault="00FC5117" w:rsidP="002351AF">
            <w:pPr>
              <w:spacing w:before="48" w:after="48" w:line="240" w:lineRule="atLeast"/>
              <w:jc w:val="both"/>
              <w:rPr>
                <w:color w:val="000000"/>
                <w:sz w:val="20"/>
              </w:rPr>
            </w:pPr>
            <w:r w:rsidRPr="002351AF">
              <w:rPr>
                <w:color w:val="000000"/>
                <w:sz w:val="20"/>
              </w:rPr>
              <w:t>infarction, or stroke)</w:t>
            </w:r>
          </w:p>
        </w:tc>
      </w:tr>
      <w:tr w:rsidR="00A729F6" w:rsidRPr="00B46403" w14:paraId="75C9739D" w14:textId="77777777" w:rsidTr="003E6D93">
        <w:trPr>
          <w:cantSplit/>
          <w:trHeight w:val="174"/>
          <w:jc w:val="center"/>
        </w:trPr>
        <w:tc>
          <w:tcPr>
            <w:tcW w:w="9395" w:type="dxa"/>
            <w:gridSpan w:val="5"/>
            <w:tcBorders>
              <w:top w:val="nil"/>
              <w:left w:val="single" w:sz="4" w:space="0" w:color="000000"/>
              <w:bottom w:val="nil"/>
              <w:right w:val="single" w:sz="4" w:space="0" w:color="000000"/>
            </w:tcBorders>
            <w:shd w:val="clear" w:color="auto" w:fill="FFFFFF"/>
            <w:tcMar>
              <w:left w:w="20" w:type="dxa"/>
              <w:right w:w="20" w:type="dxa"/>
            </w:tcMar>
            <w:vAlign w:val="center"/>
          </w:tcPr>
          <w:p w14:paraId="5F5C5F86" w14:textId="77777777" w:rsidR="00A729F6" w:rsidRPr="00B46403" w:rsidRDefault="00A729F6" w:rsidP="00D36731">
            <w:pPr>
              <w:spacing w:beforeLines="20" w:before="48" w:afterLines="20" w:after="48" w:line="240" w:lineRule="atLeast"/>
              <w:rPr>
                <w:color w:val="000000"/>
                <w:sz w:val="20"/>
              </w:rPr>
            </w:pPr>
            <w:r w:rsidRPr="00B46403">
              <w:rPr>
                <w:color w:val="000000"/>
                <w:sz w:val="20"/>
              </w:rPr>
              <w:t>Other secondary endpoints</w:t>
            </w:r>
          </w:p>
        </w:tc>
      </w:tr>
      <w:tr w:rsidR="00A729F6" w:rsidRPr="00B46403" w14:paraId="525AE14C" w14:textId="77777777" w:rsidTr="003E6D93">
        <w:trPr>
          <w:cantSplit/>
          <w:trHeight w:val="174"/>
          <w:jc w:val="center"/>
        </w:trPr>
        <w:tc>
          <w:tcPr>
            <w:tcW w:w="3671" w:type="dxa"/>
            <w:tcBorders>
              <w:top w:val="nil"/>
              <w:left w:val="single" w:sz="4" w:space="0" w:color="000000"/>
              <w:bottom w:val="nil"/>
              <w:right w:val="nil"/>
            </w:tcBorders>
            <w:shd w:val="clear" w:color="auto" w:fill="FFFFFF"/>
            <w:tcMar>
              <w:left w:w="20" w:type="dxa"/>
              <w:right w:w="20" w:type="dxa"/>
            </w:tcMar>
            <w:vAlign w:val="center"/>
          </w:tcPr>
          <w:p w14:paraId="4C65495E" w14:textId="77777777" w:rsidR="00A729F6" w:rsidRPr="00B46403" w:rsidRDefault="006D0523" w:rsidP="00D36731">
            <w:pPr>
              <w:spacing w:beforeLines="20" w:before="48" w:afterLines="20" w:after="48" w:line="240" w:lineRule="atLeast"/>
              <w:ind w:left="200"/>
              <w:rPr>
                <w:color w:val="000000"/>
                <w:sz w:val="20"/>
              </w:rPr>
            </w:pPr>
            <w:r w:rsidRPr="00B46403">
              <w:rPr>
                <w:color w:val="000000"/>
                <w:sz w:val="20"/>
              </w:rPr>
              <w:t>C</w:t>
            </w:r>
            <w:r w:rsidR="00A729F6" w:rsidRPr="00B46403">
              <w:rPr>
                <w:color w:val="000000"/>
                <w:sz w:val="20"/>
              </w:rPr>
              <w:t>ardiovascular death</w:t>
            </w:r>
          </w:p>
        </w:tc>
        <w:tc>
          <w:tcPr>
            <w:tcW w:w="1429" w:type="dxa"/>
            <w:tcBorders>
              <w:top w:val="nil"/>
              <w:left w:val="nil"/>
              <w:bottom w:val="nil"/>
              <w:right w:val="nil"/>
            </w:tcBorders>
            <w:shd w:val="clear" w:color="auto" w:fill="FFFFFF"/>
            <w:tcMar>
              <w:left w:w="20" w:type="dxa"/>
              <w:right w:w="20" w:type="dxa"/>
            </w:tcMar>
            <w:vAlign w:val="center"/>
          </w:tcPr>
          <w:p w14:paraId="64BC7463"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240 (1.74)</w:t>
            </w:r>
          </w:p>
        </w:tc>
        <w:tc>
          <w:tcPr>
            <w:tcW w:w="1430" w:type="dxa"/>
            <w:tcBorders>
              <w:top w:val="nil"/>
              <w:left w:val="nil"/>
              <w:bottom w:val="nil"/>
              <w:right w:val="nil"/>
            </w:tcBorders>
            <w:shd w:val="clear" w:color="auto" w:fill="FFFFFF"/>
            <w:tcMar>
              <w:left w:w="20" w:type="dxa"/>
              <w:right w:w="20" w:type="dxa"/>
            </w:tcMar>
            <w:vAlign w:val="center"/>
          </w:tcPr>
          <w:p w14:paraId="2CC9E09E"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251 (1.82)</w:t>
            </w:r>
          </w:p>
        </w:tc>
        <w:tc>
          <w:tcPr>
            <w:tcW w:w="1876" w:type="dxa"/>
            <w:tcBorders>
              <w:top w:val="nil"/>
              <w:left w:val="nil"/>
              <w:bottom w:val="nil"/>
              <w:right w:val="nil"/>
            </w:tcBorders>
            <w:shd w:val="clear" w:color="auto" w:fill="FFFFFF"/>
            <w:tcMar>
              <w:left w:w="20" w:type="dxa"/>
              <w:right w:w="20" w:type="dxa"/>
            </w:tcMar>
            <w:vAlign w:val="center"/>
          </w:tcPr>
          <w:p w14:paraId="57BAE164"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1.05 (0.88, 1.25)</w:t>
            </w:r>
          </w:p>
        </w:tc>
        <w:tc>
          <w:tcPr>
            <w:tcW w:w="989" w:type="dxa"/>
            <w:tcBorders>
              <w:top w:val="nil"/>
              <w:left w:val="nil"/>
              <w:bottom w:val="nil"/>
              <w:right w:val="single" w:sz="4" w:space="0" w:color="000000"/>
            </w:tcBorders>
            <w:shd w:val="clear" w:color="auto" w:fill="FFFFFF"/>
            <w:tcMar>
              <w:left w:w="20" w:type="dxa"/>
              <w:right w:w="20" w:type="dxa"/>
            </w:tcMar>
            <w:vAlign w:val="center"/>
          </w:tcPr>
          <w:p w14:paraId="3765AAEC" w14:textId="15E69E9B" w:rsidR="00A729F6" w:rsidRPr="00B46403" w:rsidRDefault="00A729F6" w:rsidP="00D36731">
            <w:pPr>
              <w:spacing w:beforeLines="20" w:before="48" w:afterLines="20" w:after="48" w:line="240" w:lineRule="atLeast"/>
              <w:jc w:val="center"/>
              <w:rPr>
                <w:color w:val="000000"/>
                <w:sz w:val="20"/>
                <w:vertAlign w:val="superscript"/>
              </w:rPr>
            </w:pPr>
          </w:p>
        </w:tc>
      </w:tr>
      <w:tr w:rsidR="00A729F6" w:rsidRPr="00B46403" w14:paraId="289B856E" w14:textId="77777777" w:rsidTr="003E6D93">
        <w:trPr>
          <w:cantSplit/>
          <w:trHeight w:val="165"/>
          <w:jc w:val="center"/>
        </w:trPr>
        <w:tc>
          <w:tcPr>
            <w:tcW w:w="3671" w:type="dxa"/>
            <w:tcBorders>
              <w:top w:val="nil"/>
              <w:left w:val="single" w:sz="4" w:space="0" w:color="000000"/>
              <w:bottom w:val="nil"/>
              <w:right w:val="nil"/>
            </w:tcBorders>
            <w:shd w:val="clear" w:color="auto" w:fill="FFFFFF"/>
            <w:tcMar>
              <w:left w:w="20" w:type="dxa"/>
              <w:right w:w="20" w:type="dxa"/>
            </w:tcMar>
            <w:vAlign w:val="center"/>
          </w:tcPr>
          <w:p w14:paraId="0381F7FB" w14:textId="77777777" w:rsidR="00A729F6" w:rsidRPr="00B46403" w:rsidRDefault="006D0523" w:rsidP="00D36731">
            <w:pPr>
              <w:spacing w:beforeLines="20" w:before="48" w:afterLines="20" w:after="48" w:line="240" w:lineRule="atLeast"/>
              <w:ind w:left="200"/>
              <w:rPr>
                <w:color w:val="000000"/>
                <w:sz w:val="20"/>
              </w:rPr>
            </w:pPr>
            <w:r w:rsidRPr="00B46403">
              <w:rPr>
                <w:color w:val="000000"/>
                <w:sz w:val="20"/>
              </w:rPr>
              <w:t>D</w:t>
            </w:r>
            <w:r w:rsidR="00A729F6" w:rsidRPr="00B46403">
              <w:rPr>
                <w:color w:val="000000"/>
                <w:sz w:val="20"/>
              </w:rPr>
              <w:t>eath by any cause</w:t>
            </w:r>
          </w:p>
        </w:tc>
        <w:tc>
          <w:tcPr>
            <w:tcW w:w="1429" w:type="dxa"/>
            <w:tcBorders>
              <w:top w:val="nil"/>
              <w:left w:val="nil"/>
              <w:bottom w:val="nil"/>
              <w:right w:val="nil"/>
            </w:tcBorders>
            <w:shd w:val="clear" w:color="auto" w:fill="FFFFFF"/>
            <w:tcMar>
              <w:left w:w="20" w:type="dxa"/>
              <w:right w:w="20" w:type="dxa"/>
            </w:tcMar>
            <w:vAlign w:val="center"/>
          </w:tcPr>
          <w:p w14:paraId="2C1303B8"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426 (3.09)</w:t>
            </w:r>
          </w:p>
        </w:tc>
        <w:tc>
          <w:tcPr>
            <w:tcW w:w="1430" w:type="dxa"/>
            <w:tcBorders>
              <w:top w:val="nil"/>
              <w:left w:val="nil"/>
              <w:bottom w:val="nil"/>
              <w:right w:val="nil"/>
            </w:tcBorders>
            <w:shd w:val="clear" w:color="auto" w:fill="FFFFFF"/>
            <w:tcMar>
              <w:left w:w="20" w:type="dxa"/>
              <w:right w:w="20" w:type="dxa"/>
            </w:tcMar>
            <w:vAlign w:val="center"/>
          </w:tcPr>
          <w:p w14:paraId="708271C6"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444 (3.22)</w:t>
            </w:r>
          </w:p>
        </w:tc>
        <w:tc>
          <w:tcPr>
            <w:tcW w:w="1876" w:type="dxa"/>
            <w:tcBorders>
              <w:top w:val="nil"/>
              <w:left w:val="nil"/>
              <w:bottom w:val="nil"/>
              <w:right w:val="nil"/>
            </w:tcBorders>
            <w:shd w:val="clear" w:color="auto" w:fill="FFFFFF"/>
            <w:tcMar>
              <w:left w:w="20" w:type="dxa"/>
              <w:right w:w="20" w:type="dxa"/>
            </w:tcMar>
            <w:vAlign w:val="center"/>
          </w:tcPr>
          <w:p w14:paraId="5753A127"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1.04 (0.91, 1.19)</w:t>
            </w:r>
          </w:p>
        </w:tc>
        <w:tc>
          <w:tcPr>
            <w:tcW w:w="989" w:type="dxa"/>
            <w:tcBorders>
              <w:top w:val="nil"/>
              <w:left w:val="nil"/>
              <w:bottom w:val="nil"/>
              <w:right w:val="single" w:sz="4" w:space="0" w:color="000000"/>
            </w:tcBorders>
            <w:shd w:val="clear" w:color="auto" w:fill="FFFFFF"/>
            <w:tcMar>
              <w:left w:w="20" w:type="dxa"/>
              <w:right w:w="20" w:type="dxa"/>
            </w:tcMar>
            <w:vAlign w:val="center"/>
          </w:tcPr>
          <w:p w14:paraId="3E5A487C" w14:textId="54609D95" w:rsidR="00A729F6" w:rsidRPr="00B46403" w:rsidRDefault="00A729F6" w:rsidP="00D36731">
            <w:pPr>
              <w:spacing w:beforeLines="20" w:before="48" w:afterLines="20" w:after="48" w:line="240" w:lineRule="atLeast"/>
              <w:jc w:val="center"/>
              <w:rPr>
                <w:color w:val="000000"/>
                <w:sz w:val="20"/>
              </w:rPr>
            </w:pPr>
          </w:p>
        </w:tc>
      </w:tr>
      <w:tr w:rsidR="00A729F6" w:rsidRPr="00B46403" w14:paraId="4FA95080" w14:textId="77777777" w:rsidTr="003E6D93">
        <w:trPr>
          <w:cantSplit/>
          <w:trHeight w:val="174"/>
          <w:jc w:val="center"/>
        </w:trPr>
        <w:tc>
          <w:tcPr>
            <w:tcW w:w="3671" w:type="dxa"/>
            <w:tcBorders>
              <w:top w:val="nil"/>
              <w:left w:val="single" w:sz="4" w:space="0" w:color="000000"/>
              <w:bottom w:val="nil"/>
              <w:right w:val="nil"/>
            </w:tcBorders>
            <w:shd w:val="clear" w:color="auto" w:fill="FFFFFF"/>
            <w:tcMar>
              <w:left w:w="20" w:type="dxa"/>
              <w:right w:w="20" w:type="dxa"/>
            </w:tcMar>
            <w:vAlign w:val="center"/>
          </w:tcPr>
          <w:p w14:paraId="715A9244" w14:textId="77777777" w:rsidR="00A729F6" w:rsidRPr="00B46403" w:rsidRDefault="006D0523" w:rsidP="00D36731">
            <w:pPr>
              <w:spacing w:beforeLines="20" w:before="48" w:afterLines="20" w:after="48" w:line="240" w:lineRule="atLeast"/>
              <w:ind w:left="200"/>
              <w:rPr>
                <w:color w:val="000000"/>
                <w:sz w:val="20"/>
              </w:rPr>
            </w:pPr>
            <w:r w:rsidRPr="00B46403">
              <w:rPr>
                <w:color w:val="000000"/>
                <w:sz w:val="20"/>
              </w:rPr>
              <w:lastRenderedPageBreak/>
              <w:t>F</w:t>
            </w:r>
            <w:r w:rsidR="00A729F6" w:rsidRPr="00B46403">
              <w:rPr>
                <w:color w:val="000000"/>
                <w:sz w:val="20"/>
              </w:rPr>
              <w:t>irst fatal or non-fatal myocardial infarction</w:t>
            </w:r>
          </w:p>
        </w:tc>
        <w:tc>
          <w:tcPr>
            <w:tcW w:w="1429" w:type="dxa"/>
            <w:tcBorders>
              <w:top w:val="nil"/>
              <w:left w:val="nil"/>
              <w:bottom w:val="nil"/>
              <w:right w:val="nil"/>
            </w:tcBorders>
            <w:shd w:val="clear" w:color="auto" w:fill="FFFFFF"/>
            <w:tcMar>
              <w:left w:w="20" w:type="dxa"/>
              <w:right w:w="20" w:type="dxa"/>
            </w:tcMar>
            <w:vAlign w:val="center"/>
          </w:tcPr>
          <w:p w14:paraId="3AAA3B95"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639 (4.64)</w:t>
            </w:r>
          </w:p>
        </w:tc>
        <w:tc>
          <w:tcPr>
            <w:tcW w:w="1430" w:type="dxa"/>
            <w:tcBorders>
              <w:top w:val="nil"/>
              <w:left w:val="nil"/>
              <w:bottom w:val="nil"/>
              <w:right w:val="nil"/>
            </w:tcBorders>
            <w:shd w:val="clear" w:color="auto" w:fill="FFFFFF"/>
            <w:tcMar>
              <w:left w:w="20" w:type="dxa"/>
              <w:right w:w="20" w:type="dxa"/>
            </w:tcMar>
            <w:vAlign w:val="center"/>
          </w:tcPr>
          <w:p w14:paraId="2FBC86CA"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468 (3.40)</w:t>
            </w:r>
          </w:p>
        </w:tc>
        <w:tc>
          <w:tcPr>
            <w:tcW w:w="1876" w:type="dxa"/>
            <w:tcBorders>
              <w:top w:val="nil"/>
              <w:left w:val="nil"/>
              <w:bottom w:val="nil"/>
              <w:right w:val="nil"/>
            </w:tcBorders>
            <w:shd w:val="clear" w:color="auto" w:fill="FFFFFF"/>
            <w:tcMar>
              <w:left w:w="20" w:type="dxa"/>
              <w:right w:w="20" w:type="dxa"/>
            </w:tcMar>
            <w:vAlign w:val="center"/>
          </w:tcPr>
          <w:p w14:paraId="6E8BCE0B"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0.73 (0.65, 0.82)</w:t>
            </w:r>
          </w:p>
        </w:tc>
        <w:tc>
          <w:tcPr>
            <w:tcW w:w="989" w:type="dxa"/>
            <w:tcBorders>
              <w:top w:val="nil"/>
              <w:left w:val="nil"/>
              <w:bottom w:val="nil"/>
              <w:right w:val="single" w:sz="4" w:space="0" w:color="000000"/>
            </w:tcBorders>
            <w:shd w:val="clear" w:color="auto" w:fill="FFFFFF"/>
            <w:tcMar>
              <w:left w:w="20" w:type="dxa"/>
              <w:right w:w="20" w:type="dxa"/>
            </w:tcMar>
            <w:vAlign w:val="center"/>
          </w:tcPr>
          <w:p w14:paraId="046C73F6" w14:textId="685443C7" w:rsidR="00A729F6" w:rsidRPr="00B46403" w:rsidRDefault="00A729F6" w:rsidP="00D36731">
            <w:pPr>
              <w:spacing w:beforeLines="20" w:before="48" w:afterLines="20" w:after="48" w:line="240" w:lineRule="atLeast"/>
              <w:jc w:val="center"/>
              <w:rPr>
                <w:color w:val="000000"/>
                <w:sz w:val="20"/>
              </w:rPr>
            </w:pPr>
          </w:p>
        </w:tc>
      </w:tr>
      <w:tr w:rsidR="00A729F6" w:rsidRPr="00B46403" w14:paraId="0C9240DC" w14:textId="77777777" w:rsidTr="003E6D93">
        <w:trPr>
          <w:cantSplit/>
          <w:trHeight w:val="165"/>
          <w:jc w:val="center"/>
        </w:trPr>
        <w:tc>
          <w:tcPr>
            <w:tcW w:w="3671" w:type="dxa"/>
            <w:tcBorders>
              <w:top w:val="nil"/>
              <w:left w:val="single" w:sz="4" w:space="0" w:color="000000"/>
              <w:bottom w:val="nil"/>
              <w:right w:val="nil"/>
            </w:tcBorders>
            <w:shd w:val="clear" w:color="auto" w:fill="FFFFFF"/>
            <w:tcMar>
              <w:left w:w="20" w:type="dxa"/>
              <w:right w:w="20" w:type="dxa"/>
            </w:tcMar>
            <w:vAlign w:val="center"/>
          </w:tcPr>
          <w:p w14:paraId="2D8217D1" w14:textId="77777777" w:rsidR="00A729F6" w:rsidRPr="00B46403" w:rsidRDefault="006D0523" w:rsidP="00D36731">
            <w:pPr>
              <w:spacing w:beforeLines="20" w:before="48" w:afterLines="20" w:after="48" w:line="240" w:lineRule="atLeast"/>
              <w:ind w:left="200"/>
              <w:rPr>
                <w:color w:val="000000"/>
                <w:sz w:val="20"/>
              </w:rPr>
            </w:pPr>
            <w:r w:rsidRPr="00B46403">
              <w:rPr>
                <w:color w:val="000000"/>
                <w:sz w:val="20"/>
              </w:rPr>
              <w:t>F</w:t>
            </w:r>
            <w:r w:rsidR="00A729F6" w:rsidRPr="00B46403">
              <w:rPr>
                <w:color w:val="000000"/>
                <w:sz w:val="20"/>
              </w:rPr>
              <w:t>irst fatal or non-fatal stroke</w:t>
            </w:r>
          </w:p>
        </w:tc>
        <w:tc>
          <w:tcPr>
            <w:tcW w:w="1429" w:type="dxa"/>
            <w:tcBorders>
              <w:top w:val="nil"/>
              <w:left w:val="nil"/>
              <w:bottom w:val="nil"/>
              <w:right w:val="nil"/>
            </w:tcBorders>
            <w:shd w:val="clear" w:color="auto" w:fill="FFFFFF"/>
            <w:tcMar>
              <w:left w:w="20" w:type="dxa"/>
              <w:right w:w="20" w:type="dxa"/>
            </w:tcMar>
            <w:vAlign w:val="center"/>
          </w:tcPr>
          <w:p w14:paraId="72D8742E"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262 (1.90)</w:t>
            </w:r>
          </w:p>
        </w:tc>
        <w:tc>
          <w:tcPr>
            <w:tcW w:w="1430" w:type="dxa"/>
            <w:tcBorders>
              <w:top w:val="nil"/>
              <w:left w:val="nil"/>
              <w:bottom w:val="nil"/>
              <w:right w:val="nil"/>
            </w:tcBorders>
            <w:shd w:val="clear" w:color="auto" w:fill="FFFFFF"/>
            <w:tcMar>
              <w:left w:w="20" w:type="dxa"/>
              <w:right w:w="20" w:type="dxa"/>
            </w:tcMar>
            <w:vAlign w:val="center"/>
          </w:tcPr>
          <w:p w14:paraId="74EDFEF2"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207 (1.50)</w:t>
            </w:r>
          </w:p>
        </w:tc>
        <w:tc>
          <w:tcPr>
            <w:tcW w:w="1876" w:type="dxa"/>
            <w:tcBorders>
              <w:top w:val="nil"/>
              <w:left w:val="nil"/>
              <w:bottom w:val="nil"/>
              <w:right w:val="nil"/>
            </w:tcBorders>
            <w:shd w:val="clear" w:color="auto" w:fill="FFFFFF"/>
            <w:tcMar>
              <w:left w:w="20" w:type="dxa"/>
              <w:right w:w="20" w:type="dxa"/>
            </w:tcMar>
            <w:vAlign w:val="center"/>
          </w:tcPr>
          <w:p w14:paraId="695A7C07"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0.79 (0.66, 0.95)</w:t>
            </w:r>
          </w:p>
        </w:tc>
        <w:tc>
          <w:tcPr>
            <w:tcW w:w="989" w:type="dxa"/>
            <w:tcBorders>
              <w:top w:val="nil"/>
              <w:left w:val="nil"/>
              <w:bottom w:val="nil"/>
              <w:right w:val="single" w:sz="4" w:space="0" w:color="000000"/>
            </w:tcBorders>
            <w:shd w:val="clear" w:color="auto" w:fill="FFFFFF"/>
            <w:tcMar>
              <w:left w:w="20" w:type="dxa"/>
              <w:right w:w="20" w:type="dxa"/>
            </w:tcMar>
            <w:vAlign w:val="center"/>
          </w:tcPr>
          <w:p w14:paraId="4F550AF5" w14:textId="6FE750E9" w:rsidR="00A729F6" w:rsidRPr="00B46403" w:rsidRDefault="00A729F6" w:rsidP="00D36731">
            <w:pPr>
              <w:spacing w:beforeLines="20" w:before="48" w:afterLines="20" w:after="48" w:line="240" w:lineRule="atLeast"/>
              <w:jc w:val="center"/>
              <w:rPr>
                <w:color w:val="000000"/>
                <w:sz w:val="20"/>
              </w:rPr>
            </w:pPr>
          </w:p>
        </w:tc>
      </w:tr>
      <w:tr w:rsidR="00A729F6" w:rsidRPr="00B46403" w14:paraId="21C9DC3A" w14:textId="77777777" w:rsidTr="003E6D93">
        <w:trPr>
          <w:cantSplit/>
          <w:trHeight w:val="174"/>
          <w:jc w:val="center"/>
        </w:trPr>
        <w:tc>
          <w:tcPr>
            <w:tcW w:w="3671" w:type="dxa"/>
            <w:tcBorders>
              <w:top w:val="nil"/>
              <w:left w:val="single" w:sz="4" w:space="0" w:color="000000"/>
              <w:bottom w:val="nil"/>
              <w:right w:val="nil"/>
            </w:tcBorders>
            <w:shd w:val="clear" w:color="auto" w:fill="FFFFFF"/>
            <w:tcMar>
              <w:left w:w="20" w:type="dxa"/>
              <w:right w:w="20" w:type="dxa"/>
            </w:tcMar>
            <w:vAlign w:val="center"/>
          </w:tcPr>
          <w:p w14:paraId="61CEE1F4" w14:textId="77777777" w:rsidR="00A729F6" w:rsidRPr="00B46403" w:rsidRDefault="006D0523" w:rsidP="00D36731">
            <w:pPr>
              <w:spacing w:beforeLines="20" w:before="48" w:afterLines="20" w:after="48" w:line="240" w:lineRule="atLeast"/>
              <w:ind w:left="200"/>
              <w:rPr>
                <w:color w:val="000000"/>
                <w:sz w:val="20"/>
              </w:rPr>
            </w:pPr>
            <w:r w:rsidRPr="00B46403">
              <w:rPr>
                <w:color w:val="000000"/>
                <w:sz w:val="20"/>
              </w:rPr>
              <w:t>F</w:t>
            </w:r>
            <w:r w:rsidR="00A729F6" w:rsidRPr="00B46403">
              <w:rPr>
                <w:color w:val="000000"/>
                <w:sz w:val="20"/>
              </w:rPr>
              <w:t>irst coronary revasculari</w:t>
            </w:r>
            <w:r w:rsidR="00224391" w:rsidRPr="00B46403">
              <w:rPr>
                <w:color w:val="000000"/>
                <w:sz w:val="20"/>
              </w:rPr>
              <w:t>s</w:t>
            </w:r>
            <w:r w:rsidR="00A729F6" w:rsidRPr="00B46403">
              <w:rPr>
                <w:color w:val="000000"/>
                <w:sz w:val="20"/>
              </w:rPr>
              <w:t>ation</w:t>
            </w:r>
          </w:p>
        </w:tc>
        <w:tc>
          <w:tcPr>
            <w:tcW w:w="1429" w:type="dxa"/>
            <w:tcBorders>
              <w:top w:val="nil"/>
              <w:left w:val="nil"/>
              <w:bottom w:val="nil"/>
              <w:right w:val="nil"/>
            </w:tcBorders>
            <w:shd w:val="clear" w:color="auto" w:fill="FFFFFF"/>
            <w:tcMar>
              <w:left w:w="20" w:type="dxa"/>
              <w:right w:w="20" w:type="dxa"/>
            </w:tcMar>
            <w:vAlign w:val="center"/>
          </w:tcPr>
          <w:p w14:paraId="58BF4A05"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965 (7.00)</w:t>
            </w:r>
          </w:p>
        </w:tc>
        <w:tc>
          <w:tcPr>
            <w:tcW w:w="1430" w:type="dxa"/>
            <w:tcBorders>
              <w:top w:val="nil"/>
              <w:left w:val="nil"/>
              <w:bottom w:val="nil"/>
              <w:right w:val="nil"/>
            </w:tcBorders>
            <w:shd w:val="clear" w:color="auto" w:fill="FFFFFF"/>
            <w:tcMar>
              <w:left w:w="20" w:type="dxa"/>
              <w:right w:w="20" w:type="dxa"/>
            </w:tcMar>
            <w:vAlign w:val="center"/>
          </w:tcPr>
          <w:p w14:paraId="3D878FBD"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759 (5.51)</w:t>
            </w:r>
          </w:p>
        </w:tc>
        <w:tc>
          <w:tcPr>
            <w:tcW w:w="1876" w:type="dxa"/>
            <w:tcBorders>
              <w:top w:val="nil"/>
              <w:left w:val="nil"/>
              <w:bottom w:val="nil"/>
              <w:right w:val="nil"/>
            </w:tcBorders>
            <w:shd w:val="clear" w:color="auto" w:fill="FFFFFF"/>
            <w:tcMar>
              <w:left w:w="20" w:type="dxa"/>
              <w:right w:w="20" w:type="dxa"/>
            </w:tcMar>
            <w:vAlign w:val="center"/>
          </w:tcPr>
          <w:p w14:paraId="14A20B0C"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0.78 (0.71, 0.86)</w:t>
            </w:r>
          </w:p>
        </w:tc>
        <w:tc>
          <w:tcPr>
            <w:tcW w:w="989" w:type="dxa"/>
            <w:tcBorders>
              <w:top w:val="nil"/>
              <w:left w:val="nil"/>
              <w:bottom w:val="nil"/>
              <w:right w:val="single" w:sz="4" w:space="0" w:color="000000"/>
            </w:tcBorders>
            <w:shd w:val="clear" w:color="auto" w:fill="FFFFFF"/>
            <w:tcMar>
              <w:left w:w="20" w:type="dxa"/>
              <w:right w:w="20" w:type="dxa"/>
            </w:tcMar>
            <w:vAlign w:val="center"/>
          </w:tcPr>
          <w:p w14:paraId="278E867B" w14:textId="6B2766C4" w:rsidR="00A729F6" w:rsidRPr="00B46403" w:rsidRDefault="00A729F6" w:rsidP="00D36731">
            <w:pPr>
              <w:spacing w:beforeLines="20" w:before="48" w:afterLines="20" w:after="48" w:line="240" w:lineRule="atLeast"/>
              <w:jc w:val="center"/>
              <w:rPr>
                <w:color w:val="000000"/>
                <w:sz w:val="20"/>
              </w:rPr>
            </w:pPr>
          </w:p>
        </w:tc>
      </w:tr>
      <w:tr w:rsidR="00A729F6" w:rsidRPr="00B46403" w14:paraId="2B03851E" w14:textId="77777777" w:rsidTr="003E6D93">
        <w:trPr>
          <w:cantSplit/>
          <w:trHeight w:val="165"/>
          <w:jc w:val="center"/>
        </w:trPr>
        <w:tc>
          <w:tcPr>
            <w:tcW w:w="3671" w:type="dxa"/>
            <w:tcBorders>
              <w:top w:val="nil"/>
              <w:left w:val="single" w:sz="4" w:space="0" w:color="000000"/>
              <w:bottom w:val="single" w:sz="4" w:space="0" w:color="000000"/>
              <w:right w:val="nil"/>
            </w:tcBorders>
            <w:shd w:val="clear" w:color="auto" w:fill="FFFFFF"/>
            <w:tcMar>
              <w:left w:w="20" w:type="dxa"/>
              <w:right w:w="20" w:type="dxa"/>
            </w:tcMar>
            <w:vAlign w:val="center"/>
          </w:tcPr>
          <w:p w14:paraId="581251BE" w14:textId="619E6097" w:rsidR="00A729F6" w:rsidRPr="00B46403" w:rsidRDefault="006D0523" w:rsidP="00D36731">
            <w:pPr>
              <w:spacing w:beforeLines="20" w:before="48" w:afterLines="20" w:after="48" w:line="240" w:lineRule="atLeast"/>
              <w:ind w:left="200"/>
              <w:rPr>
                <w:color w:val="000000"/>
                <w:sz w:val="20"/>
                <w:vertAlign w:val="superscript"/>
              </w:rPr>
            </w:pPr>
            <w:r w:rsidRPr="00B46403">
              <w:rPr>
                <w:color w:val="000000"/>
                <w:sz w:val="20"/>
              </w:rPr>
              <w:t>F</w:t>
            </w:r>
            <w:r w:rsidR="00A729F6" w:rsidRPr="00B46403">
              <w:rPr>
                <w:color w:val="000000"/>
                <w:sz w:val="20"/>
              </w:rPr>
              <w:t>irst hospitali</w:t>
            </w:r>
            <w:r w:rsidR="00224391" w:rsidRPr="00B46403">
              <w:rPr>
                <w:color w:val="000000"/>
                <w:sz w:val="20"/>
              </w:rPr>
              <w:t>s</w:t>
            </w:r>
            <w:r w:rsidR="00A729F6" w:rsidRPr="00B46403">
              <w:rPr>
                <w:color w:val="000000"/>
                <w:sz w:val="20"/>
              </w:rPr>
              <w:t xml:space="preserve">ation for unstable </w:t>
            </w:r>
            <w:proofErr w:type="spellStart"/>
            <w:r w:rsidR="00A729F6" w:rsidRPr="00B46403">
              <w:rPr>
                <w:color w:val="000000"/>
                <w:sz w:val="20"/>
              </w:rPr>
              <w:t>angina</w:t>
            </w:r>
            <w:r w:rsidR="009102CC" w:rsidRPr="00B46403">
              <w:rPr>
                <w:color w:val="000000"/>
                <w:sz w:val="20"/>
                <w:vertAlign w:val="superscript"/>
              </w:rPr>
              <w:t>c</w:t>
            </w:r>
            <w:proofErr w:type="spellEnd"/>
          </w:p>
        </w:tc>
        <w:tc>
          <w:tcPr>
            <w:tcW w:w="1429" w:type="dxa"/>
            <w:tcBorders>
              <w:left w:val="nil"/>
              <w:bottom w:val="single" w:sz="4" w:space="0" w:color="000000"/>
              <w:right w:val="nil"/>
            </w:tcBorders>
            <w:shd w:val="clear" w:color="auto" w:fill="FFFFFF"/>
            <w:tcMar>
              <w:left w:w="20" w:type="dxa"/>
              <w:right w:w="20" w:type="dxa"/>
            </w:tcMar>
          </w:tcPr>
          <w:p w14:paraId="51D6DA76"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239 (1.73)</w:t>
            </w:r>
          </w:p>
        </w:tc>
        <w:tc>
          <w:tcPr>
            <w:tcW w:w="1430" w:type="dxa"/>
            <w:tcBorders>
              <w:left w:val="nil"/>
              <w:bottom w:val="single" w:sz="4" w:space="0" w:color="000000"/>
              <w:right w:val="nil"/>
            </w:tcBorders>
            <w:shd w:val="clear" w:color="auto" w:fill="FFFFFF"/>
            <w:tcMar>
              <w:left w:w="20" w:type="dxa"/>
              <w:right w:w="20" w:type="dxa"/>
            </w:tcMar>
          </w:tcPr>
          <w:p w14:paraId="3A87C50C"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236 (1.71)</w:t>
            </w:r>
          </w:p>
        </w:tc>
        <w:tc>
          <w:tcPr>
            <w:tcW w:w="1876" w:type="dxa"/>
            <w:tcBorders>
              <w:left w:val="nil"/>
              <w:bottom w:val="single" w:sz="4" w:space="0" w:color="000000"/>
              <w:right w:val="nil"/>
            </w:tcBorders>
            <w:shd w:val="clear" w:color="auto" w:fill="FFFFFF"/>
            <w:tcMar>
              <w:left w:w="20" w:type="dxa"/>
              <w:right w:w="20" w:type="dxa"/>
            </w:tcMar>
          </w:tcPr>
          <w:p w14:paraId="059F3195" w14:textId="77777777" w:rsidR="00A729F6" w:rsidRPr="00B46403" w:rsidRDefault="00A729F6" w:rsidP="00D36731">
            <w:pPr>
              <w:spacing w:beforeLines="20" w:before="48" w:afterLines="20" w:after="48" w:line="240" w:lineRule="atLeast"/>
              <w:jc w:val="center"/>
              <w:rPr>
                <w:color w:val="000000"/>
                <w:sz w:val="20"/>
              </w:rPr>
            </w:pPr>
            <w:r w:rsidRPr="00B46403">
              <w:rPr>
                <w:color w:val="000000"/>
                <w:sz w:val="20"/>
              </w:rPr>
              <w:t>0.99 (0.82, 1.18)</w:t>
            </w:r>
          </w:p>
        </w:tc>
        <w:tc>
          <w:tcPr>
            <w:tcW w:w="989" w:type="dxa"/>
            <w:tcBorders>
              <w:left w:val="nil"/>
              <w:bottom w:val="single" w:sz="4" w:space="0" w:color="000000"/>
              <w:right w:val="single" w:sz="4" w:space="0" w:color="000000"/>
            </w:tcBorders>
            <w:shd w:val="clear" w:color="auto" w:fill="FFFFFF"/>
            <w:tcMar>
              <w:left w:w="20" w:type="dxa"/>
              <w:right w:w="20" w:type="dxa"/>
            </w:tcMar>
          </w:tcPr>
          <w:p w14:paraId="473DDAE6" w14:textId="5C7D0BF5" w:rsidR="00A729F6" w:rsidRPr="00B46403" w:rsidRDefault="00A729F6" w:rsidP="00D36731">
            <w:pPr>
              <w:spacing w:beforeLines="20" w:before="48" w:afterLines="20" w:after="48" w:line="240" w:lineRule="atLeast"/>
              <w:jc w:val="center"/>
              <w:rPr>
                <w:color w:val="000000"/>
                <w:sz w:val="20"/>
                <w:vertAlign w:val="superscript"/>
              </w:rPr>
            </w:pPr>
          </w:p>
        </w:tc>
      </w:tr>
      <w:tr w:rsidR="00A729F6" w:rsidRPr="00B46403" w14:paraId="38F0C85C" w14:textId="77777777" w:rsidTr="003E6D93">
        <w:trPr>
          <w:cantSplit/>
          <w:trHeight w:val="1204"/>
          <w:jc w:val="center"/>
        </w:trPr>
        <w:tc>
          <w:tcPr>
            <w:tcW w:w="9395" w:type="dxa"/>
            <w:gridSpan w:val="5"/>
            <w:tcBorders>
              <w:top w:val="nil"/>
              <w:left w:val="nil"/>
              <w:bottom w:val="nil"/>
              <w:right w:val="nil"/>
            </w:tcBorders>
            <w:shd w:val="clear" w:color="auto" w:fill="FFFFFF"/>
            <w:tcMar>
              <w:left w:w="20" w:type="dxa"/>
              <w:right w:w="20" w:type="dxa"/>
            </w:tcMar>
          </w:tcPr>
          <w:p w14:paraId="4116A864" w14:textId="77777777" w:rsidR="00A729F6" w:rsidRPr="00B46403" w:rsidRDefault="00A729F6" w:rsidP="003E6D93">
            <w:pPr>
              <w:rPr>
                <w:color w:val="000000"/>
                <w:sz w:val="20"/>
              </w:rPr>
            </w:pPr>
            <w:r w:rsidRPr="00B46403">
              <w:rPr>
                <w:color w:val="000000"/>
                <w:sz w:val="20"/>
                <w:vertAlign w:val="superscript"/>
              </w:rPr>
              <w:t>a</w:t>
            </w:r>
            <w:r w:rsidRPr="00B46403">
              <w:rPr>
                <w:color w:val="000000"/>
                <w:sz w:val="20"/>
              </w:rPr>
              <w:t xml:space="preserve"> Based on a Cox model stratified by the randomisation stratification factors </w:t>
            </w:r>
          </w:p>
          <w:p w14:paraId="1D46CBAA" w14:textId="5BA246E1" w:rsidR="00A729F6" w:rsidRPr="00B46403" w:rsidRDefault="00A729F6" w:rsidP="003E6D93">
            <w:pPr>
              <w:rPr>
                <w:color w:val="000000"/>
                <w:sz w:val="20"/>
              </w:rPr>
            </w:pPr>
            <w:proofErr w:type="gramStart"/>
            <w:r w:rsidRPr="00B46403">
              <w:rPr>
                <w:color w:val="000000"/>
                <w:sz w:val="20"/>
                <w:vertAlign w:val="superscript"/>
              </w:rPr>
              <w:t>b</w:t>
            </w:r>
            <w:proofErr w:type="gramEnd"/>
            <w:r w:rsidRPr="00B46403">
              <w:rPr>
                <w:color w:val="000000"/>
                <w:sz w:val="20"/>
              </w:rPr>
              <w:t xml:space="preserve"> 2-sided log-rank test stratified by randomi</w:t>
            </w:r>
            <w:r w:rsidR="00C373F8" w:rsidRPr="00B46403">
              <w:rPr>
                <w:color w:val="000000"/>
                <w:sz w:val="20"/>
              </w:rPr>
              <w:t>s</w:t>
            </w:r>
            <w:r w:rsidRPr="00B46403">
              <w:rPr>
                <w:color w:val="000000"/>
                <w:sz w:val="20"/>
              </w:rPr>
              <w:t>ation stratification factors; Based on pre-specified hierarchical nature of the statistical testing for multiplicity adjustment, the P values for the primary and key secondary endpoint are statistically significant</w:t>
            </w:r>
            <w:r w:rsidR="00AC429C" w:rsidRPr="00B46403">
              <w:rPr>
                <w:color w:val="000000"/>
                <w:sz w:val="20"/>
              </w:rPr>
              <w:t>.</w:t>
            </w:r>
          </w:p>
          <w:p w14:paraId="57A390A4" w14:textId="15C2981D" w:rsidR="00A729F6" w:rsidRPr="00B46403" w:rsidRDefault="009102CC" w:rsidP="008B2CE2">
            <w:pPr>
              <w:rPr>
                <w:sz w:val="20"/>
              </w:rPr>
            </w:pPr>
            <w:proofErr w:type="gramStart"/>
            <w:r w:rsidRPr="00B46403">
              <w:rPr>
                <w:rStyle w:val="FootnoteTextChar"/>
                <w:rFonts w:eastAsia="MS Mincho"/>
                <w:sz w:val="20"/>
                <w:vertAlign w:val="superscript"/>
              </w:rPr>
              <w:t>c</w:t>
            </w:r>
            <w:proofErr w:type="gramEnd"/>
            <w:r w:rsidR="00A729F6" w:rsidRPr="00B46403">
              <w:rPr>
                <w:rStyle w:val="FootnoteTextChar"/>
                <w:rFonts w:eastAsia="MS Mincho"/>
                <w:sz w:val="20"/>
                <w:vertAlign w:val="superscript"/>
              </w:rPr>
              <w:t xml:space="preserve"> </w:t>
            </w:r>
            <w:r w:rsidR="00A729F6" w:rsidRPr="00B46403">
              <w:rPr>
                <w:rStyle w:val="FootnoteTextChar"/>
                <w:rFonts w:eastAsia="MS Mincho"/>
                <w:sz w:val="20"/>
              </w:rPr>
              <w:t>Time to hospitalisation for unstable angina was not a pre</w:t>
            </w:r>
            <w:r w:rsidR="00B639FF" w:rsidRPr="00B46403">
              <w:rPr>
                <w:rStyle w:val="FootnoteTextChar"/>
                <w:rFonts w:eastAsia="MS Mincho"/>
                <w:sz w:val="20"/>
              </w:rPr>
              <w:t>-</w:t>
            </w:r>
            <w:r w:rsidR="00A729F6" w:rsidRPr="00B46403">
              <w:rPr>
                <w:rStyle w:val="FootnoteTextChar"/>
                <w:rFonts w:eastAsia="MS Mincho"/>
                <w:sz w:val="20"/>
              </w:rPr>
              <w:t>specified endpoint; an ad-hoc analysis was performed to ensure results are provided for each individual component of the primary endpoint.</w:t>
            </w:r>
            <w:bookmarkStart w:id="6" w:name="_GoBack"/>
            <w:bookmarkEnd w:id="6"/>
          </w:p>
        </w:tc>
      </w:tr>
    </w:tbl>
    <w:p w14:paraId="084330AA" w14:textId="77777777" w:rsidR="00A729F6" w:rsidRPr="00FC5117" w:rsidRDefault="00D10DBB" w:rsidP="002351AF">
      <w:pPr>
        <w:pStyle w:val="PI-subheadernounderline"/>
      </w:pPr>
      <w:bookmarkStart w:id="7" w:name="_Ref506364002"/>
      <w:bookmarkStart w:id="8" w:name="_Ref506363998"/>
      <w:proofErr w:type="gramStart"/>
      <w:r w:rsidRPr="00D10DBB">
        <w:lastRenderedPageBreak/>
        <w:t xml:space="preserve">Figure </w:t>
      </w:r>
      <w:r w:rsidR="002351AF">
        <w:fldChar w:fldCharType="begin"/>
      </w:r>
      <w:r w:rsidR="002351AF">
        <w:instrText xml:space="preserve"> SEQ Figure \* ARABIC </w:instrText>
      </w:r>
      <w:r w:rsidR="002351AF">
        <w:fldChar w:fldCharType="separate"/>
      </w:r>
      <w:r w:rsidR="008C495D">
        <w:rPr>
          <w:noProof/>
        </w:rPr>
        <w:t>3</w:t>
      </w:r>
      <w:r w:rsidR="002351AF">
        <w:rPr>
          <w:noProof/>
        </w:rPr>
        <w:fldChar w:fldCharType="end"/>
      </w:r>
      <w:bookmarkEnd w:id="7"/>
      <w:r w:rsidRPr="00D10DBB">
        <w:t>.</w:t>
      </w:r>
      <w:proofErr w:type="gramEnd"/>
      <w:r w:rsidRPr="00F309DA">
        <w:rPr>
          <w:b w:val="0"/>
        </w:rPr>
        <w:t xml:space="preserve">  </w:t>
      </w:r>
      <w:r w:rsidR="00A729F6" w:rsidRPr="006812E8">
        <w:t xml:space="preserve">Cumulative Incidence </w:t>
      </w:r>
      <w:r w:rsidR="00A729F6" w:rsidRPr="002351AF">
        <w:t>Estimates</w:t>
      </w:r>
      <w:r w:rsidR="00A729F6" w:rsidRPr="006812E8">
        <w:t xml:space="preserve"> for Primary Endpoint</w:t>
      </w:r>
      <w:r w:rsidR="00FC5117">
        <w:t xml:space="preserve"> </w:t>
      </w:r>
      <w:r w:rsidR="003047D2">
        <w:t>(</w:t>
      </w:r>
      <w:r w:rsidR="00FC5117">
        <w:t>Cardiovascular Death, Myocardial Infarction, Hospitali</w:t>
      </w:r>
      <w:r w:rsidR="00224391">
        <w:t>s</w:t>
      </w:r>
      <w:r w:rsidR="00FC5117">
        <w:t>ation</w:t>
      </w:r>
      <w:r w:rsidR="00D54E2D">
        <w:t xml:space="preserve"> for Unstable Angina, Stroke </w:t>
      </w:r>
      <w:r w:rsidR="009D366C">
        <w:t>or</w:t>
      </w:r>
      <w:r w:rsidR="00FC5117">
        <w:t xml:space="preserve"> Coronary Revasculari</w:t>
      </w:r>
      <w:r w:rsidR="00224391">
        <w:t>s</w:t>
      </w:r>
      <w:r w:rsidR="00FC5117">
        <w:t>ation</w:t>
      </w:r>
      <w:r w:rsidR="003047D2">
        <w:t>)</w:t>
      </w:r>
      <w:bookmarkEnd w:id="8"/>
      <w:r w:rsidR="00FC5117" w:rsidRPr="00FC5117" w:rsidDel="00FC5117">
        <w:t xml:space="preserve"> </w:t>
      </w:r>
    </w:p>
    <w:p w14:paraId="14AEA8ED" w14:textId="4B05B84E" w:rsidR="00A729F6" w:rsidRPr="00FC5117" w:rsidRDefault="0005561A" w:rsidP="002351AF">
      <w:pPr>
        <w:pStyle w:val="PI-subheadernounderline"/>
      </w:pPr>
      <w:r w:rsidRPr="002351AF">
        <w:drawing>
          <wp:inline distT="0" distB="0" distL="0" distR="0" wp14:anchorId="315EBCEC" wp14:editId="63CEABA1">
            <wp:extent cx="6362700" cy="2590800"/>
            <wp:effectExtent l="0" t="0" r="0" b="0"/>
            <wp:docPr id="3" name="Picture 8" descr="Figure 3.  Cumulative Incidence Estimates for Primary Endpoint (Cardiovascular Death, Myocardial Infarction, Hospitalisation for Unstable Angina, Stroke or Coronary Revascularis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asudevr\Desktop\GRH0429 GRAPH MISC NA.jpg&#10;&#10;GRH04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2700" cy="2590800"/>
                    </a:xfrm>
                    <a:prstGeom prst="rect">
                      <a:avLst/>
                    </a:prstGeom>
                    <a:noFill/>
                    <a:ln>
                      <a:noFill/>
                    </a:ln>
                  </pic:spPr>
                </pic:pic>
              </a:graphicData>
            </a:graphic>
          </wp:inline>
        </w:drawing>
      </w:r>
    </w:p>
    <w:p w14:paraId="0B93444C" w14:textId="77777777" w:rsidR="00A729F6" w:rsidRPr="00FC5117" w:rsidRDefault="00D10DBB" w:rsidP="002351AF">
      <w:pPr>
        <w:pStyle w:val="PI-subheadernounderline"/>
      </w:pPr>
      <w:bookmarkStart w:id="9" w:name="_Ref506364021"/>
      <w:proofErr w:type="gramStart"/>
      <w:r w:rsidRPr="00D10DBB">
        <w:t xml:space="preserve">Figure </w:t>
      </w:r>
      <w:r w:rsidR="002351AF">
        <w:fldChar w:fldCharType="begin"/>
      </w:r>
      <w:r w:rsidR="002351AF">
        <w:instrText xml:space="preserve"> SEQ Figure \* ARABIC </w:instrText>
      </w:r>
      <w:r w:rsidR="002351AF">
        <w:fldChar w:fldCharType="separate"/>
      </w:r>
      <w:r w:rsidR="008C495D">
        <w:rPr>
          <w:noProof/>
        </w:rPr>
        <w:t>4</w:t>
      </w:r>
      <w:r w:rsidR="002351AF">
        <w:rPr>
          <w:noProof/>
        </w:rPr>
        <w:fldChar w:fldCharType="end"/>
      </w:r>
      <w:bookmarkEnd w:id="9"/>
      <w:r w:rsidRPr="00D10DBB">
        <w:t>.</w:t>
      </w:r>
      <w:proofErr w:type="gramEnd"/>
      <w:r w:rsidRPr="00F309DA">
        <w:rPr>
          <w:b w:val="0"/>
        </w:rPr>
        <w:t xml:space="preserve">  </w:t>
      </w:r>
      <w:r w:rsidR="00A729F6" w:rsidRPr="00FC5117">
        <w:t>Cumulative Incidence Estimates for Key Secondary Endpoint</w:t>
      </w:r>
      <w:r w:rsidR="00FC5117">
        <w:t xml:space="preserve"> </w:t>
      </w:r>
      <w:r w:rsidR="003047D2">
        <w:t>(</w:t>
      </w:r>
      <w:r w:rsidR="00FC5117">
        <w:t xml:space="preserve">Cardiovascular Death, </w:t>
      </w:r>
      <w:r w:rsidR="00FC5117" w:rsidRPr="002351AF">
        <w:t>Myocardial</w:t>
      </w:r>
      <w:r w:rsidR="00FC5117">
        <w:t xml:space="preserve"> infarcti</w:t>
      </w:r>
      <w:r w:rsidR="00D54E2D">
        <w:t xml:space="preserve">on </w:t>
      </w:r>
      <w:r w:rsidR="009D366C">
        <w:t>or</w:t>
      </w:r>
      <w:r w:rsidR="00FC5117">
        <w:t xml:space="preserve"> S</w:t>
      </w:r>
      <w:r w:rsidR="00FC5117" w:rsidRPr="00FC5117">
        <w:t>troke</w:t>
      </w:r>
      <w:r w:rsidR="003047D2">
        <w:t>)</w:t>
      </w:r>
    </w:p>
    <w:p w14:paraId="2BAFD3EE" w14:textId="4B732E7C" w:rsidR="00A729F6" w:rsidRPr="00FC5117" w:rsidRDefault="0005561A" w:rsidP="002351AF">
      <w:pPr>
        <w:pStyle w:val="PI-subheadernounderline"/>
      </w:pPr>
      <w:r w:rsidRPr="002351AF">
        <w:drawing>
          <wp:inline distT="0" distB="0" distL="0" distR="0" wp14:anchorId="1A8283E0" wp14:editId="049A1E76">
            <wp:extent cx="6294120" cy="2590800"/>
            <wp:effectExtent l="0" t="0" r="0" b="0"/>
            <wp:docPr id="4" name="Picture 9" descr="Figure 4.  Cumulative Incidence Estimates for Key Secondary Endpoint (Cardiovascular Death, Myocardial infarction or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asudevr\Desktop\GRH0430 GRAPH MISC N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4120" cy="2590800"/>
                    </a:xfrm>
                    <a:prstGeom prst="rect">
                      <a:avLst/>
                    </a:prstGeom>
                    <a:noFill/>
                    <a:ln>
                      <a:noFill/>
                    </a:ln>
                  </pic:spPr>
                </pic:pic>
              </a:graphicData>
            </a:graphic>
          </wp:inline>
        </w:drawing>
      </w:r>
    </w:p>
    <w:p w14:paraId="13620D68" w14:textId="77777777" w:rsidR="00A729F6" w:rsidRDefault="00A729F6" w:rsidP="00FC5117">
      <w:pPr>
        <w:pStyle w:val="PI-text"/>
      </w:pPr>
      <w:r w:rsidRPr="00454B56">
        <w:t>The Kaplan-Me</w:t>
      </w:r>
      <w:r w:rsidRPr="00AC429C">
        <w:t>ier</w:t>
      </w:r>
      <w:r>
        <w:t xml:space="preserve"> curves for the</w:t>
      </w:r>
      <w:r w:rsidRPr="00946E66">
        <w:t xml:space="preserve"> primary and key secondary composite endpoints </w:t>
      </w:r>
      <w:r>
        <w:t>separated</w:t>
      </w:r>
      <w:r w:rsidRPr="00946E66">
        <w:t xml:space="preserve"> at approximately </w:t>
      </w:r>
      <w:r>
        <w:t>five</w:t>
      </w:r>
      <w:r w:rsidRPr="00946E66">
        <w:t xml:space="preserve"> months and the magnitude</w:t>
      </w:r>
      <w:r>
        <w:t>s</w:t>
      </w:r>
      <w:r w:rsidRPr="00946E66">
        <w:t xml:space="preserve"> of the absolute risk reduction</w:t>
      </w:r>
      <w:r>
        <w:t>s</w:t>
      </w:r>
      <w:r w:rsidRPr="00946E66">
        <w:t xml:space="preserve"> grew steadily over time.</w:t>
      </w:r>
    </w:p>
    <w:p w14:paraId="33A90E3F" w14:textId="77777777" w:rsidR="00A729F6" w:rsidRPr="00846026" w:rsidRDefault="00E832D1" w:rsidP="00E832D1">
      <w:pPr>
        <w:pStyle w:val="PI-text"/>
      </w:pPr>
      <w:r w:rsidRPr="00E832D1">
        <w:t xml:space="preserve">In an exploratory landmark analysis of post-baseline subgroups, Repatha reduced </w:t>
      </w:r>
      <w:r w:rsidR="00334AFE">
        <w:t xml:space="preserve">the </w:t>
      </w:r>
      <w:r w:rsidRPr="00E832D1">
        <w:t>risk of the primary and</w:t>
      </w:r>
      <w:r>
        <w:t xml:space="preserve"> </w:t>
      </w:r>
      <w:r w:rsidRPr="00E832D1">
        <w:t>key secondary composite endpoints</w:t>
      </w:r>
      <w:r w:rsidR="00334AFE">
        <w:t xml:space="preserve"> more</w:t>
      </w:r>
      <w:r w:rsidRPr="00E832D1">
        <w:t xml:space="preserve"> after the first year than in the first year of the study</w:t>
      </w:r>
      <w:r w:rsidR="00334AFE">
        <w:t>.</w:t>
      </w:r>
    </w:p>
    <w:p w14:paraId="77945AF4" w14:textId="77777777" w:rsidR="00A729F6" w:rsidRPr="001546E2" w:rsidRDefault="00A729F6" w:rsidP="00A729F6">
      <w:pPr>
        <w:pStyle w:val="PI-text"/>
        <w:rPr>
          <w:rFonts w:eastAsia="MS Mincho"/>
          <w:bCs/>
          <w:iCs/>
          <w:color w:val="000000"/>
          <w:lang w:eastAsia="ja-JP"/>
        </w:rPr>
      </w:pPr>
      <w:r w:rsidRPr="001546E2">
        <w:rPr>
          <w:rFonts w:eastAsia="MS Mincho"/>
          <w:bCs/>
          <w:iCs/>
          <w:color w:val="000000"/>
          <w:lang w:eastAsia="ja-JP"/>
        </w:rPr>
        <w:t>The efficacy of Repatha on the primary and key secondary composite endpoints was consistent across all pre-specified subgroups (e.g. baseline LDL-C, geographic region, age, sex, race, prior non-h</w:t>
      </w:r>
      <w:r>
        <w:rPr>
          <w:rFonts w:eastAsia="MS Mincho"/>
          <w:bCs/>
          <w:iCs/>
          <w:color w:val="000000"/>
          <w:lang w:eastAsia="ja-JP"/>
        </w:rPr>
        <w:t>a</w:t>
      </w:r>
      <w:r w:rsidRPr="001546E2">
        <w:rPr>
          <w:rFonts w:eastAsia="MS Mincho"/>
          <w:bCs/>
          <w:iCs/>
          <w:color w:val="000000"/>
          <w:lang w:eastAsia="ja-JP"/>
        </w:rPr>
        <w:t>emorrhagic stroke, symptomatic PAD, length of prior myocardial infarction, intensity of statin treatment at baseline, history of type 2 diabetes, ezetimibe use at baseline) relative to placebo.</w:t>
      </w:r>
    </w:p>
    <w:p w14:paraId="11723B34" w14:textId="77777777" w:rsidR="00A729F6" w:rsidRDefault="00A729F6" w:rsidP="00A729F6">
      <w:pPr>
        <w:pStyle w:val="PI-text"/>
      </w:pPr>
      <w:r w:rsidRPr="002D21AF">
        <w:lastRenderedPageBreak/>
        <w:t xml:space="preserve">Repatha reduced </w:t>
      </w:r>
      <w:r w:rsidRPr="00F52EAD">
        <w:t xml:space="preserve">LDL-C by a median </w:t>
      </w:r>
      <w:r>
        <w:t xml:space="preserve">(Q1, Q3) </w:t>
      </w:r>
      <w:r w:rsidRPr="00F52EAD">
        <w:t xml:space="preserve">of </w:t>
      </w:r>
      <w:r w:rsidRPr="000A7324">
        <w:t>63.8% (32.3,</w:t>
      </w:r>
      <w:r>
        <w:t xml:space="preserve"> </w:t>
      </w:r>
      <w:r w:rsidRPr="000A7324">
        <w:t>76.8) to 69.5% (55.7, 79.1)</w:t>
      </w:r>
      <w:r>
        <w:t>.  The treatment difference in LDL-C reduction between Repatha and placebo ranged from 52.</w:t>
      </w:r>
      <w:r w:rsidR="00E832D1">
        <w:t>1</w:t>
      </w:r>
      <w:r>
        <w:t>% (95% CI</w:t>
      </w:r>
      <w:r w:rsidR="008B2CE2">
        <w:t>: 49.2%, 55.0%) to 60.7%</w:t>
      </w:r>
      <w:r w:rsidR="008B2CE2" w:rsidRPr="00F52EAD">
        <w:t xml:space="preserve"> </w:t>
      </w:r>
      <w:r w:rsidR="008B2CE2">
        <w:t>(95% CI: 60.1, 61.3)</w:t>
      </w:r>
      <w:r>
        <w:t>.  T</w:t>
      </w:r>
      <w:r w:rsidRPr="00F52EAD">
        <w:t xml:space="preserve">hese reductions were maintained for more than </w:t>
      </w:r>
      <w:r>
        <w:t>three</w:t>
      </w:r>
      <w:r w:rsidRPr="00F52EAD">
        <w:t xml:space="preserve"> years. </w:t>
      </w:r>
      <w:r w:rsidRPr="004C6FAE">
        <w:t xml:space="preserve">Corresponding median </w:t>
      </w:r>
      <w:r>
        <w:t>(</w:t>
      </w:r>
      <w:r w:rsidRPr="00CF0F7B">
        <w:t>Q1, Q3)</w:t>
      </w:r>
      <w:r>
        <w:t xml:space="preserve"> </w:t>
      </w:r>
      <w:r w:rsidRPr="004C6FAE">
        <w:t xml:space="preserve">LDL-C concentrations ranged from </w:t>
      </w:r>
      <w:r>
        <w:t>0.7 (0.5, 1.1</w:t>
      </w:r>
      <w:r w:rsidRPr="00CF0F7B">
        <w:t>)</w:t>
      </w:r>
      <w:r>
        <w:t xml:space="preserve"> mmol/L </w:t>
      </w:r>
      <w:r w:rsidRPr="00CF0F7B">
        <w:t>to</w:t>
      </w:r>
      <w:r>
        <w:t xml:space="preserve"> 0.9 (0.5, 1.7</w:t>
      </w:r>
      <w:r w:rsidRPr="00CF0F7B">
        <w:t xml:space="preserve">) </w:t>
      </w:r>
      <w:r>
        <w:t xml:space="preserve">mmol/L in the Repatha group </w:t>
      </w:r>
      <w:r w:rsidRPr="004C6FAE">
        <w:t xml:space="preserve">and </w:t>
      </w:r>
      <w:r w:rsidRPr="002D21AF">
        <w:t>25% of patients</w:t>
      </w:r>
      <w:r w:rsidRPr="00F52EAD">
        <w:t xml:space="preserve"> achieved a LDL-C concentration &lt; </w:t>
      </w:r>
      <w:r>
        <w:t>0.5 mmol/L.</w:t>
      </w:r>
    </w:p>
    <w:p w14:paraId="6655F768" w14:textId="77777777" w:rsidR="00A729F6" w:rsidRPr="008D7F08" w:rsidRDefault="00A729F6" w:rsidP="008D7F08">
      <w:pPr>
        <w:pStyle w:val="PI-text"/>
        <w:rPr>
          <w:color w:val="000000"/>
        </w:rPr>
      </w:pPr>
      <w:r>
        <w:t>Of the patients treated with Repatha, 9518 achieved</w:t>
      </w:r>
      <w:r w:rsidRPr="001546E2">
        <w:t xml:space="preserve"> at least one LDL-C value &lt; </w:t>
      </w:r>
      <w:r>
        <w:t>0.6</w:t>
      </w:r>
      <w:r w:rsidRPr="001546E2">
        <w:t xml:space="preserve"> m</w:t>
      </w:r>
      <w:r w:rsidR="0049772F">
        <w:t>mol/L</w:t>
      </w:r>
      <w:r w:rsidRPr="001546E2">
        <w:t xml:space="preserve">. These patients had similar or lower incidence and similar type of adverse </w:t>
      </w:r>
      <w:r w:rsidRPr="008D7F08">
        <w:rPr>
          <w:color w:val="000000"/>
        </w:rPr>
        <w:t>events, including neurocognitive events and new onset diabetes, compared to patients treated with Repatha or placebo who always had LDL-C ≥ 1.0 mmol/L.</w:t>
      </w:r>
    </w:p>
    <w:p w14:paraId="0B012F7F" w14:textId="535630F2" w:rsidR="006F7726" w:rsidRPr="008D7F08" w:rsidRDefault="00A729F6" w:rsidP="00D03E04">
      <w:pPr>
        <w:pStyle w:val="PI-text"/>
        <w:rPr>
          <w:color w:val="000000"/>
        </w:rPr>
      </w:pPr>
      <w:r w:rsidRPr="008D7F08">
        <w:rPr>
          <w:color w:val="000000"/>
        </w:rPr>
        <w:t xml:space="preserve">In a separate study of 1974 patients with established </w:t>
      </w:r>
      <w:r w:rsidR="00E832D1" w:rsidRPr="008D7F08">
        <w:rPr>
          <w:color w:val="000000"/>
        </w:rPr>
        <w:t xml:space="preserve">cardiovascular </w:t>
      </w:r>
      <w:r w:rsidRPr="008D7F08">
        <w:rPr>
          <w:color w:val="000000"/>
        </w:rPr>
        <w:t xml:space="preserve">disease enrolled in </w:t>
      </w:r>
      <w:r w:rsidR="00503BCB" w:rsidRPr="008D7F08">
        <w:rPr>
          <w:color w:val="000000"/>
        </w:rPr>
        <w:t xml:space="preserve">the </w:t>
      </w:r>
      <w:r w:rsidRPr="008D7F08">
        <w:rPr>
          <w:color w:val="000000"/>
        </w:rPr>
        <w:t>FOURIER study</w:t>
      </w:r>
      <w:r w:rsidR="004878F9" w:rsidRPr="008D7F08">
        <w:rPr>
          <w:color w:val="000000"/>
        </w:rPr>
        <w:t xml:space="preserve">.  </w:t>
      </w:r>
      <w:r w:rsidR="004878F9" w:rsidRPr="008D7F08">
        <w:rPr>
          <w:color w:val="000000"/>
          <w:lang w:eastAsia="en-AU"/>
        </w:rPr>
        <w:t>Evolocumab was non-inferior to placebo for effects on the cognitive domain of executive function and other cognitive domains, assessed by the CANTAB Spatial Working Memory strategy index of executive function.</w:t>
      </w:r>
      <w:r w:rsidRPr="008D7F08">
        <w:rPr>
          <w:color w:val="000000"/>
        </w:rPr>
        <w:t xml:space="preserve"> </w:t>
      </w:r>
      <w:r w:rsidR="004878F9" w:rsidRPr="008D7F08">
        <w:rPr>
          <w:color w:val="000000"/>
        </w:rPr>
        <w:t xml:space="preserve"> T</w:t>
      </w:r>
      <w:r w:rsidR="00605244" w:rsidRPr="008D7F08">
        <w:rPr>
          <w:color w:val="000000"/>
        </w:rPr>
        <w:t xml:space="preserve">here </w:t>
      </w:r>
      <w:r w:rsidR="009C7AEC" w:rsidRPr="008D7F08">
        <w:rPr>
          <w:color w:val="000000"/>
        </w:rPr>
        <w:t>was</w:t>
      </w:r>
      <w:r w:rsidR="00605244" w:rsidRPr="008D7F08">
        <w:rPr>
          <w:color w:val="000000"/>
        </w:rPr>
        <w:t xml:space="preserve"> no evidence that Repatha </w:t>
      </w:r>
      <w:r w:rsidR="009C7AEC" w:rsidRPr="008D7F08">
        <w:rPr>
          <w:color w:val="000000"/>
        </w:rPr>
        <w:t xml:space="preserve">had </w:t>
      </w:r>
      <w:r w:rsidR="00605244" w:rsidRPr="008D7F08">
        <w:rPr>
          <w:color w:val="000000"/>
        </w:rPr>
        <w:t>a detrimental effect on cognitive domains</w:t>
      </w:r>
      <w:r w:rsidR="00503BCB" w:rsidRPr="008D7F08">
        <w:rPr>
          <w:color w:val="000000"/>
        </w:rPr>
        <w:t xml:space="preserve"> based on the analysis of data from 1204 patients (</w:t>
      </w:r>
      <w:r w:rsidR="004D052C" w:rsidRPr="008D7F08">
        <w:rPr>
          <w:color w:val="000000"/>
        </w:rPr>
        <w:t xml:space="preserve">586 </w:t>
      </w:r>
      <w:r w:rsidR="00503BCB" w:rsidRPr="008D7F08">
        <w:rPr>
          <w:color w:val="000000"/>
        </w:rPr>
        <w:t>Repatha, 618</w:t>
      </w:r>
      <w:r w:rsidR="002C74C3" w:rsidRPr="008D7F08">
        <w:rPr>
          <w:color w:val="000000"/>
        </w:rPr>
        <w:t> </w:t>
      </w:r>
      <w:r w:rsidR="00503BCB" w:rsidRPr="008D7F08">
        <w:rPr>
          <w:color w:val="000000"/>
        </w:rPr>
        <w:t>placebo)</w:t>
      </w:r>
      <w:r w:rsidRPr="008D7F08">
        <w:rPr>
          <w:color w:val="000000"/>
        </w:rPr>
        <w:t>.</w:t>
      </w:r>
    </w:p>
    <w:p w14:paraId="4787BF07" w14:textId="77777777" w:rsidR="00A729F6" w:rsidRPr="00F235F6" w:rsidRDefault="00A729F6" w:rsidP="00A729F6">
      <w:pPr>
        <w:pStyle w:val="PI-UnderlinedSubHeader"/>
        <w:rPr>
          <w:rFonts w:cs="Arial"/>
          <w:color w:val="000000"/>
        </w:rPr>
      </w:pPr>
      <w:r w:rsidRPr="00F235F6">
        <w:t>Regression of Atherosclerosis</w:t>
      </w:r>
      <w:r w:rsidRPr="00F235F6">
        <w:rPr>
          <w:rFonts w:cs="Arial"/>
          <w:color w:val="000000"/>
        </w:rPr>
        <w:t xml:space="preserve"> </w:t>
      </w:r>
    </w:p>
    <w:p w14:paraId="3DB8499B" w14:textId="77777777" w:rsidR="00A729F6" w:rsidRDefault="00A729F6" w:rsidP="00A729F6">
      <w:pPr>
        <w:pStyle w:val="PI-text"/>
      </w:pPr>
      <w:r w:rsidRPr="00D92916">
        <w:rPr>
          <w:color w:val="000000"/>
        </w:rPr>
        <w:t xml:space="preserve">GLAGOV </w:t>
      </w:r>
      <w:r w:rsidRPr="00D92916">
        <w:rPr>
          <w:color w:val="000000"/>
          <w:shd w:val="clear" w:color="auto" w:fill="FFFFFF"/>
        </w:rPr>
        <w:t xml:space="preserve">was a </w:t>
      </w:r>
      <w:r w:rsidRPr="00185921">
        <w:rPr>
          <w:rFonts w:eastAsia="MS Mincho"/>
          <w:bCs/>
          <w:iCs/>
          <w:color w:val="000000"/>
          <w:lang w:eastAsia="ja-JP"/>
        </w:rPr>
        <w:t xml:space="preserve">phase 3, </w:t>
      </w:r>
      <w:r w:rsidRPr="00915689">
        <w:t>double-blind, randomi</w:t>
      </w:r>
      <w:r>
        <w:t>s</w:t>
      </w:r>
      <w:r w:rsidRPr="00915689">
        <w:t>ed, placebo-controlled</w:t>
      </w:r>
      <w:r>
        <w:t xml:space="preserve"> </w:t>
      </w:r>
      <w:r w:rsidRPr="00915689">
        <w:t xml:space="preserve">study to </w:t>
      </w:r>
      <w:r>
        <w:t>evaluate</w:t>
      </w:r>
      <w:r w:rsidRPr="00915689">
        <w:t xml:space="preserve"> the effec</w:t>
      </w:r>
      <w:r>
        <w:t xml:space="preserve">ts of </w:t>
      </w:r>
      <w:r w:rsidRPr="00915689">
        <w:t xml:space="preserve">Repatha treatment on </w:t>
      </w:r>
      <w:r w:rsidRPr="00D445A5">
        <w:t xml:space="preserve">coronary atherosclerotic disease </w:t>
      </w:r>
      <w:r w:rsidRPr="00D92916">
        <w:t xml:space="preserve">as measured by </w:t>
      </w:r>
      <w:r w:rsidRPr="00915689">
        <w:t>intravascular ultrasound (IVUS)</w:t>
      </w:r>
      <w:r>
        <w:t>.</w:t>
      </w:r>
    </w:p>
    <w:p w14:paraId="61ECA5E2" w14:textId="77777777" w:rsidR="00A729F6" w:rsidRDefault="00A729F6" w:rsidP="00A729F6">
      <w:pPr>
        <w:pStyle w:val="PI-text"/>
        <w:rPr>
          <w:color w:val="000000"/>
        </w:rPr>
      </w:pPr>
      <w:r>
        <w:rPr>
          <w:color w:val="000000"/>
        </w:rPr>
        <w:t>Enrolled p</w:t>
      </w:r>
      <w:r w:rsidRPr="00D92916">
        <w:rPr>
          <w:color w:val="000000"/>
        </w:rPr>
        <w:t xml:space="preserve">atients were required </w:t>
      </w:r>
      <w:r>
        <w:rPr>
          <w:color w:val="000000"/>
        </w:rPr>
        <w:t xml:space="preserve">to be on stable </w:t>
      </w:r>
      <w:r w:rsidRPr="00374FEE">
        <w:rPr>
          <w:color w:val="000000"/>
        </w:rPr>
        <w:t xml:space="preserve">background </w:t>
      </w:r>
      <w:r>
        <w:rPr>
          <w:color w:val="000000"/>
        </w:rPr>
        <w:t xml:space="preserve">lipid-lowering therapy </w:t>
      </w:r>
      <w:r w:rsidRPr="00D92916">
        <w:rPr>
          <w:color w:val="000000"/>
        </w:rPr>
        <w:t>and to have a LDL-C ≥</w:t>
      </w:r>
      <w:r>
        <w:rPr>
          <w:color w:val="000000"/>
        </w:rPr>
        <w:t xml:space="preserve"> </w:t>
      </w:r>
      <w:r w:rsidRPr="002C4003">
        <w:rPr>
          <w:color w:val="000000"/>
        </w:rPr>
        <w:t>2.</w:t>
      </w:r>
      <w:r>
        <w:rPr>
          <w:color w:val="000000"/>
        </w:rPr>
        <w:t>1</w:t>
      </w:r>
      <w:r w:rsidRPr="002C4003">
        <w:rPr>
          <w:color w:val="000000"/>
        </w:rPr>
        <w:t xml:space="preserve"> mmol/L</w:t>
      </w:r>
      <w:r w:rsidRPr="00D92916">
        <w:rPr>
          <w:color w:val="000000"/>
        </w:rPr>
        <w:t xml:space="preserve"> or </w:t>
      </w:r>
      <w:r w:rsidRPr="00CA5634">
        <w:t xml:space="preserve">LDL-C </w:t>
      </w:r>
      <w:r w:rsidRPr="00CA5634">
        <w:sym w:font="Symbol" w:char="F0B3"/>
      </w:r>
      <w:r>
        <w:t>1.6</w:t>
      </w:r>
      <w:r w:rsidRPr="00CA5634">
        <w:t xml:space="preserve"> to &lt; </w:t>
      </w:r>
      <w:r w:rsidRPr="002C4003">
        <w:t>2.</w:t>
      </w:r>
      <w:r>
        <w:t>1</w:t>
      </w:r>
      <w:r w:rsidRPr="002C4003">
        <w:t xml:space="preserve"> mmol/L</w:t>
      </w:r>
      <w:r w:rsidRPr="00D92916">
        <w:rPr>
          <w:color w:val="000000"/>
        </w:rPr>
        <w:t xml:space="preserve"> </w:t>
      </w:r>
      <w:r>
        <w:rPr>
          <w:color w:val="000000"/>
        </w:rPr>
        <w:t>with</w:t>
      </w:r>
      <w:r w:rsidRPr="00D92916">
        <w:rPr>
          <w:color w:val="000000"/>
        </w:rPr>
        <w:t xml:space="preserve"> one m</w:t>
      </w:r>
      <w:r>
        <w:rPr>
          <w:color w:val="000000"/>
        </w:rPr>
        <w:t xml:space="preserve">ajor </w:t>
      </w:r>
      <w:r w:rsidRPr="00D92916">
        <w:rPr>
          <w:color w:val="000000"/>
        </w:rPr>
        <w:t>or three minor cardiovascular risk factors</w:t>
      </w:r>
      <w:r>
        <w:rPr>
          <w:color w:val="000000"/>
        </w:rPr>
        <w:t xml:space="preserve">. These patients had coronary artery disease and </w:t>
      </w:r>
      <w:r w:rsidRPr="003E7975">
        <w:rPr>
          <w:color w:val="000000"/>
        </w:rPr>
        <w:t>requir</w:t>
      </w:r>
      <w:r>
        <w:rPr>
          <w:color w:val="000000"/>
        </w:rPr>
        <w:t>ed</w:t>
      </w:r>
      <w:r w:rsidRPr="003E7975">
        <w:rPr>
          <w:color w:val="000000"/>
        </w:rPr>
        <w:t xml:space="preserve"> coronary angiography</w:t>
      </w:r>
      <w:r>
        <w:rPr>
          <w:color w:val="000000"/>
        </w:rPr>
        <w:t>.</w:t>
      </w:r>
    </w:p>
    <w:p w14:paraId="4EA4C27E" w14:textId="77777777" w:rsidR="00A729F6" w:rsidRDefault="00A729F6" w:rsidP="00A729F6">
      <w:pPr>
        <w:pStyle w:val="PI-text"/>
      </w:pPr>
      <w:r>
        <w:rPr>
          <w:color w:val="000000"/>
        </w:rPr>
        <w:t>A total of 970 p</w:t>
      </w:r>
      <w:r w:rsidRPr="00D92916">
        <w:rPr>
          <w:color w:val="000000"/>
        </w:rPr>
        <w:t>atients were randomi</w:t>
      </w:r>
      <w:r>
        <w:rPr>
          <w:color w:val="000000"/>
        </w:rPr>
        <w:t>s</w:t>
      </w:r>
      <w:r w:rsidRPr="00D92916">
        <w:rPr>
          <w:color w:val="000000"/>
        </w:rPr>
        <w:t xml:space="preserve">ed 1:1 into two treatment groups to either receive Repatha 420 mg </w:t>
      </w:r>
      <w:r>
        <w:rPr>
          <w:color w:val="000000"/>
        </w:rPr>
        <w:t xml:space="preserve">once monthly </w:t>
      </w:r>
      <w:r w:rsidRPr="00D92916">
        <w:rPr>
          <w:color w:val="000000"/>
        </w:rPr>
        <w:t xml:space="preserve">or placebo </w:t>
      </w:r>
      <w:r>
        <w:rPr>
          <w:color w:val="000000"/>
        </w:rPr>
        <w:t xml:space="preserve">once monthly </w:t>
      </w:r>
      <w:r w:rsidRPr="00D92916">
        <w:rPr>
          <w:color w:val="000000"/>
        </w:rPr>
        <w:t>subcutaneous injections</w:t>
      </w:r>
      <w:r>
        <w:rPr>
          <w:color w:val="000000"/>
        </w:rPr>
        <w:t xml:space="preserve"> for </w:t>
      </w:r>
      <w:r w:rsidRPr="00C84919">
        <w:rPr>
          <w:color w:val="000000"/>
        </w:rPr>
        <w:t>76 weeks.</w:t>
      </w:r>
      <w:r>
        <w:rPr>
          <w:color w:val="000000"/>
        </w:rPr>
        <w:t xml:space="preserve">  </w:t>
      </w:r>
      <w:r>
        <w:t xml:space="preserve">IVUS was performed at baseline and at week 78.  </w:t>
      </w:r>
      <w:r>
        <w:rPr>
          <w:color w:val="000000"/>
        </w:rPr>
        <w:t>A total of</w:t>
      </w:r>
      <w:r w:rsidRPr="00C84919">
        <w:rPr>
          <w:color w:val="000000"/>
        </w:rPr>
        <w:t xml:space="preserve"> 27.8% </w:t>
      </w:r>
      <w:r>
        <w:rPr>
          <w:color w:val="000000"/>
        </w:rPr>
        <w:t xml:space="preserve">of patients </w:t>
      </w:r>
      <w:r w:rsidRPr="00C84919">
        <w:rPr>
          <w:color w:val="000000"/>
        </w:rPr>
        <w:t xml:space="preserve">were female and 93.8% were </w:t>
      </w:r>
      <w:r w:rsidR="002C471E">
        <w:rPr>
          <w:color w:val="000000"/>
        </w:rPr>
        <w:t>w</w:t>
      </w:r>
      <w:r w:rsidRPr="00C84919">
        <w:rPr>
          <w:color w:val="000000"/>
        </w:rPr>
        <w:t xml:space="preserve">hite. </w:t>
      </w:r>
      <w:r>
        <w:rPr>
          <w:color w:val="000000"/>
        </w:rPr>
        <w:t xml:space="preserve"> </w:t>
      </w:r>
      <w:r w:rsidRPr="00C84919">
        <w:rPr>
          <w:color w:val="000000"/>
        </w:rPr>
        <w:t xml:space="preserve">The mean </w:t>
      </w:r>
      <w:r>
        <w:rPr>
          <w:color w:val="000000"/>
        </w:rPr>
        <w:t xml:space="preserve">(SD) </w:t>
      </w:r>
      <w:r w:rsidRPr="00C84919">
        <w:rPr>
          <w:color w:val="000000"/>
        </w:rPr>
        <w:t>age was 59.8</w:t>
      </w:r>
      <w:r>
        <w:rPr>
          <w:color w:val="000000"/>
        </w:rPr>
        <w:t xml:space="preserve"> (9.2)</w:t>
      </w:r>
      <w:r w:rsidRPr="00C84919">
        <w:rPr>
          <w:color w:val="000000"/>
        </w:rPr>
        <w:t xml:space="preserve"> years. </w:t>
      </w:r>
      <w:r w:rsidRPr="00A910B4">
        <w:t xml:space="preserve">The </w:t>
      </w:r>
      <w:r>
        <w:t>mean (SD)</w:t>
      </w:r>
      <w:r w:rsidRPr="00A910B4">
        <w:t xml:space="preserve"> LDL-C at baseline was </w:t>
      </w:r>
      <w:r w:rsidRPr="00B47C28">
        <w:t>2.</w:t>
      </w:r>
      <w:r>
        <w:t>4</w:t>
      </w:r>
      <w:r w:rsidRPr="00444A13">
        <w:t xml:space="preserve"> </w:t>
      </w:r>
      <w:r>
        <w:t>(</w:t>
      </w:r>
      <w:r w:rsidRPr="00444A13">
        <w:t>0.7</w:t>
      </w:r>
      <w:r>
        <w:t>)</w:t>
      </w:r>
      <w:r w:rsidRPr="00B47C28">
        <w:t xml:space="preserve"> mmol/L</w:t>
      </w:r>
      <w:r>
        <w:t>)</w:t>
      </w:r>
      <w:r w:rsidRPr="00B47C28">
        <w:t>.</w:t>
      </w:r>
    </w:p>
    <w:p w14:paraId="21C62B20" w14:textId="2808E42A" w:rsidR="00A729F6" w:rsidRDefault="00A729F6" w:rsidP="00A729F6">
      <w:pPr>
        <w:pStyle w:val="PI-text"/>
      </w:pPr>
      <w:r w:rsidRPr="00F40F21">
        <w:rPr>
          <w:color w:val="000000"/>
        </w:rPr>
        <w:t>Repatha reduced percent atheroma volume (PAV) and total atheroma volume (TAV)</w:t>
      </w:r>
      <w:r w:rsidR="002B52ED" w:rsidRPr="00F40F21">
        <w:rPr>
          <w:color w:val="000000"/>
        </w:rPr>
        <w:t xml:space="preserve"> by 1.01% (0.64, 1.38) and 4.89 mm</w:t>
      </w:r>
      <w:r w:rsidR="002B52ED" w:rsidRPr="00F40F21">
        <w:rPr>
          <w:vertAlign w:val="superscript"/>
        </w:rPr>
        <w:t>3</w:t>
      </w:r>
      <w:r w:rsidR="002B52ED" w:rsidRPr="00F40F21">
        <w:rPr>
          <w:color w:val="000000"/>
        </w:rPr>
        <w:t xml:space="preserve"> (2.53, 7.25) respectively</w:t>
      </w:r>
      <w:r w:rsidRPr="00F40F21">
        <w:rPr>
          <w:color w:val="000000"/>
        </w:rPr>
        <w:t xml:space="preserve"> from baseline to week 78 compared to placebo</w:t>
      </w:r>
      <w:r w:rsidR="002B52ED" w:rsidRPr="00F40F21">
        <w:rPr>
          <w:color w:val="000000"/>
        </w:rPr>
        <w:t xml:space="preserve"> (p&lt;0.0001)</w:t>
      </w:r>
      <w:r w:rsidRPr="00F40F21">
        <w:rPr>
          <w:color w:val="000000"/>
        </w:rPr>
        <w:t xml:space="preserve">.  Atherosclerosis regression, defined as any reduction in PAV or TAV at week 78, was observed in </w:t>
      </w:r>
      <w:r w:rsidR="00C77D74" w:rsidRPr="00F40F21">
        <w:rPr>
          <w:rFonts w:cs="Segoe UI"/>
          <w:color w:val="000000"/>
          <w:szCs w:val="20"/>
        </w:rPr>
        <w:t xml:space="preserve">17% and 12.5% </w:t>
      </w:r>
      <w:r w:rsidRPr="00F40F21">
        <w:rPr>
          <w:color w:val="000000"/>
        </w:rPr>
        <w:t>more patients treated with Repatha than patients treated with placebo</w:t>
      </w:r>
      <w:r w:rsidR="00C77D74" w:rsidRPr="00F40F21">
        <w:rPr>
          <w:color w:val="000000"/>
        </w:rPr>
        <w:t xml:space="preserve"> </w:t>
      </w:r>
      <w:r w:rsidR="00C77D74" w:rsidRPr="00F40F21">
        <w:rPr>
          <w:rFonts w:cs="Segoe UI"/>
          <w:color w:val="000000"/>
          <w:szCs w:val="20"/>
        </w:rPr>
        <w:t>for PAV and TAV respectively</w:t>
      </w:r>
      <w:r w:rsidRPr="00F40F21">
        <w:rPr>
          <w:color w:val="000000"/>
        </w:rPr>
        <w:t>.</w:t>
      </w:r>
      <w:r w:rsidR="00E37367">
        <w:rPr>
          <w:color w:val="000000"/>
        </w:rPr>
        <w:t xml:space="preserve">  </w:t>
      </w:r>
      <w:r>
        <w:t xml:space="preserve">The results of the study are shown in </w:t>
      </w:r>
      <w:r w:rsidR="00A25458">
        <w:fldChar w:fldCharType="begin"/>
      </w:r>
      <w:r w:rsidR="00A25458">
        <w:instrText xml:space="preserve"> REF _Ref506363643 \h </w:instrText>
      </w:r>
      <w:r w:rsidR="00A25458">
        <w:fldChar w:fldCharType="separate"/>
      </w:r>
      <w:r w:rsidR="008C495D" w:rsidRPr="00E37367">
        <w:t xml:space="preserve">Table </w:t>
      </w:r>
      <w:r w:rsidR="008C495D">
        <w:rPr>
          <w:noProof/>
        </w:rPr>
        <w:t>2</w:t>
      </w:r>
      <w:r w:rsidR="00A25458">
        <w:fldChar w:fldCharType="end"/>
      </w:r>
      <w:r w:rsidR="00A25458">
        <w:t xml:space="preserve"> </w:t>
      </w:r>
      <w:r>
        <w:t>below:</w:t>
      </w:r>
    </w:p>
    <w:p w14:paraId="4A712BD0" w14:textId="77777777" w:rsidR="00A729F6" w:rsidRPr="00E37367" w:rsidRDefault="00110CE2" w:rsidP="00E37367">
      <w:pPr>
        <w:pStyle w:val="Caption"/>
        <w:rPr>
          <w:rFonts w:eastAsia="Arial"/>
        </w:rPr>
      </w:pPr>
      <w:bookmarkStart w:id="10" w:name="_Ref506363643"/>
      <w:r w:rsidRPr="00E37367">
        <w:lastRenderedPageBreak/>
        <w:t xml:space="preserve">Table </w:t>
      </w:r>
      <w:r w:rsidR="002351AF">
        <w:fldChar w:fldCharType="begin"/>
      </w:r>
      <w:r w:rsidR="002351AF">
        <w:instrText xml:space="preserve"> SEQ Table \* ARABIC </w:instrText>
      </w:r>
      <w:r w:rsidR="002351AF">
        <w:fldChar w:fldCharType="separate"/>
      </w:r>
      <w:r w:rsidR="008C495D">
        <w:rPr>
          <w:noProof/>
        </w:rPr>
        <w:t>2</w:t>
      </w:r>
      <w:r w:rsidR="002351AF">
        <w:rPr>
          <w:noProof/>
        </w:rPr>
        <w:fldChar w:fldCharType="end"/>
      </w:r>
      <w:bookmarkEnd w:id="10"/>
      <w:r w:rsidRPr="00E37367">
        <w:t xml:space="preserve">. </w:t>
      </w:r>
      <w:r w:rsidR="00A25458" w:rsidRPr="00E37367">
        <w:t xml:space="preserve"> </w:t>
      </w:r>
      <w:r w:rsidR="00A729F6" w:rsidRPr="00E37367">
        <w:rPr>
          <w:rFonts w:eastAsia="Arial"/>
        </w:rPr>
        <w:t xml:space="preserve">Summary of Efficacy </w:t>
      </w:r>
      <w:r w:rsidR="006632B5" w:rsidRPr="00E37367">
        <w:rPr>
          <w:rFonts w:eastAsia="Arial"/>
        </w:rPr>
        <w:t>Results</w:t>
      </w:r>
    </w:p>
    <w:p w14:paraId="72AAA573" w14:textId="77777777" w:rsidR="00A729F6" w:rsidRPr="0075137F" w:rsidRDefault="00A729F6" w:rsidP="0075137F">
      <w:pPr>
        <w:spacing w:before="8" w:line="120" w:lineRule="exact"/>
        <w:rPr>
          <w:sz w:val="12"/>
        </w:rPr>
      </w:pPr>
    </w:p>
    <w:tbl>
      <w:tblPr>
        <w:tblW w:w="8640" w:type="dxa"/>
        <w:jc w:val="center"/>
        <w:tblLayout w:type="fixed"/>
        <w:tblCellMar>
          <w:left w:w="0" w:type="dxa"/>
          <w:right w:w="0" w:type="dxa"/>
        </w:tblCellMar>
        <w:tblLook w:val="01E0" w:firstRow="1" w:lastRow="1" w:firstColumn="1" w:lastColumn="1" w:noHBand="0" w:noVBand="0"/>
      </w:tblPr>
      <w:tblGrid>
        <w:gridCol w:w="1944"/>
        <w:gridCol w:w="1296"/>
        <w:gridCol w:w="1440"/>
        <w:gridCol w:w="1440"/>
        <w:gridCol w:w="1440"/>
        <w:gridCol w:w="1080"/>
      </w:tblGrid>
      <w:tr w:rsidR="00A729F6" w:rsidRPr="00DA46E9" w14:paraId="7EAA0B85" w14:textId="77777777" w:rsidTr="003E6D93">
        <w:trPr>
          <w:trHeight w:val="1092"/>
          <w:jc w:val="center"/>
        </w:trPr>
        <w:tc>
          <w:tcPr>
            <w:tcW w:w="1944" w:type="dxa"/>
            <w:tcBorders>
              <w:top w:val="single" w:sz="4" w:space="0" w:color="000000"/>
              <w:left w:val="single" w:sz="4" w:space="0" w:color="000000"/>
              <w:right w:val="single" w:sz="4" w:space="0" w:color="000000"/>
            </w:tcBorders>
            <w:vAlign w:val="center"/>
          </w:tcPr>
          <w:p w14:paraId="179A1348" w14:textId="77777777" w:rsidR="00A729F6" w:rsidRPr="0075137F" w:rsidRDefault="00A729F6" w:rsidP="003E6D93">
            <w:pPr>
              <w:jc w:val="center"/>
              <w:rPr>
                <w:b/>
                <w:color w:val="000000"/>
                <w:sz w:val="18"/>
                <w:u w:val="single"/>
              </w:rPr>
            </w:pPr>
            <w:r w:rsidRPr="0075137F">
              <w:rPr>
                <w:b/>
                <w:color w:val="000000"/>
                <w:sz w:val="18"/>
                <w:u w:val="single"/>
              </w:rPr>
              <w:t>Endpoint</w:t>
            </w:r>
          </w:p>
        </w:tc>
        <w:tc>
          <w:tcPr>
            <w:tcW w:w="1296" w:type="dxa"/>
            <w:tcBorders>
              <w:top w:val="single" w:sz="4" w:space="0" w:color="000000"/>
              <w:left w:val="single" w:sz="4" w:space="0" w:color="000000"/>
              <w:right w:val="single" w:sz="4" w:space="0" w:color="000000"/>
            </w:tcBorders>
            <w:vAlign w:val="center"/>
          </w:tcPr>
          <w:p w14:paraId="0CE27738" w14:textId="77777777" w:rsidR="00A729F6" w:rsidRPr="0075137F" w:rsidRDefault="00A729F6" w:rsidP="003E6D93">
            <w:pPr>
              <w:jc w:val="center"/>
              <w:rPr>
                <w:b/>
                <w:color w:val="000000"/>
                <w:sz w:val="18"/>
                <w:u w:val="single"/>
              </w:rPr>
            </w:pPr>
            <w:r w:rsidRPr="0075137F">
              <w:rPr>
                <w:b/>
                <w:color w:val="000000"/>
                <w:sz w:val="18"/>
                <w:u w:val="single"/>
              </w:rPr>
              <w:t>Summary type</w:t>
            </w:r>
          </w:p>
        </w:tc>
        <w:tc>
          <w:tcPr>
            <w:tcW w:w="1440" w:type="dxa"/>
            <w:tcBorders>
              <w:top w:val="single" w:sz="4" w:space="0" w:color="000000"/>
              <w:left w:val="single" w:sz="4" w:space="0" w:color="000000"/>
              <w:right w:val="single" w:sz="4" w:space="0" w:color="000000"/>
            </w:tcBorders>
            <w:vAlign w:val="center"/>
          </w:tcPr>
          <w:p w14:paraId="67044C73" w14:textId="77777777" w:rsidR="00A729F6" w:rsidRPr="0075137F" w:rsidRDefault="00A729F6" w:rsidP="003E6D93">
            <w:pPr>
              <w:jc w:val="center"/>
              <w:rPr>
                <w:b/>
                <w:color w:val="000000"/>
                <w:sz w:val="18"/>
                <w:u w:val="single"/>
              </w:rPr>
            </w:pPr>
            <w:r w:rsidRPr="0075137F">
              <w:rPr>
                <w:b/>
                <w:color w:val="000000"/>
                <w:sz w:val="18"/>
                <w:u w:val="single"/>
              </w:rPr>
              <w:t>Placebo QM</w:t>
            </w:r>
          </w:p>
          <w:p w14:paraId="2AF5BEF5" w14:textId="77777777" w:rsidR="00A729F6" w:rsidRPr="0075137F" w:rsidRDefault="00A729F6" w:rsidP="003E6D93">
            <w:pPr>
              <w:jc w:val="center"/>
              <w:rPr>
                <w:b/>
                <w:color w:val="000000"/>
                <w:sz w:val="18"/>
                <w:u w:val="single"/>
              </w:rPr>
            </w:pPr>
            <w:r w:rsidRPr="0075137F">
              <w:rPr>
                <w:b/>
                <w:color w:val="000000"/>
                <w:sz w:val="18"/>
                <w:u w:val="single"/>
              </w:rPr>
              <w:t>(N = 423)</w:t>
            </w:r>
          </w:p>
          <w:p w14:paraId="30AB750D" w14:textId="77777777" w:rsidR="00A729F6" w:rsidRPr="0075137F" w:rsidRDefault="00A729F6" w:rsidP="003E6D93">
            <w:pPr>
              <w:jc w:val="center"/>
              <w:rPr>
                <w:b/>
                <w:color w:val="000000"/>
                <w:sz w:val="18"/>
                <w:u w:val="single"/>
              </w:rPr>
            </w:pPr>
          </w:p>
        </w:tc>
        <w:tc>
          <w:tcPr>
            <w:tcW w:w="1440" w:type="dxa"/>
            <w:tcBorders>
              <w:top w:val="single" w:sz="4" w:space="0" w:color="000000"/>
              <w:left w:val="single" w:sz="4" w:space="0" w:color="000000"/>
              <w:right w:val="single" w:sz="4" w:space="0" w:color="000000"/>
            </w:tcBorders>
            <w:vAlign w:val="center"/>
          </w:tcPr>
          <w:p w14:paraId="3CB64878" w14:textId="77777777" w:rsidR="00A729F6" w:rsidRPr="0075137F" w:rsidRDefault="00A729F6" w:rsidP="003E6D93">
            <w:pPr>
              <w:jc w:val="center"/>
              <w:rPr>
                <w:b/>
                <w:color w:val="000000"/>
                <w:sz w:val="18"/>
                <w:u w:val="single"/>
              </w:rPr>
            </w:pPr>
            <w:r w:rsidRPr="0075137F">
              <w:rPr>
                <w:b/>
                <w:color w:val="000000"/>
                <w:sz w:val="18"/>
                <w:u w:val="single"/>
              </w:rPr>
              <w:t>Repatha</w:t>
            </w:r>
          </w:p>
          <w:p w14:paraId="3806E7C8" w14:textId="77777777" w:rsidR="00A729F6" w:rsidRPr="0075137F" w:rsidRDefault="00A729F6" w:rsidP="003E6D93">
            <w:pPr>
              <w:jc w:val="center"/>
              <w:rPr>
                <w:b/>
                <w:color w:val="000000"/>
                <w:sz w:val="18"/>
                <w:u w:val="single"/>
              </w:rPr>
            </w:pPr>
            <w:r w:rsidRPr="0075137F">
              <w:rPr>
                <w:b/>
                <w:color w:val="000000"/>
                <w:sz w:val="18"/>
                <w:u w:val="single"/>
              </w:rPr>
              <w:t>420 mg QM</w:t>
            </w:r>
          </w:p>
          <w:p w14:paraId="7BF6A25E" w14:textId="77777777" w:rsidR="00A729F6" w:rsidRPr="0075137F" w:rsidRDefault="00A729F6" w:rsidP="003E6D93">
            <w:pPr>
              <w:jc w:val="center"/>
              <w:rPr>
                <w:b/>
                <w:color w:val="000000"/>
                <w:sz w:val="18"/>
                <w:u w:val="single"/>
              </w:rPr>
            </w:pPr>
            <w:r w:rsidRPr="0075137F">
              <w:rPr>
                <w:b/>
                <w:color w:val="000000"/>
                <w:sz w:val="18"/>
                <w:u w:val="single"/>
              </w:rPr>
              <w:t>(N = 423)</w:t>
            </w:r>
          </w:p>
          <w:p w14:paraId="3FBFF1A0" w14:textId="77777777" w:rsidR="00A729F6" w:rsidRPr="0075137F" w:rsidRDefault="00A729F6" w:rsidP="003E6D93">
            <w:pPr>
              <w:jc w:val="center"/>
              <w:rPr>
                <w:b/>
                <w:color w:val="000000"/>
                <w:sz w:val="18"/>
                <w:u w:val="single"/>
              </w:rPr>
            </w:pPr>
          </w:p>
        </w:tc>
        <w:tc>
          <w:tcPr>
            <w:tcW w:w="1440" w:type="dxa"/>
            <w:tcBorders>
              <w:top w:val="single" w:sz="4" w:space="0" w:color="000000"/>
              <w:left w:val="single" w:sz="4" w:space="0" w:color="000000"/>
              <w:right w:val="single" w:sz="4" w:space="0" w:color="000000"/>
            </w:tcBorders>
            <w:vAlign w:val="center"/>
          </w:tcPr>
          <w:p w14:paraId="41A55C2B" w14:textId="77777777" w:rsidR="00A729F6" w:rsidRPr="0075137F" w:rsidRDefault="00A729F6" w:rsidP="003E6D93">
            <w:pPr>
              <w:jc w:val="center"/>
              <w:rPr>
                <w:b/>
                <w:color w:val="000000"/>
                <w:sz w:val="18"/>
                <w:u w:val="single"/>
              </w:rPr>
            </w:pPr>
            <w:r w:rsidRPr="0075137F">
              <w:rPr>
                <w:b/>
                <w:color w:val="000000"/>
                <w:sz w:val="18"/>
                <w:u w:val="single"/>
              </w:rPr>
              <w:t>Treatment Difference</w:t>
            </w:r>
          </w:p>
          <w:p w14:paraId="7FCDBDAD" w14:textId="77777777" w:rsidR="00A729F6" w:rsidRPr="0075137F" w:rsidRDefault="00A729F6" w:rsidP="003E6D93">
            <w:pPr>
              <w:jc w:val="center"/>
              <w:rPr>
                <w:b/>
                <w:color w:val="000000"/>
                <w:sz w:val="18"/>
                <w:u w:val="single"/>
              </w:rPr>
            </w:pPr>
            <w:r w:rsidRPr="0075137F">
              <w:rPr>
                <w:b/>
                <w:color w:val="000000"/>
                <w:sz w:val="18"/>
                <w:u w:val="single"/>
              </w:rPr>
              <w:t>(Repatha – Placebo)</w:t>
            </w:r>
          </w:p>
        </w:tc>
        <w:tc>
          <w:tcPr>
            <w:tcW w:w="1080" w:type="dxa"/>
            <w:tcBorders>
              <w:top w:val="single" w:sz="4" w:space="0" w:color="000000"/>
              <w:left w:val="single" w:sz="4" w:space="0" w:color="000000"/>
              <w:right w:val="single" w:sz="4" w:space="0" w:color="000000"/>
            </w:tcBorders>
            <w:vAlign w:val="center"/>
          </w:tcPr>
          <w:p w14:paraId="12F290CF" w14:textId="77777777" w:rsidR="00A729F6" w:rsidRPr="0075137F" w:rsidRDefault="00A729F6" w:rsidP="003E6D93">
            <w:pPr>
              <w:jc w:val="center"/>
              <w:rPr>
                <w:b/>
                <w:color w:val="000000"/>
                <w:sz w:val="18"/>
                <w:u w:val="single"/>
              </w:rPr>
            </w:pPr>
            <w:r w:rsidRPr="0075137F">
              <w:rPr>
                <w:b/>
                <w:color w:val="000000"/>
                <w:sz w:val="18"/>
                <w:u w:val="single"/>
              </w:rPr>
              <w:t>P-value on Treatment Difference</w:t>
            </w:r>
          </w:p>
        </w:tc>
      </w:tr>
      <w:tr w:rsidR="00A729F6" w:rsidRPr="0081402D" w14:paraId="0B55AD6A" w14:textId="77777777" w:rsidTr="003E6D93">
        <w:trPr>
          <w:trHeight w:val="494"/>
          <w:jc w:val="center"/>
        </w:trPr>
        <w:tc>
          <w:tcPr>
            <w:tcW w:w="1944" w:type="dxa"/>
            <w:tcBorders>
              <w:top w:val="single" w:sz="4" w:space="0" w:color="000000"/>
              <w:left w:val="single" w:sz="4" w:space="0" w:color="000000"/>
              <w:right w:val="single" w:sz="4" w:space="0" w:color="000000"/>
            </w:tcBorders>
            <w:vAlign w:val="center"/>
          </w:tcPr>
          <w:p w14:paraId="5C88E19B" w14:textId="77777777" w:rsidR="00A729F6" w:rsidRPr="0081402D" w:rsidRDefault="00A729F6" w:rsidP="003E6D93">
            <w:pPr>
              <w:jc w:val="center"/>
              <w:rPr>
                <w:rFonts w:cs="Arial"/>
                <w:sz w:val="18"/>
                <w:szCs w:val="18"/>
              </w:rPr>
            </w:pPr>
            <w:r w:rsidRPr="0081402D">
              <w:rPr>
                <w:rFonts w:cs="Arial"/>
                <w:sz w:val="18"/>
                <w:szCs w:val="18"/>
              </w:rPr>
              <w:t>Change in PAV (%)</w:t>
            </w:r>
            <w:r w:rsidRPr="00BF41CD">
              <w:rPr>
                <w:rFonts w:cs="Arial"/>
                <w:sz w:val="18"/>
                <w:szCs w:val="18"/>
                <w:vertAlign w:val="superscript"/>
              </w:rPr>
              <w:t>a</w:t>
            </w:r>
          </w:p>
          <w:p w14:paraId="0A43CD8E" w14:textId="77777777" w:rsidR="00A729F6" w:rsidRPr="0081402D" w:rsidRDefault="00A729F6" w:rsidP="003E6D93">
            <w:pPr>
              <w:jc w:val="center"/>
              <w:rPr>
                <w:rFonts w:cs="Arial"/>
                <w:sz w:val="18"/>
                <w:szCs w:val="18"/>
              </w:rPr>
            </w:pPr>
          </w:p>
        </w:tc>
        <w:tc>
          <w:tcPr>
            <w:tcW w:w="1296" w:type="dxa"/>
            <w:tcBorders>
              <w:top w:val="single" w:sz="4" w:space="0" w:color="000000"/>
              <w:left w:val="single" w:sz="4" w:space="0" w:color="000000"/>
              <w:right w:val="single" w:sz="4" w:space="0" w:color="000000"/>
            </w:tcBorders>
            <w:vAlign w:val="center"/>
          </w:tcPr>
          <w:p w14:paraId="663176AF" w14:textId="77777777" w:rsidR="00A729F6" w:rsidRPr="0081402D" w:rsidRDefault="00A729F6" w:rsidP="003E6D93">
            <w:pPr>
              <w:jc w:val="center"/>
              <w:rPr>
                <w:rFonts w:cs="Arial"/>
                <w:sz w:val="18"/>
                <w:szCs w:val="18"/>
              </w:rPr>
            </w:pPr>
            <w:r>
              <w:rPr>
                <w:rFonts w:cs="Arial"/>
                <w:sz w:val="18"/>
                <w:szCs w:val="18"/>
              </w:rPr>
              <w:t>Adjusted Mean</w:t>
            </w:r>
            <w:r w:rsidRPr="0081402D">
              <w:rPr>
                <w:rFonts w:cs="Arial"/>
                <w:sz w:val="18"/>
                <w:szCs w:val="18"/>
              </w:rPr>
              <w:t xml:space="preserve"> (95% CI)</w:t>
            </w:r>
          </w:p>
        </w:tc>
        <w:tc>
          <w:tcPr>
            <w:tcW w:w="1440" w:type="dxa"/>
            <w:tcBorders>
              <w:top w:val="single" w:sz="4" w:space="0" w:color="000000"/>
              <w:left w:val="single" w:sz="4" w:space="0" w:color="000000"/>
              <w:right w:val="single" w:sz="4" w:space="0" w:color="000000"/>
            </w:tcBorders>
            <w:vAlign w:val="center"/>
          </w:tcPr>
          <w:p w14:paraId="12A2F6F6" w14:textId="77777777" w:rsidR="00A729F6" w:rsidRPr="0081402D" w:rsidRDefault="00A729F6" w:rsidP="003E6D93">
            <w:pPr>
              <w:jc w:val="center"/>
              <w:rPr>
                <w:rFonts w:cs="Arial"/>
                <w:sz w:val="18"/>
                <w:szCs w:val="18"/>
              </w:rPr>
            </w:pPr>
            <w:r w:rsidRPr="0081402D">
              <w:rPr>
                <w:rFonts w:cs="Arial"/>
                <w:sz w:val="18"/>
                <w:szCs w:val="18"/>
              </w:rPr>
              <w:t>0.05</w:t>
            </w:r>
          </w:p>
          <w:p w14:paraId="10E8F79D" w14:textId="77777777" w:rsidR="00A729F6" w:rsidRPr="0081402D" w:rsidRDefault="00A729F6" w:rsidP="003E6D93">
            <w:pPr>
              <w:jc w:val="center"/>
              <w:rPr>
                <w:rFonts w:cs="Arial"/>
                <w:sz w:val="18"/>
                <w:szCs w:val="18"/>
              </w:rPr>
            </w:pPr>
            <w:r w:rsidRPr="0081402D">
              <w:rPr>
                <w:rFonts w:cs="Arial"/>
                <w:sz w:val="18"/>
                <w:szCs w:val="18"/>
              </w:rPr>
              <w:t>(-0.32, 0.42)</w:t>
            </w:r>
          </w:p>
        </w:tc>
        <w:tc>
          <w:tcPr>
            <w:tcW w:w="1440" w:type="dxa"/>
            <w:tcBorders>
              <w:top w:val="single" w:sz="4" w:space="0" w:color="000000"/>
              <w:left w:val="single" w:sz="4" w:space="0" w:color="000000"/>
              <w:right w:val="single" w:sz="4" w:space="0" w:color="000000"/>
            </w:tcBorders>
            <w:vAlign w:val="center"/>
          </w:tcPr>
          <w:p w14:paraId="546FF702" w14:textId="77777777" w:rsidR="00A729F6" w:rsidRPr="0081402D" w:rsidRDefault="00A729F6" w:rsidP="003E6D93">
            <w:pPr>
              <w:jc w:val="center"/>
              <w:rPr>
                <w:rFonts w:cs="Arial"/>
                <w:sz w:val="18"/>
                <w:szCs w:val="18"/>
              </w:rPr>
            </w:pPr>
            <w:r w:rsidRPr="0081402D">
              <w:rPr>
                <w:rFonts w:cs="Arial"/>
                <w:sz w:val="18"/>
                <w:szCs w:val="18"/>
              </w:rPr>
              <w:t>-0.95</w:t>
            </w:r>
          </w:p>
          <w:p w14:paraId="6663F1AC" w14:textId="77777777" w:rsidR="00A729F6" w:rsidRPr="0081402D" w:rsidRDefault="00A729F6" w:rsidP="003E6D93">
            <w:pPr>
              <w:jc w:val="center"/>
              <w:rPr>
                <w:rFonts w:cs="Arial"/>
                <w:sz w:val="18"/>
                <w:szCs w:val="18"/>
              </w:rPr>
            </w:pPr>
            <w:r w:rsidRPr="0081402D">
              <w:rPr>
                <w:rFonts w:cs="Arial"/>
                <w:sz w:val="18"/>
                <w:szCs w:val="18"/>
              </w:rPr>
              <w:t>(-1.33, -0.58)</w:t>
            </w:r>
          </w:p>
        </w:tc>
        <w:tc>
          <w:tcPr>
            <w:tcW w:w="1440" w:type="dxa"/>
            <w:tcBorders>
              <w:top w:val="single" w:sz="4" w:space="0" w:color="000000"/>
              <w:left w:val="single" w:sz="4" w:space="0" w:color="000000"/>
              <w:right w:val="single" w:sz="4" w:space="0" w:color="000000"/>
            </w:tcBorders>
            <w:vAlign w:val="center"/>
          </w:tcPr>
          <w:p w14:paraId="233B4D8B" w14:textId="77777777" w:rsidR="00A729F6" w:rsidRPr="0081402D" w:rsidRDefault="00A729F6" w:rsidP="003E6D93">
            <w:pPr>
              <w:jc w:val="center"/>
              <w:rPr>
                <w:rFonts w:cs="Arial"/>
                <w:sz w:val="18"/>
                <w:szCs w:val="18"/>
              </w:rPr>
            </w:pPr>
            <w:r w:rsidRPr="0081402D">
              <w:rPr>
                <w:rFonts w:cs="Arial"/>
                <w:sz w:val="18"/>
                <w:szCs w:val="18"/>
              </w:rPr>
              <w:t>-1.01</w:t>
            </w:r>
          </w:p>
          <w:p w14:paraId="351AA337" w14:textId="77777777" w:rsidR="00A729F6" w:rsidRPr="0081402D" w:rsidRDefault="00A729F6" w:rsidP="003E6D93">
            <w:pPr>
              <w:jc w:val="center"/>
              <w:rPr>
                <w:rFonts w:cs="Arial"/>
                <w:sz w:val="18"/>
                <w:szCs w:val="18"/>
              </w:rPr>
            </w:pPr>
            <w:r w:rsidRPr="0081402D">
              <w:rPr>
                <w:rFonts w:cs="Arial"/>
                <w:sz w:val="18"/>
                <w:szCs w:val="18"/>
              </w:rPr>
              <w:t>(-1.38, -0.64)</w:t>
            </w:r>
          </w:p>
        </w:tc>
        <w:tc>
          <w:tcPr>
            <w:tcW w:w="1080" w:type="dxa"/>
            <w:tcBorders>
              <w:top w:val="single" w:sz="4" w:space="0" w:color="000000"/>
              <w:left w:val="single" w:sz="4" w:space="0" w:color="000000"/>
              <w:right w:val="single" w:sz="4" w:space="0" w:color="000000"/>
            </w:tcBorders>
            <w:vAlign w:val="center"/>
          </w:tcPr>
          <w:p w14:paraId="59F44707" w14:textId="77777777" w:rsidR="00A729F6" w:rsidRPr="0081402D" w:rsidRDefault="00A729F6" w:rsidP="003E6D93">
            <w:pPr>
              <w:jc w:val="center"/>
              <w:rPr>
                <w:rFonts w:cs="Arial"/>
                <w:sz w:val="18"/>
                <w:szCs w:val="18"/>
              </w:rPr>
            </w:pPr>
            <w:r w:rsidRPr="0081402D">
              <w:rPr>
                <w:rFonts w:cs="Arial"/>
                <w:sz w:val="18"/>
                <w:szCs w:val="18"/>
              </w:rPr>
              <w:t>&lt;0.0001</w:t>
            </w:r>
          </w:p>
        </w:tc>
      </w:tr>
      <w:tr w:rsidR="00A729F6" w:rsidRPr="00DA46E9" w14:paraId="17CC64DD" w14:textId="77777777" w:rsidTr="003E6D93">
        <w:trPr>
          <w:trHeight w:val="350"/>
          <w:jc w:val="center"/>
        </w:trPr>
        <w:tc>
          <w:tcPr>
            <w:tcW w:w="1944" w:type="dxa"/>
            <w:tcBorders>
              <w:top w:val="single" w:sz="4" w:space="0" w:color="000000"/>
              <w:left w:val="single" w:sz="4" w:space="0" w:color="000000"/>
              <w:right w:val="single" w:sz="4" w:space="0" w:color="000000"/>
            </w:tcBorders>
            <w:vAlign w:val="center"/>
          </w:tcPr>
          <w:p w14:paraId="70EA7520" w14:textId="77777777" w:rsidR="00A729F6" w:rsidRPr="00DA46E9" w:rsidRDefault="00A729F6" w:rsidP="003E6D93">
            <w:pPr>
              <w:jc w:val="center"/>
              <w:rPr>
                <w:rFonts w:cs="Arial"/>
                <w:sz w:val="18"/>
                <w:szCs w:val="18"/>
              </w:rPr>
            </w:pPr>
            <w:r w:rsidRPr="00DA46E9">
              <w:rPr>
                <w:rFonts w:cs="Arial"/>
                <w:sz w:val="18"/>
                <w:szCs w:val="18"/>
              </w:rPr>
              <w:t>Change in TAV (mm</w:t>
            </w:r>
            <w:r w:rsidRPr="00DA46E9">
              <w:rPr>
                <w:rFonts w:cs="Arial"/>
                <w:sz w:val="18"/>
                <w:szCs w:val="18"/>
                <w:vertAlign w:val="superscript"/>
              </w:rPr>
              <w:t>3</w:t>
            </w:r>
            <w:r w:rsidRPr="00DA46E9">
              <w:rPr>
                <w:rFonts w:cs="Arial"/>
                <w:sz w:val="18"/>
                <w:szCs w:val="18"/>
              </w:rPr>
              <w:t>)</w:t>
            </w:r>
            <w:r w:rsidRPr="00BF41CD">
              <w:rPr>
                <w:rFonts w:cs="Arial"/>
                <w:sz w:val="18"/>
                <w:szCs w:val="18"/>
                <w:vertAlign w:val="superscript"/>
              </w:rPr>
              <w:t>b</w:t>
            </w:r>
          </w:p>
        </w:tc>
        <w:tc>
          <w:tcPr>
            <w:tcW w:w="1296" w:type="dxa"/>
            <w:tcBorders>
              <w:top w:val="single" w:sz="4" w:space="0" w:color="000000"/>
              <w:left w:val="single" w:sz="4" w:space="0" w:color="000000"/>
              <w:right w:val="single" w:sz="4" w:space="0" w:color="000000"/>
            </w:tcBorders>
            <w:vAlign w:val="center"/>
          </w:tcPr>
          <w:p w14:paraId="6D9C409D" w14:textId="77777777" w:rsidR="00A729F6" w:rsidRPr="00DA46E9" w:rsidRDefault="00A729F6" w:rsidP="003E6D93">
            <w:pPr>
              <w:jc w:val="center"/>
              <w:rPr>
                <w:rFonts w:cs="Arial"/>
                <w:sz w:val="18"/>
                <w:szCs w:val="18"/>
              </w:rPr>
            </w:pPr>
            <w:r>
              <w:rPr>
                <w:rFonts w:cs="Arial"/>
                <w:sz w:val="18"/>
                <w:szCs w:val="18"/>
              </w:rPr>
              <w:t>Adjusted Mean</w:t>
            </w:r>
            <w:r w:rsidRPr="00DA46E9">
              <w:rPr>
                <w:rFonts w:cs="Arial"/>
                <w:sz w:val="18"/>
                <w:szCs w:val="18"/>
              </w:rPr>
              <w:br/>
              <w:t>(95% CI)</w:t>
            </w:r>
          </w:p>
        </w:tc>
        <w:tc>
          <w:tcPr>
            <w:tcW w:w="1440" w:type="dxa"/>
            <w:tcBorders>
              <w:top w:val="single" w:sz="4" w:space="0" w:color="000000"/>
              <w:left w:val="single" w:sz="4" w:space="0" w:color="000000"/>
              <w:right w:val="single" w:sz="4" w:space="0" w:color="000000"/>
            </w:tcBorders>
            <w:vAlign w:val="center"/>
          </w:tcPr>
          <w:p w14:paraId="1E67A7C5" w14:textId="77777777" w:rsidR="00A729F6" w:rsidRPr="00DA46E9" w:rsidRDefault="00A729F6" w:rsidP="003E6D93">
            <w:pPr>
              <w:jc w:val="center"/>
              <w:rPr>
                <w:rFonts w:cs="Arial"/>
                <w:sz w:val="18"/>
                <w:szCs w:val="18"/>
              </w:rPr>
            </w:pPr>
            <w:r w:rsidRPr="00DA46E9">
              <w:rPr>
                <w:rFonts w:cs="Arial"/>
                <w:sz w:val="18"/>
                <w:szCs w:val="18"/>
              </w:rPr>
              <w:t>-0.91</w:t>
            </w:r>
          </w:p>
          <w:p w14:paraId="099BF73A" w14:textId="77777777" w:rsidR="00A729F6" w:rsidRPr="00DA46E9" w:rsidRDefault="00A729F6" w:rsidP="003E6D93">
            <w:pPr>
              <w:jc w:val="center"/>
              <w:rPr>
                <w:rFonts w:cs="Arial"/>
                <w:sz w:val="18"/>
                <w:szCs w:val="18"/>
              </w:rPr>
            </w:pPr>
            <w:r w:rsidRPr="00DA46E9">
              <w:rPr>
                <w:rFonts w:cs="Arial"/>
                <w:sz w:val="18"/>
                <w:szCs w:val="18"/>
              </w:rPr>
              <w:t>(-3.29, 1.47)</w:t>
            </w:r>
          </w:p>
        </w:tc>
        <w:tc>
          <w:tcPr>
            <w:tcW w:w="1440" w:type="dxa"/>
            <w:tcBorders>
              <w:top w:val="single" w:sz="4" w:space="0" w:color="000000"/>
              <w:left w:val="single" w:sz="4" w:space="0" w:color="000000"/>
              <w:right w:val="single" w:sz="4" w:space="0" w:color="000000"/>
            </w:tcBorders>
            <w:vAlign w:val="center"/>
          </w:tcPr>
          <w:p w14:paraId="3F682A90" w14:textId="77777777" w:rsidR="00A729F6" w:rsidRPr="00DA46E9" w:rsidRDefault="00A729F6" w:rsidP="003E6D93">
            <w:pPr>
              <w:jc w:val="center"/>
              <w:rPr>
                <w:rFonts w:cs="Arial"/>
                <w:sz w:val="18"/>
                <w:szCs w:val="18"/>
              </w:rPr>
            </w:pPr>
            <w:r w:rsidRPr="00DA46E9">
              <w:rPr>
                <w:rFonts w:cs="Arial"/>
                <w:sz w:val="18"/>
                <w:szCs w:val="18"/>
              </w:rPr>
              <w:t>-5.80</w:t>
            </w:r>
          </w:p>
          <w:p w14:paraId="1A359C86" w14:textId="77777777" w:rsidR="00A729F6" w:rsidRPr="00DA46E9" w:rsidRDefault="00A729F6" w:rsidP="003E6D93">
            <w:pPr>
              <w:jc w:val="center"/>
              <w:rPr>
                <w:rFonts w:cs="Arial"/>
                <w:sz w:val="18"/>
                <w:szCs w:val="18"/>
              </w:rPr>
            </w:pPr>
            <w:r w:rsidRPr="00DA46E9">
              <w:rPr>
                <w:rFonts w:cs="Arial"/>
                <w:sz w:val="18"/>
                <w:szCs w:val="18"/>
              </w:rPr>
              <w:t>(-8.19, -3.41)</w:t>
            </w:r>
          </w:p>
        </w:tc>
        <w:tc>
          <w:tcPr>
            <w:tcW w:w="1440" w:type="dxa"/>
            <w:tcBorders>
              <w:top w:val="single" w:sz="4" w:space="0" w:color="000000"/>
              <w:left w:val="single" w:sz="4" w:space="0" w:color="000000"/>
              <w:right w:val="single" w:sz="4" w:space="0" w:color="000000"/>
            </w:tcBorders>
            <w:vAlign w:val="center"/>
          </w:tcPr>
          <w:p w14:paraId="15C27BBA" w14:textId="77777777" w:rsidR="00A729F6" w:rsidRPr="00DA46E9" w:rsidRDefault="00A729F6" w:rsidP="003E6D93">
            <w:pPr>
              <w:jc w:val="center"/>
              <w:rPr>
                <w:rFonts w:cs="Arial"/>
                <w:sz w:val="18"/>
                <w:szCs w:val="18"/>
              </w:rPr>
            </w:pPr>
            <w:r w:rsidRPr="00DA46E9">
              <w:rPr>
                <w:rFonts w:cs="Arial"/>
                <w:sz w:val="18"/>
                <w:szCs w:val="18"/>
              </w:rPr>
              <w:t>-4.89</w:t>
            </w:r>
          </w:p>
          <w:p w14:paraId="61114724" w14:textId="77777777" w:rsidR="00A729F6" w:rsidRPr="00DA46E9" w:rsidRDefault="00A729F6" w:rsidP="003E6D93">
            <w:pPr>
              <w:jc w:val="center"/>
              <w:rPr>
                <w:rFonts w:cs="Arial"/>
                <w:sz w:val="18"/>
                <w:szCs w:val="18"/>
              </w:rPr>
            </w:pPr>
            <w:r w:rsidRPr="00DA46E9">
              <w:rPr>
                <w:rFonts w:cs="Arial"/>
                <w:sz w:val="18"/>
                <w:szCs w:val="18"/>
              </w:rPr>
              <w:t>(-7.25, -2.53)</w:t>
            </w:r>
          </w:p>
        </w:tc>
        <w:tc>
          <w:tcPr>
            <w:tcW w:w="1080" w:type="dxa"/>
            <w:tcBorders>
              <w:top w:val="single" w:sz="4" w:space="0" w:color="000000"/>
              <w:left w:val="single" w:sz="4" w:space="0" w:color="000000"/>
              <w:right w:val="single" w:sz="4" w:space="0" w:color="000000"/>
            </w:tcBorders>
            <w:vAlign w:val="center"/>
          </w:tcPr>
          <w:p w14:paraId="6EE30F3C" w14:textId="77777777" w:rsidR="00A729F6" w:rsidRPr="00DA46E9" w:rsidRDefault="00A729F6" w:rsidP="003E6D93">
            <w:pPr>
              <w:jc w:val="center"/>
              <w:rPr>
                <w:rFonts w:cs="Arial"/>
                <w:sz w:val="18"/>
                <w:szCs w:val="18"/>
              </w:rPr>
            </w:pPr>
            <w:r w:rsidRPr="00DA46E9">
              <w:rPr>
                <w:rFonts w:cs="Arial"/>
                <w:sz w:val="18"/>
                <w:szCs w:val="18"/>
              </w:rPr>
              <w:t>&lt;0.0001</w:t>
            </w:r>
          </w:p>
        </w:tc>
      </w:tr>
      <w:tr w:rsidR="00A729F6" w:rsidRPr="00DA46E9" w14:paraId="5A881583" w14:textId="77777777" w:rsidTr="003E6D93">
        <w:trPr>
          <w:trHeight w:val="368"/>
          <w:jc w:val="center"/>
        </w:trPr>
        <w:tc>
          <w:tcPr>
            <w:tcW w:w="1944" w:type="dxa"/>
            <w:tcBorders>
              <w:top w:val="single" w:sz="4" w:space="0" w:color="000000"/>
              <w:left w:val="single" w:sz="4" w:space="0" w:color="000000"/>
              <w:bottom w:val="single" w:sz="4" w:space="0" w:color="000000"/>
              <w:right w:val="single" w:sz="4" w:space="0" w:color="000000"/>
            </w:tcBorders>
            <w:vAlign w:val="center"/>
          </w:tcPr>
          <w:p w14:paraId="174633B3" w14:textId="77777777" w:rsidR="00A729F6" w:rsidRPr="00DA46E9" w:rsidRDefault="00A729F6" w:rsidP="003E6D93">
            <w:pPr>
              <w:jc w:val="center"/>
              <w:rPr>
                <w:rFonts w:cs="Arial"/>
                <w:sz w:val="18"/>
                <w:szCs w:val="18"/>
              </w:rPr>
            </w:pPr>
            <w:r w:rsidRPr="00DA46E9">
              <w:rPr>
                <w:rFonts w:cs="Arial"/>
                <w:sz w:val="18"/>
                <w:szCs w:val="18"/>
              </w:rPr>
              <w:t>Regression in PAV</w:t>
            </w:r>
            <w:r w:rsidRPr="005A34E2">
              <w:rPr>
                <w:rFonts w:cs="Arial"/>
                <w:sz w:val="18"/>
                <w:szCs w:val="18"/>
                <w:vertAlign w:val="superscript"/>
              </w:rPr>
              <w:t xml:space="preserve"> b</w:t>
            </w:r>
          </w:p>
        </w:tc>
        <w:tc>
          <w:tcPr>
            <w:tcW w:w="1296" w:type="dxa"/>
            <w:tcBorders>
              <w:top w:val="single" w:sz="4" w:space="0" w:color="000000"/>
              <w:left w:val="single" w:sz="4" w:space="0" w:color="000000"/>
              <w:bottom w:val="single" w:sz="4" w:space="0" w:color="000000"/>
              <w:right w:val="single" w:sz="4" w:space="0" w:color="000000"/>
            </w:tcBorders>
            <w:vAlign w:val="center"/>
          </w:tcPr>
          <w:p w14:paraId="7B3A2374" w14:textId="77777777" w:rsidR="00A729F6" w:rsidRPr="00DA46E9" w:rsidRDefault="00A729F6" w:rsidP="003E6D93">
            <w:pPr>
              <w:jc w:val="center"/>
              <w:rPr>
                <w:rFonts w:cs="Arial"/>
                <w:sz w:val="18"/>
                <w:szCs w:val="18"/>
              </w:rPr>
            </w:pPr>
            <w:r w:rsidRPr="00DA46E9">
              <w:rPr>
                <w:rFonts w:cs="Arial"/>
                <w:sz w:val="18"/>
                <w:szCs w:val="18"/>
              </w:rPr>
              <w:t>n (%)</w:t>
            </w:r>
          </w:p>
          <w:p w14:paraId="006F19A6" w14:textId="77777777" w:rsidR="00A729F6" w:rsidRPr="00DA46E9" w:rsidRDefault="00A729F6" w:rsidP="003E6D93">
            <w:pPr>
              <w:jc w:val="center"/>
              <w:rPr>
                <w:rFonts w:cs="Arial"/>
                <w:sz w:val="18"/>
                <w:szCs w:val="18"/>
              </w:rPr>
            </w:pPr>
            <w:r w:rsidRPr="00DA46E9">
              <w:rPr>
                <w:rFonts w:cs="Arial"/>
                <w:sz w:val="18"/>
                <w:szCs w:val="18"/>
              </w:rPr>
              <w:t>(95% CI)</w:t>
            </w:r>
          </w:p>
        </w:tc>
        <w:tc>
          <w:tcPr>
            <w:tcW w:w="1440" w:type="dxa"/>
            <w:tcBorders>
              <w:top w:val="single" w:sz="4" w:space="0" w:color="000000"/>
              <w:left w:val="single" w:sz="4" w:space="0" w:color="000000"/>
              <w:bottom w:val="single" w:sz="4" w:space="0" w:color="000000"/>
              <w:right w:val="single" w:sz="4" w:space="0" w:color="000000"/>
            </w:tcBorders>
            <w:vAlign w:val="center"/>
          </w:tcPr>
          <w:p w14:paraId="41379633" w14:textId="77777777" w:rsidR="00A729F6" w:rsidRPr="00DA46E9" w:rsidRDefault="00A729F6" w:rsidP="003E6D93">
            <w:pPr>
              <w:jc w:val="center"/>
              <w:rPr>
                <w:rFonts w:cs="Arial"/>
                <w:sz w:val="18"/>
                <w:szCs w:val="18"/>
              </w:rPr>
            </w:pPr>
            <w:r w:rsidRPr="00DA46E9">
              <w:rPr>
                <w:rFonts w:cs="Arial"/>
                <w:sz w:val="18"/>
                <w:szCs w:val="18"/>
              </w:rPr>
              <w:t>200 (47.3)</w:t>
            </w:r>
          </w:p>
          <w:p w14:paraId="0C89F268" w14:textId="77777777" w:rsidR="00A729F6" w:rsidRPr="00DA46E9" w:rsidRDefault="00A729F6" w:rsidP="003E6D93">
            <w:pPr>
              <w:jc w:val="center"/>
              <w:rPr>
                <w:rFonts w:cs="Arial"/>
                <w:sz w:val="18"/>
                <w:szCs w:val="18"/>
              </w:rPr>
            </w:pPr>
            <w:r w:rsidRPr="00DA46E9">
              <w:rPr>
                <w:rFonts w:cs="Arial"/>
                <w:sz w:val="18"/>
                <w:szCs w:val="18"/>
              </w:rPr>
              <w:t>(42.6, 52.0)</w:t>
            </w:r>
          </w:p>
        </w:tc>
        <w:tc>
          <w:tcPr>
            <w:tcW w:w="1440" w:type="dxa"/>
            <w:tcBorders>
              <w:top w:val="single" w:sz="4" w:space="0" w:color="000000"/>
              <w:left w:val="single" w:sz="4" w:space="0" w:color="000000"/>
              <w:bottom w:val="single" w:sz="4" w:space="0" w:color="000000"/>
              <w:right w:val="single" w:sz="4" w:space="0" w:color="000000"/>
            </w:tcBorders>
            <w:vAlign w:val="center"/>
          </w:tcPr>
          <w:p w14:paraId="2325307D" w14:textId="77777777" w:rsidR="00A729F6" w:rsidRPr="00DA46E9" w:rsidRDefault="00A729F6" w:rsidP="003E6D93">
            <w:pPr>
              <w:jc w:val="center"/>
              <w:rPr>
                <w:rFonts w:cs="Arial"/>
                <w:sz w:val="18"/>
                <w:szCs w:val="18"/>
              </w:rPr>
            </w:pPr>
            <w:r w:rsidRPr="00DA46E9">
              <w:rPr>
                <w:rFonts w:cs="Arial"/>
                <w:sz w:val="18"/>
                <w:szCs w:val="18"/>
              </w:rPr>
              <w:t>272 (64.3)</w:t>
            </w:r>
          </w:p>
          <w:p w14:paraId="64C1E16E" w14:textId="77777777" w:rsidR="00A729F6" w:rsidRPr="00DA46E9" w:rsidRDefault="00A729F6" w:rsidP="003E6D93">
            <w:pPr>
              <w:jc w:val="center"/>
              <w:rPr>
                <w:rFonts w:cs="Arial"/>
                <w:sz w:val="18"/>
                <w:szCs w:val="18"/>
              </w:rPr>
            </w:pPr>
            <w:r w:rsidRPr="00DA46E9">
              <w:rPr>
                <w:rFonts w:cs="Arial"/>
                <w:sz w:val="18"/>
                <w:szCs w:val="18"/>
              </w:rPr>
              <w:t>(59.6, 68.7)</w:t>
            </w:r>
          </w:p>
        </w:tc>
        <w:tc>
          <w:tcPr>
            <w:tcW w:w="1440" w:type="dxa"/>
            <w:tcBorders>
              <w:top w:val="single" w:sz="4" w:space="0" w:color="000000"/>
              <w:left w:val="single" w:sz="4" w:space="0" w:color="000000"/>
              <w:bottom w:val="single" w:sz="4" w:space="0" w:color="000000"/>
              <w:right w:val="single" w:sz="4" w:space="0" w:color="000000"/>
            </w:tcBorders>
            <w:vAlign w:val="center"/>
          </w:tcPr>
          <w:p w14:paraId="7CF237BC" w14:textId="77777777" w:rsidR="00A729F6" w:rsidRPr="00DA46E9" w:rsidRDefault="00A729F6" w:rsidP="003E6D93">
            <w:pPr>
              <w:ind w:hanging="2"/>
              <w:jc w:val="center"/>
              <w:rPr>
                <w:rFonts w:cs="Arial"/>
                <w:sz w:val="18"/>
                <w:szCs w:val="18"/>
              </w:rPr>
            </w:pPr>
            <w:r w:rsidRPr="00DA46E9">
              <w:rPr>
                <w:rFonts w:cs="Arial"/>
                <w:sz w:val="18"/>
                <w:szCs w:val="18"/>
              </w:rPr>
              <w:t>17.0</w:t>
            </w:r>
          </w:p>
          <w:p w14:paraId="73513462" w14:textId="77777777" w:rsidR="00A729F6" w:rsidRPr="00DA46E9" w:rsidRDefault="00A729F6" w:rsidP="003E6D93">
            <w:pPr>
              <w:ind w:hanging="2"/>
              <w:jc w:val="center"/>
              <w:rPr>
                <w:rFonts w:cs="Arial"/>
                <w:sz w:val="18"/>
                <w:szCs w:val="18"/>
              </w:rPr>
            </w:pPr>
            <w:r w:rsidRPr="00DA46E9">
              <w:rPr>
                <w:rFonts w:cs="Arial"/>
                <w:sz w:val="18"/>
                <w:szCs w:val="18"/>
              </w:rPr>
              <w:t>(10.3, 23.5)</w:t>
            </w:r>
          </w:p>
        </w:tc>
        <w:tc>
          <w:tcPr>
            <w:tcW w:w="1080" w:type="dxa"/>
            <w:tcBorders>
              <w:top w:val="single" w:sz="4" w:space="0" w:color="000000"/>
              <w:left w:val="single" w:sz="4" w:space="0" w:color="000000"/>
              <w:bottom w:val="single" w:sz="4" w:space="0" w:color="000000"/>
              <w:right w:val="single" w:sz="4" w:space="0" w:color="000000"/>
            </w:tcBorders>
            <w:vAlign w:val="center"/>
          </w:tcPr>
          <w:p w14:paraId="0D539502" w14:textId="77777777" w:rsidR="00A729F6" w:rsidRPr="00DA46E9" w:rsidRDefault="00A729F6" w:rsidP="003E6D93">
            <w:pPr>
              <w:ind w:hanging="2"/>
              <w:jc w:val="center"/>
              <w:rPr>
                <w:rFonts w:cs="Arial"/>
                <w:sz w:val="18"/>
                <w:szCs w:val="18"/>
              </w:rPr>
            </w:pPr>
            <w:r w:rsidRPr="00DA46E9">
              <w:rPr>
                <w:rFonts w:cs="Arial"/>
                <w:sz w:val="18"/>
                <w:szCs w:val="18"/>
              </w:rPr>
              <w:t>&lt;0.0001</w:t>
            </w:r>
          </w:p>
        </w:tc>
      </w:tr>
      <w:tr w:rsidR="00A729F6" w:rsidRPr="00DA46E9" w14:paraId="7E911DCA" w14:textId="77777777" w:rsidTr="0075137F">
        <w:trPr>
          <w:trHeight w:val="395"/>
          <w:jc w:val="center"/>
        </w:trPr>
        <w:tc>
          <w:tcPr>
            <w:tcW w:w="1944" w:type="dxa"/>
            <w:tcBorders>
              <w:top w:val="single" w:sz="4" w:space="0" w:color="000000"/>
              <w:left w:val="single" w:sz="4" w:space="0" w:color="000000"/>
              <w:bottom w:val="single" w:sz="4" w:space="0" w:color="000000"/>
              <w:right w:val="single" w:sz="4" w:space="0" w:color="000000"/>
            </w:tcBorders>
            <w:vAlign w:val="center"/>
          </w:tcPr>
          <w:p w14:paraId="31AE2DBD" w14:textId="77777777" w:rsidR="00A729F6" w:rsidRPr="00DA46E9" w:rsidRDefault="00A729F6" w:rsidP="003E6D93">
            <w:pPr>
              <w:jc w:val="center"/>
              <w:rPr>
                <w:rFonts w:cs="Arial"/>
                <w:sz w:val="18"/>
                <w:szCs w:val="18"/>
              </w:rPr>
            </w:pPr>
            <w:r w:rsidRPr="00DA46E9">
              <w:rPr>
                <w:rFonts w:cs="Arial"/>
                <w:sz w:val="18"/>
                <w:szCs w:val="18"/>
              </w:rPr>
              <w:t>Regression in TAV</w:t>
            </w:r>
            <w:r w:rsidRPr="005A34E2">
              <w:rPr>
                <w:rFonts w:cs="Arial"/>
                <w:sz w:val="18"/>
                <w:szCs w:val="18"/>
                <w:vertAlign w:val="superscript"/>
              </w:rPr>
              <w:t xml:space="preserve"> b</w:t>
            </w:r>
          </w:p>
        </w:tc>
        <w:tc>
          <w:tcPr>
            <w:tcW w:w="1296" w:type="dxa"/>
            <w:tcBorders>
              <w:top w:val="single" w:sz="4" w:space="0" w:color="000000"/>
              <w:left w:val="single" w:sz="4" w:space="0" w:color="000000"/>
              <w:bottom w:val="single" w:sz="4" w:space="0" w:color="000000"/>
              <w:right w:val="single" w:sz="4" w:space="0" w:color="000000"/>
            </w:tcBorders>
            <w:vAlign w:val="center"/>
          </w:tcPr>
          <w:p w14:paraId="021D7BC3" w14:textId="77777777" w:rsidR="00A729F6" w:rsidRPr="00DA46E9" w:rsidRDefault="00A729F6" w:rsidP="003E6D93">
            <w:pPr>
              <w:jc w:val="center"/>
              <w:rPr>
                <w:rFonts w:cs="Arial"/>
                <w:sz w:val="18"/>
                <w:szCs w:val="18"/>
              </w:rPr>
            </w:pPr>
            <w:r w:rsidRPr="00DA46E9">
              <w:rPr>
                <w:rFonts w:cs="Arial"/>
                <w:sz w:val="18"/>
                <w:szCs w:val="18"/>
              </w:rPr>
              <w:t>n (%)</w:t>
            </w:r>
          </w:p>
          <w:p w14:paraId="4021A1FC" w14:textId="77777777" w:rsidR="00A729F6" w:rsidRPr="00DA46E9" w:rsidRDefault="00A729F6" w:rsidP="003E6D93">
            <w:pPr>
              <w:jc w:val="center"/>
              <w:rPr>
                <w:rFonts w:cs="Arial"/>
                <w:sz w:val="18"/>
                <w:szCs w:val="18"/>
              </w:rPr>
            </w:pPr>
            <w:r w:rsidRPr="00DA46E9">
              <w:rPr>
                <w:rFonts w:cs="Arial"/>
                <w:sz w:val="18"/>
                <w:szCs w:val="18"/>
              </w:rPr>
              <w:t>(95% CI)</w:t>
            </w:r>
          </w:p>
        </w:tc>
        <w:tc>
          <w:tcPr>
            <w:tcW w:w="1440" w:type="dxa"/>
            <w:tcBorders>
              <w:top w:val="single" w:sz="4" w:space="0" w:color="000000"/>
              <w:left w:val="single" w:sz="4" w:space="0" w:color="000000"/>
              <w:bottom w:val="single" w:sz="4" w:space="0" w:color="000000"/>
              <w:right w:val="single" w:sz="4" w:space="0" w:color="000000"/>
            </w:tcBorders>
            <w:vAlign w:val="center"/>
          </w:tcPr>
          <w:p w14:paraId="65501897" w14:textId="77777777" w:rsidR="00A729F6" w:rsidRPr="00DA46E9" w:rsidRDefault="00A729F6" w:rsidP="003E6D93">
            <w:pPr>
              <w:jc w:val="center"/>
              <w:rPr>
                <w:rFonts w:cs="Arial"/>
                <w:sz w:val="18"/>
                <w:szCs w:val="18"/>
              </w:rPr>
            </w:pPr>
            <w:r w:rsidRPr="00DA46E9">
              <w:rPr>
                <w:rFonts w:cs="Arial"/>
                <w:sz w:val="18"/>
                <w:szCs w:val="18"/>
              </w:rPr>
              <w:t>207 (48.9)</w:t>
            </w:r>
          </w:p>
          <w:p w14:paraId="4CCC33BE" w14:textId="77777777" w:rsidR="00A729F6" w:rsidRPr="00DA46E9" w:rsidRDefault="00A729F6" w:rsidP="003E6D93">
            <w:pPr>
              <w:jc w:val="center"/>
              <w:rPr>
                <w:rFonts w:cs="Arial"/>
                <w:sz w:val="18"/>
                <w:szCs w:val="18"/>
              </w:rPr>
            </w:pPr>
            <w:r w:rsidRPr="00DA46E9">
              <w:rPr>
                <w:rFonts w:cs="Arial"/>
                <w:sz w:val="18"/>
                <w:szCs w:val="18"/>
              </w:rPr>
              <w:t>(44.2, 53.7)</w:t>
            </w:r>
          </w:p>
        </w:tc>
        <w:tc>
          <w:tcPr>
            <w:tcW w:w="1440" w:type="dxa"/>
            <w:tcBorders>
              <w:top w:val="single" w:sz="4" w:space="0" w:color="000000"/>
              <w:left w:val="single" w:sz="4" w:space="0" w:color="000000"/>
              <w:bottom w:val="single" w:sz="4" w:space="0" w:color="000000"/>
              <w:right w:val="single" w:sz="4" w:space="0" w:color="000000"/>
            </w:tcBorders>
            <w:vAlign w:val="center"/>
          </w:tcPr>
          <w:p w14:paraId="50E9E686" w14:textId="77777777" w:rsidR="00A729F6" w:rsidRPr="00DA46E9" w:rsidRDefault="00A729F6" w:rsidP="003E6D93">
            <w:pPr>
              <w:jc w:val="center"/>
              <w:rPr>
                <w:rFonts w:cs="Arial"/>
                <w:sz w:val="18"/>
                <w:szCs w:val="18"/>
              </w:rPr>
            </w:pPr>
            <w:r w:rsidRPr="00DA46E9">
              <w:rPr>
                <w:rFonts w:cs="Arial"/>
                <w:sz w:val="18"/>
                <w:szCs w:val="18"/>
              </w:rPr>
              <w:t>260 (61.5)</w:t>
            </w:r>
          </w:p>
          <w:p w14:paraId="383D8F1A" w14:textId="77777777" w:rsidR="00A729F6" w:rsidRPr="00DA46E9" w:rsidRDefault="00A729F6" w:rsidP="003E6D93">
            <w:pPr>
              <w:jc w:val="center"/>
              <w:rPr>
                <w:rFonts w:cs="Arial"/>
                <w:sz w:val="18"/>
                <w:szCs w:val="18"/>
              </w:rPr>
            </w:pPr>
            <w:r w:rsidRPr="00DA46E9">
              <w:rPr>
                <w:rFonts w:cs="Arial"/>
                <w:sz w:val="18"/>
                <w:szCs w:val="18"/>
              </w:rPr>
              <w:t>(56.7, 66.0)</w:t>
            </w:r>
          </w:p>
        </w:tc>
        <w:tc>
          <w:tcPr>
            <w:tcW w:w="1440" w:type="dxa"/>
            <w:tcBorders>
              <w:top w:val="single" w:sz="4" w:space="0" w:color="000000"/>
              <w:left w:val="single" w:sz="4" w:space="0" w:color="000000"/>
              <w:bottom w:val="single" w:sz="4" w:space="0" w:color="000000"/>
              <w:right w:val="single" w:sz="4" w:space="0" w:color="000000"/>
            </w:tcBorders>
            <w:vAlign w:val="center"/>
          </w:tcPr>
          <w:p w14:paraId="2CA7ABEB" w14:textId="77777777" w:rsidR="00A729F6" w:rsidRPr="00DA46E9" w:rsidRDefault="00A729F6" w:rsidP="003E6D93">
            <w:pPr>
              <w:ind w:hanging="2"/>
              <w:jc w:val="center"/>
              <w:rPr>
                <w:rFonts w:cs="Arial"/>
                <w:sz w:val="18"/>
                <w:szCs w:val="18"/>
              </w:rPr>
            </w:pPr>
            <w:r w:rsidRPr="00DA46E9">
              <w:rPr>
                <w:rFonts w:cs="Arial"/>
                <w:sz w:val="18"/>
                <w:szCs w:val="18"/>
              </w:rPr>
              <w:t>12.5</w:t>
            </w:r>
          </w:p>
          <w:p w14:paraId="377B172F" w14:textId="77777777" w:rsidR="00A729F6" w:rsidRPr="00DA46E9" w:rsidRDefault="00A729F6" w:rsidP="003E6D93">
            <w:pPr>
              <w:ind w:hanging="2"/>
              <w:jc w:val="center"/>
              <w:rPr>
                <w:rFonts w:cs="Arial"/>
                <w:sz w:val="18"/>
                <w:szCs w:val="18"/>
              </w:rPr>
            </w:pPr>
            <w:r w:rsidRPr="00DA46E9">
              <w:rPr>
                <w:rFonts w:cs="Arial"/>
                <w:sz w:val="18"/>
                <w:szCs w:val="18"/>
              </w:rPr>
              <w:t>(5.8, 19.1)</w:t>
            </w:r>
          </w:p>
        </w:tc>
        <w:tc>
          <w:tcPr>
            <w:tcW w:w="1080" w:type="dxa"/>
            <w:tcBorders>
              <w:top w:val="single" w:sz="4" w:space="0" w:color="000000"/>
              <w:left w:val="single" w:sz="4" w:space="0" w:color="000000"/>
              <w:bottom w:val="single" w:sz="4" w:space="0" w:color="000000"/>
              <w:right w:val="single" w:sz="4" w:space="0" w:color="000000"/>
            </w:tcBorders>
            <w:vAlign w:val="center"/>
          </w:tcPr>
          <w:p w14:paraId="0835447D" w14:textId="77777777" w:rsidR="00A729F6" w:rsidRPr="00DA46E9" w:rsidRDefault="00A729F6" w:rsidP="003E6D93">
            <w:pPr>
              <w:ind w:hanging="2"/>
              <w:jc w:val="center"/>
              <w:rPr>
                <w:rFonts w:cs="Arial"/>
                <w:sz w:val="18"/>
                <w:szCs w:val="18"/>
              </w:rPr>
            </w:pPr>
            <w:r w:rsidRPr="00DA46E9">
              <w:rPr>
                <w:rFonts w:cs="Arial"/>
                <w:sz w:val="18"/>
                <w:szCs w:val="18"/>
              </w:rPr>
              <w:t>0.0002</w:t>
            </w:r>
          </w:p>
        </w:tc>
      </w:tr>
      <w:tr w:rsidR="00A729F6" w:rsidRPr="00DA46E9" w14:paraId="098EBDB7" w14:textId="77777777" w:rsidTr="0075137F">
        <w:trPr>
          <w:trHeight w:val="660"/>
          <w:jc w:val="center"/>
        </w:trPr>
        <w:tc>
          <w:tcPr>
            <w:tcW w:w="8640" w:type="dxa"/>
            <w:gridSpan w:val="6"/>
            <w:tcBorders>
              <w:top w:val="single" w:sz="4" w:space="0" w:color="000000"/>
              <w:left w:val="single" w:sz="4" w:space="0" w:color="000000"/>
              <w:bottom w:val="single" w:sz="4" w:space="0" w:color="000000"/>
              <w:right w:val="single" w:sz="4" w:space="0" w:color="000000"/>
            </w:tcBorders>
          </w:tcPr>
          <w:p w14:paraId="2030B8EF" w14:textId="77777777" w:rsidR="00A729F6" w:rsidRDefault="00A729F6" w:rsidP="003E6D93">
            <w:pPr>
              <w:pStyle w:val="FootnoteText"/>
              <w:ind w:left="0" w:firstLine="0"/>
              <w:rPr>
                <w:sz w:val="16"/>
                <w:szCs w:val="16"/>
              </w:rPr>
            </w:pPr>
            <w:r>
              <w:rPr>
                <w:sz w:val="16"/>
                <w:szCs w:val="16"/>
              </w:rPr>
              <w:t>QM = once monthly</w:t>
            </w:r>
          </w:p>
          <w:p w14:paraId="083367B1" w14:textId="77777777" w:rsidR="00A729F6" w:rsidRDefault="00A729F6" w:rsidP="003E6D93">
            <w:pPr>
              <w:pStyle w:val="FootnoteText"/>
              <w:ind w:left="0" w:firstLine="0"/>
              <w:rPr>
                <w:sz w:val="16"/>
                <w:szCs w:val="16"/>
              </w:rPr>
            </w:pPr>
            <w:proofErr w:type="spellStart"/>
            <w:r w:rsidRPr="00BF41CD">
              <w:rPr>
                <w:sz w:val="16"/>
                <w:szCs w:val="16"/>
                <w:vertAlign w:val="superscript"/>
              </w:rPr>
              <w:t>a</w:t>
            </w:r>
            <w:r w:rsidRPr="00BF41CD">
              <w:rPr>
                <w:sz w:val="16"/>
                <w:szCs w:val="16"/>
              </w:rPr>
              <w:t>Primary</w:t>
            </w:r>
            <w:proofErr w:type="spellEnd"/>
            <w:r w:rsidRPr="00BF41CD">
              <w:rPr>
                <w:sz w:val="16"/>
                <w:szCs w:val="16"/>
              </w:rPr>
              <w:t xml:space="preserve"> Endpoint</w:t>
            </w:r>
            <w:r>
              <w:rPr>
                <w:sz w:val="16"/>
                <w:szCs w:val="16"/>
              </w:rPr>
              <w:t xml:space="preserve"> </w:t>
            </w:r>
          </w:p>
          <w:p w14:paraId="371DB3FD" w14:textId="77777777" w:rsidR="00A729F6" w:rsidRPr="00BF41CD" w:rsidRDefault="00A729F6" w:rsidP="003E6D93">
            <w:pPr>
              <w:pStyle w:val="FootnoteText"/>
              <w:ind w:left="0" w:firstLine="0"/>
              <w:rPr>
                <w:sz w:val="16"/>
                <w:szCs w:val="16"/>
              </w:rPr>
            </w:pPr>
            <w:proofErr w:type="spellStart"/>
            <w:r w:rsidRPr="00BF41CD">
              <w:rPr>
                <w:sz w:val="16"/>
                <w:szCs w:val="16"/>
                <w:vertAlign w:val="superscript"/>
              </w:rPr>
              <w:t>b</w:t>
            </w:r>
            <w:r w:rsidRPr="00BF41CD">
              <w:rPr>
                <w:sz w:val="16"/>
                <w:szCs w:val="16"/>
              </w:rPr>
              <w:t>Secondary</w:t>
            </w:r>
            <w:proofErr w:type="spellEnd"/>
            <w:r w:rsidRPr="00BF41CD">
              <w:rPr>
                <w:sz w:val="16"/>
                <w:szCs w:val="16"/>
              </w:rPr>
              <w:t xml:space="preserve"> Endpoint</w:t>
            </w:r>
          </w:p>
        </w:tc>
      </w:tr>
    </w:tbl>
    <w:p w14:paraId="4410CFED" w14:textId="77777777" w:rsidR="00A729F6" w:rsidRDefault="00A729F6" w:rsidP="00A729F6">
      <w:pPr>
        <w:suppressAutoHyphens w:val="0"/>
        <w:autoSpaceDE w:val="0"/>
        <w:autoSpaceDN w:val="0"/>
        <w:adjustRightInd w:val="0"/>
        <w:rPr>
          <w:rFonts w:cs="Arial"/>
          <w:sz w:val="20"/>
        </w:rPr>
      </w:pPr>
    </w:p>
    <w:p w14:paraId="540584A6" w14:textId="77777777" w:rsidR="00A729F6" w:rsidRDefault="009C7AEC" w:rsidP="00A729F6">
      <w:pPr>
        <w:pStyle w:val="PI-text"/>
      </w:pPr>
      <w:r>
        <w:t>Exploratory endpoints showed t</w:t>
      </w:r>
      <w:r w:rsidR="00A729F6">
        <w:t xml:space="preserve">he treatment difference in LDL-C reduction between Repatha and placebo was </w:t>
      </w:r>
      <w:r w:rsidR="00A729F6" w:rsidRPr="00236DC2">
        <w:t>68.</w:t>
      </w:r>
      <w:r w:rsidR="002C471E">
        <w:t>7</w:t>
      </w:r>
      <w:r w:rsidR="00A729F6" w:rsidRPr="00236DC2">
        <w:t xml:space="preserve"> </w:t>
      </w:r>
      <w:r w:rsidR="00A729F6">
        <w:t xml:space="preserve">(95% CI: </w:t>
      </w:r>
      <w:r w:rsidR="00A729F6" w:rsidRPr="00236DC2">
        <w:t>64.</w:t>
      </w:r>
      <w:r w:rsidR="002C471E">
        <w:t>7</w:t>
      </w:r>
      <w:r w:rsidR="00A729F6">
        <w:t>,</w:t>
      </w:r>
      <w:r w:rsidR="00A729F6" w:rsidRPr="00236DC2">
        <w:t xml:space="preserve"> </w:t>
      </w:r>
      <w:r w:rsidR="00A729F6">
        <w:t>72.</w:t>
      </w:r>
      <w:r w:rsidR="002C471E">
        <w:t>7</w:t>
      </w:r>
      <w:r w:rsidR="00A729F6" w:rsidRPr="00236DC2">
        <w:t>)</w:t>
      </w:r>
      <w:r w:rsidR="00A729F6" w:rsidRPr="00462FD1">
        <w:rPr>
          <w:noProof/>
        </w:rPr>
        <w:t xml:space="preserve"> from </w:t>
      </w:r>
      <w:r w:rsidR="00A729F6">
        <w:rPr>
          <w:noProof/>
        </w:rPr>
        <w:t>b</w:t>
      </w:r>
      <w:r w:rsidR="00A729F6" w:rsidRPr="00462FD1">
        <w:rPr>
          <w:noProof/>
        </w:rPr>
        <w:t>aseline to</w:t>
      </w:r>
      <w:r w:rsidR="00A729F6" w:rsidRPr="00486E20">
        <w:t xml:space="preserve"> </w:t>
      </w:r>
      <w:r w:rsidR="00A729F6">
        <w:t xml:space="preserve">week 78.  These reductions </w:t>
      </w:r>
      <w:r w:rsidR="00A729F6" w:rsidRPr="00486E20">
        <w:t xml:space="preserve">were maintained through </w:t>
      </w:r>
      <w:r w:rsidR="00A729F6">
        <w:t>the end of the study</w:t>
      </w:r>
      <w:r w:rsidR="00A729F6" w:rsidRPr="00486E20">
        <w:t xml:space="preserve">. </w:t>
      </w:r>
      <w:r w:rsidR="00A729F6">
        <w:t>Corresponding</w:t>
      </w:r>
      <w:r w:rsidR="00A729F6" w:rsidRPr="00486E20">
        <w:t xml:space="preserve"> </w:t>
      </w:r>
      <w:r w:rsidR="00A729F6">
        <w:t xml:space="preserve">mean (SD) </w:t>
      </w:r>
      <w:r w:rsidR="00A729F6" w:rsidRPr="00486E20">
        <w:t>LDL-C</w:t>
      </w:r>
      <w:r w:rsidR="00A729F6">
        <w:t xml:space="preserve"> concentrations at week 78</w:t>
      </w:r>
      <w:r w:rsidR="00A729F6" w:rsidRPr="00486E20">
        <w:t xml:space="preserve"> </w:t>
      </w:r>
      <w:r w:rsidR="00A729F6">
        <w:t>were 0.8 (0.7) mmol/L in the Repatha group.</w:t>
      </w:r>
    </w:p>
    <w:p w14:paraId="72BEAE11" w14:textId="62D3E8FC" w:rsidR="00DB5264" w:rsidRPr="0021716A" w:rsidRDefault="003614D4" w:rsidP="00F309DA">
      <w:pPr>
        <w:pStyle w:val="PI-UnderlinedSubHeader"/>
      </w:pPr>
      <w:r>
        <w:t xml:space="preserve">Clinical trials for </w:t>
      </w:r>
      <w:r w:rsidR="00466BD7">
        <w:t xml:space="preserve">primary </w:t>
      </w:r>
      <w:r w:rsidR="0027632E">
        <w:t>hypercholesterolaemia</w:t>
      </w:r>
      <w:r w:rsidR="00DB5264" w:rsidRPr="0021716A">
        <w:t xml:space="preserve"> </w:t>
      </w:r>
    </w:p>
    <w:p w14:paraId="1828B33F" w14:textId="77777777" w:rsidR="0021716A" w:rsidRPr="00156318" w:rsidRDefault="0021716A" w:rsidP="00F309DA">
      <w:pPr>
        <w:pStyle w:val="PI-subheadernounderline"/>
      </w:pPr>
      <w:r w:rsidRPr="0021716A">
        <w:t xml:space="preserve">Combination </w:t>
      </w:r>
      <w:r w:rsidR="00156318">
        <w:t xml:space="preserve">with statin or statin with other lipid lowering </w:t>
      </w:r>
      <w:r>
        <w:t>t</w:t>
      </w:r>
      <w:r w:rsidR="003614D4">
        <w:t>herap</w:t>
      </w:r>
      <w:r w:rsidR="00156318">
        <w:t>ies</w:t>
      </w:r>
    </w:p>
    <w:p w14:paraId="6C712F1B" w14:textId="4C362A88" w:rsidR="00201F6E" w:rsidRPr="00201F6E" w:rsidRDefault="00201F6E" w:rsidP="00F309DA">
      <w:pPr>
        <w:pStyle w:val="PI-text"/>
      </w:pPr>
      <w:r w:rsidRPr="00201F6E">
        <w:t xml:space="preserve">LAPLACE-2 was an international, </w:t>
      </w:r>
      <w:r w:rsidR="009160F4">
        <w:t>multicentre</w:t>
      </w:r>
      <w:r w:rsidRPr="00201F6E">
        <w:t xml:space="preserve">, double-blind, </w:t>
      </w:r>
      <w:r w:rsidR="00983361">
        <w:t>randomised</w:t>
      </w:r>
      <w:r w:rsidRPr="00201F6E">
        <w:t xml:space="preserve">, 12-week study </w:t>
      </w:r>
      <w:r w:rsidR="00156318">
        <w:t xml:space="preserve">of Repatha </w:t>
      </w:r>
      <w:r w:rsidRPr="00201F6E">
        <w:t xml:space="preserve">in 1896 patients with </w:t>
      </w:r>
      <w:r w:rsidR="00665F7F">
        <w:t xml:space="preserve">primary </w:t>
      </w:r>
      <w:r w:rsidR="0027632E">
        <w:t>hypercholesterolaemia</w:t>
      </w:r>
      <w:r w:rsidRPr="00201F6E">
        <w:t xml:space="preserve"> who were </w:t>
      </w:r>
      <w:r w:rsidR="00983361">
        <w:t>randomised</w:t>
      </w:r>
      <w:r w:rsidRPr="00201F6E">
        <w:t xml:space="preserve"> to receive </w:t>
      </w:r>
      <w:r w:rsidR="00DA265F">
        <w:t>Repatha</w:t>
      </w:r>
      <w:r w:rsidRPr="00201F6E">
        <w:t xml:space="preserve"> in combination with statins (rosuvastatin, simvastatin or atorvastatin).</w:t>
      </w:r>
      <w:r w:rsidR="00AA4FF6">
        <w:t xml:space="preserve"> </w:t>
      </w:r>
      <w:r w:rsidRPr="00201F6E">
        <w:t xml:space="preserve"> </w:t>
      </w:r>
      <w:r w:rsidR="00DA265F">
        <w:t>Repatha</w:t>
      </w:r>
      <w:r w:rsidRPr="00201F6E">
        <w:t xml:space="preserve"> was compared </w:t>
      </w:r>
      <w:r w:rsidR="000C34B5">
        <w:t>with</w:t>
      </w:r>
      <w:r w:rsidRPr="00201F6E">
        <w:t xml:space="preserve"> placebo for the rosuvastatin and simvastatin groups and compared </w:t>
      </w:r>
      <w:r w:rsidR="000C34B5">
        <w:t>with</w:t>
      </w:r>
      <w:r w:rsidRPr="00201F6E">
        <w:t xml:space="preserve"> placebo and ezetimibe for the atorvastatin group.</w:t>
      </w:r>
    </w:p>
    <w:p w14:paraId="4D2919FD" w14:textId="77777777" w:rsidR="00201F6E" w:rsidRPr="00201F6E" w:rsidRDefault="00201F6E" w:rsidP="00F309DA">
      <w:pPr>
        <w:pStyle w:val="PI-text"/>
      </w:pPr>
      <w:r w:rsidRPr="00201F6E">
        <w:t xml:space="preserve">In LAPLACE-2, </w:t>
      </w:r>
      <w:r w:rsidR="00DA265F">
        <w:t>Repatha</w:t>
      </w:r>
      <w:r w:rsidRPr="00201F6E">
        <w:t xml:space="preserve"> exhibited consistent treatment effects of lowering LDL-C and improving other lipid parameters across all statins and statin doses that were evaluated.</w:t>
      </w:r>
    </w:p>
    <w:p w14:paraId="3CD6F06D" w14:textId="610EE591" w:rsidR="004A0A78" w:rsidRDefault="00DA265F" w:rsidP="00870C08">
      <w:pPr>
        <w:pStyle w:val="PI-text"/>
      </w:pPr>
      <w:r>
        <w:t>Repatha</w:t>
      </w:r>
      <w:r w:rsidR="00201F6E" w:rsidRPr="00201F6E">
        <w:t xml:space="preserve"> significantly reduced LDL-C from baseline to </w:t>
      </w:r>
      <w:r w:rsidR="00156318">
        <w:t xml:space="preserve">mean </w:t>
      </w:r>
      <w:r w:rsidR="00201F6E" w:rsidRPr="00201F6E">
        <w:t xml:space="preserve">of weeks 10 and 12 compared </w:t>
      </w:r>
      <w:r w:rsidR="000C34B5">
        <w:t>w</w:t>
      </w:r>
      <w:r w:rsidR="00AF581E">
        <w:t>i</w:t>
      </w:r>
      <w:r w:rsidR="000C34B5">
        <w:t>th</w:t>
      </w:r>
      <w:r w:rsidR="00201F6E" w:rsidRPr="00201F6E">
        <w:t xml:space="preserve"> placebo for the rosuvastatin and simvastatin groups and compared to placebo and ezetimibe for the atorvastatin group (p&lt;0.001)</w:t>
      </w:r>
      <w:r w:rsidR="007073D6">
        <w:t xml:space="preserve"> </w:t>
      </w:r>
      <w:r w:rsidR="001C10B6">
        <w:t>(</w:t>
      </w:r>
      <w:r w:rsidR="001C10B6" w:rsidRPr="001C10B6">
        <w:fldChar w:fldCharType="begin"/>
      </w:r>
      <w:r w:rsidR="001C10B6" w:rsidRPr="001C10B6">
        <w:instrText xml:space="preserve"> REF _Ref506364047 \h  \* MERGEFORMAT </w:instrText>
      </w:r>
      <w:r w:rsidR="001C10B6" w:rsidRPr="001C10B6">
        <w:fldChar w:fldCharType="separate"/>
      </w:r>
      <w:r w:rsidR="008C495D" w:rsidRPr="008C495D">
        <w:t xml:space="preserve">Figure </w:t>
      </w:r>
      <w:r w:rsidR="008C495D" w:rsidRPr="008C495D">
        <w:rPr>
          <w:noProof/>
        </w:rPr>
        <w:t>5</w:t>
      </w:r>
      <w:r w:rsidR="001C10B6" w:rsidRPr="001C10B6">
        <w:fldChar w:fldCharType="end"/>
      </w:r>
      <w:r w:rsidR="001C10B6">
        <w:t xml:space="preserve">) </w:t>
      </w:r>
      <w:proofErr w:type="spellStart"/>
      <w:r>
        <w:t>Repatha</w:t>
      </w:r>
      <w:proofErr w:type="spellEnd"/>
      <w:r w:rsidR="00134D37" w:rsidRPr="00134D37">
        <w:t xml:space="preserve"> significantly reduced </w:t>
      </w:r>
      <w:r w:rsidR="00156318">
        <w:t xml:space="preserve">TC, </w:t>
      </w:r>
      <w:proofErr w:type="spellStart"/>
      <w:r w:rsidR="00156318">
        <w:t>ApoB</w:t>
      </w:r>
      <w:proofErr w:type="spellEnd"/>
      <w:r w:rsidR="00156318">
        <w:t xml:space="preserve">, </w:t>
      </w:r>
      <w:r w:rsidR="00134D37" w:rsidRPr="00134D37">
        <w:t xml:space="preserve">non-HDL-C, </w:t>
      </w:r>
      <w:r w:rsidR="00156318">
        <w:t xml:space="preserve">TC/HDL-C, </w:t>
      </w:r>
      <w:proofErr w:type="spellStart"/>
      <w:r w:rsidR="00156318">
        <w:t>ApoB</w:t>
      </w:r>
      <w:proofErr w:type="spellEnd"/>
      <w:r w:rsidR="00156318">
        <w:t xml:space="preserve">/ApoA1, VLDL-C, TG and </w:t>
      </w:r>
      <w:proofErr w:type="spellStart"/>
      <w:r w:rsidR="00134D37" w:rsidRPr="00134D37">
        <w:t>Lp</w:t>
      </w:r>
      <w:proofErr w:type="spellEnd"/>
      <w:r w:rsidR="00134D37" w:rsidRPr="00134D37">
        <w:t xml:space="preserve">(a) and increased HDL-C from baseline to </w:t>
      </w:r>
      <w:r w:rsidR="00156318">
        <w:t>mean</w:t>
      </w:r>
      <w:r w:rsidR="00134D37" w:rsidRPr="00134D37">
        <w:t xml:space="preserve"> of weeks 10 and 12 as</w:t>
      </w:r>
      <w:r w:rsidR="00134D37">
        <w:t xml:space="preserve"> </w:t>
      </w:r>
      <w:r w:rsidR="00134D37" w:rsidRPr="00134D37">
        <w:t xml:space="preserve">compared </w:t>
      </w:r>
      <w:r w:rsidR="00156318">
        <w:t>with</w:t>
      </w:r>
      <w:r w:rsidR="00134D37" w:rsidRPr="00134D37">
        <w:t xml:space="preserve"> placebo for the rosuvastatin and simvastatin groups (p&lt;0.05) and significantly reduced </w:t>
      </w:r>
      <w:r w:rsidR="00156318">
        <w:t xml:space="preserve">TC, </w:t>
      </w:r>
      <w:proofErr w:type="spellStart"/>
      <w:r w:rsidR="00156318">
        <w:t>ApoB</w:t>
      </w:r>
      <w:proofErr w:type="spellEnd"/>
      <w:r w:rsidR="00156318">
        <w:t xml:space="preserve">, </w:t>
      </w:r>
      <w:r w:rsidR="00134D37" w:rsidRPr="00134D37">
        <w:t>non-HDL-C,</w:t>
      </w:r>
      <w:r w:rsidR="00134D37">
        <w:t xml:space="preserve"> </w:t>
      </w:r>
      <w:r w:rsidR="00156318">
        <w:t xml:space="preserve">TC/HDL-C, </w:t>
      </w:r>
      <w:proofErr w:type="spellStart"/>
      <w:r w:rsidR="00156318">
        <w:t>ApoB</w:t>
      </w:r>
      <w:proofErr w:type="spellEnd"/>
      <w:r w:rsidR="00156318">
        <w:t xml:space="preserve">/ApoA1 and </w:t>
      </w:r>
      <w:proofErr w:type="spellStart"/>
      <w:r w:rsidR="00134D37" w:rsidRPr="00134D37">
        <w:t>Lp</w:t>
      </w:r>
      <w:proofErr w:type="spellEnd"/>
      <w:r w:rsidR="00134D37" w:rsidRPr="00134D37">
        <w:t xml:space="preserve">(a) compared </w:t>
      </w:r>
      <w:r w:rsidR="00156318">
        <w:t>with</w:t>
      </w:r>
      <w:r w:rsidR="00134D37" w:rsidRPr="00134D37">
        <w:t xml:space="preserve"> placebo and ezetimibe for the</w:t>
      </w:r>
      <w:r w:rsidR="00134D37">
        <w:t xml:space="preserve"> </w:t>
      </w:r>
      <w:r w:rsidR="00134D37" w:rsidRPr="00134D37">
        <w:t>atorvastatin group (p&lt;0.001)</w:t>
      </w:r>
      <w:bookmarkStart w:id="11" w:name="_Ref395872137"/>
      <w:r w:rsidR="00DE1547">
        <w:t>.</w:t>
      </w:r>
    </w:p>
    <w:p w14:paraId="1CD2668F" w14:textId="77777777" w:rsidR="00201F6E" w:rsidRPr="00F309DA" w:rsidRDefault="00D10DBB" w:rsidP="0075137F">
      <w:pPr>
        <w:pStyle w:val="TableCenterAlign"/>
      </w:pPr>
      <w:bookmarkStart w:id="12" w:name="_Ref506364047"/>
      <w:bookmarkEnd w:id="11"/>
      <w:r w:rsidRPr="00F309DA">
        <w:rPr>
          <w:b/>
        </w:rPr>
        <w:t xml:space="preserve">Figure </w:t>
      </w:r>
      <w:r w:rsidRPr="00A97855">
        <w:rPr>
          <w:b/>
        </w:rPr>
        <w:fldChar w:fldCharType="begin"/>
      </w:r>
      <w:r w:rsidRPr="00F309DA">
        <w:rPr>
          <w:b/>
        </w:rPr>
        <w:instrText xml:space="preserve"> SEQ Figure \* ARABIC </w:instrText>
      </w:r>
      <w:r w:rsidRPr="00A97855">
        <w:rPr>
          <w:b/>
        </w:rPr>
        <w:fldChar w:fldCharType="separate"/>
      </w:r>
      <w:r w:rsidR="008C495D">
        <w:rPr>
          <w:b/>
          <w:noProof/>
        </w:rPr>
        <w:t>5</w:t>
      </w:r>
      <w:r w:rsidRPr="00A97855">
        <w:rPr>
          <w:b/>
        </w:rPr>
        <w:fldChar w:fldCharType="end"/>
      </w:r>
      <w:bookmarkEnd w:id="12"/>
      <w:r w:rsidRPr="00F309DA">
        <w:rPr>
          <w:b/>
        </w:rPr>
        <w:t xml:space="preserve">.  </w:t>
      </w:r>
      <w:r w:rsidR="00E1433F" w:rsidRPr="00F309DA">
        <w:rPr>
          <w:b/>
        </w:rPr>
        <w:t>Effect of Repatha on</w:t>
      </w:r>
      <w:r w:rsidR="00201F6E" w:rsidRPr="00F309DA">
        <w:rPr>
          <w:b/>
        </w:rPr>
        <w:t xml:space="preserve"> LDL-C </w:t>
      </w:r>
      <w:r w:rsidR="00E1433F" w:rsidRPr="00F309DA">
        <w:rPr>
          <w:b/>
        </w:rPr>
        <w:t xml:space="preserve">when combined with statins – mean LDL-C percent change from baseline </w:t>
      </w:r>
      <w:r w:rsidR="00201F6E" w:rsidRPr="00F309DA">
        <w:rPr>
          <w:b/>
        </w:rPr>
        <w:t xml:space="preserve">of </w:t>
      </w:r>
      <w:r w:rsidR="00205EFE" w:rsidRPr="00F309DA">
        <w:rPr>
          <w:b/>
        </w:rPr>
        <w:t>w</w:t>
      </w:r>
      <w:r w:rsidR="00201F6E" w:rsidRPr="00F309DA">
        <w:rPr>
          <w:b/>
        </w:rPr>
        <w:t>eeks 10 and 12*</w:t>
      </w:r>
    </w:p>
    <w:p w14:paraId="4EB53113" w14:textId="3062BE1A" w:rsidR="00201F6E" w:rsidRDefault="0005561A" w:rsidP="00763346">
      <w:pPr>
        <w:pStyle w:val="TableCenterAlign"/>
        <w:rPr>
          <w:b/>
          <w:bCs/>
        </w:rPr>
      </w:pPr>
      <w:r w:rsidRPr="004F6F71">
        <w:rPr>
          <w:b/>
          <w:noProof/>
          <w:lang w:eastAsia="en-AU"/>
        </w:rPr>
        <w:lastRenderedPageBreak/>
        <w:drawing>
          <wp:inline distT="0" distB="0" distL="0" distR="0" wp14:anchorId="1C09EF8F" wp14:editId="039D042B">
            <wp:extent cx="5951220" cy="3870960"/>
            <wp:effectExtent l="0" t="0" r="0" b="0"/>
            <wp:docPr id="5" name="Picture 8" descr="Figure 5.  Effect of Repatha on LDL-C when combined with statins – mean LDL-C percent change from baseline of weeks 10 an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chirby\Documentum\Viewed\cds_primary_ldl_cal_1012_bw (JPG forma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1220" cy="3870960"/>
                    </a:xfrm>
                    <a:prstGeom prst="rect">
                      <a:avLst/>
                    </a:prstGeom>
                    <a:noFill/>
                    <a:ln>
                      <a:noFill/>
                    </a:ln>
                  </pic:spPr>
                </pic:pic>
              </a:graphicData>
            </a:graphic>
          </wp:inline>
        </w:drawing>
      </w:r>
    </w:p>
    <w:p w14:paraId="1828776D" w14:textId="77777777" w:rsidR="00E1433F" w:rsidRPr="00D5736C" w:rsidRDefault="00E1433F" w:rsidP="00D5736C">
      <w:pPr>
        <w:rPr>
          <w:rFonts w:cs="Arial"/>
          <w:sz w:val="18"/>
          <w:szCs w:val="18"/>
          <w:lang w:eastAsia="en-AU"/>
        </w:rPr>
      </w:pPr>
      <w:r w:rsidRPr="00D5736C">
        <w:rPr>
          <w:rFonts w:cs="Arial"/>
          <w:b/>
          <w:bCs/>
          <w:sz w:val="18"/>
          <w:szCs w:val="18"/>
          <w:lang w:eastAsia="en-AU"/>
        </w:rPr>
        <w:t>*</w:t>
      </w:r>
      <w:r w:rsidRPr="00D5736C">
        <w:rPr>
          <w:rFonts w:cs="Arial"/>
          <w:sz w:val="18"/>
          <w:szCs w:val="18"/>
          <w:lang w:eastAsia="en-AU"/>
        </w:rPr>
        <w:t>All differences compared with placebo and ezetimibe are statistically significant (p&lt;0.001)</w:t>
      </w:r>
      <w:r w:rsidR="00D5736C" w:rsidRPr="00D5736C">
        <w:rPr>
          <w:rFonts w:cs="Arial"/>
          <w:sz w:val="18"/>
          <w:szCs w:val="18"/>
          <w:lang w:eastAsia="en-AU"/>
        </w:rPr>
        <w:t>.</w:t>
      </w:r>
    </w:p>
    <w:p w14:paraId="637A5C0C" w14:textId="77777777" w:rsidR="00E1433F" w:rsidRPr="00D5736C" w:rsidRDefault="00E1433F" w:rsidP="00D5736C">
      <w:pPr>
        <w:rPr>
          <w:rFonts w:cs="Arial"/>
          <w:sz w:val="18"/>
          <w:szCs w:val="18"/>
          <w:lang w:eastAsia="en-AU"/>
        </w:rPr>
      </w:pPr>
      <w:r w:rsidRPr="00D5736C">
        <w:rPr>
          <w:rFonts w:cs="Arial"/>
          <w:sz w:val="18"/>
          <w:szCs w:val="18"/>
          <w:lang w:eastAsia="en-AU"/>
        </w:rPr>
        <w:t xml:space="preserve">Vertical lines represent the 95% confidence interval around the mean differences of </w:t>
      </w:r>
      <w:r w:rsidR="00A26DB4" w:rsidRPr="00D5736C">
        <w:rPr>
          <w:rFonts w:cs="Arial"/>
          <w:sz w:val="18"/>
          <w:szCs w:val="18"/>
          <w:lang w:eastAsia="en-AU"/>
        </w:rPr>
        <w:t>Repatha</w:t>
      </w:r>
      <w:r w:rsidRPr="00D5736C">
        <w:rPr>
          <w:rFonts w:cs="Arial"/>
          <w:sz w:val="18"/>
          <w:szCs w:val="18"/>
          <w:lang w:eastAsia="en-AU"/>
        </w:rPr>
        <w:t xml:space="preserve"> compared with control.</w:t>
      </w:r>
    </w:p>
    <w:p w14:paraId="682A3530" w14:textId="77777777" w:rsidR="00E1433F" w:rsidRDefault="00E1433F" w:rsidP="00E1433F">
      <w:pPr>
        <w:autoSpaceDE w:val="0"/>
        <w:autoSpaceDN w:val="0"/>
        <w:adjustRightInd w:val="0"/>
        <w:rPr>
          <w:rFonts w:cs="Arial"/>
          <w:sz w:val="16"/>
          <w:szCs w:val="16"/>
          <w:lang w:eastAsia="en-AU"/>
        </w:rPr>
      </w:pPr>
    </w:p>
    <w:p w14:paraId="364763CE" w14:textId="77777777" w:rsidR="00201F6E" w:rsidRDefault="00201F6E" w:rsidP="00F309DA">
      <w:pPr>
        <w:pStyle w:val="PI-text"/>
      </w:pPr>
      <w:r w:rsidRPr="00201F6E">
        <w:t xml:space="preserve">In a pre-specified analysis of </w:t>
      </w:r>
      <w:r>
        <w:t>LAPLACE-2</w:t>
      </w:r>
      <w:r w:rsidRPr="00201F6E">
        <w:t xml:space="preserve">, </w:t>
      </w:r>
      <w:r w:rsidR="00DA265F">
        <w:t>Repatha</w:t>
      </w:r>
      <w:r w:rsidR="00134D37" w:rsidRPr="00134D37">
        <w:t xml:space="preserve"> significantly reduced LDL-C, </w:t>
      </w:r>
      <w:r w:rsidR="000B26CC">
        <w:t xml:space="preserve">TC, </w:t>
      </w:r>
      <w:proofErr w:type="spellStart"/>
      <w:r w:rsidR="000B26CC">
        <w:t>ApoB</w:t>
      </w:r>
      <w:proofErr w:type="spellEnd"/>
      <w:r w:rsidR="000B26CC">
        <w:t xml:space="preserve">, </w:t>
      </w:r>
      <w:r w:rsidR="00134D37" w:rsidRPr="00134D37">
        <w:t xml:space="preserve">non-HDL-C, </w:t>
      </w:r>
      <w:r w:rsidR="000B26CC">
        <w:t xml:space="preserve">TC/HDL-C, </w:t>
      </w:r>
      <w:proofErr w:type="spellStart"/>
      <w:r w:rsidR="000B26CC">
        <w:t>ApoB</w:t>
      </w:r>
      <w:proofErr w:type="spellEnd"/>
      <w:r w:rsidR="000B26CC">
        <w:t xml:space="preserve">/ApoA1, VLDL-C, TG and </w:t>
      </w:r>
      <w:proofErr w:type="spellStart"/>
      <w:r w:rsidR="00134D37" w:rsidRPr="00134D37">
        <w:t>Lp</w:t>
      </w:r>
      <w:proofErr w:type="spellEnd"/>
      <w:r w:rsidR="00134D37" w:rsidRPr="00134D37">
        <w:t>(a) and increased HDL-C and ApoA1</w:t>
      </w:r>
      <w:r w:rsidR="00E34F85">
        <w:t xml:space="preserve"> </w:t>
      </w:r>
      <w:r w:rsidR="00134D37" w:rsidRPr="00134D37">
        <w:t>from</w:t>
      </w:r>
      <w:r w:rsidR="00134D37">
        <w:t xml:space="preserve"> </w:t>
      </w:r>
      <w:r w:rsidR="00134D37" w:rsidRPr="00134D37">
        <w:t xml:space="preserve">baseline to </w:t>
      </w:r>
      <w:r w:rsidR="000B26CC">
        <w:t xml:space="preserve">mean </w:t>
      </w:r>
      <w:r w:rsidR="00134D37" w:rsidRPr="00134D37">
        <w:t>of weeks 10 and 12</w:t>
      </w:r>
      <w:r w:rsidR="00134D37" w:rsidRPr="00201F6E">
        <w:t xml:space="preserve"> </w:t>
      </w:r>
      <w:r w:rsidRPr="00201F6E">
        <w:t xml:space="preserve">compared </w:t>
      </w:r>
      <w:r w:rsidR="000C34B5">
        <w:t>with</w:t>
      </w:r>
      <w:r w:rsidRPr="00201F6E">
        <w:t xml:space="preserve"> placebo for the combined rosuvastatin, simvastatin and atorvastatin groups (p&lt;0.001)</w:t>
      </w:r>
      <w:r w:rsidR="00D539DE">
        <w:t>(</w:t>
      </w:r>
      <w:r w:rsidR="006632B5">
        <w:fldChar w:fldCharType="begin"/>
      </w:r>
      <w:r w:rsidR="006632B5">
        <w:instrText xml:space="preserve"> REF _Ref506362848 \h </w:instrText>
      </w:r>
      <w:r w:rsidR="006632B5">
        <w:fldChar w:fldCharType="separate"/>
      </w:r>
      <w:r w:rsidR="008C495D">
        <w:t xml:space="preserve">Table </w:t>
      </w:r>
      <w:r w:rsidR="008C495D">
        <w:rPr>
          <w:noProof/>
        </w:rPr>
        <w:t>3</w:t>
      </w:r>
      <w:r w:rsidR="006632B5">
        <w:fldChar w:fldCharType="end"/>
      </w:r>
      <w:r w:rsidR="00D539DE">
        <w:t>)</w:t>
      </w:r>
      <w:r w:rsidRPr="00201F6E">
        <w:t xml:space="preserve">.  Consistent treatment effects were observed in an analysis of </w:t>
      </w:r>
      <w:r w:rsidR="00DA265F">
        <w:t>Repatha</w:t>
      </w:r>
      <w:r w:rsidRPr="00201F6E">
        <w:t xml:space="preserve"> compared </w:t>
      </w:r>
      <w:r w:rsidR="000C34B5">
        <w:t>with</w:t>
      </w:r>
      <w:r w:rsidRPr="00201F6E">
        <w:t xml:space="preserve"> ezetimibe for the combined atorvastatin treatment groups</w:t>
      </w:r>
      <w:r w:rsidR="00AE02D4">
        <w:t xml:space="preserve"> </w:t>
      </w:r>
      <w:r w:rsidR="00D539DE">
        <w:t>(</w:t>
      </w:r>
      <w:r w:rsidR="006632B5">
        <w:fldChar w:fldCharType="begin"/>
      </w:r>
      <w:r w:rsidR="006632B5">
        <w:instrText xml:space="preserve"> REF _Ref506363793 \h </w:instrText>
      </w:r>
      <w:r w:rsidR="006632B5">
        <w:fldChar w:fldCharType="separate"/>
      </w:r>
      <w:r w:rsidR="008C495D">
        <w:t xml:space="preserve">Table </w:t>
      </w:r>
      <w:r w:rsidR="008C495D">
        <w:rPr>
          <w:noProof/>
        </w:rPr>
        <w:t>4</w:t>
      </w:r>
      <w:r w:rsidR="006632B5">
        <w:fldChar w:fldCharType="end"/>
      </w:r>
      <w:r w:rsidR="00D539DE" w:rsidRPr="006632B5">
        <w:t>)</w:t>
      </w:r>
      <w:r w:rsidRPr="006632B5">
        <w:t>.</w:t>
      </w:r>
    </w:p>
    <w:p w14:paraId="6BCCA8DB" w14:textId="77777777" w:rsidR="00DE1547" w:rsidRDefault="00EA1465" w:rsidP="00F309DA">
      <w:pPr>
        <w:pStyle w:val="PI-text"/>
      </w:pPr>
      <w:r>
        <w:t>RUTHERFORD-2</w:t>
      </w:r>
      <w:r w:rsidR="00DB5264" w:rsidRPr="00EA1465">
        <w:t xml:space="preserve"> was an international, </w:t>
      </w:r>
      <w:r w:rsidR="009160F4">
        <w:t>multicentre</w:t>
      </w:r>
      <w:r w:rsidR="00DB5264" w:rsidRPr="00EA1465">
        <w:t xml:space="preserve">, double-blind, </w:t>
      </w:r>
      <w:r w:rsidR="00983361">
        <w:t>randomised</w:t>
      </w:r>
      <w:r w:rsidR="00DB5264" w:rsidRPr="00EA1465">
        <w:t>, placebo-controlled, 12-week study</w:t>
      </w:r>
      <w:r w:rsidR="000B26CC">
        <w:t xml:space="preserve"> of Repatha </w:t>
      </w:r>
      <w:r w:rsidR="00DB5264" w:rsidRPr="00EA1465">
        <w:t>in 329 patients with heterozygous familial</w:t>
      </w:r>
      <w:r w:rsidR="00BF758F">
        <w:t xml:space="preserve"> </w:t>
      </w:r>
      <w:r w:rsidR="00DB5264" w:rsidRPr="00EA1465">
        <w:t>hypercholesterol</w:t>
      </w:r>
      <w:r w:rsidR="00841CC1">
        <w:t>a</w:t>
      </w:r>
      <w:r w:rsidR="00DB5264" w:rsidRPr="00EA1465">
        <w:t xml:space="preserve">emia </w:t>
      </w:r>
      <w:r w:rsidR="00205EFE">
        <w:t xml:space="preserve">(HeFH) </w:t>
      </w:r>
      <w:r w:rsidR="00DB5264" w:rsidRPr="00EA1465">
        <w:t xml:space="preserve">on lipid-lowering therapies. </w:t>
      </w:r>
      <w:r w:rsidR="00AA4FF6">
        <w:t xml:space="preserve"> </w:t>
      </w:r>
      <w:r w:rsidR="00DA265F">
        <w:t>Repatha</w:t>
      </w:r>
      <w:r w:rsidR="00DB5264" w:rsidRPr="00EA1465">
        <w:t xml:space="preserve"> significantly reduced LDL-C from baseline to </w:t>
      </w:r>
      <w:r w:rsidR="000B26CC">
        <w:t xml:space="preserve">mean </w:t>
      </w:r>
      <w:r w:rsidR="00DB5264" w:rsidRPr="00EA1465">
        <w:t xml:space="preserve">of weeks 10 and 12, compared </w:t>
      </w:r>
      <w:r w:rsidR="000B26CC">
        <w:t>with</w:t>
      </w:r>
      <w:r w:rsidR="00DB5264" w:rsidRPr="00EA1465">
        <w:t xml:space="preserve"> placebo (p&lt;0.001).  </w:t>
      </w:r>
      <w:r w:rsidR="00DA265F">
        <w:t>Repatha</w:t>
      </w:r>
      <w:r w:rsidR="004D1ED4">
        <w:t xml:space="preserve"> </w:t>
      </w:r>
      <w:r w:rsidR="00DB5264" w:rsidRPr="00EA1465">
        <w:t xml:space="preserve">significantly reduced </w:t>
      </w:r>
      <w:r w:rsidR="000B26CC" w:rsidRPr="000B26CC">
        <w:t xml:space="preserve">TC, </w:t>
      </w:r>
      <w:proofErr w:type="spellStart"/>
      <w:r w:rsidR="000B26CC" w:rsidRPr="000B26CC">
        <w:t>ApoB</w:t>
      </w:r>
      <w:proofErr w:type="spellEnd"/>
      <w:r w:rsidR="000B26CC" w:rsidRPr="000B26CC">
        <w:t>, non-HDL-C, TC/HDL-C,</w:t>
      </w:r>
      <w:r w:rsidR="000B26CC">
        <w:t xml:space="preserve"> </w:t>
      </w:r>
      <w:proofErr w:type="spellStart"/>
      <w:r w:rsidR="000B26CC" w:rsidRPr="000B26CC">
        <w:t>ApoB</w:t>
      </w:r>
      <w:proofErr w:type="spellEnd"/>
      <w:r w:rsidR="000B26CC" w:rsidRPr="000B26CC">
        <w:t xml:space="preserve">/ApoA1, VLDL-C, TG, and </w:t>
      </w:r>
      <w:proofErr w:type="spellStart"/>
      <w:r w:rsidR="000B26CC" w:rsidRPr="000B26CC">
        <w:t>Lp</w:t>
      </w:r>
      <w:proofErr w:type="spellEnd"/>
      <w:r w:rsidR="000B26CC" w:rsidRPr="000B26CC">
        <w:t>(a), and increased HDL-C and ApoA1 from baseline to mean of weeks 10 and</w:t>
      </w:r>
      <w:r w:rsidR="008C34C1">
        <w:t xml:space="preserve"> </w:t>
      </w:r>
      <w:r w:rsidR="000B26CC" w:rsidRPr="000B26CC">
        <w:t>12 compared with plac</w:t>
      </w:r>
      <w:r w:rsidR="00841CC1">
        <w:t>ebo (p&lt;0.05)</w:t>
      </w:r>
      <w:r w:rsidR="00DE1547">
        <w:t xml:space="preserve"> (</w:t>
      </w:r>
      <w:r w:rsidR="006632B5">
        <w:fldChar w:fldCharType="begin"/>
      </w:r>
      <w:r w:rsidR="006632B5">
        <w:instrText xml:space="preserve"> REF _Ref506362848 \h </w:instrText>
      </w:r>
      <w:r w:rsidR="006632B5">
        <w:fldChar w:fldCharType="separate"/>
      </w:r>
      <w:r w:rsidR="008C495D">
        <w:t xml:space="preserve">Table </w:t>
      </w:r>
      <w:r w:rsidR="008C495D">
        <w:rPr>
          <w:noProof/>
        </w:rPr>
        <w:t>3</w:t>
      </w:r>
      <w:r w:rsidR="006632B5">
        <w:fldChar w:fldCharType="end"/>
      </w:r>
      <w:r w:rsidR="00DE1547">
        <w:t>).</w:t>
      </w:r>
    </w:p>
    <w:p w14:paraId="2576BD4A" w14:textId="7BE61785" w:rsidR="001D30A0" w:rsidRPr="00F309DA" w:rsidRDefault="00110CE2" w:rsidP="00110CE2">
      <w:pPr>
        <w:pStyle w:val="Caption"/>
        <w:rPr>
          <w:rFonts w:eastAsia="Calibri"/>
        </w:rPr>
      </w:pPr>
      <w:bookmarkStart w:id="13" w:name="_Ref506362848"/>
      <w:r>
        <w:lastRenderedPageBreak/>
        <w:t xml:space="preserve">Table </w:t>
      </w:r>
      <w:r w:rsidR="002351AF">
        <w:fldChar w:fldCharType="begin"/>
      </w:r>
      <w:r w:rsidR="002351AF">
        <w:instrText xml:space="preserve"> SEQ Table \* ARABIC </w:instrText>
      </w:r>
      <w:r w:rsidR="002351AF">
        <w:fldChar w:fldCharType="separate"/>
      </w:r>
      <w:r w:rsidR="008C495D">
        <w:rPr>
          <w:noProof/>
        </w:rPr>
        <w:t>3</w:t>
      </w:r>
      <w:r w:rsidR="002351AF">
        <w:rPr>
          <w:noProof/>
        </w:rPr>
        <w:fldChar w:fldCharType="end"/>
      </w:r>
      <w:bookmarkEnd w:id="13"/>
      <w:r>
        <w:t xml:space="preserve">. </w:t>
      </w:r>
      <w:r w:rsidR="00A25458">
        <w:t xml:space="preserve"> </w:t>
      </w:r>
      <w:r w:rsidR="00D50E5C" w:rsidRPr="00110CE2">
        <w:rPr>
          <w:rFonts w:eastAsia="Calibri"/>
        </w:rPr>
        <w:t xml:space="preserve">Treatment effects of </w:t>
      </w:r>
      <w:r w:rsidR="001D30A0" w:rsidRPr="00110CE2">
        <w:rPr>
          <w:rFonts w:eastAsia="Calibri"/>
        </w:rPr>
        <w:t>Repatha</w:t>
      </w:r>
      <w:r w:rsidR="00D50E5C" w:rsidRPr="00110CE2">
        <w:rPr>
          <w:rFonts w:eastAsia="Calibri"/>
        </w:rPr>
        <w:t xml:space="preserve"> compared with placebo in patients with </w:t>
      </w:r>
      <w:r w:rsidR="00665F7F">
        <w:rPr>
          <w:rFonts w:eastAsia="Calibri"/>
        </w:rPr>
        <w:t xml:space="preserve">primary </w:t>
      </w:r>
      <w:r w:rsidR="0027632E" w:rsidRPr="00110CE2">
        <w:rPr>
          <w:rFonts w:eastAsia="Calibri"/>
        </w:rPr>
        <w:t>hypercholesterolaemia</w:t>
      </w:r>
      <w:r w:rsidR="00D50E5C" w:rsidRPr="00110CE2">
        <w:rPr>
          <w:rFonts w:eastAsia="Calibri"/>
        </w:rPr>
        <w:t xml:space="preserve"> - mean percent change from baseline to averag</w:t>
      </w:r>
      <w:r w:rsidR="001D30A0" w:rsidRPr="00110CE2">
        <w:rPr>
          <w:rFonts w:eastAsia="Calibri"/>
        </w:rPr>
        <w:t>e of weeks 10 and 12 (%, 95%</w:t>
      </w:r>
      <w:r w:rsidR="00F10D41" w:rsidRPr="00110CE2">
        <w:rPr>
          <w:rFonts w:eastAsia="Calibri"/>
        </w:rPr>
        <w:t xml:space="preserve"> CI)</w:t>
      </w:r>
    </w:p>
    <w:tbl>
      <w:tblPr>
        <w:tblW w:w="5630" w:type="pct"/>
        <w:tblInd w:w="-557" w:type="dxa"/>
        <w:tblLayout w:type="fixed"/>
        <w:tblCellMar>
          <w:left w:w="0" w:type="dxa"/>
          <w:right w:w="0" w:type="dxa"/>
        </w:tblCellMar>
        <w:tblLook w:val="04A0" w:firstRow="1" w:lastRow="0" w:firstColumn="1" w:lastColumn="0" w:noHBand="0" w:noVBand="1"/>
      </w:tblPr>
      <w:tblGrid>
        <w:gridCol w:w="1281"/>
        <w:gridCol w:w="852"/>
        <w:gridCol w:w="707"/>
        <w:gridCol w:w="847"/>
        <w:gridCol w:w="710"/>
        <w:gridCol w:w="708"/>
        <w:gridCol w:w="708"/>
        <w:gridCol w:w="710"/>
        <w:gridCol w:w="568"/>
        <w:gridCol w:w="708"/>
        <w:gridCol w:w="568"/>
        <w:gridCol w:w="708"/>
        <w:gridCol w:w="710"/>
      </w:tblGrid>
      <w:tr w:rsidR="006972DC" w:rsidRPr="006F02BE" w14:paraId="73D9B21B" w14:textId="77777777" w:rsidTr="006972DC">
        <w:trPr>
          <w:trHeight w:val="140"/>
        </w:trPr>
        <w:tc>
          <w:tcPr>
            <w:tcW w:w="654"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74890BB"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Study</w:t>
            </w:r>
          </w:p>
        </w:tc>
        <w:tc>
          <w:tcPr>
            <w:tcW w:w="435"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vAlign w:val="center"/>
            <w:hideMark/>
          </w:tcPr>
          <w:p w14:paraId="15E52F67"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Dose regimen</w:t>
            </w:r>
          </w:p>
        </w:tc>
        <w:tc>
          <w:tcPr>
            <w:tcW w:w="361"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vAlign w:val="center"/>
            <w:hideMark/>
          </w:tcPr>
          <w:p w14:paraId="14583140" w14:textId="77777777" w:rsidR="00D50E5C" w:rsidRPr="00AA579B" w:rsidRDefault="00D50E5C" w:rsidP="001D30A0">
            <w:pPr>
              <w:keepNext/>
              <w:spacing w:before="20" w:after="20"/>
              <w:ind w:left="-93" w:right="-85"/>
              <w:jc w:val="center"/>
              <w:rPr>
                <w:rFonts w:eastAsia="Calibri" w:cs="Arial"/>
                <w:b/>
                <w:bCs/>
                <w:sz w:val="16"/>
                <w:szCs w:val="16"/>
              </w:rPr>
            </w:pPr>
            <w:r w:rsidRPr="00AA579B">
              <w:rPr>
                <w:rFonts w:eastAsia="Calibri" w:cs="Arial"/>
                <w:b/>
                <w:bCs/>
                <w:sz w:val="16"/>
                <w:szCs w:val="16"/>
              </w:rPr>
              <w:t>LDL-C</w:t>
            </w:r>
          </w:p>
          <w:p w14:paraId="16662BE2" w14:textId="77777777" w:rsidR="00D50E5C" w:rsidRPr="00AA579B" w:rsidRDefault="00D50E5C" w:rsidP="001D30A0">
            <w:pPr>
              <w:keepNext/>
              <w:spacing w:before="20" w:after="20"/>
              <w:ind w:left="-93" w:right="-85"/>
              <w:jc w:val="center"/>
              <w:rPr>
                <w:rFonts w:eastAsia="Calibri" w:cs="Arial"/>
                <w:b/>
                <w:bCs/>
                <w:sz w:val="16"/>
                <w:szCs w:val="16"/>
              </w:rPr>
            </w:pPr>
            <w:r w:rsidRPr="00AA579B">
              <w:rPr>
                <w:rFonts w:eastAsia="Calibri" w:cs="Arial"/>
                <w:b/>
                <w:bCs/>
                <w:sz w:val="16"/>
                <w:szCs w:val="16"/>
              </w:rPr>
              <w:t>(%)</w:t>
            </w:r>
          </w:p>
        </w:tc>
        <w:tc>
          <w:tcPr>
            <w:tcW w:w="433"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vAlign w:val="center"/>
            <w:hideMark/>
          </w:tcPr>
          <w:p w14:paraId="68AE4974" w14:textId="77777777" w:rsidR="00D50E5C" w:rsidRPr="00AA579B" w:rsidRDefault="00D50E5C" w:rsidP="001D30A0">
            <w:pPr>
              <w:keepNext/>
              <w:spacing w:before="20" w:after="20"/>
              <w:ind w:left="-95" w:right="-83"/>
              <w:jc w:val="center"/>
              <w:rPr>
                <w:rFonts w:eastAsia="Calibri" w:cs="Arial"/>
                <w:b/>
                <w:bCs/>
                <w:sz w:val="16"/>
                <w:szCs w:val="16"/>
              </w:rPr>
            </w:pPr>
            <w:r w:rsidRPr="00AA579B">
              <w:rPr>
                <w:rFonts w:eastAsia="Calibri" w:cs="Arial"/>
                <w:b/>
                <w:bCs/>
                <w:sz w:val="16"/>
                <w:szCs w:val="16"/>
              </w:rPr>
              <w:t>Non-HDL-C</w:t>
            </w:r>
          </w:p>
          <w:p w14:paraId="0144C481" w14:textId="77777777" w:rsidR="00D50E5C" w:rsidRPr="00AA579B" w:rsidRDefault="00D50E5C" w:rsidP="001D30A0">
            <w:pPr>
              <w:keepNext/>
              <w:spacing w:before="20" w:after="20"/>
              <w:ind w:left="-95" w:right="-83"/>
              <w:jc w:val="center"/>
              <w:rPr>
                <w:rFonts w:eastAsia="Calibri" w:cs="Arial"/>
                <w:b/>
                <w:bCs/>
                <w:sz w:val="16"/>
                <w:szCs w:val="16"/>
              </w:rPr>
            </w:pPr>
            <w:r w:rsidRPr="00AA579B">
              <w:rPr>
                <w:rFonts w:eastAsia="Calibri" w:cs="Arial"/>
                <w:b/>
                <w:bCs/>
                <w:sz w:val="16"/>
                <w:szCs w:val="16"/>
              </w:rPr>
              <w:t>(%)</w:t>
            </w:r>
          </w:p>
        </w:tc>
        <w:tc>
          <w:tcPr>
            <w:tcW w:w="363"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vAlign w:val="center"/>
            <w:hideMark/>
          </w:tcPr>
          <w:p w14:paraId="463348C7" w14:textId="77777777" w:rsidR="00D50E5C" w:rsidRPr="00AA579B" w:rsidRDefault="00D50E5C" w:rsidP="001D30A0">
            <w:pPr>
              <w:keepNext/>
              <w:spacing w:before="20" w:after="20"/>
              <w:jc w:val="center"/>
              <w:rPr>
                <w:rFonts w:eastAsia="Calibri" w:cs="Arial"/>
                <w:b/>
                <w:bCs/>
                <w:sz w:val="16"/>
                <w:szCs w:val="16"/>
              </w:rPr>
            </w:pPr>
            <w:proofErr w:type="spellStart"/>
            <w:r w:rsidRPr="00AA579B">
              <w:rPr>
                <w:rFonts w:eastAsia="Calibri" w:cs="Arial"/>
                <w:b/>
                <w:bCs/>
                <w:sz w:val="16"/>
                <w:szCs w:val="16"/>
              </w:rPr>
              <w:t>ApoB</w:t>
            </w:r>
            <w:proofErr w:type="spellEnd"/>
          </w:p>
          <w:p w14:paraId="387BD1D0"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w:t>
            </w:r>
          </w:p>
        </w:tc>
        <w:tc>
          <w:tcPr>
            <w:tcW w:w="362"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vAlign w:val="center"/>
            <w:hideMark/>
          </w:tcPr>
          <w:p w14:paraId="012CDD80"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TC</w:t>
            </w:r>
          </w:p>
          <w:p w14:paraId="313A2F2C"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w:t>
            </w:r>
          </w:p>
        </w:tc>
        <w:tc>
          <w:tcPr>
            <w:tcW w:w="362"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vAlign w:val="center"/>
            <w:hideMark/>
          </w:tcPr>
          <w:p w14:paraId="20308341" w14:textId="77777777" w:rsidR="00D50E5C" w:rsidRPr="00AA579B" w:rsidRDefault="00D50E5C" w:rsidP="001D30A0">
            <w:pPr>
              <w:keepNext/>
              <w:spacing w:before="20" w:after="20"/>
              <w:jc w:val="center"/>
              <w:rPr>
                <w:rFonts w:eastAsia="Calibri" w:cs="Arial"/>
                <w:b/>
                <w:bCs/>
                <w:sz w:val="16"/>
                <w:szCs w:val="16"/>
              </w:rPr>
            </w:pPr>
            <w:proofErr w:type="spellStart"/>
            <w:r w:rsidRPr="00AA579B">
              <w:rPr>
                <w:rFonts w:eastAsia="Calibri" w:cs="Arial"/>
                <w:b/>
                <w:bCs/>
                <w:sz w:val="16"/>
                <w:szCs w:val="16"/>
              </w:rPr>
              <w:t>Lp</w:t>
            </w:r>
            <w:proofErr w:type="spellEnd"/>
            <w:r w:rsidRPr="00AA579B">
              <w:rPr>
                <w:rFonts w:eastAsia="Calibri" w:cs="Arial"/>
                <w:b/>
                <w:bCs/>
                <w:sz w:val="16"/>
                <w:szCs w:val="16"/>
              </w:rPr>
              <w:t>(a)</w:t>
            </w:r>
          </w:p>
          <w:p w14:paraId="0028128C"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w:t>
            </w:r>
          </w:p>
        </w:tc>
        <w:tc>
          <w:tcPr>
            <w:tcW w:w="363"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vAlign w:val="center"/>
            <w:hideMark/>
          </w:tcPr>
          <w:p w14:paraId="1C5C29FD"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VLDL-C</w:t>
            </w:r>
          </w:p>
          <w:p w14:paraId="16C395AF"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w:t>
            </w:r>
          </w:p>
        </w:tc>
        <w:tc>
          <w:tcPr>
            <w:tcW w:w="290"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vAlign w:val="center"/>
            <w:hideMark/>
          </w:tcPr>
          <w:p w14:paraId="68521EB8"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HDL-C</w:t>
            </w:r>
          </w:p>
          <w:p w14:paraId="31716D9F"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w:t>
            </w:r>
          </w:p>
        </w:tc>
        <w:tc>
          <w:tcPr>
            <w:tcW w:w="362" w:type="pct"/>
            <w:tcBorders>
              <w:top w:val="single" w:sz="8" w:space="0" w:color="000000"/>
              <w:left w:val="nil"/>
              <w:bottom w:val="single" w:sz="8" w:space="0" w:color="000000"/>
              <w:right w:val="single" w:sz="8" w:space="0" w:color="000000"/>
            </w:tcBorders>
            <w:shd w:val="clear" w:color="auto" w:fill="D9D9D9"/>
            <w:vAlign w:val="center"/>
            <w:hideMark/>
          </w:tcPr>
          <w:p w14:paraId="678736CA"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TG</w:t>
            </w:r>
          </w:p>
          <w:p w14:paraId="494DCEE8"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w:t>
            </w:r>
          </w:p>
        </w:tc>
        <w:tc>
          <w:tcPr>
            <w:tcW w:w="290"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vAlign w:val="center"/>
            <w:hideMark/>
          </w:tcPr>
          <w:p w14:paraId="490766DC"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ApoA1</w:t>
            </w:r>
          </w:p>
          <w:p w14:paraId="3C01D1D3"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w:t>
            </w:r>
          </w:p>
        </w:tc>
        <w:tc>
          <w:tcPr>
            <w:tcW w:w="362" w:type="pct"/>
            <w:tcBorders>
              <w:top w:val="single" w:sz="8" w:space="0" w:color="000000"/>
              <w:left w:val="nil"/>
              <w:bottom w:val="single" w:sz="8" w:space="0" w:color="000000"/>
              <w:right w:val="single" w:sz="8" w:space="0" w:color="000000"/>
            </w:tcBorders>
            <w:shd w:val="clear" w:color="auto" w:fill="D9D9D9"/>
            <w:vAlign w:val="center"/>
          </w:tcPr>
          <w:p w14:paraId="2CDB6591"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TC/</w:t>
            </w:r>
          </w:p>
          <w:p w14:paraId="77D44450"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HDL-C Ratio</w:t>
            </w:r>
          </w:p>
          <w:p w14:paraId="254DACB2"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w:t>
            </w:r>
          </w:p>
        </w:tc>
        <w:tc>
          <w:tcPr>
            <w:tcW w:w="363" w:type="pct"/>
            <w:tcBorders>
              <w:top w:val="single" w:sz="8" w:space="0" w:color="000000"/>
              <w:left w:val="nil"/>
              <w:bottom w:val="single" w:sz="8" w:space="0" w:color="000000"/>
              <w:right w:val="single" w:sz="8" w:space="0" w:color="000000"/>
            </w:tcBorders>
            <w:shd w:val="clear" w:color="auto" w:fill="D9D9D9"/>
            <w:vAlign w:val="center"/>
          </w:tcPr>
          <w:p w14:paraId="2FE6F76A" w14:textId="77777777" w:rsidR="00D50E5C" w:rsidRPr="00AA579B" w:rsidRDefault="00D50E5C" w:rsidP="001D30A0">
            <w:pPr>
              <w:keepNext/>
              <w:spacing w:before="20" w:after="20"/>
              <w:jc w:val="center"/>
              <w:rPr>
                <w:rFonts w:eastAsia="Calibri" w:cs="Arial"/>
                <w:b/>
                <w:bCs/>
                <w:sz w:val="16"/>
                <w:szCs w:val="16"/>
              </w:rPr>
            </w:pPr>
            <w:proofErr w:type="spellStart"/>
            <w:r w:rsidRPr="00AA579B">
              <w:rPr>
                <w:rFonts w:eastAsia="Calibri" w:cs="Arial"/>
                <w:b/>
                <w:bCs/>
                <w:sz w:val="16"/>
                <w:szCs w:val="16"/>
              </w:rPr>
              <w:t>ApoB</w:t>
            </w:r>
            <w:proofErr w:type="spellEnd"/>
            <w:r w:rsidRPr="00AA579B">
              <w:rPr>
                <w:rFonts w:eastAsia="Calibri" w:cs="Arial"/>
                <w:b/>
                <w:bCs/>
                <w:sz w:val="16"/>
                <w:szCs w:val="16"/>
              </w:rPr>
              <w:t>/</w:t>
            </w:r>
          </w:p>
          <w:p w14:paraId="4AAE73AD"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ApoA1 Ratio</w:t>
            </w:r>
          </w:p>
          <w:p w14:paraId="21988958" w14:textId="77777777" w:rsidR="00D50E5C" w:rsidRPr="00AA579B" w:rsidRDefault="00D50E5C" w:rsidP="001D30A0">
            <w:pPr>
              <w:keepNext/>
              <w:spacing w:before="20" w:after="20"/>
              <w:jc w:val="center"/>
              <w:rPr>
                <w:rFonts w:eastAsia="Calibri" w:cs="Arial"/>
                <w:b/>
                <w:bCs/>
                <w:sz w:val="16"/>
                <w:szCs w:val="16"/>
              </w:rPr>
            </w:pPr>
            <w:r w:rsidRPr="00AA579B">
              <w:rPr>
                <w:rFonts w:eastAsia="Calibri" w:cs="Arial"/>
                <w:b/>
                <w:bCs/>
                <w:sz w:val="16"/>
                <w:szCs w:val="16"/>
              </w:rPr>
              <w:t>(%)</w:t>
            </w:r>
          </w:p>
        </w:tc>
      </w:tr>
      <w:tr w:rsidR="006972DC" w:rsidRPr="006F02BE" w14:paraId="3C58752E" w14:textId="77777777" w:rsidTr="006972DC">
        <w:trPr>
          <w:trHeight w:val="230"/>
        </w:trPr>
        <w:tc>
          <w:tcPr>
            <w:tcW w:w="654" w:type="pct"/>
            <w:vMerge w:val="restart"/>
            <w:tcBorders>
              <w:top w:val="nil"/>
              <w:left w:val="single" w:sz="8" w:space="0" w:color="000000"/>
              <w:right w:val="single" w:sz="8" w:space="0" w:color="000000"/>
            </w:tcBorders>
            <w:vAlign w:val="center"/>
            <w:hideMark/>
          </w:tcPr>
          <w:p w14:paraId="0192BE68" w14:textId="77777777" w:rsidR="00D50E5C" w:rsidRPr="00D07730" w:rsidRDefault="003A2918" w:rsidP="00D5736C">
            <w:pPr>
              <w:keepNext/>
              <w:jc w:val="center"/>
              <w:rPr>
                <w:rFonts w:eastAsia="Calibri" w:cs="Arial"/>
                <w:sz w:val="16"/>
                <w:szCs w:val="16"/>
              </w:rPr>
            </w:pPr>
            <w:r>
              <w:rPr>
                <w:rFonts w:eastAsia="Calibri" w:cs="Arial"/>
                <w:sz w:val="16"/>
                <w:szCs w:val="16"/>
              </w:rPr>
              <w:t>LAPLACE-</w:t>
            </w:r>
            <w:r w:rsidR="00D50E5C">
              <w:rPr>
                <w:rFonts w:eastAsia="Calibri" w:cs="Arial"/>
                <w:sz w:val="16"/>
                <w:szCs w:val="16"/>
              </w:rPr>
              <w:t xml:space="preserve">2 </w:t>
            </w:r>
            <w:r w:rsidR="00D50E5C" w:rsidRPr="00D07730">
              <w:rPr>
                <w:rFonts w:eastAsia="Calibri" w:cs="Arial"/>
                <w:sz w:val="16"/>
                <w:szCs w:val="16"/>
              </w:rPr>
              <w:t>(Combined rosuvastatin, simvastatin, &amp; atorvastatin groups)</w:t>
            </w:r>
          </w:p>
        </w:tc>
        <w:tc>
          <w:tcPr>
            <w:tcW w:w="435"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759F5459" w14:textId="77777777" w:rsidR="00D50E5C" w:rsidRPr="00AA579B" w:rsidRDefault="00D50E5C" w:rsidP="001D30A0">
            <w:pPr>
              <w:keepNext/>
              <w:spacing w:before="20" w:after="20"/>
              <w:jc w:val="center"/>
              <w:rPr>
                <w:rFonts w:eastAsia="Calibri" w:cs="Arial"/>
                <w:sz w:val="16"/>
                <w:szCs w:val="16"/>
              </w:rPr>
            </w:pPr>
            <w:r w:rsidRPr="00AA579B">
              <w:rPr>
                <w:rFonts w:eastAsia="Calibri" w:cs="Arial"/>
                <w:sz w:val="16"/>
                <w:szCs w:val="16"/>
              </w:rPr>
              <w:t>140 mg Q2W (N=555)</w:t>
            </w:r>
          </w:p>
        </w:tc>
        <w:tc>
          <w:tcPr>
            <w:tcW w:w="361"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7C73DFDA" w14:textId="77777777" w:rsidR="00D50E5C" w:rsidRPr="00AA579B" w:rsidRDefault="00D50E5C" w:rsidP="001D30A0">
            <w:pPr>
              <w:autoSpaceDE w:val="0"/>
              <w:autoSpaceDN w:val="0"/>
              <w:adjustRightInd w:val="0"/>
              <w:spacing w:before="20" w:after="20"/>
              <w:ind w:left="-86" w:right="-104"/>
              <w:jc w:val="center"/>
              <w:rPr>
                <w:rFonts w:eastAsia="Calibri" w:cs="Arial"/>
                <w:bCs/>
                <w:sz w:val="16"/>
                <w:szCs w:val="16"/>
              </w:rPr>
            </w:pPr>
            <w:r w:rsidRPr="00AA579B">
              <w:rPr>
                <w:rFonts w:eastAsia="Calibri" w:cs="Arial"/>
                <w:bCs/>
                <w:sz w:val="16"/>
                <w:szCs w:val="16"/>
              </w:rPr>
              <w:t>-72</w:t>
            </w:r>
            <w:r w:rsidRPr="00AA579B">
              <w:rPr>
                <w:rFonts w:eastAsia="Calibri" w:cs="Arial"/>
                <w:sz w:val="16"/>
                <w:szCs w:val="16"/>
                <w:vertAlign w:val="superscript"/>
              </w:rPr>
              <w:t>b</w:t>
            </w:r>
          </w:p>
          <w:p w14:paraId="045FADCD" w14:textId="77777777" w:rsidR="00D50E5C" w:rsidRPr="00AA579B" w:rsidRDefault="00D50E5C" w:rsidP="001D30A0">
            <w:pPr>
              <w:autoSpaceDE w:val="0"/>
              <w:autoSpaceDN w:val="0"/>
              <w:adjustRightInd w:val="0"/>
              <w:spacing w:before="20" w:after="20"/>
              <w:ind w:left="-86" w:right="-104"/>
              <w:jc w:val="center"/>
              <w:rPr>
                <w:rFonts w:eastAsia="Calibri" w:cs="Arial"/>
                <w:bCs/>
                <w:sz w:val="16"/>
                <w:szCs w:val="16"/>
              </w:rPr>
            </w:pPr>
            <w:r w:rsidRPr="00AA579B">
              <w:rPr>
                <w:rFonts w:eastAsia="Calibri" w:cs="Arial"/>
                <w:bCs/>
                <w:sz w:val="16"/>
                <w:szCs w:val="16"/>
              </w:rPr>
              <w:t>(-75, -69)</w:t>
            </w:r>
          </w:p>
        </w:tc>
        <w:tc>
          <w:tcPr>
            <w:tcW w:w="433"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659B51D6" w14:textId="77777777" w:rsidR="00D50E5C" w:rsidRPr="00AA579B" w:rsidRDefault="00D50E5C" w:rsidP="001D30A0">
            <w:pPr>
              <w:autoSpaceDE w:val="0"/>
              <w:autoSpaceDN w:val="0"/>
              <w:adjustRightInd w:val="0"/>
              <w:spacing w:before="20" w:after="20"/>
              <w:ind w:left="-69" w:right="-40"/>
              <w:jc w:val="center"/>
              <w:rPr>
                <w:rFonts w:eastAsia="Calibri" w:cs="Arial"/>
                <w:sz w:val="16"/>
                <w:szCs w:val="16"/>
              </w:rPr>
            </w:pPr>
            <w:r w:rsidRPr="00AA579B">
              <w:rPr>
                <w:rFonts w:eastAsia="Calibri" w:cs="Arial"/>
                <w:sz w:val="16"/>
                <w:szCs w:val="16"/>
              </w:rPr>
              <w:t>-60</w:t>
            </w:r>
            <w:r w:rsidRPr="00AA579B">
              <w:rPr>
                <w:rFonts w:eastAsia="Calibri" w:cs="Arial"/>
                <w:sz w:val="16"/>
                <w:szCs w:val="16"/>
                <w:vertAlign w:val="superscript"/>
              </w:rPr>
              <w:t>b</w:t>
            </w:r>
          </w:p>
          <w:p w14:paraId="129F59B5" w14:textId="77777777" w:rsidR="00D50E5C" w:rsidRPr="00AA579B" w:rsidRDefault="00D50E5C" w:rsidP="001D30A0">
            <w:pPr>
              <w:autoSpaceDE w:val="0"/>
              <w:autoSpaceDN w:val="0"/>
              <w:adjustRightInd w:val="0"/>
              <w:spacing w:before="20" w:after="20"/>
              <w:ind w:left="-69" w:right="-40"/>
              <w:jc w:val="center"/>
              <w:rPr>
                <w:rFonts w:eastAsia="Calibri" w:cs="Arial"/>
                <w:sz w:val="16"/>
                <w:szCs w:val="16"/>
              </w:rPr>
            </w:pPr>
            <w:r w:rsidRPr="00AA579B">
              <w:rPr>
                <w:rFonts w:eastAsia="Calibri" w:cs="Arial"/>
                <w:sz w:val="16"/>
                <w:szCs w:val="16"/>
              </w:rPr>
              <w:t>(-63, -58)</w:t>
            </w:r>
          </w:p>
        </w:tc>
        <w:tc>
          <w:tcPr>
            <w:tcW w:w="363"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06413BDD"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-56</w:t>
            </w:r>
            <w:r w:rsidRPr="00AA579B">
              <w:rPr>
                <w:rFonts w:eastAsia="Calibri" w:cs="Arial"/>
                <w:sz w:val="16"/>
                <w:szCs w:val="16"/>
                <w:vertAlign w:val="superscript"/>
              </w:rPr>
              <w:t>b</w:t>
            </w:r>
          </w:p>
          <w:p w14:paraId="0FA24F3A"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(-58, -53)</w:t>
            </w:r>
          </w:p>
        </w:tc>
        <w:tc>
          <w:tcPr>
            <w:tcW w:w="362"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60C6118D"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-41</w:t>
            </w:r>
            <w:r w:rsidRPr="00AA579B">
              <w:rPr>
                <w:rFonts w:eastAsia="Calibri" w:cs="Arial"/>
                <w:sz w:val="16"/>
                <w:szCs w:val="16"/>
                <w:vertAlign w:val="superscript"/>
              </w:rPr>
              <w:t>b</w:t>
            </w:r>
          </w:p>
          <w:p w14:paraId="299C31E1"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(-43, -39)</w:t>
            </w:r>
          </w:p>
        </w:tc>
        <w:tc>
          <w:tcPr>
            <w:tcW w:w="362"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68324E8A"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-30</w:t>
            </w:r>
            <w:r w:rsidRPr="00AA579B">
              <w:rPr>
                <w:rFonts w:eastAsia="Calibri" w:cs="Arial"/>
                <w:sz w:val="16"/>
                <w:szCs w:val="16"/>
                <w:vertAlign w:val="superscript"/>
              </w:rPr>
              <w:t>b</w:t>
            </w:r>
          </w:p>
          <w:p w14:paraId="6CFC011C"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(-35, -25)</w:t>
            </w:r>
          </w:p>
        </w:tc>
        <w:tc>
          <w:tcPr>
            <w:tcW w:w="363"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1AC38E7A"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-18</w:t>
            </w:r>
            <w:r w:rsidRPr="00AA579B">
              <w:rPr>
                <w:rFonts w:eastAsia="Calibri" w:cs="Arial"/>
                <w:sz w:val="16"/>
                <w:szCs w:val="16"/>
                <w:vertAlign w:val="superscript"/>
              </w:rPr>
              <w:t>b</w:t>
            </w:r>
          </w:p>
          <w:p w14:paraId="5B3DA92C"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(-23, -14)</w:t>
            </w:r>
          </w:p>
        </w:tc>
        <w:tc>
          <w:tcPr>
            <w:tcW w:w="290"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678FE86E"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6</w:t>
            </w:r>
            <w:r w:rsidRPr="00AA579B">
              <w:rPr>
                <w:rFonts w:eastAsia="Calibri" w:cs="Arial"/>
                <w:sz w:val="16"/>
                <w:szCs w:val="16"/>
                <w:vertAlign w:val="superscript"/>
              </w:rPr>
              <w:t>b</w:t>
            </w:r>
          </w:p>
          <w:p w14:paraId="16D4AFEF"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(4, 8)</w:t>
            </w:r>
          </w:p>
        </w:tc>
        <w:tc>
          <w:tcPr>
            <w:tcW w:w="362" w:type="pct"/>
            <w:tcBorders>
              <w:top w:val="nil"/>
              <w:left w:val="nil"/>
              <w:bottom w:val="single" w:sz="8" w:space="0" w:color="000000"/>
              <w:right w:val="single" w:sz="8" w:space="0" w:color="000000"/>
            </w:tcBorders>
            <w:vAlign w:val="center"/>
            <w:hideMark/>
          </w:tcPr>
          <w:p w14:paraId="786E33D8"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-17</w:t>
            </w:r>
            <w:r w:rsidRPr="00AA579B">
              <w:rPr>
                <w:rFonts w:eastAsia="Calibri" w:cs="Arial"/>
                <w:sz w:val="16"/>
                <w:szCs w:val="16"/>
                <w:vertAlign w:val="superscript"/>
              </w:rPr>
              <w:t>b</w:t>
            </w:r>
          </w:p>
          <w:p w14:paraId="36C7E55F"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(-22, -13)</w:t>
            </w:r>
          </w:p>
        </w:tc>
        <w:tc>
          <w:tcPr>
            <w:tcW w:w="290"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2DB749C0"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3</w:t>
            </w:r>
            <w:r w:rsidRPr="00AA579B">
              <w:rPr>
                <w:rFonts w:eastAsia="Calibri" w:cs="Arial"/>
                <w:sz w:val="16"/>
                <w:szCs w:val="16"/>
                <w:vertAlign w:val="superscript"/>
              </w:rPr>
              <w:t>b</w:t>
            </w:r>
          </w:p>
          <w:p w14:paraId="6B95153A"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(1, 5)</w:t>
            </w:r>
          </w:p>
        </w:tc>
        <w:tc>
          <w:tcPr>
            <w:tcW w:w="362" w:type="pct"/>
            <w:tcBorders>
              <w:top w:val="nil"/>
              <w:left w:val="nil"/>
              <w:bottom w:val="single" w:sz="8" w:space="0" w:color="000000"/>
              <w:right w:val="single" w:sz="8" w:space="0" w:color="000000"/>
            </w:tcBorders>
            <w:vAlign w:val="center"/>
          </w:tcPr>
          <w:p w14:paraId="515C410A"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-45</w:t>
            </w:r>
            <w:r w:rsidRPr="00AA579B">
              <w:rPr>
                <w:rFonts w:eastAsia="Calibri" w:cs="Arial"/>
                <w:sz w:val="16"/>
                <w:szCs w:val="16"/>
                <w:vertAlign w:val="superscript"/>
              </w:rPr>
              <w:t>b</w:t>
            </w:r>
          </w:p>
          <w:p w14:paraId="5B37F6EC"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(-47, -42)</w:t>
            </w:r>
          </w:p>
        </w:tc>
        <w:tc>
          <w:tcPr>
            <w:tcW w:w="363" w:type="pct"/>
            <w:tcBorders>
              <w:top w:val="nil"/>
              <w:left w:val="nil"/>
              <w:bottom w:val="single" w:sz="8" w:space="0" w:color="000000"/>
              <w:right w:val="single" w:sz="8" w:space="0" w:color="000000"/>
            </w:tcBorders>
            <w:vAlign w:val="center"/>
          </w:tcPr>
          <w:p w14:paraId="0D0890DB"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-56</w:t>
            </w:r>
            <w:r w:rsidRPr="00AA579B">
              <w:rPr>
                <w:rFonts w:eastAsia="Calibri" w:cs="Arial"/>
                <w:sz w:val="16"/>
                <w:szCs w:val="16"/>
                <w:vertAlign w:val="superscript"/>
              </w:rPr>
              <w:t>b</w:t>
            </w:r>
          </w:p>
          <w:p w14:paraId="1CA9E239"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(-59, -53)</w:t>
            </w:r>
          </w:p>
        </w:tc>
      </w:tr>
      <w:tr w:rsidR="006972DC" w:rsidRPr="006F02BE" w14:paraId="61AF77EA" w14:textId="77777777" w:rsidTr="006972DC">
        <w:trPr>
          <w:trHeight w:val="230"/>
        </w:trPr>
        <w:tc>
          <w:tcPr>
            <w:tcW w:w="654" w:type="pct"/>
            <w:vMerge/>
            <w:tcBorders>
              <w:left w:val="single" w:sz="8" w:space="0" w:color="000000"/>
              <w:bottom w:val="single" w:sz="8" w:space="0" w:color="000000"/>
              <w:right w:val="single" w:sz="8" w:space="0" w:color="000000"/>
            </w:tcBorders>
            <w:vAlign w:val="center"/>
            <w:hideMark/>
          </w:tcPr>
          <w:p w14:paraId="289442B3" w14:textId="77777777" w:rsidR="00D50E5C" w:rsidRPr="00AA579B" w:rsidRDefault="00D50E5C" w:rsidP="001D30A0">
            <w:pPr>
              <w:keepNext/>
              <w:spacing w:before="20" w:after="20"/>
              <w:jc w:val="center"/>
              <w:rPr>
                <w:rFonts w:eastAsia="Calibri" w:cs="Arial"/>
                <w:sz w:val="16"/>
                <w:szCs w:val="16"/>
                <w:highlight w:val="yellow"/>
              </w:rPr>
            </w:pPr>
          </w:p>
        </w:tc>
        <w:tc>
          <w:tcPr>
            <w:tcW w:w="435"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5ACF9076" w14:textId="77777777" w:rsidR="00D50E5C" w:rsidRPr="00AA579B" w:rsidRDefault="00D50E5C" w:rsidP="001D30A0">
            <w:pPr>
              <w:keepNext/>
              <w:spacing w:before="20" w:after="20"/>
              <w:jc w:val="center"/>
              <w:rPr>
                <w:rFonts w:eastAsia="Calibri" w:cs="Arial"/>
                <w:sz w:val="16"/>
                <w:szCs w:val="16"/>
                <w:highlight w:val="yellow"/>
              </w:rPr>
            </w:pPr>
            <w:r w:rsidRPr="00AA579B">
              <w:rPr>
                <w:rFonts w:eastAsia="Calibri" w:cs="Arial"/>
                <w:sz w:val="16"/>
                <w:szCs w:val="16"/>
              </w:rPr>
              <w:t>420 mg QM (N=562)</w:t>
            </w:r>
          </w:p>
        </w:tc>
        <w:tc>
          <w:tcPr>
            <w:tcW w:w="361"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67E5EAFD" w14:textId="77777777" w:rsidR="00D50E5C" w:rsidRPr="00AA579B" w:rsidRDefault="00D50E5C" w:rsidP="001D30A0">
            <w:pPr>
              <w:autoSpaceDE w:val="0"/>
              <w:autoSpaceDN w:val="0"/>
              <w:adjustRightInd w:val="0"/>
              <w:spacing w:before="20" w:after="20"/>
              <w:ind w:left="-86" w:right="-104"/>
              <w:jc w:val="center"/>
              <w:rPr>
                <w:rFonts w:eastAsia="Calibri" w:cs="Arial"/>
                <w:bCs/>
                <w:sz w:val="16"/>
                <w:szCs w:val="16"/>
              </w:rPr>
            </w:pPr>
            <w:r w:rsidRPr="00AA579B">
              <w:rPr>
                <w:rFonts w:eastAsia="Calibri" w:cs="Arial"/>
                <w:bCs/>
                <w:sz w:val="16"/>
                <w:szCs w:val="16"/>
              </w:rPr>
              <w:t>-69</w:t>
            </w:r>
            <w:r w:rsidRPr="00AA579B">
              <w:rPr>
                <w:rFonts w:eastAsia="Calibri" w:cs="Arial"/>
                <w:sz w:val="16"/>
                <w:szCs w:val="16"/>
                <w:vertAlign w:val="superscript"/>
              </w:rPr>
              <w:t>b</w:t>
            </w:r>
          </w:p>
          <w:p w14:paraId="7A74C9DE" w14:textId="77777777" w:rsidR="00D50E5C" w:rsidRPr="00AA579B" w:rsidRDefault="00D50E5C" w:rsidP="001D30A0">
            <w:pPr>
              <w:autoSpaceDE w:val="0"/>
              <w:autoSpaceDN w:val="0"/>
              <w:adjustRightInd w:val="0"/>
              <w:spacing w:before="20" w:after="20"/>
              <w:ind w:left="-86" w:right="-104"/>
              <w:jc w:val="center"/>
              <w:rPr>
                <w:rFonts w:eastAsia="Calibri" w:cs="Arial"/>
                <w:bCs/>
                <w:sz w:val="16"/>
                <w:szCs w:val="16"/>
              </w:rPr>
            </w:pPr>
            <w:r w:rsidRPr="00AA579B">
              <w:rPr>
                <w:rFonts w:eastAsia="Calibri" w:cs="Arial"/>
                <w:bCs/>
                <w:sz w:val="16"/>
                <w:szCs w:val="16"/>
              </w:rPr>
              <w:t>(-73, -65)</w:t>
            </w:r>
          </w:p>
        </w:tc>
        <w:tc>
          <w:tcPr>
            <w:tcW w:w="433"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6D71414E" w14:textId="77777777" w:rsidR="00D50E5C" w:rsidRPr="00AA579B" w:rsidRDefault="00D50E5C" w:rsidP="001D30A0">
            <w:pPr>
              <w:autoSpaceDE w:val="0"/>
              <w:autoSpaceDN w:val="0"/>
              <w:adjustRightInd w:val="0"/>
              <w:spacing w:before="20" w:after="20"/>
              <w:ind w:left="-69" w:right="-40"/>
              <w:jc w:val="center"/>
              <w:rPr>
                <w:rFonts w:eastAsia="Calibri" w:cs="Arial"/>
                <w:sz w:val="16"/>
                <w:szCs w:val="16"/>
              </w:rPr>
            </w:pPr>
            <w:r w:rsidRPr="00AA579B">
              <w:rPr>
                <w:rFonts w:eastAsia="Calibri" w:cs="Arial"/>
                <w:sz w:val="16"/>
                <w:szCs w:val="16"/>
              </w:rPr>
              <w:t>-60</w:t>
            </w:r>
            <w:r w:rsidRPr="00AA579B">
              <w:rPr>
                <w:rFonts w:eastAsia="Calibri" w:cs="Arial"/>
                <w:sz w:val="16"/>
                <w:szCs w:val="16"/>
                <w:vertAlign w:val="superscript"/>
              </w:rPr>
              <w:t>b</w:t>
            </w:r>
          </w:p>
          <w:p w14:paraId="2CE350B0" w14:textId="77777777" w:rsidR="00D50E5C" w:rsidRPr="00AA579B" w:rsidRDefault="00D50E5C" w:rsidP="001D30A0">
            <w:pPr>
              <w:autoSpaceDE w:val="0"/>
              <w:autoSpaceDN w:val="0"/>
              <w:adjustRightInd w:val="0"/>
              <w:spacing w:before="20" w:after="20"/>
              <w:ind w:left="-69" w:right="-40"/>
              <w:jc w:val="center"/>
              <w:rPr>
                <w:rFonts w:eastAsia="Calibri" w:cs="Arial"/>
                <w:sz w:val="16"/>
                <w:szCs w:val="16"/>
              </w:rPr>
            </w:pPr>
            <w:r w:rsidRPr="00AA579B">
              <w:rPr>
                <w:rFonts w:eastAsia="Calibri" w:cs="Arial"/>
                <w:sz w:val="16"/>
                <w:szCs w:val="16"/>
              </w:rPr>
              <w:t>(-63, -57)</w:t>
            </w:r>
          </w:p>
        </w:tc>
        <w:tc>
          <w:tcPr>
            <w:tcW w:w="363"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279B3373"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-56</w:t>
            </w:r>
            <w:r w:rsidRPr="00AA579B">
              <w:rPr>
                <w:rFonts w:eastAsia="Calibri" w:cs="Arial"/>
                <w:sz w:val="16"/>
                <w:szCs w:val="16"/>
                <w:vertAlign w:val="superscript"/>
              </w:rPr>
              <w:t>b</w:t>
            </w:r>
          </w:p>
          <w:p w14:paraId="08118F82"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(-58, -53)</w:t>
            </w:r>
          </w:p>
        </w:tc>
        <w:tc>
          <w:tcPr>
            <w:tcW w:w="362"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24BB21B4"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-40</w:t>
            </w:r>
            <w:r w:rsidRPr="00AA579B">
              <w:rPr>
                <w:rFonts w:eastAsia="Calibri" w:cs="Arial"/>
                <w:sz w:val="16"/>
                <w:szCs w:val="16"/>
                <w:vertAlign w:val="superscript"/>
              </w:rPr>
              <w:t>b</w:t>
            </w:r>
          </w:p>
          <w:p w14:paraId="3A08C810"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(-42, -37)</w:t>
            </w:r>
          </w:p>
        </w:tc>
        <w:tc>
          <w:tcPr>
            <w:tcW w:w="362"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7DEFE733"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-27</w:t>
            </w:r>
            <w:r w:rsidRPr="00AA579B">
              <w:rPr>
                <w:rFonts w:eastAsia="Calibri" w:cs="Arial"/>
                <w:sz w:val="16"/>
                <w:szCs w:val="16"/>
                <w:vertAlign w:val="superscript"/>
              </w:rPr>
              <w:t>b</w:t>
            </w:r>
          </w:p>
          <w:p w14:paraId="7785841D"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(-31, -24)</w:t>
            </w:r>
          </w:p>
        </w:tc>
        <w:tc>
          <w:tcPr>
            <w:tcW w:w="363"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582A3EA6"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-22</w:t>
            </w:r>
            <w:r w:rsidRPr="00AA579B">
              <w:rPr>
                <w:rFonts w:eastAsia="Calibri" w:cs="Arial"/>
                <w:sz w:val="16"/>
                <w:szCs w:val="16"/>
                <w:vertAlign w:val="superscript"/>
              </w:rPr>
              <w:t>b</w:t>
            </w:r>
          </w:p>
          <w:p w14:paraId="67B258B8"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(-28, -17)</w:t>
            </w:r>
          </w:p>
        </w:tc>
        <w:tc>
          <w:tcPr>
            <w:tcW w:w="290"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400272B2"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8</w:t>
            </w:r>
            <w:r w:rsidRPr="00AA579B">
              <w:rPr>
                <w:rFonts w:eastAsia="Calibri" w:cs="Arial"/>
                <w:sz w:val="16"/>
                <w:szCs w:val="16"/>
                <w:vertAlign w:val="superscript"/>
              </w:rPr>
              <w:t>b</w:t>
            </w:r>
          </w:p>
          <w:p w14:paraId="38F6E710"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(6, 10)</w:t>
            </w:r>
          </w:p>
        </w:tc>
        <w:tc>
          <w:tcPr>
            <w:tcW w:w="362" w:type="pct"/>
            <w:tcBorders>
              <w:top w:val="nil"/>
              <w:left w:val="nil"/>
              <w:bottom w:val="single" w:sz="8" w:space="0" w:color="000000"/>
              <w:right w:val="single" w:sz="8" w:space="0" w:color="000000"/>
            </w:tcBorders>
            <w:vAlign w:val="center"/>
            <w:hideMark/>
          </w:tcPr>
          <w:p w14:paraId="730B26D4"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-23</w:t>
            </w:r>
            <w:r w:rsidRPr="00AA579B">
              <w:rPr>
                <w:rFonts w:eastAsia="Calibri" w:cs="Arial"/>
                <w:sz w:val="16"/>
                <w:szCs w:val="16"/>
                <w:vertAlign w:val="superscript"/>
              </w:rPr>
              <w:t>b</w:t>
            </w:r>
          </w:p>
          <w:p w14:paraId="0DDD80F0"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(-28, -17)</w:t>
            </w:r>
          </w:p>
        </w:tc>
        <w:tc>
          <w:tcPr>
            <w:tcW w:w="290"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05A83CA6"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5</w:t>
            </w:r>
            <w:r w:rsidRPr="00AA579B">
              <w:rPr>
                <w:rFonts w:eastAsia="Calibri" w:cs="Arial"/>
                <w:sz w:val="16"/>
                <w:szCs w:val="16"/>
                <w:vertAlign w:val="superscript"/>
              </w:rPr>
              <w:t>b</w:t>
            </w:r>
          </w:p>
          <w:p w14:paraId="222B6E65"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(3, 7)</w:t>
            </w:r>
          </w:p>
        </w:tc>
        <w:tc>
          <w:tcPr>
            <w:tcW w:w="362" w:type="pct"/>
            <w:tcBorders>
              <w:top w:val="nil"/>
              <w:left w:val="nil"/>
              <w:bottom w:val="single" w:sz="8" w:space="0" w:color="000000"/>
              <w:right w:val="single" w:sz="8" w:space="0" w:color="000000"/>
            </w:tcBorders>
            <w:vAlign w:val="center"/>
          </w:tcPr>
          <w:p w14:paraId="7736D41B"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-46</w:t>
            </w:r>
            <w:r w:rsidRPr="00AA579B">
              <w:rPr>
                <w:rFonts w:eastAsia="Calibri" w:cs="Arial"/>
                <w:sz w:val="16"/>
                <w:szCs w:val="16"/>
                <w:vertAlign w:val="superscript"/>
              </w:rPr>
              <w:t>b</w:t>
            </w:r>
          </w:p>
          <w:p w14:paraId="0D741196"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(-48, -43)</w:t>
            </w:r>
          </w:p>
        </w:tc>
        <w:tc>
          <w:tcPr>
            <w:tcW w:w="363" w:type="pct"/>
            <w:tcBorders>
              <w:top w:val="nil"/>
              <w:left w:val="nil"/>
              <w:bottom w:val="single" w:sz="8" w:space="0" w:color="000000"/>
              <w:right w:val="single" w:sz="8" w:space="0" w:color="000000"/>
            </w:tcBorders>
            <w:vAlign w:val="center"/>
          </w:tcPr>
          <w:p w14:paraId="38D3720C"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-58</w:t>
            </w:r>
            <w:r w:rsidRPr="00AA579B">
              <w:rPr>
                <w:rFonts w:eastAsia="Calibri" w:cs="Arial"/>
                <w:sz w:val="16"/>
                <w:szCs w:val="16"/>
                <w:vertAlign w:val="superscript"/>
              </w:rPr>
              <w:t>b</w:t>
            </w:r>
          </w:p>
          <w:p w14:paraId="22CB05EF"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sz w:val="16"/>
                <w:szCs w:val="16"/>
              </w:rPr>
              <w:t>(-60, -55)</w:t>
            </w:r>
          </w:p>
        </w:tc>
      </w:tr>
      <w:tr w:rsidR="006972DC" w:rsidRPr="006F02BE" w14:paraId="4E82ADE1" w14:textId="77777777" w:rsidTr="006972DC">
        <w:trPr>
          <w:trHeight w:val="230"/>
        </w:trPr>
        <w:tc>
          <w:tcPr>
            <w:tcW w:w="654" w:type="pct"/>
            <w:vMerge w:val="restart"/>
            <w:tcBorders>
              <w:top w:val="nil"/>
              <w:left w:val="single" w:sz="8" w:space="0" w:color="000000"/>
              <w:right w:val="single" w:sz="8" w:space="0" w:color="000000"/>
            </w:tcBorders>
            <w:vAlign w:val="center"/>
            <w:hideMark/>
          </w:tcPr>
          <w:p w14:paraId="239840E6" w14:textId="77777777" w:rsidR="00D50E5C" w:rsidRDefault="00D50E5C" w:rsidP="001D30A0">
            <w:pPr>
              <w:keepNext/>
              <w:jc w:val="center"/>
              <w:rPr>
                <w:rFonts w:eastAsia="Calibri" w:cs="Arial"/>
                <w:sz w:val="16"/>
                <w:szCs w:val="16"/>
              </w:rPr>
            </w:pPr>
            <w:r>
              <w:rPr>
                <w:rFonts w:eastAsia="Calibri" w:cs="Arial"/>
                <w:sz w:val="16"/>
                <w:szCs w:val="16"/>
              </w:rPr>
              <w:t xml:space="preserve">RUTHERFORD 2 </w:t>
            </w:r>
          </w:p>
          <w:p w14:paraId="22FE78D2" w14:textId="77777777" w:rsidR="00D50E5C" w:rsidRPr="00D07730" w:rsidRDefault="00D50E5C" w:rsidP="001D30A0">
            <w:pPr>
              <w:keepNext/>
              <w:jc w:val="center"/>
              <w:rPr>
                <w:rFonts w:eastAsia="Calibri" w:cs="Arial"/>
                <w:sz w:val="16"/>
                <w:szCs w:val="16"/>
              </w:rPr>
            </w:pPr>
            <w:r w:rsidRPr="00D07730">
              <w:rPr>
                <w:rFonts w:eastAsia="Calibri" w:cs="Arial"/>
                <w:sz w:val="16"/>
                <w:szCs w:val="16"/>
              </w:rPr>
              <w:t>(HeFH)</w:t>
            </w:r>
          </w:p>
        </w:tc>
        <w:tc>
          <w:tcPr>
            <w:tcW w:w="435"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176DCBC9" w14:textId="77777777" w:rsidR="00D50E5C" w:rsidRPr="00AA579B" w:rsidRDefault="00D50E5C" w:rsidP="001D30A0">
            <w:pPr>
              <w:keepNext/>
              <w:spacing w:before="20" w:after="20"/>
              <w:jc w:val="center"/>
              <w:rPr>
                <w:rFonts w:eastAsia="Calibri" w:cs="Arial"/>
                <w:sz w:val="16"/>
                <w:szCs w:val="16"/>
              </w:rPr>
            </w:pPr>
            <w:r w:rsidRPr="00AA579B">
              <w:rPr>
                <w:rFonts w:eastAsia="Calibri" w:cs="Arial"/>
                <w:sz w:val="16"/>
                <w:szCs w:val="16"/>
              </w:rPr>
              <w:t>140 mg Q2W (N=110)</w:t>
            </w:r>
          </w:p>
        </w:tc>
        <w:tc>
          <w:tcPr>
            <w:tcW w:w="361"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6A2F9A09" w14:textId="77777777" w:rsidR="00D50E5C" w:rsidRPr="00AA579B" w:rsidRDefault="00D50E5C" w:rsidP="001D30A0">
            <w:pPr>
              <w:keepNext/>
              <w:keepLines/>
              <w:spacing w:before="20" w:after="20"/>
              <w:ind w:left="-93" w:right="-85"/>
              <w:jc w:val="center"/>
              <w:rPr>
                <w:rFonts w:eastAsia="Calibri" w:cs="Arial"/>
                <w:sz w:val="16"/>
                <w:szCs w:val="16"/>
              </w:rPr>
            </w:pPr>
            <w:r w:rsidRPr="00AA579B">
              <w:rPr>
                <w:rFonts w:eastAsia="Calibri" w:cs="Arial"/>
                <w:sz w:val="16"/>
                <w:szCs w:val="16"/>
              </w:rPr>
              <w:t>-61</w:t>
            </w:r>
            <w:r w:rsidRPr="00AA579B">
              <w:rPr>
                <w:rFonts w:eastAsia="Calibri" w:cs="Arial"/>
                <w:sz w:val="16"/>
                <w:szCs w:val="16"/>
                <w:vertAlign w:val="superscript"/>
              </w:rPr>
              <w:t>b</w:t>
            </w:r>
          </w:p>
          <w:p w14:paraId="3F353811" w14:textId="77777777" w:rsidR="00D50E5C" w:rsidRPr="00AA579B" w:rsidRDefault="00D50E5C" w:rsidP="001D30A0">
            <w:pPr>
              <w:keepNext/>
              <w:keepLines/>
              <w:spacing w:before="20" w:after="20"/>
              <w:ind w:left="-93" w:right="-85"/>
              <w:jc w:val="center"/>
              <w:rPr>
                <w:rFonts w:eastAsia="Calibri" w:cs="Arial"/>
                <w:sz w:val="16"/>
                <w:szCs w:val="16"/>
              </w:rPr>
            </w:pPr>
            <w:r w:rsidRPr="00AA579B">
              <w:rPr>
                <w:rFonts w:eastAsia="Calibri" w:cs="Arial"/>
                <w:sz w:val="16"/>
                <w:szCs w:val="16"/>
              </w:rPr>
              <w:t>(-67, -55)</w:t>
            </w:r>
          </w:p>
        </w:tc>
        <w:tc>
          <w:tcPr>
            <w:tcW w:w="433" w:type="pct"/>
            <w:tcBorders>
              <w:top w:val="nil"/>
              <w:left w:val="nil"/>
              <w:bottom w:val="single" w:sz="8" w:space="0" w:color="000000"/>
              <w:right w:val="single" w:sz="8" w:space="0" w:color="000000"/>
            </w:tcBorders>
            <w:tcMar>
              <w:top w:w="11" w:type="dxa"/>
              <w:left w:w="90" w:type="dxa"/>
              <w:bottom w:w="0" w:type="dxa"/>
              <w:right w:w="90" w:type="dxa"/>
            </w:tcMar>
            <w:vAlign w:val="center"/>
            <w:hideMark/>
          </w:tcPr>
          <w:p w14:paraId="77B4B41F" w14:textId="77777777" w:rsidR="00D50E5C" w:rsidRPr="00AA579B" w:rsidRDefault="00D50E5C" w:rsidP="001D30A0">
            <w:pPr>
              <w:autoSpaceDE w:val="0"/>
              <w:autoSpaceDN w:val="0"/>
              <w:adjustRightInd w:val="0"/>
              <w:spacing w:before="20" w:after="20"/>
              <w:ind w:left="-95" w:right="-83"/>
              <w:jc w:val="center"/>
              <w:rPr>
                <w:rFonts w:eastAsia="Calibri" w:cs="Arial"/>
                <w:bCs/>
                <w:sz w:val="16"/>
                <w:szCs w:val="16"/>
                <w:vertAlign w:val="superscript"/>
              </w:rPr>
            </w:pPr>
            <w:r w:rsidRPr="00AA579B">
              <w:rPr>
                <w:rFonts w:eastAsia="Calibri" w:cs="Arial"/>
                <w:bCs/>
                <w:sz w:val="16"/>
                <w:szCs w:val="16"/>
              </w:rPr>
              <w:t>-56</w:t>
            </w:r>
            <w:r w:rsidRPr="00AA579B">
              <w:rPr>
                <w:rFonts w:eastAsia="Calibri" w:cs="Arial"/>
                <w:bCs/>
                <w:sz w:val="16"/>
                <w:szCs w:val="16"/>
                <w:vertAlign w:val="superscript"/>
              </w:rPr>
              <w:t>b</w:t>
            </w:r>
          </w:p>
          <w:p w14:paraId="6A6F0232" w14:textId="77777777" w:rsidR="00D50E5C" w:rsidRPr="00AA579B" w:rsidRDefault="00D50E5C" w:rsidP="001D30A0">
            <w:pPr>
              <w:autoSpaceDE w:val="0"/>
              <w:autoSpaceDN w:val="0"/>
              <w:adjustRightInd w:val="0"/>
              <w:spacing w:before="20" w:after="20"/>
              <w:ind w:left="-95" w:right="-83"/>
              <w:jc w:val="center"/>
              <w:rPr>
                <w:rFonts w:eastAsia="Calibri" w:cs="Arial"/>
                <w:bCs/>
                <w:sz w:val="16"/>
                <w:szCs w:val="16"/>
              </w:rPr>
            </w:pPr>
            <w:r w:rsidRPr="00AA579B">
              <w:rPr>
                <w:rFonts w:eastAsia="Calibri" w:cs="Arial"/>
                <w:bCs/>
                <w:sz w:val="16"/>
                <w:szCs w:val="16"/>
              </w:rPr>
              <w:t>(-61, -51)</w:t>
            </w:r>
          </w:p>
        </w:tc>
        <w:tc>
          <w:tcPr>
            <w:tcW w:w="363"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3FB41899"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-49</w:t>
            </w:r>
            <w:r w:rsidRPr="00AA579B">
              <w:rPr>
                <w:rFonts w:eastAsia="Calibri" w:cs="Arial"/>
                <w:bCs/>
                <w:sz w:val="16"/>
                <w:szCs w:val="16"/>
                <w:vertAlign w:val="superscript"/>
              </w:rPr>
              <w:t>b</w:t>
            </w:r>
          </w:p>
          <w:p w14:paraId="7B2076A7"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(-54, -44)</w:t>
            </w:r>
          </w:p>
        </w:tc>
        <w:tc>
          <w:tcPr>
            <w:tcW w:w="362"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2774D30A"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-42</w:t>
            </w:r>
            <w:r w:rsidRPr="00AA579B">
              <w:rPr>
                <w:rFonts w:eastAsia="Calibri" w:cs="Arial"/>
                <w:bCs/>
                <w:sz w:val="16"/>
                <w:szCs w:val="16"/>
                <w:vertAlign w:val="superscript"/>
              </w:rPr>
              <w:t>b</w:t>
            </w:r>
          </w:p>
          <w:p w14:paraId="47D0EF8A"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(-46, -38)</w:t>
            </w:r>
          </w:p>
        </w:tc>
        <w:tc>
          <w:tcPr>
            <w:tcW w:w="362"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358250DC"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-31</w:t>
            </w:r>
            <w:r w:rsidRPr="00AA579B">
              <w:rPr>
                <w:rFonts w:eastAsia="Calibri" w:cs="Arial"/>
                <w:bCs/>
                <w:sz w:val="16"/>
                <w:szCs w:val="16"/>
                <w:vertAlign w:val="superscript"/>
              </w:rPr>
              <w:t>b</w:t>
            </w:r>
          </w:p>
          <w:p w14:paraId="6364C596"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(-38, -24)</w:t>
            </w:r>
          </w:p>
        </w:tc>
        <w:tc>
          <w:tcPr>
            <w:tcW w:w="363"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2BFCF824"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-23</w:t>
            </w:r>
            <w:r w:rsidRPr="00AA579B">
              <w:rPr>
                <w:rFonts w:eastAsia="Calibri" w:cs="Arial"/>
                <w:bCs/>
                <w:sz w:val="16"/>
                <w:szCs w:val="16"/>
                <w:vertAlign w:val="superscript"/>
              </w:rPr>
              <w:t>b</w:t>
            </w:r>
          </w:p>
          <w:p w14:paraId="22C83F18"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(-29, -16)</w:t>
            </w:r>
          </w:p>
        </w:tc>
        <w:tc>
          <w:tcPr>
            <w:tcW w:w="290"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7729302A"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8</w:t>
            </w:r>
            <w:r w:rsidRPr="00AA579B">
              <w:rPr>
                <w:rFonts w:eastAsia="Calibri" w:cs="Arial"/>
                <w:bCs/>
                <w:sz w:val="16"/>
                <w:szCs w:val="16"/>
                <w:vertAlign w:val="superscript"/>
              </w:rPr>
              <w:t>b</w:t>
            </w:r>
          </w:p>
          <w:p w14:paraId="0229C129"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(4, 12)</w:t>
            </w:r>
          </w:p>
        </w:tc>
        <w:tc>
          <w:tcPr>
            <w:tcW w:w="362" w:type="pct"/>
            <w:tcBorders>
              <w:top w:val="nil"/>
              <w:left w:val="nil"/>
              <w:bottom w:val="single" w:sz="8" w:space="0" w:color="000000"/>
              <w:right w:val="single" w:sz="8" w:space="0" w:color="000000"/>
            </w:tcBorders>
            <w:vAlign w:val="center"/>
            <w:hideMark/>
          </w:tcPr>
          <w:p w14:paraId="16E3E5CA"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w:t>
            </w:r>
            <w:r w:rsidR="00A10C72" w:rsidRPr="00AA579B">
              <w:rPr>
                <w:rFonts w:eastAsia="Calibri" w:cs="Arial"/>
                <w:bCs/>
                <w:sz w:val="16"/>
                <w:szCs w:val="16"/>
              </w:rPr>
              <w:t>2</w:t>
            </w:r>
            <w:r w:rsidR="00A10C72">
              <w:rPr>
                <w:rFonts w:eastAsia="Calibri" w:cs="Arial"/>
                <w:bCs/>
                <w:sz w:val="16"/>
                <w:szCs w:val="16"/>
              </w:rPr>
              <w:t>2</w:t>
            </w:r>
            <w:r w:rsidR="00A10C72" w:rsidRPr="00AA579B">
              <w:rPr>
                <w:rFonts w:eastAsia="Calibri" w:cs="Arial"/>
                <w:bCs/>
                <w:sz w:val="16"/>
                <w:szCs w:val="16"/>
                <w:vertAlign w:val="superscript"/>
              </w:rPr>
              <w:t>b</w:t>
            </w:r>
          </w:p>
          <w:p w14:paraId="3FF32A16" w14:textId="77777777" w:rsidR="00D50E5C" w:rsidRPr="00AA579B" w:rsidRDefault="00D50E5C" w:rsidP="001D30A0">
            <w:pPr>
              <w:keepNext/>
              <w:keepLines/>
              <w:spacing w:before="20" w:after="20"/>
              <w:jc w:val="center"/>
              <w:rPr>
                <w:rFonts w:eastAsia="Calibri" w:cs="Arial"/>
                <w:bCs/>
                <w:sz w:val="16"/>
                <w:szCs w:val="16"/>
              </w:rPr>
            </w:pPr>
            <w:r w:rsidRPr="00AA579B">
              <w:rPr>
                <w:rFonts w:eastAsia="Calibri" w:cs="Arial"/>
                <w:bCs/>
                <w:sz w:val="16"/>
                <w:szCs w:val="16"/>
              </w:rPr>
              <w:t>(-29, -15)</w:t>
            </w:r>
          </w:p>
        </w:tc>
        <w:tc>
          <w:tcPr>
            <w:tcW w:w="290" w:type="pct"/>
            <w:tcBorders>
              <w:top w:val="nil"/>
              <w:left w:val="nil"/>
              <w:bottom w:val="single" w:sz="8" w:space="0" w:color="000000"/>
              <w:right w:val="single" w:sz="8" w:space="0" w:color="000000"/>
            </w:tcBorders>
            <w:tcMar>
              <w:top w:w="11" w:type="dxa"/>
              <w:left w:w="11" w:type="dxa"/>
              <w:bottom w:w="0" w:type="dxa"/>
              <w:right w:w="11" w:type="dxa"/>
            </w:tcMar>
            <w:vAlign w:val="center"/>
            <w:hideMark/>
          </w:tcPr>
          <w:p w14:paraId="6EA26535" w14:textId="77777777" w:rsidR="00D50E5C" w:rsidRPr="00AA579B" w:rsidRDefault="00D50E5C" w:rsidP="001D30A0">
            <w:pPr>
              <w:keepNext/>
              <w:keepLines/>
              <w:spacing w:before="20" w:after="20"/>
              <w:jc w:val="center"/>
              <w:rPr>
                <w:rFonts w:eastAsia="Calibri" w:cs="Arial"/>
                <w:bCs/>
                <w:sz w:val="16"/>
                <w:szCs w:val="16"/>
              </w:rPr>
            </w:pPr>
            <w:r w:rsidRPr="00AA579B">
              <w:rPr>
                <w:rFonts w:eastAsia="Calibri" w:cs="Arial"/>
                <w:bCs/>
                <w:sz w:val="16"/>
                <w:szCs w:val="16"/>
              </w:rPr>
              <w:t>7</w:t>
            </w:r>
            <w:r w:rsidRPr="00AA579B">
              <w:rPr>
                <w:rFonts w:eastAsia="Calibri" w:cs="Arial"/>
                <w:bCs/>
                <w:sz w:val="16"/>
                <w:szCs w:val="16"/>
                <w:vertAlign w:val="superscript"/>
              </w:rPr>
              <w:t>a</w:t>
            </w:r>
          </w:p>
          <w:p w14:paraId="67118C93"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(3, 12)</w:t>
            </w:r>
          </w:p>
        </w:tc>
        <w:tc>
          <w:tcPr>
            <w:tcW w:w="362" w:type="pct"/>
            <w:tcBorders>
              <w:top w:val="nil"/>
              <w:left w:val="nil"/>
              <w:bottom w:val="single" w:sz="8" w:space="0" w:color="000000"/>
              <w:right w:val="single" w:sz="8" w:space="0" w:color="000000"/>
            </w:tcBorders>
            <w:vAlign w:val="center"/>
          </w:tcPr>
          <w:p w14:paraId="274ADA04" w14:textId="77777777" w:rsidR="00D50E5C" w:rsidRPr="00AA579B" w:rsidRDefault="00D50E5C" w:rsidP="001D30A0">
            <w:pPr>
              <w:keepNext/>
              <w:keepLines/>
              <w:spacing w:before="20" w:after="20"/>
              <w:jc w:val="center"/>
              <w:rPr>
                <w:rFonts w:eastAsia="Calibri" w:cs="Arial"/>
                <w:bCs/>
                <w:sz w:val="16"/>
                <w:szCs w:val="16"/>
              </w:rPr>
            </w:pPr>
            <w:r w:rsidRPr="00AA579B">
              <w:rPr>
                <w:rFonts w:eastAsia="Calibri" w:cs="Arial"/>
                <w:bCs/>
                <w:sz w:val="16"/>
                <w:szCs w:val="16"/>
              </w:rPr>
              <w:t>-47</w:t>
            </w:r>
            <w:r w:rsidRPr="00AA579B">
              <w:rPr>
                <w:rFonts w:eastAsia="Calibri" w:cs="Arial"/>
                <w:bCs/>
                <w:sz w:val="16"/>
                <w:szCs w:val="16"/>
                <w:vertAlign w:val="superscript"/>
              </w:rPr>
              <w:t>b</w:t>
            </w:r>
          </w:p>
          <w:p w14:paraId="7D9A9388" w14:textId="77777777" w:rsidR="00D50E5C" w:rsidRPr="00AA579B" w:rsidRDefault="00D50E5C" w:rsidP="001D30A0">
            <w:pPr>
              <w:keepNext/>
              <w:keepLines/>
              <w:spacing w:before="20" w:after="20"/>
              <w:jc w:val="center"/>
              <w:rPr>
                <w:rFonts w:eastAsia="Calibri" w:cs="Arial"/>
                <w:bCs/>
                <w:sz w:val="16"/>
                <w:szCs w:val="16"/>
              </w:rPr>
            </w:pPr>
            <w:r w:rsidRPr="00AA579B">
              <w:rPr>
                <w:rFonts w:eastAsia="Calibri" w:cs="Arial"/>
                <w:bCs/>
                <w:sz w:val="16"/>
                <w:szCs w:val="16"/>
              </w:rPr>
              <w:t>(-51, -42)</w:t>
            </w:r>
          </w:p>
        </w:tc>
        <w:tc>
          <w:tcPr>
            <w:tcW w:w="363" w:type="pct"/>
            <w:tcBorders>
              <w:top w:val="nil"/>
              <w:left w:val="nil"/>
              <w:bottom w:val="single" w:sz="8" w:space="0" w:color="000000"/>
              <w:right w:val="single" w:sz="8" w:space="0" w:color="000000"/>
            </w:tcBorders>
            <w:vAlign w:val="center"/>
          </w:tcPr>
          <w:p w14:paraId="2E1ABE92" w14:textId="77777777" w:rsidR="00D50E5C" w:rsidRPr="003F6B07"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-53</w:t>
            </w:r>
            <w:r w:rsidRPr="00AA579B">
              <w:rPr>
                <w:rFonts w:eastAsia="Calibri" w:cs="Arial"/>
                <w:sz w:val="16"/>
                <w:szCs w:val="16"/>
                <w:vertAlign w:val="superscript"/>
              </w:rPr>
              <w:t>b</w:t>
            </w:r>
            <w:r w:rsidRPr="003F6B07">
              <w:rPr>
                <w:rFonts w:eastAsia="Calibri" w:cs="Arial"/>
                <w:bCs/>
                <w:sz w:val="16"/>
                <w:szCs w:val="16"/>
                <w:vertAlign w:val="superscript"/>
              </w:rPr>
              <w:t xml:space="preserve"> </w:t>
            </w:r>
          </w:p>
          <w:p w14:paraId="530DABBF" w14:textId="77777777" w:rsidR="00D50E5C" w:rsidRPr="00AA579B" w:rsidRDefault="00D50E5C" w:rsidP="001D30A0">
            <w:pPr>
              <w:keepNext/>
              <w:keepLines/>
              <w:spacing w:before="20" w:after="20"/>
              <w:jc w:val="center"/>
              <w:rPr>
                <w:rFonts w:eastAsia="Calibri" w:cs="Arial"/>
                <w:bCs/>
                <w:sz w:val="16"/>
                <w:szCs w:val="16"/>
              </w:rPr>
            </w:pPr>
            <w:r w:rsidRPr="00AA579B">
              <w:rPr>
                <w:rFonts w:eastAsia="Calibri" w:cs="Arial"/>
                <w:bCs/>
                <w:sz w:val="16"/>
                <w:szCs w:val="16"/>
              </w:rPr>
              <w:t>(-58, -48)</w:t>
            </w:r>
          </w:p>
        </w:tc>
      </w:tr>
      <w:tr w:rsidR="006972DC" w:rsidRPr="006F02BE" w14:paraId="036D178D" w14:textId="77777777" w:rsidTr="001A4F61">
        <w:trPr>
          <w:trHeight w:val="248"/>
        </w:trPr>
        <w:tc>
          <w:tcPr>
            <w:tcW w:w="654" w:type="pct"/>
            <w:vMerge/>
            <w:tcBorders>
              <w:left w:val="single" w:sz="8" w:space="0" w:color="000000"/>
              <w:right w:val="single" w:sz="8" w:space="0" w:color="000000"/>
            </w:tcBorders>
            <w:vAlign w:val="center"/>
            <w:hideMark/>
          </w:tcPr>
          <w:p w14:paraId="0655755F" w14:textId="77777777" w:rsidR="00D50E5C" w:rsidRPr="00AA579B" w:rsidRDefault="00D50E5C" w:rsidP="001D30A0">
            <w:pPr>
              <w:keepNext/>
              <w:spacing w:before="20" w:after="20"/>
              <w:jc w:val="center"/>
              <w:rPr>
                <w:rFonts w:eastAsia="Calibri" w:cs="Arial"/>
                <w:sz w:val="16"/>
                <w:szCs w:val="16"/>
              </w:rPr>
            </w:pPr>
          </w:p>
        </w:tc>
        <w:tc>
          <w:tcPr>
            <w:tcW w:w="435" w:type="pct"/>
            <w:tcBorders>
              <w:top w:val="nil"/>
              <w:left w:val="nil"/>
              <w:bottom w:val="nil"/>
              <w:right w:val="single" w:sz="8" w:space="0" w:color="000000"/>
            </w:tcBorders>
            <w:tcMar>
              <w:top w:w="11" w:type="dxa"/>
              <w:left w:w="90" w:type="dxa"/>
              <w:bottom w:w="0" w:type="dxa"/>
              <w:right w:w="90" w:type="dxa"/>
            </w:tcMar>
            <w:vAlign w:val="center"/>
            <w:hideMark/>
          </w:tcPr>
          <w:p w14:paraId="17846ED1" w14:textId="77777777" w:rsidR="00D50E5C" w:rsidRPr="00AA579B" w:rsidRDefault="00D50E5C" w:rsidP="001D30A0">
            <w:pPr>
              <w:keepNext/>
              <w:spacing w:before="20" w:after="20"/>
              <w:jc w:val="center"/>
              <w:rPr>
                <w:rFonts w:eastAsia="Calibri" w:cs="Arial"/>
                <w:sz w:val="16"/>
                <w:szCs w:val="16"/>
              </w:rPr>
            </w:pPr>
            <w:r w:rsidRPr="00AA579B">
              <w:rPr>
                <w:rFonts w:eastAsia="Calibri" w:cs="Arial"/>
                <w:sz w:val="16"/>
                <w:szCs w:val="16"/>
              </w:rPr>
              <w:t>420 mg QM (N=110)</w:t>
            </w:r>
          </w:p>
        </w:tc>
        <w:tc>
          <w:tcPr>
            <w:tcW w:w="361" w:type="pct"/>
            <w:tcBorders>
              <w:top w:val="nil"/>
              <w:left w:val="nil"/>
              <w:bottom w:val="nil"/>
              <w:right w:val="single" w:sz="8" w:space="0" w:color="000000"/>
            </w:tcBorders>
            <w:tcMar>
              <w:top w:w="11" w:type="dxa"/>
              <w:left w:w="90" w:type="dxa"/>
              <w:bottom w:w="0" w:type="dxa"/>
              <w:right w:w="90" w:type="dxa"/>
            </w:tcMar>
            <w:vAlign w:val="center"/>
            <w:hideMark/>
          </w:tcPr>
          <w:p w14:paraId="4E9C0F55" w14:textId="77777777" w:rsidR="00D50E5C" w:rsidRPr="00AA579B" w:rsidRDefault="00D50E5C" w:rsidP="001D30A0">
            <w:pPr>
              <w:keepNext/>
              <w:keepLines/>
              <w:spacing w:before="20" w:after="20"/>
              <w:ind w:left="-93" w:right="-85"/>
              <w:jc w:val="center"/>
              <w:rPr>
                <w:rFonts w:eastAsia="Calibri" w:cs="Arial"/>
                <w:sz w:val="16"/>
                <w:szCs w:val="16"/>
              </w:rPr>
            </w:pPr>
            <w:r w:rsidRPr="00AA579B">
              <w:rPr>
                <w:rFonts w:eastAsia="Calibri" w:cs="Arial"/>
                <w:sz w:val="16"/>
                <w:szCs w:val="16"/>
              </w:rPr>
              <w:t>-66</w:t>
            </w:r>
            <w:r w:rsidRPr="00AA579B">
              <w:rPr>
                <w:rFonts w:eastAsia="Calibri" w:cs="Arial"/>
                <w:sz w:val="16"/>
                <w:szCs w:val="16"/>
                <w:vertAlign w:val="superscript"/>
              </w:rPr>
              <w:t>b</w:t>
            </w:r>
          </w:p>
          <w:p w14:paraId="54050DB0" w14:textId="77777777" w:rsidR="00D50E5C" w:rsidRPr="00AA579B" w:rsidRDefault="00D50E5C" w:rsidP="001D30A0">
            <w:pPr>
              <w:keepNext/>
              <w:keepLines/>
              <w:spacing w:before="20" w:after="20"/>
              <w:ind w:left="-93" w:right="-85"/>
              <w:jc w:val="center"/>
              <w:rPr>
                <w:rFonts w:eastAsia="Calibri" w:cs="Arial"/>
                <w:sz w:val="16"/>
                <w:szCs w:val="16"/>
              </w:rPr>
            </w:pPr>
            <w:r w:rsidRPr="00AA579B">
              <w:rPr>
                <w:rFonts w:eastAsia="Calibri" w:cs="Arial"/>
                <w:sz w:val="16"/>
                <w:szCs w:val="16"/>
              </w:rPr>
              <w:t>(-72, -61)</w:t>
            </w:r>
          </w:p>
        </w:tc>
        <w:tc>
          <w:tcPr>
            <w:tcW w:w="433" w:type="pct"/>
            <w:tcBorders>
              <w:top w:val="nil"/>
              <w:left w:val="nil"/>
              <w:bottom w:val="nil"/>
              <w:right w:val="single" w:sz="8" w:space="0" w:color="000000"/>
            </w:tcBorders>
            <w:tcMar>
              <w:top w:w="11" w:type="dxa"/>
              <w:left w:w="90" w:type="dxa"/>
              <w:bottom w:w="0" w:type="dxa"/>
              <w:right w:w="90" w:type="dxa"/>
            </w:tcMar>
            <w:vAlign w:val="center"/>
            <w:hideMark/>
          </w:tcPr>
          <w:p w14:paraId="60EB02A9" w14:textId="77777777" w:rsidR="00D50E5C" w:rsidRPr="00AA579B" w:rsidRDefault="00D50E5C" w:rsidP="001D30A0">
            <w:pPr>
              <w:keepNext/>
              <w:keepLines/>
              <w:spacing w:before="20" w:after="20"/>
              <w:ind w:left="-95" w:right="-83"/>
              <w:jc w:val="center"/>
              <w:rPr>
                <w:rFonts w:eastAsia="Calibri" w:cs="Arial"/>
                <w:bCs/>
                <w:sz w:val="16"/>
                <w:szCs w:val="16"/>
                <w:vertAlign w:val="superscript"/>
              </w:rPr>
            </w:pPr>
            <w:r w:rsidRPr="00AA579B">
              <w:rPr>
                <w:rFonts w:eastAsia="Calibri" w:cs="Arial"/>
                <w:bCs/>
                <w:sz w:val="16"/>
                <w:szCs w:val="16"/>
              </w:rPr>
              <w:t>-60</w:t>
            </w:r>
            <w:r w:rsidRPr="00AA579B">
              <w:rPr>
                <w:rFonts w:eastAsia="Calibri" w:cs="Arial"/>
                <w:bCs/>
                <w:sz w:val="16"/>
                <w:szCs w:val="16"/>
                <w:vertAlign w:val="superscript"/>
              </w:rPr>
              <w:t>b</w:t>
            </w:r>
          </w:p>
          <w:p w14:paraId="32D1F28D" w14:textId="77777777" w:rsidR="00D50E5C" w:rsidRPr="00AA579B" w:rsidRDefault="00D50E5C" w:rsidP="001D30A0">
            <w:pPr>
              <w:keepNext/>
              <w:keepLines/>
              <w:spacing w:before="20" w:after="20"/>
              <w:ind w:left="-95" w:right="-83"/>
              <w:jc w:val="center"/>
              <w:rPr>
                <w:rFonts w:eastAsia="Calibri" w:cs="Arial"/>
                <w:sz w:val="16"/>
                <w:szCs w:val="16"/>
              </w:rPr>
            </w:pPr>
            <w:r w:rsidRPr="00AA579B">
              <w:rPr>
                <w:rFonts w:eastAsia="Calibri" w:cs="Arial"/>
                <w:bCs/>
                <w:sz w:val="16"/>
                <w:szCs w:val="16"/>
              </w:rPr>
              <w:t>(-65, -55)</w:t>
            </w:r>
          </w:p>
        </w:tc>
        <w:tc>
          <w:tcPr>
            <w:tcW w:w="363" w:type="pct"/>
            <w:tcBorders>
              <w:top w:val="nil"/>
              <w:left w:val="nil"/>
              <w:bottom w:val="nil"/>
              <w:right w:val="single" w:sz="8" w:space="0" w:color="000000"/>
            </w:tcBorders>
            <w:tcMar>
              <w:top w:w="11" w:type="dxa"/>
              <w:left w:w="11" w:type="dxa"/>
              <w:bottom w:w="0" w:type="dxa"/>
              <w:right w:w="11" w:type="dxa"/>
            </w:tcMar>
            <w:vAlign w:val="center"/>
            <w:hideMark/>
          </w:tcPr>
          <w:p w14:paraId="3B52C6F1"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-55</w:t>
            </w:r>
            <w:r w:rsidRPr="00AA579B">
              <w:rPr>
                <w:rFonts w:eastAsia="Calibri" w:cs="Arial"/>
                <w:bCs/>
                <w:sz w:val="16"/>
                <w:szCs w:val="16"/>
                <w:vertAlign w:val="superscript"/>
              </w:rPr>
              <w:t>b</w:t>
            </w:r>
          </w:p>
          <w:p w14:paraId="71A6DC78"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(-60, -50)</w:t>
            </w:r>
          </w:p>
        </w:tc>
        <w:tc>
          <w:tcPr>
            <w:tcW w:w="362" w:type="pct"/>
            <w:tcBorders>
              <w:top w:val="nil"/>
              <w:left w:val="nil"/>
              <w:bottom w:val="nil"/>
              <w:right w:val="single" w:sz="8" w:space="0" w:color="000000"/>
            </w:tcBorders>
            <w:tcMar>
              <w:top w:w="11" w:type="dxa"/>
              <w:left w:w="11" w:type="dxa"/>
              <w:bottom w:w="0" w:type="dxa"/>
              <w:right w:w="11" w:type="dxa"/>
            </w:tcMar>
            <w:vAlign w:val="center"/>
            <w:hideMark/>
          </w:tcPr>
          <w:p w14:paraId="2964EE64"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-44</w:t>
            </w:r>
            <w:r w:rsidRPr="00AA579B">
              <w:rPr>
                <w:rFonts w:eastAsia="Calibri" w:cs="Arial"/>
                <w:bCs/>
                <w:sz w:val="16"/>
                <w:szCs w:val="16"/>
                <w:vertAlign w:val="superscript"/>
              </w:rPr>
              <w:t>b</w:t>
            </w:r>
          </w:p>
          <w:p w14:paraId="201A437A"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(-48, -40)</w:t>
            </w:r>
          </w:p>
        </w:tc>
        <w:tc>
          <w:tcPr>
            <w:tcW w:w="362" w:type="pct"/>
            <w:tcBorders>
              <w:top w:val="nil"/>
              <w:left w:val="nil"/>
              <w:bottom w:val="nil"/>
              <w:right w:val="single" w:sz="8" w:space="0" w:color="000000"/>
            </w:tcBorders>
            <w:tcMar>
              <w:top w:w="11" w:type="dxa"/>
              <w:left w:w="11" w:type="dxa"/>
              <w:bottom w:w="0" w:type="dxa"/>
              <w:right w:w="11" w:type="dxa"/>
            </w:tcMar>
            <w:vAlign w:val="center"/>
            <w:hideMark/>
          </w:tcPr>
          <w:p w14:paraId="2A9B6E4C"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-31</w:t>
            </w:r>
            <w:r w:rsidRPr="00AA579B">
              <w:rPr>
                <w:rFonts w:eastAsia="Calibri" w:cs="Arial"/>
                <w:bCs/>
                <w:sz w:val="16"/>
                <w:szCs w:val="16"/>
                <w:vertAlign w:val="superscript"/>
              </w:rPr>
              <w:t>b</w:t>
            </w:r>
          </w:p>
          <w:p w14:paraId="27E31E52"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(-38, -24)</w:t>
            </w:r>
          </w:p>
        </w:tc>
        <w:tc>
          <w:tcPr>
            <w:tcW w:w="363" w:type="pct"/>
            <w:tcBorders>
              <w:top w:val="nil"/>
              <w:left w:val="nil"/>
              <w:bottom w:val="nil"/>
              <w:right w:val="single" w:sz="8" w:space="0" w:color="000000"/>
            </w:tcBorders>
            <w:tcMar>
              <w:top w:w="11" w:type="dxa"/>
              <w:left w:w="11" w:type="dxa"/>
              <w:bottom w:w="0" w:type="dxa"/>
              <w:right w:w="11" w:type="dxa"/>
            </w:tcMar>
            <w:vAlign w:val="center"/>
            <w:hideMark/>
          </w:tcPr>
          <w:p w14:paraId="4F0EF8EB"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-16</w:t>
            </w:r>
            <w:r w:rsidRPr="00AA579B">
              <w:rPr>
                <w:rFonts w:eastAsia="Calibri" w:cs="Arial"/>
                <w:bCs/>
                <w:sz w:val="16"/>
                <w:szCs w:val="16"/>
                <w:vertAlign w:val="superscript"/>
              </w:rPr>
              <w:t>b</w:t>
            </w:r>
          </w:p>
          <w:p w14:paraId="0C703401"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(-23, -8)</w:t>
            </w:r>
          </w:p>
        </w:tc>
        <w:tc>
          <w:tcPr>
            <w:tcW w:w="290" w:type="pct"/>
            <w:tcBorders>
              <w:top w:val="nil"/>
              <w:left w:val="nil"/>
              <w:bottom w:val="nil"/>
              <w:right w:val="single" w:sz="8" w:space="0" w:color="000000"/>
            </w:tcBorders>
            <w:tcMar>
              <w:top w:w="11" w:type="dxa"/>
              <w:left w:w="11" w:type="dxa"/>
              <w:bottom w:w="0" w:type="dxa"/>
              <w:right w:w="11" w:type="dxa"/>
            </w:tcMar>
            <w:vAlign w:val="center"/>
            <w:hideMark/>
          </w:tcPr>
          <w:p w14:paraId="4787BBAA"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9</w:t>
            </w:r>
            <w:r w:rsidRPr="00AA579B">
              <w:rPr>
                <w:rFonts w:eastAsia="Calibri" w:cs="Arial"/>
                <w:bCs/>
                <w:sz w:val="16"/>
                <w:szCs w:val="16"/>
                <w:vertAlign w:val="superscript"/>
              </w:rPr>
              <w:t>b</w:t>
            </w:r>
          </w:p>
          <w:p w14:paraId="3D375687"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(5, 14)</w:t>
            </w:r>
          </w:p>
        </w:tc>
        <w:tc>
          <w:tcPr>
            <w:tcW w:w="362" w:type="pct"/>
            <w:tcBorders>
              <w:top w:val="nil"/>
              <w:left w:val="nil"/>
              <w:bottom w:val="nil"/>
              <w:right w:val="single" w:sz="8" w:space="0" w:color="000000"/>
            </w:tcBorders>
            <w:vAlign w:val="center"/>
            <w:hideMark/>
          </w:tcPr>
          <w:p w14:paraId="0EFF56DB" w14:textId="77777777" w:rsidR="00D50E5C" w:rsidRPr="00AA579B" w:rsidRDefault="00D50E5C" w:rsidP="001D30A0">
            <w:pPr>
              <w:keepNext/>
              <w:keepLines/>
              <w:spacing w:before="20" w:after="20"/>
              <w:jc w:val="center"/>
              <w:rPr>
                <w:rFonts w:eastAsia="Calibri" w:cs="Arial"/>
                <w:bCs/>
                <w:sz w:val="16"/>
                <w:szCs w:val="16"/>
                <w:vertAlign w:val="superscript"/>
              </w:rPr>
            </w:pPr>
            <w:r w:rsidRPr="00AA579B">
              <w:rPr>
                <w:rFonts w:eastAsia="Calibri" w:cs="Arial"/>
                <w:bCs/>
                <w:sz w:val="16"/>
                <w:szCs w:val="16"/>
              </w:rPr>
              <w:t>-17</w:t>
            </w:r>
            <w:r w:rsidRPr="00AA579B">
              <w:rPr>
                <w:rFonts w:eastAsia="Calibri" w:cs="Arial"/>
                <w:bCs/>
                <w:sz w:val="16"/>
                <w:szCs w:val="16"/>
                <w:vertAlign w:val="superscript"/>
              </w:rPr>
              <w:t>b</w:t>
            </w:r>
          </w:p>
          <w:p w14:paraId="74B3D2EB" w14:textId="77777777" w:rsidR="00D50E5C" w:rsidRPr="00AA579B" w:rsidRDefault="00D50E5C" w:rsidP="001D30A0">
            <w:pPr>
              <w:keepNext/>
              <w:keepLines/>
              <w:spacing w:before="20" w:after="20"/>
              <w:jc w:val="center"/>
              <w:rPr>
                <w:rFonts w:eastAsia="Calibri" w:cs="Arial"/>
                <w:bCs/>
                <w:sz w:val="16"/>
                <w:szCs w:val="16"/>
              </w:rPr>
            </w:pPr>
            <w:r w:rsidRPr="00AA579B">
              <w:rPr>
                <w:rFonts w:eastAsia="Calibri" w:cs="Arial"/>
                <w:bCs/>
                <w:sz w:val="16"/>
                <w:szCs w:val="16"/>
              </w:rPr>
              <w:t>(-24, -9)</w:t>
            </w:r>
          </w:p>
        </w:tc>
        <w:tc>
          <w:tcPr>
            <w:tcW w:w="290" w:type="pct"/>
            <w:tcBorders>
              <w:top w:val="nil"/>
              <w:left w:val="nil"/>
              <w:bottom w:val="nil"/>
              <w:right w:val="single" w:sz="8" w:space="0" w:color="000000"/>
            </w:tcBorders>
            <w:tcMar>
              <w:top w:w="11" w:type="dxa"/>
              <w:left w:w="11" w:type="dxa"/>
              <w:bottom w:w="0" w:type="dxa"/>
              <w:right w:w="11" w:type="dxa"/>
            </w:tcMar>
            <w:vAlign w:val="center"/>
            <w:hideMark/>
          </w:tcPr>
          <w:p w14:paraId="31AF6687" w14:textId="77777777" w:rsidR="00D50E5C" w:rsidRPr="00AA579B" w:rsidRDefault="00D50E5C" w:rsidP="001D30A0">
            <w:pPr>
              <w:keepNext/>
              <w:keepLines/>
              <w:spacing w:before="20" w:after="20"/>
              <w:jc w:val="center"/>
              <w:rPr>
                <w:rFonts w:eastAsia="Calibri" w:cs="Arial"/>
                <w:bCs/>
                <w:sz w:val="16"/>
                <w:szCs w:val="16"/>
              </w:rPr>
            </w:pPr>
            <w:r w:rsidRPr="00AA579B">
              <w:rPr>
                <w:rFonts w:eastAsia="Calibri" w:cs="Arial"/>
                <w:bCs/>
                <w:sz w:val="16"/>
                <w:szCs w:val="16"/>
              </w:rPr>
              <w:t>5</w:t>
            </w:r>
            <w:r w:rsidRPr="00AA579B">
              <w:rPr>
                <w:rFonts w:eastAsia="Calibri" w:cs="Arial"/>
                <w:bCs/>
                <w:sz w:val="16"/>
                <w:szCs w:val="16"/>
                <w:vertAlign w:val="superscript"/>
              </w:rPr>
              <w:t>a</w:t>
            </w:r>
          </w:p>
          <w:p w14:paraId="30FD04E9" w14:textId="77777777" w:rsidR="00D50E5C" w:rsidRPr="00AA579B" w:rsidRDefault="00D50E5C" w:rsidP="001D30A0">
            <w:pPr>
              <w:keepNext/>
              <w:keepLines/>
              <w:spacing w:before="20" w:after="20"/>
              <w:jc w:val="center"/>
              <w:rPr>
                <w:rFonts w:eastAsia="Calibri" w:cs="Arial"/>
                <w:sz w:val="16"/>
                <w:szCs w:val="16"/>
              </w:rPr>
            </w:pPr>
            <w:r w:rsidRPr="00AA579B">
              <w:rPr>
                <w:rFonts w:eastAsia="Calibri" w:cs="Arial"/>
                <w:bCs/>
                <w:sz w:val="16"/>
                <w:szCs w:val="16"/>
              </w:rPr>
              <w:t>(1, 9)</w:t>
            </w:r>
          </w:p>
        </w:tc>
        <w:tc>
          <w:tcPr>
            <w:tcW w:w="362" w:type="pct"/>
            <w:tcBorders>
              <w:top w:val="nil"/>
              <w:left w:val="nil"/>
              <w:bottom w:val="nil"/>
              <w:right w:val="single" w:sz="8" w:space="0" w:color="000000"/>
            </w:tcBorders>
            <w:vAlign w:val="center"/>
          </w:tcPr>
          <w:p w14:paraId="75B23D80" w14:textId="77777777" w:rsidR="00D50E5C" w:rsidRPr="00AA579B" w:rsidRDefault="00D50E5C" w:rsidP="001D30A0">
            <w:pPr>
              <w:keepNext/>
              <w:keepLines/>
              <w:spacing w:before="20" w:after="20"/>
              <w:jc w:val="center"/>
              <w:rPr>
                <w:rFonts w:eastAsia="Calibri" w:cs="Arial"/>
                <w:bCs/>
                <w:sz w:val="16"/>
                <w:szCs w:val="16"/>
              </w:rPr>
            </w:pPr>
            <w:r w:rsidRPr="00AA579B">
              <w:rPr>
                <w:rFonts w:eastAsia="Calibri" w:cs="Arial"/>
                <w:bCs/>
                <w:sz w:val="16"/>
                <w:szCs w:val="16"/>
              </w:rPr>
              <w:t>-49</w:t>
            </w:r>
            <w:r w:rsidRPr="00AA579B">
              <w:rPr>
                <w:rFonts w:eastAsia="Calibri" w:cs="Arial"/>
                <w:bCs/>
                <w:sz w:val="16"/>
                <w:szCs w:val="16"/>
                <w:vertAlign w:val="superscript"/>
              </w:rPr>
              <w:t>b</w:t>
            </w:r>
          </w:p>
          <w:p w14:paraId="51EE560E" w14:textId="77777777" w:rsidR="00D50E5C" w:rsidRPr="00AA579B" w:rsidRDefault="00D50E5C" w:rsidP="001D30A0">
            <w:pPr>
              <w:keepNext/>
              <w:keepLines/>
              <w:spacing w:before="20" w:after="20"/>
              <w:jc w:val="center"/>
              <w:rPr>
                <w:rFonts w:eastAsia="Calibri" w:cs="Arial"/>
                <w:bCs/>
                <w:sz w:val="16"/>
                <w:szCs w:val="16"/>
              </w:rPr>
            </w:pPr>
            <w:r w:rsidRPr="00AA579B">
              <w:rPr>
                <w:rFonts w:eastAsia="Calibri" w:cs="Arial"/>
                <w:bCs/>
                <w:sz w:val="16"/>
                <w:szCs w:val="16"/>
              </w:rPr>
              <w:t>(-54, -44)</w:t>
            </w:r>
          </w:p>
        </w:tc>
        <w:tc>
          <w:tcPr>
            <w:tcW w:w="363" w:type="pct"/>
            <w:tcBorders>
              <w:top w:val="nil"/>
              <w:left w:val="nil"/>
              <w:bottom w:val="nil"/>
              <w:right w:val="single" w:sz="8" w:space="0" w:color="000000"/>
            </w:tcBorders>
            <w:vAlign w:val="center"/>
          </w:tcPr>
          <w:p w14:paraId="3F6828FC" w14:textId="77777777" w:rsidR="00D50E5C" w:rsidRPr="00AA579B" w:rsidRDefault="00D50E5C" w:rsidP="001D30A0">
            <w:pPr>
              <w:keepNext/>
              <w:keepLines/>
              <w:spacing w:before="20" w:after="20"/>
              <w:jc w:val="center"/>
              <w:rPr>
                <w:rFonts w:eastAsia="Calibri" w:cs="Arial"/>
                <w:bCs/>
                <w:sz w:val="16"/>
                <w:szCs w:val="16"/>
              </w:rPr>
            </w:pPr>
            <w:r w:rsidRPr="00AA579B">
              <w:rPr>
                <w:rFonts w:eastAsia="Calibri" w:cs="Arial"/>
                <w:bCs/>
                <w:sz w:val="16"/>
                <w:szCs w:val="16"/>
              </w:rPr>
              <w:t>-56</w:t>
            </w:r>
            <w:r w:rsidRPr="00AA579B">
              <w:rPr>
                <w:rFonts w:eastAsia="Calibri" w:cs="Arial"/>
                <w:bCs/>
                <w:sz w:val="16"/>
                <w:szCs w:val="16"/>
                <w:vertAlign w:val="superscript"/>
              </w:rPr>
              <w:t>b</w:t>
            </w:r>
          </w:p>
          <w:p w14:paraId="19F9137B" w14:textId="77777777" w:rsidR="00D50E5C" w:rsidRPr="00AA579B" w:rsidRDefault="00D50E5C" w:rsidP="001D30A0">
            <w:pPr>
              <w:keepNext/>
              <w:keepLines/>
              <w:spacing w:before="20" w:after="20"/>
              <w:jc w:val="center"/>
              <w:rPr>
                <w:rFonts w:eastAsia="Calibri" w:cs="Arial"/>
                <w:bCs/>
                <w:sz w:val="16"/>
                <w:szCs w:val="16"/>
              </w:rPr>
            </w:pPr>
            <w:r w:rsidRPr="00AA579B">
              <w:rPr>
                <w:rFonts w:eastAsia="Calibri" w:cs="Arial"/>
                <w:bCs/>
                <w:sz w:val="16"/>
                <w:szCs w:val="16"/>
              </w:rPr>
              <w:t>(-61, -50)</w:t>
            </w:r>
          </w:p>
        </w:tc>
      </w:tr>
      <w:tr w:rsidR="00711CD7" w:rsidRPr="006F02BE" w14:paraId="60C2F406" w14:textId="77777777" w:rsidTr="00997D1D">
        <w:trPr>
          <w:trHeight w:val="248"/>
        </w:trPr>
        <w:tc>
          <w:tcPr>
            <w:tcW w:w="654" w:type="pct"/>
            <w:tcBorders>
              <w:top w:val="single" w:sz="4" w:space="0" w:color="auto"/>
              <w:left w:val="single" w:sz="4" w:space="0" w:color="auto"/>
              <w:right w:val="single" w:sz="4" w:space="0" w:color="auto"/>
            </w:tcBorders>
            <w:vAlign w:val="center"/>
          </w:tcPr>
          <w:p w14:paraId="0B2D22BD" w14:textId="77777777" w:rsidR="00711CD7" w:rsidRPr="00CC0FA8" w:rsidRDefault="00711CD7" w:rsidP="00997D1D">
            <w:pPr>
              <w:keepNext/>
              <w:jc w:val="center"/>
              <w:rPr>
                <w:rFonts w:eastAsia="Calibri" w:cs="Arial"/>
                <w:sz w:val="16"/>
                <w:szCs w:val="16"/>
              </w:rPr>
            </w:pPr>
            <w:r w:rsidRPr="00CC0FA8">
              <w:rPr>
                <w:rFonts w:eastAsia="Calibri" w:cs="Arial"/>
                <w:sz w:val="16"/>
                <w:szCs w:val="16"/>
              </w:rPr>
              <w:t xml:space="preserve">MENDEL 2 </w:t>
            </w:r>
          </w:p>
          <w:p w14:paraId="5D9A6E12" w14:textId="77777777" w:rsidR="00711CD7" w:rsidRPr="00CC0FA8" w:rsidRDefault="00711CD7" w:rsidP="00997D1D">
            <w:pPr>
              <w:keepNext/>
              <w:jc w:val="center"/>
              <w:rPr>
                <w:rFonts w:eastAsia="Calibri" w:cs="Arial"/>
                <w:sz w:val="16"/>
                <w:szCs w:val="16"/>
              </w:rPr>
            </w:pPr>
            <w:r w:rsidRPr="00CC0FA8">
              <w:rPr>
                <w:rFonts w:eastAsia="Calibri" w:cs="Arial"/>
                <w:sz w:val="16"/>
                <w:szCs w:val="16"/>
              </w:rPr>
              <w:t>(Monotherapy)</w:t>
            </w:r>
          </w:p>
        </w:tc>
        <w:tc>
          <w:tcPr>
            <w:tcW w:w="435" w:type="pct"/>
            <w:tcBorders>
              <w:top w:val="single" w:sz="4" w:space="0" w:color="auto"/>
              <w:left w:val="single" w:sz="4" w:space="0" w:color="auto"/>
              <w:bottom w:val="single" w:sz="4" w:space="0" w:color="auto"/>
              <w:right w:val="single" w:sz="8" w:space="0" w:color="000000"/>
            </w:tcBorders>
            <w:tcMar>
              <w:top w:w="11" w:type="dxa"/>
              <w:left w:w="90" w:type="dxa"/>
              <w:bottom w:w="0" w:type="dxa"/>
              <w:right w:w="90" w:type="dxa"/>
            </w:tcMar>
            <w:vAlign w:val="center"/>
          </w:tcPr>
          <w:p w14:paraId="087D9856" w14:textId="77777777" w:rsidR="00711CD7" w:rsidRPr="00CC0FA8" w:rsidRDefault="00711CD7" w:rsidP="00997D1D">
            <w:pPr>
              <w:keepNext/>
              <w:spacing w:before="20" w:after="20"/>
              <w:jc w:val="center"/>
              <w:rPr>
                <w:rFonts w:eastAsia="Calibri" w:cs="Arial"/>
                <w:sz w:val="16"/>
                <w:szCs w:val="16"/>
              </w:rPr>
            </w:pPr>
            <w:r w:rsidRPr="00CC0FA8">
              <w:rPr>
                <w:rFonts w:eastAsia="Calibri" w:cs="Arial"/>
                <w:sz w:val="16"/>
                <w:szCs w:val="16"/>
              </w:rPr>
              <w:t>140 mg Q2W</w:t>
            </w:r>
          </w:p>
          <w:p w14:paraId="5549CF04" w14:textId="77777777" w:rsidR="00711CD7" w:rsidRPr="00CC0FA8" w:rsidRDefault="00711CD7" w:rsidP="00997D1D">
            <w:pPr>
              <w:keepNext/>
              <w:spacing w:before="20" w:after="20"/>
              <w:jc w:val="center"/>
              <w:rPr>
                <w:rFonts w:eastAsia="Calibri" w:cs="Arial"/>
                <w:sz w:val="16"/>
                <w:szCs w:val="16"/>
              </w:rPr>
            </w:pPr>
            <w:r w:rsidRPr="00CC0FA8">
              <w:rPr>
                <w:rFonts w:eastAsia="Calibri" w:cs="Arial"/>
                <w:sz w:val="16"/>
                <w:szCs w:val="16"/>
              </w:rPr>
              <w:t>(N=153)</w:t>
            </w:r>
          </w:p>
        </w:tc>
        <w:tc>
          <w:tcPr>
            <w:tcW w:w="361" w:type="pct"/>
            <w:tcBorders>
              <w:top w:val="single" w:sz="4" w:space="0" w:color="auto"/>
              <w:left w:val="nil"/>
              <w:bottom w:val="single" w:sz="4" w:space="0" w:color="auto"/>
              <w:right w:val="single" w:sz="8" w:space="0" w:color="000000"/>
            </w:tcBorders>
            <w:tcMar>
              <w:top w:w="11" w:type="dxa"/>
              <w:left w:w="90" w:type="dxa"/>
              <w:bottom w:w="0" w:type="dxa"/>
              <w:right w:w="90" w:type="dxa"/>
            </w:tcMar>
            <w:vAlign w:val="center"/>
          </w:tcPr>
          <w:p w14:paraId="0B97BA00" w14:textId="77777777" w:rsidR="00711CD7" w:rsidRPr="00CC0FA8" w:rsidRDefault="00711CD7" w:rsidP="00997D1D">
            <w:pPr>
              <w:keepNext/>
              <w:keepLines/>
              <w:spacing w:before="20" w:after="20"/>
              <w:ind w:left="-89" w:right="-90"/>
              <w:jc w:val="center"/>
              <w:rPr>
                <w:rFonts w:eastAsia="Calibri" w:cs="Arial"/>
                <w:sz w:val="16"/>
                <w:szCs w:val="16"/>
              </w:rPr>
            </w:pPr>
            <w:r w:rsidRPr="00CC0FA8">
              <w:rPr>
                <w:rFonts w:eastAsia="Calibri" w:cs="Arial"/>
                <w:sz w:val="16"/>
                <w:szCs w:val="16"/>
              </w:rPr>
              <w:t>-57</w:t>
            </w:r>
            <w:r w:rsidRPr="00CC0FA8">
              <w:rPr>
                <w:rFonts w:eastAsia="Calibri" w:cs="Arial"/>
                <w:sz w:val="16"/>
                <w:szCs w:val="16"/>
                <w:vertAlign w:val="superscript"/>
              </w:rPr>
              <w:t>b</w:t>
            </w:r>
          </w:p>
          <w:p w14:paraId="56C75AE7" w14:textId="77777777" w:rsidR="00711CD7" w:rsidRPr="00CC0FA8" w:rsidRDefault="00711CD7" w:rsidP="00997D1D">
            <w:pPr>
              <w:keepNext/>
              <w:keepLines/>
              <w:spacing w:before="20" w:after="20"/>
              <w:ind w:left="-89" w:right="-90"/>
              <w:jc w:val="center"/>
              <w:rPr>
                <w:rFonts w:eastAsia="Calibri" w:cs="Arial"/>
                <w:sz w:val="16"/>
                <w:szCs w:val="16"/>
              </w:rPr>
            </w:pPr>
            <w:r w:rsidRPr="00CC0FA8">
              <w:rPr>
                <w:rFonts w:eastAsia="Calibri" w:cs="Arial"/>
                <w:sz w:val="16"/>
                <w:szCs w:val="16"/>
              </w:rPr>
              <w:t>(-61, -54)</w:t>
            </w:r>
          </w:p>
        </w:tc>
        <w:tc>
          <w:tcPr>
            <w:tcW w:w="433" w:type="pct"/>
            <w:tcBorders>
              <w:top w:val="single" w:sz="4" w:space="0" w:color="auto"/>
              <w:left w:val="nil"/>
              <w:bottom w:val="single" w:sz="4" w:space="0" w:color="auto"/>
              <w:right w:val="single" w:sz="8" w:space="0" w:color="000000"/>
            </w:tcBorders>
            <w:tcMar>
              <w:top w:w="11" w:type="dxa"/>
              <w:left w:w="90" w:type="dxa"/>
              <w:bottom w:w="0" w:type="dxa"/>
              <w:right w:w="90" w:type="dxa"/>
            </w:tcMar>
            <w:vAlign w:val="center"/>
          </w:tcPr>
          <w:p w14:paraId="38F74601" w14:textId="77777777" w:rsidR="00711CD7" w:rsidRPr="00CC0FA8" w:rsidRDefault="00711CD7" w:rsidP="00997D1D">
            <w:pPr>
              <w:keepNext/>
              <w:keepLines/>
              <w:spacing w:before="20" w:after="20"/>
              <w:ind w:left="-90" w:right="-89"/>
              <w:jc w:val="center"/>
              <w:rPr>
                <w:rFonts w:eastAsia="Calibri" w:cs="Arial"/>
                <w:sz w:val="16"/>
                <w:szCs w:val="16"/>
              </w:rPr>
            </w:pPr>
            <w:r w:rsidRPr="00CC0FA8">
              <w:rPr>
                <w:rFonts w:eastAsia="Calibri" w:cs="Arial"/>
                <w:sz w:val="16"/>
                <w:szCs w:val="16"/>
              </w:rPr>
              <w:t>-49</w:t>
            </w:r>
            <w:r w:rsidRPr="00CC0FA8">
              <w:rPr>
                <w:rFonts w:eastAsia="Calibri" w:cs="Arial"/>
                <w:sz w:val="16"/>
                <w:szCs w:val="16"/>
                <w:vertAlign w:val="superscript"/>
              </w:rPr>
              <w:t>b</w:t>
            </w:r>
          </w:p>
          <w:p w14:paraId="01457866" w14:textId="77777777" w:rsidR="00711CD7" w:rsidRPr="00CC0FA8" w:rsidRDefault="00711CD7" w:rsidP="00997D1D">
            <w:pPr>
              <w:keepNext/>
              <w:keepLines/>
              <w:spacing w:before="20" w:after="20"/>
              <w:ind w:left="-90" w:right="-89"/>
              <w:jc w:val="center"/>
              <w:rPr>
                <w:rFonts w:eastAsia="Calibri" w:cs="Arial"/>
                <w:sz w:val="16"/>
                <w:szCs w:val="16"/>
              </w:rPr>
            </w:pPr>
            <w:r w:rsidRPr="00CC0FA8">
              <w:rPr>
                <w:rFonts w:eastAsia="Calibri" w:cs="Arial"/>
                <w:sz w:val="16"/>
                <w:szCs w:val="16"/>
              </w:rPr>
              <w:t>(-52, -46)</w:t>
            </w:r>
          </w:p>
        </w:tc>
        <w:tc>
          <w:tcPr>
            <w:tcW w:w="363" w:type="pct"/>
            <w:tcBorders>
              <w:top w:val="single" w:sz="4" w:space="0" w:color="auto"/>
              <w:left w:val="nil"/>
              <w:bottom w:val="single" w:sz="4" w:space="0" w:color="auto"/>
              <w:right w:val="single" w:sz="8" w:space="0" w:color="000000"/>
            </w:tcBorders>
            <w:tcMar>
              <w:top w:w="11" w:type="dxa"/>
              <w:left w:w="11" w:type="dxa"/>
              <w:bottom w:w="0" w:type="dxa"/>
              <w:right w:w="11" w:type="dxa"/>
            </w:tcMar>
            <w:vAlign w:val="center"/>
          </w:tcPr>
          <w:p w14:paraId="612880F9"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-47</w:t>
            </w:r>
            <w:r w:rsidRPr="00CC0FA8">
              <w:rPr>
                <w:rFonts w:eastAsia="Calibri" w:cs="Arial"/>
                <w:sz w:val="16"/>
                <w:szCs w:val="16"/>
                <w:vertAlign w:val="superscript"/>
              </w:rPr>
              <w:t>b</w:t>
            </w:r>
          </w:p>
          <w:p w14:paraId="69E8B8D5"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(-51, -44)</w:t>
            </w:r>
          </w:p>
        </w:tc>
        <w:tc>
          <w:tcPr>
            <w:tcW w:w="362" w:type="pct"/>
            <w:tcBorders>
              <w:top w:val="single" w:sz="4" w:space="0" w:color="auto"/>
              <w:left w:val="nil"/>
              <w:bottom w:val="single" w:sz="4" w:space="0" w:color="auto"/>
              <w:right w:val="single" w:sz="8" w:space="0" w:color="000000"/>
            </w:tcBorders>
            <w:tcMar>
              <w:top w:w="11" w:type="dxa"/>
              <w:left w:w="11" w:type="dxa"/>
              <w:bottom w:w="0" w:type="dxa"/>
              <w:right w:w="11" w:type="dxa"/>
            </w:tcMar>
            <w:vAlign w:val="center"/>
          </w:tcPr>
          <w:p w14:paraId="2007A9A9"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-35</w:t>
            </w:r>
            <w:r w:rsidRPr="00CC0FA8">
              <w:rPr>
                <w:rFonts w:eastAsia="Calibri" w:cs="Arial"/>
                <w:sz w:val="16"/>
                <w:szCs w:val="16"/>
                <w:vertAlign w:val="superscript"/>
              </w:rPr>
              <w:t>b</w:t>
            </w:r>
          </w:p>
          <w:p w14:paraId="6104698C"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(-37, -32)</w:t>
            </w:r>
          </w:p>
        </w:tc>
        <w:tc>
          <w:tcPr>
            <w:tcW w:w="362" w:type="pct"/>
            <w:tcBorders>
              <w:top w:val="single" w:sz="4" w:space="0" w:color="auto"/>
              <w:left w:val="nil"/>
              <w:bottom w:val="single" w:sz="4" w:space="0" w:color="auto"/>
              <w:right w:val="single" w:sz="8" w:space="0" w:color="000000"/>
            </w:tcBorders>
            <w:tcMar>
              <w:top w:w="11" w:type="dxa"/>
              <w:left w:w="11" w:type="dxa"/>
              <w:bottom w:w="0" w:type="dxa"/>
              <w:right w:w="11" w:type="dxa"/>
            </w:tcMar>
            <w:vAlign w:val="center"/>
          </w:tcPr>
          <w:p w14:paraId="0151FFB2"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-25</w:t>
            </w:r>
            <w:r w:rsidRPr="00CC0FA8">
              <w:rPr>
                <w:rFonts w:eastAsia="Calibri" w:cs="Arial"/>
                <w:sz w:val="16"/>
                <w:szCs w:val="16"/>
                <w:vertAlign w:val="superscript"/>
              </w:rPr>
              <w:t>b</w:t>
            </w:r>
          </w:p>
          <w:p w14:paraId="41CB0F5A"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(-31, -18)</w:t>
            </w:r>
          </w:p>
        </w:tc>
        <w:tc>
          <w:tcPr>
            <w:tcW w:w="363" w:type="pct"/>
            <w:tcBorders>
              <w:top w:val="single" w:sz="4" w:space="0" w:color="auto"/>
              <w:left w:val="nil"/>
              <w:bottom w:val="single" w:sz="4" w:space="0" w:color="auto"/>
              <w:right w:val="single" w:sz="8" w:space="0" w:color="000000"/>
            </w:tcBorders>
            <w:tcMar>
              <w:top w:w="11" w:type="dxa"/>
              <w:left w:w="11" w:type="dxa"/>
              <w:bottom w:w="0" w:type="dxa"/>
              <w:right w:w="11" w:type="dxa"/>
            </w:tcMar>
            <w:vAlign w:val="center"/>
          </w:tcPr>
          <w:p w14:paraId="2618D8AC"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0</w:t>
            </w:r>
          </w:p>
          <w:p w14:paraId="223D0FC9"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(-7, 7)</w:t>
            </w:r>
          </w:p>
        </w:tc>
        <w:tc>
          <w:tcPr>
            <w:tcW w:w="290" w:type="pct"/>
            <w:tcBorders>
              <w:top w:val="single" w:sz="4" w:space="0" w:color="auto"/>
              <w:left w:val="nil"/>
              <w:bottom w:val="single" w:sz="4" w:space="0" w:color="auto"/>
              <w:right w:val="single" w:sz="8" w:space="0" w:color="000000"/>
            </w:tcBorders>
            <w:tcMar>
              <w:top w:w="11" w:type="dxa"/>
              <w:left w:w="11" w:type="dxa"/>
              <w:bottom w:w="0" w:type="dxa"/>
              <w:right w:w="11" w:type="dxa"/>
            </w:tcMar>
            <w:vAlign w:val="center"/>
          </w:tcPr>
          <w:p w14:paraId="1B934892"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6</w:t>
            </w:r>
            <w:r w:rsidRPr="00CC0FA8">
              <w:rPr>
                <w:rFonts w:eastAsia="Calibri" w:cs="Arial"/>
                <w:sz w:val="16"/>
                <w:szCs w:val="16"/>
                <w:vertAlign w:val="superscript"/>
              </w:rPr>
              <w:t>b</w:t>
            </w:r>
          </w:p>
          <w:p w14:paraId="7C53C581"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(3, 9)</w:t>
            </w:r>
          </w:p>
        </w:tc>
        <w:tc>
          <w:tcPr>
            <w:tcW w:w="362" w:type="pct"/>
            <w:tcBorders>
              <w:top w:val="single" w:sz="4" w:space="0" w:color="auto"/>
              <w:left w:val="nil"/>
              <w:bottom w:val="single" w:sz="4" w:space="0" w:color="auto"/>
              <w:right w:val="single" w:sz="8" w:space="0" w:color="000000"/>
            </w:tcBorders>
            <w:vAlign w:val="center"/>
          </w:tcPr>
          <w:p w14:paraId="34CCD61B"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0</w:t>
            </w:r>
          </w:p>
          <w:p w14:paraId="313EA78C"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(-8, 7)</w:t>
            </w:r>
          </w:p>
        </w:tc>
        <w:tc>
          <w:tcPr>
            <w:tcW w:w="290" w:type="pct"/>
            <w:tcBorders>
              <w:top w:val="single" w:sz="4" w:space="0" w:color="auto"/>
              <w:left w:val="nil"/>
              <w:bottom w:val="single" w:sz="4" w:space="0" w:color="auto"/>
              <w:right w:val="single" w:sz="8" w:space="0" w:color="000000"/>
            </w:tcBorders>
            <w:tcMar>
              <w:top w:w="11" w:type="dxa"/>
              <w:left w:w="11" w:type="dxa"/>
              <w:bottom w:w="0" w:type="dxa"/>
              <w:right w:w="11" w:type="dxa"/>
            </w:tcMar>
            <w:vAlign w:val="center"/>
          </w:tcPr>
          <w:p w14:paraId="4BAE6240"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3</w:t>
            </w:r>
            <w:r w:rsidRPr="00CC0FA8">
              <w:rPr>
                <w:rFonts w:eastAsia="Calibri" w:cs="Arial"/>
                <w:sz w:val="16"/>
                <w:szCs w:val="16"/>
                <w:vertAlign w:val="superscript"/>
              </w:rPr>
              <w:t>a</w:t>
            </w:r>
          </w:p>
          <w:p w14:paraId="7BFC1A85"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(1, 6)</w:t>
            </w:r>
          </w:p>
        </w:tc>
        <w:tc>
          <w:tcPr>
            <w:tcW w:w="362" w:type="pct"/>
            <w:tcBorders>
              <w:top w:val="single" w:sz="4" w:space="0" w:color="auto"/>
              <w:left w:val="nil"/>
              <w:bottom w:val="single" w:sz="4" w:space="0" w:color="auto"/>
              <w:right w:val="single" w:sz="8" w:space="0" w:color="000000"/>
            </w:tcBorders>
            <w:vAlign w:val="center"/>
          </w:tcPr>
          <w:p w14:paraId="11926864"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-39</w:t>
            </w:r>
            <w:r w:rsidRPr="00CC0FA8">
              <w:rPr>
                <w:rFonts w:eastAsia="Calibri" w:cs="Arial"/>
                <w:sz w:val="16"/>
                <w:szCs w:val="16"/>
                <w:vertAlign w:val="superscript"/>
              </w:rPr>
              <w:t>b</w:t>
            </w:r>
          </w:p>
          <w:p w14:paraId="38BB7269"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(-42, -36)</w:t>
            </w:r>
          </w:p>
        </w:tc>
        <w:tc>
          <w:tcPr>
            <w:tcW w:w="363" w:type="pct"/>
            <w:tcBorders>
              <w:top w:val="single" w:sz="4" w:space="0" w:color="auto"/>
              <w:left w:val="nil"/>
              <w:bottom w:val="single" w:sz="4" w:space="0" w:color="auto"/>
              <w:right w:val="single" w:sz="4" w:space="0" w:color="auto"/>
            </w:tcBorders>
            <w:vAlign w:val="center"/>
          </w:tcPr>
          <w:p w14:paraId="0A20F4D3"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-49</w:t>
            </w:r>
            <w:r w:rsidRPr="00CC0FA8">
              <w:rPr>
                <w:rFonts w:eastAsia="Calibri" w:cs="Arial"/>
                <w:sz w:val="16"/>
                <w:szCs w:val="16"/>
                <w:vertAlign w:val="superscript"/>
              </w:rPr>
              <w:t>b</w:t>
            </w:r>
          </w:p>
          <w:p w14:paraId="2D5CEB7D"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(-53, -45)</w:t>
            </w:r>
          </w:p>
        </w:tc>
      </w:tr>
      <w:tr w:rsidR="00711CD7" w:rsidRPr="006F02BE" w14:paraId="72DC93BE" w14:textId="77777777" w:rsidTr="00997D1D">
        <w:trPr>
          <w:trHeight w:val="248"/>
        </w:trPr>
        <w:tc>
          <w:tcPr>
            <w:tcW w:w="654" w:type="pct"/>
            <w:tcBorders>
              <w:left w:val="single" w:sz="4" w:space="0" w:color="auto"/>
              <w:bottom w:val="single" w:sz="4" w:space="0" w:color="auto"/>
              <w:right w:val="single" w:sz="4" w:space="0" w:color="auto"/>
            </w:tcBorders>
            <w:vAlign w:val="center"/>
          </w:tcPr>
          <w:p w14:paraId="32186D50" w14:textId="77777777" w:rsidR="00711CD7" w:rsidRPr="00CC0FA8" w:rsidRDefault="00711CD7" w:rsidP="00997D1D">
            <w:pPr>
              <w:keepNext/>
              <w:spacing w:before="20" w:after="20"/>
              <w:jc w:val="center"/>
              <w:rPr>
                <w:rFonts w:eastAsia="Calibri" w:cs="Arial"/>
                <w:sz w:val="16"/>
                <w:szCs w:val="16"/>
              </w:rPr>
            </w:pPr>
          </w:p>
        </w:tc>
        <w:tc>
          <w:tcPr>
            <w:tcW w:w="435" w:type="pct"/>
            <w:tcBorders>
              <w:top w:val="single" w:sz="4" w:space="0" w:color="auto"/>
              <w:left w:val="single" w:sz="4" w:space="0" w:color="auto"/>
              <w:bottom w:val="single" w:sz="8" w:space="0" w:color="000000"/>
              <w:right w:val="single" w:sz="8" w:space="0" w:color="000000"/>
            </w:tcBorders>
            <w:tcMar>
              <w:top w:w="11" w:type="dxa"/>
              <w:left w:w="90" w:type="dxa"/>
              <w:bottom w:w="0" w:type="dxa"/>
              <w:right w:w="90" w:type="dxa"/>
            </w:tcMar>
            <w:vAlign w:val="center"/>
          </w:tcPr>
          <w:p w14:paraId="6E265573" w14:textId="77777777" w:rsidR="00711CD7" w:rsidRPr="00CC0FA8" w:rsidRDefault="00711CD7" w:rsidP="00997D1D">
            <w:pPr>
              <w:keepNext/>
              <w:spacing w:before="20" w:after="20"/>
              <w:jc w:val="center"/>
              <w:rPr>
                <w:rFonts w:eastAsia="Calibri" w:cs="Arial"/>
                <w:sz w:val="16"/>
                <w:szCs w:val="16"/>
              </w:rPr>
            </w:pPr>
            <w:r w:rsidRPr="00CC0FA8">
              <w:rPr>
                <w:rFonts w:eastAsia="Calibri" w:cs="Arial"/>
                <w:sz w:val="16"/>
                <w:szCs w:val="16"/>
              </w:rPr>
              <w:t>420 mg QM</w:t>
            </w:r>
          </w:p>
          <w:p w14:paraId="4FA9103E" w14:textId="77777777" w:rsidR="00711CD7" w:rsidRPr="00CC0FA8" w:rsidRDefault="00711CD7" w:rsidP="00997D1D">
            <w:pPr>
              <w:keepNext/>
              <w:spacing w:before="20" w:after="20"/>
              <w:jc w:val="center"/>
              <w:rPr>
                <w:rFonts w:eastAsia="Calibri" w:cs="Arial"/>
                <w:sz w:val="16"/>
                <w:szCs w:val="16"/>
              </w:rPr>
            </w:pPr>
            <w:r w:rsidRPr="00CC0FA8">
              <w:rPr>
                <w:rFonts w:eastAsia="Calibri" w:cs="Arial"/>
                <w:sz w:val="16"/>
                <w:szCs w:val="16"/>
              </w:rPr>
              <w:t>(N=153)</w:t>
            </w:r>
          </w:p>
        </w:tc>
        <w:tc>
          <w:tcPr>
            <w:tcW w:w="361" w:type="pct"/>
            <w:tcBorders>
              <w:top w:val="single" w:sz="4" w:space="0" w:color="auto"/>
              <w:left w:val="nil"/>
              <w:bottom w:val="single" w:sz="8" w:space="0" w:color="000000"/>
              <w:right w:val="single" w:sz="8" w:space="0" w:color="000000"/>
            </w:tcBorders>
            <w:tcMar>
              <w:top w:w="11" w:type="dxa"/>
              <w:left w:w="90" w:type="dxa"/>
              <w:bottom w:w="0" w:type="dxa"/>
              <w:right w:w="90" w:type="dxa"/>
            </w:tcMar>
            <w:vAlign w:val="center"/>
          </w:tcPr>
          <w:p w14:paraId="23E0F0EB" w14:textId="77777777" w:rsidR="00711CD7" w:rsidRPr="00CC0FA8" w:rsidRDefault="00711CD7" w:rsidP="00997D1D">
            <w:pPr>
              <w:keepNext/>
              <w:keepLines/>
              <w:spacing w:before="20" w:after="20"/>
              <w:ind w:left="-89" w:right="-90"/>
              <w:jc w:val="center"/>
              <w:rPr>
                <w:rFonts w:eastAsia="Calibri" w:cs="Arial"/>
                <w:sz w:val="16"/>
                <w:szCs w:val="16"/>
              </w:rPr>
            </w:pPr>
            <w:r w:rsidRPr="00CC0FA8">
              <w:rPr>
                <w:rFonts w:eastAsia="Calibri" w:cs="Arial"/>
                <w:sz w:val="16"/>
                <w:szCs w:val="16"/>
              </w:rPr>
              <w:t>-60</w:t>
            </w:r>
            <w:r w:rsidRPr="00CC0FA8">
              <w:rPr>
                <w:rFonts w:eastAsia="Calibri" w:cs="Arial"/>
                <w:sz w:val="16"/>
                <w:szCs w:val="16"/>
                <w:vertAlign w:val="superscript"/>
              </w:rPr>
              <w:t>b</w:t>
            </w:r>
          </w:p>
          <w:p w14:paraId="07872B69" w14:textId="77777777" w:rsidR="00711CD7" w:rsidRPr="00CC0FA8" w:rsidRDefault="00711CD7" w:rsidP="00997D1D">
            <w:pPr>
              <w:keepNext/>
              <w:keepLines/>
              <w:spacing w:before="20" w:after="20"/>
              <w:ind w:left="-89" w:right="-90"/>
              <w:jc w:val="center"/>
              <w:rPr>
                <w:rFonts w:eastAsia="Calibri" w:cs="Arial"/>
                <w:sz w:val="16"/>
                <w:szCs w:val="16"/>
              </w:rPr>
            </w:pPr>
            <w:r w:rsidRPr="00CC0FA8">
              <w:rPr>
                <w:rFonts w:eastAsia="Calibri" w:cs="Arial"/>
                <w:sz w:val="16"/>
                <w:szCs w:val="16"/>
              </w:rPr>
              <w:t>(-63, -56)</w:t>
            </w:r>
          </w:p>
        </w:tc>
        <w:tc>
          <w:tcPr>
            <w:tcW w:w="433" w:type="pct"/>
            <w:tcBorders>
              <w:top w:val="single" w:sz="4" w:space="0" w:color="auto"/>
              <w:left w:val="nil"/>
              <w:bottom w:val="single" w:sz="8" w:space="0" w:color="000000"/>
              <w:right w:val="single" w:sz="8" w:space="0" w:color="000000"/>
            </w:tcBorders>
            <w:tcMar>
              <w:top w:w="11" w:type="dxa"/>
              <w:left w:w="90" w:type="dxa"/>
              <w:bottom w:w="0" w:type="dxa"/>
              <w:right w:w="90" w:type="dxa"/>
            </w:tcMar>
            <w:vAlign w:val="center"/>
          </w:tcPr>
          <w:p w14:paraId="67990BEC" w14:textId="77777777" w:rsidR="00711CD7" w:rsidRPr="00CC0FA8" w:rsidRDefault="00711CD7" w:rsidP="00997D1D">
            <w:pPr>
              <w:keepNext/>
              <w:keepLines/>
              <w:spacing w:before="20" w:after="20"/>
              <w:ind w:left="-90" w:right="-89"/>
              <w:jc w:val="center"/>
              <w:rPr>
                <w:rFonts w:eastAsia="Calibri" w:cs="Arial"/>
                <w:sz w:val="16"/>
                <w:szCs w:val="16"/>
              </w:rPr>
            </w:pPr>
            <w:r w:rsidRPr="00CC0FA8">
              <w:rPr>
                <w:rFonts w:eastAsia="Calibri" w:cs="Arial"/>
                <w:sz w:val="16"/>
                <w:szCs w:val="16"/>
              </w:rPr>
              <w:t>-53</w:t>
            </w:r>
            <w:r w:rsidRPr="00CC0FA8">
              <w:rPr>
                <w:rFonts w:eastAsia="Calibri" w:cs="Arial"/>
                <w:sz w:val="16"/>
                <w:szCs w:val="16"/>
                <w:vertAlign w:val="superscript"/>
              </w:rPr>
              <w:t>b</w:t>
            </w:r>
          </w:p>
          <w:p w14:paraId="756B4016" w14:textId="77777777" w:rsidR="00711CD7" w:rsidRPr="00CC0FA8" w:rsidRDefault="00711CD7" w:rsidP="00997D1D">
            <w:pPr>
              <w:keepNext/>
              <w:keepLines/>
              <w:spacing w:before="20" w:after="20"/>
              <w:ind w:left="-90" w:right="-89"/>
              <w:jc w:val="center"/>
              <w:rPr>
                <w:rFonts w:eastAsia="Calibri" w:cs="Arial"/>
                <w:sz w:val="16"/>
                <w:szCs w:val="16"/>
              </w:rPr>
            </w:pPr>
            <w:r w:rsidRPr="00CC0FA8">
              <w:rPr>
                <w:rFonts w:eastAsia="Calibri" w:cs="Arial"/>
                <w:sz w:val="16"/>
                <w:szCs w:val="16"/>
              </w:rPr>
              <w:t>(-56, -50)</w:t>
            </w:r>
          </w:p>
        </w:tc>
        <w:tc>
          <w:tcPr>
            <w:tcW w:w="363" w:type="pct"/>
            <w:tcBorders>
              <w:top w:val="single" w:sz="4" w:space="0" w:color="auto"/>
              <w:left w:val="nil"/>
              <w:bottom w:val="single" w:sz="8" w:space="0" w:color="000000"/>
              <w:right w:val="single" w:sz="8" w:space="0" w:color="000000"/>
            </w:tcBorders>
            <w:tcMar>
              <w:top w:w="11" w:type="dxa"/>
              <w:left w:w="11" w:type="dxa"/>
              <w:bottom w:w="0" w:type="dxa"/>
              <w:right w:w="11" w:type="dxa"/>
            </w:tcMar>
            <w:vAlign w:val="center"/>
          </w:tcPr>
          <w:p w14:paraId="2E8686A7"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-51</w:t>
            </w:r>
            <w:r w:rsidRPr="00CC0FA8">
              <w:rPr>
                <w:rFonts w:eastAsia="Calibri" w:cs="Arial"/>
                <w:sz w:val="16"/>
                <w:szCs w:val="16"/>
                <w:vertAlign w:val="superscript"/>
              </w:rPr>
              <w:t>b</w:t>
            </w:r>
          </w:p>
          <w:p w14:paraId="79E8757A"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(-54, -48)</w:t>
            </w:r>
          </w:p>
        </w:tc>
        <w:tc>
          <w:tcPr>
            <w:tcW w:w="362" w:type="pct"/>
            <w:tcBorders>
              <w:top w:val="single" w:sz="4" w:space="0" w:color="auto"/>
              <w:left w:val="nil"/>
              <w:bottom w:val="single" w:sz="8" w:space="0" w:color="000000"/>
              <w:right w:val="single" w:sz="8" w:space="0" w:color="000000"/>
            </w:tcBorders>
            <w:tcMar>
              <w:top w:w="11" w:type="dxa"/>
              <w:left w:w="11" w:type="dxa"/>
              <w:bottom w:w="0" w:type="dxa"/>
              <w:right w:w="11" w:type="dxa"/>
            </w:tcMar>
            <w:vAlign w:val="center"/>
          </w:tcPr>
          <w:p w14:paraId="65EFCE17"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-37</w:t>
            </w:r>
            <w:r w:rsidRPr="00CC0FA8">
              <w:rPr>
                <w:rFonts w:eastAsia="Calibri" w:cs="Arial"/>
                <w:sz w:val="16"/>
                <w:szCs w:val="16"/>
                <w:vertAlign w:val="superscript"/>
              </w:rPr>
              <w:t>b</w:t>
            </w:r>
          </w:p>
          <w:p w14:paraId="3BC24377"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(-40, -35)</w:t>
            </w:r>
          </w:p>
        </w:tc>
        <w:tc>
          <w:tcPr>
            <w:tcW w:w="362" w:type="pct"/>
            <w:tcBorders>
              <w:top w:val="single" w:sz="4" w:space="0" w:color="auto"/>
              <w:left w:val="nil"/>
              <w:bottom w:val="single" w:sz="8" w:space="0" w:color="000000"/>
              <w:right w:val="single" w:sz="8" w:space="0" w:color="000000"/>
            </w:tcBorders>
            <w:tcMar>
              <w:top w:w="11" w:type="dxa"/>
              <w:left w:w="11" w:type="dxa"/>
              <w:bottom w:w="0" w:type="dxa"/>
              <w:right w:w="11" w:type="dxa"/>
            </w:tcMar>
            <w:vAlign w:val="center"/>
          </w:tcPr>
          <w:p w14:paraId="26A2F06B" w14:textId="77777777" w:rsidR="00711CD7" w:rsidRPr="00CC0FA8" w:rsidRDefault="00711CD7" w:rsidP="00997D1D">
            <w:pPr>
              <w:keepNext/>
              <w:keepLines/>
              <w:spacing w:before="20" w:after="20"/>
              <w:jc w:val="center"/>
              <w:rPr>
                <w:rFonts w:eastAsia="Calibri" w:cs="Arial"/>
                <w:sz w:val="16"/>
                <w:szCs w:val="16"/>
                <w:vertAlign w:val="superscript"/>
              </w:rPr>
            </w:pPr>
            <w:r w:rsidRPr="00CC0FA8">
              <w:rPr>
                <w:rFonts w:eastAsia="Calibri" w:cs="Arial"/>
                <w:sz w:val="16"/>
                <w:szCs w:val="16"/>
              </w:rPr>
              <w:t>-26</w:t>
            </w:r>
            <w:r w:rsidRPr="00CC0FA8">
              <w:rPr>
                <w:rFonts w:eastAsia="Calibri" w:cs="Arial"/>
                <w:sz w:val="16"/>
                <w:szCs w:val="16"/>
                <w:vertAlign w:val="superscript"/>
              </w:rPr>
              <w:t>b</w:t>
            </w:r>
          </w:p>
          <w:p w14:paraId="53EDF796"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(-33, -19)</w:t>
            </w:r>
          </w:p>
        </w:tc>
        <w:tc>
          <w:tcPr>
            <w:tcW w:w="363" w:type="pct"/>
            <w:tcBorders>
              <w:top w:val="single" w:sz="4" w:space="0" w:color="auto"/>
              <w:left w:val="nil"/>
              <w:bottom w:val="single" w:sz="8" w:space="0" w:color="000000"/>
              <w:right w:val="single" w:sz="8" w:space="0" w:color="000000"/>
            </w:tcBorders>
            <w:tcMar>
              <w:top w:w="11" w:type="dxa"/>
              <w:left w:w="11" w:type="dxa"/>
              <w:bottom w:w="0" w:type="dxa"/>
              <w:right w:w="11" w:type="dxa"/>
            </w:tcMar>
            <w:vAlign w:val="center"/>
          </w:tcPr>
          <w:p w14:paraId="6B40109A"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-22</w:t>
            </w:r>
            <w:r w:rsidRPr="00CC0FA8">
              <w:rPr>
                <w:rFonts w:eastAsia="Calibri" w:cs="Arial"/>
                <w:sz w:val="16"/>
                <w:szCs w:val="16"/>
                <w:vertAlign w:val="superscript"/>
              </w:rPr>
              <w:t>b</w:t>
            </w:r>
          </w:p>
          <w:p w14:paraId="13C9DF5B"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(-31, -13)</w:t>
            </w:r>
          </w:p>
        </w:tc>
        <w:tc>
          <w:tcPr>
            <w:tcW w:w="290" w:type="pct"/>
            <w:tcBorders>
              <w:top w:val="single" w:sz="4" w:space="0" w:color="auto"/>
              <w:left w:val="nil"/>
              <w:bottom w:val="single" w:sz="8" w:space="0" w:color="000000"/>
              <w:right w:val="single" w:sz="8" w:space="0" w:color="000000"/>
            </w:tcBorders>
            <w:tcMar>
              <w:top w:w="11" w:type="dxa"/>
              <w:left w:w="11" w:type="dxa"/>
              <w:bottom w:w="0" w:type="dxa"/>
              <w:right w:w="11" w:type="dxa"/>
            </w:tcMar>
            <w:vAlign w:val="center"/>
          </w:tcPr>
          <w:p w14:paraId="428A5FD4"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9</w:t>
            </w:r>
            <w:r w:rsidRPr="00CC0FA8">
              <w:rPr>
                <w:rFonts w:eastAsia="Calibri" w:cs="Arial"/>
                <w:sz w:val="16"/>
                <w:szCs w:val="16"/>
                <w:vertAlign w:val="superscript"/>
              </w:rPr>
              <w:t>b</w:t>
            </w:r>
          </w:p>
          <w:p w14:paraId="518B2394"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(6, 12)</w:t>
            </w:r>
          </w:p>
        </w:tc>
        <w:tc>
          <w:tcPr>
            <w:tcW w:w="362" w:type="pct"/>
            <w:tcBorders>
              <w:top w:val="single" w:sz="4" w:space="0" w:color="auto"/>
              <w:left w:val="nil"/>
              <w:bottom w:val="single" w:sz="8" w:space="0" w:color="000000"/>
              <w:right w:val="single" w:sz="8" w:space="0" w:color="000000"/>
            </w:tcBorders>
            <w:vAlign w:val="center"/>
          </w:tcPr>
          <w:p w14:paraId="61E0BD41" w14:textId="77777777" w:rsidR="00711CD7" w:rsidRPr="00CC0FA8" w:rsidRDefault="00711CD7" w:rsidP="00997D1D">
            <w:pPr>
              <w:keepNext/>
              <w:keepLines/>
              <w:spacing w:before="20" w:after="20"/>
              <w:jc w:val="center"/>
              <w:rPr>
                <w:rFonts w:eastAsia="Calibri" w:cs="Arial"/>
                <w:sz w:val="16"/>
                <w:szCs w:val="16"/>
                <w:vertAlign w:val="superscript"/>
              </w:rPr>
            </w:pPr>
            <w:r w:rsidRPr="00CC0FA8">
              <w:rPr>
                <w:rFonts w:eastAsia="Calibri" w:cs="Arial"/>
                <w:sz w:val="16"/>
                <w:szCs w:val="16"/>
              </w:rPr>
              <w:t>-22</w:t>
            </w:r>
            <w:r w:rsidRPr="00CC0FA8">
              <w:rPr>
                <w:rFonts w:eastAsia="Calibri" w:cs="Arial"/>
                <w:sz w:val="16"/>
                <w:szCs w:val="16"/>
                <w:vertAlign w:val="superscript"/>
              </w:rPr>
              <w:t>b</w:t>
            </w:r>
          </w:p>
          <w:p w14:paraId="05C95450"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(-31, -13)</w:t>
            </w:r>
          </w:p>
        </w:tc>
        <w:tc>
          <w:tcPr>
            <w:tcW w:w="290" w:type="pct"/>
            <w:tcBorders>
              <w:top w:val="single" w:sz="4" w:space="0" w:color="auto"/>
              <w:left w:val="nil"/>
              <w:bottom w:val="single" w:sz="8" w:space="0" w:color="000000"/>
              <w:right w:val="single" w:sz="8" w:space="0" w:color="000000"/>
            </w:tcBorders>
            <w:tcMar>
              <w:top w:w="11" w:type="dxa"/>
              <w:left w:w="11" w:type="dxa"/>
              <w:bottom w:w="0" w:type="dxa"/>
              <w:right w:w="11" w:type="dxa"/>
            </w:tcMar>
            <w:vAlign w:val="center"/>
          </w:tcPr>
          <w:p w14:paraId="17B4318B"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5</w:t>
            </w:r>
            <w:r w:rsidRPr="00CC0FA8">
              <w:rPr>
                <w:rFonts w:eastAsia="Calibri" w:cs="Arial"/>
                <w:sz w:val="16"/>
                <w:szCs w:val="16"/>
                <w:vertAlign w:val="superscript"/>
              </w:rPr>
              <w:t>b</w:t>
            </w:r>
          </w:p>
          <w:p w14:paraId="76DD68FA"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(2, 8)</w:t>
            </w:r>
          </w:p>
        </w:tc>
        <w:tc>
          <w:tcPr>
            <w:tcW w:w="362" w:type="pct"/>
            <w:tcBorders>
              <w:top w:val="single" w:sz="4" w:space="0" w:color="auto"/>
              <w:left w:val="nil"/>
              <w:bottom w:val="single" w:sz="8" w:space="0" w:color="000000"/>
              <w:right w:val="single" w:sz="8" w:space="0" w:color="000000"/>
            </w:tcBorders>
            <w:vAlign w:val="center"/>
          </w:tcPr>
          <w:p w14:paraId="2711239A"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-46</w:t>
            </w:r>
            <w:r w:rsidRPr="00CC0FA8">
              <w:rPr>
                <w:rFonts w:eastAsia="Calibri" w:cs="Arial"/>
                <w:sz w:val="16"/>
                <w:szCs w:val="16"/>
                <w:vertAlign w:val="superscript"/>
              </w:rPr>
              <w:t>b</w:t>
            </w:r>
          </w:p>
          <w:p w14:paraId="578F8A42"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(-49, -42)</w:t>
            </w:r>
          </w:p>
        </w:tc>
        <w:tc>
          <w:tcPr>
            <w:tcW w:w="363" w:type="pct"/>
            <w:tcBorders>
              <w:top w:val="single" w:sz="4" w:space="0" w:color="auto"/>
              <w:left w:val="nil"/>
              <w:bottom w:val="single" w:sz="8" w:space="0" w:color="000000"/>
              <w:right w:val="single" w:sz="8" w:space="0" w:color="000000"/>
            </w:tcBorders>
            <w:vAlign w:val="center"/>
          </w:tcPr>
          <w:p w14:paraId="38B7F279"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-55</w:t>
            </w:r>
            <w:r w:rsidRPr="00CC0FA8">
              <w:rPr>
                <w:rFonts w:eastAsia="Calibri" w:cs="Arial"/>
                <w:sz w:val="16"/>
                <w:szCs w:val="16"/>
                <w:vertAlign w:val="superscript"/>
              </w:rPr>
              <w:t>b</w:t>
            </w:r>
          </w:p>
          <w:p w14:paraId="03DDE666" w14:textId="77777777" w:rsidR="00711CD7" w:rsidRPr="00CC0FA8" w:rsidRDefault="00711CD7" w:rsidP="00997D1D">
            <w:pPr>
              <w:keepNext/>
              <w:keepLines/>
              <w:spacing w:before="20" w:after="20"/>
              <w:jc w:val="center"/>
              <w:rPr>
                <w:rFonts w:eastAsia="Calibri" w:cs="Arial"/>
                <w:sz w:val="16"/>
                <w:szCs w:val="16"/>
              </w:rPr>
            </w:pPr>
            <w:r w:rsidRPr="00CC0FA8">
              <w:rPr>
                <w:rFonts w:eastAsia="Calibri" w:cs="Arial"/>
                <w:sz w:val="16"/>
                <w:szCs w:val="16"/>
              </w:rPr>
              <w:t>(-59, -51)</w:t>
            </w:r>
          </w:p>
        </w:tc>
      </w:tr>
    </w:tbl>
    <w:p w14:paraId="131CE52D" w14:textId="77777777" w:rsidR="005F5FFD" w:rsidRDefault="005F5FFD" w:rsidP="00F54E61">
      <w:pPr>
        <w:rPr>
          <w:rFonts w:eastAsia="Calibri" w:cs="Arial"/>
          <w:sz w:val="16"/>
          <w:szCs w:val="16"/>
        </w:rPr>
      </w:pPr>
    </w:p>
    <w:p w14:paraId="56909A48" w14:textId="77777777" w:rsidR="00D50E5C" w:rsidRPr="00F54E61" w:rsidRDefault="008309D0" w:rsidP="00F54E61">
      <w:pPr>
        <w:rPr>
          <w:rFonts w:eastAsia="Calibri"/>
          <w:sz w:val="18"/>
          <w:szCs w:val="18"/>
        </w:rPr>
      </w:pPr>
      <w:r w:rsidRPr="00F54E61">
        <w:rPr>
          <w:rFonts w:eastAsia="Calibri"/>
          <w:sz w:val="18"/>
          <w:szCs w:val="18"/>
        </w:rPr>
        <w:t xml:space="preserve">Key: Q2W = once every 2 weeks, QM = once monthly, HeFH = Heterozygous familial hypercholesterolaemia; </w:t>
      </w:r>
      <w:r w:rsidRPr="00F54E61">
        <w:rPr>
          <w:rFonts w:eastAsia="Calibri"/>
          <w:sz w:val="18"/>
          <w:szCs w:val="18"/>
          <w:vertAlign w:val="superscript"/>
        </w:rPr>
        <w:t>a</w:t>
      </w:r>
      <w:r w:rsidRPr="00F54E61">
        <w:rPr>
          <w:rFonts w:eastAsia="Calibri"/>
          <w:sz w:val="18"/>
          <w:szCs w:val="18"/>
        </w:rPr>
        <w:t xml:space="preserve"> p value &lt; 0.05 when compared with placebo. </w:t>
      </w:r>
      <w:r w:rsidRPr="00F54E61">
        <w:rPr>
          <w:rFonts w:eastAsia="Calibri"/>
          <w:sz w:val="18"/>
          <w:szCs w:val="18"/>
          <w:vertAlign w:val="superscript"/>
        </w:rPr>
        <w:t>b</w:t>
      </w:r>
      <w:r w:rsidRPr="00F54E61">
        <w:rPr>
          <w:rFonts w:eastAsia="Calibri"/>
          <w:sz w:val="18"/>
          <w:szCs w:val="18"/>
        </w:rPr>
        <w:t xml:space="preserve"> p value &lt; 0.001 when compared with placebo.</w:t>
      </w:r>
    </w:p>
    <w:p w14:paraId="047B9912" w14:textId="77777777" w:rsidR="009B10E4" w:rsidRPr="00EA1465" w:rsidRDefault="009B10E4" w:rsidP="001D30A0">
      <w:pPr>
        <w:autoSpaceDE w:val="0"/>
        <w:autoSpaceDN w:val="0"/>
        <w:adjustRightInd w:val="0"/>
      </w:pPr>
    </w:p>
    <w:p w14:paraId="14AC0402" w14:textId="77777777" w:rsidR="00DB5264" w:rsidRPr="007C758D" w:rsidRDefault="00DB5264" w:rsidP="00F309DA">
      <w:pPr>
        <w:pStyle w:val="PI-subheadernounderline"/>
      </w:pPr>
      <w:r w:rsidRPr="007C758D">
        <w:t xml:space="preserve">Statin-intolerant </w:t>
      </w:r>
      <w:r w:rsidR="00134D37">
        <w:t>t</w:t>
      </w:r>
      <w:r w:rsidRPr="007C758D">
        <w:t>herapy</w:t>
      </w:r>
    </w:p>
    <w:p w14:paraId="26228A9C" w14:textId="77777777" w:rsidR="00DB5264" w:rsidRDefault="00EA1465" w:rsidP="00F309DA">
      <w:pPr>
        <w:pStyle w:val="PI-text"/>
      </w:pPr>
      <w:r>
        <w:t>GAUSS-2</w:t>
      </w:r>
      <w:r w:rsidR="00DB5264" w:rsidRPr="00EA1465">
        <w:t xml:space="preserve"> was an international, </w:t>
      </w:r>
      <w:r w:rsidR="009160F4">
        <w:t>multicentre</w:t>
      </w:r>
      <w:r w:rsidR="00DB5264" w:rsidRPr="00EA1465">
        <w:t xml:space="preserve">, double-blind, </w:t>
      </w:r>
      <w:r w:rsidR="00983361">
        <w:t>randomised</w:t>
      </w:r>
      <w:r w:rsidR="00DB5264" w:rsidRPr="00EA1465">
        <w:t>, ezetimibe-controlled, 12-week study</w:t>
      </w:r>
      <w:r w:rsidR="00841CC1">
        <w:t xml:space="preserve"> of Repatha</w:t>
      </w:r>
      <w:r w:rsidR="00DB5264" w:rsidRPr="00EA1465">
        <w:t xml:space="preserve"> in 307 patients who were statin-intolerant or unable to tolerate an effective dose of a statin.</w:t>
      </w:r>
      <w:r w:rsidR="00AA4FF6">
        <w:t xml:space="preserve"> </w:t>
      </w:r>
      <w:r w:rsidR="00DB5264" w:rsidRPr="00EA1465">
        <w:t xml:space="preserve"> </w:t>
      </w:r>
      <w:r w:rsidR="00DA265F">
        <w:t>Repatha</w:t>
      </w:r>
      <w:r w:rsidR="00DB5264" w:rsidRPr="00EA1465">
        <w:t xml:space="preserve"> significantly reduced LDL-C compared to ezetimibe (p&lt;0.001).  </w:t>
      </w:r>
      <w:r w:rsidR="00841CC1" w:rsidRPr="00841CC1">
        <w:t xml:space="preserve">Repatha significantly reduced TC, </w:t>
      </w:r>
      <w:proofErr w:type="spellStart"/>
      <w:r w:rsidR="00841CC1" w:rsidRPr="00841CC1">
        <w:t>ApoB</w:t>
      </w:r>
      <w:proofErr w:type="spellEnd"/>
      <w:r w:rsidR="00841CC1" w:rsidRPr="00841CC1">
        <w:t xml:space="preserve">, non-HDL-C, TC/HDL-C, </w:t>
      </w:r>
      <w:proofErr w:type="spellStart"/>
      <w:r w:rsidR="00841CC1" w:rsidRPr="00841CC1">
        <w:t>ApoB</w:t>
      </w:r>
      <w:proofErr w:type="spellEnd"/>
      <w:r w:rsidR="00841CC1" w:rsidRPr="00841CC1">
        <w:t xml:space="preserve">/ApoA1, and </w:t>
      </w:r>
      <w:proofErr w:type="spellStart"/>
      <w:proofErr w:type="gramStart"/>
      <w:r w:rsidR="00841CC1" w:rsidRPr="00841CC1">
        <w:t>Lp</w:t>
      </w:r>
      <w:proofErr w:type="spellEnd"/>
      <w:r w:rsidR="00841CC1" w:rsidRPr="00841CC1">
        <w:t>(</w:t>
      </w:r>
      <w:proofErr w:type="gramEnd"/>
      <w:r w:rsidR="00841CC1" w:rsidRPr="00841CC1">
        <w:t>a) from baseline to mean of weeks 10 and 12 compared with ezetimibe</w:t>
      </w:r>
      <w:r w:rsidR="00DB5264" w:rsidRPr="00EA1465">
        <w:t xml:space="preserve"> (p&lt;0.001) (</w:t>
      </w:r>
      <w:r w:rsidR="006632B5">
        <w:rPr>
          <w:color w:val="0000FF"/>
        </w:rPr>
        <w:fldChar w:fldCharType="begin"/>
      </w:r>
      <w:r w:rsidR="006632B5">
        <w:instrText xml:space="preserve"> REF _Ref506363793 \h </w:instrText>
      </w:r>
      <w:r w:rsidR="006632B5">
        <w:rPr>
          <w:color w:val="0000FF"/>
        </w:rPr>
      </w:r>
      <w:r w:rsidR="006632B5">
        <w:rPr>
          <w:color w:val="0000FF"/>
        </w:rPr>
        <w:fldChar w:fldCharType="separate"/>
      </w:r>
      <w:r w:rsidR="008C495D">
        <w:t xml:space="preserve">Table </w:t>
      </w:r>
      <w:r w:rsidR="008C495D">
        <w:rPr>
          <w:noProof/>
        </w:rPr>
        <w:t>4</w:t>
      </w:r>
      <w:r w:rsidR="006632B5">
        <w:rPr>
          <w:color w:val="0000FF"/>
        </w:rPr>
        <w:fldChar w:fldCharType="end"/>
      </w:r>
      <w:r w:rsidR="00DB5264" w:rsidRPr="00EA1465">
        <w:t>).</w:t>
      </w:r>
    </w:p>
    <w:p w14:paraId="162C39E6" w14:textId="77777777" w:rsidR="00711CD7" w:rsidRPr="007C758D" w:rsidRDefault="00711CD7" w:rsidP="00711CD7">
      <w:pPr>
        <w:pStyle w:val="PI-subheadernounderline"/>
      </w:pPr>
      <w:r>
        <w:t>Monotherapy</w:t>
      </w:r>
    </w:p>
    <w:p w14:paraId="39B5DB03" w14:textId="58623A61" w:rsidR="00711CD7" w:rsidRPr="00EA1465" w:rsidRDefault="00711CD7" w:rsidP="00711CD7">
      <w:pPr>
        <w:pStyle w:val="PI-text"/>
      </w:pPr>
      <w:r>
        <w:t xml:space="preserve">MENDEL-2 </w:t>
      </w:r>
      <w:r w:rsidRPr="00EA1465">
        <w:t xml:space="preserve">was an international, </w:t>
      </w:r>
      <w:r>
        <w:t>multicentre</w:t>
      </w:r>
      <w:r w:rsidRPr="00EA1465">
        <w:t xml:space="preserve">, double-blind, </w:t>
      </w:r>
      <w:r>
        <w:t>randomised</w:t>
      </w:r>
      <w:r w:rsidRPr="00EA1465">
        <w:t xml:space="preserve">, placebo and ezetimibe-controlled, 12-week study of </w:t>
      </w:r>
      <w:r>
        <w:t xml:space="preserve">Repatha in </w:t>
      </w:r>
      <w:r w:rsidRPr="00EA1465">
        <w:t>614 patients with hyper</w:t>
      </w:r>
      <w:r>
        <w:t>cholesterolaemia</w:t>
      </w:r>
      <w:r w:rsidRPr="00EA1465">
        <w:t xml:space="preserve">.  </w:t>
      </w:r>
      <w:r>
        <w:t>Repatha</w:t>
      </w:r>
      <w:r w:rsidRPr="00EA1465">
        <w:t xml:space="preserve"> </w:t>
      </w:r>
      <w:r w:rsidRPr="00BF758F">
        <w:t xml:space="preserve">significantly reduced LDL-C from baseline to </w:t>
      </w:r>
      <w:r>
        <w:t xml:space="preserve">mean </w:t>
      </w:r>
      <w:r w:rsidRPr="00BF758F">
        <w:t xml:space="preserve">of weeks 10 and 12 compared </w:t>
      </w:r>
      <w:r>
        <w:t>with</w:t>
      </w:r>
      <w:r w:rsidRPr="00BF758F">
        <w:t xml:space="preserve"> both placebo and ezetimibe (p&lt;0.001).</w:t>
      </w:r>
      <w:r>
        <w:t xml:space="preserve">  Repatha</w:t>
      </w:r>
      <w:r w:rsidRPr="00BF758F">
        <w:t xml:space="preserve"> significantly reduced </w:t>
      </w:r>
      <w:r w:rsidRPr="00BF314C">
        <w:t xml:space="preserve">TC, </w:t>
      </w:r>
      <w:proofErr w:type="spellStart"/>
      <w:r w:rsidRPr="00BF314C">
        <w:t>ApoB</w:t>
      </w:r>
      <w:proofErr w:type="spellEnd"/>
      <w:r w:rsidRPr="00BF314C">
        <w:t xml:space="preserve">, non-HDL-C, TC/HDL-C, </w:t>
      </w:r>
      <w:proofErr w:type="spellStart"/>
      <w:r w:rsidRPr="00BF314C">
        <w:t>ApoB</w:t>
      </w:r>
      <w:proofErr w:type="spellEnd"/>
      <w:r w:rsidRPr="00BF314C">
        <w:t xml:space="preserve">/ApoA1, and </w:t>
      </w:r>
      <w:proofErr w:type="spellStart"/>
      <w:proofErr w:type="gramStart"/>
      <w:r w:rsidRPr="00BF314C">
        <w:t>Lp</w:t>
      </w:r>
      <w:proofErr w:type="spellEnd"/>
      <w:r w:rsidRPr="00BF314C">
        <w:t>(</w:t>
      </w:r>
      <w:proofErr w:type="gramEnd"/>
      <w:r w:rsidRPr="00BF314C">
        <w:t xml:space="preserve">a) from baseline to mean of weeks 10 and 12 compared with both placebo and ezetimibe (p&lt;0.001) </w:t>
      </w:r>
      <w:r w:rsidRPr="00BF758F">
        <w:t>(</w:t>
      </w:r>
      <w:r w:rsidR="007F115A" w:rsidRPr="007F115A">
        <w:rPr>
          <w:color w:val="0000FF"/>
        </w:rPr>
        <w:fldChar w:fldCharType="begin"/>
      </w:r>
      <w:r w:rsidR="007F115A" w:rsidRPr="007F115A">
        <w:rPr>
          <w:color w:val="0000FF"/>
        </w:rPr>
        <w:instrText xml:space="preserve"> REF _Ref506362848 \h </w:instrText>
      </w:r>
      <w:r w:rsidR="007F115A">
        <w:rPr>
          <w:color w:val="0000FF"/>
        </w:rPr>
        <w:instrText xml:space="preserve"> \* MERGEFORMAT </w:instrText>
      </w:r>
      <w:r w:rsidR="007F115A" w:rsidRPr="007F115A">
        <w:rPr>
          <w:color w:val="0000FF"/>
        </w:rPr>
      </w:r>
      <w:r w:rsidR="007F115A" w:rsidRPr="007F115A">
        <w:rPr>
          <w:color w:val="0000FF"/>
        </w:rPr>
        <w:fldChar w:fldCharType="separate"/>
      </w:r>
      <w:r w:rsidR="008C495D" w:rsidRPr="008C495D">
        <w:rPr>
          <w:color w:val="0000FF"/>
        </w:rPr>
        <w:t xml:space="preserve">Table </w:t>
      </w:r>
      <w:r w:rsidR="008C495D" w:rsidRPr="008C495D">
        <w:rPr>
          <w:noProof/>
          <w:color w:val="0000FF"/>
        </w:rPr>
        <w:t>3</w:t>
      </w:r>
      <w:r w:rsidR="007F115A" w:rsidRPr="007F115A">
        <w:rPr>
          <w:color w:val="0000FF"/>
        </w:rPr>
        <w:fldChar w:fldCharType="end"/>
      </w:r>
      <w:r w:rsidR="007F115A">
        <w:rPr>
          <w:color w:val="0000FF"/>
        </w:rPr>
        <w:t xml:space="preserve"> </w:t>
      </w:r>
      <w:r w:rsidRPr="00BB4536">
        <w:rPr>
          <w:color w:val="000000"/>
        </w:rPr>
        <w:t>and</w:t>
      </w:r>
      <w:r w:rsidRPr="00DE1547">
        <w:rPr>
          <w:color w:val="FF0000"/>
        </w:rPr>
        <w:t xml:space="preserve"> </w:t>
      </w:r>
      <w:r w:rsidR="001A4F61">
        <w:rPr>
          <w:color w:val="0000FF"/>
        </w:rPr>
        <w:t xml:space="preserve">Table </w:t>
      </w:r>
      <w:r>
        <w:rPr>
          <w:color w:val="0000FF"/>
        </w:rPr>
        <w:t>4</w:t>
      </w:r>
      <w:r w:rsidRPr="00BF758F">
        <w:t>)</w:t>
      </w:r>
      <w:r>
        <w:t>.</w:t>
      </w:r>
    </w:p>
    <w:p w14:paraId="109FCD3F" w14:textId="06DAFF7C" w:rsidR="00BD0F72" w:rsidRPr="00F309DA" w:rsidRDefault="00EB176A" w:rsidP="00EB176A">
      <w:pPr>
        <w:pStyle w:val="Caption"/>
      </w:pPr>
      <w:bookmarkStart w:id="14" w:name="_Ref506363793"/>
      <w:r>
        <w:lastRenderedPageBreak/>
        <w:t xml:space="preserve">Table </w:t>
      </w:r>
      <w:r w:rsidR="002351AF">
        <w:fldChar w:fldCharType="begin"/>
      </w:r>
      <w:r w:rsidR="002351AF">
        <w:instrText xml:space="preserve"> SEQ Table \* ARABIC </w:instrText>
      </w:r>
      <w:r w:rsidR="002351AF">
        <w:fldChar w:fldCharType="separate"/>
      </w:r>
      <w:r w:rsidR="008C495D">
        <w:rPr>
          <w:noProof/>
        </w:rPr>
        <w:t>4</w:t>
      </w:r>
      <w:r w:rsidR="002351AF">
        <w:rPr>
          <w:noProof/>
        </w:rPr>
        <w:fldChar w:fldCharType="end"/>
      </w:r>
      <w:bookmarkEnd w:id="14"/>
      <w:r>
        <w:t>.</w:t>
      </w:r>
      <w:r w:rsidR="00D10DBB">
        <w:t xml:space="preserve"> </w:t>
      </w:r>
      <w:r>
        <w:t xml:space="preserve"> </w:t>
      </w:r>
      <w:r w:rsidR="008309D0" w:rsidRPr="00EB176A">
        <w:t xml:space="preserve">Treatment effects of Repatha compared with ezetimibe in patients with </w:t>
      </w:r>
      <w:r w:rsidR="00665F7F">
        <w:t xml:space="preserve">primary </w:t>
      </w:r>
      <w:r w:rsidR="0027632E" w:rsidRPr="00EB176A">
        <w:t>hypercholesterolaemia</w:t>
      </w:r>
      <w:r w:rsidR="008309D0" w:rsidRPr="00EB176A">
        <w:t>– mean percent change from baseline to average of weeks 10 and 12 (%, 95% CI)</w:t>
      </w:r>
    </w:p>
    <w:tbl>
      <w:tblPr>
        <w:tblW w:w="5384" w:type="pct"/>
        <w:tblInd w:w="-274" w:type="dxa"/>
        <w:tblLayout w:type="fixed"/>
        <w:tblCellMar>
          <w:left w:w="0" w:type="dxa"/>
          <w:right w:w="0" w:type="dxa"/>
        </w:tblCellMar>
        <w:tblLook w:val="04A0" w:firstRow="1" w:lastRow="0" w:firstColumn="1" w:lastColumn="0" w:noHBand="0" w:noVBand="1"/>
      </w:tblPr>
      <w:tblGrid>
        <w:gridCol w:w="1141"/>
        <w:gridCol w:w="851"/>
        <w:gridCol w:w="707"/>
        <w:gridCol w:w="707"/>
        <w:gridCol w:w="707"/>
        <w:gridCol w:w="717"/>
        <w:gridCol w:w="681"/>
        <w:gridCol w:w="588"/>
        <w:gridCol w:w="567"/>
        <w:gridCol w:w="709"/>
        <w:gridCol w:w="567"/>
        <w:gridCol w:w="709"/>
        <w:gridCol w:w="707"/>
      </w:tblGrid>
      <w:tr w:rsidR="0050303A" w:rsidRPr="006F02BE" w:rsidDel="00DD0163" w14:paraId="74184C5A" w14:textId="77777777" w:rsidTr="0050303A">
        <w:trPr>
          <w:trHeight w:val="248"/>
        </w:trPr>
        <w:tc>
          <w:tcPr>
            <w:tcW w:w="609" w:type="pct"/>
            <w:tcBorders>
              <w:top w:val="single" w:sz="8" w:space="0" w:color="000000"/>
              <w:left w:val="single" w:sz="8" w:space="0" w:color="000000"/>
              <w:bottom w:val="single" w:sz="4" w:space="0" w:color="auto"/>
              <w:right w:val="single" w:sz="8" w:space="0" w:color="000000"/>
            </w:tcBorders>
            <w:shd w:val="clear" w:color="auto" w:fill="D9D9D9"/>
            <w:vAlign w:val="center"/>
          </w:tcPr>
          <w:p w14:paraId="5D91A47B"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Study</w:t>
            </w:r>
          </w:p>
        </w:tc>
        <w:tc>
          <w:tcPr>
            <w:tcW w:w="454" w:type="pct"/>
            <w:tcBorders>
              <w:top w:val="single" w:sz="8" w:space="0" w:color="000000"/>
              <w:left w:val="nil"/>
              <w:bottom w:val="single" w:sz="4" w:space="0" w:color="auto"/>
              <w:right w:val="single" w:sz="8" w:space="0" w:color="000000"/>
            </w:tcBorders>
            <w:shd w:val="clear" w:color="auto" w:fill="D9D9D9"/>
            <w:tcMar>
              <w:top w:w="11" w:type="dxa"/>
              <w:left w:w="90" w:type="dxa"/>
              <w:bottom w:w="0" w:type="dxa"/>
              <w:right w:w="90" w:type="dxa"/>
            </w:tcMar>
            <w:vAlign w:val="center"/>
          </w:tcPr>
          <w:p w14:paraId="375FDE2C"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Dose regimen</w:t>
            </w:r>
          </w:p>
        </w:tc>
        <w:tc>
          <w:tcPr>
            <w:tcW w:w="378" w:type="pct"/>
            <w:tcBorders>
              <w:top w:val="single" w:sz="8" w:space="0" w:color="000000"/>
              <w:left w:val="nil"/>
              <w:bottom w:val="single" w:sz="4" w:space="0" w:color="auto"/>
              <w:right w:val="single" w:sz="8" w:space="0" w:color="000000"/>
            </w:tcBorders>
            <w:shd w:val="clear" w:color="auto" w:fill="D9D9D9"/>
            <w:tcMar>
              <w:top w:w="11" w:type="dxa"/>
              <w:left w:w="90" w:type="dxa"/>
              <w:bottom w:w="0" w:type="dxa"/>
              <w:right w:w="90" w:type="dxa"/>
            </w:tcMar>
            <w:vAlign w:val="center"/>
          </w:tcPr>
          <w:p w14:paraId="73DB0F81" w14:textId="77777777" w:rsidR="008309D0" w:rsidRPr="00AA579B" w:rsidRDefault="008309D0" w:rsidP="00BD0F72">
            <w:pPr>
              <w:keepNext/>
              <w:spacing w:before="20" w:after="20"/>
              <w:ind w:left="-93" w:right="-85"/>
              <w:jc w:val="center"/>
              <w:rPr>
                <w:rFonts w:eastAsia="Calibri" w:cs="Arial"/>
                <w:b/>
                <w:bCs/>
                <w:sz w:val="16"/>
                <w:szCs w:val="16"/>
              </w:rPr>
            </w:pPr>
            <w:r w:rsidRPr="00AA579B">
              <w:rPr>
                <w:rFonts w:eastAsia="Calibri" w:cs="Arial"/>
                <w:b/>
                <w:bCs/>
                <w:sz w:val="16"/>
                <w:szCs w:val="16"/>
              </w:rPr>
              <w:t>LDL-C</w:t>
            </w:r>
          </w:p>
          <w:p w14:paraId="35EEB9AE" w14:textId="77777777" w:rsidR="008309D0" w:rsidRPr="00AA579B" w:rsidRDefault="008309D0" w:rsidP="00BD0F72">
            <w:pPr>
              <w:keepNext/>
              <w:spacing w:before="20" w:after="20"/>
              <w:ind w:left="-93" w:right="-85"/>
              <w:jc w:val="center"/>
              <w:rPr>
                <w:rFonts w:eastAsia="Calibri" w:cs="Arial"/>
                <w:b/>
                <w:bCs/>
                <w:sz w:val="16"/>
                <w:szCs w:val="16"/>
              </w:rPr>
            </w:pPr>
            <w:r w:rsidRPr="00AA579B">
              <w:rPr>
                <w:rFonts w:eastAsia="Calibri" w:cs="Arial"/>
                <w:b/>
                <w:bCs/>
                <w:sz w:val="16"/>
                <w:szCs w:val="16"/>
              </w:rPr>
              <w:t>(%)</w:t>
            </w:r>
          </w:p>
        </w:tc>
        <w:tc>
          <w:tcPr>
            <w:tcW w:w="378" w:type="pct"/>
            <w:tcBorders>
              <w:top w:val="single" w:sz="8" w:space="0" w:color="000000"/>
              <w:left w:val="nil"/>
              <w:bottom w:val="single" w:sz="4" w:space="0" w:color="auto"/>
              <w:right w:val="single" w:sz="8" w:space="0" w:color="000000"/>
            </w:tcBorders>
            <w:shd w:val="clear" w:color="auto" w:fill="D9D9D9"/>
            <w:tcMar>
              <w:top w:w="11" w:type="dxa"/>
              <w:left w:w="90" w:type="dxa"/>
              <w:bottom w:w="0" w:type="dxa"/>
              <w:right w:w="90" w:type="dxa"/>
            </w:tcMar>
            <w:vAlign w:val="center"/>
          </w:tcPr>
          <w:p w14:paraId="22561EC1" w14:textId="77777777" w:rsidR="008309D0" w:rsidRPr="00AA579B" w:rsidRDefault="008309D0" w:rsidP="00BD0F72">
            <w:pPr>
              <w:keepNext/>
              <w:spacing w:before="20" w:after="20"/>
              <w:ind w:left="-95" w:right="-83"/>
              <w:jc w:val="center"/>
              <w:rPr>
                <w:rFonts w:eastAsia="Calibri" w:cs="Arial"/>
                <w:b/>
                <w:bCs/>
                <w:sz w:val="16"/>
                <w:szCs w:val="16"/>
              </w:rPr>
            </w:pPr>
            <w:r w:rsidRPr="00AA579B">
              <w:rPr>
                <w:rFonts w:eastAsia="Calibri" w:cs="Arial"/>
                <w:b/>
                <w:bCs/>
                <w:sz w:val="16"/>
                <w:szCs w:val="16"/>
              </w:rPr>
              <w:t>Non-HDL-C</w:t>
            </w:r>
          </w:p>
          <w:p w14:paraId="5CE6A415" w14:textId="77777777" w:rsidR="008309D0" w:rsidRPr="00AA579B" w:rsidRDefault="008309D0" w:rsidP="00BD0F72">
            <w:pPr>
              <w:keepNext/>
              <w:spacing w:before="20" w:after="20"/>
              <w:ind w:left="-95" w:right="-83"/>
              <w:jc w:val="center"/>
              <w:rPr>
                <w:rFonts w:eastAsia="Calibri" w:cs="Arial"/>
                <w:b/>
                <w:bCs/>
                <w:sz w:val="16"/>
                <w:szCs w:val="16"/>
              </w:rPr>
            </w:pPr>
            <w:r w:rsidRPr="00AA579B">
              <w:rPr>
                <w:rFonts w:eastAsia="Calibri" w:cs="Arial"/>
                <w:b/>
                <w:bCs/>
                <w:sz w:val="16"/>
                <w:szCs w:val="16"/>
              </w:rPr>
              <w:t>(%)</w:t>
            </w:r>
          </w:p>
        </w:tc>
        <w:tc>
          <w:tcPr>
            <w:tcW w:w="378" w:type="pct"/>
            <w:tcBorders>
              <w:top w:val="single" w:sz="8" w:space="0" w:color="000000"/>
              <w:left w:val="nil"/>
              <w:bottom w:val="single" w:sz="4" w:space="0" w:color="auto"/>
              <w:right w:val="single" w:sz="8" w:space="0" w:color="000000"/>
            </w:tcBorders>
            <w:shd w:val="clear" w:color="auto" w:fill="D9D9D9"/>
            <w:tcMar>
              <w:top w:w="11" w:type="dxa"/>
              <w:left w:w="11" w:type="dxa"/>
              <w:bottom w:w="0" w:type="dxa"/>
              <w:right w:w="11" w:type="dxa"/>
            </w:tcMar>
            <w:vAlign w:val="center"/>
          </w:tcPr>
          <w:p w14:paraId="1731AEE5" w14:textId="77777777" w:rsidR="008309D0" w:rsidRPr="00AA579B" w:rsidRDefault="008309D0" w:rsidP="00BD0F72">
            <w:pPr>
              <w:keepNext/>
              <w:spacing w:before="20" w:after="20"/>
              <w:jc w:val="center"/>
              <w:rPr>
                <w:rFonts w:eastAsia="Calibri" w:cs="Arial"/>
                <w:b/>
                <w:bCs/>
                <w:sz w:val="16"/>
                <w:szCs w:val="16"/>
              </w:rPr>
            </w:pPr>
            <w:proofErr w:type="spellStart"/>
            <w:r w:rsidRPr="00AA579B">
              <w:rPr>
                <w:rFonts w:eastAsia="Calibri" w:cs="Arial"/>
                <w:b/>
                <w:bCs/>
                <w:sz w:val="16"/>
                <w:szCs w:val="16"/>
              </w:rPr>
              <w:t>ApoB</w:t>
            </w:r>
            <w:proofErr w:type="spellEnd"/>
          </w:p>
          <w:p w14:paraId="680F44EE"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w:t>
            </w:r>
          </w:p>
        </w:tc>
        <w:tc>
          <w:tcPr>
            <w:tcW w:w="383" w:type="pct"/>
            <w:tcBorders>
              <w:top w:val="single" w:sz="8" w:space="0" w:color="000000"/>
              <w:left w:val="nil"/>
              <w:bottom w:val="single" w:sz="4" w:space="0" w:color="auto"/>
              <w:right w:val="single" w:sz="8" w:space="0" w:color="000000"/>
            </w:tcBorders>
            <w:shd w:val="clear" w:color="auto" w:fill="D9D9D9"/>
            <w:tcMar>
              <w:top w:w="11" w:type="dxa"/>
              <w:left w:w="11" w:type="dxa"/>
              <w:bottom w:w="0" w:type="dxa"/>
              <w:right w:w="11" w:type="dxa"/>
            </w:tcMar>
            <w:vAlign w:val="center"/>
          </w:tcPr>
          <w:p w14:paraId="2CD45214"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TC</w:t>
            </w:r>
          </w:p>
          <w:p w14:paraId="685D8727"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w:t>
            </w:r>
          </w:p>
        </w:tc>
        <w:tc>
          <w:tcPr>
            <w:tcW w:w="364" w:type="pct"/>
            <w:tcBorders>
              <w:top w:val="single" w:sz="8" w:space="0" w:color="000000"/>
              <w:left w:val="nil"/>
              <w:bottom w:val="single" w:sz="4" w:space="0" w:color="auto"/>
              <w:right w:val="single" w:sz="8" w:space="0" w:color="000000"/>
            </w:tcBorders>
            <w:shd w:val="clear" w:color="auto" w:fill="D9D9D9"/>
            <w:tcMar>
              <w:top w:w="11" w:type="dxa"/>
              <w:left w:w="11" w:type="dxa"/>
              <w:bottom w:w="0" w:type="dxa"/>
              <w:right w:w="11" w:type="dxa"/>
            </w:tcMar>
            <w:vAlign w:val="center"/>
          </w:tcPr>
          <w:p w14:paraId="6716E4B8" w14:textId="77777777" w:rsidR="008309D0" w:rsidRPr="00AA579B" w:rsidRDefault="008309D0" w:rsidP="00BD0F72">
            <w:pPr>
              <w:keepNext/>
              <w:spacing w:before="20" w:after="20"/>
              <w:jc w:val="center"/>
              <w:rPr>
                <w:rFonts w:eastAsia="Calibri" w:cs="Arial"/>
                <w:b/>
                <w:bCs/>
                <w:sz w:val="16"/>
                <w:szCs w:val="16"/>
              </w:rPr>
            </w:pPr>
            <w:proofErr w:type="spellStart"/>
            <w:r w:rsidRPr="00AA579B">
              <w:rPr>
                <w:rFonts w:eastAsia="Calibri" w:cs="Arial"/>
                <w:b/>
                <w:bCs/>
                <w:sz w:val="16"/>
                <w:szCs w:val="16"/>
              </w:rPr>
              <w:t>Lp</w:t>
            </w:r>
            <w:proofErr w:type="spellEnd"/>
            <w:r w:rsidRPr="00AA579B">
              <w:rPr>
                <w:rFonts w:eastAsia="Calibri" w:cs="Arial"/>
                <w:b/>
                <w:bCs/>
                <w:sz w:val="16"/>
                <w:szCs w:val="16"/>
              </w:rPr>
              <w:t>(a)</w:t>
            </w:r>
          </w:p>
          <w:p w14:paraId="745142DA"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w:t>
            </w:r>
          </w:p>
        </w:tc>
        <w:tc>
          <w:tcPr>
            <w:tcW w:w="314" w:type="pct"/>
            <w:tcBorders>
              <w:top w:val="single" w:sz="8" w:space="0" w:color="000000"/>
              <w:left w:val="nil"/>
              <w:bottom w:val="single" w:sz="4" w:space="0" w:color="auto"/>
              <w:right w:val="single" w:sz="8" w:space="0" w:color="000000"/>
            </w:tcBorders>
            <w:shd w:val="clear" w:color="auto" w:fill="D9D9D9"/>
            <w:tcMar>
              <w:top w:w="11" w:type="dxa"/>
              <w:left w:w="11" w:type="dxa"/>
              <w:bottom w:w="0" w:type="dxa"/>
              <w:right w:w="11" w:type="dxa"/>
            </w:tcMar>
            <w:vAlign w:val="center"/>
          </w:tcPr>
          <w:p w14:paraId="6C7EA77E"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VLDL-C</w:t>
            </w:r>
          </w:p>
          <w:p w14:paraId="51EC882E"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w:t>
            </w:r>
          </w:p>
        </w:tc>
        <w:tc>
          <w:tcPr>
            <w:tcW w:w="303" w:type="pct"/>
            <w:tcBorders>
              <w:top w:val="single" w:sz="8" w:space="0" w:color="000000"/>
              <w:left w:val="nil"/>
              <w:bottom w:val="single" w:sz="4" w:space="0" w:color="auto"/>
              <w:right w:val="single" w:sz="8" w:space="0" w:color="000000"/>
            </w:tcBorders>
            <w:shd w:val="clear" w:color="auto" w:fill="D9D9D9"/>
            <w:tcMar>
              <w:top w:w="11" w:type="dxa"/>
              <w:left w:w="11" w:type="dxa"/>
              <w:bottom w:w="0" w:type="dxa"/>
              <w:right w:w="11" w:type="dxa"/>
            </w:tcMar>
            <w:vAlign w:val="center"/>
          </w:tcPr>
          <w:p w14:paraId="7A312CD7"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HDL-C</w:t>
            </w:r>
          </w:p>
          <w:p w14:paraId="4B923608"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w:t>
            </w:r>
          </w:p>
        </w:tc>
        <w:tc>
          <w:tcPr>
            <w:tcW w:w="379" w:type="pct"/>
            <w:tcBorders>
              <w:top w:val="single" w:sz="8" w:space="0" w:color="000000"/>
              <w:left w:val="nil"/>
              <w:bottom w:val="single" w:sz="4" w:space="0" w:color="auto"/>
              <w:right w:val="single" w:sz="8" w:space="0" w:color="000000"/>
            </w:tcBorders>
            <w:shd w:val="clear" w:color="auto" w:fill="D9D9D9"/>
            <w:vAlign w:val="center"/>
          </w:tcPr>
          <w:p w14:paraId="432FA98C"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TG</w:t>
            </w:r>
          </w:p>
          <w:p w14:paraId="16883521"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w:t>
            </w:r>
          </w:p>
        </w:tc>
        <w:tc>
          <w:tcPr>
            <w:tcW w:w="303" w:type="pct"/>
            <w:tcBorders>
              <w:top w:val="single" w:sz="8" w:space="0" w:color="000000"/>
              <w:left w:val="nil"/>
              <w:bottom w:val="single" w:sz="4" w:space="0" w:color="auto"/>
              <w:right w:val="single" w:sz="4" w:space="0" w:color="auto"/>
            </w:tcBorders>
            <w:shd w:val="clear" w:color="auto" w:fill="D9D9D9"/>
            <w:vAlign w:val="center"/>
          </w:tcPr>
          <w:p w14:paraId="026B0198"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ApoA1</w:t>
            </w:r>
          </w:p>
          <w:p w14:paraId="5E28C616"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w:t>
            </w:r>
          </w:p>
        </w:tc>
        <w:tc>
          <w:tcPr>
            <w:tcW w:w="379" w:type="pct"/>
            <w:tcBorders>
              <w:top w:val="single" w:sz="8" w:space="0" w:color="000000"/>
              <w:left w:val="single" w:sz="4" w:space="0" w:color="auto"/>
              <w:bottom w:val="single" w:sz="4" w:space="0" w:color="auto"/>
              <w:right w:val="single" w:sz="4" w:space="0" w:color="auto"/>
            </w:tcBorders>
            <w:shd w:val="clear" w:color="auto" w:fill="D9D9D9"/>
            <w:vAlign w:val="center"/>
          </w:tcPr>
          <w:p w14:paraId="5D4417BA"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TC/</w:t>
            </w:r>
          </w:p>
          <w:p w14:paraId="184F3455"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HDL-C Ratio</w:t>
            </w:r>
          </w:p>
          <w:p w14:paraId="31975ABA"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w:t>
            </w:r>
          </w:p>
        </w:tc>
        <w:tc>
          <w:tcPr>
            <w:tcW w:w="378" w:type="pct"/>
            <w:tcBorders>
              <w:top w:val="single" w:sz="8" w:space="0" w:color="000000"/>
              <w:left w:val="single" w:sz="4" w:space="0" w:color="auto"/>
              <w:bottom w:val="single" w:sz="4" w:space="0" w:color="auto"/>
              <w:right w:val="single" w:sz="8" w:space="0" w:color="000000"/>
            </w:tcBorders>
            <w:shd w:val="clear" w:color="auto" w:fill="D9D9D9"/>
            <w:tcMar>
              <w:top w:w="11" w:type="dxa"/>
              <w:left w:w="11" w:type="dxa"/>
              <w:bottom w:w="0" w:type="dxa"/>
              <w:right w:w="11" w:type="dxa"/>
            </w:tcMar>
            <w:vAlign w:val="center"/>
          </w:tcPr>
          <w:p w14:paraId="16804DBE" w14:textId="77777777" w:rsidR="008309D0" w:rsidRPr="00AA579B" w:rsidRDefault="008309D0" w:rsidP="00BD0F72">
            <w:pPr>
              <w:keepNext/>
              <w:spacing w:before="20" w:after="20"/>
              <w:jc w:val="center"/>
              <w:rPr>
                <w:rFonts w:eastAsia="Calibri" w:cs="Arial"/>
                <w:b/>
                <w:bCs/>
                <w:sz w:val="16"/>
                <w:szCs w:val="16"/>
              </w:rPr>
            </w:pPr>
            <w:proofErr w:type="spellStart"/>
            <w:r w:rsidRPr="00AA579B">
              <w:rPr>
                <w:rFonts w:eastAsia="Calibri" w:cs="Arial"/>
                <w:b/>
                <w:bCs/>
                <w:sz w:val="16"/>
                <w:szCs w:val="16"/>
              </w:rPr>
              <w:t>ApoB</w:t>
            </w:r>
            <w:proofErr w:type="spellEnd"/>
            <w:r w:rsidRPr="00AA579B">
              <w:rPr>
                <w:rFonts w:eastAsia="Calibri" w:cs="Arial"/>
                <w:b/>
                <w:bCs/>
                <w:sz w:val="16"/>
                <w:szCs w:val="16"/>
              </w:rPr>
              <w:t>/</w:t>
            </w:r>
          </w:p>
          <w:p w14:paraId="53332007"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ApoA1 Ratio</w:t>
            </w:r>
          </w:p>
          <w:p w14:paraId="6B609A9C" w14:textId="77777777" w:rsidR="008309D0" w:rsidRPr="00AA579B" w:rsidRDefault="008309D0" w:rsidP="00BD0F72">
            <w:pPr>
              <w:keepNext/>
              <w:spacing w:before="20" w:after="20"/>
              <w:jc w:val="center"/>
              <w:rPr>
                <w:rFonts w:eastAsia="Calibri" w:cs="Arial"/>
                <w:b/>
                <w:bCs/>
                <w:sz w:val="16"/>
                <w:szCs w:val="16"/>
              </w:rPr>
            </w:pPr>
            <w:r w:rsidRPr="00AA579B">
              <w:rPr>
                <w:rFonts w:eastAsia="Calibri" w:cs="Arial"/>
                <w:b/>
                <w:bCs/>
                <w:sz w:val="16"/>
                <w:szCs w:val="16"/>
              </w:rPr>
              <w:t>(%)</w:t>
            </w:r>
          </w:p>
        </w:tc>
      </w:tr>
      <w:tr w:rsidR="0050303A" w:rsidRPr="006F02BE" w:rsidDel="00DD0163" w14:paraId="5F1E72B1" w14:textId="77777777" w:rsidTr="0050303A">
        <w:trPr>
          <w:trHeight w:val="248"/>
        </w:trPr>
        <w:tc>
          <w:tcPr>
            <w:tcW w:w="609" w:type="pct"/>
            <w:vMerge w:val="restart"/>
            <w:tcBorders>
              <w:top w:val="single" w:sz="4" w:space="0" w:color="auto"/>
              <w:left w:val="single" w:sz="4" w:space="0" w:color="auto"/>
              <w:bottom w:val="single" w:sz="4" w:space="0" w:color="auto"/>
              <w:right w:val="single" w:sz="4" w:space="0" w:color="auto"/>
            </w:tcBorders>
            <w:vAlign w:val="center"/>
          </w:tcPr>
          <w:p w14:paraId="6336184C" w14:textId="77777777" w:rsidR="008309D0" w:rsidRDefault="003A2918" w:rsidP="00BD0F72">
            <w:pPr>
              <w:keepNext/>
              <w:jc w:val="center"/>
              <w:rPr>
                <w:rFonts w:eastAsia="Calibri" w:cs="Arial"/>
                <w:sz w:val="16"/>
                <w:szCs w:val="16"/>
              </w:rPr>
            </w:pPr>
            <w:r>
              <w:rPr>
                <w:rFonts w:eastAsia="Calibri" w:cs="Arial"/>
                <w:sz w:val="16"/>
                <w:szCs w:val="16"/>
              </w:rPr>
              <w:t>LAPLACE-</w:t>
            </w:r>
            <w:r w:rsidR="008309D0">
              <w:rPr>
                <w:rFonts w:eastAsia="Calibri" w:cs="Arial"/>
                <w:sz w:val="16"/>
                <w:szCs w:val="16"/>
              </w:rPr>
              <w:t>2</w:t>
            </w:r>
          </w:p>
          <w:p w14:paraId="2D4F0256" w14:textId="77777777" w:rsidR="008309D0" w:rsidRPr="00D07730" w:rsidRDefault="008309D0" w:rsidP="00BD0F72">
            <w:pPr>
              <w:keepNext/>
              <w:jc w:val="center"/>
              <w:rPr>
                <w:rFonts w:eastAsia="Calibri" w:cs="Arial"/>
                <w:sz w:val="16"/>
                <w:szCs w:val="16"/>
              </w:rPr>
            </w:pPr>
            <w:r w:rsidRPr="00D07730">
              <w:rPr>
                <w:rFonts w:eastAsia="Calibri" w:cs="Arial"/>
                <w:sz w:val="16"/>
                <w:szCs w:val="16"/>
              </w:rPr>
              <w:t>(combined atorvastatin groups)</w:t>
            </w:r>
          </w:p>
        </w:tc>
        <w:tc>
          <w:tcPr>
            <w:tcW w:w="454"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4B197834" w14:textId="77777777" w:rsidR="008309D0" w:rsidRPr="00AA579B" w:rsidRDefault="008309D0" w:rsidP="00BD0F72">
            <w:pPr>
              <w:keepNext/>
              <w:spacing w:before="20" w:after="20"/>
              <w:jc w:val="center"/>
              <w:rPr>
                <w:rFonts w:eastAsia="Calibri" w:cs="Arial"/>
                <w:sz w:val="16"/>
                <w:szCs w:val="16"/>
              </w:rPr>
            </w:pPr>
            <w:r w:rsidRPr="00AA579B">
              <w:rPr>
                <w:rFonts w:eastAsia="Calibri" w:cs="Arial"/>
                <w:sz w:val="16"/>
                <w:szCs w:val="16"/>
              </w:rPr>
              <w:t>140 mg Q2W (N=219)</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2B25505D" w14:textId="77777777" w:rsidR="008309D0" w:rsidRPr="00AA579B" w:rsidRDefault="008309D0" w:rsidP="00BD0F72">
            <w:pPr>
              <w:autoSpaceDE w:val="0"/>
              <w:autoSpaceDN w:val="0"/>
              <w:adjustRightInd w:val="0"/>
              <w:spacing w:before="20" w:after="20"/>
              <w:ind w:left="-89" w:right="-101"/>
              <w:jc w:val="center"/>
              <w:rPr>
                <w:rFonts w:eastAsia="Calibri" w:cs="Arial"/>
                <w:sz w:val="16"/>
                <w:szCs w:val="16"/>
                <w:vertAlign w:val="superscript"/>
              </w:rPr>
            </w:pPr>
            <w:r w:rsidRPr="00AA579B">
              <w:rPr>
                <w:rFonts w:eastAsia="Calibri" w:cs="Arial"/>
                <w:sz w:val="16"/>
                <w:szCs w:val="16"/>
              </w:rPr>
              <w:t>-43</w:t>
            </w:r>
          </w:p>
          <w:p w14:paraId="5188C1B9" w14:textId="77777777" w:rsidR="008309D0" w:rsidRPr="00AA579B" w:rsidRDefault="008309D0" w:rsidP="00BD0F72">
            <w:pPr>
              <w:autoSpaceDE w:val="0"/>
              <w:autoSpaceDN w:val="0"/>
              <w:adjustRightInd w:val="0"/>
              <w:spacing w:before="20" w:after="20"/>
              <w:ind w:left="-89" w:right="-101"/>
              <w:jc w:val="center"/>
              <w:rPr>
                <w:rFonts w:eastAsia="Calibri" w:cs="Arial"/>
                <w:sz w:val="16"/>
                <w:szCs w:val="16"/>
              </w:rPr>
            </w:pPr>
            <w:r w:rsidRPr="00AA579B">
              <w:rPr>
                <w:rFonts w:eastAsia="Calibri" w:cs="Arial"/>
                <w:sz w:val="16"/>
                <w:szCs w:val="16"/>
              </w:rPr>
              <w:t>(-50, -37)</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067CAA0E" w14:textId="77777777" w:rsidR="008309D0" w:rsidRPr="00AA579B" w:rsidRDefault="008309D0" w:rsidP="00BD0F72">
            <w:pPr>
              <w:autoSpaceDE w:val="0"/>
              <w:autoSpaceDN w:val="0"/>
              <w:adjustRightInd w:val="0"/>
              <w:spacing w:before="20" w:after="20"/>
              <w:ind w:left="-79" w:right="-108"/>
              <w:jc w:val="center"/>
              <w:rPr>
                <w:rFonts w:eastAsia="Calibri" w:cs="Arial"/>
                <w:sz w:val="16"/>
                <w:szCs w:val="16"/>
              </w:rPr>
            </w:pPr>
            <w:r w:rsidRPr="00AA579B">
              <w:rPr>
                <w:rFonts w:eastAsia="Calibri" w:cs="Arial"/>
                <w:sz w:val="16"/>
                <w:szCs w:val="16"/>
              </w:rPr>
              <w:t>-34</w:t>
            </w:r>
          </w:p>
          <w:p w14:paraId="77949860" w14:textId="77777777" w:rsidR="008309D0" w:rsidRPr="00AA579B" w:rsidRDefault="008309D0" w:rsidP="00BD0F72">
            <w:pPr>
              <w:autoSpaceDE w:val="0"/>
              <w:autoSpaceDN w:val="0"/>
              <w:adjustRightInd w:val="0"/>
              <w:spacing w:before="20" w:after="20"/>
              <w:ind w:left="-79" w:right="-108"/>
              <w:jc w:val="center"/>
              <w:rPr>
                <w:rFonts w:eastAsia="Calibri" w:cs="Arial"/>
                <w:sz w:val="16"/>
                <w:szCs w:val="16"/>
              </w:rPr>
            </w:pPr>
            <w:r w:rsidRPr="00AA579B">
              <w:rPr>
                <w:rFonts w:eastAsia="Calibri" w:cs="Arial"/>
                <w:sz w:val="16"/>
                <w:szCs w:val="16"/>
              </w:rPr>
              <w:t>(-39, -30)</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1AA68B0C"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-34</w:t>
            </w:r>
          </w:p>
          <w:p w14:paraId="0230FBB1"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(-38, -30)</w:t>
            </w:r>
          </w:p>
        </w:tc>
        <w:tc>
          <w:tcPr>
            <w:tcW w:w="38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C346ED9"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-23</w:t>
            </w:r>
          </w:p>
          <w:p w14:paraId="728D417D"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(-26, -19)</w:t>
            </w:r>
          </w:p>
        </w:tc>
        <w:tc>
          <w:tcPr>
            <w:tcW w:w="36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0165445"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-30</w:t>
            </w:r>
          </w:p>
          <w:p w14:paraId="63AB9848"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(-35, -25)</w:t>
            </w:r>
          </w:p>
        </w:tc>
        <w:tc>
          <w:tcPr>
            <w:tcW w:w="3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8FDEB5B"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-1</w:t>
            </w:r>
          </w:p>
          <w:p w14:paraId="503ADCCC" w14:textId="77777777" w:rsidR="008309D0" w:rsidRPr="00AA579B" w:rsidDel="00DD0163" w:rsidRDefault="008309D0" w:rsidP="00BD0F72">
            <w:pPr>
              <w:keepNext/>
              <w:keepLines/>
              <w:spacing w:before="20" w:after="20"/>
              <w:jc w:val="center"/>
              <w:rPr>
                <w:rFonts w:eastAsia="Calibri" w:cs="Arial"/>
                <w:sz w:val="16"/>
                <w:szCs w:val="16"/>
              </w:rPr>
            </w:pPr>
            <w:r w:rsidRPr="00AA579B">
              <w:rPr>
                <w:rFonts w:eastAsia="Calibri" w:cs="Arial"/>
                <w:sz w:val="16"/>
                <w:szCs w:val="16"/>
              </w:rPr>
              <w:t>(-7, 5)</w:t>
            </w:r>
          </w:p>
        </w:tc>
        <w:tc>
          <w:tcPr>
            <w:tcW w:w="30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D3556AC"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7</w:t>
            </w:r>
          </w:p>
          <w:p w14:paraId="024AF927"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(4, 10)</w:t>
            </w:r>
          </w:p>
        </w:tc>
        <w:tc>
          <w:tcPr>
            <w:tcW w:w="379" w:type="pct"/>
            <w:tcBorders>
              <w:top w:val="single" w:sz="4" w:space="0" w:color="auto"/>
              <w:left w:val="single" w:sz="4" w:space="0" w:color="auto"/>
              <w:bottom w:val="single" w:sz="4" w:space="0" w:color="auto"/>
              <w:right w:val="single" w:sz="4" w:space="0" w:color="auto"/>
            </w:tcBorders>
            <w:vAlign w:val="center"/>
          </w:tcPr>
          <w:p w14:paraId="1144F99B"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-2</w:t>
            </w:r>
          </w:p>
          <w:p w14:paraId="1E2857C6"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(-9, 5)</w:t>
            </w:r>
          </w:p>
        </w:tc>
        <w:tc>
          <w:tcPr>
            <w:tcW w:w="303" w:type="pct"/>
            <w:tcBorders>
              <w:top w:val="single" w:sz="4" w:space="0" w:color="auto"/>
              <w:left w:val="single" w:sz="4" w:space="0" w:color="auto"/>
              <w:bottom w:val="single" w:sz="4" w:space="0" w:color="auto"/>
              <w:right w:val="single" w:sz="4" w:space="0" w:color="auto"/>
            </w:tcBorders>
            <w:vAlign w:val="center"/>
          </w:tcPr>
          <w:p w14:paraId="0CBC14B5"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7</w:t>
            </w:r>
          </w:p>
          <w:p w14:paraId="26732C10" w14:textId="77777777" w:rsidR="008309D0" w:rsidRPr="00AA579B" w:rsidDel="00DD0163" w:rsidRDefault="008309D0" w:rsidP="00BD0F72">
            <w:pPr>
              <w:keepNext/>
              <w:keepLines/>
              <w:spacing w:before="20" w:after="20"/>
              <w:jc w:val="center"/>
              <w:rPr>
                <w:rFonts w:eastAsia="Calibri" w:cs="Arial"/>
                <w:sz w:val="16"/>
                <w:szCs w:val="16"/>
              </w:rPr>
            </w:pPr>
            <w:r w:rsidRPr="00AA579B">
              <w:rPr>
                <w:rFonts w:eastAsia="Calibri" w:cs="Arial"/>
                <w:sz w:val="16"/>
                <w:szCs w:val="16"/>
              </w:rPr>
              <w:t>(4, 9)</w:t>
            </w:r>
          </w:p>
        </w:tc>
        <w:tc>
          <w:tcPr>
            <w:tcW w:w="379" w:type="pct"/>
            <w:tcBorders>
              <w:top w:val="single" w:sz="4" w:space="0" w:color="auto"/>
              <w:left w:val="single" w:sz="4" w:space="0" w:color="auto"/>
              <w:bottom w:val="single" w:sz="4" w:space="0" w:color="auto"/>
              <w:right w:val="single" w:sz="4" w:space="0" w:color="auto"/>
            </w:tcBorders>
            <w:vAlign w:val="center"/>
          </w:tcPr>
          <w:p w14:paraId="2B6E2028"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-27</w:t>
            </w:r>
          </w:p>
          <w:p w14:paraId="3AD456CE"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(-30, -23)</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F12E01E"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-38</w:t>
            </w:r>
          </w:p>
          <w:p w14:paraId="122CE373" w14:textId="77777777" w:rsidR="008309D0" w:rsidRPr="00AA579B" w:rsidDel="00DD0163" w:rsidRDefault="008309D0" w:rsidP="00BD0F72">
            <w:pPr>
              <w:keepNext/>
              <w:keepLines/>
              <w:spacing w:before="20" w:after="20"/>
              <w:jc w:val="center"/>
              <w:rPr>
                <w:rFonts w:eastAsia="Calibri" w:cs="Arial"/>
                <w:sz w:val="16"/>
                <w:szCs w:val="16"/>
              </w:rPr>
            </w:pPr>
            <w:r w:rsidRPr="00AA579B">
              <w:rPr>
                <w:rFonts w:eastAsia="Calibri" w:cs="Arial"/>
                <w:sz w:val="16"/>
                <w:szCs w:val="16"/>
              </w:rPr>
              <w:t>(-42, -34)</w:t>
            </w:r>
          </w:p>
        </w:tc>
      </w:tr>
      <w:tr w:rsidR="0050303A" w:rsidRPr="006F02BE" w14:paraId="565D5D0D" w14:textId="77777777" w:rsidTr="0050303A">
        <w:trPr>
          <w:trHeight w:val="248"/>
        </w:trPr>
        <w:tc>
          <w:tcPr>
            <w:tcW w:w="609" w:type="pct"/>
            <w:vMerge/>
            <w:tcBorders>
              <w:top w:val="single" w:sz="4" w:space="0" w:color="auto"/>
              <w:left w:val="single" w:sz="4" w:space="0" w:color="auto"/>
              <w:bottom w:val="single" w:sz="4" w:space="0" w:color="auto"/>
              <w:right w:val="single" w:sz="4" w:space="0" w:color="auto"/>
            </w:tcBorders>
            <w:vAlign w:val="center"/>
          </w:tcPr>
          <w:p w14:paraId="2E22C7D2" w14:textId="77777777" w:rsidR="008309D0" w:rsidRPr="00AA579B" w:rsidRDefault="008309D0" w:rsidP="00BD0F72">
            <w:pPr>
              <w:keepNext/>
              <w:spacing w:before="20" w:after="20"/>
              <w:jc w:val="center"/>
              <w:rPr>
                <w:rFonts w:eastAsia="Calibri" w:cs="Arial"/>
                <w:sz w:val="16"/>
                <w:szCs w:val="16"/>
                <w:highlight w:val="yellow"/>
              </w:rPr>
            </w:pPr>
          </w:p>
        </w:tc>
        <w:tc>
          <w:tcPr>
            <w:tcW w:w="454"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07587CC3" w14:textId="77777777" w:rsidR="008309D0" w:rsidRPr="00AA579B" w:rsidRDefault="008309D0" w:rsidP="00BD0F72">
            <w:pPr>
              <w:keepNext/>
              <w:spacing w:before="20" w:after="20"/>
              <w:jc w:val="center"/>
              <w:rPr>
                <w:rFonts w:eastAsia="Calibri" w:cs="Arial"/>
                <w:sz w:val="16"/>
                <w:szCs w:val="16"/>
              </w:rPr>
            </w:pPr>
            <w:r w:rsidRPr="00AA579B">
              <w:rPr>
                <w:rFonts w:eastAsia="Calibri" w:cs="Arial"/>
                <w:sz w:val="16"/>
                <w:szCs w:val="16"/>
              </w:rPr>
              <w:t>420 mg QM (N=220)</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68B70487" w14:textId="77777777" w:rsidR="008309D0" w:rsidRPr="00AA579B" w:rsidRDefault="008309D0" w:rsidP="00BD0F72">
            <w:pPr>
              <w:autoSpaceDE w:val="0"/>
              <w:autoSpaceDN w:val="0"/>
              <w:adjustRightInd w:val="0"/>
              <w:spacing w:before="20" w:after="20"/>
              <w:ind w:left="-89" w:right="-101"/>
              <w:jc w:val="center"/>
              <w:rPr>
                <w:rFonts w:eastAsia="Calibri" w:cs="Arial"/>
                <w:sz w:val="16"/>
                <w:szCs w:val="16"/>
                <w:vertAlign w:val="superscript"/>
              </w:rPr>
            </w:pPr>
            <w:r w:rsidRPr="00AA579B">
              <w:rPr>
                <w:rFonts w:eastAsia="Calibri" w:cs="Arial"/>
                <w:sz w:val="16"/>
                <w:szCs w:val="16"/>
              </w:rPr>
              <w:t>-46</w:t>
            </w:r>
          </w:p>
          <w:p w14:paraId="50359804" w14:textId="77777777" w:rsidR="008309D0" w:rsidRPr="00AA579B" w:rsidRDefault="008309D0" w:rsidP="00BD0F72">
            <w:pPr>
              <w:autoSpaceDE w:val="0"/>
              <w:autoSpaceDN w:val="0"/>
              <w:adjustRightInd w:val="0"/>
              <w:spacing w:before="20" w:after="20"/>
              <w:ind w:left="-89" w:right="-101"/>
              <w:jc w:val="center"/>
              <w:rPr>
                <w:rFonts w:eastAsia="Calibri" w:cs="Arial"/>
                <w:sz w:val="16"/>
                <w:szCs w:val="16"/>
              </w:rPr>
            </w:pPr>
            <w:r w:rsidRPr="00AA579B">
              <w:rPr>
                <w:rFonts w:eastAsia="Calibri" w:cs="Arial"/>
                <w:sz w:val="16"/>
                <w:szCs w:val="16"/>
              </w:rPr>
              <w:t>(-51, -40)</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3315BDA7" w14:textId="77777777" w:rsidR="008309D0" w:rsidRPr="00AA579B" w:rsidRDefault="008309D0" w:rsidP="00BD0F72">
            <w:pPr>
              <w:autoSpaceDE w:val="0"/>
              <w:autoSpaceDN w:val="0"/>
              <w:adjustRightInd w:val="0"/>
              <w:spacing w:before="20" w:after="20"/>
              <w:ind w:left="-79" w:right="-108"/>
              <w:jc w:val="center"/>
              <w:rPr>
                <w:rFonts w:eastAsia="Calibri" w:cs="Arial"/>
                <w:sz w:val="16"/>
                <w:szCs w:val="16"/>
                <w:vertAlign w:val="superscript"/>
              </w:rPr>
            </w:pPr>
            <w:r w:rsidRPr="00AA579B">
              <w:rPr>
                <w:rFonts w:eastAsia="Calibri" w:cs="Arial"/>
                <w:sz w:val="16"/>
                <w:szCs w:val="16"/>
              </w:rPr>
              <w:t>-39</w:t>
            </w:r>
          </w:p>
          <w:p w14:paraId="64196E3B" w14:textId="77777777" w:rsidR="008309D0" w:rsidRPr="00AA579B" w:rsidRDefault="008309D0" w:rsidP="00BD0F72">
            <w:pPr>
              <w:autoSpaceDE w:val="0"/>
              <w:autoSpaceDN w:val="0"/>
              <w:adjustRightInd w:val="0"/>
              <w:spacing w:before="20" w:after="20"/>
              <w:ind w:left="-79" w:right="-108"/>
              <w:jc w:val="center"/>
              <w:rPr>
                <w:rFonts w:eastAsia="Calibri" w:cs="Arial"/>
                <w:sz w:val="16"/>
                <w:szCs w:val="16"/>
              </w:rPr>
            </w:pPr>
            <w:r w:rsidRPr="00AA579B">
              <w:rPr>
                <w:rFonts w:eastAsia="Calibri" w:cs="Arial"/>
                <w:sz w:val="16"/>
                <w:szCs w:val="16"/>
              </w:rPr>
              <w:t>(-43, -34)</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EA6C0F9"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-40</w:t>
            </w:r>
          </w:p>
          <w:p w14:paraId="1E45EDBF"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(-44, -36)</w:t>
            </w:r>
          </w:p>
        </w:tc>
        <w:tc>
          <w:tcPr>
            <w:tcW w:w="38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BBE7154"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-25</w:t>
            </w:r>
          </w:p>
          <w:p w14:paraId="540EA584"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(-29, -22)</w:t>
            </w:r>
          </w:p>
        </w:tc>
        <w:tc>
          <w:tcPr>
            <w:tcW w:w="36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50F0987C"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-33</w:t>
            </w:r>
          </w:p>
          <w:p w14:paraId="3916BD97"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(-41, -26)</w:t>
            </w:r>
          </w:p>
        </w:tc>
        <w:tc>
          <w:tcPr>
            <w:tcW w:w="3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8741CF4"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-7</w:t>
            </w:r>
          </w:p>
          <w:p w14:paraId="598780F9" w14:textId="77777777" w:rsidR="008309D0" w:rsidRPr="00AA579B" w:rsidDel="00911E44" w:rsidRDefault="008309D0" w:rsidP="00BD0F72">
            <w:pPr>
              <w:keepNext/>
              <w:keepLines/>
              <w:spacing w:before="20" w:after="20"/>
              <w:jc w:val="center"/>
              <w:rPr>
                <w:rFonts w:eastAsia="Calibri" w:cs="Arial"/>
                <w:sz w:val="16"/>
                <w:szCs w:val="16"/>
              </w:rPr>
            </w:pPr>
            <w:r w:rsidRPr="00AA579B">
              <w:rPr>
                <w:rFonts w:eastAsia="Calibri" w:cs="Arial"/>
                <w:sz w:val="16"/>
                <w:szCs w:val="16"/>
              </w:rPr>
              <w:t>(-20, 6)</w:t>
            </w:r>
          </w:p>
        </w:tc>
        <w:tc>
          <w:tcPr>
            <w:tcW w:w="30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3E6BC379"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8</w:t>
            </w:r>
          </w:p>
          <w:p w14:paraId="4736CBD4"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(5, 12)</w:t>
            </w:r>
          </w:p>
        </w:tc>
        <w:tc>
          <w:tcPr>
            <w:tcW w:w="379" w:type="pct"/>
            <w:tcBorders>
              <w:top w:val="single" w:sz="4" w:space="0" w:color="auto"/>
              <w:left w:val="single" w:sz="4" w:space="0" w:color="auto"/>
              <w:bottom w:val="single" w:sz="4" w:space="0" w:color="auto"/>
              <w:right w:val="single" w:sz="4" w:space="0" w:color="auto"/>
            </w:tcBorders>
            <w:vAlign w:val="center"/>
          </w:tcPr>
          <w:p w14:paraId="1C3659D0"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-8</w:t>
            </w:r>
          </w:p>
          <w:p w14:paraId="6C203336" w14:textId="77777777" w:rsidR="008309D0" w:rsidRPr="00AA579B" w:rsidRDefault="008309D0" w:rsidP="00A10C72">
            <w:pPr>
              <w:keepNext/>
              <w:keepLines/>
              <w:spacing w:before="20" w:after="20"/>
              <w:jc w:val="center"/>
              <w:rPr>
                <w:rFonts w:eastAsia="Calibri" w:cs="Arial"/>
                <w:sz w:val="16"/>
                <w:szCs w:val="16"/>
              </w:rPr>
            </w:pPr>
            <w:r w:rsidRPr="00AA579B">
              <w:rPr>
                <w:rFonts w:eastAsia="Calibri" w:cs="Arial"/>
                <w:sz w:val="16"/>
                <w:szCs w:val="16"/>
              </w:rPr>
              <w:t>(-21, 5)</w:t>
            </w:r>
          </w:p>
        </w:tc>
        <w:tc>
          <w:tcPr>
            <w:tcW w:w="303" w:type="pct"/>
            <w:tcBorders>
              <w:top w:val="single" w:sz="4" w:space="0" w:color="auto"/>
              <w:left w:val="single" w:sz="4" w:space="0" w:color="auto"/>
              <w:bottom w:val="single" w:sz="4" w:space="0" w:color="auto"/>
              <w:right w:val="single" w:sz="4" w:space="0" w:color="auto"/>
            </w:tcBorders>
            <w:vAlign w:val="center"/>
          </w:tcPr>
          <w:p w14:paraId="2A5996BB"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7</w:t>
            </w:r>
          </w:p>
          <w:p w14:paraId="49F83E01"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(2, 11)</w:t>
            </w:r>
          </w:p>
        </w:tc>
        <w:tc>
          <w:tcPr>
            <w:tcW w:w="379" w:type="pct"/>
            <w:tcBorders>
              <w:top w:val="single" w:sz="4" w:space="0" w:color="auto"/>
              <w:left w:val="single" w:sz="4" w:space="0" w:color="auto"/>
              <w:bottom w:val="single" w:sz="4" w:space="0" w:color="auto"/>
              <w:right w:val="single" w:sz="4" w:space="0" w:color="auto"/>
            </w:tcBorders>
            <w:vAlign w:val="center"/>
          </w:tcPr>
          <w:p w14:paraId="536F7D6F"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-30</w:t>
            </w:r>
          </w:p>
          <w:p w14:paraId="772BF9B1"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(-34, -26)</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6D16EA7E"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-42</w:t>
            </w:r>
          </w:p>
          <w:p w14:paraId="232ED2E5"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(-47, -38)</w:t>
            </w:r>
          </w:p>
        </w:tc>
      </w:tr>
      <w:tr w:rsidR="0050303A" w:rsidRPr="006F02BE" w14:paraId="12087D30" w14:textId="77777777" w:rsidTr="0050303A">
        <w:trPr>
          <w:trHeight w:val="248"/>
        </w:trPr>
        <w:tc>
          <w:tcPr>
            <w:tcW w:w="609" w:type="pct"/>
            <w:vMerge w:val="restart"/>
            <w:tcBorders>
              <w:top w:val="single" w:sz="4" w:space="0" w:color="auto"/>
              <w:left w:val="single" w:sz="4" w:space="0" w:color="auto"/>
              <w:bottom w:val="single" w:sz="4" w:space="0" w:color="auto"/>
              <w:right w:val="single" w:sz="4" w:space="0" w:color="auto"/>
            </w:tcBorders>
            <w:vAlign w:val="center"/>
            <w:hideMark/>
          </w:tcPr>
          <w:p w14:paraId="56C7AEF6" w14:textId="77777777" w:rsidR="008309D0" w:rsidRDefault="003A2918" w:rsidP="00BD0F72">
            <w:pPr>
              <w:keepNext/>
              <w:jc w:val="center"/>
              <w:rPr>
                <w:rFonts w:eastAsia="Calibri" w:cs="Arial"/>
                <w:sz w:val="16"/>
                <w:szCs w:val="16"/>
              </w:rPr>
            </w:pPr>
            <w:r>
              <w:rPr>
                <w:rFonts w:eastAsia="Calibri" w:cs="Arial"/>
                <w:sz w:val="16"/>
                <w:szCs w:val="16"/>
              </w:rPr>
              <w:t>GAUSS-</w:t>
            </w:r>
            <w:r w:rsidR="008309D0">
              <w:rPr>
                <w:rFonts w:eastAsia="Calibri" w:cs="Arial"/>
                <w:sz w:val="16"/>
                <w:szCs w:val="16"/>
              </w:rPr>
              <w:t>2</w:t>
            </w:r>
          </w:p>
          <w:p w14:paraId="458FFB25" w14:textId="77777777" w:rsidR="008309D0" w:rsidRPr="00D07730" w:rsidRDefault="008309D0" w:rsidP="00BD0F72">
            <w:pPr>
              <w:keepNext/>
              <w:jc w:val="center"/>
              <w:rPr>
                <w:rFonts w:eastAsia="Calibri" w:cs="Arial"/>
                <w:sz w:val="16"/>
                <w:szCs w:val="16"/>
              </w:rPr>
            </w:pPr>
            <w:r w:rsidRPr="00D07730">
              <w:rPr>
                <w:rFonts w:eastAsia="Calibri" w:cs="Arial"/>
                <w:sz w:val="16"/>
                <w:szCs w:val="16"/>
              </w:rPr>
              <w:t>(Statin intolerant)</w:t>
            </w:r>
          </w:p>
        </w:tc>
        <w:tc>
          <w:tcPr>
            <w:tcW w:w="454"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hideMark/>
          </w:tcPr>
          <w:p w14:paraId="3FA283DF" w14:textId="77777777" w:rsidR="008309D0" w:rsidRPr="00AA579B" w:rsidRDefault="008309D0" w:rsidP="00BD0F72">
            <w:pPr>
              <w:keepNext/>
              <w:spacing w:before="20" w:after="20"/>
              <w:jc w:val="center"/>
              <w:rPr>
                <w:rFonts w:eastAsia="Calibri" w:cs="Arial"/>
                <w:sz w:val="16"/>
                <w:szCs w:val="16"/>
              </w:rPr>
            </w:pPr>
            <w:r w:rsidRPr="00AA579B">
              <w:rPr>
                <w:rFonts w:eastAsia="Calibri" w:cs="Arial"/>
                <w:sz w:val="16"/>
                <w:szCs w:val="16"/>
              </w:rPr>
              <w:t>140 mg Q2W (N=103)</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hideMark/>
          </w:tcPr>
          <w:p w14:paraId="58A9DC26" w14:textId="77777777" w:rsidR="008309D0" w:rsidRPr="00AA579B" w:rsidRDefault="008309D0" w:rsidP="00BD0F72">
            <w:pPr>
              <w:keepNext/>
              <w:keepLines/>
              <w:spacing w:before="20" w:after="20"/>
              <w:ind w:left="-103" w:right="-99"/>
              <w:jc w:val="center"/>
              <w:rPr>
                <w:rFonts w:eastAsia="Calibri" w:cs="Arial"/>
                <w:sz w:val="16"/>
                <w:szCs w:val="16"/>
                <w:vertAlign w:val="superscript"/>
              </w:rPr>
            </w:pPr>
            <w:r w:rsidRPr="00AA579B">
              <w:rPr>
                <w:rFonts w:eastAsia="Calibri" w:cs="Arial"/>
                <w:sz w:val="16"/>
                <w:szCs w:val="16"/>
              </w:rPr>
              <w:t>-38</w:t>
            </w:r>
            <w:r w:rsidRPr="00AA579B">
              <w:rPr>
                <w:rFonts w:eastAsia="Calibri" w:cs="Arial"/>
                <w:sz w:val="16"/>
                <w:szCs w:val="16"/>
                <w:vertAlign w:val="superscript"/>
              </w:rPr>
              <w:t>b</w:t>
            </w:r>
          </w:p>
          <w:p w14:paraId="076F8B5B" w14:textId="77777777" w:rsidR="008309D0" w:rsidRPr="00AA579B" w:rsidRDefault="008309D0" w:rsidP="00BD0F72">
            <w:pPr>
              <w:keepNext/>
              <w:keepLines/>
              <w:spacing w:before="20" w:after="20"/>
              <w:ind w:left="-103" w:right="-99"/>
              <w:jc w:val="center"/>
              <w:rPr>
                <w:rFonts w:eastAsia="Calibri" w:cs="Arial"/>
                <w:sz w:val="16"/>
                <w:szCs w:val="16"/>
              </w:rPr>
            </w:pPr>
            <w:r w:rsidRPr="00AA579B">
              <w:rPr>
                <w:rFonts w:eastAsia="Calibri" w:cs="Arial"/>
                <w:sz w:val="16"/>
                <w:szCs w:val="16"/>
              </w:rPr>
              <w:t>(-44, -33)</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hideMark/>
          </w:tcPr>
          <w:p w14:paraId="5D41C499" w14:textId="77777777" w:rsidR="008309D0" w:rsidRPr="00AA579B" w:rsidRDefault="008309D0" w:rsidP="00BD0F72">
            <w:pPr>
              <w:keepNext/>
              <w:keepLines/>
              <w:spacing w:before="20" w:after="20"/>
              <w:ind w:left="-107" w:right="-71"/>
              <w:jc w:val="center"/>
              <w:rPr>
                <w:rFonts w:eastAsia="Calibri" w:cs="Arial"/>
                <w:sz w:val="16"/>
                <w:szCs w:val="16"/>
                <w:vertAlign w:val="superscript"/>
              </w:rPr>
            </w:pPr>
            <w:r w:rsidRPr="00AA579B">
              <w:rPr>
                <w:rFonts w:eastAsia="Calibri" w:cs="Arial"/>
                <w:sz w:val="16"/>
                <w:szCs w:val="16"/>
              </w:rPr>
              <w:t>-32</w:t>
            </w:r>
            <w:r w:rsidRPr="00AA579B">
              <w:rPr>
                <w:rFonts w:eastAsia="Calibri" w:cs="Arial"/>
                <w:sz w:val="16"/>
                <w:szCs w:val="16"/>
                <w:vertAlign w:val="superscript"/>
              </w:rPr>
              <w:t>b</w:t>
            </w:r>
          </w:p>
          <w:p w14:paraId="3F2017AB" w14:textId="77777777" w:rsidR="008309D0" w:rsidRPr="00AA579B" w:rsidRDefault="008309D0" w:rsidP="00BD0F72">
            <w:pPr>
              <w:keepNext/>
              <w:keepLines/>
              <w:spacing w:before="20" w:after="20"/>
              <w:ind w:left="-107" w:right="-71"/>
              <w:jc w:val="center"/>
              <w:rPr>
                <w:rFonts w:eastAsia="Calibri" w:cs="Arial"/>
                <w:sz w:val="16"/>
                <w:szCs w:val="16"/>
              </w:rPr>
            </w:pPr>
            <w:r w:rsidRPr="00AA579B">
              <w:rPr>
                <w:rFonts w:eastAsia="Calibri" w:cs="Arial"/>
                <w:sz w:val="16"/>
                <w:szCs w:val="16"/>
              </w:rPr>
              <w:t>(-36, -27)</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4D38DF26"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-32</w:t>
            </w:r>
            <w:r w:rsidRPr="00AA579B">
              <w:rPr>
                <w:rFonts w:eastAsia="Calibri" w:cs="Arial"/>
                <w:sz w:val="16"/>
                <w:szCs w:val="16"/>
                <w:vertAlign w:val="superscript"/>
              </w:rPr>
              <w:t>b</w:t>
            </w:r>
          </w:p>
          <w:p w14:paraId="19D5A174"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(-37, -27)</w:t>
            </w:r>
          </w:p>
        </w:tc>
        <w:tc>
          <w:tcPr>
            <w:tcW w:w="38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339FA127"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-24</w:t>
            </w:r>
            <w:r w:rsidRPr="00AA579B">
              <w:rPr>
                <w:rFonts w:eastAsia="Calibri" w:cs="Arial"/>
                <w:sz w:val="16"/>
                <w:szCs w:val="16"/>
                <w:vertAlign w:val="superscript"/>
              </w:rPr>
              <w:t>b</w:t>
            </w:r>
          </w:p>
          <w:p w14:paraId="0DF62FFC"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(-28, -20)</w:t>
            </w:r>
          </w:p>
        </w:tc>
        <w:tc>
          <w:tcPr>
            <w:tcW w:w="36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389B8FB8" w14:textId="77777777" w:rsidR="008309D0" w:rsidRPr="00AA579B" w:rsidRDefault="008309D0" w:rsidP="00BD0F72">
            <w:pPr>
              <w:keepNext/>
              <w:keepLines/>
              <w:spacing w:before="20" w:after="20"/>
              <w:jc w:val="center"/>
              <w:rPr>
                <w:rFonts w:eastAsia="Calibri" w:cs="Arial"/>
                <w:sz w:val="16"/>
                <w:szCs w:val="16"/>
                <w:vertAlign w:val="superscript"/>
              </w:rPr>
            </w:pPr>
            <w:r w:rsidRPr="00AA579B">
              <w:rPr>
                <w:rFonts w:eastAsia="Calibri" w:cs="Arial"/>
                <w:sz w:val="16"/>
                <w:szCs w:val="16"/>
              </w:rPr>
              <w:t>-24</w:t>
            </w:r>
            <w:r w:rsidRPr="00AA579B">
              <w:rPr>
                <w:rFonts w:eastAsia="Calibri" w:cs="Arial"/>
                <w:sz w:val="16"/>
                <w:szCs w:val="16"/>
                <w:vertAlign w:val="superscript"/>
              </w:rPr>
              <w:t>b</w:t>
            </w:r>
          </w:p>
          <w:p w14:paraId="42E55006"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(-31, -17)</w:t>
            </w:r>
          </w:p>
        </w:tc>
        <w:tc>
          <w:tcPr>
            <w:tcW w:w="3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723BC946"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-2</w:t>
            </w:r>
          </w:p>
          <w:p w14:paraId="7AA56D20"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(-10, 7)</w:t>
            </w:r>
          </w:p>
        </w:tc>
        <w:tc>
          <w:tcPr>
            <w:tcW w:w="30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375857A4"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5</w:t>
            </w:r>
          </w:p>
          <w:p w14:paraId="53270186"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(1, 10)</w:t>
            </w:r>
          </w:p>
        </w:tc>
        <w:tc>
          <w:tcPr>
            <w:tcW w:w="379" w:type="pct"/>
            <w:tcBorders>
              <w:top w:val="single" w:sz="4" w:space="0" w:color="auto"/>
              <w:left w:val="single" w:sz="4" w:space="0" w:color="auto"/>
              <w:bottom w:val="single" w:sz="4" w:space="0" w:color="auto"/>
              <w:right w:val="single" w:sz="4" w:space="0" w:color="auto"/>
            </w:tcBorders>
            <w:vAlign w:val="center"/>
            <w:hideMark/>
          </w:tcPr>
          <w:p w14:paraId="1A724E72"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-3</w:t>
            </w:r>
          </w:p>
          <w:p w14:paraId="2E3819F2"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(-11, 6)</w:t>
            </w:r>
          </w:p>
        </w:tc>
        <w:tc>
          <w:tcPr>
            <w:tcW w:w="303" w:type="pct"/>
            <w:tcBorders>
              <w:top w:val="single" w:sz="4" w:space="0" w:color="auto"/>
              <w:left w:val="single" w:sz="4" w:space="0" w:color="auto"/>
              <w:bottom w:val="single" w:sz="4" w:space="0" w:color="auto"/>
              <w:right w:val="single" w:sz="4" w:space="0" w:color="auto"/>
            </w:tcBorders>
            <w:vAlign w:val="center"/>
          </w:tcPr>
          <w:p w14:paraId="39482B09"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5</w:t>
            </w:r>
            <w:r w:rsidRPr="00AA579B">
              <w:rPr>
                <w:rFonts w:eastAsia="Calibri" w:cs="Arial"/>
                <w:sz w:val="16"/>
                <w:szCs w:val="16"/>
                <w:vertAlign w:val="superscript"/>
              </w:rPr>
              <w:t>a</w:t>
            </w:r>
          </w:p>
          <w:p w14:paraId="20A7D51C"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(2, 9)</w:t>
            </w:r>
          </w:p>
        </w:tc>
        <w:tc>
          <w:tcPr>
            <w:tcW w:w="379" w:type="pct"/>
            <w:tcBorders>
              <w:top w:val="single" w:sz="4" w:space="0" w:color="auto"/>
              <w:left w:val="single" w:sz="4" w:space="0" w:color="auto"/>
              <w:bottom w:val="single" w:sz="4" w:space="0" w:color="auto"/>
              <w:right w:val="single" w:sz="4" w:space="0" w:color="auto"/>
            </w:tcBorders>
            <w:vAlign w:val="center"/>
          </w:tcPr>
          <w:p w14:paraId="61A748AB"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-27</w:t>
            </w:r>
            <w:r w:rsidRPr="00AA579B">
              <w:rPr>
                <w:rFonts w:eastAsia="Calibri" w:cs="Arial"/>
                <w:sz w:val="16"/>
                <w:szCs w:val="16"/>
                <w:vertAlign w:val="superscript"/>
              </w:rPr>
              <w:t>b</w:t>
            </w:r>
          </w:p>
          <w:p w14:paraId="699BBC7C"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(-32, -23)</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169ABE43"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-35</w:t>
            </w:r>
            <w:r w:rsidRPr="00AA579B">
              <w:rPr>
                <w:rFonts w:eastAsia="Calibri" w:cs="Arial"/>
                <w:sz w:val="16"/>
                <w:szCs w:val="16"/>
                <w:vertAlign w:val="superscript"/>
              </w:rPr>
              <w:t>b</w:t>
            </w:r>
          </w:p>
          <w:p w14:paraId="4981C251" w14:textId="77777777" w:rsidR="008309D0" w:rsidRPr="00AA579B" w:rsidRDefault="008309D0" w:rsidP="00BD0F72">
            <w:pPr>
              <w:keepNext/>
              <w:keepLines/>
              <w:spacing w:before="20" w:after="20"/>
              <w:jc w:val="center"/>
              <w:rPr>
                <w:rFonts w:eastAsia="Calibri" w:cs="Arial"/>
                <w:sz w:val="16"/>
                <w:szCs w:val="16"/>
              </w:rPr>
            </w:pPr>
            <w:r w:rsidRPr="00AA579B">
              <w:rPr>
                <w:rFonts w:eastAsia="Calibri" w:cs="Arial"/>
                <w:sz w:val="16"/>
                <w:szCs w:val="16"/>
              </w:rPr>
              <w:t>(-40, -30)</w:t>
            </w:r>
          </w:p>
        </w:tc>
      </w:tr>
      <w:tr w:rsidR="0050303A" w:rsidRPr="006F02BE" w14:paraId="661231AA" w14:textId="77777777" w:rsidTr="0050303A">
        <w:trPr>
          <w:trHeight w:val="725"/>
        </w:trPr>
        <w:tc>
          <w:tcPr>
            <w:tcW w:w="609" w:type="pct"/>
            <w:vMerge/>
            <w:tcBorders>
              <w:top w:val="single" w:sz="4" w:space="0" w:color="auto"/>
              <w:left w:val="single" w:sz="4" w:space="0" w:color="auto"/>
              <w:bottom w:val="single" w:sz="4" w:space="0" w:color="auto"/>
              <w:right w:val="single" w:sz="4" w:space="0" w:color="auto"/>
            </w:tcBorders>
            <w:vAlign w:val="center"/>
            <w:hideMark/>
          </w:tcPr>
          <w:p w14:paraId="6AB75328" w14:textId="77777777" w:rsidR="00BD0F72" w:rsidRPr="00AA579B" w:rsidRDefault="00BD0F72" w:rsidP="00BD0F72">
            <w:pPr>
              <w:keepNext/>
              <w:spacing w:before="20" w:after="20"/>
              <w:jc w:val="center"/>
              <w:rPr>
                <w:rFonts w:eastAsia="Calibri" w:cs="Arial"/>
                <w:sz w:val="16"/>
                <w:szCs w:val="16"/>
              </w:rPr>
            </w:pPr>
          </w:p>
        </w:tc>
        <w:tc>
          <w:tcPr>
            <w:tcW w:w="454"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hideMark/>
          </w:tcPr>
          <w:p w14:paraId="15FE12A1" w14:textId="77777777" w:rsidR="00BD0F72" w:rsidRPr="00AA579B" w:rsidRDefault="00BD0F72" w:rsidP="00BD0F72">
            <w:pPr>
              <w:keepNext/>
              <w:spacing w:before="20" w:after="20"/>
              <w:jc w:val="center"/>
              <w:rPr>
                <w:rFonts w:eastAsia="Calibri" w:cs="Arial"/>
                <w:sz w:val="16"/>
                <w:szCs w:val="16"/>
              </w:rPr>
            </w:pPr>
            <w:r w:rsidRPr="00AA579B">
              <w:rPr>
                <w:rFonts w:eastAsia="Calibri" w:cs="Arial"/>
                <w:sz w:val="16"/>
                <w:szCs w:val="16"/>
              </w:rPr>
              <w:t>420 mg QM (N=102)</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hideMark/>
          </w:tcPr>
          <w:p w14:paraId="4F1D6FF2" w14:textId="77777777" w:rsidR="00BD0F72" w:rsidRPr="00AA579B" w:rsidRDefault="00BD0F72" w:rsidP="00BD0F72">
            <w:pPr>
              <w:keepNext/>
              <w:keepLines/>
              <w:spacing w:before="20" w:after="20"/>
              <w:ind w:left="-103" w:right="-99"/>
              <w:jc w:val="center"/>
              <w:rPr>
                <w:rFonts w:eastAsia="Calibri" w:cs="Arial"/>
                <w:sz w:val="16"/>
                <w:szCs w:val="16"/>
                <w:vertAlign w:val="superscript"/>
              </w:rPr>
            </w:pPr>
            <w:r w:rsidRPr="00AA579B">
              <w:rPr>
                <w:rFonts w:eastAsia="Calibri" w:cs="Arial"/>
                <w:sz w:val="16"/>
                <w:szCs w:val="16"/>
              </w:rPr>
              <w:t>-39</w:t>
            </w:r>
            <w:r w:rsidRPr="00AA579B">
              <w:rPr>
                <w:rFonts w:eastAsia="Calibri" w:cs="Arial"/>
                <w:sz w:val="16"/>
                <w:szCs w:val="16"/>
                <w:vertAlign w:val="superscript"/>
              </w:rPr>
              <w:t>b</w:t>
            </w:r>
          </w:p>
          <w:p w14:paraId="375C7F5D" w14:textId="77777777" w:rsidR="00BD0F72" w:rsidRPr="00AA579B" w:rsidRDefault="00BD0F72" w:rsidP="00BD0F72">
            <w:pPr>
              <w:keepNext/>
              <w:keepLines/>
              <w:spacing w:before="20" w:after="20"/>
              <w:ind w:left="-103" w:right="-99"/>
              <w:jc w:val="center"/>
              <w:rPr>
                <w:rFonts w:eastAsia="Calibri" w:cs="Arial"/>
                <w:sz w:val="16"/>
                <w:szCs w:val="16"/>
              </w:rPr>
            </w:pPr>
            <w:r w:rsidRPr="00AA579B">
              <w:rPr>
                <w:rFonts w:eastAsia="Calibri" w:cs="Arial"/>
                <w:sz w:val="16"/>
                <w:szCs w:val="16"/>
              </w:rPr>
              <w:t>(-44, -35)</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hideMark/>
          </w:tcPr>
          <w:p w14:paraId="728EF490" w14:textId="77777777" w:rsidR="00BD0F72" w:rsidRPr="00AA579B" w:rsidRDefault="00BD0F72" w:rsidP="00BD0F72">
            <w:pPr>
              <w:keepNext/>
              <w:keepLines/>
              <w:spacing w:before="20" w:after="20"/>
              <w:ind w:left="-107" w:right="-71"/>
              <w:jc w:val="center"/>
              <w:rPr>
                <w:rFonts w:eastAsia="Calibri" w:cs="Arial"/>
                <w:sz w:val="16"/>
                <w:szCs w:val="16"/>
                <w:vertAlign w:val="superscript"/>
              </w:rPr>
            </w:pPr>
            <w:r w:rsidRPr="00AA579B">
              <w:rPr>
                <w:rFonts w:eastAsia="Calibri" w:cs="Arial"/>
                <w:sz w:val="16"/>
                <w:szCs w:val="16"/>
              </w:rPr>
              <w:t>-35</w:t>
            </w:r>
            <w:r w:rsidRPr="00AA579B">
              <w:rPr>
                <w:rFonts w:eastAsia="Calibri" w:cs="Arial"/>
                <w:sz w:val="16"/>
                <w:szCs w:val="16"/>
                <w:vertAlign w:val="superscript"/>
              </w:rPr>
              <w:t>b</w:t>
            </w:r>
          </w:p>
          <w:p w14:paraId="71493A16" w14:textId="77777777" w:rsidR="00BD0F72" w:rsidRPr="00AA579B" w:rsidRDefault="00BD0F72" w:rsidP="00BD0F72">
            <w:pPr>
              <w:keepNext/>
              <w:keepLines/>
              <w:spacing w:before="20" w:after="20"/>
              <w:ind w:left="-107" w:right="-71"/>
              <w:jc w:val="center"/>
              <w:rPr>
                <w:rFonts w:eastAsia="Calibri" w:cs="Arial"/>
                <w:sz w:val="16"/>
                <w:szCs w:val="16"/>
              </w:rPr>
            </w:pPr>
            <w:r w:rsidRPr="00AA579B">
              <w:rPr>
                <w:rFonts w:eastAsia="Calibri" w:cs="Arial"/>
                <w:sz w:val="16"/>
                <w:szCs w:val="16"/>
              </w:rPr>
              <w:t>(-39, -31)</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21464EE9" w14:textId="77777777" w:rsidR="00BD0F72" w:rsidRPr="00AA579B" w:rsidRDefault="00BD0F72" w:rsidP="00BD0F72">
            <w:pPr>
              <w:keepNext/>
              <w:keepLines/>
              <w:spacing w:before="20" w:after="20"/>
              <w:jc w:val="center"/>
              <w:rPr>
                <w:rFonts w:eastAsia="Calibri" w:cs="Arial"/>
                <w:sz w:val="16"/>
                <w:szCs w:val="16"/>
                <w:vertAlign w:val="superscript"/>
              </w:rPr>
            </w:pPr>
            <w:r w:rsidRPr="00AA579B">
              <w:rPr>
                <w:rFonts w:eastAsia="Calibri" w:cs="Arial"/>
                <w:sz w:val="16"/>
                <w:szCs w:val="16"/>
              </w:rPr>
              <w:t>-35</w:t>
            </w:r>
            <w:r w:rsidRPr="00AA579B">
              <w:rPr>
                <w:rFonts w:eastAsia="Calibri" w:cs="Arial"/>
                <w:sz w:val="16"/>
                <w:szCs w:val="16"/>
                <w:vertAlign w:val="superscript"/>
              </w:rPr>
              <w:t>b</w:t>
            </w:r>
          </w:p>
          <w:p w14:paraId="214E104C"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(-40, -30)</w:t>
            </w:r>
          </w:p>
        </w:tc>
        <w:tc>
          <w:tcPr>
            <w:tcW w:w="38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4AD3EA4F" w14:textId="77777777" w:rsidR="00BD0F72" w:rsidRPr="00AA579B" w:rsidRDefault="00BD0F72" w:rsidP="00BD0F72">
            <w:pPr>
              <w:keepNext/>
              <w:keepLines/>
              <w:spacing w:before="20" w:after="20"/>
              <w:jc w:val="center"/>
              <w:rPr>
                <w:rFonts w:eastAsia="Calibri" w:cs="Arial"/>
                <w:sz w:val="16"/>
                <w:szCs w:val="16"/>
                <w:vertAlign w:val="superscript"/>
              </w:rPr>
            </w:pPr>
            <w:r w:rsidRPr="00AA579B">
              <w:rPr>
                <w:rFonts w:eastAsia="Calibri" w:cs="Arial"/>
                <w:sz w:val="16"/>
                <w:szCs w:val="16"/>
              </w:rPr>
              <w:t>-26</w:t>
            </w:r>
            <w:r w:rsidRPr="00AA579B">
              <w:rPr>
                <w:rFonts w:eastAsia="Calibri" w:cs="Arial"/>
                <w:sz w:val="16"/>
                <w:szCs w:val="16"/>
                <w:vertAlign w:val="superscript"/>
              </w:rPr>
              <w:t>b</w:t>
            </w:r>
          </w:p>
          <w:p w14:paraId="3ED0A31A"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(-30, -23)</w:t>
            </w:r>
          </w:p>
        </w:tc>
        <w:tc>
          <w:tcPr>
            <w:tcW w:w="36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650E0472" w14:textId="77777777" w:rsidR="00BD0F72" w:rsidRPr="00AA579B" w:rsidRDefault="00BD0F72" w:rsidP="00BD0F72">
            <w:pPr>
              <w:keepNext/>
              <w:keepLines/>
              <w:spacing w:before="20" w:after="20"/>
              <w:jc w:val="center"/>
              <w:rPr>
                <w:rFonts w:eastAsia="Calibri" w:cs="Arial"/>
                <w:sz w:val="16"/>
                <w:szCs w:val="16"/>
                <w:vertAlign w:val="superscript"/>
              </w:rPr>
            </w:pPr>
            <w:r w:rsidRPr="00AA579B">
              <w:rPr>
                <w:rFonts w:eastAsia="Calibri" w:cs="Arial"/>
                <w:sz w:val="16"/>
                <w:szCs w:val="16"/>
              </w:rPr>
              <w:t>-25</w:t>
            </w:r>
            <w:r w:rsidRPr="00AA579B">
              <w:rPr>
                <w:rFonts w:eastAsia="Calibri" w:cs="Arial"/>
                <w:sz w:val="16"/>
                <w:szCs w:val="16"/>
                <w:vertAlign w:val="superscript"/>
              </w:rPr>
              <w:t>b</w:t>
            </w:r>
          </w:p>
          <w:p w14:paraId="65CD67BF"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(-34, -17)</w:t>
            </w:r>
          </w:p>
        </w:tc>
        <w:tc>
          <w:tcPr>
            <w:tcW w:w="3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1411FE87"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-4</w:t>
            </w:r>
          </w:p>
          <w:p w14:paraId="115E495A"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(-13, 6)</w:t>
            </w:r>
          </w:p>
        </w:tc>
        <w:tc>
          <w:tcPr>
            <w:tcW w:w="30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6930C009" w14:textId="77777777" w:rsidR="00BD0F72" w:rsidRDefault="00BD0F72" w:rsidP="00BD0F72">
            <w:pPr>
              <w:keepNext/>
              <w:keepLines/>
              <w:spacing w:before="20" w:after="20"/>
              <w:jc w:val="center"/>
              <w:rPr>
                <w:rFonts w:eastAsia="Calibri" w:cs="Arial"/>
                <w:sz w:val="16"/>
                <w:szCs w:val="16"/>
              </w:rPr>
            </w:pPr>
            <w:r w:rsidRPr="00AA579B">
              <w:rPr>
                <w:rFonts w:eastAsia="Calibri" w:cs="Arial"/>
                <w:sz w:val="16"/>
                <w:szCs w:val="16"/>
              </w:rPr>
              <w:t>6</w:t>
            </w:r>
          </w:p>
          <w:p w14:paraId="0E43F7E8"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(1, 10)</w:t>
            </w:r>
          </w:p>
        </w:tc>
        <w:tc>
          <w:tcPr>
            <w:tcW w:w="379" w:type="pct"/>
            <w:tcBorders>
              <w:top w:val="single" w:sz="4" w:space="0" w:color="auto"/>
              <w:left w:val="single" w:sz="4" w:space="0" w:color="auto"/>
              <w:bottom w:val="single" w:sz="4" w:space="0" w:color="auto"/>
              <w:right w:val="single" w:sz="4" w:space="0" w:color="auto"/>
            </w:tcBorders>
            <w:vAlign w:val="center"/>
            <w:hideMark/>
          </w:tcPr>
          <w:p w14:paraId="608A4291"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-6</w:t>
            </w:r>
          </w:p>
          <w:p w14:paraId="332892DD"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(-17, 4)</w:t>
            </w:r>
          </w:p>
        </w:tc>
        <w:tc>
          <w:tcPr>
            <w:tcW w:w="303" w:type="pct"/>
            <w:tcBorders>
              <w:top w:val="single" w:sz="4" w:space="0" w:color="auto"/>
              <w:left w:val="single" w:sz="4" w:space="0" w:color="auto"/>
              <w:bottom w:val="single" w:sz="4" w:space="0" w:color="auto"/>
              <w:right w:val="single" w:sz="4" w:space="0" w:color="auto"/>
            </w:tcBorders>
            <w:vAlign w:val="center"/>
          </w:tcPr>
          <w:p w14:paraId="3696E820"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3</w:t>
            </w:r>
          </w:p>
          <w:p w14:paraId="5653E42C"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(-1, 7)</w:t>
            </w:r>
          </w:p>
        </w:tc>
        <w:tc>
          <w:tcPr>
            <w:tcW w:w="379" w:type="pct"/>
            <w:tcBorders>
              <w:top w:val="single" w:sz="4" w:space="0" w:color="auto"/>
              <w:left w:val="single" w:sz="4" w:space="0" w:color="auto"/>
              <w:bottom w:val="single" w:sz="4" w:space="0" w:color="auto"/>
              <w:right w:val="single" w:sz="4" w:space="0" w:color="auto"/>
            </w:tcBorders>
            <w:vAlign w:val="center"/>
          </w:tcPr>
          <w:p w14:paraId="6B654FF0"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-30</w:t>
            </w:r>
            <w:r w:rsidRPr="00AA579B">
              <w:rPr>
                <w:rFonts w:eastAsia="Calibri" w:cs="Arial"/>
                <w:sz w:val="16"/>
                <w:szCs w:val="16"/>
                <w:vertAlign w:val="superscript"/>
              </w:rPr>
              <w:t>b</w:t>
            </w:r>
          </w:p>
          <w:p w14:paraId="28B88FDE"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(-35, -25)</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4B73FDDB"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-36</w:t>
            </w:r>
            <w:r w:rsidRPr="00AA579B">
              <w:rPr>
                <w:rFonts w:eastAsia="Calibri" w:cs="Arial"/>
                <w:sz w:val="16"/>
                <w:szCs w:val="16"/>
                <w:vertAlign w:val="superscript"/>
              </w:rPr>
              <w:t>b</w:t>
            </w:r>
          </w:p>
          <w:p w14:paraId="3BDE9BF7" w14:textId="77777777" w:rsidR="00BD0F72" w:rsidRPr="00AA579B" w:rsidRDefault="00BD0F72" w:rsidP="00BD0F72">
            <w:pPr>
              <w:keepNext/>
              <w:keepLines/>
              <w:spacing w:before="20" w:after="20"/>
              <w:jc w:val="center"/>
              <w:rPr>
                <w:rFonts w:eastAsia="Calibri" w:cs="Arial"/>
                <w:sz w:val="16"/>
                <w:szCs w:val="16"/>
              </w:rPr>
            </w:pPr>
            <w:r w:rsidRPr="00AA579B">
              <w:rPr>
                <w:rFonts w:eastAsia="Calibri" w:cs="Arial"/>
                <w:sz w:val="16"/>
                <w:szCs w:val="16"/>
              </w:rPr>
              <w:t>(-42, -31)</w:t>
            </w:r>
          </w:p>
        </w:tc>
      </w:tr>
      <w:tr w:rsidR="00711CD7" w:rsidRPr="006F02BE" w14:paraId="7D57DF08" w14:textId="77777777" w:rsidTr="00997D1D">
        <w:trPr>
          <w:trHeight w:val="725"/>
        </w:trPr>
        <w:tc>
          <w:tcPr>
            <w:tcW w:w="609" w:type="pct"/>
            <w:vMerge w:val="restart"/>
            <w:tcBorders>
              <w:top w:val="single" w:sz="4" w:space="0" w:color="auto"/>
              <w:left w:val="single" w:sz="4" w:space="0" w:color="auto"/>
              <w:right w:val="single" w:sz="4" w:space="0" w:color="auto"/>
            </w:tcBorders>
            <w:vAlign w:val="center"/>
          </w:tcPr>
          <w:p w14:paraId="630825EA" w14:textId="77777777" w:rsidR="00711CD7" w:rsidRDefault="00711CD7" w:rsidP="00711CD7">
            <w:pPr>
              <w:keepNext/>
              <w:jc w:val="center"/>
              <w:rPr>
                <w:rFonts w:eastAsia="Calibri" w:cs="Arial"/>
                <w:sz w:val="16"/>
                <w:szCs w:val="16"/>
              </w:rPr>
            </w:pPr>
            <w:r>
              <w:rPr>
                <w:rFonts w:eastAsia="Calibri" w:cs="Arial"/>
                <w:sz w:val="16"/>
                <w:szCs w:val="16"/>
              </w:rPr>
              <w:t>MENDEL 2</w:t>
            </w:r>
          </w:p>
          <w:p w14:paraId="4AA37612" w14:textId="77777777" w:rsidR="00711CD7" w:rsidRPr="00D07730" w:rsidRDefault="00711CD7" w:rsidP="00711CD7">
            <w:pPr>
              <w:keepNext/>
              <w:jc w:val="center"/>
              <w:rPr>
                <w:rFonts w:eastAsia="Calibri" w:cs="Arial"/>
                <w:sz w:val="16"/>
                <w:szCs w:val="16"/>
              </w:rPr>
            </w:pPr>
            <w:r w:rsidRPr="00D07730">
              <w:rPr>
                <w:rFonts w:eastAsia="Calibri" w:cs="Arial"/>
                <w:sz w:val="16"/>
                <w:szCs w:val="16"/>
              </w:rPr>
              <w:t>(Monotherapy)</w:t>
            </w:r>
          </w:p>
          <w:p w14:paraId="7BF5783D" w14:textId="77777777" w:rsidR="00711CD7" w:rsidRPr="00AA579B" w:rsidRDefault="00711CD7" w:rsidP="00711CD7">
            <w:pPr>
              <w:keepNext/>
              <w:jc w:val="center"/>
              <w:rPr>
                <w:rFonts w:eastAsia="Calibri" w:cs="Arial"/>
                <w:sz w:val="16"/>
                <w:szCs w:val="16"/>
              </w:rPr>
            </w:pPr>
          </w:p>
        </w:tc>
        <w:tc>
          <w:tcPr>
            <w:tcW w:w="454"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1312A4FD" w14:textId="77777777" w:rsidR="00711CD7" w:rsidRPr="00AA579B" w:rsidRDefault="00711CD7" w:rsidP="00711CD7">
            <w:pPr>
              <w:keepNext/>
              <w:spacing w:before="20" w:after="20"/>
              <w:jc w:val="center"/>
              <w:rPr>
                <w:rFonts w:eastAsia="Calibri" w:cs="Arial"/>
                <w:sz w:val="16"/>
                <w:szCs w:val="16"/>
              </w:rPr>
            </w:pPr>
            <w:r w:rsidRPr="00AA579B">
              <w:rPr>
                <w:rFonts w:eastAsia="Calibri" w:cs="Arial"/>
                <w:sz w:val="16"/>
                <w:szCs w:val="16"/>
              </w:rPr>
              <w:t>140 mg Q2W</w:t>
            </w:r>
          </w:p>
          <w:p w14:paraId="4D5035E2" w14:textId="77777777" w:rsidR="00711CD7" w:rsidRPr="00AA579B" w:rsidRDefault="00711CD7" w:rsidP="00711CD7">
            <w:pPr>
              <w:keepNext/>
              <w:spacing w:before="20" w:after="20"/>
              <w:jc w:val="center"/>
              <w:rPr>
                <w:rFonts w:eastAsia="Calibri" w:cs="Arial"/>
                <w:sz w:val="16"/>
                <w:szCs w:val="16"/>
              </w:rPr>
            </w:pPr>
            <w:r w:rsidRPr="00AA579B">
              <w:rPr>
                <w:rFonts w:eastAsia="Calibri" w:cs="Arial"/>
                <w:sz w:val="16"/>
                <w:szCs w:val="16"/>
              </w:rPr>
              <w:t>(N=153)</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192FECE1" w14:textId="77777777" w:rsidR="00711CD7" w:rsidRPr="00AA579B" w:rsidRDefault="00711CD7" w:rsidP="00711CD7">
            <w:pPr>
              <w:keepNext/>
              <w:keepLines/>
              <w:spacing w:before="20" w:after="20"/>
              <w:ind w:left="-89" w:right="-90"/>
              <w:jc w:val="center"/>
              <w:rPr>
                <w:rFonts w:eastAsia="Calibri" w:cs="Arial"/>
                <w:sz w:val="16"/>
                <w:szCs w:val="16"/>
              </w:rPr>
            </w:pPr>
            <w:r w:rsidRPr="00AA579B">
              <w:rPr>
                <w:rFonts w:eastAsia="Calibri" w:cs="Arial"/>
                <w:sz w:val="16"/>
                <w:szCs w:val="16"/>
              </w:rPr>
              <w:t>-40</w:t>
            </w:r>
            <w:r w:rsidRPr="00AA579B">
              <w:rPr>
                <w:rFonts w:eastAsia="Calibri" w:cs="Arial"/>
                <w:sz w:val="16"/>
                <w:szCs w:val="16"/>
                <w:vertAlign w:val="superscript"/>
              </w:rPr>
              <w:t>b</w:t>
            </w:r>
          </w:p>
          <w:p w14:paraId="5E9F3C0B" w14:textId="77777777" w:rsidR="00711CD7" w:rsidRPr="00AA579B" w:rsidRDefault="00711CD7" w:rsidP="00711CD7">
            <w:pPr>
              <w:keepNext/>
              <w:keepLines/>
              <w:spacing w:before="20" w:after="20"/>
              <w:ind w:left="-103" w:right="-99"/>
              <w:jc w:val="center"/>
              <w:rPr>
                <w:rFonts w:eastAsia="Calibri" w:cs="Arial"/>
                <w:sz w:val="16"/>
                <w:szCs w:val="16"/>
              </w:rPr>
            </w:pPr>
            <w:r w:rsidRPr="00AA579B">
              <w:rPr>
                <w:rFonts w:eastAsia="Calibri" w:cs="Arial"/>
                <w:sz w:val="16"/>
                <w:szCs w:val="16"/>
              </w:rPr>
              <w:t>(-44, -37)</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1DCF56B4" w14:textId="77777777" w:rsidR="00711CD7" w:rsidRPr="00AA579B" w:rsidRDefault="00711CD7" w:rsidP="00711CD7">
            <w:pPr>
              <w:keepNext/>
              <w:keepLines/>
              <w:spacing w:before="20" w:after="20"/>
              <w:ind w:left="-90" w:right="-89"/>
              <w:jc w:val="center"/>
              <w:rPr>
                <w:rFonts w:eastAsia="Calibri" w:cs="Arial"/>
                <w:sz w:val="16"/>
                <w:szCs w:val="16"/>
              </w:rPr>
            </w:pPr>
            <w:r w:rsidRPr="00AA579B">
              <w:rPr>
                <w:rFonts w:eastAsia="Calibri" w:cs="Arial"/>
                <w:sz w:val="16"/>
                <w:szCs w:val="16"/>
              </w:rPr>
              <w:t>-36</w:t>
            </w:r>
            <w:r w:rsidRPr="00AA579B">
              <w:rPr>
                <w:rFonts w:eastAsia="Calibri" w:cs="Arial"/>
                <w:sz w:val="16"/>
                <w:szCs w:val="16"/>
                <w:vertAlign w:val="superscript"/>
              </w:rPr>
              <w:t>b</w:t>
            </w:r>
          </w:p>
          <w:p w14:paraId="363DEFAA" w14:textId="77777777" w:rsidR="00711CD7" w:rsidRPr="00AA579B" w:rsidRDefault="00711CD7" w:rsidP="00711CD7">
            <w:pPr>
              <w:keepNext/>
              <w:keepLines/>
              <w:spacing w:before="20" w:after="20"/>
              <w:ind w:left="-107" w:right="-71"/>
              <w:jc w:val="center"/>
              <w:rPr>
                <w:rFonts w:eastAsia="Calibri" w:cs="Arial"/>
                <w:sz w:val="16"/>
                <w:szCs w:val="16"/>
              </w:rPr>
            </w:pPr>
            <w:r w:rsidRPr="00AA579B">
              <w:rPr>
                <w:rFonts w:eastAsia="Calibri" w:cs="Arial"/>
                <w:sz w:val="16"/>
                <w:szCs w:val="16"/>
              </w:rPr>
              <w:t>(-39, -32)</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0120100C"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-34</w:t>
            </w:r>
            <w:r w:rsidRPr="00AA579B">
              <w:rPr>
                <w:rFonts w:eastAsia="Calibri" w:cs="Arial"/>
                <w:sz w:val="16"/>
                <w:szCs w:val="16"/>
                <w:vertAlign w:val="superscript"/>
              </w:rPr>
              <w:t>b</w:t>
            </w:r>
          </w:p>
          <w:p w14:paraId="4614542E"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(-37, -30)</w:t>
            </w:r>
          </w:p>
        </w:tc>
        <w:tc>
          <w:tcPr>
            <w:tcW w:w="38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14EE4EEB"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-25</w:t>
            </w:r>
            <w:r w:rsidRPr="00AA579B">
              <w:rPr>
                <w:rFonts w:eastAsia="Calibri" w:cs="Arial"/>
                <w:sz w:val="16"/>
                <w:szCs w:val="16"/>
                <w:vertAlign w:val="superscript"/>
              </w:rPr>
              <w:t>b</w:t>
            </w:r>
          </w:p>
          <w:p w14:paraId="15564306"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(-28, -22)</w:t>
            </w:r>
          </w:p>
        </w:tc>
        <w:tc>
          <w:tcPr>
            <w:tcW w:w="36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955F2C1"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-22</w:t>
            </w:r>
            <w:r w:rsidRPr="00AA579B">
              <w:rPr>
                <w:rFonts w:eastAsia="Calibri" w:cs="Arial"/>
                <w:sz w:val="16"/>
                <w:szCs w:val="16"/>
                <w:vertAlign w:val="superscript"/>
              </w:rPr>
              <w:t>b</w:t>
            </w:r>
          </w:p>
          <w:p w14:paraId="614EAB15"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(-29, -16)</w:t>
            </w:r>
          </w:p>
        </w:tc>
        <w:tc>
          <w:tcPr>
            <w:tcW w:w="3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22061DB9"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-7</w:t>
            </w:r>
          </w:p>
          <w:p w14:paraId="5FAEF48F"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(-14, 1)</w:t>
            </w:r>
          </w:p>
        </w:tc>
        <w:tc>
          <w:tcPr>
            <w:tcW w:w="30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55E8EE2F"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6</w:t>
            </w:r>
            <w:r w:rsidRPr="00AA579B">
              <w:rPr>
                <w:rFonts w:eastAsia="Calibri" w:cs="Arial"/>
                <w:sz w:val="16"/>
                <w:szCs w:val="16"/>
                <w:vertAlign w:val="superscript"/>
              </w:rPr>
              <w:t>a</w:t>
            </w:r>
          </w:p>
          <w:p w14:paraId="640671EA"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(3, 9)</w:t>
            </w:r>
          </w:p>
        </w:tc>
        <w:tc>
          <w:tcPr>
            <w:tcW w:w="379" w:type="pct"/>
            <w:tcBorders>
              <w:top w:val="single" w:sz="4" w:space="0" w:color="auto"/>
              <w:left w:val="single" w:sz="4" w:space="0" w:color="auto"/>
              <w:bottom w:val="single" w:sz="4" w:space="0" w:color="auto"/>
              <w:right w:val="single" w:sz="4" w:space="0" w:color="auto"/>
            </w:tcBorders>
            <w:vAlign w:val="center"/>
          </w:tcPr>
          <w:p w14:paraId="664D0CF9"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-9</w:t>
            </w:r>
          </w:p>
          <w:p w14:paraId="34F7AD09"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(-16, -1)</w:t>
            </w:r>
          </w:p>
        </w:tc>
        <w:tc>
          <w:tcPr>
            <w:tcW w:w="303" w:type="pct"/>
            <w:tcBorders>
              <w:top w:val="single" w:sz="4" w:space="0" w:color="auto"/>
              <w:left w:val="single" w:sz="4" w:space="0" w:color="auto"/>
              <w:bottom w:val="single" w:sz="4" w:space="0" w:color="auto"/>
              <w:right w:val="single" w:sz="4" w:space="0" w:color="auto"/>
            </w:tcBorders>
            <w:vAlign w:val="center"/>
          </w:tcPr>
          <w:p w14:paraId="1CB6006C"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3</w:t>
            </w:r>
          </w:p>
          <w:p w14:paraId="0D3AF406"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(0, 6)</w:t>
            </w:r>
          </w:p>
        </w:tc>
        <w:tc>
          <w:tcPr>
            <w:tcW w:w="379" w:type="pct"/>
            <w:tcBorders>
              <w:top w:val="single" w:sz="4" w:space="0" w:color="auto"/>
              <w:left w:val="single" w:sz="4" w:space="0" w:color="auto"/>
              <w:bottom w:val="single" w:sz="4" w:space="0" w:color="auto"/>
              <w:right w:val="single" w:sz="4" w:space="0" w:color="auto"/>
            </w:tcBorders>
            <w:vAlign w:val="center"/>
          </w:tcPr>
          <w:p w14:paraId="29B033EB"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-29</w:t>
            </w:r>
            <w:r w:rsidRPr="00AA579B">
              <w:rPr>
                <w:rFonts w:eastAsia="Calibri" w:cs="Arial"/>
                <w:sz w:val="16"/>
                <w:szCs w:val="16"/>
                <w:vertAlign w:val="superscript"/>
              </w:rPr>
              <w:t>b</w:t>
            </w:r>
          </w:p>
          <w:p w14:paraId="67C47883"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(-32, -26)</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75037FE"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-35</w:t>
            </w:r>
            <w:r w:rsidRPr="00AA579B">
              <w:rPr>
                <w:rFonts w:eastAsia="Calibri" w:cs="Arial"/>
                <w:sz w:val="16"/>
                <w:szCs w:val="16"/>
                <w:vertAlign w:val="superscript"/>
              </w:rPr>
              <w:t>b</w:t>
            </w:r>
          </w:p>
          <w:p w14:paraId="5B80F585"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(-39, -31)</w:t>
            </w:r>
          </w:p>
        </w:tc>
      </w:tr>
      <w:tr w:rsidR="00711CD7" w:rsidRPr="006F02BE" w14:paraId="5F3C6E51" w14:textId="77777777" w:rsidTr="00997D1D">
        <w:trPr>
          <w:trHeight w:val="725"/>
        </w:trPr>
        <w:tc>
          <w:tcPr>
            <w:tcW w:w="609" w:type="pct"/>
            <w:vMerge/>
            <w:tcBorders>
              <w:left w:val="single" w:sz="4" w:space="0" w:color="auto"/>
              <w:bottom w:val="single" w:sz="4" w:space="0" w:color="auto"/>
              <w:right w:val="single" w:sz="4" w:space="0" w:color="auto"/>
            </w:tcBorders>
            <w:vAlign w:val="center"/>
          </w:tcPr>
          <w:p w14:paraId="2F142F71" w14:textId="77777777" w:rsidR="00711CD7" w:rsidRDefault="00711CD7" w:rsidP="00711CD7">
            <w:pPr>
              <w:keepNext/>
              <w:jc w:val="center"/>
              <w:rPr>
                <w:rFonts w:eastAsia="Calibri" w:cs="Arial"/>
                <w:sz w:val="16"/>
                <w:szCs w:val="16"/>
              </w:rPr>
            </w:pPr>
          </w:p>
        </w:tc>
        <w:tc>
          <w:tcPr>
            <w:tcW w:w="454"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346CCD81" w14:textId="77777777" w:rsidR="00711CD7" w:rsidRPr="00AA579B" w:rsidRDefault="00711CD7" w:rsidP="00711CD7">
            <w:pPr>
              <w:keepNext/>
              <w:spacing w:before="20" w:after="20"/>
              <w:jc w:val="center"/>
              <w:rPr>
                <w:rFonts w:eastAsia="Calibri" w:cs="Arial"/>
                <w:sz w:val="16"/>
                <w:szCs w:val="16"/>
              </w:rPr>
            </w:pPr>
            <w:r w:rsidRPr="00AA579B">
              <w:rPr>
                <w:rFonts w:eastAsia="Calibri" w:cs="Arial"/>
                <w:sz w:val="16"/>
                <w:szCs w:val="16"/>
              </w:rPr>
              <w:t>420 mg QM</w:t>
            </w:r>
          </w:p>
          <w:p w14:paraId="4D14A454" w14:textId="77777777" w:rsidR="00711CD7" w:rsidRPr="00AA579B" w:rsidRDefault="00711CD7" w:rsidP="00711CD7">
            <w:pPr>
              <w:keepNext/>
              <w:spacing w:before="20" w:after="20"/>
              <w:jc w:val="center"/>
              <w:rPr>
                <w:rFonts w:eastAsia="Calibri" w:cs="Arial"/>
                <w:sz w:val="16"/>
                <w:szCs w:val="16"/>
              </w:rPr>
            </w:pPr>
            <w:r w:rsidRPr="00AA579B">
              <w:rPr>
                <w:rFonts w:eastAsia="Calibri" w:cs="Arial"/>
                <w:sz w:val="16"/>
                <w:szCs w:val="16"/>
              </w:rPr>
              <w:t>(N=153)</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2BF11BE2" w14:textId="77777777" w:rsidR="00711CD7" w:rsidRPr="00AA579B" w:rsidRDefault="00711CD7" w:rsidP="00711CD7">
            <w:pPr>
              <w:keepNext/>
              <w:keepLines/>
              <w:spacing w:before="20" w:after="20"/>
              <w:ind w:left="-89" w:right="-90"/>
              <w:jc w:val="center"/>
              <w:rPr>
                <w:rFonts w:eastAsia="Calibri" w:cs="Arial"/>
                <w:sz w:val="16"/>
                <w:szCs w:val="16"/>
              </w:rPr>
            </w:pPr>
            <w:r w:rsidRPr="00AA579B">
              <w:rPr>
                <w:rFonts w:eastAsia="Calibri" w:cs="Arial"/>
                <w:sz w:val="16"/>
                <w:szCs w:val="16"/>
              </w:rPr>
              <w:t>-41</w:t>
            </w:r>
            <w:r w:rsidRPr="00AA579B">
              <w:rPr>
                <w:rFonts w:eastAsia="Calibri" w:cs="Arial"/>
                <w:sz w:val="16"/>
                <w:szCs w:val="16"/>
                <w:vertAlign w:val="superscript"/>
              </w:rPr>
              <w:t>b</w:t>
            </w:r>
          </w:p>
          <w:p w14:paraId="5BC7801F" w14:textId="77777777" w:rsidR="00711CD7" w:rsidRPr="00AA579B" w:rsidRDefault="00711CD7" w:rsidP="00711CD7">
            <w:pPr>
              <w:keepNext/>
              <w:keepLines/>
              <w:spacing w:before="20" w:after="20"/>
              <w:ind w:left="-89" w:right="-90"/>
              <w:jc w:val="center"/>
              <w:rPr>
                <w:rFonts w:eastAsia="Calibri" w:cs="Arial"/>
                <w:sz w:val="16"/>
                <w:szCs w:val="16"/>
              </w:rPr>
            </w:pPr>
            <w:r w:rsidRPr="00AA579B">
              <w:rPr>
                <w:rFonts w:eastAsia="Calibri" w:cs="Arial"/>
                <w:sz w:val="16"/>
                <w:szCs w:val="16"/>
              </w:rPr>
              <w:t>(-44, -37)</w:t>
            </w:r>
          </w:p>
        </w:tc>
        <w:tc>
          <w:tcPr>
            <w:tcW w:w="378"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tcPr>
          <w:p w14:paraId="0F8B08FF" w14:textId="77777777" w:rsidR="00711CD7" w:rsidRPr="00AA579B" w:rsidRDefault="00711CD7" w:rsidP="00711CD7">
            <w:pPr>
              <w:keepNext/>
              <w:keepLines/>
              <w:spacing w:before="20" w:after="20"/>
              <w:ind w:left="-90" w:right="-89"/>
              <w:jc w:val="center"/>
              <w:rPr>
                <w:rFonts w:eastAsia="Calibri" w:cs="Arial"/>
                <w:sz w:val="16"/>
                <w:szCs w:val="16"/>
              </w:rPr>
            </w:pPr>
            <w:r w:rsidRPr="00AA579B">
              <w:rPr>
                <w:rFonts w:eastAsia="Calibri" w:cs="Arial"/>
                <w:sz w:val="16"/>
                <w:szCs w:val="16"/>
              </w:rPr>
              <w:t>-35</w:t>
            </w:r>
            <w:r w:rsidRPr="00AA579B">
              <w:rPr>
                <w:rFonts w:eastAsia="Calibri" w:cs="Arial"/>
                <w:sz w:val="16"/>
                <w:szCs w:val="16"/>
                <w:vertAlign w:val="superscript"/>
              </w:rPr>
              <w:t>b</w:t>
            </w:r>
          </w:p>
          <w:p w14:paraId="63E4C90B" w14:textId="77777777" w:rsidR="00711CD7" w:rsidRPr="00AA579B" w:rsidRDefault="00711CD7" w:rsidP="00711CD7">
            <w:pPr>
              <w:keepNext/>
              <w:keepLines/>
              <w:spacing w:before="20" w:after="20"/>
              <w:ind w:left="-90" w:right="-89"/>
              <w:jc w:val="center"/>
              <w:rPr>
                <w:rFonts w:eastAsia="Calibri" w:cs="Arial"/>
                <w:sz w:val="16"/>
                <w:szCs w:val="16"/>
              </w:rPr>
            </w:pPr>
            <w:r w:rsidRPr="00AA579B">
              <w:rPr>
                <w:rFonts w:eastAsia="Calibri" w:cs="Arial"/>
                <w:sz w:val="16"/>
                <w:szCs w:val="16"/>
              </w:rPr>
              <w:t>(-38, -33)</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5B01A3DB"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-35</w:t>
            </w:r>
            <w:r w:rsidRPr="00AA579B">
              <w:rPr>
                <w:rFonts w:eastAsia="Calibri" w:cs="Arial"/>
                <w:sz w:val="16"/>
                <w:szCs w:val="16"/>
                <w:vertAlign w:val="superscript"/>
              </w:rPr>
              <w:t>b</w:t>
            </w:r>
          </w:p>
          <w:p w14:paraId="68F7E1DF"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(-38, -31)</w:t>
            </w:r>
          </w:p>
        </w:tc>
        <w:tc>
          <w:tcPr>
            <w:tcW w:w="38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08A115A3"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-25</w:t>
            </w:r>
            <w:r w:rsidRPr="00AA579B">
              <w:rPr>
                <w:rFonts w:eastAsia="Calibri" w:cs="Arial"/>
                <w:sz w:val="16"/>
                <w:szCs w:val="16"/>
                <w:vertAlign w:val="superscript"/>
              </w:rPr>
              <w:t>b</w:t>
            </w:r>
          </w:p>
          <w:p w14:paraId="26C7B7BA"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(-28, -23)</w:t>
            </w:r>
          </w:p>
        </w:tc>
        <w:tc>
          <w:tcPr>
            <w:tcW w:w="36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56E0262C"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-20</w:t>
            </w:r>
            <w:r w:rsidRPr="00AA579B">
              <w:rPr>
                <w:rFonts w:eastAsia="Calibri" w:cs="Arial"/>
                <w:sz w:val="16"/>
                <w:szCs w:val="16"/>
                <w:vertAlign w:val="superscript"/>
              </w:rPr>
              <w:t>b</w:t>
            </w:r>
          </w:p>
          <w:p w14:paraId="70254A63"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(-27, -13)</w:t>
            </w:r>
          </w:p>
        </w:tc>
        <w:tc>
          <w:tcPr>
            <w:tcW w:w="3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61A3A116"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-10</w:t>
            </w:r>
          </w:p>
          <w:p w14:paraId="5D67C333"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(-19,-1)</w:t>
            </w:r>
          </w:p>
        </w:tc>
        <w:tc>
          <w:tcPr>
            <w:tcW w:w="30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70B85F2E"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4</w:t>
            </w:r>
          </w:p>
          <w:p w14:paraId="6C2857E0"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(1, 7)</w:t>
            </w:r>
          </w:p>
        </w:tc>
        <w:tc>
          <w:tcPr>
            <w:tcW w:w="379" w:type="pct"/>
            <w:tcBorders>
              <w:top w:val="single" w:sz="4" w:space="0" w:color="auto"/>
              <w:left w:val="single" w:sz="4" w:space="0" w:color="auto"/>
              <w:bottom w:val="single" w:sz="4" w:space="0" w:color="auto"/>
              <w:right w:val="single" w:sz="4" w:space="0" w:color="auto"/>
            </w:tcBorders>
            <w:vAlign w:val="center"/>
          </w:tcPr>
          <w:p w14:paraId="62C0296E"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-9</w:t>
            </w:r>
          </w:p>
          <w:p w14:paraId="010240F3"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(-18, 0)</w:t>
            </w:r>
          </w:p>
        </w:tc>
        <w:tc>
          <w:tcPr>
            <w:tcW w:w="303" w:type="pct"/>
            <w:tcBorders>
              <w:top w:val="single" w:sz="4" w:space="0" w:color="auto"/>
              <w:left w:val="single" w:sz="4" w:space="0" w:color="auto"/>
              <w:bottom w:val="single" w:sz="4" w:space="0" w:color="auto"/>
              <w:right w:val="single" w:sz="4" w:space="0" w:color="auto"/>
            </w:tcBorders>
            <w:vAlign w:val="center"/>
          </w:tcPr>
          <w:p w14:paraId="4E82518A"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4</w:t>
            </w:r>
            <w:r w:rsidRPr="00AA579B">
              <w:rPr>
                <w:rFonts w:eastAsia="Calibri" w:cs="Arial"/>
                <w:sz w:val="16"/>
                <w:szCs w:val="16"/>
                <w:vertAlign w:val="superscript"/>
              </w:rPr>
              <w:t>a</w:t>
            </w:r>
          </w:p>
          <w:p w14:paraId="787EFBDD"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(1, 7)</w:t>
            </w:r>
          </w:p>
        </w:tc>
        <w:tc>
          <w:tcPr>
            <w:tcW w:w="379" w:type="pct"/>
            <w:tcBorders>
              <w:top w:val="single" w:sz="4" w:space="0" w:color="auto"/>
              <w:left w:val="single" w:sz="4" w:space="0" w:color="auto"/>
              <w:bottom w:val="single" w:sz="4" w:space="0" w:color="auto"/>
              <w:right w:val="single" w:sz="4" w:space="0" w:color="auto"/>
            </w:tcBorders>
            <w:vAlign w:val="center"/>
          </w:tcPr>
          <w:p w14:paraId="3A9145B2"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-28</w:t>
            </w:r>
            <w:r w:rsidRPr="00AA579B">
              <w:rPr>
                <w:rFonts w:eastAsia="Calibri" w:cs="Arial"/>
                <w:sz w:val="16"/>
                <w:szCs w:val="16"/>
                <w:vertAlign w:val="superscript"/>
              </w:rPr>
              <w:t>b</w:t>
            </w:r>
          </w:p>
          <w:p w14:paraId="722B939B"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(-31, -24)</w:t>
            </w:r>
          </w:p>
        </w:tc>
        <w:tc>
          <w:tcPr>
            <w:tcW w:w="37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14:paraId="0CCA8843"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-37</w:t>
            </w:r>
            <w:r w:rsidRPr="00AA579B">
              <w:rPr>
                <w:rFonts w:eastAsia="Calibri" w:cs="Arial"/>
                <w:sz w:val="16"/>
                <w:szCs w:val="16"/>
                <w:vertAlign w:val="superscript"/>
              </w:rPr>
              <w:t>b</w:t>
            </w:r>
          </w:p>
          <w:p w14:paraId="50DA3BFE" w14:textId="77777777" w:rsidR="00711CD7" w:rsidRPr="00AA579B" w:rsidRDefault="00711CD7" w:rsidP="00711CD7">
            <w:pPr>
              <w:keepNext/>
              <w:keepLines/>
              <w:spacing w:before="20" w:after="20"/>
              <w:jc w:val="center"/>
              <w:rPr>
                <w:rFonts w:eastAsia="Calibri" w:cs="Arial"/>
                <w:sz w:val="16"/>
                <w:szCs w:val="16"/>
              </w:rPr>
            </w:pPr>
            <w:r w:rsidRPr="00AA579B">
              <w:rPr>
                <w:rFonts w:eastAsia="Calibri" w:cs="Arial"/>
                <w:sz w:val="16"/>
                <w:szCs w:val="16"/>
              </w:rPr>
              <w:t>(-41, -32)</w:t>
            </w:r>
          </w:p>
        </w:tc>
      </w:tr>
    </w:tbl>
    <w:p w14:paraId="2C60FA9C" w14:textId="77777777" w:rsidR="005F5FFD" w:rsidRDefault="005F5FFD" w:rsidP="00F54E61">
      <w:pPr>
        <w:rPr>
          <w:sz w:val="18"/>
          <w:szCs w:val="18"/>
        </w:rPr>
      </w:pPr>
    </w:p>
    <w:p w14:paraId="1F7AFCB4" w14:textId="77777777" w:rsidR="008309D0" w:rsidRPr="00F54E61" w:rsidRDefault="009B10E4" w:rsidP="00F54E61">
      <w:pPr>
        <w:rPr>
          <w:sz w:val="18"/>
          <w:szCs w:val="18"/>
        </w:rPr>
      </w:pPr>
      <w:r w:rsidRPr="00F54E61">
        <w:rPr>
          <w:sz w:val="18"/>
          <w:szCs w:val="18"/>
        </w:rPr>
        <w:t xml:space="preserve">Key: Q2W = once every 2 weeks, QM = once monthly </w:t>
      </w:r>
      <w:r w:rsidRPr="00F54E61">
        <w:rPr>
          <w:sz w:val="18"/>
          <w:szCs w:val="18"/>
          <w:vertAlign w:val="superscript"/>
        </w:rPr>
        <w:t>a</w:t>
      </w:r>
      <w:r w:rsidRPr="00F54E61">
        <w:rPr>
          <w:sz w:val="18"/>
          <w:szCs w:val="18"/>
        </w:rPr>
        <w:t xml:space="preserve"> p value &lt;0.05 when compared with ezetimibe; </w:t>
      </w:r>
      <w:r w:rsidRPr="00F54E61">
        <w:rPr>
          <w:sz w:val="18"/>
          <w:szCs w:val="18"/>
          <w:vertAlign w:val="superscript"/>
        </w:rPr>
        <w:t>b</w:t>
      </w:r>
      <w:r w:rsidRPr="00F54E61">
        <w:rPr>
          <w:sz w:val="18"/>
          <w:szCs w:val="18"/>
        </w:rPr>
        <w:t xml:space="preserve"> p value &lt;0.001 when compared with ezetimibe</w:t>
      </w:r>
      <w:r w:rsidR="00EE3E40">
        <w:rPr>
          <w:sz w:val="18"/>
          <w:szCs w:val="18"/>
        </w:rPr>
        <w:t>.</w:t>
      </w:r>
      <w:r w:rsidRPr="00F54E61">
        <w:rPr>
          <w:sz w:val="18"/>
          <w:szCs w:val="18"/>
        </w:rPr>
        <w:t xml:space="preserve"> </w:t>
      </w:r>
    </w:p>
    <w:p w14:paraId="4C3D4A8D" w14:textId="77777777" w:rsidR="00F309DA" w:rsidRDefault="00183E2F" w:rsidP="009465F3">
      <w:bookmarkStart w:id="15" w:name="_Ref393793677"/>
      <w:bookmarkStart w:id="16" w:name="_Ref396838165"/>
      <w:r w:rsidRPr="001D30A0" w:rsidDel="00183E2F">
        <w:rPr>
          <w:b/>
        </w:rPr>
        <w:t xml:space="preserve"> </w:t>
      </w:r>
      <w:bookmarkEnd w:id="15"/>
      <w:bookmarkEnd w:id="16"/>
    </w:p>
    <w:p w14:paraId="6661CFCC" w14:textId="6D13078C" w:rsidR="00893F7E" w:rsidRPr="00462FD1" w:rsidRDefault="00893F7E" w:rsidP="00F309DA">
      <w:pPr>
        <w:pStyle w:val="PI-subheadernounderline"/>
        <w:rPr>
          <w:rFonts w:cs="Arial"/>
          <w:bCs/>
        </w:rPr>
      </w:pPr>
      <w:r w:rsidRPr="00462FD1">
        <w:rPr>
          <w:rFonts w:cs="Arial"/>
          <w:bCs/>
        </w:rPr>
        <w:t xml:space="preserve">Long-term </w:t>
      </w:r>
      <w:r w:rsidR="00F541F4">
        <w:rPr>
          <w:rFonts w:cs="Arial"/>
          <w:bCs/>
        </w:rPr>
        <w:t>e</w:t>
      </w:r>
      <w:r w:rsidRPr="00462FD1">
        <w:rPr>
          <w:rFonts w:cs="Arial"/>
          <w:bCs/>
        </w:rPr>
        <w:t>fficacy</w:t>
      </w:r>
      <w:r w:rsidRPr="00462FD1">
        <w:t xml:space="preserve"> in </w:t>
      </w:r>
      <w:r w:rsidR="00665F7F">
        <w:t xml:space="preserve">primary </w:t>
      </w:r>
      <w:r w:rsidR="0027632E">
        <w:t>hypercholesterolaemia</w:t>
      </w:r>
      <w:r w:rsidRPr="00462FD1">
        <w:t xml:space="preserve"> </w:t>
      </w:r>
    </w:p>
    <w:p w14:paraId="516DB760" w14:textId="7BCBDDF0" w:rsidR="00893F7E" w:rsidRDefault="00893F7E" w:rsidP="00893F7E">
      <w:pPr>
        <w:pStyle w:val="TableCenterAlign"/>
        <w:spacing w:line="360" w:lineRule="auto"/>
        <w:jc w:val="left"/>
      </w:pPr>
      <w:r w:rsidRPr="00893F7E">
        <w:t xml:space="preserve">DESCARTES was an international, </w:t>
      </w:r>
      <w:r w:rsidR="009160F4">
        <w:t>multicentre</w:t>
      </w:r>
      <w:r w:rsidRPr="00893F7E">
        <w:t xml:space="preserve">, double-blind, </w:t>
      </w:r>
      <w:r w:rsidR="00983361">
        <w:t>randomised</w:t>
      </w:r>
      <w:r w:rsidRPr="00893F7E">
        <w:t xml:space="preserve">, placebo-controlled, 52-week study of </w:t>
      </w:r>
      <w:r w:rsidR="00F541F4">
        <w:t>Repatha</w:t>
      </w:r>
      <w:r w:rsidRPr="00893F7E">
        <w:t xml:space="preserve"> in 901 patients with </w:t>
      </w:r>
      <w:r w:rsidR="0027632E">
        <w:t>hypercholesterolaemia</w:t>
      </w:r>
      <w:r w:rsidRPr="00893F7E">
        <w:t xml:space="preserve"> who were receiving diet alone, atorvastatin, or a combination of atorvastatin and ezetimibe.  </w:t>
      </w:r>
      <w:r w:rsidR="00F541F4">
        <w:t>Repatha</w:t>
      </w:r>
      <w:r w:rsidRPr="00893F7E">
        <w:t xml:space="preserve"> 420 mg once monthly significantly reduced LDL-C from baseline at 52 weeks compared with placebo (p&lt;0.001).  Treatment effects were sustained over 1 year as demonstrated by reduction in LDL-C from week 12 to week 52</w:t>
      </w:r>
      <w:r w:rsidR="0047011F">
        <w:t xml:space="preserve"> </w:t>
      </w:r>
      <w:r w:rsidR="001C10B6" w:rsidRPr="001C10B6">
        <w:t>(</w:t>
      </w:r>
      <w:r w:rsidR="001C10B6" w:rsidRPr="001C10B6">
        <w:fldChar w:fldCharType="begin"/>
      </w:r>
      <w:r w:rsidR="001C10B6" w:rsidRPr="001C10B6">
        <w:instrText xml:space="preserve"> REF _Ref506364087 \h  \* MERGEFORMAT </w:instrText>
      </w:r>
      <w:r w:rsidR="001C10B6" w:rsidRPr="001C10B6">
        <w:fldChar w:fldCharType="separate"/>
      </w:r>
      <w:r w:rsidR="008C495D" w:rsidRPr="008C495D">
        <w:t xml:space="preserve">Figure </w:t>
      </w:r>
      <w:r w:rsidR="008C495D" w:rsidRPr="008C495D">
        <w:rPr>
          <w:noProof/>
        </w:rPr>
        <w:t>6</w:t>
      </w:r>
      <w:r w:rsidR="001C10B6" w:rsidRPr="001C10B6">
        <w:fldChar w:fldCharType="end"/>
      </w:r>
      <w:r w:rsidR="001C10B6" w:rsidRPr="001C10B6">
        <w:t>).</w:t>
      </w:r>
      <w:r w:rsidR="001C10B6">
        <w:t xml:space="preserve"> </w:t>
      </w:r>
      <w:r w:rsidRPr="00893F7E">
        <w:t xml:space="preserve">Reduction in LDL-C from baseline at week 52 compared with placebo was consistent across background lipid-lowering therapies </w:t>
      </w:r>
      <w:r w:rsidR="009C1467" w:rsidRPr="00893F7E">
        <w:t>optimi</w:t>
      </w:r>
      <w:r w:rsidR="009C1467">
        <w:t>s</w:t>
      </w:r>
      <w:r w:rsidR="009C1467" w:rsidRPr="00893F7E">
        <w:t xml:space="preserve">ed </w:t>
      </w:r>
      <w:r w:rsidRPr="00893F7E">
        <w:t xml:space="preserve">for LDL-C and cardiovascular risk.  </w:t>
      </w:r>
      <w:r w:rsidR="00F541F4">
        <w:t>Repatha</w:t>
      </w:r>
      <w:r w:rsidRPr="00893F7E">
        <w:t xml:space="preserve"> 420 mg once monthly significantly reduced TC, </w:t>
      </w:r>
      <w:proofErr w:type="spellStart"/>
      <w:r w:rsidRPr="00893F7E">
        <w:t>ApoB</w:t>
      </w:r>
      <w:proofErr w:type="spellEnd"/>
      <w:r w:rsidRPr="00893F7E">
        <w:t xml:space="preserve">, non-HDL-C, TC/HDL-C, </w:t>
      </w:r>
      <w:proofErr w:type="spellStart"/>
      <w:r w:rsidRPr="00893F7E">
        <w:t>ApoB</w:t>
      </w:r>
      <w:proofErr w:type="spellEnd"/>
      <w:r w:rsidRPr="00893F7E">
        <w:t xml:space="preserve">/ApoA1, VLDL-C, TG, and </w:t>
      </w:r>
      <w:proofErr w:type="spellStart"/>
      <w:proofErr w:type="gramStart"/>
      <w:r w:rsidRPr="00893F7E">
        <w:t>Lp</w:t>
      </w:r>
      <w:proofErr w:type="spellEnd"/>
      <w:r w:rsidRPr="00893F7E">
        <w:t>(</w:t>
      </w:r>
      <w:proofErr w:type="gramEnd"/>
      <w:r w:rsidRPr="00893F7E">
        <w:t>a), and increased HDL-C at week 52 compared with placebo (p&lt;0.001) (</w:t>
      </w:r>
      <w:r w:rsidR="006632B5">
        <w:rPr>
          <w:color w:val="0000FF"/>
        </w:rPr>
        <w:fldChar w:fldCharType="begin"/>
      </w:r>
      <w:r w:rsidR="006632B5">
        <w:instrText xml:space="preserve"> REF _Ref506363862 \h </w:instrText>
      </w:r>
      <w:r w:rsidR="006632B5">
        <w:rPr>
          <w:color w:val="0000FF"/>
        </w:rPr>
      </w:r>
      <w:r w:rsidR="006632B5">
        <w:rPr>
          <w:color w:val="0000FF"/>
        </w:rPr>
        <w:fldChar w:fldCharType="separate"/>
      </w:r>
      <w:r w:rsidR="008C495D">
        <w:t xml:space="preserve">Table </w:t>
      </w:r>
      <w:r w:rsidR="008C495D">
        <w:rPr>
          <w:noProof/>
        </w:rPr>
        <w:t>5</w:t>
      </w:r>
      <w:r w:rsidR="006632B5">
        <w:rPr>
          <w:color w:val="0000FF"/>
        </w:rPr>
        <w:fldChar w:fldCharType="end"/>
      </w:r>
      <w:r w:rsidRPr="00893F7E">
        <w:t>)</w:t>
      </w:r>
      <w:r w:rsidR="00F54E61">
        <w:t>.</w:t>
      </w:r>
    </w:p>
    <w:p w14:paraId="7920B7C9" w14:textId="222759F3" w:rsidR="00893F7E" w:rsidRPr="005F5FFD" w:rsidRDefault="00205E85" w:rsidP="00205E85">
      <w:pPr>
        <w:pStyle w:val="Caption"/>
        <w:rPr>
          <w:b w:val="0"/>
          <w:bCs/>
        </w:rPr>
      </w:pPr>
      <w:bookmarkStart w:id="17" w:name="_Ref506363862"/>
      <w:r>
        <w:t xml:space="preserve">Table </w:t>
      </w:r>
      <w:r w:rsidR="002351AF">
        <w:fldChar w:fldCharType="begin"/>
      </w:r>
      <w:r w:rsidR="002351AF">
        <w:instrText xml:space="preserve"> SEQ Table \* ARABIC </w:instrText>
      </w:r>
      <w:r w:rsidR="002351AF">
        <w:fldChar w:fldCharType="separate"/>
      </w:r>
      <w:r w:rsidR="008C495D">
        <w:rPr>
          <w:noProof/>
        </w:rPr>
        <w:t>5</w:t>
      </w:r>
      <w:r w:rsidR="002351AF">
        <w:rPr>
          <w:noProof/>
        </w:rPr>
        <w:fldChar w:fldCharType="end"/>
      </w:r>
      <w:bookmarkEnd w:id="17"/>
      <w:r w:rsidRPr="00205E85">
        <w:t xml:space="preserve">. </w:t>
      </w:r>
      <w:r w:rsidR="00A25458">
        <w:t xml:space="preserve"> </w:t>
      </w:r>
      <w:r w:rsidR="00893F7E" w:rsidRPr="00205E85">
        <w:rPr>
          <w:bCs/>
        </w:rPr>
        <w:t xml:space="preserve">Treatment </w:t>
      </w:r>
      <w:r w:rsidR="00F541F4" w:rsidRPr="00205E85">
        <w:rPr>
          <w:bCs/>
        </w:rPr>
        <w:t>e</w:t>
      </w:r>
      <w:r w:rsidR="00893F7E" w:rsidRPr="00205E85">
        <w:rPr>
          <w:bCs/>
        </w:rPr>
        <w:t xml:space="preserve">ffects of </w:t>
      </w:r>
      <w:r w:rsidR="00F541F4" w:rsidRPr="00205E85">
        <w:rPr>
          <w:bCs/>
        </w:rPr>
        <w:t>Repatha</w:t>
      </w:r>
      <w:r w:rsidR="00893F7E" w:rsidRPr="00205E85">
        <w:rPr>
          <w:bCs/>
        </w:rPr>
        <w:t xml:space="preserve"> </w:t>
      </w:r>
      <w:r w:rsidR="00F541F4" w:rsidRPr="00205E85">
        <w:rPr>
          <w:bCs/>
        </w:rPr>
        <w:t>c</w:t>
      </w:r>
      <w:r w:rsidR="00893F7E" w:rsidRPr="00205E85">
        <w:rPr>
          <w:bCs/>
        </w:rPr>
        <w:t xml:space="preserve">ompared with </w:t>
      </w:r>
      <w:r w:rsidR="00F541F4" w:rsidRPr="00205E85">
        <w:rPr>
          <w:bCs/>
        </w:rPr>
        <w:t>p</w:t>
      </w:r>
      <w:r w:rsidR="00893F7E" w:rsidRPr="00205E85">
        <w:rPr>
          <w:bCs/>
        </w:rPr>
        <w:t xml:space="preserve">lacebo in </w:t>
      </w:r>
      <w:r w:rsidR="00F541F4" w:rsidRPr="00205E85">
        <w:rPr>
          <w:bCs/>
        </w:rPr>
        <w:t>p</w:t>
      </w:r>
      <w:r w:rsidR="00893F7E" w:rsidRPr="00205E85">
        <w:rPr>
          <w:bCs/>
        </w:rPr>
        <w:t xml:space="preserve">atients with </w:t>
      </w:r>
      <w:r w:rsidR="00665F7F">
        <w:rPr>
          <w:bCs/>
        </w:rPr>
        <w:t xml:space="preserve">primary </w:t>
      </w:r>
      <w:r w:rsidR="0027632E" w:rsidRPr="00205E85">
        <w:rPr>
          <w:bCs/>
        </w:rPr>
        <w:t>hypercholesterolaemia</w:t>
      </w:r>
      <w:r w:rsidR="00893F7E" w:rsidRPr="00205E85">
        <w:rPr>
          <w:bCs/>
        </w:rPr>
        <w:t xml:space="preserve">– </w:t>
      </w:r>
      <w:r w:rsidR="00F541F4" w:rsidRPr="00205E85">
        <w:rPr>
          <w:bCs/>
        </w:rPr>
        <w:t>m</w:t>
      </w:r>
      <w:r w:rsidR="00893F7E" w:rsidRPr="00205E85">
        <w:rPr>
          <w:bCs/>
        </w:rPr>
        <w:t xml:space="preserve">ean </w:t>
      </w:r>
      <w:r w:rsidR="00F541F4" w:rsidRPr="00205E85">
        <w:rPr>
          <w:bCs/>
        </w:rPr>
        <w:t>p</w:t>
      </w:r>
      <w:r w:rsidR="00893F7E" w:rsidRPr="00205E85">
        <w:rPr>
          <w:bCs/>
        </w:rPr>
        <w:t xml:space="preserve">ercent </w:t>
      </w:r>
      <w:r w:rsidR="00F541F4" w:rsidRPr="00205E85">
        <w:rPr>
          <w:bCs/>
        </w:rPr>
        <w:t>c</w:t>
      </w:r>
      <w:r w:rsidR="00893F7E" w:rsidRPr="00205E85">
        <w:rPr>
          <w:bCs/>
        </w:rPr>
        <w:t xml:space="preserve">hange from </w:t>
      </w:r>
      <w:r w:rsidR="00F541F4" w:rsidRPr="00205E85">
        <w:rPr>
          <w:bCs/>
        </w:rPr>
        <w:t>b</w:t>
      </w:r>
      <w:r w:rsidR="00893F7E" w:rsidRPr="00205E85">
        <w:rPr>
          <w:bCs/>
        </w:rPr>
        <w:t xml:space="preserve">aseline to </w:t>
      </w:r>
      <w:r w:rsidR="00F541F4" w:rsidRPr="00205E85">
        <w:rPr>
          <w:bCs/>
        </w:rPr>
        <w:t>w</w:t>
      </w:r>
      <w:r w:rsidR="00893F7E" w:rsidRPr="00205E85">
        <w:rPr>
          <w:bCs/>
        </w:rPr>
        <w:t>eek 52 (%, 95%</w:t>
      </w:r>
      <w:r w:rsidR="005F5FFD" w:rsidRPr="00205E85">
        <w:rPr>
          <w:bCs/>
        </w:rPr>
        <w:t> </w:t>
      </w:r>
      <w:r w:rsidR="00893F7E" w:rsidRPr="00205E85">
        <w:rPr>
          <w:bCs/>
        </w:rPr>
        <w:t>CI)</w:t>
      </w:r>
    </w:p>
    <w:tbl>
      <w:tblPr>
        <w:tblW w:w="5412" w:type="pct"/>
        <w:tblInd w:w="-421" w:type="dxa"/>
        <w:tblLayout w:type="fixed"/>
        <w:tblCellMar>
          <w:left w:w="0" w:type="dxa"/>
          <w:right w:w="0" w:type="dxa"/>
        </w:tblCellMar>
        <w:tblLook w:val="04A0" w:firstRow="1" w:lastRow="0" w:firstColumn="1" w:lastColumn="0" w:noHBand="0" w:noVBand="1"/>
      </w:tblPr>
      <w:tblGrid>
        <w:gridCol w:w="1230"/>
        <w:gridCol w:w="812"/>
        <w:gridCol w:w="682"/>
        <w:gridCol w:w="682"/>
        <w:gridCol w:w="682"/>
        <w:gridCol w:w="680"/>
        <w:gridCol w:w="680"/>
        <w:gridCol w:w="682"/>
        <w:gridCol w:w="682"/>
        <w:gridCol w:w="680"/>
        <w:gridCol w:w="545"/>
        <w:gridCol w:w="678"/>
        <w:gridCol w:w="680"/>
      </w:tblGrid>
      <w:tr w:rsidR="00F04289" w:rsidRPr="006F02BE" w14:paraId="0EF8E811" w14:textId="77777777" w:rsidTr="00F04289">
        <w:trPr>
          <w:trHeight w:val="248"/>
        </w:trPr>
        <w:tc>
          <w:tcPr>
            <w:tcW w:w="654" w:type="pct"/>
            <w:tcBorders>
              <w:top w:val="single" w:sz="4" w:space="0" w:color="auto"/>
              <w:left w:val="single" w:sz="4" w:space="0" w:color="auto"/>
              <w:bottom w:val="single" w:sz="4" w:space="0" w:color="auto"/>
              <w:right w:val="single" w:sz="4" w:space="0" w:color="auto"/>
            </w:tcBorders>
            <w:shd w:val="clear" w:color="auto" w:fill="D9D9D9"/>
            <w:vAlign w:val="center"/>
          </w:tcPr>
          <w:p w14:paraId="77379905"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Study</w:t>
            </w:r>
          </w:p>
        </w:tc>
        <w:tc>
          <w:tcPr>
            <w:tcW w:w="432" w:type="pct"/>
            <w:tcBorders>
              <w:top w:val="single" w:sz="4" w:space="0" w:color="auto"/>
              <w:left w:val="single" w:sz="4" w:space="0" w:color="auto"/>
              <w:bottom w:val="single" w:sz="4" w:space="0" w:color="auto"/>
              <w:right w:val="single" w:sz="4" w:space="0" w:color="auto"/>
            </w:tcBorders>
            <w:shd w:val="clear" w:color="auto" w:fill="D9D9D9"/>
            <w:tcMar>
              <w:top w:w="11" w:type="dxa"/>
              <w:left w:w="90" w:type="dxa"/>
              <w:bottom w:w="0" w:type="dxa"/>
              <w:right w:w="90" w:type="dxa"/>
            </w:tcMar>
            <w:vAlign w:val="center"/>
          </w:tcPr>
          <w:p w14:paraId="2AF65086"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Dose regimen</w:t>
            </w:r>
          </w:p>
        </w:tc>
        <w:tc>
          <w:tcPr>
            <w:tcW w:w="363" w:type="pct"/>
            <w:tcBorders>
              <w:top w:val="single" w:sz="4" w:space="0" w:color="auto"/>
              <w:left w:val="single" w:sz="4" w:space="0" w:color="auto"/>
              <w:bottom w:val="single" w:sz="4" w:space="0" w:color="auto"/>
              <w:right w:val="single" w:sz="4" w:space="0" w:color="auto"/>
            </w:tcBorders>
            <w:shd w:val="clear" w:color="auto" w:fill="D9D9D9"/>
            <w:tcMar>
              <w:top w:w="11" w:type="dxa"/>
              <w:left w:w="90" w:type="dxa"/>
              <w:bottom w:w="0" w:type="dxa"/>
              <w:right w:w="90" w:type="dxa"/>
            </w:tcMar>
            <w:vAlign w:val="center"/>
          </w:tcPr>
          <w:p w14:paraId="467BFA53" w14:textId="77777777" w:rsidR="00893F7E" w:rsidRPr="00893F7E" w:rsidRDefault="00893F7E" w:rsidP="00F10D41">
            <w:pPr>
              <w:keepNext/>
              <w:spacing w:before="20" w:after="20"/>
              <w:ind w:left="-93" w:right="-85"/>
              <w:jc w:val="center"/>
              <w:rPr>
                <w:rFonts w:eastAsia="Calibri" w:cs="Arial"/>
                <w:b/>
                <w:bCs/>
                <w:sz w:val="16"/>
                <w:szCs w:val="16"/>
              </w:rPr>
            </w:pPr>
            <w:r w:rsidRPr="00893F7E">
              <w:rPr>
                <w:rFonts w:eastAsia="Calibri" w:cs="Arial"/>
                <w:b/>
                <w:bCs/>
                <w:sz w:val="16"/>
                <w:szCs w:val="16"/>
              </w:rPr>
              <w:t>LDL-C</w:t>
            </w:r>
          </w:p>
          <w:p w14:paraId="1D3F0D3C" w14:textId="77777777" w:rsidR="00893F7E" w:rsidRPr="00893F7E" w:rsidRDefault="00893F7E" w:rsidP="00F10D41">
            <w:pPr>
              <w:keepNext/>
              <w:spacing w:before="20" w:after="20"/>
              <w:ind w:left="-93" w:right="-85"/>
              <w:jc w:val="center"/>
              <w:rPr>
                <w:rFonts w:eastAsia="Calibri" w:cs="Arial"/>
                <w:b/>
                <w:bCs/>
                <w:sz w:val="16"/>
                <w:szCs w:val="16"/>
              </w:rPr>
            </w:pPr>
            <w:r w:rsidRPr="00893F7E">
              <w:rPr>
                <w:rFonts w:eastAsia="Calibri" w:cs="Arial"/>
                <w:b/>
                <w:bCs/>
                <w:sz w:val="16"/>
                <w:szCs w:val="16"/>
              </w:rPr>
              <w:t>(%)</w:t>
            </w:r>
          </w:p>
        </w:tc>
        <w:tc>
          <w:tcPr>
            <w:tcW w:w="363" w:type="pct"/>
            <w:tcBorders>
              <w:top w:val="single" w:sz="4" w:space="0" w:color="auto"/>
              <w:left w:val="single" w:sz="4" w:space="0" w:color="auto"/>
              <w:bottom w:val="single" w:sz="4" w:space="0" w:color="auto"/>
              <w:right w:val="single" w:sz="4" w:space="0" w:color="auto"/>
            </w:tcBorders>
            <w:shd w:val="clear" w:color="auto" w:fill="D9D9D9"/>
            <w:tcMar>
              <w:top w:w="11" w:type="dxa"/>
              <w:left w:w="90" w:type="dxa"/>
              <w:bottom w:w="0" w:type="dxa"/>
              <w:right w:w="90" w:type="dxa"/>
            </w:tcMar>
            <w:vAlign w:val="center"/>
          </w:tcPr>
          <w:p w14:paraId="16EB6A6D" w14:textId="77777777" w:rsidR="00893F7E" w:rsidRPr="00893F7E" w:rsidRDefault="00893F7E" w:rsidP="00F10D41">
            <w:pPr>
              <w:keepNext/>
              <w:spacing w:before="20" w:after="20"/>
              <w:ind w:left="-95" w:right="-83"/>
              <w:jc w:val="center"/>
              <w:rPr>
                <w:rFonts w:eastAsia="Calibri" w:cs="Arial"/>
                <w:b/>
                <w:bCs/>
                <w:sz w:val="16"/>
                <w:szCs w:val="16"/>
              </w:rPr>
            </w:pPr>
            <w:r w:rsidRPr="00893F7E">
              <w:rPr>
                <w:rFonts w:eastAsia="Calibri" w:cs="Arial"/>
                <w:b/>
                <w:bCs/>
                <w:sz w:val="16"/>
                <w:szCs w:val="16"/>
              </w:rPr>
              <w:t>Non-</w:t>
            </w:r>
          </w:p>
          <w:p w14:paraId="605E90D7" w14:textId="77777777" w:rsidR="00893F7E" w:rsidRPr="00893F7E" w:rsidRDefault="00893F7E" w:rsidP="00F10D41">
            <w:pPr>
              <w:keepNext/>
              <w:spacing w:before="20" w:after="20"/>
              <w:ind w:left="-95" w:right="-83"/>
              <w:jc w:val="center"/>
              <w:rPr>
                <w:rFonts w:eastAsia="Calibri" w:cs="Arial"/>
                <w:b/>
                <w:bCs/>
                <w:sz w:val="16"/>
                <w:szCs w:val="16"/>
              </w:rPr>
            </w:pPr>
            <w:r w:rsidRPr="00893F7E">
              <w:rPr>
                <w:rFonts w:eastAsia="Calibri" w:cs="Arial"/>
                <w:b/>
                <w:bCs/>
                <w:sz w:val="16"/>
                <w:szCs w:val="16"/>
              </w:rPr>
              <w:t>HDL-C</w:t>
            </w:r>
          </w:p>
          <w:p w14:paraId="26E77F9E" w14:textId="77777777" w:rsidR="00893F7E" w:rsidRPr="00893F7E" w:rsidRDefault="00893F7E" w:rsidP="00F10D41">
            <w:pPr>
              <w:keepNext/>
              <w:spacing w:before="20" w:after="20"/>
              <w:ind w:left="-95" w:right="-83"/>
              <w:jc w:val="center"/>
              <w:rPr>
                <w:rFonts w:eastAsia="Calibri" w:cs="Arial"/>
                <w:b/>
                <w:bCs/>
                <w:sz w:val="16"/>
                <w:szCs w:val="16"/>
              </w:rPr>
            </w:pPr>
            <w:r w:rsidRPr="00893F7E">
              <w:rPr>
                <w:rFonts w:eastAsia="Calibri" w:cs="Arial"/>
                <w:b/>
                <w:bCs/>
                <w:sz w:val="16"/>
                <w:szCs w:val="16"/>
              </w:rPr>
              <w:t>(%)</w:t>
            </w:r>
          </w:p>
        </w:tc>
        <w:tc>
          <w:tcPr>
            <w:tcW w:w="363" w:type="pct"/>
            <w:tcBorders>
              <w:top w:val="single" w:sz="4" w:space="0" w:color="auto"/>
              <w:left w:val="single" w:sz="4" w:space="0" w:color="auto"/>
              <w:bottom w:val="single" w:sz="4" w:space="0" w:color="auto"/>
              <w:right w:val="single" w:sz="4" w:space="0" w:color="auto"/>
            </w:tcBorders>
            <w:shd w:val="clear" w:color="auto" w:fill="D9D9D9"/>
            <w:tcMar>
              <w:top w:w="11" w:type="dxa"/>
              <w:left w:w="11" w:type="dxa"/>
              <w:bottom w:w="0" w:type="dxa"/>
              <w:right w:w="11" w:type="dxa"/>
            </w:tcMar>
            <w:vAlign w:val="center"/>
          </w:tcPr>
          <w:p w14:paraId="1A179F60" w14:textId="77777777" w:rsidR="00893F7E" w:rsidRPr="00893F7E" w:rsidRDefault="00893F7E" w:rsidP="00F10D41">
            <w:pPr>
              <w:keepNext/>
              <w:spacing w:before="20" w:after="20"/>
              <w:jc w:val="center"/>
              <w:rPr>
                <w:rFonts w:eastAsia="Calibri" w:cs="Arial"/>
                <w:b/>
                <w:bCs/>
                <w:sz w:val="16"/>
                <w:szCs w:val="16"/>
              </w:rPr>
            </w:pPr>
            <w:proofErr w:type="spellStart"/>
            <w:r w:rsidRPr="00893F7E">
              <w:rPr>
                <w:rFonts w:eastAsia="Calibri" w:cs="Arial"/>
                <w:b/>
                <w:bCs/>
                <w:sz w:val="16"/>
                <w:szCs w:val="16"/>
              </w:rPr>
              <w:t>ApoB</w:t>
            </w:r>
            <w:proofErr w:type="spellEnd"/>
          </w:p>
          <w:p w14:paraId="1749EA96"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w:t>
            </w:r>
          </w:p>
        </w:tc>
        <w:tc>
          <w:tcPr>
            <w:tcW w:w="362" w:type="pct"/>
            <w:tcBorders>
              <w:top w:val="single" w:sz="4" w:space="0" w:color="auto"/>
              <w:left w:val="single" w:sz="4" w:space="0" w:color="auto"/>
              <w:bottom w:val="single" w:sz="4" w:space="0" w:color="auto"/>
              <w:right w:val="single" w:sz="4" w:space="0" w:color="auto"/>
            </w:tcBorders>
            <w:shd w:val="clear" w:color="auto" w:fill="D9D9D9"/>
            <w:tcMar>
              <w:top w:w="11" w:type="dxa"/>
              <w:left w:w="11" w:type="dxa"/>
              <w:bottom w:w="0" w:type="dxa"/>
              <w:right w:w="11" w:type="dxa"/>
            </w:tcMar>
            <w:vAlign w:val="center"/>
          </w:tcPr>
          <w:p w14:paraId="09B945A0"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TC</w:t>
            </w:r>
          </w:p>
          <w:p w14:paraId="23B0C964"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w:t>
            </w:r>
          </w:p>
        </w:tc>
        <w:tc>
          <w:tcPr>
            <w:tcW w:w="362" w:type="pct"/>
            <w:tcBorders>
              <w:top w:val="single" w:sz="4" w:space="0" w:color="auto"/>
              <w:left w:val="single" w:sz="4" w:space="0" w:color="auto"/>
              <w:bottom w:val="single" w:sz="4" w:space="0" w:color="auto"/>
              <w:right w:val="single" w:sz="4" w:space="0" w:color="auto"/>
            </w:tcBorders>
            <w:shd w:val="clear" w:color="auto" w:fill="D9D9D9"/>
            <w:tcMar>
              <w:top w:w="11" w:type="dxa"/>
              <w:left w:w="11" w:type="dxa"/>
              <w:bottom w:w="0" w:type="dxa"/>
              <w:right w:w="11" w:type="dxa"/>
            </w:tcMar>
            <w:vAlign w:val="center"/>
          </w:tcPr>
          <w:p w14:paraId="502AD8FE" w14:textId="77777777" w:rsidR="00893F7E" w:rsidRPr="00893F7E" w:rsidRDefault="00893F7E" w:rsidP="00F10D41">
            <w:pPr>
              <w:keepNext/>
              <w:spacing w:before="20" w:after="20"/>
              <w:jc w:val="center"/>
              <w:rPr>
                <w:rFonts w:eastAsia="Calibri" w:cs="Arial"/>
                <w:b/>
                <w:bCs/>
                <w:sz w:val="16"/>
                <w:szCs w:val="16"/>
              </w:rPr>
            </w:pPr>
            <w:proofErr w:type="spellStart"/>
            <w:r w:rsidRPr="00893F7E">
              <w:rPr>
                <w:rFonts w:eastAsia="Calibri" w:cs="Arial"/>
                <w:b/>
                <w:bCs/>
                <w:sz w:val="16"/>
                <w:szCs w:val="16"/>
              </w:rPr>
              <w:t>Lp</w:t>
            </w:r>
            <w:proofErr w:type="spellEnd"/>
            <w:r w:rsidRPr="00893F7E">
              <w:rPr>
                <w:rFonts w:eastAsia="Calibri" w:cs="Arial"/>
                <w:b/>
                <w:bCs/>
                <w:sz w:val="16"/>
                <w:szCs w:val="16"/>
              </w:rPr>
              <w:t>(a)</w:t>
            </w:r>
          </w:p>
          <w:p w14:paraId="16D3760C"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w:t>
            </w:r>
          </w:p>
        </w:tc>
        <w:tc>
          <w:tcPr>
            <w:tcW w:w="363" w:type="pct"/>
            <w:tcBorders>
              <w:top w:val="single" w:sz="4" w:space="0" w:color="auto"/>
              <w:left w:val="single" w:sz="4" w:space="0" w:color="auto"/>
              <w:bottom w:val="single" w:sz="4" w:space="0" w:color="auto"/>
              <w:right w:val="single" w:sz="4" w:space="0" w:color="auto"/>
            </w:tcBorders>
            <w:shd w:val="clear" w:color="auto" w:fill="D9D9D9"/>
            <w:tcMar>
              <w:top w:w="11" w:type="dxa"/>
              <w:left w:w="11" w:type="dxa"/>
              <w:bottom w:w="0" w:type="dxa"/>
              <w:right w:w="11" w:type="dxa"/>
            </w:tcMar>
            <w:vAlign w:val="center"/>
          </w:tcPr>
          <w:p w14:paraId="496461CE"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VLDL-C</w:t>
            </w:r>
          </w:p>
          <w:p w14:paraId="2B090590"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w:t>
            </w:r>
          </w:p>
        </w:tc>
        <w:tc>
          <w:tcPr>
            <w:tcW w:w="363" w:type="pct"/>
            <w:tcBorders>
              <w:top w:val="single" w:sz="4" w:space="0" w:color="auto"/>
              <w:left w:val="single" w:sz="4" w:space="0" w:color="auto"/>
              <w:bottom w:val="single" w:sz="4" w:space="0" w:color="auto"/>
              <w:right w:val="single" w:sz="4" w:space="0" w:color="auto"/>
            </w:tcBorders>
            <w:shd w:val="clear" w:color="auto" w:fill="D9D9D9"/>
            <w:tcMar>
              <w:top w:w="11" w:type="dxa"/>
              <w:left w:w="11" w:type="dxa"/>
              <w:bottom w:w="0" w:type="dxa"/>
              <w:right w:w="11" w:type="dxa"/>
            </w:tcMar>
            <w:vAlign w:val="center"/>
          </w:tcPr>
          <w:p w14:paraId="1427241B"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HDL-C</w:t>
            </w:r>
          </w:p>
          <w:p w14:paraId="3CA0DB87"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w:t>
            </w:r>
          </w:p>
        </w:tc>
        <w:tc>
          <w:tcPr>
            <w:tcW w:w="362" w:type="pct"/>
            <w:tcBorders>
              <w:top w:val="single" w:sz="4" w:space="0" w:color="auto"/>
              <w:left w:val="single" w:sz="4" w:space="0" w:color="auto"/>
              <w:bottom w:val="single" w:sz="4" w:space="0" w:color="auto"/>
              <w:right w:val="single" w:sz="4" w:space="0" w:color="auto"/>
            </w:tcBorders>
            <w:shd w:val="clear" w:color="auto" w:fill="D9D9D9"/>
            <w:vAlign w:val="center"/>
          </w:tcPr>
          <w:p w14:paraId="02129AF8"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TG</w:t>
            </w:r>
          </w:p>
          <w:p w14:paraId="1ECFD62A"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w:t>
            </w:r>
          </w:p>
        </w:tc>
        <w:tc>
          <w:tcPr>
            <w:tcW w:w="290" w:type="pct"/>
            <w:tcBorders>
              <w:top w:val="single" w:sz="4" w:space="0" w:color="auto"/>
              <w:left w:val="single" w:sz="4" w:space="0" w:color="auto"/>
              <w:bottom w:val="single" w:sz="4" w:space="0" w:color="auto"/>
              <w:right w:val="single" w:sz="4" w:space="0" w:color="auto"/>
            </w:tcBorders>
            <w:shd w:val="clear" w:color="auto" w:fill="D9D9D9"/>
            <w:tcMar>
              <w:top w:w="11" w:type="dxa"/>
              <w:left w:w="11" w:type="dxa"/>
              <w:bottom w:w="0" w:type="dxa"/>
              <w:right w:w="11" w:type="dxa"/>
            </w:tcMar>
            <w:vAlign w:val="center"/>
          </w:tcPr>
          <w:p w14:paraId="2657DA56"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ApoA1</w:t>
            </w:r>
          </w:p>
          <w:p w14:paraId="135FCDE4"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w:t>
            </w:r>
          </w:p>
        </w:tc>
        <w:tc>
          <w:tcPr>
            <w:tcW w:w="361" w:type="pct"/>
            <w:tcBorders>
              <w:top w:val="single" w:sz="4" w:space="0" w:color="auto"/>
              <w:left w:val="single" w:sz="4" w:space="0" w:color="auto"/>
              <w:bottom w:val="single" w:sz="4" w:space="0" w:color="auto"/>
              <w:right w:val="single" w:sz="4" w:space="0" w:color="auto"/>
            </w:tcBorders>
            <w:shd w:val="clear" w:color="auto" w:fill="D9D9D9"/>
            <w:vAlign w:val="center"/>
          </w:tcPr>
          <w:p w14:paraId="5D6A6397"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TC/</w:t>
            </w:r>
          </w:p>
          <w:p w14:paraId="557B87CC"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HDL-C Ratio</w:t>
            </w:r>
          </w:p>
          <w:p w14:paraId="7F15852E"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w:t>
            </w:r>
          </w:p>
        </w:tc>
        <w:tc>
          <w:tcPr>
            <w:tcW w:w="362" w:type="pct"/>
            <w:tcBorders>
              <w:top w:val="single" w:sz="4" w:space="0" w:color="auto"/>
              <w:left w:val="single" w:sz="4" w:space="0" w:color="auto"/>
              <w:bottom w:val="single" w:sz="4" w:space="0" w:color="auto"/>
              <w:right w:val="single" w:sz="4" w:space="0" w:color="auto"/>
            </w:tcBorders>
            <w:shd w:val="clear" w:color="auto" w:fill="D9D9D9"/>
            <w:vAlign w:val="center"/>
          </w:tcPr>
          <w:p w14:paraId="77A34160" w14:textId="77777777" w:rsidR="00893F7E" w:rsidRPr="00893F7E" w:rsidRDefault="00893F7E" w:rsidP="00F10D41">
            <w:pPr>
              <w:keepNext/>
              <w:spacing w:before="20" w:after="20"/>
              <w:jc w:val="center"/>
              <w:rPr>
                <w:rFonts w:eastAsia="Calibri" w:cs="Arial"/>
                <w:b/>
                <w:bCs/>
                <w:sz w:val="16"/>
                <w:szCs w:val="16"/>
              </w:rPr>
            </w:pPr>
            <w:proofErr w:type="spellStart"/>
            <w:r w:rsidRPr="00893F7E">
              <w:rPr>
                <w:rFonts w:eastAsia="Calibri" w:cs="Arial"/>
                <w:b/>
                <w:bCs/>
                <w:sz w:val="16"/>
                <w:szCs w:val="16"/>
              </w:rPr>
              <w:t>ApoB</w:t>
            </w:r>
            <w:proofErr w:type="spellEnd"/>
            <w:r w:rsidRPr="00893F7E">
              <w:rPr>
                <w:rFonts w:eastAsia="Calibri" w:cs="Arial"/>
                <w:b/>
                <w:bCs/>
                <w:sz w:val="16"/>
                <w:szCs w:val="16"/>
              </w:rPr>
              <w:t>/</w:t>
            </w:r>
          </w:p>
          <w:p w14:paraId="4D0FEFE4"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ApoA1 Ratio</w:t>
            </w:r>
          </w:p>
          <w:p w14:paraId="7772ECF2" w14:textId="77777777" w:rsidR="00893F7E" w:rsidRPr="00893F7E" w:rsidRDefault="00893F7E" w:rsidP="00F10D41">
            <w:pPr>
              <w:keepNext/>
              <w:spacing w:before="20" w:after="20"/>
              <w:jc w:val="center"/>
              <w:rPr>
                <w:rFonts w:eastAsia="Calibri" w:cs="Arial"/>
                <w:b/>
                <w:bCs/>
                <w:sz w:val="16"/>
                <w:szCs w:val="16"/>
              </w:rPr>
            </w:pPr>
            <w:r w:rsidRPr="00893F7E">
              <w:rPr>
                <w:rFonts w:eastAsia="Calibri" w:cs="Arial"/>
                <w:b/>
                <w:bCs/>
                <w:sz w:val="16"/>
                <w:szCs w:val="16"/>
              </w:rPr>
              <w:t>(%)</w:t>
            </w:r>
          </w:p>
        </w:tc>
      </w:tr>
      <w:tr w:rsidR="00F04289" w:rsidRPr="006F02BE" w14:paraId="44CFD4D4" w14:textId="77777777" w:rsidTr="00F04289">
        <w:trPr>
          <w:trHeight w:val="248"/>
        </w:trPr>
        <w:tc>
          <w:tcPr>
            <w:tcW w:w="654" w:type="pct"/>
            <w:tcBorders>
              <w:top w:val="single" w:sz="4" w:space="0" w:color="auto"/>
              <w:left w:val="single" w:sz="4" w:space="0" w:color="auto"/>
              <w:bottom w:val="single" w:sz="4" w:space="0" w:color="auto"/>
              <w:right w:val="single" w:sz="4" w:space="0" w:color="auto"/>
            </w:tcBorders>
            <w:vAlign w:val="center"/>
            <w:hideMark/>
          </w:tcPr>
          <w:p w14:paraId="7DEB9A3B" w14:textId="77777777" w:rsidR="00893F7E" w:rsidRPr="00893F7E" w:rsidRDefault="00E1303F" w:rsidP="003C08A8">
            <w:pPr>
              <w:keepNext/>
              <w:spacing w:before="20" w:after="20"/>
              <w:jc w:val="center"/>
              <w:rPr>
                <w:rFonts w:eastAsia="Calibri" w:cs="Arial"/>
                <w:sz w:val="16"/>
                <w:szCs w:val="16"/>
              </w:rPr>
            </w:pPr>
            <w:r>
              <w:rPr>
                <w:rFonts w:eastAsia="Calibri" w:cs="Arial"/>
                <w:sz w:val="16"/>
                <w:szCs w:val="16"/>
              </w:rPr>
              <w:t>DESCARTES</w:t>
            </w:r>
          </w:p>
        </w:tc>
        <w:tc>
          <w:tcPr>
            <w:tcW w:w="432"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hideMark/>
          </w:tcPr>
          <w:p w14:paraId="5288C344" w14:textId="77777777" w:rsidR="00893F7E" w:rsidRPr="00893F7E" w:rsidRDefault="00893F7E" w:rsidP="00F10D41">
            <w:pPr>
              <w:keepNext/>
              <w:spacing w:before="20" w:after="20"/>
              <w:jc w:val="center"/>
              <w:rPr>
                <w:rFonts w:eastAsia="Calibri" w:cs="Arial"/>
                <w:sz w:val="16"/>
                <w:szCs w:val="16"/>
              </w:rPr>
            </w:pPr>
            <w:r w:rsidRPr="00893F7E">
              <w:rPr>
                <w:rFonts w:eastAsia="Calibri" w:cs="Arial"/>
                <w:sz w:val="16"/>
                <w:szCs w:val="16"/>
              </w:rPr>
              <w:t>420 mg QM (N=599)</w:t>
            </w:r>
          </w:p>
        </w:tc>
        <w:tc>
          <w:tcPr>
            <w:tcW w:w="363"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hideMark/>
          </w:tcPr>
          <w:p w14:paraId="63B7EF07" w14:textId="77777777" w:rsidR="00893F7E" w:rsidRPr="00893F7E" w:rsidRDefault="00893F7E" w:rsidP="00F10D41">
            <w:pPr>
              <w:keepNext/>
              <w:keepLines/>
              <w:spacing w:before="20" w:after="20"/>
              <w:ind w:left="-103" w:right="-99"/>
              <w:jc w:val="center"/>
              <w:rPr>
                <w:rFonts w:eastAsia="Calibri" w:cs="Arial"/>
                <w:sz w:val="16"/>
                <w:szCs w:val="16"/>
                <w:vertAlign w:val="superscript"/>
              </w:rPr>
            </w:pPr>
            <w:r w:rsidRPr="00893F7E">
              <w:rPr>
                <w:rFonts w:eastAsia="Calibri" w:cs="Arial"/>
                <w:sz w:val="16"/>
                <w:szCs w:val="16"/>
              </w:rPr>
              <w:t>-59</w:t>
            </w:r>
            <w:r w:rsidRPr="00893F7E">
              <w:rPr>
                <w:rFonts w:eastAsia="Calibri" w:cs="Arial"/>
                <w:sz w:val="16"/>
                <w:szCs w:val="16"/>
                <w:vertAlign w:val="superscript"/>
              </w:rPr>
              <w:t>b</w:t>
            </w:r>
          </w:p>
          <w:p w14:paraId="2259CBE4" w14:textId="77777777" w:rsidR="00893F7E" w:rsidRPr="00893F7E" w:rsidRDefault="00893F7E" w:rsidP="00F10D41">
            <w:pPr>
              <w:keepNext/>
              <w:keepLines/>
              <w:spacing w:before="20" w:after="20"/>
              <w:ind w:left="-103" w:right="-99"/>
              <w:jc w:val="center"/>
              <w:rPr>
                <w:rFonts w:eastAsia="Calibri" w:cs="Arial"/>
                <w:sz w:val="16"/>
                <w:szCs w:val="16"/>
              </w:rPr>
            </w:pPr>
            <w:r w:rsidRPr="00893F7E">
              <w:rPr>
                <w:rFonts w:eastAsia="Calibri" w:cs="Arial"/>
                <w:sz w:val="16"/>
                <w:szCs w:val="16"/>
              </w:rPr>
              <w:t>(-64, -55)</w:t>
            </w:r>
          </w:p>
        </w:tc>
        <w:tc>
          <w:tcPr>
            <w:tcW w:w="363" w:type="pct"/>
            <w:tcBorders>
              <w:top w:val="single" w:sz="4" w:space="0" w:color="auto"/>
              <w:left w:val="single" w:sz="4" w:space="0" w:color="auto"/>
              <w:bottom w:val="single" w:sz="4" w:space="0" w:color="auto"/>
              <w:right w:val="single" w:sz="4" w:space="0" w:color="auto"/>
            </w:tcBorders>
            <w:tcMar>
              <w:top w:w="11" w:type="dxa"/>
              <w:left w:w="90" w:type="dxa"/>
              <w:bottom w:w="0" w:type="dxa"/>
              <w:right w:w="90" w:type="dxa"/>
            </w:tcMar>
            <w:vAlign w:val="center"/>
            <w:hideMark/>
          </w:tcPr>
          <w:p w14:paraId="69EFB654" w14:textId="77777777" w:rsidR="00893F7E" w:rsidRPr="00893F7E" w:rsidRDefault="00893F7E" w:rsidP="00F10D41">
            <w:pPr>
              <w:keepNext/>
              <w:keepLines/>
              <w:spacing w:before="20" w:after="20"/>
              <w:ind w:left="-107" w:right="-71"/>
              <w:jc w:val="center"/>
              <w:rPr>
                <w:rFonts w:eastAsia="Calibri" w:cs="Arial"/>
                <w:sz w:val="16"/>
                <w:szCs w:val="16"/>
                <w:vertAlign w:val="superscript"/>
              </w:rPr>
            </w:pPr>
            <w:r w:rsidRPr="00893F7E">
              <w:rPr>
                <w:rFonts w:eastAsia="Calibri" w:cs="Arial"/>
                <w:sz w:val="16"/>
                <w:szCs w:val="16"/>
              </w:rPr>
              <w:t>-50</w:t>
            </w:r>
            <w:r w:rsidRPr="00893F7E">
              <w:rPr>
                <w:rFonts w:eastAsia="Calibri" w:cs="Arial"/>
                <w:sz w:val="16"/>
                <w:szCs w:val="16"/>
                <w:vertAlign w:val="superscript"/>
              </w:rPr>
              <w:t>b</w:t>
            </w:r>
          </w:p>
          <w:p w14:paraId="2C329FD1" w14:textId="77777777" w:rsidR="00893F7E" w:rsidRPr="00893F7E" w:rsidRDefault="00893F7E" w:rsidP="00F10D41">
            <w:pPr>
              <w:keepNext/>
              <w:keepLines/>
              <w:spacing w:before="20" w:after="20"/>
              <w:ind w:left="-107" w:right="-71"/>
              <w:jc w:val="center"/>
              <w:rPr>
                <w:rFonts w:eastAsia="Calibri" w:cs="Arial"/>
                <w:sz w:val="16"/>
                <w:szCs w:val="16"/>
              </w:rPr>
            </w:pPr>
            <w:r w:rsidRPr="00893F7E">
              <w:rPr>
                <w:rFonts w:eastAsia="Calibri" w:cs="Arial"/>
                <w:sz w:val="16"/>
                <w:szCs w:val="16"/>
              </w:rPr>
              <w:t>(-54, -46)</w:t>
            </w:r>
          </w:p>
        </w:tc>
        <w:tc>
          <w:tcPr>
            <w:tcW w:w="36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2D29CC99" w14:textId="77777777" w:rsidR="00893F7E" w:rsidRPr="00893F7E" w:rsidRDefault="00893F7E" w:rsidP="00F10D41">
            <w:pPr>
              <w:keepNext/>
              <w:keepLines/>
              <w:spacing w:before="20" w:after="20"/>
              <w:jc w:val="center"/>
              <w:rPr>
                <w:rFonts w:eastAsia="Calibri" w:cs="Arial"/>
                <w:sz w:val="16"/>
                <w:szCs w:val="16"/>
                <w:vertAlign w:val="superscript"/>
              </w:rPr>
            </w:pPr>
            <w:r w:rsidRPr="00893F7E">
              <w:rPr>
                <w:rFonts w:eastAsia="Calibri" w:cs="Arial"/>
                <w:sz w:val="16"/>
                <w:szCs w:val="16"/>
              </w:rPr>
              <w:t>-44</w:t>
            </w:r>
            <w:r w:rsidRPr="00893F7E">
              <w:rPr>
                <w:rFonts w:eastAsia="Calibri" w:cs="Arial"/>
                <w:sz w:val="16"/>
                <w:szCs w:val="16"/>
                <w:vertAlign w:val="superscript"/>
              </w:rPr>
              <w:t>b</w:t>
            </w:r>
          </w:p>
          <w:p w14:paraId="379AE1D9" w14:textId="77777777" w:rsidR="00893F7E" w:rsidRPr="00893F7E" w:rsidRDefault="00893F7E" w:rsidP="00F10D41">
            <w:pPr>
              <w:keepNext/>
              <w:keepLines/>
              <w:spacing w:before="20" w:after="20"/>
              <w:jc w:val="center"/>
              <w:rPr>
                <w:rFonts w:eastAsia="Calibri" w:cs="Arial"/>
                <w:sz w:val="16"/>
                <w:szCs w:val="16"/>
              </w:rPr>
            </w:pPr>
            <w:r w:rsidRPr="00893F7E">
              <w:rPr>
                <w:rFonts w:eastAsia="Calibri" w:cs="Arial"/>
                <w:sz w:val="16"/>
                <w:szCs w:val="16"/>
              </w:rPr>
              <w:t>(-48, -41)</w:t>
            </w:r>
          </w:p>
        </w:tc>
        <w:tc>
          <w:tcPr>
            <w:tcW w:w="36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4BD71A9F" w14:textId="77777777" w:rsidR="00893F7E" w:rsidRPr="00893F7E" w:rsidRDefault="00893F7E" w:rsidP="00F10D41">
            <w:pPr>
              <w:keepNext/>
              <w:keepLines/>
              <w:spacing w:before="20" w:after="20"/>
              <w:jc w:val="center"/>
              <w:rPr>
                <w:rFonts w:eastAsia="Calibri" w:cs="Arial"/>
                <w:sz w:val="16"/>
                <w:szCs w:val="16"/>
                <w:vertAlign w:val="superscript"/>
              </w:rPr>
            </w:pPr>
            <w:r w:rsidRPr="00893F7E">
              <w:rPr>
                <w:rFonts w:eastAsia="Calibri" w:cs="Arial"/>
                <w:sz w:val="16"/>
                <w:szCs w:val="16"/>
              </w:rPr>
              <w:t>-33</w:t>
            </w:r>
            <w:r w:rsidRPr="00893F7E">
              <w:rPr>
                <w:rFonts w:eastAsia="Calibri" w:cs="Arial"/>
                <w:sz w:val="16"/>
                <w:szCs w:val="16"/>
                <w:vertAlign w:val="superscript"/>
              </w:rPr>
              <w:t>b</w:t>
            </w:r>
          </w:p>
          <w:p w14:paraId="162528F8" w14:textId="77777777" w:rsidR="00893F7E" w:rsidRPr="00893F7E" w:rsidRDefault="00893F7E" w:rsidP="00F10D41">
            <w:pPr>
              <w:keepNext/>
              <w:keepLines/>
              <w:spacing w:before="20" w:after="20"/>
              <w:jc w:val="center"/>
              <w:rPr>
                <w:rFonts w:eastAsia="Calibri" w:cs="Arial"/>
                <w:sz w:val="16"/>
                <w:szCs w:val="16"/>
              </w:rPr>
            </w:pPr>
            <w:r w:rsidRPr="00893F7E">
              <w:rPr>
                <w:rFonts w:eastAsia="Calibri" w:cs="Arial"/>
                <w:sz w:val="16"/>
                <w:szCs w:val="16"/>
              </w:rPr>
              <w:t>(-36, -31)</w:t>
            </w:r>
          </w:p>
        </w:tc>
        <w:tc>
          <w:tcPr>
            <w:tcW w:w="36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2AA17874" w14:textId="77777777" w:rsidR="00893F7E" w:rsidRPr="00893F7E" w:rsidRDefault="00893F7E" w:rsidP="00F10D41">
            <w:pPr>
              <w:keepNext/>
              <w:keepLines/>
              <w:spacing w:before="20" w:after="20"/>
              <w:jc w:val="center"/>
              <w:rPr>
                <w:rFonts w:eastAsia="Calibri" w:cs="Arial"/>
                <w:sz w:val="16"/>
                <w:szCs w:val="16"/>
                <w:vertAlign w:val="superscript"/>
              </w:rPr>
            </w:pPr>
            <w:r w:rsidRPr="00893F7E">
              <w:rPr>
                <w:rFonts w:eastAsia="Calibri" w:cs="Arial"/>
                <w:sz w:val="16"/>
                <w:szCs w:val="16"/>
              </w:rPr>
              <w:t>-22</w:t>
            </w:r>
            <w:r w:rsidRPr="00893F7E">
              <w:rPr>
                <w:rFonts w:eastAsia="Calibri" w:cs="Arial"/>
                <w:sz w:val="16"/>
                <w:szCs w:val="16"/>
                <w:vertAlign w:val="superscript"/>
              </w:rPr>
              <w:t>b</w:t>
            </w:r>
          </w:p>
          <w:p w14:paraId="0F96C320" w14:textId="77777777" w:rsidR="00893F7E" w:rsidRPr="00893F7E" w:rsidRDefault="00893F7E" w:rsidP="00F10D41">
            <w:pPr>
              <w:keepNext/>
              <w:keepLines/>
              <w:spacing w:before="20" w:after="20"/>
              <w:jc w:val="center"/>
              <w:rPr>
                <w:rFonts w:eastAsia="Calibri" w:cs="Arial"/>
                <w:sz w:val="16"/>
                <w:szCs w:val="16"/>
              </w:rPr>
            </w:pPr>
            <w:r w:rsidRPr="00893F7E">
              <w:rPr>
                <w:rFonts w:eastAsia="Calibri" w:cs="Arial"/>
                <w:sz w:val="16"/>
                <w:szCs w:val="16"/>
              </w:rPr>
              <w:t>(-26, -19)</w:t>
            </w:r>
          </w:p>
        </w:tc>
        <w:tc>
          <w:tcPr>
            <w:tcW w:w="36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25C852F5" w14:textId="77777777" w:rsidR="00893F7E" w:rsidRPr="00893F7E" w:rsidRDefault="00893F7E" w:rsidP="00F10D41">
            <w:pPr>
              <w:keepNext/>
              <w:keepLines/>
              <w:spacing w:before="20" w:after="20"/>
              <w:jc w:val="center"/>
              <w:rPr>
                <w:rFonts w:eastAsia="Calibri" w:cs="Arial"/>
                <w:sz w:val="16"/>
                <w:szCs w:val="16"/>
                <w:vertAlign w:val="superscript"/>
              </w:rPr>
            </w:pPr>
            <w:r w:rsidRPr="00893F7E">
              <w:rPr>
                <w:rFonts w:eastAsia="Calibri" w:cs="Arial"/>
                <w:sz w:val="16"/>
                <w:szCs w:val="16"/>
              </w:rPr>
              <w:t>-29</w:t>
            </w:r>
            <w:r w:rsidRPr="00893F7E">
              <w:rPr>
                <w:rFonts w:eastAsia="Calibri" w:cs="Arial"/>
                <w:sz w:val="16"/>
                <w:szCs w:val="16"/>
                <w:vertAlign w:val="superscript"/>
              </w:rPr>
              <w:t>b</w:t>
            </w:r>
          </w:p>
          <w:p w14:paraId="11233A8D" w14:textId="77777777" w:rsidR="00893F7E" w:rsidRPr="00893F7E" w:rsidRDefault="00893F7E" w:rsidP="00F10D41">
            <w:pPr>
              <w:keepNext/>
              <w:keepLines/>
              <w:spacing w:before="20" w:after="20"/>
              <w:jc w:val="center"/>
              <w:rPr>
                <w:rFonts w:eastAsia="Calibri" w:cs="Arial"/>
                <w:sz w:val="16"/>
                <w:szCs w:val="16"/>
              </w:rPr>
            </w:pPr>
            <w:r w:rsidRPr="00893F7E">
              <w:rPr>
                <w:rFonts w:eastAsia="Calibri" w:cs="Arial"/>
                <w:sz w:val="16"/>
                <w:szCs w:val="16"/>
              </w:rPr>
              <w:t>(-40, -18)</w:t>
            </w:r>
          </w:p>
        </w:tc>
        <w:tc>
          <w:tcPr>
            <w:tcW w:w="363"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0F89F9E2" w14:textId="77777777" w:rsidR="00893F7E" w:rsidRPr="00893F7E" w:rsidRDefault="00893F7E" w:rsidP="00F10D41">
            <w:pPr>
              <w:keepNext/>
              <w:keepLines/>
              <w:spacing w:before="20" w:after="20"/>
              <w:jc w:val="center"/>
              <w:rPr>
                <w:rFonts w:eastAsia="Calibri" w:cs="Arial"/>
                <w:sz w:val="16"/>
                <w:szCs w:val="16"/>
                <w:vertAlign w:val="superscript"/>
              </w:rPr>
            </w:pPr>
            <w:r w:rsidRPr="00893F7E">
              <w:rPr>
                <w:rFonts w:eastAsia="Calibri" w:cs="Arial"/>
                <w:sz w:val="16"/>
                <w:szCs w:val="16"/>
              </w:rPr>
              <w:t>5</w:t>
            </w:r>
            <w:r w:rsidRPr="00893F7E">
              <w:rPr>
                <w:rFonts w:eastAsia="Calibri" w:cs="Arial"/>
                <w:sz w:val="16"/>
                <w:szCs w:val="16"/>
                <w:vertAlign w:val="superscript"/>
              </w:rPr>
              <w:t>b</w:t>
            </w:r>
          </w:p>
          <w:p w14:paraId="3B441198" w14:textId="77777777" w:rsidR="00893F7E" w:rsidRPr="00893F7E" w:rsidRDefault="00893F7E" w:rsidP="00F10D41">
            <w:pPr>
              <w:keepNext/>
              <w:keepLines/>
              <w:spacing w:before="20" w:after="20"/>
              <w:jc w:val="center"/>
              <w:rPr>
                <w:rFonts w:eastAsia="Calibri" w:cs="Arial"/>
                <w:sz w:val="16"/>
                <w:szCs w:val="16"/>
              </w:rPr>
            </w:pPr>
            <w:r w:rsidRPr="00893F7E">
              <w:rPr>
                <w:rFonts w:eastAsia="Calibri" w:cs="Arial"/>
                <w:sz w:val="16"/>
                <w:szCs w:val="16"/>
              </w:rPr>
              <w:t>(3, 8)</w:t>
            </w:r>
          </w:p>
        </w:tc>
        <w:tc>
          <w:tcPr>
            <w:tcW w:w="362" w:type="pct"/>
            <w:tcBorders>
              <w:top w:val="single" w:sz="4" w:space="0" w:color="auto"/>
              <w:left w:val="single" w:sz="4" w:space="0" w:color="auto"/>
              <w:bottom w:val="single" w:sz="4" w:space="0" w:color="auto"/>
              <w:right w:val="single" w:sz="4" w:space="0" w:color="auto"/>
            </w:tcBorders>
            <w:vAlign w:val="center"/>
            <w:hideMark/>
          </w:tcPr>
          <w:p w14:paraId="3D63BA6D" w14:textId="77777777" w:rsidR="00893F7E" w:rsidRPr="00893F7E" w:rsidRDefault="00893F7E" w:rsidP="00F10D41">
            <w:pPr>
              <w:keepNext/>
              <w:keepLines/>
              <w:spacing w:before="20" w:after="20"/>
              <w:jc w:val="center"/>
              <w:rPr>
                <w:rFonts w:eastAsia="Calibri" w:cs="Arial"/>
                <w:bCs/>
                <w:sz w:val="16"/>
                <w:szCs w:val="16"/>
                <w:vertAlign w:val="superscript"/>
              </w:rPr>
            </w:pPr>
            <w:r w:rsidRPr="00893F7E">
              <w:rPr>
                <w:rFonts w:eastAsia="Calibri" w:cs="Arial"/>
                <w:bCs/>
                <w:sz w:val="16"/>
                <w:szCs w:val="16"/>
              </w:rPr>
              <w:t>-12</w:t>
            </w:r>
            <w:r w:rsidRPr="00893F7E">
              <w:rPr>
                <w:rFonts w:eastAsia="Calibri" w:cs="Arial"/>
                <w:bCs/>
                <w:sz w:val="16"/>
                <w:szCs w:val="16"/>
                <w:vertAlign w:val="superscript"/>
              </w:rPr>
              <w:t>b</w:t>
            </w:r>
          </w:p>
          <w:p w14:paraId="35F3C901" w14:textId="77777777" w:rsidR="00893F7E" w:rsidRPr="00893F7E" w:rsidRDefault="00893F7E" w:rsidP="00F10D41">
            <w:pPr>
              <w:keepNext/>
              <w:keepLines/>
              <w:spacing w:before="20" w:after="20"/>
              <w:jc w:val="center"/>
              <w:rPr>
                <w:rFonts w:eastAsia="Calibri" w:cs="Arial"/>
                <w:bCs/>
                <w:sz w:val="16"/>
                <w:szCs w:val="16"/>
              </w:rPr>
            </w:pPr>
            <w:r w:rsidRPr="00893F7E">
              <w:rPr>
                <w:rFonts w:eastAsia="Calibri" w:cs="Arial"/>
                <w:bCs/>
                <w:sz w:val="16"/>
                <w:szCs w:val="16"/>
              </w:rPr>
              <w:t>(-17, -6)</w:t>
            </w:r>
          </w:p>
        </w:tc>
        <w:tc>
          <w:tcPr>
            <w:tcW w:w="29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64730A4C" w14:textId="77777777" w:rsidR="00893F7E" w:rsidRPr="00893F7E" w:rsidRDefault="00893F7E" w:rsidP="00F10D41">
            <w:pPr>
              <w:keepNext/>
              <w:keepLines/>
              <w:spacing w:before="20" w:after="20"/>
              <w:jc w:val="center"/>
              <w:rPr>
                <w:rFonts w:eastAsia="Calibri" w:cs="Arial"/>
                <w:sz w:val="16"/>
                <w:szCs w:val="16"/>
                <w:vertAlign w:val="superscript"/>
              </w:rPr>
            </w:pPr>
            <w:r w:rsidRPr="00893F7E">
              <w:rPr>
                <w:rFonts w:eastAsia="Calibri" w:cs="Arial"/>
                <w:sz w:val="16"/>
                <w:szCs w:val="16"/>
              </w:rPr>
              <w:t>3</w:t>
            </w:r>
          </w:p>
          <w:p w14:paraId="2C5EE4C5" w14:textId="77777777" w:rsidR="00893F7E" w:rsidRPr="00893F7E" w:rsidRDefault="00893F7E" w:rsidP="00F10D41">
            <w:pPr>
              <w:keepNext/>
              <w:keepLines/>
              <w:spacing w:before="20" w:after="20"/>
              <w:jc w:val="center"/>
              <w:rPr>
                <w:rFonts w:eastAsia="Calibri" w:cs="Arial"/>
                <w:sz w:val="16"/>
                <w:szCs w:val="16"/>
              </w:rPr>
            </w:pPr>
            <w:r w:rsidRPr="00893F7E">
              <w:rPr>
                <w:rFonts w:eastAsia="Calibri" w:cs="Arial"/>
                <w:sz w:val="16"/>
                <w:szCs w:val="16"/>
              </w:rPr>
              <w:t>(1, 5)</w:t>
            </w:r>
          </w:p>
        </w:tc>
        <w:tc>
          <w:tcPr>
            <w:tcW w:w="361" w:type="pct"/>
            <w:tcBorders>
              <w:top w:val="single" w:sz="4" w:space="0" w:color="auto"/>
              <w:left w:val="single" w:sz="4" w:space="0" w:color="auto"/>
              <w:bottom w:val="single" w:sz="4" w:space="0" w:color="auto"/>
              <w:right w:val="single" w:sz="4" w:space="0" w:color="auto"/>
            </w:tcBorders>
            <w:vAlign w:val="center"/>
          </w:tcPr>
          <w:p w14:paraId="4F7B2744" w14:textId="77777777" w:rsidR="00893F7E" w:rsidRPr="00893F7E" w:rsidRDefault="00893F7E" w:rsidP="00F10D41">
            <w:pPr>
              <w:keepNext/>
              <w:keepLines/>
              <w:spacing w:before="20" w:after="20"/>
              <w:jc w:val="center"/>
              <w:rPr>
                <w:rFonts w:eastAsia="Calibri" w:cs="Arial"/>
                <w:sz w:val="16"/>
                <w:szCs w:val="16"/>
                <w:vertAlign w:val="superscript"/>
              </w:rPr>
            </w:pPr>
            <w:r w:rsidRPr="00893F7E">
              <w:rPr>
                <w:rFonts w:eastAsia="Calibri" w:cs="Arial"/>
                <w:sz w:val="16"/>
                <w:szCs w:val="16"/>
              </w:rPr>
              <w:t>-37</w:t>
            </w:r>
            <w:r w:rsidRPr="00893F7E">
              <w:rPr>
                <w:rFonts w:eastAsia="Calibri" w:cs="Arial"/>
                <w:sz w:val="16"/>
                <w:szCs w:val="16"/>
                <w:vertAlign w:val="superscript"/>
              </w:rPr>
              <w:t>b</w:t>
            </w:r>
          </w:p>
          <w:p w14:paraId="429E4367" w14:textId="77777777" w:rsidR="00893F7E" w:rsidRPr="00893F7E" w:rsidRDefault="00893F7E" w:rsidP="00F10D41">
            <w:pPr>
              <w:keepNext/>
              <w:keepLines/>
              <w:spacing w:before="20" w:after="20"/>
              <w:jc w:val="center"/>
              <w:rPr>
                <w:rFonts w:eastAsia="Calibri" w:cs="Arial"/>
                <w:sz w:val="16"/>
                <w:szCs w:val="16"/>
              </w:rPr>
            </w:pPr>
            <w:r w:rsidRPr="00893F7E">
              <w:rPr>
                <w:rFonts w:eastAsia="Calibri" w:cs="Arial"/>
                <w:sz w:val="16"/>
                <w:szCs w:val="16"/>
              </w:rPr>
              <w:t>(-40, -34)</w:t>
            </w:r>
          </w:p>
        </w:tc>
        <w:tc>
          <w:tcPr>
            <w:tcW w:w="362" w:type="pct"/>
            <w:tcBorders>
              <w:top w:val="single" w:sz="4" w:space="0" w:color="auto"/>
              <w:left w:val="single" w:sz="4" w:space="0" w:color="auto"/>
              <w:bottom w:val="single" w:sz="4" w:space="0" w:color="auto"/>
              <w:right w:val="single" w:sz="4" w:space="0" w:color="auto"/>
            </w:tcBorders>
            <w:vAlign w:val="center"/>
          </w:tcPr>
          <w:p w14:paraId="4C8CAF3E" w14:textId="77777777" w:rsidR="00893F7E" w:rsidRPr="00893F7E" w:rsidRDefault="00893F7E" w:rsidP="00F10D41">
            <w:pPr>
              <w:keepNext/>
              <w:keepLines/>
              <w:spacing w:before="20" w:after="20"/>
              <w:jc w:val="center"/>
              <w:rPr>
                <w:rFonts w:eastAsia="Calibri" w:cs="Arial"/>
                <w:sz w:val="16"/>
                <w:szCs w:val="16"/>
                <w:vertAlign w:val="superscript"/>
              </w:rPr>
            </w:pPr>
            <w:r w:rsidRPr="00893F7E">
              <w:rPr>
                <w:rFonts w:eastAsia="Calibri" w:cs="Arial"/>
                <w:sz w:val="16"/>
                <w:szCs w:val="16"/>
              </w:rPr>
              <w:t>-46</w:t>
            </w:r>
            <w:r w:rsidRPr="00893F7E">
              <w:rPr>
                <w:rFonts w:eastAsia="Calibri" w:cs="Arial"/>
                <w:sz w:val="16"/>
                <w:szCs w:val="16"/>
                <w:vertAlign w:val="superscript"/>
              </w:rPr>
              <w:t>b</w:t>
            </w:r>
          </w:p>
          <w:p w14:paraId="4C2BBBC8" w14:textId="77777777" w:rsidR="00893F7E" w:rsidRPr="00893F7E" w:rsidRDefault="00893F7E" w:rsidP="00F10D41">
            <w:pPr>
              <w:keepNext/>
              <w:keepLines/>
              <w:spacing w:before="20" w:after="20"/>
              <w:jc w:val="center"/>
              <w:rPr>
                <w:rFonts w:eastAsia="Calibri" w:cs="Arial"/>
                <w:sz w:val="16"/>
                <w:szCs w:val="16"/>
              </w:rPr>
            </w:pPr>
            <w:r w:rsidRPr="00893F7E">
              <w:rPr>
                <w:rFonts w:eastAsia="Calibri" w:cs="Arial"/>
                <w:sz w:val="16"/>
                <w:szCs w:val="16"/>
              </w:rPr>
              <w:t>(-50, -43)</w:t>
            </w:r>
          </w:p>
        </w:tc>
      </w:tr>
      <w:tr w:rsidR="00893F7E" w:rsidRPr="00F10D41" w14:paraId="3A85F461" w14:textId="77777777" w:rsidTr="00F04289">
        <w:trPr>
          <w:trHeight w:val="248"/>
        </w:trPr>
        <w:tc>
          <w:tcPr>
            <w:tcW w:w="5000" w:type="pct"/>
            <w:gridSpan w:val="13"/>
            <w:tcBorders>
              <w:top w:val="single" w:sz="4" w:space="0" w:color="auto"/>
            </w:tcBorders>
          </w:tcPr>
          <w:p w14:paraId="74249571" w14:textId="77777777" w:rsidR="00893F7E" w:rsidRPr="00F54E61" w:rsidRDefault="00893F7E" w:rsidP="00F22DE5">
            <w:pPr>
              <w:rPr>
                <w:rFonts w:eastAsia="Calibri"/>
                <w:sz w:val="18"/>
                <w:szCs w:val="18"/>
              </w:rPr>
            </w:pPr>
            <w:r w:rsidRPr="00F54E61">
              <w:rPr>
                <w:rFonts w:eastAsia="Calibri"/>
                <w:sz w:val="18"/>
                <w:szCs w:val="18"/>
              </w:rPr>
              <w:t>Key: QM = once monthly</w:t>
            </w:r>
            <w:r w:rsidR="00F10D41" w:rsidRPr="00F54E61">
              <w:rPr>
                <w:rFonts w:eastAsia="Calibri"/>
                <w:sz w:val="18"/>
                <w:szCs w:val="18"/>
              </w:rPr>
              <w:t xml:space="preserve"> </w:t>
            </w:r>
            <w:r w:rsidRPr="00F54E61">
              <w:rPr>
                <w:rFonts w:eastAsia="Calibri"/>
                <w:sz w:val="18"/>
                <w:szCs w:val="18"/>
                <w:vertAlign w:val="superscript"/>
              </w:rPr>
              <w:t>b</w:t>
            </w:r>
            <w:r w:rsidRPr="00F54E61">
              <w:rPr>
                <w:rFonts w:eastAsia="Calibri"/>
                <w:sz w:val="18"/>
                <w:szCs w:val="18"/>
              </w:rPr>
              <w:t xml:space="preserve"> p value &lt;0.001 when compared with placebo</w:t>
            </w:r>
            <w:r w:rsidR="00F54E61" w:rsidRPr="00F54E61">
              <w:rPr>
                <w:rFonts w:eastAsia="Calibri"/>
                <w:sz w:val="18"/>
                <w:szCs w:val="18"/>
              </w:rPr>
              <w:t>.</w:t>
            </w:r>
          </w:p>
        </w:tc>
      </w:tr>
    </w:tbl>
    <w:p w14:paraId="6A474D73" w14:textId="77777777" w:rsidR="00A729F6" w:rsidRDefault="00A729F6" w:rsidP="00F309DA">
      <w:pPr>
        <w:pStyle w:val="TableCenterAlign"/>
        <w:rPr>
          <w:b/>
        </w:rPr>
      </w:pPr>
      <w:bookmarkStart w:id="18" w:name="_Ref395872536"/>
    </w:p>
    <w:p w14:paraId="4C733355" w14:textId="77777777" w:rsidR="00051CC4" w:rsidRPr="00F309DA" w:rsidRDefault="00D10DBB" w:rsidP="0009617D">
      <w:pPr>
        <w:pStyle w:val="TableCenterAlign"/>
        <w:rPr>
          <w:rFonts w:eastAsia="Calibri"/>
        </w:rPr>
      </w:pPr>
      <w:bookmarkStart w:id="19" w:name="_Ref506364087"/>
      <w:bookmarkEnd w:id="18"/>
      <w:proofErr w:type="gramStart"/>
      <w:r w:rsidRPr="00F309DA">
        <w:rPr>
          <w:b/>
        </w:rPr>
        <w:t xml:space="preserve">Figure </w:t>
      </w:r>
      <w:r w:rsidRPr="00A97855">
        <w:rPr>
          <w:b/>
        </w:rPr>
        <w:fldChar w:fldCharType="begin"/>
      </w:r>
      <w:r w:rsidRPr="00F309DA">
        <w:rPr>
          <w:b/>
        </w:rPr>
        <w:instrText xml:space="preserve"> SEQ Figure \* ARABIC </w:instrText>
      </w:r>
      <w:r w:rsidRPr="00A97855">
        <w:rPr>
          <w:b/>
        </w:rPr>
        <w:fldChar w:fldCharType="separate"/>
      </w:r>
      <w:r w:rsidR="008C495D">
        <w:rPr>
          <w:b/>
          <w:noProof/>
        </w:rPr>
        <w:t>6</w:t>
      </w:r>
      <w:r w:rsidRPr="00A97855">
        <w:rPr>
          <w:b/>
        </w:rPr>
        <w:fldChar w:fldCharType="end"/>
      </w:r>
      <w:bookmarkEnd w:id="19"/>
      <w:r w:rsidRPr="00F309DA">
        <w:rPr>
          <w:b/>
        </w:rPr>
        <w:t>.</w:t>
      </w:r>
      <w:proofErr w:type="gramEnd"/>
      <w:r w:rsidRPr="00F309DA">
        <w:rPr>
          <w:b/>
        </w:rPr>
        <w:t xml:space="preserve">  </w:t>
      </w:r>
      <w:r w:rsidR="00051CC4" w:rsidRPr="00F309DA">
        <w:rPr>
          <w:rFonts w:eastAsia="Calibri"/>
          <w:b/>
        </w:rPr>
        <w:t xml:space="preserve">Mean </w:t>
      </w:r>
      <w:r w:rsidR="005E16A6" w:rsidRPr="00F309DA">
        <w:rPr>
          <w:rFonts w:eastAsia="Calibri"/>
          <w:b/>
        </w:rPr>
        <w:t>p</w:t>
      </w:r>
      <w:r w:rsidR="00051CC4" w:rsidRPr="00F309DA">
        <w:rPr>
          <w:rFonts w:eastAsia="Calibri"/>
          <w:b/>
        </w:rPr>
        <w:t xml:space="preserve">ercent </w:t>
      </w:r>
      <w:r w:rsidR="005E16A6" w:rsidRPr="00F309DA">
        <w:rPr>
          <w:rFonts w:eastAsia="Calibri"/>
          <w:b/>
        </w:rPr>
        <w:t>c</w:t>
      </w:r>
      <w:r w:rsidR="00051CC4" w:rsidRPr="00F309DA">
        <w:rPr>
          <w:rFonts w:eastAsia="Calibri"/>
          <w:b/>
        </w:rPr>
        <w:t xml:space="preserve">hange from </w:t>
      </w:r>
      <w:r w:rsidR="005E16A6" w:rsidRPr="00F309DA">
        <w:rPr>
          <w:rFonts w:eastAsia="Calibri"/>
          <w:b/>
        </w:rPr>
        <w:t>b</w:t>
      </w:r>
      <w:r w:rsidR="00051CC4" w:rsidRPr="00F309DA">
        <w:rPr>
          <w:rFonts w:eastAsia="Calibri"/>
          <w:b/>
        </w:rPr>
        <w:t xml:space="preserve">aseline in </w:t>
      </w:r>
      <w:r w:rsidR="005E16A6" w:rsidRPr="00F309DA">
        <w:rPr>
          <w:rFonts w:eastAsia="Calibri"/>
          <w:b/>
        </w:rPr>
        <w:t>c</w:t>
      </w:r>
      <w:r w:rsidR="00051CC4" w:rsidRPr="00F309DA">
        <w:rPr>
          <w:rFonts w:eastAsia="Calibri"/>
          <w:b/>
        </w:rPr>
        <w:t xml:space="preserve">alculated LDL-C by </w:t>
      </w:r>
      <w:r w:rsidR="005E16A6" w:rsidRPr="00F309DA">
        <w:rPr>
          <w:rFonts w:eastAsia="Calibri"/>
          <w:b/>
        </w:rPr>
        <w:t>s</w:t>
      </w:r>
      <w:r w:rsidR="00051CC4" w:rsidRPr="00F309DA">
        <w:rPr>
          <w:rFonts w:eastAsia="Calibri"/>
          <w:b/>
        </w:rPr>
        <w:t xml:space="preserve">cheduled </w:t>
      </w:r>
      <w:r w:rsidR="005E16A6" w:rsidRPr="00F309DA">
        <w:rPr>
          <w:rFonts w:eastAsia="Calibri"/>
          <w:b/>
        </w:rPr>
        <w:t>v</w:t>
      </w:r>
      <w:r w:rsidR="00051CC4" w:rsidRPr="00F309DA">
        <w:rPr>
          <w:rFonts w:eastAsia="Calibri"/>
          <w:b/>
        </w:rPr>
        <w:t xml:space="preserve">isit and </w:t>
      </w:r>
      <w:r w:rsidR="005E16A6" w:rsidRPr="00F309DA">
        <w:rPr>
          <w:rFonts w:eastAsia="Calibri"/>
          <w:b/>
        </w:rPr>
        <w:t>i</w:t>
      </w:r>
      <w:r w:rsidR="00051CC4" w:rsidRPr="00F309DA">
        <w:rPr>
          <w:rFonts w:eastAsia="Calibri"/>
          <w:b/>
        </w:rPr>
        <w:t xml:space="preserve">nvestigational </w:t>
      </w:r>
      <w:r w:rsidR="005E16A6" w:rsidRPr="00F309DA">
        <w:rPr>
          <w:rFonts w:eastAsia="Calibri"/>
          <w:b/>
        </w:rPr>
        <w:t>p</w:t>
      </w:r>
      <w:r w:rsidR="00051CC4" w:rsidRPr="00F309DA">
        <w:rPr>
          <w:rFonts w:eastAsia="Calibri"/>
          <w:b/>
        </w:rPr>
        <w:t>roduct (DESCARTES)</w:t>
      </w:r>
    </w:p>
    <w:p w14:paraId="7A8515B3" w14:textId="6D59EF8E" w:rsidR="00051CC4" w:rsidRDefault="0005561A" w:rsidP="003B50B8">
      <w:pPr>
        <w:pStyle w:val="TableCenterAlign"/>
        <w:jc w:val="left"/>
        <w:rPr>
          <w:b/>
          <w:bCs/>
          <w:sz w:val="20"/>
        </w:rPr>
      </w:pPr>
      <w:r w:rsidRPr="004F6F71">
        <w:rPr>
          <w:noProof/>
          <w:lang w:eastAsia="en-AU"/>
        </w:rPr>
        <w:drawing>
          <wp:inline distT="0" distB="0" distL="0" distR="0" wp14:anchorId="443809DB" wp14:editId="273CB55A">
            <wp:extent cx="5867400" cy="2468880"/>
            <wp:effectExtent l="0" t="0" r="0" b="7620"/>
            <wp:docPr id="6" name="Picture 6" descr="Figure 6.  Mean percent change from baseline in calculated LDL-C by scheduled visit and investigational product (DESCA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srv09\stat\amg145\for_NonStats\CDS_PI\figures\20110109\f14-04-041-401-lb-meanplot-pchg-ldlc-qm.jpeg&#10;&#10;GRH01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7400" cy="2468880"/>
                    </a:xfrm>
                    <a:prstGeom prst="rect">
                      <a:avLst/>
                    </a:prstGeom>
                    <a:noFill/>
                    <a:ln>
                      <a:noFill/>
                    </a:ln>
                  </pic:spPr>
                </pic:pic>
              </a:graphicData>
            </a:graphic>
          </wp:inline>
        </w:drawing>
      </w:r>
    </w:p>
    <w:p w14:paraId="5E9E5B5A" w14:textId="77777777" w:rsidR="00051CC4" w:rsidRPr="00F54E61" w:rsidRDefault="00F10D41" w:rsidP="00F54E61">
      <w:pPr>
        <w:rPr>
          <w:sz w:val="18"/>
          <w:szCs w:val="18"/>
        </w:rPr>
      </w:pPr>
      <w:r w:rsidRPr="00F54E61">
        <w:rPr>
          <w:sz w:val="18"/>
          <w:szCs w:val="18"/>
        </w:rPr>
        <w:t>DESCARTES</w:t>
      </w:r>
      <w:r w:rsidR="00051CC4" w:rsidRPr="00F54E61">
        <w:rPr>
          <w:sz w:val="18"/>
          <w:szCs w:val="18"/>
        </w:rPr>
        <w:t xml:space="preserve"> - Full Analysis Set</w:t>
      </w:r>
      <w:r w:rsidR="00F54E61">
        <w:rPr>
          <w:sz w:val="18"/>
          <w:szCs w:val="18"/>
        </w:rPr>
        <w:t>.</w:t>
      </w:r>
    </w:p>
    <w:p w14:paraId="7C23781D" w14:textId="77777777" w:rsidR="000A249E" w:rsidRPr="00F54E61" w:rsidRDefault="00051CC4" w:rsidP="00F54E61">
      <w:pPr>
        <w:rPr>
          <w:sz w:val="18"/>
          <w:szCs w:val="18"/>
        </w:rPr>
      </w:pPr>
      <w:r w:rsidRPr="00F54E61">
        <w:rPr>
          <w:sz w:val="18"/>
          <w:szCs w:val="18"/>
        </w:rPr>
        <w:t xml:space="preserve">N = number of subjects </w:t>
      </w:r>
      <w:r w:rsidR="00983361" w:rsidRPr="00F54E61">
        <w:rPr>
          <w:sz w:val="18"/>
          <w:szCs w:val="18"/>
        </w:rPr>
        <w:t>randomised</w:t>
      </w:r>
      <w:r w:rsidRPr="00F54E61">
        <w:rPr>
          <w:sz w:val="18"/>
          <w:szCs w:val="18"/>
        </w:rPr>
        <w:t xml:space="preserve"> and dosed in the full analysis set; </w:t>
      </w:r>
    </w:p>
    <w:p w14:paraId="77C3EA5E" w14:textId="77777777" w:rsidR="00F54E61" w:rsidRDefault="00051CC4" w:rsidP="00F54E61">
      <w:pPr>
        <w:rPr>
          <w:sz w:val="18"/>
          <w:szCs w:val="18"/>
        </w:rPr>
      </w:pPr>
      <w:proofErr w:type="spellStart"/>
      <w:r w:rsidRPr="00F54E61">
        <w:rPr>
          <w:sz w:val="18"/>
          <w:szCs w:val="18"/>
        </w:rPr>
        <w:t>EvoMab</w:t>
      </w:r>
      <w:proofErr w:type="spellEnd"/>
      <w:r w:rsidRPr="00F54E61">
        <w:rPr>
          <w:sz w:val="18"/>
          <w:szCs w:val="18"/>
        </w:rPr>
        <w:t xml:space="preserve"> = </w:t>
      </w:r>
      <w:proofErr w:type="spellStart"/>
      <w:r w:rsidR="00BD6730" w:rsidRPr="00F54E61">
        <w:rPr>
          <w:sz w:val="18"/>
          <w:szCs w:val="18"/>
        </w:rPr>
        <w:t>Repatha</w:t>
      </w:r>
      <w:proofErr w:type="spellEnd"/>
      <w:r w:rsidRPr="00F54E61">
        <w:rPr>
          <w:sz w:val="18"/>
          <w:szCs w:val="18"/>
        </w:rPr>
        <w:t>; WK = week; QM = once monthly (subcutaneous); MG = milligrams</w:t>
      </w:r>
      <w:r w:rsidR="00F54E61">
        <w:rPr>
          <w:sz w:val="18"/>
          <w:szCs w:val="18"/>
        </w:rPr>
        <w:t>.</w:t>
      </w:r>
    </w:p>
    <w:p w14:paraId="3202FF7A" w14:textId="77777777" w:rsidR="00051CC4" w:rsidRPr="00F54E61" w:rsidRDefault="00051CC4" w:rsidP="000A28CB">
      <w:pPr>
        <w:spacing w:after="240"/>
        <w:rPr>
          <w:sz w:val="18"/>
          <w:szCs w:val="18"/>
        </w:rPr>
      </w:pPr>
      <w:r w:rsidRPr="00F54E61">
        <w:rPr>
          <w:sz w:val="18"/>
          <w:szCs w:val="18"/>
        </w:rPr>
        <w:t>Vertical lines represent the standard error around the mean. Plot is based on observed data and no imputation is used for missing values.</w:t>
      </w:r>
    </w:p>
    <w:p w14:paraId="380FB161" w14:textId="77777777" w:rsidR="00CB2570" w:rsidRPr="00CB2570" w:rsidRDefault="00CB2570" w:rsidP="002813FC">
      <w:pPr>
        <w:pStyle w:val="PI-UnderlinedSubHeader"/>
      </w:pPr>
      <w:r w:rsidRPr="00CB2570">
        <w:t>Ongoing studies</w:t>
      </w:r>
    </w:p>
    <w:p w14:paraId="4D14A9B5" w14:textId="77777777" w:rsidR="00E22244" w:rsidRDefault="00381AF2" w:rsidP="002813FC">
      <w:pPr>
        <w:pStyle w:val="PI-text"/>
      </w:pPr>
      <w:r>
        <w:t>OSLER 1 and OSLER 2</w:t>
      </w:r>
      <w:r w:rsidR="00CB2570" w:rsidRPr="00CB2570">
        <w:t xml:space="preserve"> are two ongoing, </w:t>
      </w:r>
      <w:r w:rsidR="00983361">
        <w:t>randomised</w:t>
      </w:r>
      <w:r w:rsidR="00CB2570" w:rsidRPr="00CB2570">
        <w:t xml:space="preserve">, controlled, open-label extension studies to assess the long-term safety and efficacy of </w:t>
      </w:r>
      <w:r w:rsidR="00BD6730">
        <w:t>Repatha</w:t>
      </w:r>
      <w:r w:rsidR="00CB2570" w:rsidRPr="00CB2570">
        <w:t xml:space="preserve"> in patients who completed treatment in a</w:t>
      </w:r>
      <w:r w:rsidR="00CB2570">
        <w:t xml:space="preserve"> </w:t>
      </w:r>
      <w:r w:rsidR="00CB2570" w:rsidRPr="00CB2570">
        <w:rPr>
          <w:rFonts w:hint="eastAsia"/>
        </w:rPr>
        <w:t>‘</w:t>
      </w:r>
      <w:r w:rsidR="00CB2570" w:rsidRPr="00CB2570">
        <w:t>parent</w:t>
      </w:r>
      <w:r w:rsidR="00CB2570" w:rsidRPr="00CB2570">
        <w:rPr>
          <w:rFonts w:hint="eastAsia"/>
        </w:rPr>
        <w:t>’</w:t>
      </w:r>
      <w:r w:rsidR="00CB2570" w:rsidRPr="00CB2570">
        <w:t xml:space="preserve"> study. In each extension study, patients were </w:t>
      </w:r>
      <w:r w:rsidR="00983361">
        <w:t>randomised</w:t>
      </w:r>
      <w:r w:rsidR="00CB2570" w:rsidRPr="00CB2570">
        <w:t xml:space="preserve"> 2:1 to receive either </w:t>
      </w:r>
      <w:r w:rsidR="00BD6730">
        <w:t>Repatha</w:t>
      </w:r>
      <w:r w:rsidR="00CB2570">
        <w:t xml:space="preserve"> </w:t>
      </w:r>
      <w:r w:rsidR="00CB2570" w:rsidRPr="00CB2570">
        <w:t>plus standard of care (</w:t>
      </w:r>
      <w:r w:rsidR="00F541F4">
        <w:t>evolocumab</w:t>
      </w:r>
      <w:r w:rsidR="00CB2570" w:rsidRPr="00CB2570">
        <w:t xml:space="preserve"> group) or standard of care alone (control group) for the first year of</w:t>
      </w:r>
      <w:r w:rsidR="00CB2570">
        <w:t xml:space="preserve"> </w:t>
      </w:r>
      <w:r w:rsidR="00CB2570" w:rsidRPr="00CB2570">
        <w:t>the study.</w:t>
      </w:r>
      <w:r w:rsidR="00AA4FF6">
        <w:t xml:space="preserve"> </w:t>
      </w:r>
      <w:r w:rsidR="00CB2570" w:rsidRPr="00CB2570">
        <w:t xml:space="preserve"> At the end of the first year (week 52 in OSLER</w:t>
      </w:r>
      <w:r w:rsidR="00EC7567">
        <w:t>-1</w:t>
      </w:r>
      <w:r w:rsidR="00CB2570" w:rsidRPr="00CB2570">
        <w:t xml:space="preserve"> and week 48 in OSLER-2), patients were</w:t>
      </w:r>
      <w:r w:rsidR="00CB2570">
        <w:t xml:space="preserve"> </w:t>
      </w:r>
      <w:r w:rsidR="00CB2570" w:rsidRPr="00CB2570">
        <w:t xml:space="preserve">eligible to enter the </w:t>
      </w:r>
      <w:r w:rsidR="00A01D23">
        <w:t xml:space="preserve">all Repatha </w:t>
      </w:r>
      <w:r w:rsidR="00CB2570" w:rsidRPr="00CB2570">
        <w:t xml:space="preserve">period in which all patients could receive open-label </w:t>
      </w:r>
      <w:r w:rsidR="00BD6730">
        <w:t>Repatha</w:t>
      </w:r>
      <w:r w:rsidR="00CB2570">
        <w:t xml:space="preserve"> </w:t>
      </w:r>
      <w:r w:rsidR="00CB2570" w:rsidRPr="00CB2570">
        <w:t>for either another 4 years (OSLER</w:t>
      </w:r>
      <w:r w:rsidR="00EC7567">
        <w:t>-1</w:t>
      </w:r>
      <w:r w:rsidR="00CB2570" w:rsidRPr="00CB2570">
        <w:t>) or 1 year (OSLER-2).</w:t>
      </w:r>
      <w:r w:rsidR="00CB2570">
        <w:t xml:space="preserve"> </w:t>
      </w:r>
    </w:p>
    <w:p w14:paraId="2CBF6BEF" w14:textId="77777777" w:rsidR="00CB2570" w:rsidRDefault="00CB2570" w:rsidP="00A01D23">
      <w:pPr>
        <w:pStyle w:val="PI-text"/>
      </w:pPr>
      <w:r w:rsidRPr="00CB2570">
        <w:t>A total of 1324 patients enrolled in OSLER</w:t>
      </w:r>
      <w:r w:rsidR="00820F2A">
        <w:t>-1</w:t>
      </w:r>
      <w:r w:rsidRPr="00CB2570">
        <w:t xml:space="preserve">. </w:t>
      </w:r>
      <w:r w:rsidR="00861E55">
        <w:t xml:space="preserve"> </w:t>
      </w:r>
      <w:r w:rsidR="00BD6730">
        <w:t>Repatha</w:t>
      </w:r>
      <w:r w:rsidRPr="00CB2570">
        <w:t xml:space="preserve"> 420 mg once monthly reduced</w:t>
      </w:r>
      <w:r>
        <w:t xml:space="preserve"> </w:t>
      </w:r>
      <w:r w:rsidRPr="00CB2570">
        <w:t xml:space="preserve">LDL-C from baseline at week 12 and week 52 compared </w:t>
      </w:r>
      <w:r w:rsidR="00A01D23">
        <w:t xml:space="preserve">with </w:t>
      </w:r>
      <w:r w:rsidRPr="00CB2570">
        <w:t xml:space="preserve">control. </w:t>
      </w:r>
      <w:r w:rsidR="00AA4FF6">
        <w:t xml:space="preserve"> </w:t>
      </w:r>
      <w:r w:rsidR="00E22244" w:rsidRPr="00E22244">
        <w:t>Treatment effects were maintained over 124 weeks as demonstrated by reduction in LDL-C from week 12 in the parent study to week 112 in the open-label extension</w:t>
      </w:r>
      <w:r w:rsidR="003A2918">
        <w:t>.</w:t>
      </w:r>
      <w:r w:rsidR="00E22244" w:rsidRPr="00E22244">
        <w:t xml:space="preserve">  </w:t>
      </w:r>
      <w:r w:rsidR="00A01D23" w:rsidRPr="004453E1">
        <w:rPr>
          <w:rFonts w:eastAsia="SimSun"/>
          <w:lang w:eastAsia="ja-JP"/>
        </w:rPr>
        <w:t xml:space="preserve">A total of 2928 patients enrolled in OSLER-2. </w:t>
      </w:r>
      <w:r w:rsidR="005A2B6D">
        <w:rPr>
          <w:rFonts w:eastAsia="SimSun"/>
          <w:lang w:eastAsia="ja-JP"/>
        </w:rPr>
        <w:t xml:space="preserve"> </w:t>
      </w:r>
      <w:r w:rsidR="00A01D23" w:rsidRPr="004453E1">
        <w:t>Repatha</w:t>
      </w:r>
      <w:r w:rsidR="00A01D23" w:rsidRPr="004453E1">
        <w:rPr>
          <w:rFonts w:eastAsia="SimSun"/>
          <w:lang w:eastAsia="ja-JP"/>
        </w:rPr>
        <w:t xml:space="preserve"> reduced LDL-C from baseline at week 12 </w:t>
      </w:r>
      <w:r w:rsidR="00A01D23">
        <w:rPr>
          <w:rFonts w:eastAsia="SimSun"/>
          <w:lang w:eastAsia="ja-JP"/>
        </w:rPr>
        <w:t>compared with control</w:t>
      </w:r>
      <w:r w:rsidR="00A01D23" w:rsidRPr="004453E1">
        <w:rPr>
          <w:rFonts w:eastAsia="SimSun"/>
          <w:lang w:eastAsia="ja-JP"/>
        </w:rPr>
        <w:t xml:space="preserve">. </w:t>
      </w:r>
      <w:r w:rsidR="005A2B6D">
        <w:rPr>
          <w:rFonts w:eastAsia="SimSun"/>
          <w:lang w:eastAsia="ja-JP"/>
        </w:rPr>
        <w:t xml:space="preserve"> </w:t>
      </w:r>
      <w:r w:rsidR="00A01D23" w:rsidRPr="004453E1">
        <w:rPr>
          <w:rFonts w:eastAsia="SimSun"/>
          <w:lang w:eastAsia="ja-JP"/>
        </w:rPr>
        <w:t xml:space="preserve">Treatment effects were maintained as demonstrated by reduction in LDL-C from week 12 to week 24 in the open-label extension. </w:t>
      </w:r>
      <w:proofErr w:type="spellStart"/>
      <w:r w:rsidR="00A01D23" w:rsidRPr="004453E1">
        <w:t>Repatha</w:t>
      </w:r>
      <w:proofErr w:type="spellEnd"/>
      <w:r w:rsidR="00A01D23" w:rsidRPr="004453E1">
        <w:t xml:space="preserve"> reduced TC, </w:t>
      </w:r>
      <w:proofErr w:type="spellStart"/>
      <w:r w:rsidR="00A01D23" w:rsidRPr="004453E1">
        <w:t>ApoB</w:t>
      </w:r>
      <w:proofErr w:type="spellEnd"/>
      <w:r w:rsidR="00A01D23" w:rsidRPr="004453E1">
        <w:t xml:space="preserve">, non-HDL-C, TC/HDL-C, </w:t>
      </w:r>
      <w:proofErr w:type="spellStart"/>
      <w:r w:rsidR="00A01D23" w:rsidRPr="004453E1">
        <w:t>ApoB</w:t>
      </w:r>
      <w:proofErr w:type="spellEnd"/>
      <w:r w:rsidR="00A01D23" w:rsidRPr="004453E1">
        <w:t xml:space="preserve">/ApoA1, VLDL-C, TG and </w:t>
      </w:r>
      <w:proofErr w:type="spellStart"/>
      <w:r w:rsidR="00A01D23" w:rsidRPr="004453E1">
        <w:t>Lp</w:t>
      </w:r>
      <w:proofErr w:type="spellEnd"/>
      <w:r w:rsidR="00A01D23" w:rsidRPr="004453E1">
        <w:t>(a), and increased HDL-C and ApoA1 from baseline to week 52 in OSLER</w:t>
      </w:r>
      <w:r w:rsidR="00A01D23">
        <w:t xml:space="preserve"> 1</w:t>
      </w:r>
      <w:r w:rsidR="00A01D23" w:rsidRPr="004453E1">
        <w:t xml:space="preserve"> and to week 24 in OSLER-2 compared with control. </w:t>
      </w:r>
      <w:r w:rsidR="00E22244" w:rsidRPr="00E22244">
        <w:t xml:space="preserve"> LDL-C and other lipid parameters returned to baseline within 12 weeks after discontinuation of Repatha at beginning of OSLER-1 without evidence of rebound</w:t>
      </w:r>
      <w:r w:rsidR="00DD2B8A">
        <w:t>.</w:t>
      </w:r>
      <w:r w:rsidR="00EC7567">
        <w:t xml:space="preserve"> </w:t>
      </w:r>
    </w:p>
    <w:p w14:paraId="469C67DF" w14:textId="77777777" w:rsidR="003F23BC" w:rsidRPr="003F23BC" w:rsidRDefault="003F23BC" w:rsidP="002813FC">
      <w:pPr>
        <w:pStyle w:val="PI-text"/>
      </w:pPr>
      <w:r w:rsidRPr="003F23BC">
        <w:lastRenderedPageBreak/>
        <w:t xml:space="preserve">TAUSSIG is an ongoing </w:t>
      </w:r>
      <w:r w:rsidR="009160F4">
        <w:t>multicentre</w:t>
      </w:r>
      <w:r w:rsidRPr="003F23BC">
        <w:t xml:space="preserve">, open-label 5-year extension study to assess the long-term safety and efficacy of </w:t>
      </w:r>
      <w:r>
        <w:t>Repatha</w:t>
      </w:r>
      <w:r w:rsidRPr="003F23BC">
        <w:t xml:space="preserve"> in patients with severe familial hypercholesterol</w:t>
      </w:r>
      <w:r w:rsidR="00820F2A">
        <w:t>a</w:t>
      </w:r>
      <w:r w:rsidRPr="003F23BC">
        <w:t xml:space="preserve">emia (FH), including </w:t>
      </w:r>
      <w:r>
        <w:t>homozygous familial hypercholesterolaemia (</w:t>
      </w:r>
      <w:r w:rsidRPr="003F23BC">
        <w:t>HoFH</w:t>
      </w:r>
      <w:r>
        <w:t>)</w:t>
      </w:r>
      <w:r w:rsidRPr="003F23BC">
        <w:t xml:space="preserve">, who were treated with </w:t>
      </w:r>
      <w:r>
        <w:t>Repatha</w:t>
      </w:r>
      <w:r w:rsidRPr="003F23BC">
        <w:t xml:space="preserve"> as an adjunct to other lipid-lowering therapies.  A total of 102 severe FH patients and 96 HoFH patients enrolled in TAUSSIG.  All patients in the study were initially treated with </w:t>
      </w:r>
      <w:r>
        <w:t>Repatha</w:t>
      </w:r>
      <w:r w:rsidRPr="003F23BC">
        <w:t xml:space="preserve"> 420</w:t>
      </w:r>
      <w:r>
        <w:t xml:space="preserve"> </w:t>
      </w:r>
      <w:r w:rsidRPr="003F23BC">
        <w:t>mg once monthly except for those receiving apheresis at enrolment,</w:t>
      </w:r>
      <w:r w:rsidR="005A2B6D">
        <w:t xml:space="preserve"> </w:t>
      </w:r>
      <w:r w:rsidRPr="003F23BC">
        <w:t xml:space="preserve">who began with </w:t>
      </w:r>
      <w:r>
        <w:t>Repatha</w:t>
      </w:r>
      <w:r w:rsidRPr="003F23BC">
        <w:t xml:space="preserve"> 420 mg every 2 weeks.  Dose frequency in non-apheresis patients could be titrated up to 420 mg once every 2 weeks based on LDL-C response and PCSK9 levels.  </w:t>
      </w:r>
      <w:r>
        <w:t>Repatha</w:t>
      </w:r>
      <w:r w:rsidRPr="003F23BC">
        <w:t xml:space="preserve"> demonstrated a sustained treatment effect as evidenced by reduction of LDL-C in patients with severe FH (</w:t>
      </w:r>
      <w:r w:rsidR="006632B5">
        <w:rPr>
          <w:color w:val="0000FF"/>
        </w:rPr>
        <w:fldChar w:fldCharType="begin"/>
      </w:r>
      <w:r w:rsidR="006632B5">
        <w:instrText xml:space="preserve"> REF _Ref506363879 \h </w:instrText>
      </w:r>
      <w:r w:rsidR="006632B5">
        <w:rPr>
          <w:color w:val="0000FF"/>
        </w:rPr>
      </w:r>
      <w:r w:rsidR="006632B5">
        <w:rPr>
          <w:color w:val="0000FF"/>
        </w:rPr>
        <w:fldChar w:fldCharType="separate"/>
      </w:r>
      <w:r w:rsidR="008C495D">
        <w:t xml:space="preserve">Table </w:t>
      </w:r>
      <w:r w:rsidR="008C495D">
        <w:rPr>
          <w:noProof/>
        </w:rPr>
        <w:t>6</w:t>
      </w:r>
      <w:r w:rsidR="006632B5">
        <w:rPr>
          <w:color w:val="0000FF"/>
        </w:rPr>
        <w:fldChar w:fldCharType="end"/>
      </w:r>
      <w:r w:rsidRPr="003F23BC">
        <w:t xml:space="preserve">).  Changes in other lipid parameters (TC, </w:t>
      </w:r>
      <w:proofErr w:type="spellStart"/>
      <w:r w:rsidRPr="003F23BC">
        <w:t>ApoB</w:t>
      </w:r>
      <w:proofErr w:type="spellEnd"/>
      <w:r w:rsidRPr="003F23BC">
        <w:t xml:space="preserve">, non-HDL-C, TC/HDL-C, and </w:t>
      </w:r>
      <w:proofErr w:type="spellStart"/>
      <w:r w:rsidRPr="003F23BC">
        <w:t>ApoB</w:t>
      </w:r>
      <w:proofErr w:type="spellEnd"/>
      <w:r w:rsidRPr="003F23BC">
        <w:t xml:space="preserve">/ApoA1) also demonstrated a sustained effect of </w:t>
      </w:r>
      <w:r w:rsidR="009F7E62">
        <w:t xml:space="preserve">ongoing </w:t>
      </w:r>
      <w:r>
        <w:t>Repatha</w:t>
      </w:r>
      <w:r w:rsidRPr="003F23BC">
        <w:t xml:space="preserve"> administration in patients with severe FH.</w:t>
      </w:r>
    </w:p>
    <w:p w14:paraId="7949AAC1" w14:textId="77777777" w:rsidR="003F23BC" w:rsidRPr="002813FC" w:rsidRDefault="00205E85" w:rsidP="00205E85">
      <w:pPr>
        <w:pStyle w:val="Caption"/>
      </w:pPr>
      <w:bookmarkStart w:id="20" w:name="_Ref506363879"/>
      <w:r>
        <w:t xml:space="preserve">Table </w:t>
      </w:r>
      <w:r w:rsidR="002351AF">
        <w:fldChar w:fldCharType="begin"/>
      </w:r>
      <w:r w:rsidR="002351AF">
        <w:instrText xml:space="preserve"> SEQ Table \* ARABIC </w:instrText>
      </w:r>
      <w:r w:rsidR="002351AF">
        <w:fldChar w:fldCharType="separate"/>
      </w:r>
      <w:r w:rsidR="008C495D">
        <w:rPr>
          <w:noProof/>
        </w:rPr>
        <w:t>6</w:t>
      </w:r>
      <w:r w:rsidR="002351AF">
        <w:rPr>
          <w:noProof/>
        </w:rPr>
        <w:fldChar w:fldCharType="end"/>
      </w:r>
      <w:bookmarkEnd w:id="20"/>
      <w:r>
        <w:t xml:space="preserve">. </w:t>
      </w:r>
      <w:r w:rsidR="00A25458">
        <w:t xml:space="preserve"> </w:t>
      </w:r>
      <w:r w:rsidR="003F23BC" w:rsidRPr="00205E85">
        <w:t>Effect of Repatha on LDL-C in patients with severe FH – median percent change from baseline to OLE week 36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058"/>
        <w:gridCol w:w="2058"/>
        <w:gridCol w:w="2056"/>
      </w:tblGrid>
      <w:tr w:rsidR="003F23BC" w:rsidRPr="006F02BE" w14:paraId="21641589" w14:textId="77777777" w:rsidTr="0003559F">
        <w:tc>
          <w:tcPr>
            <w:tcW w:w="1527" w:type="pct"/>
            <w:shd w:val="clear" w:color="auto" w:fill="D9D9D9"/>
            <w:vAlign w:val="center"/>
          </w:tcPr>
          <w:p w14:paraId="1A2898AA" w14:textId="77777777" w:rsidR="003F23BC" w:rsidRPr="0003559F" w:rsidRDefault="003F23BC" w:rsidP="00E1303F">
            <w:pPr>
              <w:adjustRightInd w:val="0"/>
              <w:spacing w:before="20" w:after="20"/>
              <w:jc w:val="center"/>
              <w:rPr>
                <w:rFonts w:cs="Arial"/>
                <w:b/>
                <w:sz w:val="16"/>
                <w:szCs w:val="16"/>
              </w:rPr>
            </w:pPr>
            <w:r w:rsidRPr="0003559F">
              <w:rPr>
                <w:rFonts w:cs="Arial"/>
                <w:b/>
                <w:sz w:val="16"/>
                <w:szCs w:val="16"/>
              </w:rPr>
              <w:t>Patient Population</w:t>
            </w:r>
          </w:p>
          <w:p w14:paraId="227570A0" w14:textId="77777777" w:rsidR="003F23BC" w:rsidRPr="0003559F" w:rsidRDefault="003F23BC" w:rsidP="00E1303F">
            <w:pPr>
              <w:adjustRightInd w:val="0"/>
              <w:spacing w:before="20" w:after="20"/>
              <w:jc w:val="center"/>
              <w:rPr>
                <w:rFonts w:cs="Arial"/>
                <w:b/>
                <w:sz w:val="16"/>
                <w:szCs w:val="16"/>
              </w:rPr>
            </w:pPr>
            <w:r w:rsidRPr="0003559F">
              <w:rPr>
                <w:rFonts w:cs="Arial"/>
                <w:b/>
                <w:sz w:val="16"/>
                <w:szCs w:val="16"/>
              </w:rPr>
              <w:t>(N)</w:t>
            </w:r>
          </w:p>
        </w:tc>
        <w:tc>
          <w:tcPr>
            <w:tcW w:w="1158" w:type="pct"/>
            <w:shd w:val="clear" w:color="auto" w:fill="D9D9D9"/>
            <w:vAlign w:val="center"/>
          </w:tcPr>
          <w:p w14:paraId="0E6E6CD1" w14:textId="77777777" w:rsidR="003F23BC" w:rsidRPr="0003559F" w:rsidRDefault="003F23BC" w:rsidP="00E1303F">
            <w:pPr>
              <w:adjustRightInd w:val="0"/>
              <w:spacing w:before="20" w:after="20"/>
              <w:jc w:val="center"/>
              <w:rPr>
                <w:rFonts w:cs="Arial"/>
                <w:b/>
                <w:sz w:val="16"/>
                <w:szCs w:val="16"/>
              </w:rPr>
            </w:pPr>
            <w:r w:rsidRPr="0003559F">
              <w:rPr>
                <w:rFonts w:cs="Arial"/>
                <w:b/>
                <w:sz w:val="16"/>
                <w:szCs w:val="16"/>
              </w:rPr>
              <w:t>OLE Week 12</w:t>
            </w:r>
          </w:p>
          <w:p w14:paraId="3D51345D" w14:textId="77777777" w:rsidR="003F23BC" w:rsidRPr="0003559F" w:rsidRDefault="003F23BC" w:rsidP="00E1303F">
            <w:pPr>
              <w:adjustRightInd w:val="0"/>
              <w:spacing w:before="20" w:after="20"/>
              <w:jc w:val="center"/>
              <w:rPr>
                <w:rFonts w:cs="Arial"/>
                <w:b/>
                <w:sz w:val="16"/>
                <w:szCs w:val="16"/>
              </w:rPr>
            </w:pPr>
            <w:r w:rsidRPr="0003559F">
              <w:rPr>
                <w:rFonts w:cs="Arial"/>
                <w:b/>
                <w:sz w:val="16"/>
                <w:szCs w:val="16"/>
              </w:rPr>
              <w:t>(n=16)</w:t>
            </w:r>
          </w:p>
        </w:tc>
        <w:tc>
          <w:tcPr>
            <w:tcW w:w="1158" w:type="pct"/>
            <w:shd w:val="clear" w:color="auto" w:fill="D9D9D9"/>
            <w:vAlign w:val="center"/>
          </w:tcPr>
          <w:p w14:paraId="6F52B497" w14:textId="77777777" w:rsidR="003F23BC" w:rsidRPr="0003559F" w:rsidRDefault="003F23BC" w:rsidP="00E1303F">
            <w:pPr>
              <w:adjustRightInd w:val="0"/>
              <w:spacing w:before="20" w:after="20"/>
              <w:jc w:val="center"/>
              <w:rPr>
                <w:rFonts w:cs="Arial"/>
                <w:b/>
                <w:sz w:val="16"/>
                <w:szCs w:val="16"/>
              </w:rPr>
            </w:pPr>
            <w:r w:rsidRPr="0003559F">
              <w:rPr>
                <w:rFonts w:cs="Arial"/>
                <w:b/>
                <w:sz w:val="16"/>
                <w:szCs w:val="16"/>
              </w:rPr>
              <w:t>OLE Week 24</w:t>
            </w:r>
          </w:p>
          <w:p w14:paraId="52E6F8C5" w14:textId="77777777" w:rsidR="003F23BC" w:rsidRPr="0003559F" w:rsidRDefault="003F23BC" w:rsidP="00E1303F">
            <w:pPr>
              <w:adjustRightInd w:val="0"/>
              <w:spacing w:before="20" w:after="20"/>
              <w:jc w:val="center"/>
              <w:rPr>
                <w:rFonts w:cs="Arial"/>
                <w:b/>
                <w:sz w:val="16"/>
                <w:szCs w:val="16"/>
              </w:rPr>
            </w:pPr>
            <w:r w:rsidRPr="0003559F">
              <w:rPr>
                <w:rFonts w:cs="Arial"/>
                <w:b/>
                <w:sz w:val="16"/>
                <w:szCs w:val="16"/>
              </w:rPr>
              <w:t>(n=8)</w:t>
            </w:r>
          </w:p>
        </w:tc>
        <w:tc>
          <w:tcPr>
            <w:tcW w:w="1158" w:type="pct"/>
            <w:shd w:val="clear" w:color="auto" w:fill="D9D9D9"/>
            <w:vAlign w:val="center"/>
          </w:tcPr>
          <w:p w14:paraId="01E27769" w14:textId="77777777" w:rsidR="003F23BC" w:rsidRPr="0003559F" w:rsidRDefault="003F23BC" w:rsidP="00E1303F">
            <w:pPr>
              <w:adjustRightInd w:val="0"/>
              <w:spacing w:before="20" w:after="20"/>
              <w:jc w:val="center"/>
              <w:rPr>
                <w:rFonts w:cs="Arial"/>
                <w:b/>
                <w:sz w:val="16"/>
                <w:szCs w:val="16"/>
              </w:rPr>
            </w:pPr>
            <w:r w:rsidRPr="0003559F">
              <w:rPr>
                <w:rFonts w:cs="Arial"/>
                <w:b/>
                <w:sz w:val="16"/>
                <w:szCs w:val="16"/>
              </w:rPr>
              <w:t>OLE Week 36</w:t>
            </w:r>
          </w:p>
          <w:p w14:paraId="680BA273" w14:textId="77777777" w:rsidR="003F23BC" w:rsidRPr="0003559F" w:rsidRDefault="003F23BC" w:rsidP="00E1303F">
            <w:pPr>
              <w:adjustRightInd w:val="0"/>
              <w:spacing w:before="20" w:after="20"/>
              <w:jc w:val="center"/>
              <w:rPr>
                <w:rFonts w:cs="Arial"/>
                <w:b/>
                <w:sz w:val="16"/>
                <w:szCs w:val="16"/>
              </w:rPr>
            </w:pPr>
            <w:r w:rsidRPr="0003559F">
              <w:rPr>
                <w:rFonts w:cs="Arial"/>
                <w:b/>
                <w:sz w:val="16"/>
                <w:szCs w:val="16"/>
              </w:rPr>
              <w:t>(n=5)</w:t>
            </w:r>
          </w:p>
        </w:tc>
      </w:tr>
      <w:tr w:rsidR="003F23BC" w:rsidRPr="006F02BE" w14:paraId="333F5738" w14:textId="77777777" w:rsidTr="00E1303F">
        <w:trPr>
          <w:trHeight w:val="349"/>
        </w:trPr>
        <w:tc>
          <w:tcPr>
            <w:tcW w:w="1527" w:type="pct"/>
            <w:shd w:val="clear" w:color="auto" w:fill="auto"/>
            <w:vAlign w:val="center"/>
          </w:tcPr>
          <w:p w14:paraId="179AE7A3" w14:textId="77777777" w:rsidR="003F23BC" w:rsidRPr="0003559F" w:rsidRDefault="003F23BC" w:rsidP="00E1303F">
            <w:pPr>
              <w:adjustRightInd w:val="0"/>
              <w:spacing w:before="20" w:after="20"/>
              <w:jc w:val="center"/>
              <w:rPr>
                <w:rFonts w:cs="Arial"/>
                <w:sz w:val="16"/>
                <w:szCs w:val="16"/>
              </w:rPr>
            </w:pPr>
            <w:r w:rsidRPr="0003559F">
              <w:rPr>
                <w:rFonts w:cs="Arial"/>
                <w:sz w:val="16"/>
                <w:szCs w:val="16"/>
              </w:rPr>
              <w:t>Severe FH (N=102)</w:t>
            </w:r>
          </w:p>
        </w:tc>
        <w:tc>
          <w:tcPr>
            <w:tcW w:w="1158" w:type="pct"/>
            <w:shd w:val="clear" w:color="auto" w:fill="auto"/>
            <w:vAlign w:val="center"/>
          </w:tcPr>
          <w:p w14:paraId="2CB51AE7" w14:textId="77777777" w:rsidR="003F23BC" w:rsidRPr="0003559F" w:rsidRDefault="003F23BC" w:rsidP="00E1303F">
            <w:pPr>
              <w:adjustRightInd w:val="0"/>
              <w:spacing w:before="20" w:after="20"/>
              <w:jc w:val="center"/>
              <w:rPr>
                <w:rFonts w:cs="Arial"/>
                <w:sz w:val="16"/>
                <w:szCs w:val="16"/>
              </w:rPr>
            </w:pPr>
            <w:r w:rsidRPr="0003559F">
              <w:rPr>
                <w:rFonts w:cs="Arial"/>
                <w:sz w:val="16"/>
                <w:szCs w:val="16"/>
              </w:rPr>
              <w:t>-47</w:t>
            </w:r>
          </w:p>
        </w:tc>
        <w:tc>
          <w:tcPr>
            <w:tcW w:w="1158" w:type="pct"/>
            <w:shd w:val="clear" w:color="auto" w:fill="auto"/>
            <w:vAlign w:val="center"/>
          </w:tcPr>
          <w:p w14:paraId="3AD5DCB8" w14:textId="77777777" w:rsidR="003F23BC" w:rsidRPr="0003559F" w:rsidRDefault="003F23BC" w:rsidP="00E1303F">
            <w:pPr>
              <w:adjustRightInd w:val="0"/>
              <w:spacing w:before="20" w:after="20"/>
              <w:jc w:val="center"/>
              <w:rPr>
                <w:rFonts w:cs="Arial"/>
                <w:sz w:val="16"/>
                <w:szCs w:val="16"/>
              </w:rPr>
            </w:pPr>
            <w:r w:rsidRPr="0003559F">
              <w:rPr>
                <w:rFonts w:cs="Arial"/>
                <w:sz w:val="16"/>
                <w:szCs w:val="16"/>
              </w:rPr>
              <w:t>-45</w:t>
            </w:r>
          </w:p>
        </w:tc>
        <w:tc>
          <w:tcPr>
            <w:tcW w:w="1158" w:type="pct"/>
            <w:shd w:val="clear" w:color="auto" w:fill="auto"/>
            <w:vAlign w:val="center"/>
          </w:tcPr>
          <w:p w14:paraId="39815FA7" w14:textId="77777777" w:rsidR="003F23BC" w:rsidRPr="0003559F" w:rsidRDefault="003F23BC" w:rsidP="00E1303F">
            <w:pPr>
              <w:adjustRightInd w:val="0"/>
              <w:spacing w:before="20" w:after="20"/>
              <w:jc w:val="center"/>
              <w:rPr>
                <w:rFonts w:cs="Arial"/>
                <w:sz w:val="16"/>
                <w:szCs w:val="16"/>
              </w:rPr>
            </w:pPr>
            <w:r w:rsidRPr="0003559F">
              <w:rPr>
                <w:rFonts w:cs="Arial"/>
                <w:sz w:val="16"/>
                <w:szCs w:val="16"/>
              </w:rPr>
              <w:t>-48</w:t>
            </w:r>
          </w:p>
        </w:tc>
      </w:tr>
    </w:tbl>
    <w:p w14:paraId="2001D91C" w14:textId="77777777" w:rsidR="003F23BC" w:rsidRPr="00F54E61" w:rsidRDefault="003F23BC" w:rsidP="00F54E61">
      <w:pPr>
        <w:rPr>
          <w:sz w:val="18"/>
          <w:szCs w:val="18"/>
        </w:rPr>
      </w:pPr>
      <w:r w:rsidRPr="00F54E61">
        <w:rPr>
          <w:sz w:val="18"/>
          <w:szCs w:val="18"/>
        </w:rPr>
        <w:t>OLE = open-label extension</w:t>
      </w:r>
      <w:r w:rsidR="00E1303F" w:rsidRPr="00F54E61">
        <w:rPr>
          <w:sz w:val="18"/>
          <w:szCs w:val="18"/>
        </w:rPr>
        <w:t xml:space="preserve">. </w:t>
      </w:r>
      <w:r w:rsidRPr="00F54E61">
        <w:rPr>
          <w:sz w:val="18"/>
          <w:szCs w:val="18"/>
        </w:rPr>
        <w:t>N (n) = Number of evaluable patients (N) and patients with observed LDL values at specific schedule visit (n) in the Severe FH Interim Analysis Set</w:t>
      </w:r>
      <w:r w:rsidR="00F54E61">
        <w:rPr>
          <w:sz w:val="18"/>
          <w:szCs w:val="18"/>
        </w:rPr>
        <w:t>.</w:t>
      </w:r>
    </w:p>
    <w:p w14:paraId="01F2D1E1" w14:textId="77777777" w:rsidR="002813FC" w:rsidRPr="002813FC" w:rsidRDefault="002813FC" w:rsidP="002813FC">
      <w:pPr>
        <w:pStyle w:val="Text"/>
      </w:pPr>
    </w:p>
    <w:p w14:paraId="5B6A5BE2" w14:textId="77777777" w:rsidR="003F23BC" w:rsidRPr="006C3B66" w:rsidRDefault="003F23BC" w:rsidP="002813FC">
      <w:pPr>
        <w:pStyle w:val="PI-UnderlinedSubHeader"/>
        <w:rPr>
          <w:rFonts w:cs="Arial"/>
        </w:rPr>
      </w:pPr>
      <w:r w:rsidRPr="006C3B66">
        <w:t xml:space="preserve">Homozygous </w:t>
      </w:r>
      <w:r w:rsidR="005E418B">
        <w:t>f</w:t>
      </w:r>
      <w:r w:rsidRPr="006C3B66">
        <w:t xml:space="preserve">amilial </w:t>
      </w:r>
      <w:r w:rsidR="005E418B">
        <w:t>h</w:t>
      </w:r>
      <w:r w:rsidRPr="006C3B66">
        <w:t>ypercholesterol</w:t>
      </w:r>
      <w:r w:rsidR="002356A1">
        <w:t>a</w:t>
      </w:r>
      <w:r w:rsidRPr="006C3B66">
        <w:t>emia</w:t>
      </w:r>
    </w:p>
    <w:p w14:paraId="1A53E152" w14:textId="77777777" w:rsidR="003F23BC" w:rsidRDefault="003F23BC" w:rsidP="003F23BC">
      <w:pPr>
        <w:pStyle w:val="TableCenterAlign"/>
        <w:spacing w:line="360" w:lineRule="auto"/>
        <w:jc w:val="left"/>
      </w:pPr>
      <w:r w:rsidRPr="003F23BC">
        <w:t xml:space="preserve">TESLA was an international, </w:t>
      </w:r>
      <w:r w:rsidR="009160F4">
        <w:t>multicentre</w:t>
      </w:r>
      <w:r w:rsidRPr="003F23BC">
        <w:t xml:space="preserve">, double-blind, </w:t>
      </w:r>
      <w:r w:rsidR="00983361">
        <w:t>randomised</w:t>
      </w:r>
      <w:r w:rsidRPr="003F23BC">
        <w:t xml:space="preserve">, placebo-controlled 12-week study of </w:t>
      </w:r>
      <w:r w:rsidR="002356A1">
        <w:t>Repatha</w:t>
      </w:r>
      <w:r w:rsidRPr="003F23BC">
        <w:t xml:space="preserve"> in 49 HoFH patients between 12 to 65 years of age (including 10 adolescent patients) evaluated for their response to 420 mg once monthly as an adjunct to other lipid-lowering therapies (e.g., statins, bile-acid sequestrants).  </w:t>
      </w:r>
      <w:r w:rsidR="002356A1">
        <w:t>Repatha</w:t>
      </w:r>
      <w:r w:rsidRPr="003F23BC">
        <w:t xml:space="preserve"> 420 mg once monthly significantly reduced LDL-C and </w:t>
      </w:r>
      <w:proofErr w:type="spellStart"/>
      <w:r w:rsidRPr="003F23BC">
        <w:t>ApoB</w:t>
      </w:r>
      <w:proofErr w:type="spellEnd"/>
      <w:r w:rsidRPr="003F23BC">
        <w:t xml:space="preserve"> at week 12 compared with placebo (p&lt;0.001) (</w:t>
      </w:r>
      <w:r w:rsidR="006632B5">
        <w:rPr>
          <w:color w:val="0000FF"/>
        </w:rPr>
        <w:fldChar w:fldCharType="begin"/>
      </w:r>
      <w:r w:rsidR="006632B5">
        <w:instrText xml:space="preserve"> REF _Ref506363899 \h </w:instrText>
      </w:r>
      <w:r w:rsidR="006632B5">
        <w:rPr>
          <w:color w:val="0000FF"/>
        </w:rPr>
      </w:r>
      <w:r w:rsidR="006632B5">
        <w:rPr>
          <w:color w:val="0000FF"/>
        </w:rPr>
        <w:fldChar w:fldCharType="separate"/>
      </w:r>
      <w:r w:rsidR="008C495D">
        <w:t xml:space="preserve">Table </w:t>
      </w:r>
      <w:r w:rsidR="008C495D">
        <w:rPr>
          <w:noProof/>
        </w:rPr>
        <w:t>7</w:t>
      </w:r>
      <w:r w:rsidR="006632B5">
        <w:rPr>
          <w:color w:val="0000FF"/>
        </w:rPr>
        <w:fldChar w:fldCharType="end"/>
      </w:r>
      <w:r w:rsidRPr="003F23BC">
        <w:t xml:space="preserve">).  Changes in other lipid parameters (TC, non-HDL-C, TC/HDL-C, and </w:t>
      </w:r>
      <w:proofErr w:type="spellStart"/>
      <w:r w:rsidRPr="003F23BC">
        <w:t>ApoB</w:t>
      </w:r>
      <w:proofErr w:type="spellEnd"/>
      <w:r w:rsidRPr="003F23BC">
        <w:t xml:space="preserve">/ApoA1) also demonstrated a treatment effect of </w:t>
      </w:r>
      <w:r w:rsidR="002356A1">
        <w:t>Repatha</w:t>
      </w:r>
      <w:r w:rsidRPr="003F23BC">
        <w:t xml:space="preserve"> administration in patients with HoFH</w:t>
      </w:r>
      <w:r w:rsidR="00C60010">
        <w:t>.</w:t>
      </w:r>
    </w:p>
    <w:p w14:paraId="1EF7C6B5" w14:textId="0988DB62" w:rsidR="003F23BC" w:rsidRPr="002813FC" w:rsidRDefault="00205E85" w:rsidP="00205E85">
      <w:pPr>
        <w:pStyle w:val="Caption"/>
      </w:pPr>
      <w:bookmarkStart w:id="21" w:name="_Ref506363899"/>
      <w:r>
        <w:t xml:space="preserve">Table </w:t>
      </w:r>
      <w:r w:rsidR="002351AF">
        <w:fldChar w:fldCharType="begin"/>
      </w:r>
      <w:r w:rsidR="002351AF">
        <w:instrText xml:space="preserve"> SEQ Table \* ARABIC </w:instrText>
      </w:r>
      <w:r w:rsidR="002351AF">
        <w:fldChar w:fldCharType="separate"/>
      </w:r>
      <w:r w:rsidR="008C495D">
        <w:rPr>
          <w:noProof/>
        </w:rPr>
        <w:t>7</w:t>
      </w:r>
      <w:r w:rsidR="002351AF">
        <w:rPr>
          <w:noProof/>
        </w:rPr>
        <w:fldChar w:fldCharType="end"/>
      </w:r>
      <w:bookmarkEnd w:id="21"/>
      <w:r>
        <w:t xml:space="preserve">. </w:t>
      </w:r>
      <w:r w:rsidR="00A25458">
        <w:t xml:space="preserve"> </w:t>
      </w:r>
      <w:r w:rsidR="003F23BC" w:rsidRPr="00205E85">
        <w:t xml:space="preserve">Treatment </w:t>
      </w:r>
      <w:r w:rsidR="002356A1" w:rsidRPr="00205E85">
        <w:t>e</w:t>
      </w:r>
      <w:r w:rsidR="003F23BC" w:rsidRPr="00205E85">
        <w:t xml:space="preserve">ffects of </w:t>
      </w:r>
      <w:r w:rsidR="002356A1" w:rsidRPr="00205E85">
        <w:t>Repatha</w:t>
      </w:r>
      <w:r w:rsidR="003F23BC" w:rsidRPr="00205E85">
        <w:t xml:space="preserve"> </w:t>
      </w:r>
      <w:r w:rsidR="002356A1" w:rsidRPr="00205E85">
        <w:t>c</w:t>
      </w:r>
      <w:r w:rsidR="003F23BC" w:rsidRPr="00205E85">
        <w:t xml:space="preserve">ompared with </w:t>
      </w:r>
      <w:r w:rsidR="002356A1" w:rsidRPr="00205E85">
        <w:t>p</w:t>
      </w:r>
      <w:r w:rsidR="003F23BC" w:rsidRPr="00205E85">
        <w:t xml:space="preserve">lacebo in </w:t>
      </w:r>
      <w:r w:rsidR="002356A1" w:rsidRPr="00205E85">
        <w:t>p</w:t>
      </w:r>
      <w:r w:rsidR="003F23BC" w:rsidRPr="00205E85">
        <w:t xml:space="preserve">atients with </w:t>
      </w:r>
      <w:r w:rsidR="002356A1" w:rsidRPr="00205E85">
        <w:t>h</w:t>
      </w:r>
      <w:r w:rsidR="003F23BC" w:rsidRPr="00205E85">
        <w:t xml:space="preserve">omozygous </w:t>
      </w:r>
      <w:r w:rsidR="002356A1" w:rsidRPr="00205E85">
        <w:t>f</w:t>
      </w:r>
      <w:r w:rsidR="003F23BC" w:rsidRPr="00205E85">
        <w:t xml:space="preserve">amilial </w:t>
      </w:r>
      <w:r w:rsidR="002356A1" w:rsidRPr="00205E85">
        <w:t>h</w:t>
      </w:r>
      <w:r w:rsidR="003F23BC" w:rsidRPr="00205E85">
        <w:t>ypercholesterol</w:t>
      </w:r>
      <w:r w:rsidR="002356A1" w:rsidRPr="00205E85">
        <w:t>a</w:t>
      </w:r>
      <w:r w:rsidR="003F23BC" w:rsidRPr="00205E85">
        <w:t xml:space="preserve">emia – </w:t>
      </w:r>
      <w:r w:rsidR="002356A1" w:rsidRPr="00205E85">
        <w:t>m</w:t>
      </w:r>
      <w:r w:rsidR="003F23BC" w:rsidRPr="00205E85">
        <w:t xml:space="preserve">ean </w:t>
      </w:r>
      <w:r w:rsidR="002356A1" w:rsidRPr="00205E85">
        <w:t>p</w:t>
      </w:r>
      <w:r w:rsidR="003F23BC" w:rsidRPr="00205E85">
        <w:t xml:space="preserve">ercent </w:t>
      </w:r>
      <w:r w:rsidR="002356A1" w:rsidRPr="00205E85">
        <w:t>c</w:t>
      </w:r>
      <w:r w:rsidR="003F23BC" w:rsidRPr="00205E85">
        <w:t xml:space="preserve">hange from </w:t>
      </w:r>
      <w:r w:rsidR="002356A1" w:rsidRPr="00205E85">
        <w:t>b</w:t>
      </w:r>
      <w:r w:rsidR="003F23BC" w:rsidRPr="00205E85">
        <w:t xml:space="preserve">aseline to </w:t>
      </w:r>
      <w:r w:rsidR="002356A1" w:rsidRPr="00205E85">
        <w:t>w</w:t>
      </w:r>
      <w:r w:rsidR="003F23BC" w:rsidRPr="00205E85">
        <w:t>eek 12 (%, 95% CI)</w:t>
      </w:r>
    </w:p>
    <w:tbl>
      <w:tblPr>
        <w:tblW w:w="5073" w:type="pct"/>
        <w:tblInd w:w="-132" w:type="dxa"/>
        <w:tblLayout w:type="fixed"/>
        <w:tblCellMar>
          <w:left w:w="0" w:type="dxa"/>
          <w:right w:w="0" w:type="dxa"/>
        </w:tblCellMar>
        <w:tblLook w:val="04A0" w:firstRow="1" w:lastRow="0" w:firstColumn="1" w:lastColumn="0" w:noHBand="0" w:noVBand="1"/>
      </w:tblPr>
      <w:tblGrid>
        <w:gridCol w:w="817"/>
        <w:gridCol w:w="800"/>
        <w:gridCol w:w="720"/>
        <w:gridCol w:w="720"/>
        <w:gridCol w:w="719"/>
        <w:gridCol w:w="719"/>
        <w:gridCol w:w="721"/>
        <w:gridCol w:w="719"/>
        <w:gridCol w:w="719"/>
        <w:gridCol w:w="719"/>
        <w:gridCol w:w="719"/>
        <w:gridCol w:w="725"/>
      </w:tblGrid>
      <w:tr w:rsidR="003F23BC" w:rsidRPr="006F02BE" w14:paraId="5500D56E" w14:textId="77777777" w:rsidTr="003D6A86">
        <w:trPr>
          <w:trHeight w:val="140"/>
        </w:trPr>
        <w:tc>
          <w:tcPr>
            <w:tcW w:w="463"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228EBEE9"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Study</w:t>
            </w:r>
          </w:p>
        </w:tc>
        <w:tc>
          <w:tcPr>
            <w:tcW w:w="453"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vAlign w:val="center"/>
            <w:hideMark/>
          </w:tcPr>
          <w:p w14:paraId="593EAA1D"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Dose regimen</w:t>
            </w:r>
          </w:p>
        </w:tc>
        <w:tc>
          <w:tcPr>
            <w:tcW w:w="408"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vAlign w:val="center"/>
            <w:hideMark/>
          </w:tcPr>
          <w:p w14:paraId="54110096" w14:textId="77777777" w:rsidR="003F23BC" w:rsidRPr="003F23BC" w:rsidRDefault="003F23BC" w:rsidP="003D6A86">
            <w:pPr>
              <w:keepNext/>
              <w:spacing w:before="20" w:after="20"/>
              <w:ind w:left="-93" w:right="-85"/>
              <w:jc w:val="center"/>
              <w:rPr>
                <w:rFonts w:eastAsia="Calibri" w:cs="Arial"/>
                <w:b/>
                <w:bCs/>
                <w:sz w:val="16"/>
                <w:szCs w:val="16"/>
              </w:rPr>
            </w:pPr>
            <w:r w:rsidRPr="003F23BC">
              <w:rPr>
                <w:rFonts w:eastAsia="Calibri" w:cs="Arial"/>
                <w:b/>
                <w:bCs/>
                <w:sz w:val="16"/>
                <w:szCs w:val="16"/>
              </w:rPr>
              <w:t>LDL-C</w:t>
            </w:r>
          </w:p>
          <w:p w14:paraId="2B506378" w14:textId="77777777" w:rsidR="003F23BC" w:rsidRPr="003F23BC" w:rsidRDefault="003F23BC" w:rsidP="003D6A86">
            <w:pPr>
              <w:keepNext/>
              <w:spacing w:before="20" w:after="20"/>
              <w:ind w:left="-93" w:right="-85"/>
              <w:jc w:val="center"/>
              <w:rPr>
                <w:rFonts w:eastAsia="Calibri" w:cs="Arial"/>
                <w:b/>
                <w:bCs/>
                <w:sz w:val="16"/>
                <w:szCs w:val="16"/>
              </w:rPr>
            </w:pPr>
            <w:r w:rsidRPr="003F23BC">
              <w:rPr>
                <w:rFonts w:eastAsia="Calibri" w:cs="Arial"/>
                <w:b/>
                <w:bCs/>
                <w:sz w:val="16"/>
                <w:szCs w:val="16"/>
              </w:rPr>
              <w:t>(%)</w:t>
            </w:r>
          </w:p>
        </w:tc>
        <w:tc>
          <w:tcPr>
            <w:tcW w:w="408" w:type="pct"/>
            <w:tcBorders>
              <w:top w:val="single" w:sz="8" w:space="0" w:color="000000"/>
              <w:left w:val="nil"/>
              <w:bottom w:val="single" w:sz="8" w:space="0" w:color="000000"/>
              <w:right w:val="single" w:sz="8" w:space="0" w:color="000000"/>
            </w:tcBorders>
            <w:shd w:val="clear" w:color="auto" w:fill="D9D9D9"/>
            <w:tcMar>
              <w:top w:w="11" w:type="dxa"/>
              <w:left w:w="90" w:type="dxa"/>
              <w:bottom w:w="0" w:type="dxa"/>
              <w:right w:w="90" w:type="dxa"/>
            </w:tcMar>
            <w:vAlign w:val="center"/>
            <w:hideMark/>
          </w:tcPr>
          <w:p w14:paraId="4604B86D" w14:textId="77777777" w:rsidR="003F23BC" w:rsidRPr="003F23BC" w:rsidRDefault="003F23BC" w:rsidP="003D6A86">
            <w:pPr>
              <w:keepNext/>
              <w:spacing w:before="20" w:after="20"/>
              <w:ind w:left="-95" w:right="-83"/>
              <w:jc w:val="center"/>
              <w:rPr>
                <w:rFonts w:eastAsia="Calibri" w:cs="Arial"/>
                <w:b/>
                <w:bCs/>
                <w:sz w:val="16"/>
                <w:szCs w:val="16"/>
              </w:rPr>
            </w:pPr>
            <w:r w:rsidRPr="003F23BC">
              <w:rPr>
                <w:rFonts w:eastAsia="Calibri" w:cs="Arial"/>
                <w:b/>
                <w:bCs/>
                <w:sz w:val="16"/>
                <w:szCs w:val="16"/>
              </w:rPr>
              <w:t>Non-HDL-C</w:t>
            </w:r>
          </w:p>
          <w:p w14:paraId="3E241287" w14:textId="77777777" w:rsidR="003F23BC" w:rsidRPr="003F23BC" w:rsidRDefault="003F23BC" w:rsidP="003D6A86">
            <w:pPr>
              <w:keepNext/>
              <w:spacing w:before="20" w:after="20"/>
              <w:ind w:left="-95" w:right="-83"/>
              <w:jc w:val="center"/>
              <w:rPr>
                <w:rFonts w:eastAsia="Calibri" w:cs="Arial"/>
                <w:b/>
                <w:bCs/>
                <w:sz w:val="16"/>
                <w:szCs w:val="16"/>
              </w:rPr>
            </w:pPr>
            <w:r w:rsidRPr="003F23BC">
              <w:rPr>
                <w:rFonts w:eastAsia="Calibri" w:cs="Arial"/>
                <w:b/>
                <w:bCs/>
                <w:sz w:val="16"/>
                <w:szCs w:val="16"/>
              </w:rPr>
              <w:t>(%)</w:t>
            </w:r>
          </w:p>
        </w:tc>
        <w:tc>
          <w:tcPr>
            <w:tcW w:w="408"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vAlign w:val="center"/>
            <w:hideMark/>
          </w:tcPr>
          <w:p w14:paraId="08E79239" w14:textId="77777777" w:rsidR="003F23BC" w:rsidRPr="003F23BC" w:rsidRDefault="003F23BC" w:rsidP="003D6A86">
            <w:pPr>
              <w:keepNext/>
              <w:spacing w:before="20" w:after="20"/>
              <w:jc w:val="center"/>
              <w:rPr>
                <w:rFonts w:eastAsia="Calibri" w:cs="Arial"/>
                <w:b/>
                <w:bCs/>
                <w:sz w:val="16"/>
                <w:szCs w:val="16"/>
              </w:rPr>
            </w:pPr>
            <w:proofErr w:type="spellStart"/>
            <w:r w:rsidRPr="003F23BC">
              <w:rPr>
                <w:rFonts w:eastAsia="Calibri" w:cs="Arial"/>
                <w:b/>
                <w:bCs/>
                <w:sz w:val="16"/>
                <w:szCs w:val="16"/>
              </w:rPr>
              <w:t>ApoB</w:t>
            </w:r>
            <w:proofErr w:type="spellEnd"/>
          </w:p>
          <w:p w14:paraId="36E14BA1"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w:t>
            </w:r>
          </w:p>
        </w:tc>
        <w:tc>
          <w:tcPr>
            <w:tcW w:w="408"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vAlign w:val="center"/>
            <w:hideMark/>
          </w:tcPr>
          <w:p w14:paraId="7C1F3ECB"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TC</w:t>
            </w:r>
          </w:p>
          <w:p w14:paraId="55B8F3BF"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w:t>
            </w:r>
          </w:p>
        </w:tc>
        <w:tc>
          <w:tcPr>
            <w:tcW w:w="409"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vAlign w:val="center"/>
            <w:hideMark/>
          </w:tcPr>
          <w:p w14:paraId="336BC5EC" w14:textId="77777777" w:rsidR="003F23BC" w:rsidRPr="003F23BC" w:rsidRDefault="003F23BC" w:rsidP="003D6A86">
            <w:pPr>
              <w:keepNext/>
              <w:spacing w:before="20" w:after="20"/>
              <w:jc w:val="center"/>
              <w:rPr>
                <w:rFonts w:eastAsia="Calibri" w:cs="Arial"/>
                <w:b/>
                <w:bCs/>
                <w:sz w:val="16"/>
                <w:szCs w:val="16"/>
              </w:rPr>
            </w:pPr>
            <w:proofErr w:type="spellStart"/>
            <w:r w:rsidRPr="003F23BC">
              <w:rPr>
                <w:rFonts w:eastAsia="Calibri" w:cs="Arial"/>
                <w:b/>
                <w:bCs/>
                <w:sz w:val="16"/>
                <w:szCs w:val="16"/>
              </w:rPr>
              <w:t>Lp</w:t>
            </w:r>
            <w:proofErr w:type="spellEnd"/>
            <w:r w:rsidRPr="003F23BC">
              <w:rPr>
                <w:rFonts w:eastAsia="Calibri" w:cs="Arial"/>
                <w:b/>
                <w:bCs/>
                <w:sz w:val="16"/>
                <w:szCs w:val="16"/>
              </w:rPr>
              <w:t>(a)</w:t>
            </w:r>
          </w:p>
          <w:p w14:paraId="4894B8EA"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w:t>
            </w:r>
          </w:p>
        </w:tc>
        <w:tc>
          <w:tcPr>
            <w:tcW w:w="408"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vAlign w:val="center"/>
            <w:hideMark/>
          </w:tcPr>
          <w:p w14:paraId="0C86BC1B"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VLDL-C</w:t>
            </w:r>
          </w:p>
          <w:p w14:paraId="27EB1C25"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w:t>
            </w:r>
          </w:p>
        </w:tc>
        <w:tc>
          <w:tcPr>
            <w:tcW w:w="408" w:type="pct"/>
            <w:tcBorders>
              <w:top w:val="single" w:sz="8" w:space="0" w:color="000000"/>
              <w:left w:val="nil"/>
              <w:bottom w:val="single" w:sz="8" w:space="0" w:color="000000"/>
              <w:right w:val="single" w:sz="8" w:space="0" w:color="000000"/>
            </w:tcBorders>
            <w:shd w:val="clear" w:color="auto" w:fill="D9D9D9"/>
            <w:tcMar>
              <w:top w:w="11" w:type="dxa"/>
              <w:left w:w="11" w:type="dxa"/>
              <w:bottom w:w="0" w:type="dxa"/>
              <w:right w:w="11" w:type="dxa"/>
            </w:tcMar>
            <w:vAlign w:val="center"/>
            <w:hideMark/>
          </w:tcPr>
          <w:p w14:paraId="01A38419"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HDL-C</w:t>
            </w:r>
          </w:p>
          <w:p w14:paraId="790F5F96"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w:t>
            </w:r>
          </w:p>
        </w:tc>
        <w:tc>
          <w:tcPr>
            <w:tcW w:w="408" w:type="pct"/>
            <w:tcBorders>
              <w:top w:val="single" w:sz="8" w:space="0" w:color="000000"/>
              <w:left w:val="nil"/>
              <w:bottom w:val="single" w:sz="8" w:space="0" w:color="000000"/>
              <w:right w:val="single" w:sz="8" w:space="0" w:color="000000"/>
            </w:tcBorders>
            <w:shd w:val="clear" w:color="auto" w:fill="D9D9D9"/>
            <w:vAlign w:val="center"/>
            <w:hideMark/>
          </w:tcPr>
          <w:p w14:paraId="5DD2F9A6"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TG</w:t>
            </w:r>
          </w:p>
          <w:p w14:paraId="01C039F0"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w:t>
            </w:r>
          </w:p>
        </w:tc>
        <w:tc>
          <w:tcPr>
            <w:tcW w:w="408" w:type="pct"/>
            <w:tcBorders>
              <w:top w:val="single" w:sz="8" w:space="0" w:color="000000"/>
              <w:left w:val="nil"/>
              <w:bottom w:val="single" w:sz="8" w:space="0" w:color="000000"/>
              <w:right w:val="single" w:sz="8" w:space="0" w:color="000000"/>
            </w:tcBorders>
            <w:shd w:val="clear" w:color="auto" w:fill="D9D9D9"/>
            <w:vAlign w:val="center"/>
          </w:tcPr>
          <w:p w14:paraId="467B5D7E"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TC/</w:t>
            </w:r>
          </w:p>
          <w:p w14:paraId="05BE7230"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HDL-C Ratio</w:t>
            </w:r>
          </w:p>
          <w:p w14:paraId="762F4385"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w:t>
            </w:r>
          </w:p>
        </w:tc>
        <w:tc>
          <w:tcPr>
            <w:tcW w:w="411" w:type="pct"/>
            <w:tcBorders>
              <w:top w:val="single" w:sz="8" w:space="0" w:color="000000"/>
              <w:left w:val="nil"/>
              <w:bottom w:val="single" w:sz="8" w:space="0" w:color="000000"/>
              <w:right w:val="single" w:sz="8" w:space="0" w:color="000000"/>
            </w:tcBorders>
            <w:shd w:val="clear" w:color="auto" w:fill="D9D9D9"/>
            <w:vAlign w:val="center"/>
          </w:tcPr>
          <w:p w14:paraId="0E3E4C57" w14:textId="77777777" w:rsidR="003F23BC" w:rsidRPr="003F23BC" w:rsidRDefault="003F23BC" w:rsidP="003D6A86">
            <w:pPr>
              <w:keepNext/>
              <w:spacing w:before="20" w:after="20"/>
              <w:jc w:val="center"/>
              <w:rPr>
                <w:rFonts w:eastAsia="Calibri" w:cs="Arial"/>
                <w:b/>
                <w:bCs/>
                <w:sz w:val="16"/>
                <w:szCs w:val="16"/>
              </w:rPr>
            </w:pPr>
            <w:proofErr w:type="spellStart"/>
            <w:r w:rsidRPr="003F23BC">
              <w:rPr>
                <w:rFonts w:eastAsia="Calibri" w:cs="Arial"/>
                <w:b/>
                <w:bCs/>
                <w:sz w:val="16"/>
                <w:szCs w:val="16"/>
              </w:rPr>
              <w:t>ApoB</w:t>
            </w:r>
            <w:proofErr w:type="spellEnd"/>
            <w:r w:rsidRPr="003F23BC">
              <w:rPr>
                <w:rFonts w:eastAsia="Calibri" w:cs="Arial"/>
                <w:b/>
                <w:bCs/>
                <w:sz w:val="16"/>
                <w:szCs w:val="16"/>
              </w:rPr>
              <w:t>/</w:t>
            </w:r>
          </w:p>
          <w:p w14:paraId="07036560"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ApoA1 Ratio</w:t>
            </w:r>
          </w:p>
          <w:p w14:paraId="2854B718" w14:textId="77777777" w:rsidR="003F23BC" w:rsidRPr="003F23BC" w:rsidRDefault="003F23BC" w:rsidP="003D6A86">
            <w:pPr>
              <w:keepNext/>
              <w:spacing w:before="20" w:after="20"/>
              <w:jc w:val="center"/>
              <w:rPr>
                <w:rFonts w:eastAsia="Calibri" w:cs="Arial"/>
                <w:b/>
                <w:bCs/>
                <w:sz w:val="16"/>
                <w:szCs w:val="16"/>
              </w:rPr>
            </w:pPr>
            <w:r w:rsidRPr="003F23BC">
              <w:rPr>
                <w:rFonts w:eastAsia="Calibri" w:cs="Arial"/>
                <w:b/>
                <w:bCs/>
                <w:sz w:val="16"/>
                <w:szCs w:val="16"/>
              </w:rPr>
              <w:t>(%)</w:t>
            </w:r>
          </w:p>
        </w:tc>
      </w:tr>
      <w:tr w:rsidR="003F23BC" w:rsidRPr="006F02BE" w14:paraId="5C43F547" w14:textId="77777777" w:rsidTr="003D6A86">
        <w:trPr>
          <w:trHeight w:val="248"/>
        </w:trPr>
        <w:tc>
          <w:tcPr>
            <w:tcW w:w="463" w:type="pct"/>
            <w:tcBorders>
              <w:top w:val="nil"/>
              <w:left w:val="single" w:sz="8" w:space="0" w:color="000000"/>
              <w:bottom w:val="single" w:sz="8" w:space="0" w:color="000000"/>
              <w:right w:val="single" w:sz="8" w:space="0" w:color="000000"/>
            </w:tcBorders>
            <w:vAlign w:val="center"/>
          </w:tcPr>
          <w:p w14:paraId="1C08C244" w14:textId="77777777" w:rsidR="001E16EA" w:rsidRDefault="001E16EA" w:rsidP="003D6A86">
            <w:pPr>
              <w:keepNext/>
              <w:spacing w:before="20" w:after="20"/>
              <w:jc w:val="center"/>
              <w:rPr>
                <w:rFonts w:eastAsia="Calibri" w:cs="Arial"/>
                <w:sz w:val="16"/>
                <w:szCs w:val="16"/>
              </w:rPr>
            </w:pPr>
            <w:r>
              <w:rPr>
                <w:rFonts w:eastAsia="Calibri" w:cs="Arial"/>
                <w:sz w:val="16"/>
                <w:szCs w:val="16"/>
              </w:rPr>
              <w:t>TESLA</w:t>
            </w:r>
          </w:p>
          <w:p w14:paraId="1711745C" w14:textId="77777777" w:rsidR="003F23BC" w:rsidRPr="003F23BC" w:rsidRDefault="003F23BC" w:rsidP="003D6A86">
            <w:pPr>
              <w:keepNext/>
              <w:spacing w:before="20" w:after="20"/>
              <w:jc w:val="center"/>
              <w:rPr>
                <w:rFonts w:eastAsia="Calibri" w:cs="Arial"/>
                <w:sz w:val="16"/>
                <w:szCs w:val="16"/>
              </w:rPr>
            </w:pPr>
            <w:r w:rsidRPr="003F23BC">
              <w:rPr>
                <w:rFonts w:eastAsia="Calibri" w:cs="Arial"/>
                <w:sz w:val="16"/>
                <w:szCs w:val="16"/>
              </w:rPr>
              <w:t>(HoFH)</w:t>
            </w:r>
          </w:p>
        </w:tc>
        <w:tc>
          <w:tcPr>
            <w:tcW w:w="453" w:type="pct"/>
            <w:tcBorders>
              <w:top w:val="nil"/>
              <w:left w:val="nil"/>
              <w:bottom w:val="single" w:sz="8" w:space="0" w:color="000000"/>
              <w:right w:val="single" w:sz="8" w:space="0" w:color="000000"/>
            </w:tcBorders>
            <w:tcMar>
              <w:top w:w="11" w:type="dxa"/>
              <w:left w:w="90" w:type="dxa"/>
              <w:bottom w:w="0" w:type="dxa"/>
              <w:right w:w="90" w:type="dxa"/>
            </w:tcMar>
            <w:vAlign w:val="center"/>
          </w:tcPr>
          <w:p w14:paraId="13A9B61B" w14:textId="77777777" w:rsidR="003F23BC" w:rsidRPr="003F23BC" w:rsidRDefault="003F23BC" w:rsidP="003D6A86">
            <w:pPr>
              <w:keepNext/>
              <w:spacing w:before="20" w:after="20"/>
              <w:jc w:val="center"/>
              <w:rPr>
                <w:rFonts w:eastAsia="Calibri" w:cs="Arial"/>
                <w:sz w:val="16"/>
                <w:szCs w:val="16"/>
              </w:rPr>
            </w:pPr>
            <w:r w:rsidRPr="003F23BC">
              <w:rPr>
                <w:rFonts w:eastAsia="Calibri" w:cs="Arial"/>
                <w:sz w:val="16"/>
                <w:szCs w:val="16"/>
              </w:rPr>
              <w:t>420 mg QM</w:t>
            </w:r>
          </w:p>
          <w:p w14:paraId="70BBE4A0" w14:textId="77777777" w:rsidR="003F23BC" w:rsidRPr="003F23BC" w:rsidRDefault="003F23BC" w:rsidP="003D6A86">
            <w:pPr>
              <w:keepNext/>
              <w:spacing w:before="20" w:after="20"/>
              <w:jc w:val="center"/>
              <w:rPr>
                <w:rFonts w:eastAsia="Calibri" w:cs="Arial"/>
                <w:sz w:val="16"/>
                <w:szCs w:val="16"/>
              </w:rPr>
            </w:pPr>
            <w:r w:rsidRPr="003F23BC">
              <w:rPr>
                <w:rFonts w:eastAsia="Calibri" w:cs="Arial"/>
                <w:sz w:val="16"/>
                <w:szCs w:val="16"/>
              </w:rPr>
              <w:t>(N=33)</w:t>
            </w:r>
          </w:p>
        </w:tc>
        <w:tc>
          <w:tcPr>
            <w:tcW w:w="408" w:type="pct"/>
            <w:tcBorders>
              <w:top w:val="nil"/>
              <w:left w:val="nil"/>
              <w:bottom w:val="single" w:sz="8" w:space="0" w:color="000000"/>
              <w:right w:val="single" w:sz="8" w:space="0" w:color="000000"/>
            </w:tcBorders>
            <w:tcMar>
              <w:top w:w="11" w:type="dxa"/>
              <w:left w:w="90" w:type="dxa"/>
              <w:bottom w:w="0" w:type="dxa"/>
              <w:right w:w="90" w:type="dxa"/>
            </w:tcMar>
            <w:vAlign w:val="center"/>
          </w:tcPr>
          <w:p w14:paraId="733EBE84" w14:textId="77777777" w:rsidR="003F23BC" w:rsidRPr="003F23BC" w:rsidRDefault="003F23BC" w:rsidP="003D6A86">
            <w:pPr>
              <w:keepNext/>
              <w:keepLines/>
              <w:widowControl w:val="0"/>
              <w:spacing w:before="20" w:after="20"/>
              <w:ind w:left="-103" w:right="-99"/>
              <w:jc w:val="center"/>
              <w:rPr>
                <w:rFonts w:eastAsia="Calibri" w:cs="Arial"/>
                <w:sz w:val="16"/>
                <w:szCs w:val="16"/>
              </w:rPr>
            </w:pPr>
            <w:r w:rsidRPr="003F23BC">
              <w:rPr>
                <w:rFonts w:eastAsia="Calibri" w:cs="Arial"/>
                <w:sz w:val="16"/>
                <w:szCs w:val="16"/>
              </w:rPr>
              <w:t>-32</w:t>
            </w:r>
            <w:r w:rsidRPr="003F23BC">
              <w:rPr>
                <w:rFonts w:eastAsia="Calibri" w:cs="Arial"/>
                <w:sz w:val="16"/>
                <w:szCs w:val="16"/>
                <w:vertAlign w:val="superscript"/>
              </w:rPr>
              <w:t>b</w:t>
            </w:r>
          </w:p>
          <w:p w14:paraId="491FB97A" w14:textId="77777777" w:rsidR="003F23BC" w:rsidRPr="003F23BC" w:rsidRDefault="003F23BC" w:rsidP="003D6A86">
            <w:pPr>
              <w:keepNext/>
              <w:keepLines/>
              <w:widowControl w:val="0"/>
              <w:spacing w:before="20" w:after="20"/>
              <w:ind w:left="-103" w:right="-99"/>
              <w:jc w:val="center"/>
              <w:rPr>
                <w:rFonts w:eastAsia="Calibri" w:cs="Arial"/>
                <w:sz w:val="16"/>
                <w:szCs w:val="16"/>
              </w:rPr>
            </w:pPr>
            <w:r w:rsidRPr="003F23BC">
              <w:rPr>
                <w:rFonts w:eastAsia="Calibri" w:cs="Arial"/>
                <w:sz w:val="16"/>
                <w:szCs w:val="16"/>
              </w:rPr>
              <w:t>(-45, -19)</w:t>
            </w:r>
          </w:p>
        </w:tc>
        <w:tc>
          <w:tcPr>
            <w:tcW w:w="408" w:type="pct"/>
            <w:tcBorders>
              <w:top w:val="nil"/>
              <w:left w:val="nil"/>
              <w:bottom w:val="single" w:sz="8" w:space="0" w:color="000000"/>
              <w:right w:val="single" w:sz="8" w:space="0" w:color="000000"/>
            </w:tcBorders>
            <w:tcMar>
              <w:top w:w="11" w:type="dxa"/>
              <w:left w:w="90" w:type="dxa"/>
              <w:bottom w:w="0" w:type="dxa"/>
              <w:right w:w="90" w:type="dxa"/>
            </w:tcMar>
            <w:vAlign w:val="center"/>
          </w:tcPr>
          <w:p w14:paraId="611B49F8"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-30</w:t>
            </w:r>
          </w:p>
          <w:p w14:paraId="6EF1A853" w14:textId="77777777" w:rsidR="003F23BC" w:rsidRPr="003F23BC" w:rsidRDefault="003F23BC" w:rsidP="003D6A86">
            <w:pPr>
              <w:keepNext/>
              <w:keepLines/>
              <w:widowControl w:val="0"/>
              <w:spacing w:before="20" w:after="20"/>
              <w:ind w:left="-57" w:right="-83"/>
              <w:jc w:val="center"/>
              <w:rPr>
                <w:rFonts w:eastAsia="Calibri" w:cs="Arial"/>
                <w:sz w:val="16"/>
                <w:szCs w:val="16"/>
              </w:rPr>
            </w:pPr>
            <w:r w:rsidRPr="003F23BC">
              <w:rPr>
                <w:rFonts w:eastAsia="Calibri" w:cs="Arial"/>
                <w:sz w:val="16"/>
                <w:szCs w:val="16"/>
              </w:rPr>
              <w:t>(-42, -18)</w:t>
            </w:r>
          </w:p>
        </w:tc>
        <w:tc>
          <w:tcPr>
            <w:tcW w:w="408" w:type="pct"/>
            <w:tcBorders>
              <w:top w:val="nil"/>
              <w:left w:val="nil"/>
              <w:bottom w:val="single" w:sz="8" w:space="0" w:color="000000"/>
              <w:right w:val="single" w:sz="8" w:space="0" w:color="000000"/>
            </w:tcBorders>
            <w:tcMar>
              <w:top w:w="11" w:type="dxa"/>
              <w:left w:w="11" w:type="dxa"/>
              <w:bottom w:w="0" w:type="dxa"/>
              <w:right w:w="11" w:type="dxa"/>
            </w:tcMar>
            <w:vAlign w:val="center"/>
          </w:tcPr>
          <w:p w14:paraId="47D3744F"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-23</w:t>
            </w:r>
            <w:r w:rsidRPr="003F23BC">
              <w:rPr>
                <w:rFonts w:eastAsia="Calibri" w:cs="Arial"/>
                <w:sz w:val="16"/>
                <w:szCs w:val="16"/>
                <w:vertAlign w:val="superscript"/>
              </w:rPr>
              <w:t>b</w:t>
            </w:r>
          </w:p>
          <w:p w14:paraId="1621D3CB"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(-35, -11)</w:t>
            </w:r>
          </w:p>
        </w:tc>
        <w:tc>
          <w:tcPr>
            <w:tcW w:w="408" w:type="pct"/>
            <w:tcBorders>
              <w:top w:val="nil"/>
              <w:left w:val="nil"/>
              <w:bottom w:val="single" w:sz="8" w:space="0" w:color="000000"/>
              <w:right w:val="single" w:sz="8" w:space="0" w:color="000000"/>
            </w:tcBorders>
            <w:tcMar>
              <w:top w:w="11" w:type="dxa"/>
              <w:left w:w="11" w:type="dxa"/>
              <w:bottom w:w="0" w:type="dxa"/>
              <w:right w:w="11" w:type="dxa"/>
            </w:tcMar>
            <w:vAlign w:val="center"/>
          </w:tcPr>
          <w:p w14:paraId="2AC6C519"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-27</w:t>
            </w:r>
          </w:p>
          <w:p w14:paraId="26842C52"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(-38, -16)</w:t>
            </w:r>
          </w:p>
        </w:tc>
        <w:tc>
          <w:tcPr>
            <w:tcW w:w="409" w:type="pct"/>
            <w:tcBorders>
              <w:top w:val="nil"/>
              <w:left w:val="nil"/>
              <w:bottom w:val="single" w:sz="8" w:space="0" w:color="000000"/>
              <w:right w:val="single" w:sz="8" w:space="0" w:color="000000"/>
            </w:tcBorders>
            <w:tcMar>
              <w:top w:w="11" w:type="dxa"/>
              <w:left w:w="11" w:type="dxa"/>
              <w:bottom w:w="0" w:type="dxa"/>
              <w:right w:w="11" w:type="dxa"/>
            </w:tcMar>
            <w:vAlign w:val="center"/>
          </w:tcPr>
          <w:p w14:paraId="37A51045"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-12</w:t>
            </w:r>
          </w:p>
          <w:p w14:paraId="526DEFAC"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(-25, 2)</w:t>
            </w:r>
          </w:p>
        </w:tc>
        <w:tc>
          <w:tcPr>
            <w:tcW w:w="408" w:type="pct"/>
            <w:tcBorders>
              <w:top w:val="nil"/>
              <w:left w:val="nil"/>
              <w:bottom w:val="single" w:sz="8" w:space="0" w:color="000000"/>
              <w:right w:val="single" w:sz="8" w:space="0" w:color="000000"/>
            </w:tcBorders>
            <w:tcMar>
              <w:top w:w="11" w:type="dxa"/>
              <w:left w:w="11" w:type="dxa"/>
              <w:bottom w:w="0" w:type="dxa"/>
              <w:right w:w="11" w:type="dxa"/>
            </w:tcMar>
            <w:vAlign w:val="center"/>
          </w:tcPr>
          <w:p w14:paraId="5E9073B2"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-44</w:t>
            </w:r>
          </w:p>
          <w:p w14:paraId="66B3682D"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(-128, 40)</w:t>
            </w:r>
          </w:p>
        </w:tc>
        <w:tc>
          <w:tcPr>
            <w:tcW w:w="408" w:type="pct"/>
            <w:tcBorders>
              <w:top w:val="nil"/>
              <w:left w:val="nil"/>
              <w:bottom w:val="single" w:sz="8" w:space="0" w:color="000000"/>
              <w:right w:val="single" w:sz="8" w:space="0" w:color="000000"/>
            </w:tcBorders>
            <w:tcMar>
              <w:top w:w="11" w:type="dxa"/>
              <w:left w:w="11" w:type="dxa"/>
              <w:bottom w:w="0" w:type="dxa"/>
              <w:right w:w="11" w:type="dxa"/>
            </w:tcMar>
            <w:vAlign w:val="center"/>
          </w:tcPr>
          <w:p w14:paraId="0BB07180"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-0.1</w:t>
            </w:r>
          </w:p>
          <w:p w14:paraId="0AFEE53D"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(-9, 9)</w:t>
            </w:r>
          </w:p>
        </w:tc>
        <w:tc>
          <w:tcPr>
            <w:tcW w:w="408" w:type="pct"/>
            <w:tcBorders>
              <w:top w:val="nil"/>
              <w:left w:val="nil"/>
              <w:bottom w:val="single" w:sz="8" w:space="0" w:color="000000"/>
              <w:right w:val="single" w:sz="8" w:space="0" w:color="000000"/>
            </w:tcBorders>
            <w:vAlign w:val="center"/>
          </w:tcPr>
          <w:p w14:paraId="6FAD0F4D" w14:textId="77777777" w:rsidR="003F23BC" w:rsidRPr="003F23BC" w:rsidRDefault="003F23BC" w:rsidP="003D6A86">
            <w:pPr>
              <w:keepNext/>
              <w:keepLines/>
              <w:widowControl w:val="0"/>
              <w:spacing w:before="20" w:after="20"/>
              <w:ind w:left="-103" w:right="-99"/>
              <w:jc w:val="center"/>
              <w:rPr>
                <w:rFonts w:eastAsia="Calibri" w:cs="Arial"/>
                <w:sz w:val="16"/>
                <w:szCs w:val="16"/>
              </w:rPr>
            </w:pPr>
            <w:r w:rsidRPr="003F23BC">
              <w:rPr>
                <w:rFonts w:eastAsia="Calibri" w:cs="Arial"/>
                <w:sz w:val="16"/>
                <w:szCs w:val="16"/>
              </w:rPr>
              <w:t>0.3</w:t>
            </w:r>
          </w:p>
          <w:p w14:paraId="5D30FB60" w14:textId="77777777" w:rsidR="003F23BC" w:rsidRPr="003F23BC" w:rsidRDefault="003F23BC" w:rsidP="003D6A86">
            <w:pPr>
              <w:keepNext/>
              <w:keepLines/>
              <w:widowControl w:val="0"/>
              <w:spacing w:before="20" w:after="20"/>
              <w:ind w:left="-103" w:right="-99"/>
              <w:jc w:val="center"/>
              <w:rPr>
                <w:rFonts w:eastAsia="Calibri" w:cs="Arial"/>
                <w:sz w:val="16"/>
                <w:szCs w:val="16"/>
              </w:rPr>
            </w:pPr>
            <w:r w:rsidRPr="003F23BC">
              <w:rPr>
                <w:rFonts w:eastAsia="Calibri" w:cs="Arial"/>
                <w:sz w:val="16"/>
                <w:szCs w:val="16"/>
              </w:rPr>
              <w:t>(-15, 16)</w:t>
            </w:r>
          </w:p>
        </w:tc>
        <w:tc>
          <w:tcPr>
            <w:tcW w:w="408" w:type="pct"/>
            <w:tcBorders>
              <w:top w:val="nil"/>
              <w:left w:val="nil"/>
              <w:bottom w:val="single" w:sz="8" w:space="0" w:color="000000"/>
              <w:right w:val="single" w:sz="8" w:space="0" w:color="000000"/>
            </w:tcBorders>
            <w:vAlign w:val="center"/>
          </w:tcPr>
          <w:p w14:paraId="3B287C33"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-26</w:t>
            </w:r>
          </w:p>
          <w:p w14:paraId="1B3180B4"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(-38, -14)</w:t>
            </w:r>
          </w:p>
        </w:tc>
        <w:tc>
          <w:tcPr>
            <w:tcW w:w="411" w:type="pct"/>
            <w:tcBorders>
              <w:top w:val="nil"/>
              <w:left w:val="nil"/>
              <w:bottom w:val="single" w:sz="8" w:space="0" w:color="000000"/>
              <w:right w:val="single" w:sz="8" w:space="0" w:color="000000"/>
            </w:tcBorders>
            <w:vAlign w:val="center"/>
          </w:tcPr>
          <w:p w14:paraId="55233A81"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-28</w:t>
            </w:r>
          </w:p>
          <w:p w14:paraId="43883AC8" w14:textId="77777777" w:rsidR="003F23BC" w:rsidRPr="003F23BC" w:rsidRDefault="003F23BC" w:rsidP="003D6A86">
            <w:pPr>
              <w:keepNext/>
              <w:keepLines/>
              <w:widowControl w:val="0"/>
              <w:spacing w:before="20" w:after="20"/>
              <w:jc w:val="center"/>
              <w:rPr>
                <w:rFonts w:eastAsia="Calibri" w:cs="Arial"/>
                <w:sz w:val="16"/>
                <w:szCs w:val="16"/>
              </w:rPr>
            </w:pPr>
            <w:r w:rsidRPr="003F23BC">
              <w:rPr>
                <w:rFonts w:eastAsia="Calibri" w:cs="Arial"/>
                <w:sz w:val="16"/>
                <w:szCs w:val="16"/>
              </w:rPr>
              <w:t>(-39, -17)</w:t>
            </w:r>
          </w:p>
        </w:tc>
      </w:tr>
      <w:tr w:rsidR="003F23BC" w:rsidRPr="00F54E61" w14:paraId="5A325F19" w14:textId="77777777" w:rsidTr="003D6A86">
        <w:trPr>
          <w:trHeight w:val="248"/>
        </w:trPr>
        <w:tc>
          <w:tcPr>
            <w:tcW w:w="5000" w:type="pct"/>
            <w:gridSpan w:val="12"/>
            <w:tcBorders>
              <w:top w:val="single" w:sz="8" w:space="0" w:color="000000"/>
            </w:tcBorders>
            <w:vAlign w:val="center"/>
          </w:tcPr>
          <w:p w14:paraId="362590D7" w14:textId="77777777" w:rsidR="003F23BC" w:rsidRPr="00F54E61" w:rsidRDefault="003F23BC" w:rsidP="00F54E61">
            <w:pPr>
              <w:rPr>
                <w:rFonts w:eastAsia="Calibri"/>
                <w:color w:val="A6A6A6"/>
                <w:sz w:val="18"/>
                <w:szCs w:val="18"/>
              </w:rPr>
            </w:pPr>
            <w:r w:rsidRPr="00F54E61">
              <w:rPr>
                <w:rFonts w:eastAsia="Calibri"/>
                <w:sz w:val="18"/>
                <w:szCs w:val="18"/>
                <w:vertAlign w:val="superscript"/>
              </w:rPr>
              <w:t>b</w:t>
            </w:r>
            <w:r w:rsidRPr="00F54E61">
              <w:rPr>
                <w:rFonts w:eastAsia="Calibri"/>
                <w:sz w:val="18"/>
                <w:szCs w:val="18"/>
              </w:rPr>
              <w:t xml:space="preserve"> p value &lt;0.001 when compared with placebo</w:t>
            </w:r>
            <w:r w:rsidR="00F54E61">
              <w:rPr>
                <w:rFonts w:eastAsia="Calibri"/>
                <w:sz w:val="18"/>
                <w:szCs w:val="18"/>
              </w:rPr>
              <w:t>.</w:t>
            </w:r>
          </w:p>
        </w:tc>
      </w:tr>
    </w:tbl>
    <w:p w14:paraId="59771780" w14:textId="77777777" w:rsidR="002813FC" w:rsidRDefault="002813FC" w:rsidP="005F257E"/>
    <w:p w14:paraId="48CD6609" w14:textId="77777777" w:rsidR="003F23BC" w:rsidRPr="00462FD1" w:rsidRDefault="009F7E62" w:rsidP="002813FC">
      <w:pPr>
        <w:pStyle w:val="PI-UnderlinedSubHeader"/>
      </w:pPr>
      <w:r>
        <w:rPr>
          <w:rFonts w:cs="Arial"/>
          <w:bCs/>
        </w:rPr>
        <w:lastRenderedPageBreak/>
        <w:t>E</w:t>
      </w:r>
      <w:r w:rsidR="003F23BC" w:rsidRPr="00462FD1">
        <w:rPr>
          <w:rFonts w:cs="Arial"/>
          <w:bCs/>
        </w:rPr>
        <w:t>fficacy</w:t>
      </w:r>
      <w:r w:rsidR="003F23BC" w:rsidRPr="00462FD1">
        <w:t xml:space="preserve"> in </w:t>
      </w:r>
      <w:r w:rsidR="005E418B">
        <w:t>h</w:t>
      </w:r>
      <w:r w:rsidR="003F23BC" w:rsidRPr="00462FD1">
        <w:t xml:space="preserve">omozygous </w:t>
      </w:r>
      <w:r w:rsidR="005E418B">
        <w:t>f</w:t>
      </w:r>
      <w:r w:rsidR="003F23BC" w:rsidRPr="00462FD1">
        <w:t xml:space="preserve">amilial </w:t>
      </w:r>
      <w:r w:rsidR="0027632E">
        <w:t>hypercholesterolaemia</w:t>
      </w:r>
    </w:p>
    <w:p w14:paraId="0AD04DA0" w14:textId="77777777" w:rsidR="003F23BC" w:rsidRPr="001E16EA" w:rsidRDefault="00F54E61" w:rsidP="002813FC">
      <w:pPr>
        <w:pStyle w:val="PI-text"/>
      </w:pPr>
      <w:r>
        <w:t>In TAUSSIG</w:t>
      </w:r>
      <w:r w:rsidR="003F23BC" w:rsidRPr="001E16EA">
        <w:t xml:space="preserve">, </w:t>
      </w:r>
      <w:r w:rsidR="001E16EA" w:rsidRPr="001E16EA">
        <w:t>Repatha</w:t>
      </w:r>
      <w:r w:rsidR="003F23BC" w:rsidRPr="001E16EA">
        <w:t xml:space="preserve"> demonstrated a sustained treatment effect as evidenced by reduction of LDL-C in patients with HoFH (overall, non-apheresis, </w:t>
      </w:r>
      <w:proofErr w:type="gramStart"/>
      <w:r w:rsidR="003F23BC" w:rsidRPr="001E16EA">
        <w:t>apheresis</w:t>
      </w:r>
      <w:proofErr w:type="gramEnd"/>
      <w:r w:rsidR="003F23BC" w:rsidRPr="001E16EA">
        <w:t>) (</w:t>
      </w:r>
      <w:r w:rsidR="006632B5">
        <w:rPr>
          <w:color w:val="0000FF"/>
        </w:rPr>
        <w:fldChar w:fldCharType="begin"/>
      </w:r>
      <w:r w:rsidR="006632B5">
        <w:instrText xml:space="preserve"> REF _Ref506363918 \h </w:instrText>
      </w:r>
      <w:r w:rsidR="006632B5">
        <w:rPr>
          <w:color w:val="0000FF"/>
        </w:rPr>
      </w:r>
      <w:r w:rsidR="006632B5">
        <w:rPr>
          <w:color w:val="0000FF"/>
        </w:rPr>
        <w:fldChar w:fldCharType="separate"/>
      </w:r>
      <w:r w:rsidR="008C495D">
        <w:t xml:space="preserve">Table </w:t>
      </w:r>
      <w:r w:rsidR="008C495D">
        <w:rPr>
          <w:noProof/>
        </w:rPr>
        <w:t>8</w:t>
      </w:r>
      <w:r w:rsidR="006632B5">
        <w:rPr>
          <w:color w:val="0000FF"/>
        </w:rPr>
        <w:fldChar w:fldCharType="end"/>
      </w:r>
      <w:r w:rsidR="003F23BC" w:rsidRPr="001E16EA">
        <w:t xml:space="preserve">).  Changes in other lipid parameters (TC, </w:t>
      </w:r>
      <w:proofErr w:type="spellStart"/>
      <w:r w:rsidR="003F23BC" w:rsidRPr="001E16EA">
        <w:t>ApoB</w:t>
      </w:r>
      <w:proofErr w:type="spellEnd"/>
      <w:r w:rsidR="003F23BC" w:rsidRPr="001E16EA">
        <w:t xml:space="preserve">, non-HDL-C, TC/HDL-C, and </w:t>
      </w:r>
      <w:proofErr w:type="spellStart"/>
      <w:r w:rsidR="003F23BC" w:rsidRPr="001E16EA">
        <w:t>ApoB</w:t>
      </w:r>
      <w:proofErr w:type="spellEnd"/>
      <w:r w:rsidR="003F23BC" w:rsidRPr="001E16EA">
        <w:t xml:space="preserve">/ApoA1) also demonstrated a sustained effect of </w:t>
      </w:r>
      <w:r w:rsidR="001E16EA" w:rsidRPr="001E16EA">
        <w:t>Repatha</w:t>
      </w:r>
      <w:r w:rsidR="003F23BC" w:rsidRPr="001E16EA">
        <w:t xml:space="preserve"> administration in patients with HoFH.  Reductions in LDL-C and changes in other lipid parameters in 13 adolescent patients (12 to &lt; 18 years of age) with HoFH were comparable to those in the overall HoFH study population.</w:t>
      </w:r>
    </w:p>
    <w:p w14:paraId="743EAB3E" w14:textId="77777777" w:rsidR="003F23BC" w:rsidRPr="002813FC" w:rsidRDefault="00205E85" w:rsidP="00205E85">
      <w:pPr>
        <w:pStyle w:val="Caption"/>
        <w:rPr>
          <w:rFonts w:eastAsia="Calibri"/>
        </w:rPr>
      </w:pPr>
      <w:bookmarkStart w:id="22" w:name="_Ref506363918"/>
      <w:r>
        <w:t xml:space="preserve">Table </w:t>
      </w:r>
      <w:r w:rsidR="002351AF">
        <w:fldChar w:fldCharType="begin"/>
      </w:r>
      <w:r w:rsidR="002351AF">
        <w:instrText xml:space="preserve"> SEQ Table \* ARABIC </w:instrText>
      </w:r>
      <w:r w:rsidR="002351AF">
        <w:fldChar w:fldCharType="separate"/>
      </w:r>
      <w:r w:rsidR="008C495D">
        <w:rPr>
          <w:noProof/>
        </w:rPr>
        <w:t>8</w:t>
      </w:r>
      <w:r w:rsidR="002351AF">
        <w:rPr>
          <w:noProof/>
        </w:rPr>
        <w:fldChar w:fldCharType="end"/>
      </w:r>
      <w:bookmarkEnd w:id="22"/>
      <w:r>
        <w:t xml:space="preserve">. </w:t>
      </w:r>
      <w:r w:rsidR="00A25458">
        <w:t xml:space="preserve"> </w:t>
      </w:r>
      <w:r w:rsidR="003F23BC" w:rsidRPr="00205E85">
        <w:t xml:space="preserve">Effect of </w:t>
      </w:r>
      <w:r w:rsidR="001E16EA" w:rsidRPr="00205E85">
        <w:t>Repatha</w:t>
      </w:r>
      <w:r w:rsidR="003F23BC" w:rsidRPr="00205E85">
        <w:t xml:space="preserve"> on LDL-C in </w:t>
      </w:r>
      <w:r w:rsidR="001E16EA" w:rsidRPr="00205E85">
        <w:t>p</w:t>
      </w:r>
      <w:r w:rsidR="003F23BC" w:rsidRPr="00205E85">
        <w:t xml:space="preserve">atients with </w:t>
      </w:r>
      <w:r w:rsidR="001E16EA" w:rsidRPr="00205E85">
        <w:t>h</w:t>
      </w:r>
      <w:r w:rsidR="003F23BC" w:rsidRPr="00205E85">
        <w:t xml:space="preserve">omozygous </w:t>
      </w:r>
      <w:r w:rsidR="001E16EA" w:rsidRPr="00205E85">
        <w:t>f</w:t>
      </w:r>
      <w:r w:rsidR="0047011F" w:rsidRPr="00205E85">
        <w:t>amilial</w:t>
      </w:r>
      <w:r w:rsidR="00C60010" w:rsidRPr="00205E85">
        <w:t xml:space="preserve"> </w:t>
      </w:r>
      <w:r w:rsidR="00983361" w:rsidRPr="00205E85">
        <w:t>hypercholesterolaemia</w:t>
      </w:r>
      <w:r w:rsidR="003F23BC" w:rsidRPr="00205E85">
        <w:t xml:space="preserve"> – </w:t>
      </w:r>
      <w:r w:rsidR="001E16EA" w:rsidRPr="00205E85">
        <w:t>m</w:t>
      </w:r>
      <w:r w:rsidR="003F23BC" w:rsidRPr="00205E85">
        <w:t xml:space="preserve">ean </w:t>
      </w:r>
      <w:r w:rsidR="001E16EA" w:rsidRPr="00205E85">
        <w:t>p</w:t>
      </w:r>
      <w:r w:rsidR="003F23BC" w:rsidRPr="00205E85">
        <w:t xml:space="preserve">ercent </w:t>
      </w:r>
      <w:r w:rsidR="001E16EA" w:rsidRPr="00205E85">
        <w:t>c</w:t>
      </w:r>
      <w:r w:rsidR="003F23BC" w:rsidRPr="00205E85">
        <w:t xml:space="preserve">hange from </w:t>
      </w:r>
      <w:r w:rsidR="001E16EA" w:rsidRPr="00205E85">
        <w:t>b</w:t>
      </w:r>
      <w:r w:rsidR="003F23BC" w:rsidRPr="00205E85">
        <w:t xml:space="preserve">aseline to OLE </w:t>
      </w:r>
      <w:r w:rsidR="001E16EA" w:rsidRPr="00205E85">
        <w:t>w</w:t>
      </w:r>
      <w:r w:rsidR="003F23BC" w:rsidRPr="00205E85">
        <w:t>eek 36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9"/>
        <w:gridCol w:w="2058"/>
        <w:gridCol w:w="2058"/>
        <w:gridCol w:w="2051"/>
      </w:tblGrid>
      <w:tr w:rsidR="003F23BC" w:rsidRPr="006F02BE" w14:paraId="0256F6DD" w14:textId="77777777" w:rsidTr="0003559F">
        <w:trPr>
          <w:trHeight w:val="386"/>
        </w:trPr>
        <w:tc>
          <w:tcPr>
            <w:tcW w:w="1530" w:type="pct"/>
            <w:shd w:val="clear" w:color="auto" w:fill="D9D9D9"/>
          </w:tcPr>
          <w:p w14:paraId="233C6B9A" w14:textId="77777777" w:rsidR="003F23BC" w:rsidRPr="0003559F" w:rsidRDefault="003F23BC" w:rsidP="003D6A86">
            <w:pPr>
              <w:adjustRightInd w:val="0"/>
              <w:spacing w:before="20" w:after="20"/>
              <w:jc w:val="center"/>
              <w:rPr>
                <w:rFonts w:cs="Arial"/>
                <w:b/>
                <w:sz w:val="16"/>
                <w:szCs w:val="16"/>
              </w:rPr>
            </w:pPr>
            <w:r w:rsidRPr="0003559F">
              <w:rPr>
                <w:rFonts w:cs="Arial"/>
                <w:b/>
                <w:sz w:val="16"/>
                <w:szCs w:val="16"/>
              </w:rPr>
              <w:t xml:space="preserve">Patient Population </w:t>
            </w:r>
          </w:p>
          <w:p w14:paraId="5FF8B302" w14:textId="77777777" w:rsidR="003F23BC" w:rsidRPr="0003559F" w:rsidRDefault="003F23BC" w:rsidP="003D6A86">
            <w:pPr>
              <w:adjustRightInd w:val="0"/>
              <w:spacing w:before="20" w:after="20"/>
              <w:jc w:val="center"/>
              <w:rPr>
                <w:rFonts w:cs="Arial"/>
                <w:b/>
                <w:sz w:val="16"/>
                <w:szCs w:val="16"/>
              </w:rPr>
            </w:pPr>
            <w:r w:rsidRPr="0003559F">
              <w:rPr>
                <w:rFonts w:cs="Arial"/>
                <w:b/>
                <w:sz w:val="16"/>
                <w:szCs w:val="16"/>
              </w:rPr>
              <w:t>(N)</w:t>
            </w:r>
          </w:p>
        </w:tc>
        <w:tc>
          <w:tcPr>
            <w:tcW w:w="1158" w:type="pct"/>
            <w:shd w:val="clear" w:color="auto" w:fill="D9D9D9"/>
            <w:vAlign w:val="center"/>
          </w:tcPr>
          <w:p w14:paraId="62F8392D" w14:textId="77777777" w:rsidR="003F23BC" w:rsidRPr="0003559F" w:rsidRDefault="003F23BC" w:rsidP="003D6A86">
            <w:pPr>
              <w:adjustRightInd w:val="0"/>
              <w:spacing w:before="20" w:after="20"/>
              <w:jc w:val="center"/>
              <w:rPr>
                <w:rFonts w:cs="Arial"/>
                <w:b/>
                <w:sz w:val="16"/>
                <w:szCs w:val="16"/>
              </w:rPr>
            </w:pPr>
            <w:r w:rsidRPr="0003559F">
              <w:rPr>
                <w:rFonts w:cs="Arial"/>
                <w:b/>
                <w:sz w:val="16"/>
                <w:szCs w:val="16"/>
              </w:rPr>
              <w:t>OLE Week 12</w:t>
            </w:r>
          </w:p>
        </w:tc>
        <w:tc>
          <w:tcPr>
            <w:tcW w:w="1158" w:type="pct"/>
            <w:shd w:val="clear" w:color="auto" w:fill="D9D9D9"/>
            <w:vAlign w:val="center"/>
          </w:tcPr>
          <w:p w14:paraId="67B6714D" w14:textId="77777777" w:rsidR="003F23BC" w:rsidRPr="0003559F" w:rsidRDefault="003F23BC" w:rsidP="003D6A86">
            <w:pPr>
              <w:adjustRightInd w:val="0"/>
              <w:spacing w:before="20" w:after="20"/>
              <w:jc w:val="center"/>
              <w:rPr>
                <w:rFonts w:cs="Arial"/>
                <w:b/>
                <w:sz w:val="16"/>
                <w:szCs w:val="16"/>
              </w:rPr>
            </w:pPr>
            <w:r w:rsidRPr="0003559F">
              <w:rPr>
                <w:rFonts w:cs="Arial"/>
                <w:b/>
                <w:sz w:val="16"/>
                <w:szCs w:val="16"/>
              </w:rPr>
              <w:t>OLE Week 24</w:t>
            </w:r>
          </w:p>
        </w:tc>
        <w:tc>
          <w:tcPr>
            <w:tcW w:w="1155" w:type="pct"/>
            <w:shd w:val="clear" w:color="auto" w:fill="D9D9D9"/>
            <w:vAlign w:val="center"/>
          </w:tcPr>
          <w:p w14:paraId="5D257DC6" w14:textId="77777777" w:rsidR="003F23BC" w:rsidRPr="0003559F" w:rsidRDefault="003F23BC" w:rsidP="003D6A86">
            <w:pPr>
              <w:adjustRightInd w:val="0"/>
              <w:spacing w:before="20" w:after="20"/>
              <w:jc w:val="center"/>
              <w:rPr>
                <w:rFonts w:cs="Arial"/>
                <w:b/>
                <w:sz w:val="16"/>
                <w:szCs w:val="16"/>
              </w:rPr>
            </w:pPr>
            <w:r w:rsidRPr="0003559F">
              <w:rPr>
                <w:rFonts w:cs="Arial"/>
                <w:b/>
                <w:sz w:val="16"/>
                <w:szCs w:val="16"/>
              </w:rPr>
              <w:t>OLE Week 36</w:t>
            </w:r>
          </w:p>
        </w:tc>
      </w:tr>
      <w:tr w:rsidR="003F23BC" w:rsidRPr="006F02BE" w14:paraId="5E2C7593" w14:textId="77777777" w:rsidTr="0003559F">
        <w:tc>
          <w:tcPr>
            <w:tcW w:w="1530" w:type="pct"/>
            <w:shd w:val="clear" w:color="auto" w:fill="auto"/>
          </w:tcPr>
          <w:p w14:paraId="5D493F45"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HoFH</w:t>
            </w:r>
          </w:p>
          <w:p w14:paraId="5E0D22BE"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(N=96)</w:t>
            </w:r>
          </w:p>
        </w:tc>
        <w:tc>
          <w:tcPr>
            <w:tcW w:w="1158" w:type="pct"/>
            <w:shd w:val="clear" w:color="auto" w:fill="auto"/>
          </w:tcPr>
          <w:p w14:paraId="38FABA5A"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-20</w:t>
            </w:r>
          </w:p>
          <w:p w14:paraId="05CBD4AF"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(n=70)</w:t>
            </w:r>
          </w:p>
        </w:tc>
        <w:tc>
          <w:tcPr>
            <w:tcW w:w="1158" w:type="pct"/>
            <w:shd w:val="clear" w:color="auto" w:fill="auto"/>
          </w:tcPr>
          <w:p w14:paraId="77AAE3B6"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-23</w:t>
            </w:r>
          </w:p>
          <w:p w14:paraId="71EEA869"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(n=46)</w:t>
            </w:r>
          </w:p>
        </w:tc>
        <w:tc>
          <w:tcPr>
            <w:tcW w:w="1155" w:type="pct"/>
            <w:shd w:val="clear" w:color="auto" w:fill="auto"/>
          </w:tcPr>
          <w:p w14:paraId="6BBFC88A"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-24</w:t>
            </w:r>
          </w:p>
          <w:p w14:paraId="377D54D6"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(n=30)</w:t>
            </w:r>
          </w:p>
        </w:tc>
      </w:tr>
      <w:tr w:rsidR="003F23BC" w:rsidRPr="006F02BE" w14:paraId="572E985A" w14:textId="77777777" w:rsidTr="0003559F">
        <w:tc>
          <w:tcPr>
            <w:tcW w:w="1530" w:type="pct"/>
            <w:shd w:val="clear" w:color="auto" w:fill="auto"/>
          </w:tcPr>
          <w:p w14:paraId="6AA76E74" w14:textId="77777777" w:rsidR="003F23BC" w:rsidRPr="0003559F" w:rsidRDefault="003F23BC" w:rsidP="003D6A86">
            <w:pPr>
              <w:adjustRightInd w:val="0"/>
              <w:spacing w:before="20" w:after="20"/>
              <w:ind w:left="337"/>
              <w:jc w:val="center"/>
              <w:rPr>
                <w:rFonts w:cs="Arial"/>
                <w:sz w:val="16"/>
                <w:szCs w:val="16"/>
              </w:rPr>
            </w:pPr>
            <w:r w:rsidRPr="0003559F">
              <w:rPr>
                <w:rFonts w:cs="Arial"/>
                <w:sz w:val="16"/>
                <w:szCs w:val="16"/>
              </w:rPr>
              <w:t>Non-apheresis</w:t>
            </w:r>
          </w:p>
          <w:p w14:paraId="3445411E" w14:textId="77777777" w:rsidR="003F23BC" w:rsidRPr="0003559F" w:rsidRDefault="003F23BC" w:rsidP="003D6A86">
            <w:pPr>
              <w:adjustRightInd w:val="0"/>
              <w:spacing w:before="20" w:after="20"/>
              <w:ind w:left="337"/>
              <w:jc w:val="center"/>
              <w:rPr>
                <w:rFonts w:cs="Arial"/>
                <w:sz w:val="16"/>
                <w:szCs w:val="16"/>
              </w:rPr>
            </w:pPr>
            <w:r w:rsidRPr="0003559F">
              <w:rPr>
                <w:rFonts w:cs="Arial"/>
                <w:sz w:val="16"/>
                <w:szCs w:val="16"/>
              </w:rPr>
              <w:t>(N=65)</w:t>
            </w:r>
          </w:p>
        </w:tc>
        <w:tc>
          <w:tcPr>
            <w:tcW w:w="1158" w:type="pct"/>
            <w:shd w:val="clear" w:color="auto" w:fill="auto"/>
          </w:tcPr>
          <w:p w14:paraId="5FDFE1BB"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-22</w:t>
            </w:r>
          </w:p>
          <w:p w14:paraId="2AE3A7DD"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(n=46)</w:t>
            </w:r>
          </w:p>
        </w:tc>
        <w:tc>
          <w:tcPr>
            <w:tcW w:w="1158" w:type="pct"/>
            <w:shd w:val="clear" w:color="auto" w:fill="auto"/>
          </w:tcPr>
          <w:p w14:paraId="7AAB9675"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-24</w:t>
            </w:r>
          </w:p>
          <w:p w14:paraId="23B80A28"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(n=33)</w:t>
            </w:r>
          </w:p>
        </w:tc>
        <w:tc>
          <w:tcPr>
            <w:tcW w:w="1155" w:type="pct"/>
            <w:shd w:val="clear" w:color="auto" w:fill="auto"/>
          </w:tcPr>
          <w:p w14:paraId="666A598D"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-24</w:t>
            </w:r>
          </w:p>
          <w:p w14:paraId="18FA58D5"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(n=27)</w:t>
            </w:r>
          </w:p>
        </w:tc>
      </w:tr>
      <w:tr w:rsidR="003F23BC" w:rsidRPr="006F02BE" w14:paraId="1944FF1F" w14:textId="77777777" w:rsidTr="0003559F">
        <w:tc>
          <w:tcPr>
            <w:tcW w:w="1530" w:type="pct"/>
            <w:shd w:val="clear" w:color="auto" w:fill="auto"/>
          </w:tcPr>
          <w:p w14:paraId="31979EA5" w14:textId="77777777" w:rsidR="003F23BC" w:rsidRPr="0003559F" w:rsidRDefault="003F23BC" w:rsidP="003D6A86">
            <w:pPr>
              <w:adjustRightInd w:val="0"/>
              <w:spacing w:before="20" w:after="20"/>
              <w:ind w:left="337"/>
              <w:jc w:val="center"/>
              <w:rPr>
                <w:rFonts w:cs="Arial"/>
                <w:sz w:val="16"/>
                <w:szCs w:val="16"/>
              </w:rPr>
            </w:pPr>
            <w:r w:rsidRPr="0003559F">
              <w:rPr>
                <w:rFonts w:cs="Arial"/>
                <w:sz w:val="16"/>
                <w:szCs w:val="16"/>
              </w:rPr>
              <w:t>Apheresis</w:t>
            </w:r>
          </w:p>
          <w:p w14:paraId="20ADF3A3" w14:textId="77777777" w:rsidR="003F23BC" w:rsidRPr="0003559F" w:rsidRDefault="003F23BC" w:rsidP="003D6A86">
            <w:pPr>
              <w:adjustRightInd w:val="0"/>
              <w:spacing w:before="20" w:after="20"/>
              <w:ind w:left="337"/>
              <w:jc w:val="center"/>
              <w:rPr>
                <w:rFonts w:cs="Arial"/>
                <w:sz w:val="16"/>
                <w:szCs w:val="16"/>
              </w:rPr>
            </w:pPr>
            <w:r w:rsidRPr="0003559F">
              <w:rPr>
                <w:rFonts w:cs="Arial"/>
                <w:sz w:val="16"/>
                <w:szCs w:val="16"/>
              </w:rPr>
              <w:t>(N=31)</w:t>
            </w:r>
          </w:p>
        </w:tc>
        <w:tc>
          <w:tcPr>
            <w:tcW w:w="1158" w:type="pct"/>
            <w:shd w:val="clear" w:color="auto" w:fill="auto"/>
          </w:tcPr>
          <w:p w14:paraId="4C6889EF"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-17</w:t>
            </w:r>
          </w:p>
          <w:p w14:paraId="618067DE"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(n=24)</w:t>
            </w:r>
          </w:p>
        </w:tc>
        <w:tc>
          <w:tcPr>
            <w:tcW w:w="1158" w:type="pct"/>
            <w:shd w:val="clear" w:color="auto" w:fill="auto"/>
          </w:tcPr>
          <w:p w14:paraId="161DABE2"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-20</w:t>
            </w:r>
          </w:p>
          <w:p w14:paraId="0B57B6BA"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(n=13)</w:t>
            </w:r>
          </w:p>
        </w:tc>
        <w:tc>
          <w:tcPr>
            <w:tcW w:w="1155" w:type="pct"/>
            <w:shd w:val="clear" w:color="auto" w:fill="auto"/>
          </w:tcPr>
          <w:p w14:paraId="3F09A4D5"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-21</w:t>
            </w:r>
          </w:p>
          <w:p w14:paraId="7005601C" w14:textId="77777777" w:rsidR="003F23BC" w:rsidRPr="0003559F" w:rsidRDefault="003F23BC" w:rsidP="003D6A86">
            <w:pPr>
              <w:adjustRightInd w:val="0"/>
              <w:spacing w:before="20" w:after="20"/>
              <w:jc w:val="center"/>
              <w:rPr>
                <w:rFonts w:cs="Arial"/>
                <w:sz w:val="16"/>
                <w:szCs w:val="16"/>
              </w:rPr>
            </w:pPr>
            <w:r w:rsidRPr="0003559F">
              <w:rPr>
                <w:rFonts w:cs="Arial"/>
                <w:sz w:val="16"/>
                <w:szCs w:val="16"/>
              </w:rPr>
              <w:t>(n=3)</w:t>
            </w:r>
          </w:p>
        </w:tc>
      </w:tr>
    </w:tbl>
    <w:p w14:paraId="06FBFFF0" w14:textId="77777777" w:rsidR="006E5083" w:rsidRDefault="003F23BC" w:rsidP="000A28CB">
      <w:pPr>
        <w:spacing w:after="240"/>
        <w:rPr>
          <w:sz w:val="18"/>
          <w:szCs w:val="18"/>
        </w:rPr>
      </w:pPr>
      <w:r w:rsidRPr="00F54E61">
        <w:rPr>
          <w:rFonts w:cs="Arial"/>
          <w:sz w:val="18"/>
          <w:szCs w:val="18"/>
        </w:rPr>
        <w:t>OLE = open-label extension</w:t>
      </w:r>
      <w:r w:rsidRPr="00F54E61">
        <w:rPr>
          <w:sz w:val="18"/>
          <w:szCs w:val="18"/>
        </w:rPr>
        <w:t xml:space="preserve"> </w:t>
      </w:r>
      <w:r w:rsidR="003D6A86" w:rsidRPr="00F54E61">
        <w:rPr>
          <w:sz w:val="18"/>
          <w:szCs w:val="18"/>
        </w:rPr>
        <w:t xml:space="preserve"> </w:t>
      </w:r>
      <w:r w:rsidRPr="00F54E61">
        <w:rPr>
          <w:sz w:val="18"/>
          <w:szCs w:val="18"/>
        </w:rPr>
        <w:t>N (n) = Number of evaluable patients (N) and patients with observed LDL values at specific schedule visit (n) in the HoFH Interim Analysis Set (overall, non</w:t>
      </w:r>
      <w:r w:rsidRPr="00F54E61">
        <w:rPr>
          <w:sz w:val="18"/>
          <w:szCs w:val="18"/>
        </w:rPr>
        <w:noBreakHyphen/>
        <w:t>apheresis, and apheresis)</w:t>
      </w:r>
      <w:r w:rsidR="00F54E61">
        <w:rPr>
          <w:sz w:val="18"/>
          <w:szCs w:val="18"/>
        </w:rPr>
        <w:t>.</w:t>
      </w:r>
    </w:p>
    <w:p w14:paraId="673D59A5" w14:textId="28894724" w:rsidR="007D3C6A" w:rsidRDefault="007D3C6A" w:rsidP="002813FC">
      <w:pPr>
        <w:pStyle w:val="PI-MainHeader"/>
      </w:pPr>
      <w:r>
        <w:t>INDICATIONS</w:t>
      </w:r>
    </w:p>
    <w:p w14:paraId="37A4FBAA" w14:textId="77777777" w:rsidR="00BE337A" w:rsidRPr="00FF4149" w:rsidRDefault="00DA265F" w:rsidP="002813FC">
      <w:pPr>
        <w:pStyle w:val="PI-text"/>
      </w:pPr>
      <w:r>
        <w:t>Repatha</w:t>
      </w:r>
      <w:r w:rsidR="00BE337A" w:rsidRPr="00BE337A">
        <w:t xml:space="preserve"> </w:t>
      </w:r>
      <w:r w:rsidR="00E06252">
        <w:t xml:space="preserve">is indicated </w:t>
      </w:r>
      <w:r w:rsidR="00BE337A" w:rsidRPr="00BE337A">
        <w:t xml:space="preserve">as an adjunct to diet and exercise </w:t>
      </w:r>
      <w:r w:rsidR="00E06252">
        <w:t>in:</w:t>
      </w:r>
    </w:p>
    <w:p w14:paraId="4F5771BD" w14:textId="77777777" w:rsidR="00A20544" w:rsidRDefault="00A20544" w:rsidP="00A20544">
      <w:pPr>
        <w:spacing w:before="120" w:after="120" w:line="360" w:lineRule="auto"/>
        <w:rPr>
          <w:b/>
          <w:u w:val="single"/>
        </w:rPr>
      </w:pPr>
      <w:r w:rsidRPr="00827208">
        <w:rPr>
          <w:b/>
          <w:u w:val="single"/>
        </w:rPr>
        <w:t>Prevention of Cardiovascular Events</w:t>
      </w:r>
    </w:p>
    <w:p w14:paraId="68B3365A" w14:textId="38404F56" w:rsidR="008240C6" w:rsidRDefault="00A20544" w:rsidP="00AB74AB">
      <w:pPr>
        <w:pStyle w:val="PI-text"/>
      </w:pPr>
      <w:r w:rsidRPr="00AB74AB">
        <w:t xml:space="preserve">REPATHA is indicated to reduce the risk of cardiovascular events </w:t>
      </w:r>
      <w:r w:rsidR="00E55C35">
        <w:t xml:space="preserve">(myocardial infarction, stroke and coronary revascularisation) </w:t>
      </w:r>
      <w:r w:rsidRPr="00AB74AB">
        <w:t xml:space="preserve">in </w:t>
      </w:r>
      <w:r w:rsidR="008D34FB" w:rsidRPr="00AB74AB">
        <w:t>adults</w:t>
      </w:r>
      <w:r w:rsidRPr="00AB74AB">
        <w:t xml:space="preserve"> with </w:t>
      </w:r>
      <w:r w:rsidR="008D34FB" w:rsidRPr="00AB74AB">
        <w:t>established</w:t>
      </w:r>
      <w:r w:rsidRPr="00AB74AB">
        <w:t xml:space="preserve"> cardiovascular disease</w:t>
      </w:r>
      <w:r w:rsidR="008D34FB" w:rsidRPr="00AB74AB">
        <w:t xml:space="preserve"> in combination with a</w:t>
      </w:r>
      <w:r w:rsidR="00E55C35">
        <w:t>n optimally dosed</w:t>
      </w:r>
      <w:r w:rsidR="008D34FB" w:rsidRPr="00AB74AB">
        <w:t xml:space="preserve"> statin and/or other lipid-lowering therapies (see CLINICAL TRIALS).</w:t>
      </w:r>
    </w:p>
    <w:p w14:paraId="2AF2D2F8" w14:textId="11F71FA9" w:rsidR="00EE22A2" w:rsidRPr="003D3BBC" w:rsidRDefault="00D93A07" w:rsidP="002813FC">
      <w:pPr>
        <w:pStyle w:val="PI-text"/>
        <w:rPr>
          <w:rFonts w:cs="Times New Roman"/>
          <w:b/>
          <w:szCs w:val="20"/>
          <w:u w:val="single"/>
          <w:lang w:val="en-US"/>
        </w:rPr>
      </w:pPr>
      <w:r w:rsidRPr="003D3BBC">
        <w:rPr>
          <w:rFonts w:cs="Times New Roman"/>
          <w:b/>
          <w:szCs w:val="20"/>
          <w:u w:val="single"/>
          <w:lang w:val="en-US"/>
        </w:rPr>
        <w:t xml:space="preserve">Primary </w:t>
      </w:r>
      <w:r w:rsidR="005C4645" w:rsidRPr="003D3BBC">
        <w:rPr>
          <w:rFonts w:cs="Times New Roman"/>
          <w:b/>
          <w:szCs w:val="20"/>
          <w:u w:val="single"/>
          <w:lang w:val="en-US"/>
        </w:rPr>
        <w:t>h</w:t>
      </w:r>
      <w:r w:rsidR="0027632E" w:rsidRPr="003D3BBC">
        <w:rPr>
          <w:rFonts w:cs="Times New Roman"/>
          <w:b/>
          <w:szCs w:val="20"/>
          <w:u w:val="single"/>
          <w:lang w:val="en-US"/>
        </w:rPr>
        <w:t>ypercholesterolaemia</w:t>
      </w:r>
      <w:r w:rsidR="00FC0B74" w:rsidRPr="003D3BBC">
        <w:rPr>
          <w:rFonts w:cs="Times New Roman"/>
          <w:b/>
          <w:szCs w:val="20"/>
          <w:u w:val="single"/>
          <w:lang w:val="en-US"/>
        </w:rPr>
        <w:t xml:space="preserve"> </w:t>
      </w:r>
    </w:p>
    <w:p w14:paraId="40943296" w14:textId="2AE03C83" w:rsidR="008D34FB" w:rsidRDefault="00B31D88" w:rsidP="008D34FB">
      <w:pPr>
        <w:pStyle w:val="PI-text"/>
      </w:pPr>
      <w:r w:rsidRPr="003D3BBC">
        <w:t xml:space="preserve">REPATHA is indicated in adults with </w:t>
      </w:r>
      <w:r w:rsidR="00D93A07" w:rsidRPr="003D3BBC">
        <w:t xml:space="preserve">primary </w:t>
      </w:r>
      <w:r w:rsidRPr="003D3BBC">
        <w:t>hypercholesterolaemia</w:t>
      </w:r>
      <w:r w:rsidR="00F76337" w:rsidRPr="003D3BBC">
        <w:t xml:space="preserve"> (including heterozygous familial hypercholesterolaemia</w:t>
      </w:r>
      <w:r w:rsidR="00D93A07" w:rsidRPr="003D3BBC">
        <w:t xml:space="preserve"> and </w:t>
      </w:r>
      <w:r w:rsidR="00D93A07" w:rsidRPr="003D3BBC">
        <w:rPr>
          <w:bCs/>
          <w:iCs/>
        </w:rPr>
        <w:t xml:space="preserve">non-familial </w:t>
      </w:r>
      <w:r w:rsidR="00CA5C20" w:rsidRPr="003D3BBC">
        <w:rPr>
          <w:bCs/>
          <w:iCs/>
        </w:rPr>
        <w:t>hypercholesterolaemia</w:t>
      </w:r>
      <w:r w:rsidR="00CA5C20" w:rsidRPr="003D3BBC">
        <w:t>)</w:t>
      </w:r>
      <w:r w:rsidRPr="003D3BBC">
        <w:t xml:space="preserve"> to reduce</w:t>
      </w:r>
      <w:r w:rsidRPr="00E43516">
        <w:t xml:space="preserve"> low-density lipoprotein cholesterol (LDL-C)</w:t>
      </w:r>
      <w:r w:rsidR="008D34FB">
        <w:t>:</w:t>
      </w:r>
    </w:p>
    <w:p w14:paraId="10656AB4" w14:textId="77777777" w:rsidR="008D34FB" w:rsidRPr="008D34FB" w:rsidRDefault="008D34FB" w:rsidP="008D34FB">
      <w:pPr>
        <w:pStyle w:val="PItextbullet"/>
      </w:pPr>
      <w:r w:rsidRPr="008D34FB">
        <w:t xml:space="preserve">in combination with a statin or statin with other lipid lowering therapies, or </w:t>
      </w:r>
    </w:p>
    <w:p w14:paraId="1DBB3670" w14:textId="77777777" w:rsidR="00B31D88" w:rsidRPr="008D34FB" w:rsidRDefault="008D34FB" w:rsidP="008D34FB">
      <w:pPr>
        <w:pStyle w:val="PItextbullet"/>
      </w:pPr>
      <w:r w:rsidRPr="008D34FB">
        <w:t>alone or in combination with other lipid-lowering therapies in patients who are statin-intolerant</w:t>
      </w:r>
      <w:r w:rsidR="00B31D88" w:rsidRPr="008D34FB">
        <w:t>.</w:t>
      </w:r>
    </w:p>
    <w:p w14:paraId="32241F42" w14:textId="77777777" w:rsidR="00FC0B74" w:rsidRDefault="00FC0B74" w:rsidP="00E43516">
      <w:pPr>
        <w:pStyle w:val="PI-UnderlinedSubHeader"/>
      </w:pPr>
      <w:r w:rsidRPr="00FC0B74">
        <w:t xml:space="preserve">Homozygous </w:t>
      </w:r>
      <w:r w:rsidR="005E418B">
        <w:t>f</w:t>
      </w:r>
      <w:r w:rsidRPr="00FC0B74">
        <w:t xml:space="preserve">amilial </w:t>
      </w:r>
      <w:r w:rsidR="005E418B">
        <w:t>h</w:t>
      </w:r>
      <w:r w:rsidR="00983361">
        <w:t>ypercholesterolaemia</w:t>
      </w:r>
    </w:p>
    <w:p w14:paraId="2ED00623" w14:textId="77777777" w:rsidR="00A70F38" w:rsidRDefault="00773149" w:rsidP="00E43516">
      <w:pPr>
        <w:spacing w:before="120" w:after="120" w:line="360" w:lineRule="auto"/>
      </w:pPr>
      <w:r>
        <w:t>Repatha</w:t>
      </w:r>
      <w:r w:rsidR="00BE337A" w:rsidRPr="00BE337A">
        <w:t xml:space="preserve"> is indicated in </w:t>
      </w:r>
      <w:r w:rsidR="00BD3062">
        <w:t xml:space="preserve">adults and adolescents aged 12 years and over </w:t>
      </w:r>
      <w:r w:rsidR="00BE337A" w:rsidRPr="00BE337A">
        <w:t>with homozygous familial hypercholesterolaemia in combination with other lipid lowering therapies.</w:t>
      </w:r>
    </w:p>
    <w:p w14:paraId="7D883A69" w14:textId="77777777" w:rsidR="007D3C6A" w:rsidRDefault="007D3C6A" w:rsidP="00A70F38">
      <w:pPr>
        <w:pStyle w:val="PI-MainHeader"/>
      </w:pPr>
      <w:r>
        <w:lastRenderedPageBreak/>
        <w:t>CONTRAINDICATIONS</w:t>
      </w:r>
    </w:p>
    <w:p w14:paraId="6E35DC35" w14:textId="77777777" w:rsidR="0011776F" w:rsidRPr="00AA4FF6" w:rsidRDefault="0011776F" w:rsidP="0011776F">
      <w:pPr>
        <w:pStyle w:val="Text"/>
        <w:ind w:right="113"/>
        <w:rPr>
          <w:rFonts w:cs="Arial"/>
          <w:snapToGrid w:val="0"/>
          <w:szCs w:val="22"/>
        </w:rPr>
      </w:pPr>
      <w:r w:rsidRPr="00AA4FF6">
        <w:rPr>
          <w:rFonts w:cs="Arial"/>
          <w:snapToGrid w:val="0"/>
          <w:szCs w:val="22"/>
        </w:rPr>
        <w:t>Known hypersensitivity to evolocumab or any of the excipients found in Repatha</w:t>
      </w:r>
      <w:r w:rsidR="00D25910" w:rsidRPr="00AA4FF6">
        <w:rPr>
          <w:rFonts w:cs="Arial"/>
          <w:snapToGrid w:val="0"/>
          <w:szCs w:val="22"/>
        </w:rPr>
        <w:t>.</w:t>
      </w:r>
    </w:p>
    <w:p w14:paraId="234DC615" w14:textId="77777777" w:rsidR="007D3C6A" w:rsidRDefault="007D3C6A" w:rsidP="002813FC">
      <w:pPr>
        <w:pStyle w:val="PI-MainHeader"/>
      </w:pPr>
      <w:r>
        <w:t>PRECAUTIONS</w:t>
      </w:r>
    </w:p>
    <w:p w14:paraId="79B4CB99" w14:textId="77777777" w:rsidR="00236D56" w:rsidRPr="00360360" w:rsidDel="00BB3BCE" w:rsidRDefault="00236D56" w:rsidP="00236D56">
      <w:pPr>
        <w:pStyle w:val="PI-UnderlinedSubHeader"/>
      </w:pPr>
      <w:r w:rsidRPr="00360360" w:rsidDel="00BB3BCE">
        <w:t>Allergic Reactions</w:t>
      </w:r>
    </w:p>
    <w:p w14:paraId="27F3A0B9" w14:textId="77777777" w:rsidR="00236D56" w:rsidRPr="00EB3A24" w:rsidDel="00BB5C8F" w:rsidRDefault="00236D56" w:rsidP="00EB3A24">
      <w:pPr>
        <w:spacing w:before="120" w:after="120" w:line="360" w:lineRule="auto"/>
        <w:rPr>
          <w:rFonts w:cs="Arial"/>
          <w:szCs w:val="22"/>
          <w:lang w:val="en-GB"/>
        </w:rPr>
      </w:pPr>
      <w:r w:rsidRPr="00EB3A24" w:rsidDel="00BB3BCE">
        <w:rPr>
          <w:rFonts w:cs="Arial"/>
          <w:szCs w:val="22"/>
          <w:lang w:val="en-GB"/>
        </w:rPr>
        <w:t xml:space="preserve">Hypersensitivity reactions (e.g., rash, urticaria) have been reported in patients treated with </w:t>
      </w:r>
      <w:r w:rsidRPr="00EB3A24" w:rsidDel="00472D29">
        <w:rPr>
          <w:rFonts w:cs="Arial"/>
          <w:szCs w:val="22"/>
          <w:lang w:val="en-GB"/>
        </w:rPr>
        <w:t>R</w:t>
      </w:r>
      <w:r w:rsidRPr="00EB3A24">
        <w:rPr>
          <w:rFonts w:cs="Arial"/>
          <w:szCs w:val="22"/>
          <w:lang w:val="en-GB"/>
        </w:rPr>
        <w:t>ep</w:t>
      </w:r>
      <w:r w:rsidR="005A0A21" w:rsidRPr="00EB3A24">
        <w:rPr>
          <w:rFonts w:cs="Arial"/>
          <w:szCs w:val="22"/>
          <w:lang w:val="en-GB"/>
        </w:rPr>
        <w:t>a</w:t>
      </w:r>
      <w:r w:rsidRPr="00EB3A24">
        <w:rPr>
          <w:rFonts w:cs="Arial"/>
          <w:szCs w:val="22"/>
          <w:lang w:val="en-GB"/>
        </w:rPr>
        <w:t>tha, including some that led to discontinuation of therapy</w:t>
      </w:r>
      <w:r w:rsidRPr="00EB3A24" w:rsidDel="00BB3BCE">
        <w:rPr>
          <w:rFonts w:cs="Arial"/>
          <w:szCs w:val="22"/>
          <w:lang w:val="en-GB"/>
        </w:rPr>
        <w:t>.</w:t>
      </w:r>
      <w:r w:rsidRPr="00EB3A24">
        <w:rPr>
          <w:rFonts w:cs="Arial"/>
          <w:szCs w:val="22"/>
          <w:lang w:val="en-GB"/>
        </w:rPr>
        <w:t xml:space="preserve"> </w:t>
      </w:r>
      <w:r w:rsidR="00EB3A24">
        <w:rPr>
          <w:rFonts w:cs="Arial"/>
          <w:szCs w:val="22"/>
          <w:lang w:val="en-GB"/>
        </w:rPr>
        <w:t xml:space="preserve"> </w:t>
      </w:r>
      <w:r w:rsidRPr="00EB3A24" w:rsidDel="00BB3BCE">
        <w:rPr>
          <w:rFonts w:cs="Arial"/>
          <w:szCs w:val="22"/>
          <w:lang w:val="en-GB"/>
        </w:rPr>
        <w:t xml:space="preserve">If signs or symptoms of serious allergic reactions occur, discontinue treatment with </w:t>
      </w:r>
      <w:r w:rsidRPr="00EB3A24" w:rsidDel="00472D29">
        <w:rPr>
          <w:rFonts w:cs="Arial"/>
          <w:szCs w:val="22"/>
          <w:lang w:val="en-GB"/>
        </w:rPr>
        <w:t>R</w:t>
      </w:r>
      <w:r w:rsidRPr="00EB3A24">
        <w:rPr>
          <w:rFonts w:cs="Arial"/>
          <w:szCs w:val="22"/>
          <w:lang w:val="en-GB"/>
        </w:rPr>
        <w:t>epatha</w:t>
      </w:r>
      <w:r w:rsidRPr="00EB3A24" w:rsidDel="00BB3BCE">
        <w:rPr>
          <w:rFonts w:cs="Arial"/>
          <w:szCs w:val="22"/>
          <w:lang w:val="en-GB"/>
        </w:rPr>
        <w:t>, treat according to the standard of care, and monitor until signs and symptoms resolve.</w:t>
      </w:r>
    </w:p>
    <w:p w14:paraId="4869A1AA" w14:textId="77777777" w:rsidR="00EE22A2" w:rsidRDefault="00EE22A2" w:rsidP="00EE22A2">
      <w:pPr>
        <w:pStyle w:val="PI-UnderlinedSubHeader"/>
      </w:pPr>
      <w:r>
        <w:t>Concomitant lipid-lowering therapies</w:t>
      </w:r>
    </w:p>
    <w:p w14:paraId="176BC30A" w14:textId="77777777" w:rsidR="00EE22A2" w:rsidRDefault="00EE22A2" w:rsidP="00EE22A2">
      <w:pPr>
        <w:pStyle w:val="PI-text"/>
      </w:pPr>
      <w:r w:rsidRPr="0001361D">
        <w:t>When using Repatha in combination with statins or other lipid-lowering therapies (e.g., ezetimibe), the prescriber should refer to the Contraindications and Precautions sections of the prescribing information for those medications</w:t>
      </w:r>
      <w:r>
        <w:t>.</w:t>
      </w:r>
    </w:p>
    <w:p w14:paraId="1C2606AA" w14:textId="77777777" w:rsidR="001C3025" w:rsidRPr="006771F4" w:rsidRDefault="001C3025" w:rsidP="001C3025">
      <w:pPr>
        <w:pStyle w:val="PI-text"/>
        <w:rPr>
          <w:rFonts w:cs="Times New Roman"/>
          <w:b/>
          <w:szCs w:val="20"/>
          <w:u w:val="single"/>
          <w:lang w:val="en-AU"/>
        </w:rPr>
      </w:pPr>
      <w:r w:rsidRPr="006771F4">
        <w:rPr>
          <w:rFonts w:cs="Times New Roman"/>
          <w:b/>
          <w:szCs w:val="20"/>
          <w:u w:val="single"/>
          <w:lang w:val="en-AU"/>
        </w:rPr>
        <w:t>Low LDL-C levels</w:t>
      </w:r>
    </w:p>
    <w:p w14:paraId="79DA6BCA" w14:textId="77777777" w:rsidR="001C3025" w:rsidRDefault="001C3025" w:rsidP="001C3025">
      <w:pPr>
        <w:pStyle w:val="PI-text"/>
      </w:pPr>
      <w:r>
        <w:t>Although adverse consequences of very low LDL-C were not identified in the clinical trials with an average exposure of 2 years, the long term effects of very low levels of LDL-C induced by Repatha are unknown.</w:t>
      </w:r>
    </w:p>
    <w:p w14:paraId="4B6621E3" w14:textId="77777777" w:rsidR="00EE22A2" w:rsidRDefault="00EE22A2" w:rsidP="00EE22A2">
      <w:pPr>
        <w:pStyle w:val="PI-UnderlinedSubHeader"/>
      </w:pPr>
      <w:r>
        <w:t>Immunogenicity</w:t>
      </w:r>
    </w:p>
    <w:p w14:paraId="282EE4E5" w14:textId="77777777" w:rsidR="00EE22A2" w:rsidRDefault="00DD497B" w:rsidP="00DD497B">
      <w:pPr>
        <w:pStyle w:val="PI-text"/>
      </w:pPr>
      <w:r w:rsidRPr="00DD497B">
        <w:t>In clinical studies, 48 patients (0.3%)</w:t>
      </w:r>
      <w:r>
        <w:t xml:space="preserve"> </w:t>
      </w:r>
      <w:r w:rsidRPr="00DD497B">
        <w:t>out of 17,992 patients treated with at least one dose of Repatha tested</w:t>
      </w:r>
      <w:r>
        <w:t xml:space="preserve"> </w:t>
      </w:r>
      <w:r w:rsidRPr="00DD497B">
        <w:t>positive for the development of anti-evolocumab binding antibodies.</w:t>
      </w:r>
      <w:r w:rsidR="00EE22A2">
        <w:t xml:space="preserve"> </w:t>
      </w:r>
      <w:r w:rsidR="00EE22A2" w:rsidRPr="006D115B">
        <w:t xml:space="preserve"> The patients whose sera tested positive for binding antibodies were further evaluated for neutrali</w:t>
      </w:r>
      <w:r w:rsidR="00EE22A2">
        <w:t>s</w:t>
      </w:r>
      <w:r w:rsidR="00EE22A2" w:rsidRPr="006D115B">
        <w:t>ing antibodies and none of the patients tested positive for neutrali</w:t>
      </w:r>
      <w:r w:rsidR="00EE22A2">
        <w:t>s</w:t>
      </w:r>
      <w:r w:rsidR="00EE22A2" w:rsidRPr="006D115B">
        <w:t>ing antibodies.</w:t>
      </w:r>
      <w:r w:rsidR="00EE22A2">
        <w:t xml:space="preserve">  </w:t>
      </w:r>
      <w:r w:rsidR="00EE22A2" w:rsidRPr="00825800">
        <w:t>The presence of anti-evolocumab binding antibodies did not impact the pharmacokinetic profile, clinical response, or safety of evolocumab.</w:t>
      </w:r>
    </w:p>
    <w:p w14:paraId="2A100075" w14:textId="77777777" w:rsidR="004B448E" w:rsidRPr="00AE2266" w:rsidRDefault="004B448E" w:rsidP="002813FC">
      <w:pPr>
        <w:pStyle w:val="PI-UnderlinedSubHeader"/>
        <w:rPr>
          <w:snapToGrid w:val="0"/>
        </w:rPr>
      </w:pPr>
      <w:r w:rsidRPr="00AE2266">
        <w:rPr>
          <w:snapToGrid w:val="0"/>
        </w:rPr>
        <w:t xml:space="preserve">Effects on </w:t>
      </w:r>
      <w:r w:rsidR="005E418B">
        <w:rPr>
          <w:snapToGrid w:val="0"/>
        </w:rPr>
        <w:t>f</w:t>
      </w:r>
      <w:r w:rsidRPr="00AE2266">
        <w:rPr>
          <w:snapToGrid w:val="0"/>
        </w:rPr>
        <w:t>ertility</w:t>
      </w:r>
    </w:p>
    <w:p w14:paraId="42EE451F" w14:textId="77777777" w:rsidR="004B448E" w:rsidRDefault="00D53795" w:rsidP="002813FC">
      <w:pPr>
        <w:pStyle w:val="PI-text"/>
      </w:pPr>
      <w:r>
        <w:t xml:space="preserve">No data are available on the effect of </w:t>
      </w:r>
      <w:r w:rsidR="00BD6730">
        <w:t>Repatha</w:t>
      </w:r>
      <w:r>
        <w:t xml:space="preserve"> on human fertility.</w:t>
      </w:r>
      <w:r w:rsidR="00AA4FF6">
        <w:t xml:space="preserve"> </w:t>
      </w:r>
      <w:r>
        <w:t xml:space="preserve"> </w:t>
      </w:r>
      <w:r w:rsidR="00E109D1">
        <w:t xml:space="preserve">In hamsters, there was no effect on male or female fertility (including </w:t>
      </w:r>
      <w:r w:rsidR="009004B6">
        <w:t>o</w:t>
      </w:r>
      <w:r w:rsidR="00E109D1">
        <w:t>estr</w:t>
      </w:r>
      <w:r w:rsidR="009004B6">
        <w:t>o</w:t>
      </w:r>
      <w:r w:rsidR="00E109D1">
        <w:t xml:space="preserve">us cycling, sperm analysis, mating performance and embryonic development) when </w:t>
      </w:r>
      <w:r w:rsidR="00EC2D92">
        <w:t>evolocumab</w:t>
      </w:r>
      <w:r w:rsidR="00E109D1">
        <w:t xml:space="preserve"> was administered </w:t>
      </w:r>
      <w:r w:rsidR="00D636F6">
        <w:t xml:space="preserve">at </w:t>
      </w:r>
      <w:r w:rsidR="00D636F6" w:rsidRPr="00D636F6">
        <w:t>dose levels up to 100 mg/kg every 2 weeks</w:t>
      </w:r>
      <w:r w:rsidR="00D636F6">
        <w:t xml:space="preserve"> (</w:t>
      </w:r>
      <w:r w:rsidR="00E109D1">
        <w:t xml:space="preserve">AUC exposure </w:t>
      </w:r>
      <w:r w:rsidR="00EC2D92">
        <w:t xml:space="preserve">estimate </w:t>
      </w:r>
      <w:r w:rsidR="006D48CC">
        <w:t>7</w:t>
      </w:r>
      <w:r w:rsidR="00E109D1">
        <w:t xml:space="preserve">-fold higher than in patients receiving </w:t>
      </w:r>
      <w:r w:rsidR="00BD6730">
        <w:t>Repatha</w:t>
      </w:r>
      <w:r w:rsidR="00E109D1">
        <w:t xml:space="preserve"> at 420 mg </w:t>
      </w:r>
      <w:r w:rsidR="00A422A4">
        <w:t>once every 2 weeks</w:t>
      </w:r>
      <w:r w:rsidR="00D636F6">
        <w:t>)</w:t>
      </w:r>
      <w:r w:rsidR="00E109D1">
        <w:t>.</w:t>
      </w:r>
      <w:r w:rsidR="00AA4FF6">
        <w:t xml:space="preserve"> </w:t>
      </w:r>
      <w:r w:rsidR="00E109D1">
        <w:t xml:space="preserve"> In sexually mature cynomolgus monkeys, no effects </w:t>
      </w:r>
      <w:r w:rsidR="00FC0B74">
        <w:t xml:space="preserve">were observed </w:t>
      </w:r>
      <w:r w:rsidR="00E109D1">
        <w:t xml:space="preserve">on reproductive organ histopathology, menstrual cycling, or sperm parameters following administration of </w:t>
      </w:r>
      <w:r w:rsidR="00157430">
        <w:t xml:space="preserve">evolocumab </w:t>
      </w:r>
      <w:r w:rsidR="00E109D1">
        <w:t xml:space="preserve">at </w:t>
      </w:r>
      <w:r w:rsidR="00D636F6" w:rsidRPr="00D636F6">
        <w:t>dose levels up to 300 mg/kg weekly for 6 months (</w:t>
      </w:r>
      <w:r w:rsidR="00E109D1">
        <w:t xml:space="preserve">AUC exposure up to </w:t>
      </w:r>
      <w:r w:rsidR="00A422A4">
        <w:t>133</w:t>
      </w:r>
      <w:r w:rsidR="00E109D1">
        <w:t xml:space="preserve">-fold higher than in patients receiving </w:t>
      </w:r>
      <w:r w:rsidR="00BD6730">
        <w:t>Repatha</w:t>
      </w:r>
      <w:r w:rsidR="00B352D6" w:rsidRPr="009565C7">
        <w:t xml:space="preserve"> </w:t>
      </w:r>
      <w:r w:rsidR="00E109D1">
        <w:t xml:space="preserve">at 420 mg </w:t>
      </w:r>
      <w:r w:rsidR="00A422A4">
        <w:t>once every 2 weeks</w:t>
      </w:r>
      <w:r w:rsidR="00D636F6">
        <w:t>)</w:t>
      </w:r>
      <w:r w:rsidR="00E109D1">
        <w:t>.</w:t>
      </w:r>
    </w:p>
    <w:p w14:paraId="49DE8E14" w14:textId="77777777" w:rsidR="004B448E" w:rsidRPr="00AE2266" w:rsidRDefault="004B448E" w:rsidP="002813FC">
      <w:pPr>
        <w:pStyle w:val="PI-UnderlinedSubHeader"/>
        <w:rPr>
          <w:snapToGrid w:val="0"/>
        </w:rPr>
      </w:pPr>
      <w:r w:rsidRPr="00AE2266">
        <w:rPr>
          <w:snapToGrid w:val="0"/>
        </w:rPr>
        <w:lastRenderedPageBreak/>
        <w:t xml:space="preserve">Use in </w:t>
      </w:r>
      <w:r w:rsidR="005E418B">
        <w:rPr>
          <w:snapToGrid w:val="0"/>
        </w:rPr>
        <w:t>p</w:t>
      </w:r>
      <w:r w:rsidRPr="00AE2266">
        <w:rPr>
          <w:snapToGrid w:val="0"/>
        </w:rPr>
        <w:t>regnancy</w:t>
      </w:r>
    </w:p>
    <w:p w14:paraId="79FD6A9B" w14:textId="77777777" w:rsidR="004B448E" w:rsidRPr="001D0ABB" w:rsidRDefault="004B448E" w:rsidP="002813FC">
      <w:pPr>
        <w:pStyle w:val="PI-subheadernounderline"/>
      </w:pPr>
      <w:r w:rsidRPr="00C57A5F">
        <w:t xml:space="preserve">Pregnancy Category: </w:t>
      </w:r>
      <w:r w:rsidR="001D0ABB">
        <w:t>B1</w:t>
      </w:r>
    </w:p>
    <w:p w14:paraId="09EFB83E" w14:textId="77777777" w:rsidR="001D0ABB" w:rsidRPr="001D0ABB" w:rsidRDefault="001D0ABB" w:rsidP="002813FC">
      <w:pPr>
        <w:pStyle w:val="PI-text"/>
        <w:rPr>
          <w:lang w:eastAsia="en-AU"/>
        </w:rPr>
      </w:pPr>
      <w:r>
        <w:rPr>
          <w:lang w:eastAsia="en-AU"/>
        </w:rPr>
        <w:t xml:space="preserve">Category B1 refers to drugs where animal studies </w:t>
      </w:r>
      <w:r w:rsidRPr="001D0ABB">
        <w:rPr>
          <w:lang w:eastAsia="en-AU"/>
        </w:rPr>
        <w:t>have not shown evidence of an incre</w:t>
      </w:r>
      <w:r>
        <w:rPr>
          <w:lang w:eastAsia="en-AU"/>
        </w:rPr>
        <w:t>ased occurrence of f</w:t>
      </w:r>
      <w:r w:rsidR="009E6497">
        <w:rPr>
          <w:lang w:eastAsia="en-AU"/>
        </w:rPr>
        <w:t>o</w:t>
      </w:r>
      <w:r>
        <w:rPr>
          <w:lang w:eastAsia="en-AU"/>
        </w:rPr>
        <w:t xml:space="preserve">etal damage and </w:t>
      </w:r>
      <w:r w:rsidRPr="001D0ABB">
        <w:rPr>
          <w:lang w:eastAsia="en-AU"/>
        </w:rPr>
        <w:t>which have been taken by only a limited number of pregnant women and women of childbearing age, without an increase in the frequency of malformation or other direct or indirect harmful effects on the human f</w:t>
      </w:r>
      <w:r w:rsidR="009E6497">
        <w:rPr>
          <w:lang w:eastAsia="en-AU"/>
        </w:rPr>
        <w:t>o</w:t>
      </w:r>
      <w:r w:rsidRPr="001D0ABB">
        <w:rPr>
          <w:lang w:eastAsia="en-AU"/>
        </w:rPr>
        <w:t>etus having been observed.</w:t>
      </w:r>
    </w:p>
    <w:p w14:paraId="4C7BE6C8" w14:textId="77777777" w:rsidR="00157430" w:rsidRDefault="00E109D1" w:rsidP="002813FC">
      <w:pPr>
        <w:pStyle w:val="PI-text"/>
        <w:rPr>
          <w:rFonts w:eastAsia="MS Mincho"/>
          <w:lang w:eastAsia="ja-JP"/>
        </w:rPr>
      </w:pPr>
      <w:r w:rsidRPr="004D6674">
        <w:rPr>
          <w:rFonts w:eastAsia="MS Mincho"/>
          <w:lang w:eastAsia="ja-JP"/>
        </w:rPr>
        <w:t xml:space="preserve">In cynomolgus monkeys, no effects on </w:t>
      </w:r>
      <w:r w:rsidRPr="00495C9D">
        <w:rPr>
          <w:rFonts w:eastAsia="MS Mincho"/>
          <w:lang w:eastAsia="ja-JP"/>
        </w:rPr>
        <w:t>embryo-f</w:t>
      </w:r>
      <w:r w:rsidR="009E6497">
        <w:rPr>
          <w:rFonts w:eastAsia="MS Mincho"/>
          <w:lang w:eastAsia="ja-JP"/>
        </w:rPr>
        <w:t>o</w:t>
      </w:r>
      <w:r w:rsidRPr="00495C9D">
        <w:rPr>
          <w:rFonts w:eastAsia="MS Mincho"/>
          <w:lang w:eastAsia="ja-JP"/>
        </w:rPr>
        <w:t>etal or</w:t>
      </w:r>
      <w:r w:rsidRPr="004D6674">
        <w:rPr>
          <w:rFonts w:eastAsia="MS Mincho"/>
          <w:lang w:eastAsia="ja-JP"/>
        </w:rPr>
        <w:t xml:space="preserve"> postnatal development (up to 6 months of age) were observed when </w:t>
      </w:r>
      <w:r w:rsidR="00B16473">
        <w:rPr>
          <w:rFonts w:eastAsia="MS Mincho"/>
          <w:lang w:eastAsia="ja-JP"/>
        </w:rPr>
        <w:t>evolocumab</w:t>
      </w:r>
      <w:r w:rsidRPr="004D6674">
        <w:rPr>
          <w:rFonts w:eastAsia="MS Mincho"/>
          <w:lang w:eastAsia="ja-JP"/>
        </w:rPr>
        <w:t xml:space="preserve"> was </w:t>
      </w:r>
      <w:r>
        <w:rPr>
          <w:rFonts w:eastAsia="MS Mincho"/>
          <w:lang w:eastAsia="ja-JP"/>
        </w:rPr>
        <w:t xml:space="preserve">dosed throughout pregnancy </w:t>
      </w:r>
      <w:r w:rsidRPr="004D6674">
        <w:rPr>
          <w:rFonts w:eastAsia="MS Mincho"/>
          <w:lang w:eastAsia="ja-JP"/>
        </w:rPr>
        <w:t xml:space="preserve">at </w:t>
      </w:r>
      <w:r w:rsidR="00B16473">
        <w:rPr>
          <w:rFonts w:eastAsia="MS Mincho"/>
          <w:lang w:eastAsia="ja-JP"/>
        </w:rPr>
        <w:t xml:space="preserve">AUC </w:t>
      </w:r>
      <w:r w:rsidRPr="004D6674">
        <w:rPr>
          <w:rFonts w:eastAsia="MS Mincho"/>
          <w:lang w:eastAsia="ja-JP"/>
        </w:rPr>
        <w:t xml:space="preserve">exposure levels </w:t>
      </w:r>
      <w:r w:rsidR="006D48CC">
        <w:rPr>
          <w:rFonts w:eastAsia="MS Mincho"/>
          <w:lang w:eastAsia="ja-JP"/>
        </w:rPr>
        <w:t>5</w:t>
      </w:r>
      <w:r w:rsidRPr="004D6674">
        <w:rPr>
          <w:rFonts w:eastAsia="MS Mincho"/>
          <w:lang w:eastAsia="ja-JP"/>
        </w:rPr>
        <w:t xml:space="preserve">-fold higher than those achieved in patients receiving </w:t>
      </w:r>
      <w:r w:rsidR="00BD6730">
        <w:rPr>
          <w:rFonts w:eastAsia="MS Mincho"/>
          <w:lang w:eastAsia="ja-JP"/>
        </w:rPr>
        <w:t>Repatha</w:t>
      </w:r>
      <w:r w:rsidRPr="004D6674">
        <w:rPr>
          <w:rFonts w:eastAsia="MS Mincho"/>
          <w:lang w:eastAsia="ja-JP"/>
        </w:rPr>
        <w:t xml:space="preserve"> 420 mg </w:t>
      </w:r>
      <w:r w:rsidR="00A22AD6">
        <w:rPr>
          <w:rFonts w:eastAsia="MS Mincho"/>
          <w:lang w:eastAsia="ja-JP"/>
        </w:rPr>
        <w:t>once every 2 weeks</w:t>
      </w:r>
      <w:r w:rsidR="00B16473">
        <w:rPr>
          <w:rFonts w:eastAsia="MS Mincho"/>
          <w:lang w:eastAsia="ja-JP"/>
        </w:rPr>
        <w:t>.</w:t>
      </w:r>
    </w:p>
    <w:p w14:paraId="485172B4" w14:textId="77777777" w:rsidR="00E109D1" w:rsidRDefault="00E109D1" w:rsidP="002813FC">
      <w:pPr>
        <w:pStyle w:val="PI-text"/>
      </w:pPr>
      <w:r>
        <w:t>A</w:t>
      </w:r>
      <w:r w:rsidRPr="00CE7DBE">
        <w:t>nimal studies are not alwa</w:t>
      </w:r>
      <w:r w:rsidRPr="004D6674">
        <w:t>ys predictive of human response</w:t>
      </w:r>
      <w:r>
        <w:t xml:space="preserve">. </w:t>
      </w:r>
      <w:r w:rsidR="00AA4FF6">
        <w:t xml:space="preserve"> </w:t>
      </w:r>
      <w:r>
        <w:t>Therefore,</w:t>
      </w:r>
      <w:r w:rsidRPr="00CE7DBE">
        <w:t xml:space="preserve"> it is not known whether </w:t>
      </w:r>
      <w:r w:rsidR="00BD6730">
        <w:t>Repatha</w:t>
      </w:r>
      <w:r w:rsidR="00FB4EC2">
        <w:t xml:space="preserve"> </w:t>
      </w:r>
      <w:r w:rsidRPr="00CE7DBE">
        <w:t xml:space="preserve">can cause </w:t>
      </w:r>
      <w:r w:rsidR="001B75BF">
        <w:t>f</w:t>
      </w:r>
      <w:r w:rsidR="009E6497">
        <w:t>o</w:t>
      </w:r>
      <w:r w:rsidR="00495C9D" w:rsidRPr="00CE7DBE">
        <w:t>etal</w:t>
      </w:r>
      <w:r w:rsidRPr="00CE7DBE">
        <w:t xml:space="preserve"> harm when administered to a pregnant woman</w:t>
      </w:r>
      <w:r>
        <w:t xml:space="preserve"> and </w:t>
      </w:r>
      <w:r w:rsidR="00BD6730">
        <w:t>Repatha</w:t>
      </w:r>
      <w:r w:rsidR="00FB4EC2">
        <w:t xml:space="preserve"> </w:t>
      </w:r>
      <w:r w:rsidRPr="00CC53B9">
        <w:t xml:space="preserve">should be used during pregnancy only if the potential benefit justifies the potential risk to the </w:t>
      </w:r>
      <w:r w:rsidR="001B75BF">
        <w:t>f</w:t>
      </w:r>
      <w:r w:rsidR="009E6497">
        <w:t>o</w:t>
      </w:r>
      <w:r w:rsidR="00495C9D" w:rsidRPr="00CC53B9">
        <w:t>etus</w:t>
      </w:r>
      <w:r w:rsidRPr="00CC53B9">
        <w:t>.</w:t>
      </w:r>
    </w:p>
    <w:p w14:paraId="77AA3A61" w14:textId="77777777" w:rsidR="002962A7" w:rsidRPr="002962A7" w:rsidRDefault="002962A7" w:rsidP="002813FC">
      <w:pPr>
        <w:pStyle w:val="PI-text"/>
      </w:pPr>
      <w:r w:rsidRPr="002962A7">
        <w:t xml:space="preserve">When </w:t>
      </w:r>
      <w:r>
        <w:t>Repatha</w:t>
      </w:r>
      <w:r w:rsidRPr="002962A7">
        <w:t xml:space="preserve"> is administered with a statin or other lipid-lowering therapies (e.g. ezetimibe) in women of childbearing potential, refer to the pregnancy section of the prescribing information for those medications.</w:t>
      </w:r>
    </w:p>
    <w:p w14:paraId="588E9705" w14:textId="77777777" w:rsidR="004B448E" w:rsidRPr="00AE3D59" w:rsidRDefault="004B448E" w:rsidP="002813FC">
      <w:pPr>
        <w:pStyle w:val="PI-UnderlinedSubHeader"/>
        <w:rPr>
          <w:snapToGrid w:val="0"/>
        </w:rPr>
      </w:pPr>
      <w:r w:rsidRPr="00AE3D59">
        <w:rPr>
          <w:snapToGrid w:val="0"/>
        </w:rPr>
        <w:t xml:space="preserve">Use in </w:t>
      </w:r>
      <w:r w:rsidR="002813FC" w:rsidRPr="00AE3D59">
        <w:rPr>
          <w:snapToGrid w:val="0"/>
        </w:rPr>
        <w:t>lactation</w:t>
      </w:r>
    </w:p>
    <w:p w14:paraId="7144775A" w14:textId="77777777" w:rsidR="00CD3DD4" w:rsidRPr="00CC53B9" w:rsidRDefault="00CD3DD4" w:rsidP="002813FC">
      <w:pPr>
        <w:pStyle w:val="PI-text"/>
        <w:rPr>
          <w:b/>
        </w:rPr>
      </w:pPr>
      <w:r w:rsidRPr="00CC53B9">
        <w:t xml:space="preserve">It is not known whether </w:t>
      </w:r>
      <w:r w:rsidR="00BD6730">
        <w:t>Repatha</w:t>
      </w:r>
      <w:r w:rsidRPr="00CC53B9">
        <w:t xml:space="preserve"> is </w:t>
      </w:r>
      <w:r w:rsidR="00BD590E">
        <w:t>present in</w:t>
      </w:r>
      <w:r w:rsidRPr="00CC53B9">
        <w:t xml:space="preserve"> human milk. </w:t>
      </w:r>
      <w:r w:rsidR="00AA4FF6">
        <w:t xml:space="preserve"> </w:t>
      </w:r>
      <w:r w:rsidR="005E0D20">
        <w:t>M</w:t>
      </w:r>
      <w:r w:rsidR="005E0D20" w:rsidRPr="00CC53B9">
        <w:t xml:space="preserve">any drugs are </w:t>
      </w:r>
      <w:r w:rsidR="005E0D20">
        <w:t>present</w:t>
      </w:r>
      <w:r w:rsidR="005E0D20" w:rsidRPr="00CC53B9">
        <w:t xml:space="preserve"> in human milk and because of the potential for adverse </w:t>
      </w:r>
      <w:r w:rsidR="005E0D20">
        <w:t>effects</w:t>
      </w:r>
      <w:r w:rsidR="005E0D20" w:rsidRPr="00CC53B9">
        <w:t xml:space="preserve"> in nursing infants from </w:t>
      </w:r>
      <w:r w:rsidR="00BD6730">
        <w:t>Repatha</w:t>
      </w:r>
      <w:r w:rsidR="005E0D20" w:rsidRPr="00CC53B9">
        <w:t xml:space="preserve">, a decision should be made whether to discontinue nursing or discontinue the drug, taking into account the </w:t>
      </w:r>
      <w:r w:rsidR="005E0D20">
        <w:t>potential benefit</w:t>
      </w:r>
      <w:r w:rsidR="005E0D20" w:rsidRPr="00CC53B9">
        <w:t xml:space="preserve"> of the drug to the mother</w:t>
      </w:r>
      <w:r w:rsidR="005E0D20">
        <w:t xml:space="preserve"> or the potential benefit of breast feeding to the infant</w:t>
      </w:r>
      <w:r w:rsidR="005E0D20" w:rsidRPr="00CC53B9">
        <w:t>.</w:t>
      </w:r>
    </w:p>
    <w:p w14:paraId="6AA39E0C" w14:textId="77777777" w:rsidR="004B448E" w:rsidRPr="0039076F" w:rsidRDefault="004B448E" w:rsidP="002813FC">
      <w:pPr>
        <w:pStyle w:val="PI-UnderlinedSubHeader"/>
      </w:pPr>
      <w:r w:rsidRPr="0039076F">
        <w:t xml:space="preserve">Paediatric </w:t>
      </w:r>
      <w:r w:rsidR="005E418B">
        <w:t>u</w:t>
      </w:r>
      <w:r w:rsidRPr="0039076F">
        <w:t>se</w:t>
      </w:r>
    </w:p>
    <w:p w14:paraId="21F310FF" w14:textId="475ADDDB" w:rsidR="00A75447" w:rsidRDefault="00206D0D" w:rsidP="00A75447">
      <w:pPr>
        <w:pStyle w:val="PI-text"/>
      </w:pPr>
      <w:r w:rsidRPr="00206D0D">
        <w:t xml:space="preserve">The safety and effectiveness of </w:t>
      </w:r>
      <w:r w:rsidR="008E3869">
        <w:t>Repatha</w:t>
      </w:r>
      <w:r w:rsidRPr="00206D0D">
        <w:t xml:space="preserve"> have not been established in </w:t>
      </w:r>
      <w:r w:rsidR="00EA761D">
        <w:t>paediatric</w:t>
      </w:r>
      <w:r w:rsidRPr="00206D0D">
        <w:t xml:space="preserve"> patients with </w:t>
      </w:r>
      <w:r w:rsidR="009857EB">
        <w:t xml:space="preserve">primary </w:t>
      </w:r>
      <w:r w:rsidR="0027632E">
        <w:t>hypercholesterolaemia</w:t>
      </w:r>
      <w:r w:rsidRPr="00206D0D">
        <w:t>.  Fourteen adolescent patients aged 12 years and over have been included in HoFH clinical studies</w:t>
      </w:r>
      <w:r>
        <w:t>.</w:t>
      </w:r>
      <w:r w:rsidRPr="00206D0D">
        <w:t xml:space="preserve">  No overall differences in safety or efficacy were observed between adolescent and adult patients with HoFH</w:t>
      </w:r>
      <w:r w:rsidR="002813FC">
        <w:t>.</w:t>
      </w:r>
      <w:r w:rsidR="000312C7">
        <w:t xml:space="preserve"> </w:t>
      </w:r>
      <w:r w:rsidRPr="00206D0D">
        <w:t xml:space="preserve"> </w:t>
      </w:r>
      <w:r w:rsidR="007077AE">
        <w:t xml:space="preserve">Long term safety has not been established in </w:t>
      </w:r>
      <w:r w:rsidR="000711B1">
        <w:t>children.</w:t>
      </w:r>
    </w:p>
    <w:p w14:paraId="04DFC9ED" w14:textId="77777777" w:rsidR="00EC1D65" w:rsidRPr="00EC1D65" w:rsidRDefault="00FB4EC2" w:rsidP="00A75447">
      <w:pPr>
        <w:pStyle w:val="PI-UnderlinedSubHeader"/>
      </w:pPr>
      <w:r>
        <w:t xml:space="preserve">Use in the </w:t>
      </w:r>
      <w:r w:rsidR="00A75447">
        <w:t>elderly</w:t>
      </w:r>
    </w:p>
    <w:p w14:paraId="185240EC" w14:textId="77777777" w:rsidR="00EC1D65" w:rsidRDefault="00EC1D65" w:rsidP="002813FC">
      <w:pPr>
        <w:pStyle w:val="PI-text"/>
      </w:pPr>
      <w:r w:rsidRPr="00C03E30">
        <w:t xml:space="preserve">Of the </w:t>
      </w:r>
      <w:r w:rsidR="005939AF">
        <w:t>18</w:t>
      </w:r>
      <w:r w:rsidR="00AE2D33">
        <w:t>,</w:t>
      </w:r>
      <w:r w:rsidR="005939AF">
        <w:t>546</w:t>
      </w:r>
      <w:r w:rsidR="00EB0A56">
        <w:t xml:space="preserve"> </w:t>
      </w:r>
      <w:r w:rsidR="005939AF">
        <w:t xml:space="preserve">hypercholesterolaemia </w:t>
      </w:r>
      <w:r w:rsidRPr="00C03E30">
        <w:t xml:space="preserve">patients </w:t>
      </w:r>
      <w:r w:rsidR="005939AF">
        <w:t xml:space="preserve">treated with Repatha in double blinded </w:t>
      </w:r>
      <w:r w:rsidRPr="00C03E30">
        <w:t xml:space="preserve">clinical studies, </w:t>
      </w:r>
      <w:r w:rsidR="005939AF">
        <w:t>7</w:t>
      </w:r>
      <w:r w:rsidR="00AE2D33">
        <w:t>,</w:t>
      </w:r>
      <w:r w:rsidR="005939AF">
        <w:t>656 (41.3%)</w:t>
      </w:r>
      <w:r w:rsidRPr="00C03E30">
        <w:t xml:space="preserve"> were ≥ 65 years old, while </w:t>
      </w:r>
      <w:r w:rsidR="005939AF">
        <w:t>1500 (8.1%)</w:t>
      </w:r>
      <w:r w:rsidRPr="00C03E30">
        <w:t xml:space="preserve"> were ≥ 75 years old. </w:t>
      </w:r>
      <w:r w:rsidR="00AA4FF6">
        <w:t xml:space="preserve"> </w:t>
      </w:r>
      <w:r w:rsidRPr="00C03E30">
        <w:t>No overall differences in safety or efficacy were observed between the elderly and younger patients</w:t>
      </w:r>
      <w:r w:rsidR="002813FC">
        <w:t>.</w:t>
      </w:r>
    </w:p>
    <w:p w14:paraId="26915D93" w14:textId="77777777" w:rsidR="00BD590E" w:rsidRDefault="00BD590E" w:rsidP="002813FC">
      <w:pPr>
        <w:pStyle w:val="PI-UnderlinedSubHeader"/>
      </w:pPr>
      <w:r>
        <w:lastRenderedPageBreak/>
        <w:t>Genotoxicity</w:t>
      </w:r>
    </w:p>
    <w:p w14:paraId="31BFA0F4" w14:textId="77777777" w:rsidR="00BD590E" w:rsidRDefault="00BD590E" w:rsidP="002813FC">
      <w:pPr>
        <w:pStyle w:val="PI-text"/>
      </w:pPr>
      <w:r w:rsidRPr="00285E02">
        <w:t xml:space="preserve">The mutagenic potential of </w:t>
      </w:r>
      <w:r w:rsidR="00BD6730">
        <w:t>Repatha</w:t>
      </w:r>
      <w:r w:rsidRPr="00285E02">
        <w:t xml:space="preserve"> has not been evaluated; however, monoclonal antibodies are not expected to alter DNA or chromosomes</w:t>
      </w:r>
      <w:r>
        <w:t>.</w:t>
      </w:r>
    </w:p>
    <w:p w14:paraId="1F8E6E3C" w14:textId="77777777" w:rsidR="00E356C9" w:rsidRPr="00E356C9" w:rsidRDefault="00E356C9" w:rsidP="002813FC">
      <w:pPr>
        <w:pStyle w:val="PI-UnderlinedSubHeader"/>
      </w:pPr>
      <w:r w:rsidRPr="00285E02">
        <w:t>Carcinogenesis</w:t>
      </w:r>
      <w:r w:rsidRPr="00E356C9">
        <w:t xml:space="preserve"> </w:t>
      </w:r>
    </w:p>
    <w:p w14:paraId="3627B31D" w14:textId="77777777" w:rsidR="0039076F" w:rsidRPr="00A75447" w:rsidRDefault="00E356C9" w:rsidP="002813FC">
      <w:pPr>
        <w:pStyle w:val="PI-text"/>
      </w:pPr>
      <w:r w:rsidRPr="004F2955">
        <w:t xml:space="preserve">The carcinogenic potential of </w:t>
      </w:r>
      <w:r w:rsidR="00BD6730">
        <w:t>Repatha</w:t>
      </w:r>
      <w:r w:rsidRPr="004F2955">
        <w:t xml:space="preserve"> was evaluated in a lifetime study conducted in the hamster at </w:t>
      </w:r>
      <w:r w:rsidR="00D636F6" w:rsidRPr="00D636F6">
        <w:t>dose levels up to 100 mg/kg every 2 weeks</w:t>
      </w:r>
      <w:r w:rsidR="00D636F6">
        <w:t xml:space="preserve"> (</w:t>
      </w:r>
      <w:r w:rsidRPr="004F2955">
        <w:t xml:space="preserve">AUC exposure </w:t>
      </w:r>
      <w:r w:rsidR="00C63FD4">
        <w:t>7</w:t>
      </w:r>
      <w:r w:rsidRPr="004F2955">
        <w:t xml:space="preserve">-fold higher than in patients receiving </w:t>
      </w:r>
      <w:r w:rsidR="00BD6730">
        <w:t>Repatha</w:t>
      </w:r>
      <w:r w:rsidR="0039076F">
        <w:t xml:space="preserve"> at 420 mg </w:t>
      </w:r>
      <w:r w:rsidR="00870571">
        <w:t>once every 2 weeks</w:t>
      </w:r>
      <w:r w:rsidR="00D636F6">
        <w:t>)</w:t>
      </w:r>
      <w:r w:rsidRPr="004F2955">
        <w:t>.</w:t>
      </w:r>
      <w:r w:rsidR="00A014AD">
        <w:t xml:space="preserve"> </w:t>
      </w:r>
      <w:r w:rsidRPr="004F2955">
        <w:t xml:space="preserve"> There were no </w:t>
      </w:r>
      <w:r w:rsidR="00A014AD">
        <w:t>evolocumab-</w:t>
      </w:r>
      <w:r w:rsidRPr="004F2955">
        <w:t>related tumo</w:t>
      </w:r>
      <w:r w:rsidR="0039076F">
        <w:t>u</w:t>
      </w:r>
      <w:r w:rsidRPr="004F2955">
        <w:t>r</w:t>
      </w:r>
      <w:r w:rsidR="0039076F">
        <w:t>s</w:t>
      </w:r>
      <w:r w:rsidRPr="004F2955">
        <w:t xml:space="preserve">. </w:t>
      </w:r>
      <w:r w:rsidR="00A014AD">
        <w:t xml:space="preserve"> </w:t>
      </w:r>
      <w:r w:rsidR="0039076F" w:rsidRPr="0039076F">
        <w:t>Expected serum LDL-C lowering was observed throughout the study.</w:t>
      </w:r>
      <w:r w:rsidR="0039076F" w:rsidRPr="00A75447">
        <w:t xml:space="preserve"> </w:t>
      </w:r>
    </w:p>
    <w:p w14:paraId="2C0F25AB" w14:textId="77777777" w:rsidR="00FD2D0B" w:rsidRPr="00F86EC6" w:rsidRDefault="00FD2D0B" w:rsidP="002813FC">
      <w:pPr>
        <w:pStyle w:val="PI-UnderlinedSubHeader"/>
        <w:rPr>
          <w:snapToGrid w:val="0"/>
        </w:rPr>
      </w:pPr>
      <w:r w:rsidRPr="00F86EC6">
        <w:rPr>
          <w:snapToGrid w:val="0"/>
        </w:rPr>
        <w:t xml:space="preserve">Effects on </w:t>
      </w:r>
      <w:r w:rsidR="005E418B">
        <w:rPr>
          <w:snapToGrid w:val="0"/>
        </w:rPr>
        <w:t>l</w:t>
      </w:r>
      <w:r w:rsidRPr="00F86EC6">
        <w:rPr>
          <w:snapToGrid w:val="0"/>
        </w:rPr>
        <w:t xml:space="preserve">aboratory </w:t>
      </w:r>
      <w:r w:rsidR="005E418B">
        <w:rPr>
          <w:snapToGrid w:val="0"/>
        </w:rPr>
        <w:t>t</w:t>
      </w:r>
      <w:r w:rsidRPr="00F86EC6">
        <w:rPr>
          <w:snapToGrid w:val="0"/>
        </w:rPr>
        <w:t>ests</w:t>
      </w:r>
    </w:p>
    <w:p w14:paraId="5C24EB8F" w14:textId="77777777" w:rsidR="00FD2D0B" w:rsidRPr="00EB0A56" w:rsidRDefault="00955EF0" w:rsidP="002813FC">
      <w:pPr>
        <w:pStyle w:val="PI-text"/>
      </w:pPr>
      <w:r w:rsidRPr="00955EF0">
        <w:t>An integrated safety analysis of phase 2 and 3 randomised controlled studies of Repatha with statin therapy for up to 52 weeks duration was performed to assess alanine aminotransferase (ALT)/aspartate aminotransferase (AST) and creatine kinase (CK) for patients with normal values at baseline.  The incidence of ALT or AST &gt; 5x upper limit of normal was 0.1% in both the Repatha (N=2523) and control (N=1249) groups.  In the same studies, CK &gt; 10 x upper limit of normal was 0.2% (N=2486) in the Repatha group and 0.1% (N=1217) in the control group.</w:t>
      </w:r>
    </w:p>
    <w:p w14:paraId="0F6DB002" w14:textId="77777777" w:rsidR="00EC1D65" w:rsidRPr="00EC1D65" w:rsidRDefault="00EC1D65" w:rsidP="002813FC">
      <w:pPr>
        <w:pStyle w:val="PI-UnderlinedSubHeader"/>
      </w:pPr>
      <w:r w:rsidRPr="00EC1D65">
        <w:t>Hepatic impairment</w:t>
      </w:r>
    </w:p>
    <w:p w14:paraId="7E05F525" w14:textId="77777777" w:rsidR="00624069" w:rsidRPr="00624069" w:rsidRDefault="00A014AD" w:rsidP="002813FC">
      <w:pPr>
        <w:pStyle w:val="PI-text"/>
      </w:pPr>
      <w:r w:rsidRPr="00A014AD">
        <w:t xml:space="preserve">No dose adjustment is necessary in patients with mild to moderate hepatic impairment (Child-Pugh A or B).  </w:t>
      </w:r>
      <w:r w:rsidR="00BD6730">
        <w:t>Repatha</w:t>
      </w:r>
      <w:r w:rsidR="00665774">
        <w:t xml:space="preserve"> has not been studied in p</w:t>
      </w:r>
      <w:r w:rsidR="00624069" w:rsidRPr="00624069">
        <w:t>atients with severe hepatic impairment (Childs-Pugh C).</w:t>
      </w:r>
    </w:p>
    <w:p w14:paraId="459A8407" w14:textId="77777777" w:rsidR="00EC1D65" w:rsidRPr="00EC1D65" w:rsidRDefault="00EC1D65" w:rsidP="002813FC">
      <w:pPr>
        <w:pStyle w:val="PI-UnderlinedSubHeader"/>
      </w:pPr>
      <w:r w:rsidRPr="00EC1D65">
        <w:t>Renal impairment</w:t>
      </w:r>
    </w:p>
    <w:p w14:paraId="53C7D67C" w14:textId="77777777" w:rsidR="00624069" w:rsidRPr="00624069" w:rsidRDefault="00624069" w:rsidP="002813FC">
      <w:pPr>
        <w:pStyle w:val="PI-text"/>
      </w:pPr>
      <w:r w:rsidRPr="00624069">
        <w:t xml:space="preserve">No dose adjustment is necessary in patients with </w:t>
      </w:r>
      <w:r w:rsidR="00373F0C">
        <w:t>Chronic Kidney</w:t>
      </w:r>
      <w:r w:rsidR="00373F0C" w:rsidRPr="00624069">
        <w:t xml:space="preserve"> </w:t>
      </w:r>
      <w:r w:rsidR="00373F0C">
        <w:t>Disease (CKD)</w:t>
      </w:r>
      <w:r w:rsidR="00374E29">
        <w:t>.</w:t>
      </w:r>
    </w:p>
    <w:p w14:paraId="347C3A00" w14:textId="77777777" w:rsidR="00A660AE" w:rsidRDefault="00A660AE" w:rsidP="002813FC">
      <w:pPr>
        <w:pStyle w:val="PI-MainHeader"/>
      </w:pPr>
      <w:r w:rsidRPr="00A660AE">
        <w:t>INTERACTIONS WITH OTHER MEDICINES</w:t>
      </w:r>
    </w:p>
    <w:p w14:paraId="1CC9DB82" w14:textId="77777777" w:rsidR="00A660AE" w:rsidRDefault="00A660AE" w:rsidP="002813FC">
      <w:pPr>
        <w:pStyle w:val="PI-text"/>
      </w:pPr>
      <w:r>
        <w:t xml:space="preserve">No formal drug-drug interaction studies have been conducted for </w:t>
      </w:r>
      <w:r w:rsidR="00BD6730">
        <w:t>Repatha</w:t>
      </w:r>
      <w:r>
        <w:t>.</w:t>
      </w:r>
    </w:p>
    <w:p w14:paraId="06F6C4F9" w14:textId="77777777" w:rsidR="002962A7" w:rsidRDefault="006D115B" w:rsidP="002813FC">
      <w:pPr>
        <w:pStyle w:val="PI-text"/>
      </w:pPr>
      <w:r w:rsidRPr="006D115B">
        <w:t xml:space="preserve">The pharmacokinetic interaction between statins and </w:t>
      </w:r>
      <w:r w:rsidR="00BD6730">
        <w:t>Repatha</w:t>
      </w:r>
      <w:r w:rsidRPr="006D115B">
        <w:t xml:space="preserve"> was evaluated in the </w:t>
      </w:r>
      <w:r w:rsidR="00BD6730">
        <w:t>Repatha</w:t>
      </w:r>
      <w:r w:rsidR="006E4E44">
        <w:t xml:space="preserve"> clinical trials. </w:t>
      </w:r>
      <w:r w:rsidRPr="006D115B">
        <w:t xml:space="preserve"> An approximate 20% increase in the clearance of </w:t>
      </w:r>
      <w:r w:rsidR="00BD6730">
        <w:t>Repatha</w:t>
      </w:r>
      <w:r w:rsidRPr="006D115B">
        <w:t xml:space="preserve"> was observed in patients </w:t>
      </w:r>
      <w:proofErr w:type="spellStart"/>
      <w:r w:rsidRPr="006D115B">
        <w:t>coadministered</w:t>
      </w:r>
      <w:proofErr w:type="spellEnd"/>
      <w:r w:rsidRPr="006D115B">
        <w:t xml:space="preserve"> with statins.  This increased clearance is in part mediated by statins increasing the concentration of PCSK9 which did not adversely impact the pharmacodynamic effect of </w:t>
      </w:r>
      <w:r w:rsidR="00BD6730">
        <w:t>Repatha</w:t>
      </w:r>
      <w:r w:rsidR="006E4E44">
        <w:t xml:space="preserve"> on lipids. </w:t>
      </w:r>
      <w:r w:rsidRPr="006D115B">
        <w:t xml:space="preserve"> No statin dose adjustments are necessary when used in combination with </w:t>
      </w:r>
      <w:r w:rsidR="00BD6730">
        <w:t>Repatha</w:t>
      </w:r>
      <w:r>
        <w:t>.</w:t>
      </w:r>
    </w:p>
    <w:p w14:paraId="43EF4785" w14:textId="77777777" w:rsidR="007D3C6A" w:rsidRDefault="007D3C6A" w:rsidP="002813FC">
      <w:pPr>
        <w:pStyle w:val="PI-MainHeader"/>
      </w:pPr>
      <w:r>
        <w:t xml:space="preserve">ADVERSE </w:t>
      </w:r>
      <w:r w:rsidR="002D130D">
        <w:t>EFFECTS</w:t>
      </w:r>
    </w:p>
    <w:p w14:paraId="4D978299" w14:textId="77777777" w:rsidR="002602E8" w:rsidRPr="00367C17" w:rsidRDefault="002602E8" w:rsidP="002813FC">
      <w:pPr>
        <w:pStyle w:val="PI-UnderlinedSubHeader"/>
      </w:pPr>
      <w:bookmarkStart w:id="23" w:name="_Ref507834372"/>
      <w:r w:rsidRPr="00367C17">
        <w:t>Summary of the safety profile</w:t>
      </w:r>
    </w:p>
    <w:p w14:paraId="4879F3C9" w14:textId="18B0D279" w:rsidR="005702C5" w:rsidRDefault="005702C5" w:rsidP="005702C5">
      <w:pPr>
        <w:pStyle w:val="PI-text"/>
      </w:pPr>
      <w:r w:rsidRPr="00736D9D">
        <w:t xml:space="preserve">The safety of </w:t>
      </w:r>
      <w:r>
        <w:t xml:space="preserve">evolocumab </w:t>
      </w:r>
      <w:r w:rsidRPr="00736D9D">
        <w:t xml:space="preserve">was evaluated in </w:t>
      </w:r>
      <w:r>
        <w:t>35,141</w:t>
      </w:r>
      <w:r w:rsidRPr="00736D9D">
        <w:t xml:space="preserve"> patients with </w:t>
      </w:r>
      <w:r w:rsidR="00D1316C">
        <w:t xml:space="preserve">primary </w:t>
      </w:r>
      <w:r w:rsidRPr="00736D9D">
        <w:t>hypercholesterolaemia</w:t>
      </w:r>
      <w:r>
        <w:t>,</w:t>
      </w:r>
      <w:r w:rsidRPr="00736D9D">
        <w:t xml:space="preserve"> </w:t>
      </w:r>
      <w:r>
        <w:t>18,546</w:t>
      </w:r>
      <w:r w:rsidRPr="00736D9D">
        <w:t xml:space="preserve"> patients received </w:t>
      </w:r>
      <w:r>
        <w:t xml:space="preserve">evolocumab </w:t>
      </w:r>
      <w:r w:rsidR="00907A61">
        <w:t>140</w:t>
      </w:r>
      <w:r>
        <w:rPr>
          <w:lang w:eastAsia="en-GB"/>
        </w:rPr>
        <w:t xml:space="preserve"> </w:t>
      </w:r>
      <w:r w:rsidRPr="00736D9D">
        <w:rPr>
          <w:lang w:eastAsia="en-GB"/>
        </w:rPr>
        <w:t xml:space="preserve">mg every two weeks </w:t>
      </w:r>
      <w:r w:rsidRPr="00736D9D">
        <w:rPr>
          <w:lang w:eastAsia="en-GB"/>
        </w:rPr>
        <w:lastRenderedPageBreak/>
        <w:t xml:space="preserve">or </w:t>
      </w:r>
      <w:r w:rsidR="00907A61">
        <w:rPr>
          <w:lang w:eastAsia="en-GB"/>
        </w:rPr>
        <w:t xml:space="preserve">420 mg </w:t>
      </w:r>
      <w:r>
        <w:rPr>
          <w:lang w:eastAsia="en-GB"/>
        </w:rPr>
        <w:t xml:space="preserve">once </w:t>
      </w:r>
      <w:r w:rsidRPr="00736D9D">
        <w:t xml:space="preserve">monthly representing </w:t>
      </w:r>
      <w:r w:rsidR="00B438ED">
        <w:t>32,231</w:t>
      </w:r>
      <w:r w:rsidRPr="00736D9D">
        <w:t xml:space="preserve"> patient-years of exposure</w:t>
      </w:r>
      <w:r>
        <w:t xml:space="preserve"> with </w:t>
      </w:r>
      <w:r w:rsidR="00B438ED">
        <w:t>14,226</w:t>
      </w:r>
      <w:r>
        <w:t xml:space="preserve"> patients treated for 12 months or longer</w:t>
      </w:r>
      <w:r w:rsidRPr="00736D9D">
        <w:t>.</w:t>
      </w:r>
      <w:r>
        <w:t xml:space="preserve"> </w:t>
      </w:r>
      <w:r w:rsidRPr="00736D9D">
        <w:t xml:space="preserve"> In two clinical studies in </w:t>
      </w:r>
      <w:r>
        <w:t>99</w:t>
      </w:r>
      <w:r w:rsidRPr="00736D9D">
        <w:t xml:space="preserve"> patients with homozygous familial hypercholesterolaemia, there were </w:t>
      </w:r>
      <w:r>
        <w:rPr>
          <w:lang w:eastAsia="en-GB"/>
        </w:rPr>
        <w:t xml:space="preserve">63 </w:t>
      </w:r>
      <w:r w:rsidRPr="00736D9D">
        <w:rPr>
          <w:lang w:eastAsia="en-GB"/>
        </w:rPr>
        <w:t xml:space="preserve">patient-years of exposure to </w:t>
      </w:r>
      <w:r>
        <w:rPr>
          <w:lang w:eastAsia="en-GB"/>
        </w:rPr>
        <w:t xml:space="preserve">evolocumab </w:t>
      </w:r>
      <w:r w:rsidRPr="00736D9D">
        <w:rPr>
          <w:lang w:eastAsia="en-GB"/>
        </w:rPr>
        <w:t>420</w:t>
      </w:r>
      <w:r>
        <w:rPr>
          <w:lang w:eastAsia="en-GB"/>
        </w:rPr>
        <w:t xml:space="preserve"> </w:t>
      </w:r>
      <w:r w:rsidRPr="00736D9D">
        <w:rPr>
          <w:lang w:eastAsia="en-GB"/>
        </w:rPr>
        <w:t xml:space="preserve">mg every two weeks or </w:t>
      </w:r>
      <w:r>
        <w:rPr>
          <w:lang w:eastAsia="en-GB"/>
        </w:rPr>
        <w:t xml:space="preserve">once </w:t>
      </w:r>
      <w:r w:rsidRPr="00736D9D">
        <w:t>monthly</w:t>
      </w:r>
      <w:r>
        <w:t>; 23 of them were treated for 12 months or longer</w:t>
      </w:r>
      <w:r w:rsidRPr="00736D9D">
        <w:t>.</w:t>
      </w:r>
      <w:r>
        <w:t xml:space="preserve"> </w:t>
      </w:r>
      <w:r w:rsidRPr="00440502">
        <w:t xml:space="preserve"> In clinical studies, </w:t>
      </w:r>
      <w:r>
        <w:t xml:space="preserve">the </w:t>
      </w:r>
      <w:r w:rsidRPr="00440502">
        <w:t>incidence of adverse e</w:t>
      </w:r>
      <w:r>
        <w:t>vents</w:t>
      </w:r>
      <w:r w:rsidRPr="00440502">
        <w:t xml:space="preserve"> was similar between </w:t>
      </w:r>
      <w:r>
        <w:t xml:space="preserve">evolocumab </w:t>
      </w:r>
      <w:r w:rsidRPr="00440502">
        <w:t>and control groups</w:t>
      </w:r>
      <w:r>
        <w:t>.  The</w:t>
      </w:r>
      <w:r w:rsidRPr="00440502">
        <w:t xml:space="preserve"> adverse reactions associated with </w:t>
      </w:r>
      <w:r>
        <w:t xml:space="preserve">evolocumab </w:t>
      </w:r>
      <w:r w:rsidRPr="00440502">
        <w:t>were usually mild to moderate</w:t>
      </w:r>
      <w:r>
        <w:t>.</w:t>
      </w:r>
    </w:p>
    <w:p w14:paraId="098A3572" w14:textId="77777777" w:rsidR="00363FAB" w:rsidRDefault="00D03C34" w:rsidP="00363FAB">
      <w:pPr>
        <w:pStyle w:val="PI-text"/>
        <w:rPr>
          <w:rFonts w:cs="Times New Roman"/>
          <w:b/>
          <w:szCs w:val="20"/>
          <w:u w:val="single"/>
          <w:lang w:val="en-US"/>
        </w:rPr>
      </w:pPr>
      <w:r>
        <w:rPr>
          <w:rFonts w:cs="Times New Roman"/>
          <w:b/>
          <w:szCs w:val="20"/>
          <w:u w:val="single"/>
          <w:lang w:val="en-US"/>
        </w:rPr>
        <w:br w:type="page"/>
      </w:r>
      <w:r w:rsidR="00363FAB" w:rsidRPr="004D6B76">
        <w:rPr>
          <w:rFonts w:cs="Times New Roman"/>
          <w:b/>
          <w:szCs w:val="20"/>
          <w:u w:val="single"/>
          <w:lang w:val="en-US"/>
        </w:rPr>
        <w:lastRenderedPageBreak/>
        <w:t>Summary of Adverse Events</w:t>
      </w:r>
    </w:p>
    <w:p w14:paraId="16311E93" w14:textId="1B82A8CF" w:rsidR="00363FAB" w:rsidRPr="00E140C1" w:rsidRDefault="00363FAB" w:rsidP="00363FAB">
      <w:pPr>
        <w:spacing w:before="120" w:after="120" w:line="360" w:lineRule="auto"/>
        <w:rPr>
          <w:szCs w:val="22"/>
        </w:rPr>
      </w:pPr>
      <w:r w:rsidRPr="00E140C1">
        <w:rPr>
          <w:szCs w:val="22"/>
        </w:rPr>
        <w:t xml:space="preserve">Adverse </w:t>
      </w:r>
      <w:r>
        <w:rPr>
          <w:szCs w:val="22"/>
        </w:rPr>
        <w:t>events</w:t>
      </w:r>
      <w:r w:rsidRPr="00E140C1">
        <w:rPr>
          <w:szCs w:val="22"/>
        </w:rPr>
        <w:t xml:space="preserve"> reported </w:t>
      </w:r>
      <w:r>
        <w:rPr>
          <w:szCs w:val="22"/>
        </w:rPr>
        <w:t xml:space="preserve">by preferred term for </w:t>
      </w:r>
      <w:r w:rsidRPr="00E140C1">
        <w:rPr>
          <w:szCs w:val="22"/>
        </w:rPr>
        <w:t xml:space="preserve">patients treated with </w:t>
      </w:r>
      <w:r>
        <w:rPr>
          <w:szCs w:val="22"/>
        </w:rPr>
        <w:t>evolocumab</w:t>
      </w:r>
      <w:r w:rsidRPr="00E140C1">
        <w:rPr>
          <w:szCs w:val="22"/>
        </w:rPr>
        <w:t xml:space="preserve"> at an incidence </w:t>
      </w:r>
      <w:r>
        <w:rPr>
          <w:szCs w:val="22"/>
        </w:rPr>
        <w:t xml:space="preserve">rate </w:t>
      </w:r>
      <w:r>
        <w:rPr>
          <w:rFonts w:cs="Arial"/>
          <w:szCs w:val="22"/>
        </w:rPr>
        <w:t>≥</w:t>
      </w:r>
      <w:r>
        <w:rPr>
          <w:szCs w:val="22"/>
        </w:rPr>
        <w:t xml:space="preserve"> 2.0% compared to any control</w:t>
      </w:r>
      <w:r w:rsidRPr="00E140C1">
        <w:rPr>
          <w:szCs w:val="22"/>
        </w:rPr>
        <w:t>, are shown in</w:t>
      </w:r>
      <w:r>
        <w:rPr>
          <w:szCs w:val="22"/>
        </w:rPr>
        <w:t xml:space="preserve"> </w:t>
      </w:r>
      <w:r w:rsidR="006632B5" w:rsidRPr="006632B5">
        <w:rPr>
          <w:rFonts w:cs="Arial"/>
          <w:color w:val="0000FF"/>
          <w:szCs w:val="22"/>
          <w:lang w:val="en-GB"/>
        </w:rPr>
        <w:fldChar w:fldCharType="begin"/>
      </w:r>
      <w:r w:rsidR="006632B5" w:rsidRPr="006632B5">
        <w:rPr>
          <w:szCs w:val="22"/>
        </w:rPr>
        <w:instrText xml:space="preserve"> REF _Ref506363933 \h </w:instrText>
      </w:r>
      <w:r w:rsidR="006632B5" w:rsidRPr="006632B5">
        <w:rPr>
          <w:rFonts w:cs="Arial"/>
          <w:color w:val="0000FF"/>
          <w:szCs w:val="22"/>
          <w:lang w:val="en-GB"/>
        </w:rPr>
        <w:instrText xml:space="preserve"> \* MERGEFORMAT </w:instrText>
      </w:r>
      <w:r w:rsidR="006632B5" w:rsidRPr="006632B5">
        <w:rPr>
          <w:rFonts w:cs="Arial"/>
          <w:color w:val="0000FF"/>
          <w:szCs w:val="22"/>
          <w:lang w:val="en-GB"/>
        </w:rPr>
      </w:r>
      <w:r w:rsidR="006632B5" w:rsidRPr="006632B5">
        <w:rPr>
          <w:rFonts w:cs="Arial"/>
          <w:color w:val="0000FF"/>
          <w:szCs w:val="22"/>
          <w:lang w:val="en-GB"/>
        </w:rPr>
        <w:fldChar w:fldCharType="separate"/>
      </w:r>
      <w:r w:rsidR="008C495D" w:rsidRPr="008C495D">
        <w:rPr>
          <w:bCs/>
        </w:rPr>
        <w:t>Table 9</w:t>
      </w:r>
      <w:r w:rsidR="006632B5" w:rsidRPr="006632B5">
        <w:rPr>
          <w:rFonts w:cs="Arial"/>
          <w:color w:val="0000FF"/>
          <w:szCs w:val="22"/>
          <w:lang w:val="en-GB"/>
        </w:rPr>
        <w:fldChar w:fldCharType="end"/>
      </w:r>
      <w:r w:rsidR="006632B5" w:rsidRPr="006632B5">
        <w:rPr>
          <w:rFonts w:cs="Arial"/>
          <w:color w:val="0000FF"/>
          <w:szCs w:val="22"/>
          <w:lang w:val="en-GB"/>
        </w:rPr>
        <w:t>.</w:t>
      </w:r>
    </w:p>
    <w:p w14:paraId="756E9DCE" w14:textId="77777777" w:rsidR="00363FAB" w:rsidRPr="00FF6AAA" w:rsidRDefault="00363FAB" w:rsidP="00FF6AAA">
      <w:pPr>
        <w:pStyle w:val="TableCenterAlign"/>
        <w:rPr>
          <w:b/>
          <w:bCs/>
        </w:rPr>
      </w:pPr>
      <w:bookmarkStart w:id="24" w:name="_Ref506363933"/>
      <w:bookmarkStart w:id="25" w:name="_Ref436214127"/>
      <w:r w:rsidRPr="00FF6AAA">
        <w:rPr>
          <w:b/>
          <w:bCs/>
        </w:rPr>
        <w:t>Table </w:t>
      </w:r>
      <w:r w:rsidR="00110CE2">
        <w:rPr>
          <w:b/>
          <w:bCs/>
        </w:rPr>
        <w:fldChar w:fldCharType="begin"/>
      </w:r>
      <w:r w:rsidR="00110CE2">
        <w:rPr>
          <w:b/>
          <w:bCs/>
        </w:rPr>
        <w:instrText xml:space="preserve"> SEQ Table \* ARABIC </w:instrText>
      </w:r>
      <w:r w:rsidR="00110CE2">
        <w:rPr>
          <w:b/>
          <w:bCs/>
        </w:rPr>
        <w:fldChar w:fldCharType="separate"/>
      </w:r>
      <w:r w:rsidR="008C495D">
        <w:rPr>
          <w:b/>
          <w:bCs/>
          <w:noProof/>
        </w:rPr>
        <w:t>9</w:t>
      </w:r>
      <w:r w:rsidR="00110CE2">
        <w:rPr>
          <w:b/>
          <w:bCs/>
        </w:rPr>
        <w:fldChar w:fldCharType="end"/>
      </w:r>
      <w:bookmarkEnd w:id="24"/>
      <w:r w:rsidRPr="00FF6AAA">
        <w:rPr>
          <w:b/>
          <w:bCs/>
        </w:rPr>
        <w:t xml:space="preserve">.  </w:t>
      </w:r>
      <w:bookmarkEnd w:id="25"/>
      <w:r w:rsidRPr="00FF6AAA">
        <w:rPr>
          <w:b/>
          <w:bCs/>
        </w:rPr>
        <w:t xml:space="preserve">Adverse events occurring in patients treated with evolocumab compared to any control* </w:t>
      </w:r>
    </w:p>
    <w:tbl>
      <w:tblPr>
        <w:tblW w:w="0" w:type="auto"/>
        <w:jc w:val="center"/>
        <w:tblLayout w:type="fixed"/>
        <w:tblCellMar>
          <w:left w:w="60" w:type="dxa"/>
          <w:right w:w="60" w:type="dxa"/>
        </w:tblCellMar>
        <w:tblLook w:val="0000" w:firstRow="0" w:lastRow="0" w:firstColumn="0" w:lastColumn="0" w:noHBand="0" w:noVBand="0"/>
      </w:tblPr>
      <w:tblGrid>
        <w:gridCol w:w="3121"/>
        <w:gridCol w:w="1445"/>
        <w:gridCol w:w="1871"/>
      </w:tblGrid>
      <w:tr w:rsidR="00363FAB" w:rsidRPr="00E871EB" w14:paraId="37747EAB" w14:textId="77777777" w:rsidTr="009B29D0">
        <w:trPr>
          <w:jc w:val="center"/>
        </w:trPr>
        <w:tc>
          <w:tcPr>
            <w:tcW w:w="3121" w:type="dxa"/>
            <w:tcBorders>
              <w:bottom w:val="single" w:sz="4" w:space="0" w:color="auto"/>
            </w:tcBorders>
            <w:vAlign w:val="bottom"/>
          </w:tcPr>
          <w:p w14:paraId="2FA8CEB7" w14:textId="77777777" w:rsidR="00363FAB" w:rsidRPr="00E871EB" w:rsidRDefault="00363FAB" w:rsidP="009B29D0">
            <w:pPr>
              <w:rPr>
                <w:rFonts w:cs="Arial"/>
                <w:sz w:val="18"/>
                <w:szCs w:val="18"/>
              </w:rPr>
            </w:pPr>
            <w:r w:rsidRPr="00E871EB">
              <w:rPr>
                <w:rFonts w:cs="Arial"/>
                <w:sz w:val="18"/>
                <w:szCs w:val="18"/>
              </w:rPr>
              <w:t>Preferred Term</w:t>
            </w:r>
          </w:p>
          <w:p w14:paraId="7A0F0517" w14:textId="77777777" w:rsidR="00363FAB" w:rsidRDefault="00363FAB" w:rsidP="009B29D0">
            <w:pPr>
              <w:rPr>
                <w:rFonts w:cs="Arial"/>
                <w:sz w:val="18"/>
                <w:szCs w:val="18"/>
              </w:rPr>
            </w:pPr>
            <w:r w:rsidRPr="00E871EB">
              <w:rPr>
                <w:rFonts w:cs="Arial"/>
                <w:sz w:val="18"/>
                <w:szCs w:val="18"/>
              </w:rPr>
              <w:t>Adverse Event</w:t>
            </w:r>
          </w:p>
          <w:p w14:paraId="2D432F8E" w14:textId="77777777" w:rsidR="00363FAB" w:rsidRPr="00E871EB" w:rsidRDefault="00363FAB" w:rsidP="009B29D0">
            <w:pPr>
              <w:rPr>
                <w:rFonts w:cs="Arial"/>
                <w:sz w:val="18"/>
                <w:szCs w:val="18"/>
              </w:rPr>
            </w:pPr>
          </w:p>
        </w:tc>
        <w:tc>
          <w:tcPr>
            <w:tcW w:w="1445" w:type="dxa"/>
            <w:tcBorders>
              <w:bottom w:val="single" w:sz="4" w:space="0" w:color="auto"/>
            </w:tcBorders>
            <w:vAlign w:val="bottom"/>
          </w:tcPr>
          <w:p w14:paraId="05841928" w14:textId="77777777" w:rsidR="00363FAB" w:rsidRPr="00E871EB" w:rsidRDefault="00363FAB" w:rsidP="009B29D0">
            <w:pPr>
              <w:rPr>
                <w:rFonts w:cs="Arial"/>
                <w:sz w:val="18"/>
                <w:szCs w:val="18"/>
              </w:rPr>
            </w:pPr>
            <w:r>
              <w:rPr>
                <w:rFonts w:cs="Arial"/>
                <w:sz w:val="18"/>
                <w:szCs w:val="18"/>
              </w:rPr>
              <w:t>Any c</w:t>
            </w:r>
            <w:r w:rsidRPr="00E871EB">
              <w:rPr>
                <w:rFonts w:cs="Arial"/>
                <w:sz w:val="18"/>
                <w:szCs w:val="18"/>
              </w:rPr>
              <w:t>ontrol</w:t>
            </w:r>
          </w:p>
          <w:p w14:paraId="37C5BA58" w14:textId="77777777" w:rsidR="00363FAB" w:rsidRPr="00E871EB" w:rsidRDefault="00363FAB" w:rsidP="009B29D0">
            <w:pPr>
              <w:rPr>
                <w:rFonts w:cs="Arial"/>
                <w:sz w:val="18"/>
                <w:szCs w:val="18"/>
              </w:rPr>
            </w:pPr>
            <w:r w:rsidRPr="00E871EB">
              <w:rPr>
                <w:rFonts w:cs="Arial"/>
                <w:sz w:val="18"/>
                <w:szCs w:val="18"/>
              </w:rPr>
              <w:t>(N = 16</w:t>
            </w:r>
            <w:r>
              <w:rPr>
                <w:rFonts w:cs="Arial"/>
                <w:sz w:val="18"/>
                <w:szCs w:val="18"/>
              </w:rPr>
              <w:t>,</w:t>
            </w:r>
            <w:r w:rsidRPr="00E871EB">
              <w:rPr>
                <w:rFonts w:cs="Arial"/>
                <w:sz w:val="18"/>
                <w:szCs w:val="18"/>
              </w:rPr>
              <w:t>595)</w:t>
            </w:r>
          </w:p>
          <w:p w14:paraId="378A9F41" w14:textId="77777777" w:rsidR="00363FAB" w:rsidRPr="00E871EB" w:rsidRDefault="00363FAB" w:rsidP="009B29D0">
            <w:pPr>
              <w:rPr>
                <w:rFonts w:cs="Arial"/>
                <w:sz w:val="18"/>
                <w:szCs w:val="18"/>
              </w:rPr>
            </w:pPr>
            <w:r w:rsidRPr="00E871EB">
              <w:rPr>
                <w:rFonts w:cs="Arial"/>
                <w:sz w:val="18"/>
                <w:szCs w:val="18"/>
              </w:rPr>
              <w:t>%</w:t>
            </w:r>
          </w:p>
        </w:tc>
        <w:tc>
          <w:tcPr>
            <w:tcW w:w="1871" w:type="dxa"/>
            <w:tcBorders>
              <w:bottom w:val="single" w:sz="4" w:space="0" w:color="auto"/>
            </w:tcBorders>
            <w:vAlign w:val="bottom"/>
          </w:tcPr>
          <w:p w14:paraId="5C0C5FEC" w14:textId="77777777" w:rsidR="00363FAB" w:rsidRPr="00E871EB" w:rsidRDefault="00363FAB" w:rsidP="009B29D0">
            <w:pPr>
              <w:rPr>
                <w:rFonts w:cs="Arial"/>
                <w:sz w:val="18"/>
                <w:szCs w:val="18"/>
              </w:rPr>
            </w:pPr>
            <w:r>
              <w:rPr>
                <w:rFonts w:cs="Arial"/>
                <w:sz w:val="18"/>
                <w:szCs w:val="18"/>
              </w:rPr>
              <w:t>E</w:t>
            </w:r>
            <w:r w:rsidRPr="00E871EB">
              <w:rPr>
                <w:rFonts w:cs="Arial"/>
                <w:sz w:val="18"/>
                <w:szCs w:val="18"/>
              </w:rPr>
              <w:t>volocumab</w:t>
            </w:r>
          </w:p>
          <w:p w14:paraId="61C8BC5F" w14:textId="77777777" w:rsidR="00363FAB" w:rsidRPr="00E871EB" w:rsidRDefault="00363FAB" w:rsidP="009B29D0">
            <w:pPr>
              <w:rPr>
                <w:rFonts w:cs="Arial"/>
                <w:sz w:val="18"/>
                <w:szCs w:val="18"/>
              </w:rPr>
            </w:pPr>
            <w:r w:rsidRPr="00E871EB">
              <w:rPr>
                <w:rFonts w:cs="Arial"/>
                <w:sz w:val="18"/>
                <w:szCs w:val="18"/>
              </w:rPr>
              <w:t>(N = 18</w:t>
            </w:r>
            <w:r>
              <w:rPr>
                <w:rFonts w:cs="Arial"/>
                <w:sz w:val="18"/>
                <w:szCs w:val="18"/>
              </w:rPr>
              <w:t>,</w:t>
            </w:r>
            <w:r w:rsidRPr="00E871EB">
              <w:rPr>
                <w:rFonts w:cs="Arial"/>
                <w:sz w:val="18"/>
                <w:szCs w:val="18"/>
              </w:rPr>
              <w:t>546)</w:t>
            </w:r>
          </w:p>
          <w:p w14:paraId="6CEF67F8" w14:textId="77777777" w:rsidR="00363FAB" w:rsidRPr="00E871EB" w:rsidRDefault="00363FAB" w:rsidP="009B29D0">
            <w:pPr>
              <w:rPr>
                <w:rFonts w:cs="Arial"/>
                <w:sz w:val="18"/>
                <w:szCs w:val="18"/>
              </w:rPr>
            </w:pPr>
            <w:r w:rsidRPr="00E871EB">
              <w:rPr>
                <w:rFonts w:cs="Arial"/>
                <w:sz w:val="18"/>
                <w:szCs w:val="18"/>
              </w:rPr>
              <w:t>%</w:t>
            </w:r>
          </w:p>
        </w:tc>
      </w:tr>
      <w:tr w:rsidR="00363FAB" w:rsidRPr="00E871EB" w14:paraId="6FA20482" w14:textId="77777777" w:rsidTr="009B29D0">
        <w:trPr>
          <w:trHeight w:val="288"/>
          <w:jc w:val="center"/>
        </w:trPr>
        <w:tc>
          <w:tcPr>
            <w:tcW w:w="3121" w:type="dxa"/>
          </w:tcPr>
          <w:p w14:paraId="0B2C3D6B" w14:textId="77777777" w:rsidR="00363FAB" w:rsidRPr="00E871EB" w:rsidRDefault="00363FAB" w:rsidP="009B29D0">
            <w:pPr>
              <w:rPr>
                <w:rFonts w:cs="Arial"/>
                <w:sz w:val="18"/>
                <w:szCs w:val="18"/>
              </w:rPr>
            </w:pPr>
            <w:r w:rsidRPr="00E871EB">
              <w:rPr>
                <w:rFonts w:cs="Arial"/>
                <w:color w:val="000000"/>
                <w:sz w:val="18"/>
                <w:szCs w:val="18"/>
              </w:rPr>
              <w:t>Nasopharyngitis</w:t>
            </w:r>
          </w:p>
        </w:tc>
        <w:tc>
          <w:tcPr>
            <w:tcW w:w="1445" w:type="dxa"/>
          </w:tcPr>
          <w:p w14:paraId="3B3CD670" w14:textId="77777777" w:rsidR="00363FAB" w:rsidRPr="00E871EB" w:rsidRDefault="00363FAB" w:rsidP="009B29D0">
            <w:pPr>
              <w:rPr>
                <w:rFonts w:cs="Arial"/>
                <w:sz w:val="18"/>
                <w:szCs w:val="18"/>
              </w:rPr>
            </w:pPr>
            <w:r w:rsidRPr="00E871EB">
              <w:rPr>
                <w:rFonts w:cs="Arial"/>
                <w:color w:val="000000"/>
                <w:sz w:val="18"/>
                <w:szCs w:val="18"/>
              </w:rPr>
              <w:t>7.1</w:t>
            </w:r>
          </w:p>
        </w:tc>
        <w:tc>
          <w:tcPr>
            <w:tcW w:w="1871" w:type="dxa"/>
          </w:tcPr>
          <w:p w14:paraId="27FB52BE" w14:textId="77777777" w:rsidR="00363FAB" w:rsidRPr="00E871EB" w:rsidRDefault="00363FAB" w:rsidP="009B29D0">
            <w:pPr>
              <w:rPr>
                <w:rFonts w:cs="Arial"/>
                <w:sz w:val="18"/>
                <w:szCs w:val="18"/>
              </w:rPr>
            </w:pPr>
            <w:r w:rsidRPr="00E871EB">
              <w:rPr>
                <w:rFonts w:cs="Arial"/>
                <w:color w:val="000000"/>
                <w:sz w:val="18"/>
                <w:szCs w:val="18"/>
              </w:rPr>
              <w:t>7.4</w:t>
            </w:r>
          </w:p>
        </w:tc>
      </w:tr>
      <w:tr w:rsidR="00363FAB" w:rsidRPr="00E871EB" w14:paraId="437FC917" w14:textId="77777777" w:rsidTr="009B29D0">
        <w:trPr>
          <w:trHeight w:val="288"/>
          <w:jc w:val="center"/>
        </w:trPr>
        <w:tc>
          <w:tcPr>
            <w:tcW w:w="3121" w:type="dxa"/>
          </w:tcPr>
          <w:p w14:paraId="3593E5FD" w14:textId="77777777" w:rsidR="00363FAB" w:rsidRPr="00E871EB" w:rsidRDefault="00363FAB" w:rsidP="009B29D0">
            <w:pPr>
              <w:rPr>
                <w:rFonts w:cs="Arial"/>
                <w:sz w:val="18"/>
                <w:szCs w:val="18"/>
              </w:rPr>
            </w:pPr>
            <w:r w:rsidRPr="00E871EB">
              <w:rPr>
                <w:rFonts w:cs="Arial"/>
                <w:color w:val="000000"/>
                <w:sz w:val="18"/>
                <w:szCs w:val="18"/>
              </w:rPr>
              <w:t>Diabetes mellitus</w:t>
            </w:r>
          </w:p>
        </w:tc>
        <w:tc>
          <w:tcPr>
            <w:tcW w:w="1445" w:type="dxa"/>
          </w:tcPr>
          <w:p w14:paraId="05EAF102" w14:textId="77777777" w:rsidR="00363FAB" w:rsidRPr="00E871EB" w:rsidRDefault="00363FAB" w:rsidP="009B29D0">
            <w:pPr>
              <w:rPr>
                <w:rFonts w:cs="Arial"/>
                <w:sz w:val="18"/>
                <w:szCs w:val="18"/>
              </w:rPr>
            </w:pPr>
            <w:r w:rsidRPr="00E871EB">
              <w:rPr>
                <w:rFonts w:cs="Arial"/>
                <w:color w:val="000000"/>
                <w:sz w:val="18"/>
                <w:szCs w:val="18"/>
              </w:rPr>
              <w:t>7.0</w:t>
            </w:r>
          </w:p>
        </w:tc>
        <w:tc>
          <w:tcPr>
            <w:tcW w:w="1871" w:type="dxa"/>
          </w:tcPr>
          <w:p w14:paraId="212C81E4" w14:textId="77777777" w:rsidR="00363FAB" w:rsidRPr="00E871EB" w:rsidRDefault="00363FAB" w:rsidP="009B29D0">
            <w:pPr>
              <w:rPr>
                <w:rFonts w:cs="Arial"/>
                <w:sz w:val="18"/>
                <w:szCs w:val="18"/>
              </w:rPr>
            </w:pPr>
            <w:r w:rsidRPr="00E871EB">
              <w:rPr>
                <w:rFonts w:cs="Arial"/>
                <w:color w:val="000000"/>
                <w:sz w:val="18"/>
                <w:szCs w:val="18"/>
              </w:rPr>
              <w:t>6.7</w:t>
            </w:r>
          </w:p>
        </w:tc>
      </w:tr>
      <w:tr w:rsidR="00363FAB" w:rsidRPr="00E871EB" w14:paraId="44536746" w14:textId="77777777" w:rsidTr="009B29D0">
        <w:trPr>
          <w:trHeight w:val="288"/>
          <w:jc w:val="center"/>
        </w:trPr>
        <w:tc>
          <w:tcPr>
            <w:tcW w:w="3121" w:type="dxa"/>
          </w:tcPr>
          <w:p w14:paraId="18525937" w14:textId="77777777" w:rsidR="00363FAB" w:rsidRPr="00E871EB" w:rsidRDefault="00363FAB" w:rsidP="009B29D0">
            <w:pPr>
              <w:rPr>
                <w:rFonts w:cs="Arial"/>
                <w:sz w:val="18"/>
                <w:szCs w:val="18"/>
              </w:rPr>
            </w:pPr>
            <w:r w:rsidRPr="00E871EB">
              <w:rPr>
                <w:rFonts w:cs="Arial"/>
                <w:color w:val="000000"/>
                <w:sz w:val="18"/>
                <w:szCs w:val="18"/>
              </w:rPr>
              <w:t>Hypertension</w:t>
            </w:r>
          </w:p>
        </w:tc>
        <w:tc>
          <w:tcPr>
            <w:tcW w:w="1445" w:type="dxa"/>
          </w:tcPr>
          <w:p w14:paraId="2A354F00" w14:textId="77777777" w:rsidR="00363FAB" w:rsidRPr="00E871EB" w:rsidRDefault="00363FAB" w:rsidP="009B29D0">
            <w:pPr>
              <w:rPr>
                <w:rFonts w:cs="Arial"/>
                <w:sz w:val="18"/>
                <w:szCs w:val="18"/>
              </w:rPr>
            </w:pPr>
            <w:r w:rsidRPr="00E871EB">
              <w:rPr>
                <w:rFonts w:cs="Arial"/>
                <w:color w:val="000000"/>
                <w:sz w:val="18"/>
                <w:szCs w:val="18"/>
              </w:rPr>
              <w:t>7.6</w:t>
            </w:r>
          </w:p>
        </w:tc>
        <w:tc>
          <w:tcPr>
            <w:tcW w:w="1871" w:type="dxa"/>
          </w:tcPr>
          <w:p w14:paraId="5A24796E" w14:textId="77777777" w:rsidR="00363FAB" w:rsidRPr="00E871EB" w:rsidRDefault="00363FAB" w:rsidP="009B29D0">
            <w:pPr>
              <w:rPr>
                <w:rFonts w:cs="Arial"/>
                <w:sz w:val="18"/>
                <w:szCs w:val="18"/>
              </w:rPr>
            </w:pPr>
            <w:r w:rsidRPr="00E871EB">
              <w:rPr>
                <w:rFonts w:cs="Arial"/>
                <w:color w:val="000000"/>
                <w:sz w:val="18"/>
                <w:szCs w:val="18"/>
              </w:rPr>
              <w:t>6.4</w:t>
            </w:r>
          </w:p>
        </w:tc>
      </w:tr>
      <w:tr w:rsidR="00363FAB" w:rsidRPr="00E871EB" w14:paraId="3A4C8B48" w14:textId="77777777" w:rsidTr="009B29D0">
        <w:trPr>
          <w:trHeight w:val="288"/>
          <w:jc w:val="center"/>
        </w:trPr>
        <w:tc>
          <w:tcPr>
            <w:tcW w:w="3121" w:type="dxa"/>
          </w:tcPr>
          <w:p w14:paraId="4EADBB00" w14:textId="77777777" w:rsidR="00363FAB" w:rsidRPr="00E871EB" w:rsidRDefault="00363FAB" w:rsidP="009B29D0">
            <w:pPr>
              <w:rPr>
                <w:rFonts w:cs="Arial"/>
                <w:sz w:val="18"/>
                <w:szCs w:val="18"/>
              </w:rPr>
            </w:pPr>
            <w:r w:rsidRPr="00E871EB">
              <w:rPr>
                <w:rFonts w:cs="Arial"/>
                <w:color w:val="000000"/>
                <w:sz w:val="18"/>
                <w:szCs w:val="18"/>
              </w:rPr>
              <w:t>Upper respiratory tract infection</w:t>
            </w:r>
          </w:p>
        </w:tc>
        <w:tc>
          <w:tcPr>
            <w:tcW w:w="1445" w:type="dxa"/>
          </w:tcPr>
          <w:p w14:paraId="79EBCF48" w14:textId="77777777" w:rsidR="00363FAB" w:rsidRPr="00E871EB" w:rsidRDefault="00363FAB" w:rsidP="009B29D0">
            <w:pPr>
              <w:rPr>
                <w:rFonts w:cs="Arial"/>
                <w:sz w:val="18"/>
                <w:szCs w:val="18"/>
              </w:rPr>
            </w:pPr>
            <w:r w:rsidRPr="00E871EB">
              <w:rPr>
                <w:rFonts w:cs="Arial"/>
                <w:color w:val="000000"/>
                <w:sz w:val="18"/>
                <w:szCs w:val="18"/>
              </w:rPr>
              <w:t>4.4</w:t>
            </w:r>
          </w:p>
        </w:tc>
        <w:tc>
          <w:tcPr>
            <w:tcW w:w="1871" w:type="dxa"/>
          </w:tcPr>
          <w:p w14:paraId="667BE6A7" w14:textId="77777777" w:rsidR="00363FAB" w:rsidRPr="00E871EB" w:rsidRDefault="00363FAB" w:rsidP="009B29D0">
            <w:pPr>
              <w:rPr>
                <w:rFonts w:cs="Arial"/>
                <w:sz w:val="18"/>
                <w:szCs w:val="18"/>
              </w:rPr>
            </w:pPr>
            <w:r w:rsidRPr="00E871EB">
              <w:rPr>
                <w:rFonts w:cs="Arial"/>
                <w:color w:val="000000"/>
                <w:sz w:val="18"/>
                <w:szCs w:val="18"/>
              </w:rPr>
              <w:t>4.6</w:t>
            </w:r>
          </w:p>
        </w:tc>
      </w:tr>
      <w:tr w:rsidR="00363FAB" w:rsidRPr="00E871EB" w14:paraId="2BB3E287" w14:textId="77777777" w:rsidTr="009B29D0">
        <w:trPr>
          <w:trHeight w:val="288"/>
          <w:jc w:val="center"/>
        </w:trPr>
        <w:tc>
          <w:tcPr>
            <w:tcW w:w="3121" w:type="dxa"/>
          </w:tcPr>
          <w:p w14:paraId="2588113D" w14:textId="77777777" w:rsidR="00363FAB" w:rsidRPr="00E871EB" w:rsidRDefault="00363FAB" w:rsidP="009B29D0">
            <w:pPr>
              <w:rPr>
                <w:rFonts w:cs="Arial"/>
                <w:sz w:val="18"/>
                <w:szCs w:val="18"/>
              </w:rPr>
            </w:pPr>
            <w:r w:rsidRPr="00E871EB">
              <w:rPr>
                <w:rFonts w:cs="Arial"/>
                <w:color w:val="000000"/>
                <w:sz w:val="18"/>
                <w:szCs w:val="18"/>
              </w:rPr>
              <w:t>Back pain</w:t>
            </w:r>
          </w:p>
        </w:tc>
        <w:tc>
          <w:tcPr>
            <w:tcW w:w="1445" w:type="dxa"/>
          </w:tcPr>
          <w:p w14:paraId="700A20F5" w14:textId="77777777" w:rsidR="00363FAB" w:rsidRPr="00E871EB" w:rsidRDefault="00363FAB" w:rsidP="009B29D0">
            <w:pPr>
              <w:rPr>
                <w:rFonts w:cs="Arial"/>
                <w:sz w:val="18"/>
                <w:szCs w:val="18"/>
              </w:rPr>
            </w:pPr>
            <w:r w:rsidRPr="00E871EB">
              <w:rPr>
                <w:rFonts w:cs="Arial"/>
                <w:color w:val="000000"/>
                <w:sz w:val="18"/>
                <w:szCs w:val="18"/>
              </w:rPr>
              <w:t>4.5</w:t>
            </w:r>
          </w:p>
        </w:tc>
        <w:tc>
          <w:tcPr>
            <w:tcW w:w="1871" w:type="dxa"/>
          </w:tcPr>
          <w:p w14:paraId="4F9F4200" w14:textId="77777777" w:rsidR="00363FAB" w:rsidRPr="00E871EB" w:rsidRDefault="00363FAB" w:rsidP="009B29D0">
            <w:pPr>
              <w:rPr>
                <w:rFonts w:cs="Arial"/>
                <w:sz w:val="18"/>
                <w:szCs w:val="18"/>
              </w:rPr>
            </w:pPr>
            <w:r w:rsidRPr="00E871EB">
              <w:rPr>
                <w:rFonts w:cs="Arial"/>
                <w:color w:val="000000"/>
                <w:sz w:val="18"/>
                <w:szCs w:val="18"/>
              </w:rPr>
              <w:t>4.4</w:t>
            </w:r>
          </w:p>
        </w:tc>
      </w:tr>
      <w:tr w:rsidR="00363FAB" w:rsidRPr="00E871EB" w14:paraId="49E4A68C" w14:textId="77777777" w:rsidTr="009B29D0">
        <w:trPr>
          <w:trHeight w:val="288"/>
          <w:jc w:val="center"/>
        </w:trPr>
        <w:tc>
          <w:tcPr>
            <w:tcW w:w="3121" w:type="dxa"/>
          </w:tcPr>
          <w:p w14:paraId="2F06176E" w14:textId="77777777" w:rsidR="00363FAB" w:rsidRPr="00E871EB" w:rsidRDefault="00363FAB" w:rsidP="009B29D0">
            <w:pPr>
              <w:rPr>
                <w:rFonts w:cs="Arial"/>
                <w:sz w:val="18"/>
                <w:szCs w:val="18"/>
              </w:rPr>
            </w:pPr>
            <w:r w:rsidRPr="00E871EB">
              <w:rPr>
                <w:rFonts w:cs="Arial"/>
                <w:color w:val="000000"/>
                <w:sz w:val="18"/>
                <w:szCs w:val="18"/>
              </w:rPr>
              <w:t>Arthralgia</w:t>
            </w:r>
          </w:p>
        </w:tc>
        <w:tc>
          <w:tcPr>
            <w:tcW w:w="1445" w:type="dxa"/>
          </w:tcPr>
          <w:p w14:paraId="17BDAE41" w14:textId="77777777" w:rsidR="00363FAB" w:rsidRPr="00E871EB" w:rsidRDefault="00363FAB" w:rsidP="009B29D0">
            <w:pPr>
              <w:rPr>
                <w:rFonts w:cs="Arial"/>
                <w:sz w:val="18"/>
                <w:szCs w:val="18"/>
              </w:rPr>
            </w:pPr>
            <w:r w:rsidRPr="00E871EB">
              <w:rPr>
                <w:rFonts w:cs="Arial"/>
                <w:color w:val="000000"/>
                <w:sz w:val="18"/>
                <w:szCs w:val="18"/>
              </w:rPr>
              <w:t>4.0</w:t>
            </w:r>
          </w:p>
        </w:tc>
        <w:tc>
          <w:tcPr>
            <w:tcW w:w="1871" w:type="dxa"/>
          </w:tcPr>
          <w:p w14:paraId="62D2BE8A" w14:textId="77777777" w:rsidR="00363FAB" w:rsidRPr="00E871EB" w:rsidRDefault="00363FAB" w:rsidP="009B29D0">
            <w:pPr>
              <w:rPr>
                <w:rFonts w:cs="Arial"/>
                <w:sz w:val="18"/>
                <w:szCs w:val="18"/>
              </w:rPr>
            </w:pPr>
            <w:r w:rsidRPr="00E871EB">
              <w:rPr>
                <w:rFonts w:cs="Arial"/>
                <w:color w:val="000000"/>
                <w:sz w:val="18"/>
                <w:szCs w:val="18"/>
              </w:rPr>
              <w:t>3.9</w:t>
            </w:r>
          </w:p>
        </w:tc>
      </w:tr>
      <w:tr w:rsidR="00363FAB" w:rsidRPr="00E871EB" w14:paraId="7ABF5703" w14:textId="77777777" w:rsidTr="009B29D0">
        <w:trPr>
          <w:trHeight w:val="288"/>
          <w:jc w:val="center"/>
        </w:trPr>
        <w:tc>
          <w:tcPr>
            <w:tcW w:w="3121" w:type="dxa"/>
          </w:tcPr>
          <w:p w14:paraId="63D630B5" w14:textId="77777777" w:rsidR="00363FAB" w:rsidRPr="00E871EB" w:rsidRDefault="00363FAB" w:rsidP="009B29D0">
            <w:pPr>
              <w:rPr>
                <w:rFonts w:cs="Arial"/>
                <w:sz w:val="18"/>
                <w:szCs w:val="18"/>
              </w:rPr>
            </w:pPr>
            <w:r w:rsidRPr="00E871EB">
              <w:rPr>
                <w:rFonts w:cs="Arial"/>
                <w:color w:val="000000"/>
                <w:sz w:val="18"/>
                <w:szCs w:val="18"/>
              </w:rPr>
              <w:t>Myalgia</w:t>
            </w:r>
          </w:p>
        </w:tc>
        <w:tc>
          <w:tcPr>
            <w:tcW w:w="1445" w:type="dxa"/>
          </w:tcPr>
          <w:p w14:paraId="2B178684" w14:textId="77777777" w:rsidR="00363FAB" w:rsidRPr="00E871EB" w:rsidRDefault="00363FAB" w:rsidP="009B29D0">
            <w:pPr>
              <w:rPr>
                <w:rFonts w:cs="Arial"/>
                <w:sz w:val="18"/>
                <w:szCs w:val="18"/>
              </w:rPr>
            </w:pPr>
            <w:r w:rsidRPr="00E871EB">
              <w:rPr>
                <w:rFonts w:cs="Arial"/>
                <w:color w:val="000000"/>
                <w:sz w:val="18"/>
                <w:szCs w:val="18"/>
              </w:rPr>
              <w:t>3.8</w:t>
            </w:r>
          </w:p>
        </w:tc>
        <w:tc>
          <w:tcPr>
            <w:tcW w:w="1871" w:type="dxa"/>
          </w:tcPr>
          <w:p w14:paraId="40904BF9" w14:textId="77777777" w:rsidR="00363FAB" w:rsidRPr="00E871EB" w:rsidRDefault="00363FAB" w:rsidP="009B29D0">
            <w:pPr>
              <w:rPr>
                <w:rFonts w:cs="Arial"/>
                <w:sz w:val="18"/>
                <w:szCs w:val="18"/>
              </w:rPr>
            </w:pPr>
            <w:r w:rsidRPr="00E871EB">
              <w:rPr>
                <w:rFonts w:cs="Arial"/>
                <w:color w:val="000000"/>
                <w:sz w:val="18"/>
                <w:szCs w:val="18"/>
              </w:rPr>
              <w:t>3.8</w:t>
            </w:r>
          </w:p>
        </w:tc>
      </w:tr>
      <w:tr w:rsidR="00363FAB" w:rsidRPr="00E871EB" w14:paraId="54B667A4" w14:textId="77777777" w:rsidTr="009B29D0">
        <w:trPr>
          <w:trHeight w:val="288"/>
          <w:jc w:val="center"/>
        </w:trPr>
        <w:tc>
          <w:tcPr>
            <w:tcW w:w="3121" w:type="dxa"/>
          </w:tcPr>
          <w:p w14:paraId="1979F9D7" w14:textId="77777777" w:rsidR="00363FAB" w:rsidRPr="00E871EB" w:rsidRDefault="00363FAB" w:rsidP="009B29D0">
            <w:pPr>
              <w:rPr>
                <w:rFonts w:cs="Arial"/>
                <w:sz w:val="18"/>
                <w:szCs w:val="18"/>
              </w:rPr>
            </w:pPr>
            <w:r w:rsidRPr="00E871EB">
              <w:rPr>
                <w:rFonts w:cs="Arial"/>
                <w:color w:val="000000"/>
                <w:sz w:val="18"/>
                <w:szCs w:val="18"/>
              </w:rPr>
              <w:t>Urinary tract infection</w:t>
            </w:r>
          </w:p>
        </w:tc>
        <w:tc>
          <w:tcPr>
            <w:tcW w:w="1445" w:type="dxa"/>
          </w:tcPr>
          <w:p w14:paraId="7772685F" w14:textId="77777777" w:rsidR="00363FAB" w:rsidRPr="00E871EB" w:rsidRDefault="00363FAB" w:rsidP="009B29D0">
            <w:pPr>
              <w:rPr>
                <w:rFonts w:cs="Arial"/>
                <w:sz w:val="18"/>
                <w:szCs w:val="18"/>
              </w:rPr>
            </w:pPr>
            <w:r w:rsidRPr="00E871EB">
              <w:rPr>
                <w:rFonts w:cs="Arial"/>
                <w:color w:val="000000"/>
                <w:sz w:val="18"/>
                <w:szCs w:val="18"/>
              </w:rPr>
              <w:t>3.7</w:t>
            </w:r>
          </w:p>
        </w:tc>
        <w:tc>
          <w:tcPr>
            <w:tcW w:w="1871" w:type="dxa"/>
          </w:tcPr>
          <w:p w14:paraId="7B1AF859" w14:textId="77777777" w:rsidR="00363FAB" w:rsidRPr="00E871EB" w:rsidRDefault="00363FAB" w:rsidP="009B29D0">
            <w:pPr>
              <w:rPr>
                <w:rFonts w:cs="Arial"/>
                <w:sz w:val="18"/>
                <w:szCs w:val="18"/>
              </w:rPr>
            </w:pPr>
            <w:r w:rsidRPr="00E871EB">
              <w:rPr>
                <w:rFonts w:cs="Arial"/>
                <w:color w:val="000000"/>
                <w:sz w:val="18"/>
                <w:szCs w:val="18"/>
              </w:rPr>
              <w:t>3.6</w:t>
            </w:r>
          </w:p>
        </w:tc>
      </w:tr>
      <w:tr w:rsidR="00363FAB" w:rsidRPr="00E871EB" w14:paraId="3EE2558B" w14:textId="77777777" w:rsidTr="009B29D0">
        <w:trPr>
          <w:trHeight w:val="288"/>
          <w:jc w:val="center"/>
        </w:trPr>
        <w:tc>
          <w:tcPr>
            <w:tcW w:w="3121" w:type="dxa"/>
          </w:tcPr>
          <w:p w14:paraId="74B2DB69" w14:textId="77777777" w:rsidR="00363FAB" w:rsidRPr="00E871EB" w:rsidRDefault="00363FAB" w:rsidP="009B29D0">
            <w:pPr>
              <w:rPr>
                <w:rFonts w:cs="Arial"/>
                <w:sz w:val="18"/>
                <w:szCs w:val="18"/>
              </w:rPr>
            </w:pPr>
            <w:r w:rsidRPr="00E871EB">
              <w:rPr>
                <w:rFonts w:cs="Arial"/>
                <w:color w:val="000000"/>
                <w:sz w:val="18"/>
                <w:szCs w:val="18"/>
              </w:rPr>
              <w:t>Bronchitis</w:t>
            </w:r>
          </w:p>
        </w:tc>
        <w:tc>
          <w:tcPr>
            <w:tcW w:w="1445" w:type="dxa"/>
          </w:tcPr>
          <w:p w14:paraId="0C984D60" w14:textId="77777777" w:rsidR="00363FAB" w:rsidRPr="00E871EB" w:rsidRDefault="00363FAB" w:rsidP="009B29D0">
            <w:pPr>
              <w:rPr>
                <w:rFonts w:cs="Arial"/>
                <w:sz w:val="18"/>
                <w:szCs w:val="18"/>
              </w:rPr>
            </w:pPr>
            <w:r w:rsidRPr="00E871EB">
              <w:rPr>
                <w:rFonts w:cs="Arial"/>
                <w:color w:val="000000"/>
                <w:sz w:val="18"/>
                <w:szCs w:val="18"/>
              </w:rPr>
              <w:t>3.7</w:t>
            </w:r>
          </w:p>
        </w:tc>
        <w:tc>
          <w:tcPr>
            <w:tcW w:w="1871" w:type="dxa"/>
          </w:tcPr>
          <w:p w14:paraId="49DD03A9" w14:textId="77777777" w:rsidR="00363FAB" w:rsidRPr="00E871EB" w:rsidRDefault="00363FAB" w:rsidP="009B29D0">
            <w:pPr>
              <w:rPr>
                <w:rFonts w:cs="Arial"/>
                <w:sz w:val="18"/>
                <w:szCs w:val="18"/>
              </w:rPr>
            </w:pPr>
            <w:r w:rsidRPr="00E871EB">
              <w:rPr>
                <w:rFonts w:cs="Arial"/>
                <w:color w:val="000000"/>
                <w:sz w:val="18"/>
                <w:szCs w:val="18"/>
              </w:rPr>
              <w:t>3.6</w:t>
            </w:r>
          </w:p>
        </w:tc>
      </w:tr>
      <w:tr w:rsidR="00363FAB" w:rsidRPr="00E871EB" w14:paraId="41247DEC" w14:textId="77777777" w:rsidTr="009B29D0">
        <w:trPr>
          <w:trHeight w:val="288"/>
          <w:jc w:val="center"/>
        </w:trPr>
        <w:tc>
          <w:tcPr>
            <w:tcW w:w="3121" w:type="dxa"/>
          </w:tcPr>
          <w:p w14:paraId="0BF88599" w14:textId="77777777" w:rsidR="00363FAB" w:rsidRPr="00E871EB" w:rsidRDefault="00363FAB" w:rsidP="009B29D0">
            <w:pPr>
              <w:rPr>
                <w:rFonts w:cs="Arial"/>
                <w:sz w:val="18"/>
                <w:szCs w:val="18"/>
              </w:rPr>
            </w:pPr>
            <w:r w:rsidRPr="00E871EB">
              <w:rPr>
                <w:rFonts w:cs="Arial"/>
                <w:color w:val="000000"/>
                <w:sz w:val="18"/>
                <w:szCs w:val="18"/>
              </w:rPr>
              <w:t>Headache</w:t>
            </w:r>
          </w:p>
        </w:tc>
        <w:tc>
          <w:tcPr>
            <w:tcW w:w="1445" w:type="dxa"/>
          </w:tcPr>
          <w:p w14:paraId="5829F8BA" w14:textId="77777777" w:rsidR="00363FAB" w:rsidRPr="00E871EB" w:rsidRDefault="00363FAB" w:rsidP="009B29D0">
            <w:pPr>
              <w:rPr>
                <w:rFonts w:cs="Arial"/>
                <w:sz w:val="18"/>
                <w:szCs w:val="18"/>
              </w:rPr>
            </w:pPr>
            <w:r w:rsidRPr="00E871EB">
              <w:rPr>
                <w:rFonts w:cs="Arial"/>
                <w:color w:val="000000"/>
                <w:sz w:val="18"/>
                <w:szCs w:val="18"/>
              </w:rPr>
              <w:t>3.7</w:t>
            </w:r>
          </w:p>
        </w:tc>
        <w:tc>
          <w:tcPr>
            <w:tcW w:w="1871" w:type="dxa"/>
          </w:tcPr>
          <w:p w14:paraId="5D37CF9C" w14:textId="77777777" w:rsidR="00363FAB" w:rsidRPr="00E871EB" w:rsidRDefault="00363FAB" w:rsidP="009B29D0">
            <w:pPr>
              <w:rPr>
                <w:rFonts w:cs="Arial"/>
                <w:sz w:val="18"/>
                <w:szCs w:val="18"/>
              </w:rPr>
            </w:pPr>
            <w:r w:rsidRPr="00E871EB">
              <w:rPr>
                <w:rFonts w:cs="Arial"/>
                <w:color w:val="000000"/>
                <w:sz w:val="18"/>
                <w:szCs w:val="18"/>
              </w:rPr>
              <w:t>3.2</w:t>
            </w:r>
          </w:p>
        </w:tc>
      </w:tr>
      <w:tr w:rsidR="00363FAB" w:rsidRPr="00E871EB" w14:paraId="5C99A988" w14:textId="77777777" w:rsidTr="009B29D0">
        <w:trPr>
          <w:trHeight w:val="288"/>
          <w:jc w:val="center"/>
        </w:trPr>
        <w:tc>
          <w:tcPr>
            <w:tcW w:w="3121" w:type="dxa"/>
          </w:tcPr>
          <w:p w14:paraId="2FFF8FF1" w14:textId="77777777" w:rsidR="00363FAB" w:rsidRPr="00E871EB" w:rsidRDefault="00363FAB" w:rsidP="009B29D0">
            <w:pPr>
              <w:rPr>
                <w:rFonts w:cs="Arial"/>
                <w:sz w:val="18"/>
                <w:szCs w:val="18"/>
              </w:rPr>
            </w:pPr>
            <w:r w:rsidRPr="00E871EB">
              <w:rPr>
                <w:rFonts w:cs="Arial"/>
                <w:color w:val="000000"/>
                <w:sz w:val="18"/>
                <w:szCs w:val="18"/>
              </w:rPr>
              <w:t>Influenza</w:t>
            </w:r>
          </w:p>
        </w:tc>
        <w:tc>
          <w:tcPr>
            <w:tcW w:w="1445" w:type="dxa"/>
          </w:tcPr>
          <w:p w14:paraId="7A41D5C8" w14:textId="77777777" w:rsidR="00363FAB" w:rsidRPr="00E871EB" w:rsidRDefault="00363FAB" w:rsidP="009B29D0">
            <w:pPr>
              <w:rPr>
                <w:rFonts w:cs="Arial"/>
                <w:sz w:val="18"/>
                <w:szCs w:val="18"/>
              </w:rPr>
            </w:pPr>
            <w:r w:rsidRPr="00E871EB">
              <w:rPr>
                <w:rFonts w:cs="Arial"/>
                <w:color w:val="000000"/>
                <w:sz w:val="18"/>
                <w:szCs w:val="18"/>
              </w:rPr>
              <w:t>2.9</w:t>
            </w:r>
          </w:p>
        </w:tc>
        <w:tc>
          <w:tcPr>
            <w:tcW w:w="1871" w:type="dxa"/>
          </w:tcPr>
          <w:p w14:paraId="4AB35390" w14:textId="77777777" w:rsidR="00363FAB" w:rsidRPr="00E871EB" w:rsidRDefault="00363FAB" w:rsidP="009B29D0">
            <w:pPr>
              <w:rPr>
                <w:rFonts w:cs="Arial"/>
                <w:sz w:val="18"/>
                <w:szCs w:val="18"/>
              </w:rPr>
            </w:pPr>
            <w:r w:rsidRPr="00E871EB">
              <w:rPr>
                <w:rFonts w:cs="Arial"/>
                <w:color w:val="000000"/>
                <w:sz w:val="18"/>
                <w:szCs w:val="18"/>
              </w:rPr>
              <w:t>3.2</w:t>
            </w:r>
          </w:p>
        </w:tc>
      </w:tr>
      <w:tr w:rsidR="00363FAB" w:rsidRPr="00E871EB" w14:paraId="6FFE98E7" w14:textId="77777777" w:rsidTr="009B29D0">
        <w:trPr>
          <w:trHeight w:val="288"/>
          <w:jc w:val="center"/>
        </w:trPr>
        <w:tc>
          <w:tcPr>
            <w:tcW w:w="3121" w:type="dxa"/>
          </w:tcPr>
          <w:p w14:paraId="0E09A7AB" w14:textId="77777777" w:rsidR="00363FAB" w:rsidRPr="00E871EB" w:rsidRDefault="00363FAB" w:rsidP="009B29D0">
            <w:pPr>
              <w:rPr>
                <w:rFonts w:cs="Arial"/>
                <w:sz w:val="18"/>
                <w:szCs w:val="18"/>
              </w:rPr>
            </w:pPr>
            <w:r w:rsidRPr="00E871EB">
              <w:rPr>
                <w:rFonts w:cs="Arial"/>
                <w:color w:val="000000"/>
                <w:sz w:val="18"/>
                <w:szCs w:val="18"/>
              </w:rPr>
              <w:t>Diarrhoea</w:t>
            </w:r>
          </w:p>
        </w:tc>
        <w:tc>
          <w:tcPr>
            <w:tcW w:w="1445" w:type="dxa"/>
          </w:tcPr>
          <w:p w14:paraId="2371F5C2" w14:textId="77777777" w:rsidR="00363FAB" w:rsidRPr="00E871EB" w:rsidRDefault="00363FAB" w:rsidP="009B29D0">
            <w:pPr>
              <w:rPr>
                <w:rFonts w:cs="Arial"/>
                <w:sz w:val="18"/>
                <w:szCs w:val="18"/>
              </w:rPr>
            </w:pPr>
            <w:r w:rsidRPr="00E871EB">
              <w:rPr>
                <w:rFonts w:cs="Arial"/>
                <w:color w:val="000000"/>
                <w:sz w:val="18"/>
                <w:szCs w:val="18"/>
              </w:rPr>
              <w:t>3.0</w:t>
            </w:r>
          </w:p>
        </w:tc>
        <w:tc>
          <w:tcPr>
            <w:tcW w:w="1871" w:type="dxa"/>
          </w:tcPr>
          <w:p w14:paraId="65EDD483" w14:textId="77777777" w:rsidR="00363FAB" w:rsidRPr="00E871EB" w:rsidRDefault="00363FAB" w:rsidP="009B29D0">
            <w:pPr>
              <w:rPr>
                <w:rFonts w:cs="Arial"/>
                <w:sz w:val="18"/>
                <w:szCs w:val="18"/>
              </w:rPr>
            </w:pPr>
            <w:r w:rsidRPr="00E871EB">
              <w:rPr>
                <w:rFonts w:cs="Arial"/>
                <w:color w:val="000000"/>
                <w:sz w:val="18"/>
                <w:szCs w:val="18"/>
              </w:rPr>
              <w:t>3.1</w:t>
            </w:r>
          </w:p>
        </w:tc>
      </w:tr>
      <w:tr w:rsidR="00363FAB" w:rsidRPr="00E871EB" w14:paraId="134A76BF" w14:textId="77777777" w:rsidTr="009B29D0">
        <w:trPr>
          <w:trHeight w:val="288"/>
          <w:jc w:val="center"/>
        </w:trPr>
        <w:tc>
          <w:tcPr>
            <w:tcW w:w="3121" w:type="dxa"/>
          </w:tcPr>
          <w:p w14:paraId="153CC4AA" w14:textId="77777777" w:rsidR="00363FAB" w:rsidRPr="00E871EB" w:rsidRDefault="00363FAB" w:rsidP="009B29D0">
            <w:pPr>
              <w:rPr>
                <w:rFonts w:cs="Arial"/>
                <w:sz w:val="18"/>
                <w:szCs w:val="18"/>
              </w:rPr>
            </w:pPr>
            <w:r w:rsidRPr="00E871EB">
              <w:rPr>
                <w:rFonts w:cs="Arial"/>
                <w:color w:val="000000"/>
                <w:sz w:val="18"/>
                <w:szCs w:val="18"/>
              </w:rPr>
              <w:t>Dizziness</w:t>
            </w:r>
          </w:p>
        </w:tc>
        <w:tc>
          <w:tcPr>
            <w:tcW w:w="1445" w:type="dxa"/>
          </w:tcPr>
          <w:p w14:paraId="57517337" w14:textId="77777777" w:rsidR="00363FAB" w:rsidRPr="00E871EB" w:rsidRDefault="00363FAB" w:rsidP="009B29D0">
            <w:pPr>
              <w:rPr>
                <w:rFonts w:cs="Arial"/>
                <w:sz w:val="18"/>
                <w:szCs w:val="18"/>
              </w:rPr>
            </w:pPr>
            <w:r w:rsidRPr="00E871EB">
              <w:rPr>
                <w:rFonts w:cs="Arial"/>
                <w:color w:val="000000"/>
                <w:sz w:val="18"/>
                <w:szCs w:val="18"/>
              </w:rPr>
              <w:t>2.9</w:t>
            </w:r>
          </w:p>
        </w:tc>
        <w:tc>
          <w:tcPr>
            <w:tcW w:w="1871" w:type="dxa"/>
          </w:tcPr>
          <w:p w14:paraId="6ABDED6E" w14:textId="77777777" w:rsidR="00363FAB" w:rsidRPr="00E871EB" w:rsidRDefault="00363FAB" w:rsidP="009B29D0">
            <w:pPr>
              <w:rPr>
                <w:rFonts w:cs="Arial"/>
                <w:sz w:val="18"/>
                <w:szCs w:val="18"/>
              </w:rPr>
            </w:pPr>
            <w:r w:rsidRPr="00E871EB">
              <w:rPr>
                <w:rFonts w:cs="Arial"/>
                <w:color w:val="000000"/>
                <w:sz w:val="18"/>
                <w:szCs w:val="18"/>
              </w:rPr>
              <w:t>3.0</w:t>
            </w:r>
          </w:p>
        </w:tc>
      </w:tr>
      <w:tr w:rsidR="00363FAB" w:rsidRPr="00E871EB" w14:paraId="09666C2E" w14:textId="77777777" w:rsidTr="009B29D0">
        <w:trPr>
          <w:trHeight w:val="288"/>
          <w:jc w:val="center"/>
        </w:trPr>
        <w:tc>
          <w:tcPr>
            <w:tcW w:w="3121" w:type="dxa"/>
          </w:tcPr>
          <w:p w14:paraId="2ABA3270" w14:textId="77777777" w:rsidR="00363FAB" w:rsidRPr="00E871EB" w:rsidRDefault="00363FAB" w:rsidP="009B29D0">
            <w:pPr>
              <w:rPr>
                <w:rFonts w:cs="Arial"/>
                <w:sz w:val="18"/>
                <w:szCs w:val="18"/>
              </w:rPr>
            </w:pPr>
            <w:r w:rsidRPr="00E871EB">
              <w:rPr>
                <w:rFonts w:cs="Arial"/>
                <w:color w:val="000000"/>
                <w:sz w:val="18"/>
                <w:szCs w:val="18"/>
              </w:rPr>
              <w:t>Cough</w:t>
            </w:r>
          </w:p>
        </w:tc>
        <w:tc>
          <w:tcPr>
            <w:tcW w:w="1445" w:type="dxa"/>
          </w:tcPr>
          <w:p w14:paraId="442DBD3E" w14:textId="77777777" w:rsidR="00363FAB" w:rsidRPr="00E871EB" w:rsidRDefault="00363FAB" w:rsidP="009B29D0">
            <w:pPr>
              <w:rPr>
                <w:rFonts w:cs="Arial"/>
                <w:sz w:val="18"/>
                <w:szCs w:val="18"/>
              </w:rPr>
            </w:pPr>
            <w:r w:rsidRPr="00E871EB">
              <w:rPr>
                <w:rFonts w:cs="Arial"/>
                <w:color w:val="000000"/>
                <w:sz w:val="18"/>
                <w:szCs w:val="18"/>
              </w:rPr>
              <w:t>3.1</w:t>
            </w:r>
          </w:p>
        </w:tc>
        <w:tc>
          <w:tcPr>
            <w:tcW w:w="1871" w:type="dxa"/>
          </w:tcPr>
          <w:p w14:paraId="29C1C319" w14:textId="77777777" w:rsidR="00363FAB" w:rsidRPr="00E871EB" w:rsidRDefault="00363FAB" w:rsidP="009B29D0">
            <w:pPr>
              <w:rPr>
                <w:rFonts w:cs="Arial"/>
                <w:sz w:val="18"/>
                <w:szCs w:val="18"/>
              </w:rPr>
            </w:pPr>
            <w:r w:rsidRPr="00E871EB">
              <w:rPr>
                <w:rFonts w:cs="Arial"/>
                <w:color w:val="000000"/>
                <w:sz w:val="18"/>
                <w:szCs w:val="18"/>
              </w:rPr>
              <w:t>2.9</w:t>
            </w:r>
          </w:p>
        </w:tc>
      </w:tr>
      <w:tr w:rsidR="00363FAB" w:rsidRPr="00E871EB" w14:paraId="4C139212" w14:textId="77777777" w:rsidTr="009B29D0">
        <w:trPr>
          <w:trHeight w:val="288"/>
          <w:jc w:val="center"/>
        </w:trPr>
        <w:tc>
          <w:tcPr>
            <w:tcW w:w="3121" w:type="dxa"/>
          </w:tcPr>
          <w:p w14:paraId="3950C8E0" w14:textId="77777777" w:rsidR="00363FAB" w:rsidRPr="00E871EB" w:rsidRDefault="00363FAB" w:rsidP="009B29D0">
            <w:pPr>
              <w:rPr>
                <w:rFonts w:cs="Arial"/>
                <w:sz w:val="18"/>
                <w:szCs w:val="18"/>
              </w:rPr>
            </w:pPr>
            <w:r w:rsidRPr="00E871EB">
              <w:rPr>
                <w:rFonts w:cs="Arial"/>
                <w:color w:val="000000"/>
                <w:sz w:val="18"/>
                <w:szCs w:val="18"/>
              </w:rPr>
              <w:t>Angina pectoris</w:t>
            </w:r>
          </w:p>
        </w:tc>
        <w:tc>
          <w:tcPr>
            <w:tcW w:w="1445" w:type="dxa"/>
          </w:tcPr>
          <w:p w14:paraId="6B36FAA3" w14:textId="77777777" w:rsidR="00363FAB" w:rsidRPr="00E871EB" w:rsidRDefault="00363FAB" w:rsidP="009B29D0">
            <w:pPr>
              <w:rPr>
                <w:rFonts w:cs="Arial"/>
                <w:sz w:val="18"/>
                <w:szCs w:val="18"/>
              </w:rPr>
            </w:pPr>
            <w:r w:rsidRPr="00E871EB">
              <w:rPr>
                <w:rFonts w:cs="Arial"/>
                <w:color w:val="000000"/>
                <w:sz w:val="18"/>
                <w:szCs w:val="18"/>
              </w:rPr>
              <w:t>3.5</w:t>
            </w:r>
          </w:p>
        </w:tc>
        <w:tc>
          <w:tcPr>
            <w:tcW w:w="1871" w:type="dxa"/>
          </w:tcPr>
          <w:p w14:paraId="373A2112" w14:textId="77777777" w:rsidR="00363FAB" w:rsidRPr="00E871EB" w:rsidRDefault="00363FAB" w:rsidP="009B29D0">
            <w:pPr>
              <w:rPr>
                <w:rFonts w:cs="Arial"/>
                <w:sz w:val="18"/>
                <w:szCs w:val="18"/>
              </w:rPr>
            </w:pPr>
            <w:r w:rsidRPr="00E871EB">
              <w:rPr>
                <w:rFonts w:cs="Arial"/>
                <w:color w:val="000000"/>
                <w:sz w:val="18"/>
                <w:szCs w:val="18"/>
              </w:rPr>
              <w:t>2.8</w:t>
            </w:r>
          </w:p>
        </w:tc>
      </w:tr>
      <w:tr w:rsidR="00363FAB" w:rsidRPr="00E871EB" w14:paraId="0E0F14B2" w14:textId="77777777" w:rsidTr="009B29D0">
        <w:trPr>
          <w:trHeight w:val="288"/>
          <w:jc w:val="center"/>
        </w:trPr>
        <w:tc>
          <w:tcPr>
            <w:tcW w:w="3121" w:type="dxa"/>
          </w:tcPr>
          <w:p w14:paraId="25D790E9" w14:textId="77777777" w:rsidR="00363FAB" w:rsidRPr="00E871EB" w:rsidRDefault="00363FAB" w:rsidP="009B29D0">
            <w:pPr>
              <w:rPr>
                <w:rFonts w:cs="Arial"/>
                <w:sz w:val="18"/>
                <w:szCs w:val="18"/>
              </w:rPr>
            </w:pPr>
            <w:r w:rsidRPr="00E871EB">
              <w:rPr>
                <w:rFonts w:cs="Arial"/>
                <w:color w:val="000000"/>
                <w:sz w:val="18"/>
                <w:szCs w:val="18"/>
              </w:rPr>
              <w:t>Pain in extremity</w:t>
            </w:r>
          </w:p>
        </w:tc>
        <w:tc>
          <w:tcPr>
            <w:tcW w:w="1445" w:type="dxa"/>
          </w:tcPr>
          <w:p w14:paraId="59DF025A" w14:textId="77777777" w:rsidR="00363FAB" w:rsidRPr="00E871EB" w:rsidRDefault="00363FAB" w:rsidP="009B29D0">
            <w:pPr>
              <w:rPr>
                <w:rFonts w:cs="Arial"/>
                <w:sz w:val="18"/>
                <w:szCs w:val="18"/>
              </w:rPr>
            </w:pPr>
            <w:r w:rsidRPr="00E871EB">
              <w:rPr>
                <w:rFonts w:cs="Arial"/>
                <w:color w:val="000000"/>
                <w:sz w:val="18"/>
                <w:szCs w:val="18"/>
              </w:rPr>
              <w:t>3.1</w:t>
            </w:r>
          </w:p>
        </w:tc>
        <w:tc>
          <w:tcPr>
            <w:tcW w:w="1871" w:type="dxa"/>
          </w:tcPr>
          <w:p w14:paraId="5B6A0A04" w14:textId="77777777" w:rsidR="00363FAB" w:rsidRPr="00E871EB" w:rsidRDefault="00363FAB" w:rsidP="009B29D0">
            <w:pPr>
              <w:rPr>
                <w:rFonts w:cs="Arial"/>
                <w:sz w:val="18"/>
                <w:szCs w:val="18"/>
              </w:rPr>
            </w:pPr>
            <w:r w:rsidRPr="00E871EB">
              <w:rPr>
                <w:rFonts w:cs="Arial"/>
                <w:color w:val="000000"/>
                <w:sz w:val="18"/>
                <w:szCs w:val="18"/>
              </w:rPr>
              <w:t>2.8</w:t>
            </w:r>
          </w:p>
        </w:tc>
      </w:tr>
      <w:tr w:rsidR="00363FAB" w:rsidRPr="00E871EB" w14:paraId="4E1202D9" w14:textId="77777777" w:rsidTr="009B29D0">
        <w:trPr>
          <w:trHeight w:val="288"/>
          <w:jc w:val="center"/>
        </w:trPr>
        <w:tc>
          <w:tcPr>
            <w:tcW w:w="3121" w:type="dxa"/>
          </w:tcPr>
          <w:p w14:paraId="7399B0F3" w14:textId="77777777" w:rsidR="00363FAB" w:rsidRPr="00E871EB" w:rsidRDefault="00363FAB" w:rsidP="009B29D0">
            <w:pPr>
              <w:rPr>
                <w:rFonts w:cs="Arial"/>
                <w:sz w:val="18"/>
                <w:szCs w:val="18"/>
              </w:rPr>
            </w:pPr>
            <w:r w:rsidRPr="00E871EB">
              <w:rPr>
                <w:rFonts w:cs="Arial"/>
                <w:color w:val="000000"/>
                <w:sz w:val="18"/>
                <w:szCs w:val="18"/>
              </w:rPr>
              <w:t>Fatigue</w:t>
            </w:r>
          </w:p>
        </w:tc>
        <w:tc>
          <w:tcPr>
            <w:tcW w:w="1445" w:type="dxa"/>
          </w:tcPr>
          <w:p w14:paraId="6A2654A2" w14:textId="77777777" w:rsidR="00363FAB" w:rsidRPr="00E871EB" w:rsidRDefault="00363FAB" w:rsidP="009B29D0">
            <w:pPr>
              <w:rPr>
                <w:rFonts w:cs="Arial"/>
                <w:sz w:val="18"/>
                <w:szCs w:val="18"/>
              </w:rPr>
            </w:pPr>
            <w:r w:rsidRPr="00E871EB">
              <w:rPr>
                <w:rFonts w:cs="Arial"/>
                <w:color w:val="000000"/>
                <w:sz w:val="18"/>
                <w:szCs w:val="18"/>
              </w:rPr>
              <w:t>2.4</w:t>
            </w:r>
          </w:p>
        </w:tc>
        <w:tc>
          <w:tcPr>
            <w:tcW w:w="1871" w:type="dxa"/>
          </w:tcPr>
          <w:p w14:paraId="5B89BC84" w14:textId="77777777" w:rsidR="00363FAB" w:rsidRPr="00E871EB" w:rsidRDefault="00363FAB" w:rsidP="009B29D0">
            <w:pPr>
              <w:rPr>
                <w:rFonts w:cs="Arial"/>
                <w:sz w:val="18"/>
                <w:szCs w:val="18"/>
              </w:rPr>
            </w:pPr>
            <w:r w:rsidRPr="00E871EB">
              <w:rPr>
                <w:rFonts w:cs="Arial"/>
                <w:color w:val="000000"/>
                <w:sz w:val="18"/>
                <w:szCs w:val="18"/>
              </w:rPr>
              <w:t>2.3</w:t>
            </w:r>
          </w:p>
        </w:tc>
      </w:tr>
      <w:tr w:rsidR="00363FAB" w:rsidRPr="00E871EB" w14:paraId="0110851F" w14:textId="77777777" w:rsidTr="009B29D0">
        <w:trPr>
          <w:trHeight w:val="288"/>
          <w:jc w:val="center"/>
        </w:trPr>
        <w:tc>
          <w:tcPr>
            <w:tcW w:w="3121" w:type="dxa"/>
            <w:tcBorders>
              <w:bottom w:val="single" w:sz="4" w:space="0" w:color="auto"/>
            </w:tcBorders>
            <w:vAlign w:val="bottom"/>
          </w:tcPr>
          <w:p w14:paraId="24041214" w14:textId="77777777" w:rsidR="00363FAB" w:rsidRPr="00E871EB" w:rsidRDefault="00363FAB" w:rsidP="009B29D0">
            <w:pPr>
              <w:rPr>
                <w:rFonts w:cs="Arial"/>
                <w:sz w:val="18"/>
                <w:szCs w:val="18"/>
              </w:rPr>
            </w:pPr>
            <w:r w:rsidRPr="00E871EB">
              <w:rPr>
                <w:rFonts w:cs="Arial"/>
                <w:color w:val="000000"/>
                <w:sz w:val="18"/>
                <w:szCs w:val="18"/>
              </w:rPr>
              <w:t>Muscle spasms</w:t>
            </w:r>
          </w:p>
        </w:tc>
        <w:tc>
          <w:tcPr>
            <w:tcW w:w="1445" w:type="dxa"/>
            <w:tcBorders>
              <w:bottom w:val="single" w:sz="4" w:space="0" w:color="auto"/>
            </w:tcBorders>
            <w:vAlign w:val="bottom"/>
          </w:tcPr>
          <w:p w14:paraId="4B365B89" w14:textId="77777777" w:rsidR="00363FAB" w:rsidRPr="00E871EB" w:rsidRDefault="00363FAB" w:rsidP="009B29D0">
            <w:pPr>
              <w:rPr>
                <w:rFonts w:cs="Arial"/>
                <w:sz w:val="18"/>
                <w:szCs w:val="18"/>
              </w:rPr>
            </w:pPr>
            <w:r w:rsidRPr="00E871EB">
              <w:rPr>
                <w:rFonts w:cs="Arial"/>
                <w:color w:val="000000"/>
                <w:sz w:val="18"/>
                <w:szCs w:val="18"/>
              </w:rPr>
              <w:t>2.2</w:t>
            </w:r>
          </w:p>
        </w:tc>
        <w:tc>
          <w:tcPr>
            <w:tcW w:w="1871" w:type="dxa"/>
            <w:tcBorders>
              <w:bottom w:val="single" w:sz="4" w:space="0" w:color="auto"/>
            </w:tcBorders>
            <w:vAlign w:val="bottom"/>
          </w:tcPr>
          <w:p w14:paraId="7F62818A" w14:textId="77777777" w:rsidR="00363FAB" w:rsidRPr="00E871EB" w:rsidRDefault="00363FAB" w:rsidP="009B29D0">
            <w:pPr>
              <w:rPr>
                <w:rFonts w:cs="Arial"/>
                <w:sz w:val="18"/>
                <w:szCs w:val="18"/>
              </w:rPr>
            </w:pPr>
            <w:r w:rsidRPr="00E871EB">
              <w:rPr>
                <w:rFonts w:cs="Arial"/>
                <w:color w:val="000000"/>
                <w:sz w:val="18"/>
                <w:szCs w:val="18"/>
              </w:rPr>
              <w:t>2.2</w:t>
            </w:r>
          </w:p>
        </w:tc>
      </w:tr>
    </w:tbl>
    <w:p w14:paraId="71CF9EA5" w14:textId="77777777" w:rsidR="00363FAB" w:rsidRDefault="00363FAB" w:rsidP="00363FAB">
      <w:pPr>
        <w:pStyle w:val="PItextbullet"/>
        <w:numPr>
          <w:ilvl w:val="0"/>
          <w:numId w:val="0"/>
        </w:numPr>
        <w:spacing w:before="0" w:after="0" w:line="240" w:lineRule="auto"/>
        <w:ind w:firstLine="720"/>
        <w:rPr>
          <w:sz w:val="18"/>
          <w:szCs w:val="18"/>
        </w:rPr>
      </w:pPr>
      <w:r>
        <w:rPr>
          <w:sz w:val="18"/>
          <w:szCs w:val="18"/>
        </w:rPr>
        <w:t>*</w:t>
      </w:r>
      <w:r w:rsidRPr="00C4145C">
        <w:rPr>
          <w:sz w:val="18"/>
          <w:szCs w:val="18"/>
        </w:rPr>
        <w:t xml:space="preserve">Any </w:t>
      </w:r>
      <w:r>
        <w:rPr>
          <w:sz w:val="18"/>
          <w:szCs w:val="18"/>
        </w:rPr>
        <w:t>c</w:t>
      </w:r>
      <w:r w:rsidRPr="00C4145C">
        <w:rPr>
          <w:sz w:val="18"/>
          <w:szCs w:val="18"/>
        </w:rPr>
        <w:t>ontrol includes placebo and ezetimibe with or without placebo subjects</w:t>
      </w:r>
      <w:r>
        <w:rPr>
          <w:sz w:val="18"/>
          <w:szCs w:val="18"/>
        </w:rPr>
        <w:t xml:space="preserve"> </w:t>
      </w:r>
    </w:p>
    <w:p w14:paraId="45061C79" w14:textId="77777777" w:rsidR="00363FAB" w:rsidRPr="00E871EB" w:rsidRDefault="00363FAB" w:rsidP="00363FAB">
      <w:pPr>
        <w:pStyle w:val="PItextbullet"/>
        <w:numPr>
          <w:ilvl w:val="0"/>
          <w:numId w:val="0"/>
        </w:numPr>
        <w:spacing w:before="0" w:after="0" w:line="240" w:lineRule="auto"/>
        <w:ind w:firstLine="720"/>
        <w:rPr>
          <w:sz w:val="18"/>
          <w:szCs w:val="18"/>
        </w:rPr>
      </w:pPr>
      <w:r w:rsidRPr="00E871EB">
        <w:rPr>
          <w:sz w:val="18"/>
          <w:szCs w:val="18"/>
        </w:rPr>
        <w:t>N = number of subjects randomi</w:t>
      </w:r>
      <w:r>
        <w:rPr>
          <w:sz w:val="18"/>
          <w:szCs w:val="18"/>
        </w:rPr>
        <w:t>s</w:t>
      </w:r>
      <w:r w:rsidRPr="00E871EB">
        <w:rPr>
          <w:sz w:val="18"/>
          <w:szCs w:val="18"/>
        </w:rPr>
        <w:t xml:space="preserve">ed and dosed. Includes Double-Blinded Studies: 20090158, </w:t>
      </w:r>
    </w:p>
    <w:p w14:paraId="167F2EFE" w14:textId="77777777" w:rsidR="00363FAB" w:rsidRPr="00E871EB" w:rsidRDefault="00363FAB" w:rsidP="00363FAB">
      <w:pPr>
        <w:pStyle w:val="PItextbullet"/>
        <w:numPr>
          <w:ilvl w:val="0"/>
          <w:numId w:val="0"/>
        </w:numPr>
        <w:spacing w:before="0" w:after="0" w:line="240" w:lineRule="auto"/>
        <w:ind w:firstLine="720"/>
        <w:rPr>
          <w:sz w:val="18"/>
          <w:szCs w:val="18"/>
        </w:rPr>
      </w:pPr>
      <w:r>
        <w:rPr>
          <w:sz w:val="18"/>
          <w:szCs w:val="18"/>
        </w:rPr>
        <w:t>2</w:t>
      </w:r>
      <w:r w:rsidRPr="00E871EB">
        <w:rPr>
          <w:sz w:val="18"/>
          <w:szCs w:val="18"/>
        </w:rPr>
        <w:t>0090159, 20101154, 20101155, 20110231, 20110109, 20110114, 20110115, 20110116,</w:t>
      </w:r>
    </w:p>
    <w:p w14:paraId="283A825E" w14:textId="77777777" w:rsidR="00363FAB" w:rsidRPr="00E871EB" w:rsidRDefault="00363FAB" w:rsidP="00363FAB">
      <w:pPr>
        <w:pStyle w:val="PItextbullet"/>
        <w:numPr>
          <w:ilvl w:val="0"/>
          <w:numId w:val="0"/>
        </w:numPr>
        <w:spacing w:before="0" w:after="0" w:line="240" w:lineRule="auto"/>
        <w:ind w:firstLine="720"/>
        <w:rPr>
          <w:sz w:val="18"/>
          <w:szCs w:val="18"/>
        </w:rPr>
      </w:pPr>
      <w:r w:rsidRPr="00E871EB">
        <w:rPr>
          <w:sz w:val="18"/>
          <w:szCs w:val="18"/>
        </w:rPr>
        <w:t>20110117, 20120348, 20120356, 20120332 part B, 20110118, 20120153, 20120122</w:t>
      </w:r>
    </w:p>
    <w:p w14:paraId="67A81D8C" w14:textId="77777777" w:rsidR="00363FAB" w:rsidRPr="00367C17" w:rsidRDefault="00D03C34" w:rsidP="00363FAB">
      <w:pPr>
        <w:pStyle w:val="PI-UnderlinedSubHeader"/>
        <w:ind w:left="0" w:firstLine="0"/>
      </w:pPr>
      <w:r>
        <w:br w:type="page"/>
      </w:r>
      <w:r w:rsidR="00363FAB" w:rsidRPr="00367C17">
        <w:lastRenderedPageBreak/>
        <w:t>Summary of Adverse Reactions</w:t>
      </w:r>
    </w:p>
    <w:p w14:paraId="3782760D" w14:textId="77777777" w:rsidR="00363FAB" w:rsidRDefault="00907A61" w:rsidP="00FF6AAA">
      <w:pPr>
        <w:pStyle w:val="PI-text"/>
      </w:pPr>
      <w:r w:rsidRPr="00FF6AAA">
        <w:rPr>
          <w:sz w:val="20"/>
          <w:lang w:eastAsia="en-AU"/>
        </w:rPr>
        <w:t>Adverse reactions are displayed by system organ class and frequency below using the following</w:t>
      </w:r>
      <w:r w:rsidR="002329E3" w:rsidRPr="00FF6AAA">
        <w:rPr>
          <w:sz w:val="20"/>
          <w:lang w:eastAsia="en-AU"/>
        </w:rPr>
        <w:t xml:space="preserve"> </w:t>
      </w:r>
      <w:r w:rsidRPr="00FF6AAA">
        <w:rPr>
          <w:sz w:val="20"/>
          <w:lang w:eastAsia="en-AU"/>
        </w:rPr>
        <w:t>convention: very common (≥ 1/10), common (≥ 1/100 to &lt; 1/10), uncommon (≥ 1/1,000 to &lt;</w:t>
      </w:r>
      <w:r w:rsidR="00FF6AAA">
        <w:rPr>
          <w:sz w:val="20"/>
          <w:lang w:eastAsia="en-AU"/>
        </w:rPr>
        <w:t> </w:t>
      </w:r>
      <w:r w:rsidRPr="00FF6AAA">
        <w:rPr>
          <w:sz w:val="20"/>
          <w:lang w:eastAsia="en-AU"/>
        </w:rPr>
        <w:t>1/100), rare</w:t>
      </w:r>
      <w:r w:rsidR="002329E3" w:rsidRPr="00FF6AAA">
        <w:rPr>
          <w:sz w:val="20"/>
          <w:lang w:eastAsia="en-AU"/>
        </w:rPr>
        <w:t xml:space="preserve"> </w:t>
      </w:r>
      <w:r w:rsidRPr="00FF6AAA">
        <w:rPr>
          <w:sz w:val="20"/>
          <w:lang w:eastAsia="en-AU"/>
        </w:rPr>
        <w:t>(≥ 1/10,000 to &lt; 1/1,000), and very rare (&lt; 1/10,000).</w:t>
      </w:r>
      <w:r w:rsidR="002329E3">
        <w:rPr>
          <w:color w:val="00B150"/>
          <w:lang w:eastAsia="en-AU"/>
        </w:rPr>
        <w:t xml:space="preserve"> </w:t>
      </w:r>
    </w:p>
    <w:p w14:paraId="22F7A3AC" w14:textId="77777777" w:rsidR="00FF6AAA" w:rsidRPr="00FF6AAA" w:rsidRDefault="00205E85" w:rsidP="009E6497">
      <w:pPr>
        <w:pStyle w:val="Caption"/>
        <w:rPr>
          <w:b w:val="0"/>
          <w:bCs/>
        </w:rPr>
      </w:pPr>
      <w:r>
        <w:t xml:space="preserve">Table </w:t>
      </w:r>
      <w:r w:rsidR="002351AF">
        <w:fldChar w:fldCharType="begin"/>
      </w:r>
      <w:r w:rsidR="002351AF">
        <w:instrText xml:space="preserve"> SEQ Table \* ARABIC </w:instrText>
      </w:r>
      <w:r w:rsidR="002351AF">
        <w:fldChar w:fldCharType="separate"/>
      </w:r>
      <w:r w:rsidR="008C495D">
        <w:rPr>
          <w:noProof/>
        </w:rPr>
        <w:t>10</w:t>
      </w:r>
      <w:r w:rsidR="002351AF">
        <w:rPr>
          <w:noProof/>
        </w:rPr>
        <w:fldChar w:fldCharType="end"/>
      </w:r>
      <w:r>
        <w:t>.</w:t>
      </w:r>
      <w:r w:rsidR="00A25458">
        <w:t xml:space="preserve"> </w:t>
      </w:r>
      <w:r>
        <w:t xml:space="preserve"> </w:t>
      </w:r>
      <w:r w:rsidR="00363FAB" w:rsidRPr="00205E85">
        <w:rPr>
          <w:bCs/>
        </w:rPr>
        <w:t xml:space="preserve">Adverse reactions </w:t>
      </w:r>
      <w:r w:rsidR="00907A61" w:rsidRPr="00205E85">
        <w:rPr>
          <w:bCs/>
        </w:rPr>
        <w:t>with Repatha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08"/>
        <w:gridCol w:w="2797"/>
        <w:gridCol w:w="2781"/>
      </w:tblGrid>
      <w:tr w:rsidR="002329E3" w:rsidRPr="001656EE" w14:paraId="0A591851" w14:textId="77777777" w:rsidTr="002329E3">
        <w:tc>
          <w:tcPr>
            <w:tcW w:w="1861" w:type="pct"/>
            <w:shd w:val="clear" w:color="auto" w:fill="D9D9D9"/>
            <w:tcMar>
              <w:top w:w="0" w:type="dxa"/>
              <w:left w:w="108" w:type="dxa"/>
              <w:bottom w:w="0" w:type="dxa"/>
              <w:right w:w="108" w:type="dxa"/>
            </w:tcMar>
            <w:hideMark/>
          </w:tcPr>
          <w:p w14:paraId="114EB3E3" w14:textId="77777777" w:rsidR="002329E3" w:rsidRPr="002329E3" w:rsidRDefault="002329E3" w:rsidP="002329E3">
            <w:pPr>
              <w:keepNext/>
              <w:spacing w:before="60" w:after="60" w:line="240" w:lineRule="atLeast"/>
              <w:rPr>
                <w:rFonts w:eastAsia="Calibri"/>
                <w:color w:val="000000"/>
                <w:sz w:val="20"/>
                <w:u w:val="single"/>
              </w:rPr>
            </w:pPr>
            <w:r w:rsidRPr="002329E3">
              <w:rPr>
                <w:b/>
                <w:bCs/>
                <w:color w:val="000000"/>
                <w:sz w:val="20"/>
              </w:rPr>
              <w:t>System organ class (SOC)</w:t>
            </w:r>
          </w:p>
        </w:tc>
        <w:tc>
          <w:tcPr>
            <w:tcW w:w="1574" w:type="pct"/>
            <w:shd w:val="clear" w:color="auto" w:fill="D9D9D9"/>
            <w:tcMar>
              <w:top w:w="0" w:type="dxa"/>
              <w:left w:w="108" w:type="dxa"/>
              <w:bottom w:w="0" w:type="dxa"/>
              <w:right w:w="108" w:type="dxa"/>
            </w:tcMar>
            <w:hideMark/>
          </w:tcPr>
          <w:p w14:paraId="1357BA00" w14:textId="77777777" w:rsidR="002329E3" w:rsidRPr="002329E3" w:rsidRDefault="002329E3" w:rsidP="002329E3">
            <w:pPr>
              <w:keepNext/>
              <w:spacing w:before="60" w:after="60" w:line="240" w:lineRule="atLeast"/>
              <w:rPr>
                <w:rFonts w:eastAsia="Calibri"/>
                <w:color w:val="000000"/>
                <w:sz w:val="20"/>
                <w:u w:val="single"/>
              </w:rPr>
            </w:pPr>
            <w:r w:rsidRPr="002329E3">
              <w:rPr>
                <w:b/>
                <w:bCs/>
                <w:color w:val="000000"/>
                <w:sz w:val="20"/>
              </w:rPr>
              <w:t>Adverse reactions</w:t>
            </w:r>
          </w:p>
        </w:tc>
        <w:tc>
          <w:tcPr>
            <w:tcW w:w="1565" w:type="pct"/>
            <w:shd w:val="clear" w:color="auto" w:fill="D9D9D9"/>
            <w:tcMar>
              <w:top w:w="0" w:type="dxa"/>
              <w:left w:w="108" w:type="dxa"/>
              <w:bottom w:w="0" w:type="dxa"/>
              <w:right w:w="108" w:type="dxa"/>
            </w:tcMar>
            <w:hideMark/>
          </w:tcPr>
          <w:p w14:paraId="27873DC3" w14:textId="77777777" w:rsidR="002329E3" w:rsidRPr="002329E3" w:rsidRDefault="002329E3" w:rsidP="002329E3">
            <w:pPr>
              <w:keepNext/>
              <w:spacing w:before="60" w:after="60" w:line="240" w:lineRule="atLeast"/>
              <w:rPr>
                <w:rFonts w:eastAsia="Calibri"/>
                <w:b/>
                <w:bCs/>
                <w:color w:val="000000"/>
                <w:sz w:val="20"/>
              </w:rPr>
            </w:pPr>
            <w:r w:rsidRPr="002329E3">
              <w:rPr>
                <w:b/>
                <w:bCs/>
                <w:color w:val="000000"/>
                <w:sz w:val="20"/>
              </w:rPr>
              <w:t>Frequency category</w:t>
            </w:r>
          </w:p>
        </w:tc>
      </w:tr>
      <w:tr w:rsidR="002329E3" w:rsidRPr="001656EE" w14:paraId="5E63F396" w14:textId="77777777" w:rsidTr="002329E3">
        <w:tc>
          <w:tcPr>
            <w:tcW w:w="1861" w:type="pct"/>
            <w:tcMar>
              <w:top w:w="0" w:type="dxa"/>
              <w:left w:w="108" w:type="dxa"/>
              <w:bottom w:w="0" w:type="dxa"/>
              <w:right w:w="108" w:type="dxa"/>
            </w:tcMar>
            <w:hideMark/>
          </w:tcPr>
          <w:p w14:paraId="170690ED" w14:textId="77777777" w:rsidR="002329E3" w:rsidRPr="002329E3" w:rsidRDefault="002329E3" w:rsidP="002329E3">
            <w:pPr>
              <w:keepNext/>
              <w:rPr>
                <w:rFonts w:eastAsia="Calibri"/>
                <w:color w:val="000000"/>
                <w:sz w:val="20"/>
              </w:rPr>
            </w:pPr>
            <w:r w:rsidRPr="002329E3">
              <w:rPr>
                <w:color w:val="000000"/>
                <w:sz w:val="20"/>
              </w:rPr>
              <w:t>Gastrointestinal Disorders</w:t>
            </w:r>
          </w:p>
        </w:tc>
        <w:tc>
          <w:tcPr>
            <w:tcW w:w="1574" w:type="pct"/>
            <w:tcMar>
              <w:top w:w="0" w:type="dxa"/>
              <w:left w:w="108" w:type="dxa"/>
              <w:bottom w:w="0" w:type="dxa"/>
              <w:right w:w="108" w:type="dxa"/>
            </w:tcMar>
            <w:hideMark/>
          </w:tcPr>
          <w:p w14:paraId="71F2A218" w14:textId="77777777" w:rsidR="002329E3" w:rsidRPr="002329E3" w:rsidRDefault="002329E3" w:rsidP="002329E3">
            <w:pPr>
              <w:keepNext/>
              <w:rPr>
                <w:rFonts w:eastAsia="Calibri"/>
                <w:color w:val="000000"/>
                <w:sz w:val="20"/>
              </w:rPr>
            </w:pPr>
            <w:r w:rsidRPr="002329E3">
              <w:rPr>
                <w:color w:val="000000"/>
                <w:sz w:val="20"/>
              </w:rPr>
              <w:t xml:space="preserve">Nausea </w:t>
            </w:r>
          </w:p>
        </w:tc>
        <w:tc>
          <w:tcPr>
            <w:tcW w:w="1565" w:type="pct"/>
            <w:tcMar>
              <w:top w:w="0" w:type="dxa"/>
              <w:left w:w="108" w:type="dxa"/>
              <w:bottom w:w="0" w:type="dxa"/>
              <w:right w:w="108" w:type="dxa"/>
            </w:tcMar>
            <w:hideMark/>
          </w:tcPr>
          <w:p w14:paraId="0441764C" w14:textId="77777777" w:rsidR="002329E3" w:rsidRPr="002329E3" w:rsidRDefault="002329E3" w:rsidP="002329E3">
            <w:pPr>
              <w:keepNext/>
              <w:rPr>
                <w:rFonts w:eastAsia="Calibri"/>
                <w:color w:val="000000"/>
                <w:sz w:val="20"/>
              </w:rPr>
            </w:pPr>
            <w:r w:rsidRPr="002329E3">
              <w:rPr>
                <w:color w:val="000000"/>
                <w:sz w:val="20"/>
              </w:rPr>
              <w:t>Common</w:t>
            </w:r>
          </w:p>
        </w:tc>
      </w:tr>
      <w:tr w:rsidR="002329E3" w:rsidRPr="001656EE" w14:paraId="20BA6C48" w14:textId="77777777" w:rsidTr="002329E3">
        <w:trPr>
          <w:trHeight w:val="195"/>
        </w:trPr>
        <w:tc>
          <w:tcPr>
            <w:tcW w:w="1861" w:type="pct"/>
            <w:tcMar>
              <w:top w:w="0" w:type="dxa"/>
              <w:left w:w="108" w:type="dxa"/>
              <w:bottom w:w="0" w:type="dxa"/>
              <w:right w:w="108" w:type="dxa"/>
            </w:tcMar>
          </w:tcPr>
          <w:p w14:paraId="3B84A140" w14:textId="77777777" w:rsidR="002329E3" w:rsidRPr="002329E3" w:rsidRDefault="002329E3" w:rsidP="002329E3">
            <w:pPr>
              <w:keepNext/>
              <w:rPr>
                <w:color w:val="000000"/>
                <w:sz w:val="20"/>
              </w:rPr>
            </w:pPr>
            <w:r w:rsidRPr="002329E3">
              <w:rPr>
                <w:color w:val="000000"/>
                <w:sz w:val="20"/>
              </w:rPr>
              <w:t>General Disorders and Administration Site Conditions</w:t>
            </w:r>
          </w:p>
        </w:tc>
        <w:tc>
          <w:tcPr>
            <w:tcW w:w="1574" w:type="pct"/>
            <w:tcMar>
              <w:top w:w="0" w:type="dxa"/>
              <w:left w:w="108" w:type="dxa"/>
              <w:bottom w:w="0" w:type="dxa"/>
              <w:right w:w="108" w:type="dxa"/>
            </w:tcMar>
          </w:tcPr>
          <w:p w14:paraId="6A2AF355" w14:textId="77777777" w:rsidR="002329E3" w:rsidRPr="002329E3" w:rsidRDefault="002329E3" w:rsidP="002329E3">
            <w:pPr>
              <w:keepNext/>
              <w:rPr>
                <w:color w:val="000000"/>
                <w:sz w:val="20"/>
              </w:rPr>
            </w:pPr>
            <w:r w:rsidRPr="002329E3">
              <w:rPr>
                <w:color w:val="000000"/>
                <w:sz w:val="20"/>
              </w:rPr>
              <w:t>Injection Site Reactions</w:t>
            </w:r>
            <w:r w:rsidRPr="002329E3">
              <w:rPr>
                <w:color w:val="000000"/>
                <w:sz w:val="20"/>
                <w:vertAlign w:val="superscript"/>
              </w:rPr>
              <w:t>*</w:t>
            </w:r>
            <w:r w:rsidRPr="002329E3">
              <w:rPr>
                <w:color w:val="000000"/>
                <w:sz w:val="20"/>
              </w:rPr>
              <w:t xml:space="preserve"> </w:t>
            </w:r>
          </w:p>
        </w:tc>
        <w:tc>
          <w:tcPr>
            <w:tcW w:w="1565" w:type="pct"/>
            <w:tcMar>
              <w:top w:w="0" w:type="dxa"/>
              <w:left w:w="108" w:type="dxa"/>
              <w:bottom w:w="0" w:type="dxa"/>
              <w:right w:w="108" w:type="dxa"/>
            </w:tcMar>
          </w:tcPr>
          <w:p w14:paraId="0CC5F0FA" w14:textId="77777777" w:rsidR="002329E3" w:rsidRPr="002329E3" w:rsidRDefault="002329E3" w:rsidP="002329E3">
            <w:pPr>
              <w:keepNext/>
              <w:rPr>
                <w:color w:val="000000"/>
                <w:sz w:val="20"/>
              </w:rPr>
            </w:pPr>
            <w:r w:rsidRPr="002329E3">
              <w:rPr>
                <w:color w:val="000000"/>
                <w:sz w:val="20"/>
              </w:rPr>
              <w:t>Common</w:t>
            </w:r>
          </w:p>
        </w:tc>
      </w:tr>
      <w:tr w:rsidR="002329E3" w:rsidRPr="001656EE" w14:paraId="1916834E" w14:textId="77777777" w:rsidTr="002329E3">
        <w:trPr>
          <w:trHeight w:val="195"/>
        </w:trPr>
        <w:tc>
          <w:tcPr>
            <w:tcW w:w="1861" w:type="pct"/>
            <w:vMerge w:val="restart"/>
            <w:tcMar>
              <w:top w:w="0" w:type="dxa"/>
              <w:left w:w="108" w:type="dxa"/>
              <w:bottom w:w="0" w:type="dxa"/>
              <w:right w:w="108" w:type="dxa"/>
            </w:tcMar>
          </w:tcPr>
          <w:p w14:paraId="2AD8C83F" w14:textId="77777777" w:rsidR="002329E3" w:rsidRPr="002329E3" w:rsidRDefault="002329E3" w:rsidP="002329E3">
            <w:pPr>
              <w:keepNext/>
              <w:rPr>
                <w:color w:val="000000"/>
                <w:sz w:val="20"/>
              </w:rPr>
            </w:pPr>
            <w:r w:rsidRPr="002329E3">
              <w:rPr>
                <w:color w:val="000000"/>
                <w:sz w:val="20"/>
              </w:rPr>
              <w:t>Infections and Infestations</w:t>
            </w:r>
          </w:p>
        </w:tc>
        <w:tc>
          <w:tcPr>
            <w:tcW w:w="1574" w:type="pct"/>
            <w:tcMar>
              <w:top w:w="0" w:type="dxa"/>
              <w:left w:w="108" w:type="dxa"/>
              <w:bottom w:w="0" w:type="dxa"/>
              <w:right w:w="108" w:type="dxa"/>
            </w:tcMar>
          </w:tcPr>
          <w:p w14:paraId="5986D44E" w14:textId="77777777" w:rsidR="002329E3" w:rsidRPr="002329E3" w:rsidRDefault="002329E3" w:rsidP="002329E3">
            <w:pPr>
              <w:keepNext/>
              <w:rPr>
                <w:color w:val="000000"/>
                <w:sz w:val="20"/>
              </w:rPr>
            </w:pPr>
            <w:r w:rsidRPr="002329E3">
              <w:rPr>
                <w:color w:val="000000"/>
                <w:sz w:val="20"/>
              </w:rPr>
              <w:t>Influenza</w:t>
            </w:r>
          </w:p>
        </w:tc>
        <w:tc>
          <w:tcPr>
            <w:tcW w:w="1565" w:type="pct"/>
            <w:tcMar>
              <w:top w:w="0" w:type="dxa"/>
              <w:left w:w="108" w:type="dxa"/>
              <w:bottom w:w="0" w:type="dxa"/>
              <w:right w:w="108" w:type="dxa"/>
            </w:tcMar>
          </w:tcPr>
          <w:p w14:paraId="248B8FC0" w14:textId="77777777" w:rsidR="002329E3" w:rsidRPr="002329E3" w:rsidRDefault="002329E3" w:rsidP="002329E3">
            <w:pPr>
              <w:keepNext/>
              <w:rPr>
                <w:color w:val="000000"/>
                <w:sz w:val="20"/>
              </w:rPr>
            </w:pPr>
            <w:r w:rsidRPr="002329E3">
              <w:rPr>
                <w:color w:val="000000"/>
                <w:sz w:val="20"/>
              </w:rPr>
              <w:t>Common</w:t>
            </w:r>
          </w:p>
        </w:tc>
      </w:tr>
      <w:tr w:rsidR="002329E3" w:rsidRPr="001656EE" w14:paraId="2EF11DB4" w14:textId="77777777" w:rsidTr="002329E3">
        <w:trPr>
          <w:trHeight w:val="195"/>
        </w:trPr>
        <w:tc>
          <w:tcPr>
            <w:tcW w:w="1861" w:type="pct"/>
            <w:vMerge/>
            <w:tcMar>
              <w:top w:w="0" w:type="dxa"/>
              <w:left w:w="108" w:type="dxa"/>
              <w:bottom w:w="0" w:type="dxa"/>
              <w:right w:w="108" w:type="dxa"/>
            </w:tcMar>
            <w:vAlign w:val="center"/>
          </w:tcPr>
          <w:p w14:paraId="0FB816EA" w14:textId="77777777" w:rsidR="002329E3" w:rsidRPr="002329E3" w:rsidRDefault="002329E3" w:rsidP="002329E3">
            <w:pPr>
              <w:keepNext/>
              <w:rPr>
                <w:color w:val="000000"/>
                <w:sz w:val="20"/>
              </w:rPr>
            </w:pPr>
          </w:p>
        </w:tc>
        <w:tc>
          <w:tcPr>
            <w:tcW w:w="1574" w:type="pct"/>
            <w:tcMar>
              <w:top w:w="0" w:type="dxa"/>
              <w:left w:w="108" w:type="dxa"/>
              <w:bottom w:w="0" w:type="dxa"/>
              <w:right w:w="108" w:type="dxa"/>
            </w:tcMar>
          </w:tcPr>
          <w:p w14:paraId="2453BEBD" w14:textId="77777777" w:rsidR="002329E3" w:rsidRPr="002329E3" w:rsidRDefault="002329E3" w:rsidP="002329E3">
            <w:pPr>
              <w:keepNext/>
              <w:rPr>
                <w:color w:val="000000"/>
                <w:sz w:val="20"/>
              </w:rPr>
            </w:pPr>
            <w:r w:rsidRPr="002329E3">
              <w:rPr>
                <w:color w:val="000000"/>
                <w:sz w:val="20"/>
              </w:rPr>
              <w:t>Nasopharyngitis</w:t>
            </w:r>
          </w:p>
        </w:tc>
        <w:tc>
          <w:tcPr>
            <w:tcW w:w="1565" w:type="pct"/>
            <w:tcMar>
              <w:top w:w="0" w:type="dxa"/>
              <w:left w:w="108" w:type="dxa"/>
              <w:bottom w:w="0" w:type="dxa"/>
              <w:right w:w="108" w:type="dxa"/>
            </w:tcMar>
          </w:tcPr>
          <w:p w14:paraId="3BC92730" w14:textId="77777777" w:rsidR="002329E3" w:rsidRPr="002329E3" w:rsidRDefault="002329E3" w:rsidP="002329E3">
            <w:pPr>
              <w:keepNext/>
              <w:rPr>
                <w:color w:val="000000"/>
                <w:sz w:val="20"/>
              </w:rPr>
            </w:pPr>
            <w:r w:rsidRPr="002329E3">
              <w:rPr>
                <w:color w:val="000000"/>
                <w:sz w:val="20"/>
              </w:rPr>
              <w:t>Common</w:t>
            </w:r>
          </w:p>
        </w:tc>
      </w:tr>
      <w:tr w:rsidR="002329E3" w:rsidRPr="001656EE" w14:paraId="16671E81" w14:textId="77777777" w:rsidTr="002329E3">
        <w:trPr>
          <w:trHeight w:val="195"/>
        </w:trPr>
        <w:tc>
          <w:tcPr>
            <w:tcW w:w="1861" w:type="pct"/>
            <w:vMerge/>
            <w:tcMar>
              <w:top w:w="0" w:type="dxa"/>
              <w:left w:w="108" w:type="dxa"/>
              <w:bottom w:w="0" w:type="dxa"/>
              <w:right w:w="108" w:type="dxa"/>
            </w:tcMar>
            <w:vAlign w:val="center"/>
          </w:tcPr>
          <w:p w14:paraId="730D3DE2" w14:textId="77777777" w:rsidR="002329E3" w:rsidRPr="002329E3" w:rsidRDefault="002329E3" w:rsidP="002329E3">
            <w:pPr>
              <w:keepNext/>
              <w:rPr>
                <w:color w:val="000000"/>
                <w:sz w:val="20"/>
              </w:rPr>
            </w:pPr>
          </w:p>
        </w:tc>
        <w:tc>
          <w:tcPr>
            <w:tcW w:w="1574" w:type="pct"/>
            <w:tcMar>
              <w:top w:w="0" w:type="dxa"/>
              <w:left w:w="108" w:type="dxa"/>
              <w:bottom w:w="0" w:type="dxa"/>
              <w:right w:w="108" w:type="dxa"/>
            </w:tcMar>
          </w:tcPr>
          <w:p w14:paraId="5E0BE97B" w14:textId="77777777" w:rsidR="002329E3" w:rsidRPr="002329E3" w:rsidRDefault="002329E3" w:rsidP="002329E3">
            <w:pPr>
              <w:keepNext/>
              <w:rPr>
                <w:color w:val="000000"/>
                <w:sz w:val="20"/>
              </w:rPr>
            </w:pPr>
            <w:r w:rsidRPr="002329E3">
              <w:rPr>
                <w:color w:val="000000"/>
                <w:sz w:val="20"/>
              </w:rPr>
              <w:t>Upper Respiratory Tract Infection</w:t>
            </w:r>
          </w:p>
        </w:tc>
        <w:tc>
          <w:tcPr>
            <w:tcW w:w="1565" w:type="pct"/>
            <w:tcMar>
              <w:top w:w="0" w:type="dxa"/>
              <w:left w:w="108" w:type="dxa"/>
              <w:bottom w:w="0" w:type="dxa"/>
              <w:right w:w="108" w:type="dxa"/>
            </w:tcMar>
          </w:tcPr>
          <w:p w14:paraId="0A09008F" w14:textId="77777777" w:rsidR="002329E3" w:rsidRPr="002329E3" w:rsidRDefault="002329E3" w:rsidP="002329E3">
            <w:pPr>
              <w:keepNext/>
              <w:rPr>
                <w:color w:val="000000"/>
                <w:sz w:val="20"/>
              </w:rPr>
            </w:pPr>
            <w:r w:rsidRPr="002329E3">
              <w:rPr>
                <w:color w:val="000000"/>
                <w:sz w:val="20"/>
              </w:rPr>
              <w:t>Common</w:t>
            </w:r>
          </w:p>
        </w:tc>
      </w:tr>
      <w:tr w:rsidR="002329E3" w:rsidRPr="001656EE" w14:paraId="0298A44D" w14:textId="77777777" w:rsidTr="002329E3">
        <w:trPr>
          <w:trHeight w:val="195"/>
        </w:trPr>
        <w:tc>
          <w:tcPr>
            <w:tcW w:w="1861" w:type="pct"/>
            <w:vMerge w:val="restart"/>
            <w:tcMar>
              <w:top w:w="0" w:type="dxa"/>
              <w:left w:w="108" w:type="dxa"/>
              <w:bottom w:w="0" w:type="dxa"/>
              <w:right w:w="108" w:type="dxa"/>
            </w:tcMar>
            <w:hideMark/>
          </w:tcPr>
          <w:p w14:paraId="0D0A0951" w14:textId="77777777" w:rsidR="002329E3" w:rsidRPr="002329E3" w:rsidRDefault="002329E3" w:rsidP="002329E3">
            <w:pPr>
              <w:keepNext/>
              <w:rPr>
                <w:rFonts w:eastAsia="Calibri"/>
                <w:color w:val="000000"/>
                <w:sz w:val="20"/>
              </w:rPr>
            </w:pPr>
            <w:r w:rsidRPr="002329E3">
              <w:rPr>
                <w:color w:val="000000"/>
                <w:sz w:val="20"/>
              </w:rPr>
              <w:t>Musculoskeletal and Connective Tissue Disorders</w:t>
            </w:r>
          </w:p>
        </w:tc>
        <w:tc>
          <w:tcPr>
            <w:tcW w:w="1574" w:type="pct"/>
            <w:tcMar>
              <w:top w:w="0" w:type="dxa"/>
              <w:left w:w="108" w:type="dxa"/>
              <w:bottom w:w="0" w:type="dxa"/>
              <w:right w:w="108" w:type="dxa"/>
            </w:tcMar>
          </w:tcPr>
          <w:p w14:paraId="551422B8" w14:textId="77777777" w:rsidR="002329E3" w:rsidRPr="002329E3" w:rsidRDefault="002329E3" w:rsidP="002329E3">
            <w:pPr>
              <w:keepNext/>
              <w:rPr>
                <w:rFonts w:eastAsia="Calibri"/>
                <w:color w:val="000000"/>
                <w:sz w:val="20"/>
              </w:rPr>
            </w:pPr>
            <w:r w:rsidRPr="002329E3">
              <w:rPr>
                <w:color w:val="000000"/>
                <w:sz w:val="20"/>
              </w:rPr>
              <w:t>Arthralgia</w:t>
            </w:r>
          </w:p>
        </w:tc>
        <w:tc>
          <w:tcPr>
            <w:tcW w:w="1565" w:type="pct"/>
            <w:tcMar>
              <w:top w:w="0" w:type="dxa"/>
              <w:left w:w="108" w:type="dxa"/>
              <w:bottom w:w="0" w:type="dxa"/>
              <w:right w:w="108" w:type="dxa"/>
            </w:tcMar>
            <w:hideMark/>
          </w:tcPr>
          <w:p w14:paraId="0084D2D3" w14:textId="77777777" w:rsidR="002329E3" w:rsidRPr="002329E3" w:rsidRDefault="002329E3" w:rsidP="002329E3">
            <w:pPr>
              <w:keepNext/>
              <w:rPr>
                <w:rFonts w:eastAsia="Calibri"/>
                <w:color w:val="000000"/>
                <w:sz w:val="20"/>
              </w:rPr>
            </w:pPr>
            <w:r w:rsidRPr="002329E3">
              <w:rPr>
                <w:color w:val="000000"/>
                <w:sz w:val="20"/>
              </w:rPr>
              <w:t>Common</w:t>
            </w:r>
          </w:p>
        </w:tc>
      </w:tr>
      <w:tr w:rsidR="002329E3" w:rsidRPr="001656EE" w14:paraId="409EC5C8" w14:textId="77777777" w:rsidTr="002329E3">
        <w:trPr>
          <w:trHeight w:val="194"/>
        </w:trPr>
        <w:tc>
          <w:tcPr>
            <w:tcW w:w="1861" w:type="pct"/>
            <w:vMerge/>
            <w:vAlign w:val="center"/>
            <w:hideMark/>
          </w:tcPr>
          <w:p w14:paraId="34E3C191" w14:textId="77777777" w:rsidR="002329E3" w:rsidRPr="002329E3" w:rsidRDefault="002329E3" w:rsidP="002329E3">
            <w:pPr>
              <w:keepNext/>
              <w:rPr>
                <w:rFonts w:eastAsia="Calibri"/>
                <w:color w:val="000000"/>
                <w:sz w:val="20"/>
              </w:rPr>
            </w:pPr>
          </w:p>
        </w:tc>
        <w:tc>
          <w:tcPr>
            <w:tcW w:w="1574" w:type="pct"/>
            <w:tcMar>
              <w:top w:w="0" w:type="dxa"/>
              <w:left w:w="108" w:type="dxa"/>
              <w:bottom w:w="0" w:type="dxa"/>
              <w:right w:w="108" w:type="dxa"/>
            </w:tcMar>
            <w:hideMark/>
          </w:tcPr>
          <w:p w14:paraId="2085A15E" w14:textId="77777777" w:rsidR="002329E3" w:rsidRPr="002329E3" w:rsidRDefault="002329E3" w:rsidP="002329E3">
            <w:pPr>
              <w:keepNext/>
              <w:rPr>
                <w:rFonts w:eastAsia="Calibri"/>
                <w:color w:val="000000"/>
                <w:sz w:val="20"/>
              </w:rPr>
            </w:pPr>
            <w:r w:rsidRPr="002329E3">
              <w:rPr>
                <w:color w:val="000000"/>
                <w:sz w:val="20"/>
              </w:rPr>
              <w:t>Back pain</w:t>
            </w:r>
          </w:p>
        </w:tc>
        <w:tc>
          <w:tcPr>
            <w:tcW w:w="1565" w:type="pct"/>
            <w:tcMar>
              <w:top w:w="0" w:type="dxa"/>
              <w:left w:w="108" w:type="dxa"/>
              <w:bottom w:w="0" w:type="dxa"/>
              <w:right w:w="108" w:type="dxa"/>
            </w:tcMar>
            <w:hideMark/>
          </w:tcPr>
          <w:p w14:paraId="418C5B7E" w14:textId="77777777" w:rsidR="002329E3" w:rsidRPr="002329E3" w:rsidRDefault="002329E3" w:rsidP="002329E3">
            <w:pPr>
              <w:keepNext/>
              <w:rPr>
                <w:rFonts w:eastAsia="Calibri"/>
                <w:color w:val="000000"/>
                <w:sz w:val="20"/>
              </w:rPr>
            </w:pPr>
            <w:r w:rsidRPr="002329E3">
              <w:rPr>
                <w:color w:val="000000"/>
                <w:sz w:val="20"/>
              </w:rPr>
              <w:t>Common</w:t>
            </w:r>
          </w:p>
        </w:tc>
      </w:tr>
      <w:tr w:rsidR="002329E3" w:rsidRPr="001656EE" w14:paraId="35BCC8AD" w14:textId="77777777" w:rsidTr="002329E3">
        <w:trPr>
          <w:trHeight w:val="194"/>
        </w:trPr>
        <w:tc>
          <w:tcPr>
            <w:tcW w:w="1861" w:type="pct"/>
            <w:vMerge w:val="restart"/>
            <w:tcMar>
              <w:top w:w="0" w:type="dxa"/>
              <w:left w:w="108" w:type="dxa"/>
              <w:bottom w:w="0" w:type="dxa"/>
              <w:right w:w="108" w:type="dxa"/>
            </w:tcMar>
          </w:tcPr>
          <w:p w14:paraId="26165316" w14:textId="77777777" w:rsidR="002329E3" w:rsidRPr="002329E3" w:rsidRDefault="002329E3" w:rsidP="002329E3">
            <w:pPr>
              <w:rPr>
                <w:rFonts w:eastAsia="Calibri"/>
                <w:color w:val="000000"/>
                <w:sz w:val="20"/>
              </w:rPr>
            </w:pPr>
            <w:r w:rsidRPr="002329E3">
              <w:rPr>
                <w:color w:val="000000"/>
                <w:sz w:val="20"/>
              </w:rPr>
              <w:t>Skin and Subcutaneous Tissue Disorders</w:t>
            </w:r>
          </w:p>
        </w:tc>
        <w:tc>
          <w:tcPr>
            <w:tcW w:w="1574" w:type="pct"/>
            <w:tcMar>
              <w:top w:w="0" w:type="dxa"/>
              <w:left w:w="108" w:type="dxa"/>
              <w:bottom w:w="0" w:type="dxa"/>
              <w:right w:w="108" w:type="dxa"/>
            </w:tcMar>
          </w:tcPr>
          <w:p w14:paraId="417E4D22" w14:textId="77777777" w:rsidR="002329E3" w:rsidRPr="002329E3" w:rsidRDefault="002329E3" w:rsidP="002329E3">
            <w:pPr>
              <w:rPr>
                <w:rFonts w:eastAsia="Calibri"/>
                <w:color w:val="000000"/>
                <w:sz w:val="20"/>
              </w:rPr>
            </w:pPr>
            <w:r w:rsidRPr="002329E3">
              <w:rPr>
                <w:bCs/>
                <w:color w:val="000000"/>
                <w:sz w:val="20"/>
              </w:rPr>
              <w:t>Rash</w:t>
            </w:r>
          </w:p>
        </w:tc>
        <w:tc>
          <w:tcPr>
            <w:tcW w:w="1565" w:type="pct"/>
            <w:tcMar>
              <w:top w:w="0" w:type="dxa"/>
              <w:left w:w="108" w:type="dxa"/>
              <w:bottom w:w="0" w:type="dxa"/>
              <w:right w:w="108" w:type="dxa"/>
            </w:tcMar>
          </w:tcPr>
          <w:p w14:paraId="2561D889" w14:textId="77777777" w:rsidR="002329E3" w:rsidRPr="002329E3" w:rsidRDefault="002329E3" w:rsidP="002329E3">
            <w:pPr>
              <w:rPr>
                <w:rFonts w:eastAsia="Calibri"/>
                <w:color w:val="000000"/>
                <w:sz w:val="20"/>
              </w:rPr>
            </w:pPr>
            <w:r w:rsidRPr="002329E3">
              <w:rPr>
                <w:bCs/>
                <w:color w:val="000000"/>
                <w:sz w:val="20"/>
              </w:rPr>
              <w:t>Common</w:t>
            </w:r>
          </w:p>
        </w:tc>
      </w:tr>
      <w:tr w:rsidR="002329E3" w:rsidRPr="001656EE" w14:paraId="429199AA" w14:textId="77777777" w:rsidTr="002329E3">
        <w:trPr>
          <w:trHeight w:val="194"/>
        </w:trPr>
        <w:tc>
          <w:tcPr>
            <w:tcW w:w="1861" w:type="pct"/>
            <w:vMerge/>
            <w:tcMar>
              <w:top w:w="0" w:type="dxa"/>
              <w:left w:w="108" w:type="dxa"/>
              <w:bottom w:w="0" w:type="dxa"/>
              <w:right w:w="108" w:type="dxa"/>
            </w:tcMar>
          </w:tcPr>
          <w:p w14:paraId="266B6493" w14:textId="77777777" w:rsidR="002329E3" w:rsidRPr="002329E3" w:rsidRDefault="002329E3" w:rsidP="002329E3">
            <w:pPr>
              <w:rPr>
                <w:rFonts w:eastAsia="Calibri"/>
                <w:color w:val="000000"/>
                <w:sz w:val="20"/>
              </w:rPr>
            </w:pPr>
          </w:p>
        </w:tc>
        <w:tc>
          <w:tcPr>
            <w:tcW w:w="1574" w:type="pct"/>
            <w:tcMar>
              <w:top w:w="0" w:type="dxa"/>
              <w:left w:w="108" w:type="dxa"/>
              <w:bottom w:w="0" w:type="dxa"/>
              <w:right w:w="108" w:type="dxa"/>
            </w:tcMar>
          </w:tcPr>
          <w:p w14:paraId="00FE1913" w14:textId="77777777" w:rsidR="002329E3" w:rsidRPr="002329E3" w:rsidRDefault="002329E3" w:rsidP="002329E3">
            <w:pPr>
              <w:rPr>
                <w:rFonts w:eastAsia="Calibri"/>
                <w:color w:val="000000"/>
                <w:sz w:val="20"/>
              </w:rPr>
            </w:pPr>
            <w:r w:rsidRPr="002329E3">
              <w:rPr>
                <w:bCs/>
                <w:color w:val="000000"/>
                <w:sz w:val="20"/>
              </w:rPr>
              <w:t>Urticaria</w:t>
            </w:r>
          </w:p>
        </w:tc>
        <w:tc>
          <w:tcPr>
            <w:tcW w:w="1565" w:type="pct"/>
            <w:tcMar>
              <w:top w:w="0" w:type="dxa"/>
              <w:left w:w="108" w:type="dxa"/>
              <w:bottom w:w="0" w:type="dxa"/>
              <w:right w:w="108" w:type="dxa"/>
            </w:tcMar>
          </w:tcPr>
          <w:p w14:paraId="2F148DD3" w14:textId="77777777" w:rsidR="002329E3" w:rsidRPr="002329E3" w:rsidRDefault="002329E3" w:rsidP="002329E3">
            <w:pPr>
              <w:rPr>
                <w:rFonts w:eastAsia="Calibri"/>
                <w:color w:val="000000"/>
                <w:sz w:val="20"/>
              </w:rPr>
            </w:pPr>
            <w:r w:rsidRPr="002329E3">
              <w:rPr>
                <w:bCs/>
                <w:color w:val="000000"/>
                <w:sz w:val="20"/>
              </w:rPr>
              <w:t>Uncommon</w:t>
            </w:r>
          </w:p>
        </w:tc>
      </w:tr>
      <w:tr w:rsidR="002329E3" w:rsidRPr="001656EE" w14:paraId="1386A1B0" w14:textId="77777777" w:rsidTr="002329E3">
        <w:trPr>
          <w:trHeight w:val="194"/>
        </w:trPr>
        <w:tc>
          <w:tcPr>
            <w:tcW w:w="5000" w:type="pct"/>
            <w:gridSpan w:val="3"/>
            <w:tcMar>
              <w:top w:w="0" w:type="dxa"/>
              <w:left w:w="108" w:type="dxa"/>
              <w:bottom w:w="0" w:type="dxa"/>
              <w:right w:w="108" w:type="dxa"/>
            </w:tcMar>
          </w:tcPr>
          <w:p w14:paraId="66C0F512" w14:textId="77777777" w:rsidR="002329E3" w:rsidRPr="008931F4" w:rsidRDefault="002329E3" w:rsidP="002329E3">
            <w:pPr>
              <w:pStyle w:val="FootnoteText"/>
              <w:keepNext/>
              <w:spacing w:before="60" w:after="60"/>
              <w:ind w:left="0" w:firstLine="0"/>
              <w:rPr>
                <w:szCs w:val="18"/>
              </w:rPr>
            </w:pPr>
            <w:r>
              <w:rPr>
                <w:szCs w:val="18"/>
                <w:vertAlign w:val="superscript"/>
              </w:rPr>
              <w:t>*</w:t>
            </w:r>
            <w:r w:rsidRPr="00334F8D">
              <w:rPr>
                <w:szCs w:val="18"/>
              </w:rPr>
              <w:t>Injection Site Reactions includes injection site pain</w:t>
            </w:r>
            <w:r>
              <w:rPr>
                <w:szCs w:val="18"/>
              </w:rPr>
              <w:t xml:space="preserve">, </w:t>
            </w:r>
            <w:r w:rsidRPr="00334F8D">
              <w:rPr>
                <w:szCs w:val="18"/>
              </w:rPr>
              <w:t>injection site erythema</w:t>
            </w:r>
            <w:r>
              <w:rPr>
                <w:szCs w:val="18"/>
              </w:rPr>
              <w:t xml:space="preserve">, </w:t>
            </w:r>
            <w:r w:rsidRPr="00334F8D">
              <w:rPr>
                <w:szCs w:val="18"/>
              </w:rPr>
              <w:t xml:space="preserve">injection site </w:t>
            </w:r>
            <w:r>
              <w:rPr>
                <w:szCs w:val="18"/>
              </w:rPr>
              <w:t>bruising, injection site swelling, and injection site haemorrhage</w:t>
            </w:r>
          </w:p>
        </w:tc>
      </w:tr>
    </w:tbl>
    <w:p w14:paraId="2EF590DD" w14:textId="77777777" w:rsidR="002329E3" w:rsidRDefault="002329E3" w:rsidP="00246473">
      <w:pPr>
        <w:rPr>
          <w:iCs/>
        </w:rPr>
      </w:pPr>
    </w:p>
    <w:p w14:paraId="1DC34368" w14:textId="3AB73186" w:rsidR="006006CC" w:rsidRDefault="006006CC" w:rsidP="00246473">
      <w:pPr>
        <w:rPr>
          <w:rFonts w:cs="Arial"/>
          <w:bCs/>
          <w:color w:val="000000"/>
          <w:sz w:val="20"/>
        </w:rPr>
      </w:pPr>
      <w:r w:rsidRPr="006006CC">
        <w:rPr>
          <w:rFonts w:cs="Arial"/>
          <w:bCs/>
          <w:color w:val="000000"/>
          <w:sz w:val="20"/>
        </w:rPr>
        <w:t xml:space="preserve">The safety profile in the HoFH population was consistent with that demonstrated in the </w:t>
      </w:r>
      <w:r w:rsidR="00D1316C">
        <w:rPr>
          <w:rFonts w:cs="Arial"/>
          <w:bCs/>
          <w:color w:val="000000"/>
          <w:sz w:val="20"/>
        </w:rPr>
        <w:t xml:space="preserve">primary </w:t>
      </w:r>
      <w:r w:rsidRPr="006006CC">
        <w:rPr>
          <w:rFonts w:cs="Arial"/>
          <w:bCs/>
          <w:color w:val="000000"/>
          <w:sz w:val="20"/>
        </w:rPr>
        <w:t>hyper</w:t>
      </w:r>
      <w:r>
        <w:rPr>
          <w:rFonts w:cs="Arial"/>
          <w:bCs/>
          <w:color w:val="000000"/>
          <w:sz w:val="20"/>
        </w:rPr>
        <w:t>cholesterolaemia</w:t>
      </w:r>
      <w:r w:rsidRPr="006006CC">
        <w:rPr>
          <w:rFonts w:cs="Arial"/>
          <w:bCs/>
          <w:color w:val="000000"/>
          <w:sz w:val="20"/>
        </w:rPr>
        <w:t xml:space="preserve"> population.</w:t>
      </w:r>
    </w:p>
    <w:p w14:paraId="66FDAD71" w14:textId="77777777" w:rsidR="009054AE" w:rsidRDefault="009054AE" w:rsidP="00246473">
      <w:pPr>
        <w:rPr>
          <w:rFonts w:cs="Arial"/>
          <w:bCs/>
          <w:color w:val="000000"/>
          <w:sz w:val="20"/>
        </w:rPr>
      </w:pPr>
    </w:p>
    <w:p w14:paraId="2CF3BEE3" w14:textId="77777777" w:rsidR="009054AE" w:rsidRPr="006225F4" w:rsidRDefault="009054AE" w:rsidP="009054AE">
      <w:pPr>
        <w:pStyle w:val="PI-UnderlinedSubHeader"/>
        <w:ind w:left="0" w:firstLine="0"/>
      </w:pPr>
      <w:r>
        <w:t xml:space="preserve">Other </w:t>
      </w:r>
      <w:r w:rsidRPr="006225F4">
        <w:t xml:space="preserve">Adverse Reactions </w:t>
      </w:r>
    </w:p>
    <w:p w14:paraId="1DEEE774" w14:textId="7E92CFF5" w:rsidR="009054AE" w:rsidRDefault="009054AE" w:rsidP="009054AE">
      <w:pPr>
        <w:suppressAutoHyphens w:val="0"/>
        <w:autoSpaceDE w:val="0"/>
        <w:autoSpaceDN w:val="0"/>
        <w:adjustRightInd w:val="0"/>
      </w:pPr>
      <w:r>
        <w:t>A tabulated listing of a</w:t>
      </w:r>
      <w:r w:rsidRPr="00E140C1">
        <w:t xml:space="preserve">dverse reactions reported in </w:t>
      </w:r>
      <w:r>
        <w:t>&lt;2%</w:t>
      </w:r>
      <w:r w:rsidRPr="00E140C1">
        <w:t xml:space="preserve"> of patients treated with </w:t>
      </w:r>
      <w:r>
        <w:t>evolocumab</w:t>
      </w:r>
      <w:r w:rsidRPr="00E140C1">
        <w:t xml:space="preserve"> </w:t>
      </w:r>
      <w:r>
        <w:t xml:space="preserve">to a 0.5% cut off, </w:t>
      </w:r>
      <w:r w:rsidRPr="00E140C1">
        <w:t xml:space="preserve">at an incidence greater than </w:t>
      </w:r>
      <w:r>
        <w:t xml:space="preserve">any </w:t>
      </w:r>
      <w:r w:rsidRPr="00E140C1">
        <w:t xml:space="preserve">control, are shown </w:t>
      </w:r>
      <w:r>
        <w:t xml:space="preserve">in </w:t>
      </w:r>
      <w:r w:rsidRPr="00AC4836">
        <w:rPr>
          <w:color w:val="0000FF"/>
        </w:rPr>
        <w:fldChar w:fldCharType="begin"/>
      </w:r>
      <w:r w:rsidRPr="00AC4836">
        <w:rPr>
          <w:color w:val="0000FF"/>
        </w:rPr>
        <w:instrText xml:space="preserve"> REF _Ref485893435 \h </w:instrText>
      </w:r>
      <w:r>
        <w:rPr>
          <w:color w:val="0000FF"/>
        </w:rPr>
        <w:instrText xml:space="preserve"> \* MERGEFORMAT </w:instrText>
      </w:r>
      <w:r w:rsidRPr="00AC4836">
        <w:rPr>
          <w:color w:val="0000FF"/>
        </w:rPr>
      </w:r>
      <w:r w:rsidRPr="00AC4836">
        <w:rPr>
          <w:color w:val="0000FF"/>
        </w:rPr>
        <w:fldChar w:fldCharType="separate"/>
      </w:r>
      <w:r w:rsidR="008C495D" w:rsidRPr="008C495D">
        <w:rPr>
          <w:color w:val="0000FF"/>
        </w:rPr>
        <w:t>Table 11</w:t>
      </w:r>
      <w:r w:rsidRPr="00AC4836">
        <w:rPr>
          <w:color w:val="0000FF"/>
        </w:rPr>
        <w:fldChar w:fldCharType="end"/>
      </w:r>
      <w:r>
        <w:t>:</w:t>
      </w:r>
    </w:p>
    <w:p w14:paraId="71321093" w14:textId="77777777" w:rsidR="00310C20" w:rsidRPr="00310C20" w:rsidRDefault="009054AE" w:rsidP="009E6497">
      <w:pPr>
        <w:pStyle w:val="Caption"/>
      </w:pPr>
      <w:bookmarkStart w:id="26" w:name="_Ref485893435"/>
      <w:r>
        <w:t>Table </w:t>
      </w:r>
      <w:r w:rsidR="002351AF">
        <w:fldChar w:fldCharType="begin"/>
      </w:r>
      <w:r w:rsidR="002351AF">
        <w:instrText xml:space="preserve"> SEQ Table \* ARABIC </w:instrText>
      </w:r>
      <w:r w:rsidR="002351AF">
        <w:fldChar w:fldCharType="separate"/>
      </w:r>
      <w:r w:rsidR="008C495D">
        <w:rPr>
          <w:noProof/>
        </w:rPr>
        <w:t>11</w:t>
      </w:r>
      <w:r w:rsidR="002351AF">
        <w:rPr>
          <w:noProof/>
        </w:rPr>
        <w:fldChar w:fldCharType="end"/>
      </w:r>
      <w:bookmarkEnd w:id="26"/>
      <w:r>
        <w:t xml:space="preserve">.  </w:t>
      </w:r>
      <w:r w:rsidR="008B1914">
        <w:t xml:space="preserve">Other Uncommon </w:t>
      </w:r>
      <w:r w:rsidRPr="0041652B">
        <w:t>Adverse reactions</w:t>
      </w:r>
    </w:p>
    <w:tbl>
      <w:tblPr>
        <w:tblW w:w="0" w:type="auto"/>
        <w:jc w:val="center"/>
        <w:tblLayout w:type="fixed"/>
        <w:tblCellMar>
          <w:left w:w="60" w:type="dxa"/>
          <w:right w:w="60" w:type="dxa"/>
        </w:tblCellMar>
        <w:tblLook w:val="0000" w:firstRow="0" w:lastRow="0" w:firstColumn="0" w:lastColumn="0" w:noHBand="0" w:noVBand="0"/>
      </w:tblPr>
      <w:tblGrid>
        <w:gridCol w:w="5231"/>
        <w:gridCol w:w="1559"/>
        <w:gridCol w:w="1564"/>
      </w:tblGrid>
      <w:tr w:rsidR="009054AE" w:rsidRPr="00E140C1" w14:paraId="00EDC5E7" w14:textId="77777777" w:rsidTr="00456789">
        <w:trPr>
          <w:jc w:val="center"/>
        </w:trPr>
        <w:tc>
          <w:tcPr>
            <w:tcW w:w="5231" w:type="dxa"/>
            <w:tcBorders>
              <w:bottom w:val="single" w:sz="4" w:space="0" w:color="auto"/>
            </w:tcBorders>
            <w:vAlign w:val="bottom"/>
          </w:tcPr>
          <w:p w14:paraId="28B2C387" w14:textId="77777777" w:rsidR="009054AE" w:rsidRPr="00E140C1" w:rsidRDefault="009054AE" w:rsidP="00456789">
            <w:pPr>
              <w:rPr>
                <w:b/>
                <w:sz w:val="18"/>
                <w:szCs w:val="16"/>
              </w:rPr>
            </w:pPr>
            <w:r w:rsidRPr="00E140C1">
              <w:rPr>
                <w:b/>
                <w:sz w:val="18"/>
                <w:szCs w:val="16"/>
              </w:rPr>
              <w:t>Body System/Organ Class</w:t>
            </w:r>
          </w:p>
          <w:p w14:paraId="6D03C9B6" w14:textId="77777777" w:rsidR="009054AE" w:rsidRPr="00E140C1" w:rsidRDefault="009054AE" w:rsidP="00456789">
            <w:pPr>
              <w:rPr>
                <w:sz w:val="18"/>
                <w:szCs w:val="18"/>
              </w:rPr>
            </w:pPr>
            <w:r w:rsidRPr="00E140C1">
              <w:rPr>
                <w:sz w:val="18"/>
                <w:szCs w:val="16"/>
              </w:rPr>
              <w:t>Adverse Reaction</w:t>
            </w:r>
          </w:p>
        </w:tc>
        <w:tc>
          <w:tcPr>
            <w:tcW w:w="1559" w:type="dxa"/>
            <w:tcBorders>
              <w:bottom w:val="single" w:sz="4" w:space="0" w:color="auto"/>
            </w:tcBorders>
            <w:vAlign w:val="bottom"/>
          </w:tcPr>
          <w:p w14:paraId="455E49BF" w14:textId="77777777" w:rsidR="009054AE" w:rsidRPr="00E140C1" w:rsidRDefault="009054AE" w:rsidP="00456789">
            <w:pPr>
              <w:jc w:val="center"/>
              <w:rPr>
                <w:sz w:val="18"/>
                <w:szCs w:val="18"/>
              </w:rPr>
            </w:pPr>
            <w:r>
              <w:rPr>
                <w:sz w:val="18"/>
                <w:szCs w:val="18"/>
              </w:rPr>
              <w:t>Any c</w:t>
            </w:r>
            <w:r w:rsidRPr="00E140C1">
              <w:rPr>
                <w:sz w:val="18"/>
                <w:szCs w:val="18"/>
              </w:rPr>
              <w:t>ontrol</w:t>
            </w:r>
          </w:p>
          <w:p w14:paraId="4D3FFD53" w14:textId="77777777" w:rsidR="009054AE" w:rsidRPr="00E140C1" w:rsidRDefault="009054AE" w:rsidP="00456789">
            <w:pPr>
              <w:jc w:val="center"/>
              <w:rPr>
                <w:sz w:val="18"/>
                <w:szCs w:val="18"/>
              </w:rPr>
            </w:pPr>
            <w:r w:rsidRPr="00E140C1">
              <w:rPr>
                <w:sz w:val="18"/>
                <w:szCs w:val="18"/>
              </w:rPr>
              <w:t xml:space="preserve">(N = </w:t>
            </w:r>
            <w:r>
              <w:rPr>
                <w:sz w:val="18"/>
                <w:szCs w:val="18"/>
              </w:rPr>
              <w:t>16,595</w:t>
            </w:r>
            <w:r w:rsidRPr="00E140C1">
              <w:rPr>
                <w:sz w:val="18"/>
                <w:szCs w:val="18"/>
              </w:rPr>
              <w:t>)</w:t>
            </w:r>
          </w:p>
          <w:p w14:paraId="2AE64A4C" w14:textId="77777777" w:rsidR="009054AE" w:rsidRPr="00E140C1" w:rsidRDefault="009054AE" w:rsidP="00456789">
            <w:pPr>
              <w:jc w:val="center"/>
              <w:rPr>
                <w:sz w:val="18"/>
                <w:szCs w:val="18"/>
              </w:rPr>
            </w:pPr>
            <w:r w:rsidRPr="00E140C1">
              <w:rPr>
                <w:sz w:val="18"/>
                <w:szCs w:val="18"/>
              </w:rPr>
              <w:t>%</w:t>
            </w:r>
          </w:p>
        </w:tc>
        <w:tc>
          <w:tcPr>
            <w:tcW w:w="1564" w:type="dxa"/>
            <w:tcBorders>
              <w:bottom w:val="single" w:sz="4" w:space="0" w:color="auto"/>
            </w:tcBorders>
            <w:vAlign w:val="bottom"/>
          </w:tcPr>
          <w:p w14:paraId="5FBD03B9" w14:textId="77777777" w:rsidR="009054AE" w:rsidRPr="00E140C1" w:rsidRDefault="009054AE" w:rsidP="00456789">
            <w:pPr>
              <w:jc w:val="center"/>
              <w:rPr>
                <w:sz w:val="18"/>
                <w:szCs w:val="18"/>
              </w:rPr>
            </w:pPr>
            <w:r>
              <w:rPr>
                <w:sz w:val="18"/>
                <w:szCs w:val="18"/>
              </w:rPr>
              <w:t>Evolocumab</w:t>
            </w:r>
          </w:p>
          <w:p w14:paraId="7144C04C" w14:textId="77777777" w:rsidR="009054AE" w:rsidRPr="00E140C1" w:rsidRDefault="009054AE" w:rsidP="00456789">
            <w:pPr>
              <w:jc w:val="center"/>
              <w:rPr>
                <w:sz w:val="18"/>
                <w:szCs w:val="18"/>
              </w:rPr>
            </w:pPr>
            <w:r w:rsidRPr="00E140C1">
              <w:rPr>
                <w:sz w:val="18"/>
                <w:szCs w:val="18"/>
              </w:rPr>
              <w:t xml:space="preserve">(N = </w:t>
            </w:r>
            <w:r>
              <w:rPr>
                <w:sz w:val="18"/>
                <w:szCs w:val="18"/>
              </w:rPr>
              <w:t>18,546</w:t>
            </w:r>
            <w:r w:rsidRPr="00E140C1">
              <w:rPr>
                <w:sz w:val="18"/>
                <w:szCs w:val="18"/>
              </w:rPr>
              <w:t>)</w:t>
            </w:r>
          </w:p>
          <w:p w14:paraId="7592199E" w14:textId="77777777" w:rsidR="009054AE" w:rsidRPr="00E140C1" w:rsidRDefault="009054AE" w:rsidP="00456789">
            <w:pPr>
              <w:jc w:val="center"/>
              <w:rPr>
                <w:sz w:val="18"/>
                <w:szCs w:val="18"/>
              </w:rPr>
            </w:pPr>
            <w:r w:rsidRPr="00E140C1">
              <w:rPr>
                <w:sz w:val="18"/>
                <w:szCs w:val="18"/>
              </w:rPr>
              <w:t>%</w:t>
            </w:r>
          </w:p>
        </w:tc>
      </w:tr>
      <w:tr w:rsidR="009054AE" w:rsidRPr="00E140C1" w14:paraId="44A54513" w14:textId="77777777" w:rsidTr="00456789">
        <w:trPr>
          <w:trHeight w:val="288"/>
          <w:jc w:val="center"/>
        </w:trPr>
        <w:tc>
          <w:tcPr>
            <w:tcW w:w="5231" w:type="dxa"/>
            <w:tcBorders>
              <w:top w:val="single" w:sz="4" w:space="0" w:color="auto"/>
            </w:tcBorders>
            <w:vAlign w:val="bottom"/>
          </w:tcPr>
          <w:p w14:paraId="3CCDDA01" w14:textId="77777777" w:rsidR="009054AE" w:rsidRPr="00E140C1" w:rsidRDefault="009054AE" w:rsidP="00456789">
            <w:pPr>
              <w:rPr>
                <w:b/>
                <w:bCs/>
                <w:sz w:val="18"/>
                <w:szCs w:val="18"/>
              </w:rPr>
            </w:pPr>
            <w:r w:rsidRPr="00E140C1">
              <w:rPr>
                <w:b/>
                <w:bCs/>
                <w:sz w:val="18"/>
                <w:szCs w:val="18"/>
              </w:rPr>
              <w:t>GASTROINTESTINAL DISORDERS</w:t>
            </w:r>
          </w:p>
        </w:tc>
        <w:tc>
          <w:tcPr>
            <w:tcW w:w="1559" w:type="dxa"/>
            <w:tcBorders>
              <w:top w:val="single" w:sz="4" w:space="0" w:color="auto"/>
            </w:tcBorders>
            <w:vAlign w:val="bottom"/>
          </w:tcPr>
          <w:p w14:paraId="40311CD9" w14:textId="77777777" w:rsidR="009054AE" w:rsidRPr="00E140C1" w:rsidRDefault="009054AE" w:rsidP="00456789">
            <w:pPr>
              <w:jc w:val="center"/>
              <w:rPr>
                <w:sz w:val="18"/>
                <w:szCs w:val="18"/>
              </w:rPr>
            </w:pPr>
          </w:p>
        </w:tc>
        <w:tc>
          <w:tcPr>
            <w:tcW w:w="1564" w:type="dxa"/>
            <w:tcBorders>
              <w:top w:val="single" w:sz="4" w:space="0" w:color="auto"/>
            </w:tcBorders>
            <w:vAlign w:val="bottom"/>
          </w:tcPr>
          <w:p w14:paraId="372C96E3" w14:textId="77777777" w:rsidR="009054AE" w:rsidRPr="00E140C1" w:rsidRDefault="009054AE" w:rsidP="00456789">
            <w:pPr>
              <w:jc w:val="center"/>
              <w:rPr>
                <w:sz w:val="18"/>
                <w:szCs w:val="18"/>
              </w:rPr>
            </w:pPr>
          </w:p>
        </w:tc>
      </w:tr>
      <w:tr w:rsidR="009054AE" w:rsidRPr="00E140C1" w14:paraId="2D733FFE" w14:textId="77777777" w:rsidTr="00456789">
        <w:trPr>
          <w:trHeight w:val="288"/>
          <w:jc w:val="center"/>
        </w:trPr>
        <w:tc>
          <w:tcPr>
            <w:tcW w:w="5231" w:type="dxa"/>
            <w:vAlign w:val="bottom"/>
          </w:tcPr>
          <w:p w14:paraId="1357D61A" w14:textId="77777777" w:rsidR="009054AE" w:rsidRDefault="009054AE" w:rsidP="00456789">
            <w:pPr>
              <w:rPr>
                <w:rFonts w:cs="Arial"/>
                <w:color w:val="000000"/>
                <w:sz w:val="18"/>
                <w:szCs w:val="18"/>
              </w:rPr>
            </w:pPr>
            <w:r>
              <w:rPr>
                <w:rFonts w:cs="Arial"/>
                <w:color w:val="000000"/>
                <w:sz w:val="18"/>
                <w:szCs w:val="18"/>
              </w:rPr>
              <w:t>Abdominal pain upper</w:t>
            </w:r>
          </w:p>
        </w:tc>
        <w:tc>
          <w:tcPr>
            <w:tcW w:w="1559" w:type="dxa"/>
            <w:vAlign w:val="bottom"/>
          </w:tcPr>
          <w:p w14:paraId="2BBD6203" w14:textId="77777777" w:rsidR="009054AE" w:rsidRDefault="009054AE" w:rsidP="00456789">
            <w:pPr>
              <w:jc w:val="center"/>
              <w:rPr>
                <w:sz w:val="18"/>
                <w:szCs w:val="18"/>
              </w:rPr>
            </w:pPr>
            <w:r>
              <w:rPr>
                <w:sz w:val="18"/>
                <w:szCs w:val="18"/>
              </w:rPr>
              <w:t>1.1</w:t>
            </w:r>
          </w:p>
        </w:tc>
        <w:tc>
          <w:tcPr>
            <w:tcW w:w="1564" w:type="dxa"/>
            <w:vAlign w:val="bottom"/>
          </w:tcPr>
          <w:p w14:paraId="1B65DA45" w14:textId="77777777" w:rsidR="009054AE" w:rsidRDefault="009054AE" w:rsidP="00456789">
            <w:pPr>
              <w:jc w:val="center"/>
              <w:rPr>
                <w:sz w:val="18"/>
                <w:szCs w:val="18"/>
              </w:rPr>
            </w:pPr>
            <w:r>
              <w:rPr>
                <w:sz w:val="18"/>
                <w:szCs w:val="18"/>
              </w:rPr>
              <w:t>1.2</w:t>
            </w:r>
          </w:p>
        </w:tc>
      </w:tr>
      <w:tr w:rsidR="009054AE" w:rsidRPr="00E140C1" w14:paraId="288B5C27" w14:textId="77777777" w:rsidTr="00456789">
        <w:trPr>
          <w:trHeight w:val="288"/>
          <w:jc w:val="center"/>
        </w:trPr>
        <w:tc>
          <w:tcPr>
            <w:tcW w:w="5231" w:type="dxa"/>
            <w:vAlign w:val="bottom"/>
          </w:tcPr>
          <w:p w14:paraId="396AAC38" w14:textId="77777777" w:rsidR="009054AE" w:rsidRPr="00E140C1" w:rsidRDefault="009054AE" w:rsidP="00456789">
            <w:pPr>
              <w:rPr>
                <w:sz w:val="18"/>
                <w:szCs w:val="18"/>
              </w:rPr>
            </w:pPr>
            <w:proofErr w:type="spellStart"/>
            <w:r>
              <w:rPr>
                <w:rFonts w:cs="Arial"/>
                <w:color w:val="000000"/>
                <w:sz w:val="18"/>
                <w:szCs w:val="18"/>
              </w:rPr>
              <w:t>Gastrooesophageal</w:t>
            </w:r>
            <w:proofErr w:type="spellEnd"/>
            <w:r>
              <w:rPr>
                <w:rFonts w:cs="Arial"/>
                <w:color w:val="000000"/>
                <w:sz w:val="18"/>
                <w:szCs w:val="18"/>
              </w:rPr>
              <w:t xml:space="preserve"> reflux disease</w:t>
            </w:r>
          </w:p>
        </w:tc>
        <w:tc>
          <w:tcPr>
            <w:tcW w:w="1559" w:type="dxa"/>
            <w:vAlign w:val="bottom"/>
          </w:tcPr>
          <w:p w14:paraId="4C5DBBFB" w14:textId="77777777" w:rsidR="009054AE" w:rsidRDefault="009054AE" w:rsidP="00456789">
            <w:pPr>
              <w:jc w:val="center"/>
              <w:rPr>
                <w:sz w:val="18"/>
                <w:szCs w:val="18"/>
              </w:rPr>
            </w:pPr>
            <w:r>
              <w:rPr>
                <w:sz w:val="18"/>
                <w:szCs w:val="18"/>
              </w:rPr>
              <w:t>1.0</w:t>
            </w:r>
          </w:p>
        </w:tc>
        <w:tc>
          <w:tcPr>
            <w:tcW w:w="1564" w:type="dxa"/>
            <w:vAlign w:val="bottom"/>
          </w:tcPr>
          <w:p w14:paraId="43016BA4" w14:textId="77777777" w:rsidR="009054AE" w:rsidRDefault="009054AE" w:rsidP="00456789">
            <w:pPr>
              <w:jc w:val="center"/>
              <w:rPr>
                <w:sz w:val="18"/>
                <w:szCs w:val="18"/>
              </w:rPr>
            </w:pPr>
            <w:r>
              <w:rPr>
                <w:sz w:val="18"/>
                <w:szCs w:val="18"/>
              </w:rPr>
              <w:t>1.1</w:t>
            </w:r>
          </w:p>
        </w:tc>
      </w:tr>
      <w:tr w:rsidR="009054AE" w:rsidRPr="00E140C1" w14:paraId="133668EE" w14:textId="77777777" w:rsidTr="00456789">
        <w:trPr>
          <w:trHeight w:val="288"/>
          <w:jc w:val="center"/>
        </w:trPr>
        <w:tc>
          <w:tcPr>
            <w:tcW w:w="8354" w:type="dxa"/>
            <w:gridSpan w:val="3"/>
            <w:vAlign w:val="bottom"/>
          </w:tcPr>
          <w:p w14:paraId="055B1B63" w14:textId="77777777" w:rsidR="009054AE" w:rsidRDefault="009054AE" w:rsidP="00456789">
            <w:pPr>
              <w:rPr>
                <w:sz w:val="18"/>
                <w:szCs w:val="18"/>
              </w:rPr>
            </w:pPr>
            <w:r w:rsidRPr="00E140C1">
              <w:rPr>
                <w:b/>
                <w:bCs/>
                <w:sz w:val="18"/>
                <w:szCs w:val="18"/>
              </w:rPr>
              <w:t>INFECTIONS AND INFESTATIONS</w:t>
            </w:r>
          </w:p>
        </w:tc>
      </w:tr>
      <w:tr w:rsidR="009054AE" w:rsidRPr="00E140C1" w14:paraId="3E210F22" w14:textId="77777777" w:rsidTr="00456789">
        <w:trPr>
          <w:trHeight w:val="288"/>
          <w:jc w:val="center"/>
        </w:trPr>
        <w:tc>
          <w:tcPr>
            <w:tcW w:w="5231" w:type="dxa"/>
            <w:vAlign w:val="bottom"/>
          </w:tcPr>
          <w:p w14:paraId="29641C46" w14:textId="77777777" w:rsidR="009054AE" w:rsidRDefault="009054AE" w:rsidP="00456789">
            <w:pPr>
              <w:rPr>
                <w:rFonts w:cs="Arial"/>
                <w:color w:val="000000"/>
                <w:sz w:val="18"/>
                <w:szCs w:val="18"/>
              </w:rPr>
            </w:pPr>
            <w:r>
              <w:rPr>
                <w:sz w:val="18"/>
                <w:szCs w:val="18"/>
              </w:rPr>
              <w:t>Sinusitis</w:t>
            </w:r>
          </w:p>
        </w:tc>
        <w:tc>
          <w:tcPr>
            <w:tcW w:w="1559" w:type="dxa"/>
            <w:vAlign w:val="bottom"/>
          </w:tcPr>
          <w:p w14:paraId="009D6A8C" w14:textId="77777777" w:rsidR="009054AE" w:rsidRDefault="009054AE" w:rsidP="00456789">
            <w:pPr>
              <w:jc w:val="center"/>
              <w:rPr>
                <w:sz w:val="18"/>
                <w:szCs w:val="18"/>
              </w:rPr>
            </w:pPr>
            <w:r>
              <w:rPr>
                <w:sz w:val="18"/>
                <w:szCs w:val="18"/>
              </w:rPr>
              <w:t>1.4</w:t>
            </w:r>
          </w:p>
        </w:tc>
        <w:tc>
          <w:tcPr>
            <w:tcW w:w="1564" w:type="dxa"/>
            <w:vAlign w:val="bottom"/>
          </w:tcPr>
          <w:p w14:paraId="320D2A6B" w14:textId="77777777" w:rsidR="009054AE" w:rsidRDefault="009054AE" w:rsidP="00456789">
            <w:pPr>
              <w:jc w:val="center"/>
              <w:rPr>
                <w:sz w:val="18"/>
                <w:szCs w:val="18"/>
              </w:rPr>
            </w:pPr>
            <w:r>
              <w:rPr>
                <w:sz w:val="18"/>
                <w:szCs w:val="18"/>
              </w:rPr>
              <w:t>1.5</w:t>
            </w:r>
          </w:p>
        </w:tc>
      </w:tr>
      <w:tr w:rsidR="009054AE" w:rsidRPr="00E140C1" w14:paraId="3F151945" w14:textId="77777777" w:rsidTr="00456789">
        <w:trPr>
          <w:trHeight w:val="288"/>
          <w:jc w:val="center"/>
        </w:trPr>
        <w:tc>
          <w:tcPr>
            <w:tcW w:w="5231" w:type="dxa"/>
            <w:vAlign w:val="bottom"/>
          </w:tcPr>
          <w:p w14:paraId="154E5C8A" w14:textId="77777777" w:rsidR="009054AE" w:rsidRDefault="009054AE" w:rsidP="00456789">
            <w:pPr>
              <w:rPr>
                <w:rFonts w:cs="Arial"/>
                <w:color w:val="000000"/>
                <w:sz w:val="18"/>
                <w:szCs w:val="18"/>
              </w:rPr>
            </w:pPr>
            <w:r>
              <w:rPr>
                <w:rFonts w:cs="Arial"/>
                <w:color w:val="000000"/>
                <w:sz w:val="18"/>
                <w:szCs w:val="18"/>
              </w:rPr>
              <w:t>Gastroenteritis</w:t>
            </w:r>
          </w:p>
        </w:tc>
        <w:tc>
          <w:tcPr>
            <w:tcW w:w="1559" w:type="dxa"/>
            <w:vAlign w:val="bottom"/>
          </w:tcPr>
          <w:p w14:paraId="7A40D95E" w14:textId="77777777" w:rsidR="009054AE" w:rsidRDefault="009054AE" w:rsidP="00456789">
            <w:pPr>
              <w:jc w:val="center"/>
              <w:rPr>
                <w:sz w:val="18"/>
                <w:szCs w:val="18"/>
              </w:rPr>
            </w:pPr>
            <w:r>
              <w:rPr>
                <w:sz w:val="18"/>
                <w:szCs w:val="18"/>
              </w:rPr>
              <w:t>1.0</w:t>
            </w:r>
          </w:p>
        </w:tc>
        <w:tc>
          <w:tcPr>
            <w:tcW w:w="1564" w:type="dxa"/>
            <w:vAlign w:val="bottom"/>
          </w:tcPr>
          <w:p w14:paraId="24DFF70B" w14:textId="77777777" w:rsidR="009054AE" w:rsidRDefault="009054AE" w:rsidP="00456789">
            <w:pPr>
              <w:jc w:val="center"/>
              <w:rPr>
                <w:sz w:val="18"/>
                <w:szCs w:val="18"/>
              </w:rPr>
            </w:pPr>
            <w:r>
              <w:rPr>
                <w:sz w:val="18"/>
                <w:szCs w:val="18"/>
              </w:rPr>
              <w:t>1.1</w:t>
            </w:r>
          </w:p>
        </w:tc>
      </w:tr>
      <w:tr w:rsidR="009054AE" w:rsidRPr="00E140C1" w14:paraId="679C8C19" w14:textId="77777777" w:rsidTr="00456789">
        <w:trPr>
          <w:trHeight w:val="288"/>
          <w:jc w:val="center"/>
        </w:trPr>
        <w:tc>
          <w:tcPr>
            <w:tcW w:w="5231" w:type="dxa"/>
            <w:vAlign w:val="bottom"/>
          </w:tcPr>
          <w:p w14:paraId="27772F5B" w14:textId="77777777" w:rsidR="009054AE" w:rsidRDefault="009054AE" w:rsidP="00456789">
            <w:pPr>
              <w:rPr>
                <w:rFonts w:cs="Arial"/>
                <w:color w:val="000000"/>
                <w:sz w:val="18"/>
                <w:szCs w:val="18"/>
              </w:rPr>
            </w:pPr>
            <w:r>
              <w:rPr>
                <w:sz w:val="18"/>
                <w:szCs w:val="18"/>
              </w:rPr>
              <w:t>Viral i</w:t>
            </w:r>
            <w:r w:rsidRPr="00E140C1">
              <w:rPr>
                <w:sz w:val="18"/>
                <w:szCs w:val="18"/>
              </w:rPr>
              <w:t>nfection</w:t>
            </w:r>
          </w:p>
        </w:tc>
        <w:tc>
          <w:tcPr>
            <w:tcW w:w="1559" w:type="dxa"/>
            <w:vAlign w:val="bottom"/>
          </w:tcPr>
          <w:p w14:paraId="22606DE2" w14:textId="77777777" w:rsidR="009054AE" w:rsidRDefault="009054AE" w:rsidP="00456789">
            <w:pPr>
              <w:jc w:val="center"/>
              <w:rPr>
                <w:sz w:val="18"/>
                <w:szCs w:val="18"/>
              </w:rPr>
            </w:pPr>
            <w:r>
              <w:rPr>
                <w:sz w:val="18"/>
                <w:szCs w:val="18"/>
              </w:rPr>
              <w:t>0.4</w:t>
            </w:r>
          </w:p>
        </w:tc>
        <w:tc>
          <w:tcPr>
            <w:tcW w:w="1564" w:type="dxa"/>
            <w:vAlign w:val="bottom"/>
          </w:tcPr>
          <w:p w14:paraId="686436F0" w14:textId="77777777" w:rsidR="009054AE" w:rsidRDefault="009054AE" w:rsidP="00456789">
            <w:pPr>
              <w:jc w:val="center"/>
              <w:rPr>
                <w:sz w:val="18"/>
                <w:szCs w:val="18"/>
              </w:rPr>
            </w:pPr>
            <w:r>
              <w:rPr>
                <w:sz w:val="18"/>
                <w:szCs w:val="18"/>
              </w:rPr>
              <w:t>0.5</w:t>
            </w:r>
          </w:p>
        </w:tc>
      </w:tr>
      <w:tr w:rsidR="009054AE" w:rsidRPr="00E140C1" w14:paraId="499161F2" w14:textId="77777777" w:rsidTr="00456789">
        <w:trPr>
          <w:trHeight w:val="288"/>
          <w:jc w:val="center"/>
        </w:trPr>
        <w:tc>
          <w:tcPr>
            <w:tcW w:w="8354" w:type="dxa"/>
            <w:gridSpan w:val="3"/>
            <w:vAlign w:val="bottom"/>
          </w:tcPr>
          <w:p w14:paraId="7BB77F08" w14:textId="77777777" w:rsidR="009054AE" w:rsidRDefault="009054AE" w:rsidP="00456789">
            <w:pPr>
              <w:rPr>
                <w:sz w:val="18"/>
                <w:szCs w:val="18"/>
              </w:rPr>
            </w:pPr>
            <w:r w:rsidRPr="00D45D62">
              <w:rPr>
                <w:b/>
                <w:sz w:val="18"/>
                <w:szCs w:val="18"/>
              </w:rPr>
              <w:t>METABOLISM AND NUTRITION DISORDERS</w:t>
            </w:r>
          </w:p>
        </w:tc>
      </w:tr>
      <w:tr w:rsidR="009054AE" w:rsidRPr="005321DB" w14:paraId="35B21C10" w14:textId="77777777" w:rsidTr="00456789">
        <w:trPr>
          <w:trHeight w:val="288"/>
          <w:jc w:val="center"/>
        </w:trPr>
        <w:tc>
          <w:tcPr>
            <w:tcW w:w="5231" w:type="dxa"/>
            <w:vAlign w:val="bottom"/>
          </w:tcPr>
          <w:p w14:paraId="69676D7C" w14:textId="77777777" w:rsidR="009054AE" w:rsidRDefault="009054AE" w:rsidP="00456789">
            <w:pPr>
              <w:rPr>
                <w:sz w:val="18"/>
                <w:szCs w:val="18"/>
              </w:rPr>
            </w:pPr>
            <w:r>
              <w:rPr>
                <w:sz w:val="18"/>
                <w:szCs w:val="18"/>
              </w:rPr>
              <w:t>Gout</w:t>
            </w:r>
          </w:p>
        </w:tc>
        <w:tc>
          <w:tcPr>
            <w:tcW w:w="1559" w:type="dxa"/>
            <w:vAlign w:val="bottom"/>
          </w:tcPr>
          <w:p w14:paraId="3FE00F74" w14:textId="77777777" w:rsidR="009054AE" w:rsidRDefault="009054AE" w:rsidP="00456789">
            <w:pPr>
              <w:jc w:val="center"/>
              <w:rPr>
                <w:sz w:val="18"/>
                <w:szCs w:val="18"/>
              </w:rPr>
            </w:pPr>
            <w:r>
              <w:rPr>
                <w:sz w:val="18"/>
                <w:szCs w:val="18"/>
              </w:rPr>
              <w:t>1.2</w:t>
            </w:r>
          </w:p>
        </w:tc>
        <w:tc>
          <w:tcPr>
            <w:tcW w:w="1564" w:type="dxa"/>
            <w:vAlign w:val="bottom"/>
          </w:tcPr>
          <w:p w14:paraId="11BDB414" w14:textId="77777777" w:rsidR="009054AE" w:rsidRDefault="009054AE" w:rsidP="00456789">
            <w:pPr>
              <w:jc w:val="center"/>
              <w:rPr>
                <w:sz w:val="18"/>
                <w:szCs w:val="18"/>
              </w:rPr>
            </w:pPr>
            <w:r>
              <w:rPr>
                <w:sz w:val="18"/>
                <w:szCs w:val="18"/>
              </w:rPr>
              <w:t>1.3</w:t>
            </w:r>
          </w:p>
        </w:tc>
      </w:tr>
      <w:tr w:rsidR="009054AE" w:rsidRPr="005321DB" w14:paraId="7B3B0D03" w14:textId="77777777" w:rsidTr="00456789">
        <w:trPr>
          <w:trHeight w:val="288"/>
          <w:jc w:val="center"/>
        </w:trPr>
        <w:tc>
          <w:tcPr>
            <w:tcW w:w="5231" w:type="dxa"/>
          </w:tcPr>
          <w:p w14:paraId="0CEB5F84" w14:textId="77777777" w:rsidR="009054AE" w:rsidRDefault="009054AE" w:rsidP="00456789">
            <w:pPr>
              <w:rPr>
                <w:sz w:val="18"/>
                <w:szCs w:val="18"/>
              </w:rPr>
            </w:pPr>
            <w:r>
              <w:rPr>
                <w:rFonts w:cs="Arial"/>
                <w:color w:val="000000"/>
                <w:sz w:val="18"/>
                <w:szCs w:val="18"/>
              </w:rPr>
              <w:t>Hyperkalaemia</w:t>
            </w:r>
          </w:p>
        </w:tc>
        <w:tc>
          <w:tcPr>
            <w:tcW w:w="1559" w:type="dxa"/>
            <w:vAlign w:val="bottom"/>
          </w:tcPr>
          <w:p w14:paraId="3CBC0C4B" w14:textId="77777777" w:rsidR="009054AE" w:rsidRDefault="009054AE" w:rsidP="00456789">
            <w:pPr>
              <w:jc w:val="center"/>
              <w:rPr>
                <w:sz w:val="18"/>
                <w:szCs w:val="18"/>
              </w:rPr>
            </w:pPr>
            <w:r>
              <w:rPr>
                <w:sz w:val="18"/>
                <w:szCs w:val="18"/>
              </w:rPr>
              <w:t>0.7</w:t>
            </w:r>
          </w:p>
        </w:tc>
        <w:tc>
          <w:tcPr>
            <w:tcW w:w="1564" w:type="dxa"/>
            <w:vAlign w:val="bottom"/>
          </w:tcPr>
          <w:p w14:paraId="15305BB6" w14:textId="77777777" w:rsidR="009054AE" w:rsidRDefault="009054AE" w:rsidP="00456789">
            <w:pPr>
              <w:jc w:val="center"/>
              <w:rPr>
                <w:sz w:val="18"/>
                <w:szCs w:val="18"/>
              </w:rPr>
            </w:pPr>
            <w:r>
              <w:rPr>
                <w:sz w:val="18"/>
                <w:szCs w:val="18"/>
              </w:rPr>
              <w:t>0.8</w:t>
            </w:r>
          </w:p>
        </w:tc>
      </w:tr>
      <w:tr w:rsidR="009054AE" w:rsidRPr="005321DB" w14:paraId="7828EBD7" w14:textId="77777777" w:rsidTr="00456789">
        <w:trPr>
          <w:trHeight w:val="288"/>
          <w:jc w:val="center"/>
        </w:trPr>
        <w:tc>
          <w:tcPr>
            <w:tcW w:w="8354" w:type="dxa"/>
            <w:gridSpan w:val="3"/>
            <w:vAlign w:val="bottom"/>
          </w:tcPr>
          <w:p w14:paraId="236F1943" w14:textId="77777777" w:rsidR="009054AE" w:rsidRDefault="009054AE" w:rsidP="00456789">
            <w:pPr>
              <w:rPr>
                <w:sz w:val="18"/>
                <w:szCs w:val="18"/>
              </w:rPr>
            </w:pPr>
            <w:r w:rsidRPr="00EB2D0C">
              <w:rPr>
                <w:b/>
                <w:sz w:val="18"/>
                <w:szCs w:val="18"/>
              </w:rPr>
              <w:t>SKIN AND SUBCUTANEOUS TISSUE DISORDERS:</w:t>
            </w:r>
          </w:p>
        </w:tc>
      </w:tr>
      <w:tr w:rsidR="009054AE" w:rsidRPr="005321DB" w14:paraId="26F37F93" w14:textId="77777777" w:rsidTr="00456789">
        <w:trPr>
          <w:trHeight w:val="288"/>
          <w:jc w:val="center"/>
        </w:trPr>
        <w:tc>
          <w:tcPr>
            <w:tcW w:w="5231" w:type="dxa"/>
            <w:vAlign w:val="bottom"/>
          </w:tcPr>
          <w:p w14:paraId="54EC8267" w14:textId="77777777" w:rsidR="009054AE" w:rsidRDefault="009054AE" w:rsidP="00456789">
            <w:pPr>
              <w:rPr>
                <w:rFonts w:cs="Arial"/>
                <w:color w:val="000000"/>
                <w:sz w:val="18"/>
                <w:szCs w:val="18"/>
              </w:rPr>
            </w:pPr>
            <w:r>
              <w:rPr>
                <w:rFonts w:cs="Arial"/>
                <w:color w:val="000000"/>
                <w:sz w:val="18"/>
                <w:szCs w:val="18"/>
              </w:rPr>
              <w:t>Eczema</w:t>
            </w:r>
          </w:p>
        </w:tc>
        <w:tc>
          <w:tcPr>
            <w:tcW w:w="1559" w:type="dxa"/>
            <w:vAlign w:val="bottom"/>
          </w:tcPr>
          <w:p w14:paraId="10538775" w14:textId="77777777" w:rsidR="009054AE" w:rsidRDefault="009054AE" w:rsidP="00456789">
            <w:pPr>
              <w:jc w:val="center"/>
              <w:rPr>
                <w:sz w:val="18"/>
                <w:szCs w:val="18"/>
              </w:rPr>
            </w:pPr>
            <w:r>
              <w:rPr>
                <w:sz w:val="18"/>
                <w:szCs w:val="18"/>
              </w:rPr>
              <w:t>0.4</w:t>
            </w:r>
          </w:p>
        </w:tc>
        <w:tc>
          <w:tcPr>
            <w:tcW w:w="1564" w:type="dxa"/>
            <w:vAlign w:val="bottom"/>
          </w:tcPr>
          <w:p w14:paraId="6F804567" w14:textId="77777777" w:rsidR="009054AE" w:rsidRDefault="009054AE" w:rsidP="00456789">
            <w:pPr>
              <w:jc w:val="center"/>
              <w:rPr>
                <w:sz w:val="18"/>
                <w:szCs w:val="18"/>
              </w:rPr>
            </w:pPr>
            <w:r>
              <w:rPr>
                <w:sz w:val="18"/>
                <w:szCs w:val="18"/>
              </w:rPr>
              <w:t>0.6</w:t>
            </w:r>
          </w:p>
        </w:tc>
      </w:tr>
      <w:tr w:rsidR="009054AE" w:rsidRPr="00E140C1" w14:paraId="57C0D28B" w14:textId="77777777" w:rsidTr="00456789">
        <w:trPr>
          <w:trHeight w:val="288"/>
          <w:jc w:val="center"/>
        </w:trPr>
        <w:tc>
          <w:tcPr>
            <w:tcW w:w="5231" w:type="dxa"/>
            <w:vAlign w:val="bottom"/>
          </w:tcPr>
          <w:p w14:paraId="6671E751" w14:textId="77777777" w:rsidR="009054AE" w:rsidRDefault="009054AE" w:rsidP="00456789">
            <w:pPr>
              <w:rPr>
                <w:rFonts w:cs="Arial"/>
                <w:color w:val="000000"/>
                <w:sz w:val="18"/>
                <w:szCs w:val="18"/>
              </w:rPr>
            </w:pPr>
            <w:r>
              <w:rPr>
                <w:rFonts w:cs="Arial"/>
                <w:color w:val="000000"/>
                <w:sz w:val="18"/>
                <w:szCs w:val="18"/>
              </w:rPr>
              <w:t>I</w:t>
            </w:r>
            <w:r w:rsidRPr="00985870">
              <w:rPr>
                <w:b/>
                <w:sz w:val="18"/>
                <w:szCs w:val="18"/>
              </w:rPr>
              <w:t>NVESTIGATIONS</w:t>
            </w:r>
          </w:p>
        </w:tc>
        <w:tc>
          <w:tcPr>
            <w:tcW w:w="1559" w:type="dxa"/>
            <w:vAlign w:val="bottom"/>
          </w:tcPr>
          <w:p w14:paraId="3AC4021E" w14:textId="77777777" w:rsidR="009054AE" w:rsidRDefault="009054AE" w:rsidP="00456789">
            <w:pPr>
              <w:jc w:val="center"/>
              <w:rPr>
                <w:sz w:val="18"/>
                <w:szCs w:val="18"/>
              </w:rPr>
            </w:pPr>
          </w:p>
        </w:tc>
        <w:tc>
          <w:tcPr>
            <w:tcW w:w="1564" w:type="dxa"/>
            <w:vAlign w:val="bottom"/>
          </w:tcPr>
          <w:p w14:paraId="0C91FDC3" w14:textId="77777777" w:rsidR="009054AE" w:rsidRDefault="009054AE" w:rsidP="00456789">
            <w:pPr>
              <w:jc w:val="center"/>
              <w:rPr>
                <w:sz w:val="18"/>
                <w:szCs w:val="18"/>
              </w:rPr>
            </w:pPr>
          </w:p>
        </w:tc>
      </w:tr>
      <w:tr w:rsidR="009054AE" w:rsidRPr="00E140C1" w14:paraId="4FF6EC2C" w14:textId="77777777" w:rsidTr="00456789">
        <w:trPr>
          <w:trHeight w:val="288"/>
          <w:jc w:val="center"/>
        </w:trPr>
        <w:tc>
          <w:tcPr>
            <w:tcW w:w="5231" w:type="dxa"/>
            <w:vAlign w:val="bottom"/>
          </w:tcPr>
          <w:p w14:paraId="1B59FAE3" w14:textId="77777777" w:rsidR="009054AE" w:rsidRDefault="009054AE" w:rsidP="00456789">
            <w:pPr>
              <w:rPr>
                <w:rFonts w:cs="Arial"/>
                <w:color w:val="000000"/>
                <w:sz w:val="18"/>
                <w:szCs w:val="18"/>
              </w:rPr>
            </w:pPr>
            <w:r>
              <w:rPr>
                <w:rFonts w:cs="Arial"/>
                <w:color w:val="000000"/>
                <w:sz w:val="18"/>
                <w:szCs w:val="18"/>
              </w:rPr>
              <w:t>Blood creatine phosphokinase increased</w:t>
            </w:r>
          </w:p>
        </w:tc>
        <w:tc>
          <w:tcPr>
            <w:tcW w:w="1559" w:type="dxa"/>
            <w:vAlign w:val="bottom"/>
          </w:tcPr>
          <w:p w14:paraId="65FA8884" w14:textId="77777777" w:rsidR="009054AE" w:rsidRDefault="009054AE" w:rsidP="00456789">
            <w:pPr>
              <w:jc w:val="center"/>
              <w:rPr>
                <w:sz w:val="18"/>
                <w:szCs w:val="18"/>
              </w:rPr>
            </w:pPr>
            <w:r>
              <w:rPr>
                <w:sz w:val="18"/>
                <w:szCs w:val="18"/>
              </w:rPr>
              <w:t>1.1</w:t>
            </w:r>
          </w:p>
        </w:tc>
        <w:tc>
          <w:tcPr>
            <w:tcW w:w="1564" w:type="dxa"/>
            <w:vAlign w:val="bottom"/>
          </w:tcPr>
          <w:p w14:paraId="575416AE" w14:textId="77777777" w:rsidR="009054AE" w:rsidRDefault="009054AE" w:rsidP="00456789">
            <w:pPr>
              <w:jc w:val="center"/>
              <w:rPr>
                <w:sz w:val="18"/>
                <w:szCs w:val="18"/>
              </w:rPr>
            </w:pPr>
            <w:r>
              <w:rPr>
                <w:sz w:val="18"/>
                <w:szCs w:val="18"/>
              </w:rPr>
              <w:t>1.3</w:t>
            </w:r>
          </w:p>
        </w:tc>
      </w:tr>
      <w:tr w:rsidR="009054AE" w:rsidRPr="00E140C1" w14:paraId="45090DD9" w14:textId="77777777" w:rsidTr="00456789">
        <w:trPr>
          <w:trHeight w:val="288"/>
          <w:jc w:val="center"/>
        </w:trPr>
        <w:tc>
          <w:tcPr>
            <w:tcW w:w="5231" w:type="dxa"/>
            <w:vAlign w:val="bottom"/>
          </w:tcPr>
          <w:p w14:paraId="4ECF4174" w14:textId="77777777" w:rsidR="009054AE" w:rsidRDefault="009054AE" w:rsidP="00456789">
            <w:pPr>
              <w:rPr>
                <w:rFonts w:cs="Arial"/>
                <w:color w:val="000000"/>
                <w:sz w:val="18"/>
                <w:szCs w:val="18"/>
              </w:rPr>
            </w:pPr>
            <w:r>
              <w:rPr>
                <w:rFonts w:cs="Arial"/>
                <w:color w:val="000000"/>
                <w:sz w:val="18"/>
                <w:szCs w:val="18"/>
              </w:rPr>
              <w:t>Weight increased</w:t>
            </w:r>
          </w:p>
        </w:tc>
        <w:tc>
          <w:tcPr>
            <w:tcW w:w="1559" w:type="dxa"/>
            <w:vAlign w:val="bottom"/>
          </w:tcPr>
          <w:p w14:paraId="000EE772" w14:textId="77777777" w:rsidR="009054AE" w:rsidRDefault="009054AE" w:rsidP="00456789">
            <w:pPr>
              <w:jc w:val="center"/>
              <w:rPr>
                <w:sz w:val="18"/>
                <w:szCs w:val="18"/>
              </w:rPr>
            </w:pPr>
            <w:r>
              <w:rPr>
                <w:sz w:val="18"/>
                <w:szCs w:val="18"/>
              </w:rPr>
              <w:t>0.4</w:t>
            </w:r>
          </w:p>
        </w:tc>
        <w:tc>
          <w:tcPr>
            <w:tcW w:w="1564" w:type="dxa"/>
            <w:vAlign w:val="bottom"/>
          </w:tcPr>
          <w:p w14:paraId="56D1ADE5" w14:textId="77777777" w:rsidR="009054AE" w:rsidRDefault="009054AE" w:rsidP="00456789">
            <w:pPr>
              <w:jc w:val="center"/>
              <w:rPr>
                <w:sz w:val="18"/>
                <w:szCs w:val="18"/>
              </w:rPr>
            </w:pPr>
            <w:r>
              <w:rPr>
                <w:sz w:val="18"/>
                <w:szCs w:val="18"/>
              </w:rPr>
              <w:t>0.6</w:t>
            </w:r>
          </w:p>
        </w:tc>
      </w:tr>
      <w:tr w:rsidR="009054AE" w:rsidRPr="00E140C1" w14:paraId="1EDF0B79" w14:textId="77777777" w:rsidTr="00456789">
        <w:trPr>
          <w:trHeight w:val="288"/>
          <w:jc w:val="center"/>
        </w:trPr>
        <w:tc>
          <w:tcPr>
            <w:tcW w:w="5231" w:type="dxa"/>
            <w:vAlign w:val="bottom"/>
          </w:tcPr>
          <w:p w14:paraId="07651547" w14:textId="77777777" w:rsidR="009054AE" w:rsidRPr="00577391" w:rsidRDefault="009054AE" w:rsidP="00456789">
            <w:pPr>
              <w:rPr>
                <w:rFonts w:cs="Arial"/>
                <w:b/>
                <w:color w:val="000000"/>
                <w:sz w:val="18"/>
                <w:szCs w:val="18"/>
              </w:rPr>
            </w:pPr>
            <w:r w:rsidRPr="00577391">
              <w:rPr>
                <w:rFonts w:cs="Arial"/>
                <w:b/>
                <w:color w:val="000000"/>
                <w:sz w:val="18"/>
                <w:szCs w:val="18"/>
              </w:rPr>
              <w:t>PSYCHIATRIC DISORDERS</w:t>
            </w:r>
          </w:p>
        </w:tc>
        <w:tc>
          <w:tcPr>
            <w:tcW w:w="1559" w:type="dxa"/>
            <w:vAlign w:val="bottom"/>
          </w:tcPr>
          <w:p w14:paraId="4BEDF74B" w14:textId="77777777" w:rsidR="009054AE" w:rsidRDefault="009054AE" w:rsidP="00456789">
            <w:pPr>
              <w:jc w:val="center"/>
              <w:rPr>
                <w:sz w:val="18"/>
                <w:szCs w:val="18"/>
              </w:rPr>
            </w:pPr>
          </w:p>
        </w:tc>
        <w:tc>
          <w:tcPr>
            <w:tcW w:w="1564" w:type="dxa"/>
            <w:vAlign w:val="bottom"/>
          </w:tcPr>
          <w:p w14:paraId="0334E26C" w14:textId="77777777" w:rsidR="009054AE" w:rsidRDefault="009054AE" w:rsidP="00456789">
            <w:pPr>
              <w:jc w:val="center"/>
              <w:rPr>
                <w:sz w:val="18"/>
                <w:szCs w:val="18"/>
              </w:rPr>
            </w:pPr>
          </w:p>
        </w:tc>
      </w:tr>
      <w:tr w:rsidR="009054AE" w:rsidRPr="00E140C1" w14:paraId="66077147" w14:textId="77777777" w:rsidTr="00456789">
        <w:trPr>
          <w:trHeight w:val="288"/>
          <w:jc w:val="center"/>
        </w:trPr>
        <w:tc>
          <w:tcPr>
            <w:tcW w:w="5231" w:type="dxa"/>
            <w:vAlign w:val="bottom"/>
          </w:tcPr>
          <w:p w14:paraId="6DC7EA50" w14:textId="77777777" w:rsidR="009054AE" w:rsidRDefault="009054AE" w:rsidP="00456789">
            <w:pPr>
              <w:rPr>
                <w:rFonts w:cs="Arial"/>
                <w:color w:val="000000"/>
                <w:sz w:val="18"/>
                <w:szCs w:val="18"/>
              </w:rPr>
            </w:pPr>
            <w:r>
              <w:rPr>
                <w:rFonts w:cs="Arial"/>
                <w:color w:val="000000"/>
                <w:sz w:val="18"/>
                <w:szCs w:val="18"/>
              </w:rPr>
              <w:t>Insomnia</w:t>
            </w:r>
          </w:p>
        </w:tc>
        <w:tc>
          <w:tcPr>
            <w:tcW w:w="1559" w:type="dxa"/>
            <w:vAlign w:val="bottom"/>
          </w:tcPr>
          <w:p w14:paraId="2974E93D" w14:textId="77777777" w:rsidR="009054AE" w:rsidRDefault="009054AE" w:rsidP="00456789">
            <w:pPr>
              <w:jc w:val="center"/>
              <w:rPr>
                <w:sz w:val="18"/>
                <w:szCs w:val="18"/>
              </w:rPr>
            </w:pPr>
            <w:r>
              <w:rPr>
                <w:sz w:val="18"/>
                <w:szCs w:val="18"/>
              </w:rPr>
              <w:t>1.0</w:t>
            </w:r>
          </w:p>
        </w:tc>
        <w:tc>
          <w:tcPr>
            <w:tcW w:w="1564" w:type="dxa"/>
            <w:vAlign w:val="bottom"/>
          </w:tcPr>
          <w:p w14:paraId="05248B7A" w14:textId="77777777" w:rsidR="009054AE" w:rsidRDefault="009054AE" w:rsidP="00456789">
            <w:pPr>
              <w:jc w:val="center"/>
              <w:rPr>
                <w:sz w:val="18"/>
                <w:szCs w:val="18"/>
              </w:rPr>
            </w:pPr>
            <w:r>
              <w:rPr>
                <w:sz w:val="18"/>
                <w:szCs w:val="18"/>
              </w:rPr>
              <w:t>1.1</w:t>
            </w:r>
          </w:p>
        </w:tc>
      </w:tr>
      <w:tr w:rsidR="009054AE" w:rsidRPr="00E140C1" w14:paraId="048CCB63" w14:textId="77777777" w:rsidTr="00456789">
        <w:trPr>
          <w:trHeight w:val="288"/>
          <w:jc w:val="center"/>
        </w:trPr>
        <w:tc>
          <w:tcPr>
            <w:tcW w:w="5231" w:type="dxa"/>
            <w:vAlign w:val="bottom"/>
          </w:tcPr>
          <w:p w14:paraId="4691A635" w14:textId="77777777" w:rsidR="009054AE" w:rsidRPr="00577391" w:rsidRDefault="009054AE" w:rsidP="00456789">
            <w:pPr>
              <w:rPr>
                <w:rFonts w:cs="Arial"/>
                <w:b/>
                <w:color w:val="000000"/>
                <w:sz w:val="18"/>
                <w:szCs w:val="18"/>
              </w:rPr>
            </w:pPr>
            <w:r w:rsidRPr="00577391">
              <w:rPr>
                <w:rFonts w:cs="Arial"/>
                <w:b/>
                <w:color w:val="000000"/>
                <w:sz w:val="18"/>
                <w:szCs w:val="18"/>
              </w:rPr>
              <w:lastRenderedPageBreak/>
              <w:t>CARDIAC DISORDERS</w:t>
            </w:r>
          </w:p>
        </w:tc>
        <w:tc>
          <w:tcPr>
            <w:tcW w:w="1559" w:type="dxa"/>
            <w:vAlign w:val="bottom"/>
          </w:tcPr>
          <w:p w14:paraId="5CA20AEE" w14:textId="77777777" w:rsidR="009054AE" w:rsidRDefault="009054AE" w:rsidP="00456789">
            <w:pPr>
              <w:jc w:val="center"/>
              <w:rPr>
                <w:sz w:val="18"/>
                <w:szCs w:val="18"/>
              </w:rPr>
            </w:pPr>
          </w:p>
        </w:tc>
        <w:tc>
          <w:tcPr>
            <w:tcW w:w="1564" w:type="dxa"/>
            <w:vAlign w:val="bottom"/>
          </w:tcPr>
          <w:p w14:paraId="4F8A37D5" w14:textId="77777777" w:rsidR="009054AE" w:rsidRDefault="009054AE" w:rsidP="00456789">
            <w:pPr>
              <w:jc w:val="center"/>
              <w:rPr>
                <w:sz w:val="18"/>
                <w:szCs w:val="18"/>
              </w:rPr>
            </w:pPr>
          </w:p>
        </w:tc>
      </w:tr>
      <w:tr w:rsidR="009054AE" w:rsidRPr="00E140C1" w14:paraId="37311E66" w14:textId="77777777" w:rsidTr="00456789">
        <w:trPr>
          <w:trHeight w:val="288"/>
          <w:jc w:val="center"/>
        </w:trPr>
        <w:tc>
          <w:tcPr>
            <w:tcW w:w="5231" w:type="dxa"/>
            <w:vAlign w:val="bottom"/>
          </w:tcPr>
          <w:p w14:paraId="286342BF" w14:textId="77777777" w:rsidR="009054AE" w:rsidRDefault="009054AE" w:rsidP="00456789">
            <w:pPr>
              <w:rPr>
                <w:rFonts w:cs="Arial"/>
                <w:color w:val="000000"/>
                <w:sz w:val="18"/>
                <w:szCs w:val="18"/>
              </w:rPr>
            </w:pPr>
            <w:r>
              <w:rPr>
                <w:rFonts w:cs="Arial"/>
                <w:color w:val="000000"/>
                <w:sz w:val="18"/>
                <w:szCs w:val="18"/>
              </w:rPr>
              <w:t>Palpitations</w:t>
            </w:r>
          </w:p>
        </w:tc>
        <w:tc>
          <w:tcPr>
            <w:tcW w:w="1559" w:type="dxa"/>
            <w:vAlign w:val="bottom"/>
          </w:tcPr>
          <w:p w14:paraId="0304728E" w14:textId="77777777" w:rsidR="009054AE" w:rsidRDefault="009054AE" w:rsidP="00456789">
            <w:pPr>
              <w:jc w:val="center"/>
              <w:rPr>
                <w:sz w:val="18"/>
                <w:szCs w:val="18"/>
              </w:rPr>
            </w:pPr>
            <w:r>
              <w:rPr>
                <w:sz w:val="18"/>
                <w:szCs w:val="18"/>
              </w:rPr>
              <w:t>0.9</w:t>
            </w:r>
          </w:p>
        </w:tc>
        <w:tc>
          <w:tcPr>
            <w:tcW w:w="1564" w:type="dxa"/>
            <w:vAlign w:val="bottom"/>
          </w:tcPr>
          <w:p w14:paraId="5CAB6AE8" w14:textId="77777777" w:rsidR="009054AE" w:rsidRDefault="009054AE" w:rsidP="00456789">
            <w:pPr>
              <w:jc w:val="center"/>
              <w:rPr>
                <w:sz w:val="18"/>
                <w:szCs w:val="18"/>
              </w:rPr>
            </w:pPr>
            <w:r>
              <w:rPr>
                <w:sz w:val="18"/>
                <w:szCs w:val="18"/>
              </w:rPr>
              <w:t>1.0</w:t>
            </w:r>
          </w:p>
        </w:tc>
      </w:tr>
      <w:tr w:rsidR="009054AE" w:rsidRPr="00E140C1" w14:paraId="1D5D9D07" w14:textId="77777777" w:rsidTr="00456789">
        <w:trPr>
          <w:trHeight w:val="288"/>
          <w:jc w:val="center"/>
        </w:trPr>
        <w:tc>
          <w:tcPr>
            <w:tcW w:w="8354" w:type="dxa"/>
            <w:gridSpan w:val="3"/>
            <w:vAlign w:val="bottom"/>
          </w:tcPr>
          <w:p w14:paraId="726810E9" w14:textId="77777777" w:rsidR="009054AE" w:rsidRPr="00E140C1" w:rsidRDefault="009054AE" w:rsidP="00456789">
            <w:pPr>
              <w:rPr>
                <w:sz w:val="18"/>
                <w:szCs w:val="18"/>
              </w:rPr>
            </w:pPr>
            <w:r w:rsidRPr="00F23A6E">
              <w:rPr>
                <w:b/>
                <w:bCs/>
                <w:sz w:val="18"/>
                <w:szCs w:val="18"/>
              </w:rPr>
              <w:t>RESPIRATORY, THORACIC AND MEDIASTINAL DISORDERS</w:t>
            </w:r>
          </w:p>
        </w:tc>
      </w:tr>
      <w:tr w:rsidR="009054AE" w:rsidRPr="00E140C1" w14:paraId="24E4A434" w14:textId="77777777" w:rsidTr="00456789">
        <w:trPr>
          <w:trHeight w:val="288"/>
          <w:jc w:val="center"/>
        </w:trPr>
        <w:tc>
          <w:tcPr>
            <w:tcW w:w="5231" w:type="dxa"/>
            <w:vAlign w:val="bottom"/>
          </w:tcPr>
          <w:p w14:paraId="2B5DDC0D" w14:textId="77777777" w:rsidR="009054AE" w:rsidRPr="00E140C1" w:rsidRDefault="009054AE" w:rsidP="00456789">
            <w:pPr>
              <w:rPr>
                <w:sz w:val="18"/>
                <w:szCs w:val="18"/>
              </w:rPr>
            </w:pPr>
            <w:r>
              <w:rPr>
                <w:rFonts w:cs="Arial"/>
                <w:color w:val="000000"/>
                <w:sz w:val="18"/>
                <w:szCs w:val="18"/>
              </w:rPr>
              <w:t>Epistaxis</w:t>
            </w:r>
          </w:p>
        </w:tc>
        <w:tc>
          <w:tcPr>
            <w:tcW w:w="1559" w:type="dxa"/>
            <w:vAlign w:val="bottom"/>
          </w:tcPr>
          <w:p w14:paraId="4ACFB5A4" w14:textId="77777777" w:rsidR="009054AE" w:rsidRPr="00E140C1" w:rsidRDefault="009054AE" w:rsidP="00456789">
            <w:pPr>
              <w:jc w:val="center"/>
              <w:rPr>
                <w:sz w:val="18"/>
                <w:szCs w:val="18"/>
              </w:rPr>
            </w:pPr>
            <w:r>
              <w:rPr>
                <w:sz w:val="18"/>
                <w:szCs w:val="18"/>
              </w:rPr>
              <w:t>0.8</w:t>
            </w:r>
          </w:p>
        </w:tc>
        <w:tc>
          <w:tcPr>
            <w:tcW w:w="1564" w:type="dxa"/>
            <w:vAlign w:val="bottom"/>
          </w:tcPr>
          <w:p w14:paraId="1D782308" w14:textId="77777777" w:rsidR="009054AE" w:rsidRPr="00E140C1" w:rsidRDefault="009054AE" w:rsidP="00456789">
            <w:pPr>
              <w:jc w:val="center"/>
              <w:rPr>
                <w:sz w:val="18"/>
                <w:szCs w:val="18"/>
              </w:rPr>
            </w:pPr>
            <w:r>
              <w:rPr>
                <w:sz w:val="18"/>
                <w:szCs w:val="18"/>
              </w:rPr>
              <w:t>0.9</w:t>
            </w:r>
          </w:p>
        </w:tc>
      </w:tr>
      <w:tr w:rsidR="009054AE" w:rsidRPr="00E140C1" w14:paraId="22B7C849" w14:textId="77777777" w:rsidTr="00456789">
        <w:trPr>
          <w:trHeight w:val="288"/>
          <w:jc w:val="center"/>
        </w:trPr>
        <w:tc>
          <w:tcPr>
            <w:tcW w:w="5231" w:type="dxa"/>
            <w:vAlign w:val="bottom"/>
          </w:tcPr>
          <w:p w14:paraId="727C1E81" w14:textId="77777777" w:rsidR="009054AE" w:rsidRDefault="009054AE" w:rsidP="00456789">
            <w:pPr>
              <w:rPr>
                <w:rFonts w:cs="Arial"/>
                <w:color w:val="000000"/>
                <w:sz w:val="18"/>
                <w:szCs w:val="18"/>
              </w:rPr>
            </w:pPr>
            <w:r>
              <w:rPr>
                <w:rFonts w:cs="Arial"/>
                <w:color w:val="000000"/>
                <w:sz w:val="18"/>
                <w:szCs w:val="18"/>
              </w:rPr>
              <w:t>Oropharyngeal pain</w:t>
            </w:r>
          </w:p>
        </w:tc>
        <w:tc>
          <w:tcPr>
            <w:tcW w:w="1559" w:type="dxa"/>
            <w:vAlign w:val="bottom"/>
          </w:tcPr>
          <w:p w14:paraId="1EAB1CDF" w14:textId="77777777" w:rsidR="009054AE" w:rsidRDefault="009054AE" w:rsidP="00456789">
            <w:pPr>
              <w:jc w:val="center"/>
              <w:rPr>
                <w:sz w:val="18"/>
                <w:szCs w:val="18"/>
              </w:rPr>
            </w:pPr>
            <w:r>
              <w:rPr>
                <w:sz w:val="18"/>
                <w:szCs w:val="18"/>
              </w:rPr>
              <w:t>0.7</w:t>
            </w:r>
          </w:p>
        </w:tc>
        <w:tc>
          <w:tcPr>
            <w:tcW w:w="1564" w:type="dxa"/>
            <w:vAlign w:val="bottom"/>
          </w:tcPr>
          <w:p w14:paraId="257F60F8" w14:textId="77777777" w:rsidR="009054AE" w:rsidRDefault="009054AE" w:rsidP="00456789">
            <w:pPr>
              <w:jc w:val="center"/>
              <w:rPr>
                <w:sz w:val="18"/>
                <w:szCs w:val="18"/>
              </w:rPr>
            </w:pPr>
            <w:r>
              <w:rPr>
                <w:sz w:val="18"/>
                <w:szCs w:val="18"/>
              </w:rPr>
              <w:t>0.8</w:t>
            </w:r>
          </w:p>
        </w:tc>
      </w:tr>
      <w:tr w:rsidR="009054AE" w:rsidRPr="00E140C1" w14:paraId="44B41EA9" w14:textId="77777777" w:rsidTr="00456789">
        <w:trPr>
          <w:trHeight w:val="288"/>
          <w:jc w:val="center"/>
        </w:trPr>
        <w:tc>
          <w:tcPr>
            <w:tcW w:w="5231" w:type="dxa"/>
            <w:vAlign w:val="bottom"/>
          </w:tcPr>
          <w:p w14:paraId="7F8B6937" w14:textId="77777777" w:rsidR="009054AE" w:rsidRDefault="009054AE" w:rsidP="00456789">
            <w:pPr>
              <w:rPr>
                <w:rFonts w:cs="Arial"/>
                <w:color w:val="000000"/>
                <w:sz w:val="18"/>
                <w:szCs w:val="18"/>
              </w:rPr>
            </w:pPr>
            <w:r w:rsidRPr="00985870">
              <w:rPr>
                <w:b/>
                <w:sz w:val="18"/>
                <w:szCs w:val="18"/>
              </w:rPr>
              <w:t>VASCULAR DISORDERS</w:t>
            </w:r>
          </w:p>
        </w:tc>
        <w:tc>
          <w:tcPr>
            <w:tcW w:w="1559" w:type="dxa"/>
            <w:vAlign w:val="bottom"/>
          </w:tcPr>
          <w:p w14:paraId="225054E0" w14:textId="77777777" w:rsidR="009054AE" w:rsidRDefault="009054AE" w:rsidP="00456789">
            <w:pPr>
              <w:jc w:val="center"/>
              <w:rPr>
                <w:sz w:val="18"/>
                <w:szCs w:val="18"/>
              </w:rPr>
            </w:pPr>
          </w:p>
        </w:tc>
        <w:tc>
          <w:tcPr>
            <w:tcW w:w="1564" w:type="dxa"/>
            <w:vAlign w:val="bottom"/>
          </w:tcPr>
          <w:p w14:paraId="7ED4CC72" w14:textId="77777777" w:rsidR="009054AE" w:rsidRDefault="009054AE" w:rsidP="00456789">
            <w:pPr>
              <w:jc w:val="center"/>
              <w:rPr>
                <w:sz w:val="18"/>
                <w:szCs w:val="18"/>
              </w:rPr>
            </w:pPr>
          </w:p>
        </w:tc>
      </w:tr>
      <w:tr w:rsidR="009054AE" w:rsidRPr="00E140C1" w14:paraId="03CB2AD2" w14:textId="77777777" w:rsidTr="00456789">
        <w:trPr>
          <w:trHeight w:val="288"/>
          <w:jc w:val="center"/>
        </w:trPr>
        <w:tc>
          <w:tcPr>
            <w:tcW w:w="5231" w:type="dxa"/>
            <w:vAlign w:val="bottom"/>
          </w:tcPr>
          <w:p w14:paraId="4D090CF0" w14:textId="77777777" w:rsidR="009054AE" w:rsidRPr="00985870" w:rsidRDefault="009054AE" w:rsidP="00456789">
            <w:pPr>
              <w:rPr>
                <w:b/>
                <w:sz w:val="18"/>
                <w:szCs w:val="18"/>
              </w:rPr>
            </w:pPr>
            <w:r>
              <w:rPr>
                <w:rFonts w:cs="Arial"/>
                <w:color w:val="000000"/>
                <w:sz w:val="18"/>
                <w:szCs w:val="18"/>
              </w:rPr>
              <w:t>Peripheral arterial occlusive disease</w:t>
            </w:r>
          </w:p>
        </w:tc>
        <w:tc>
          <w:tcPr>
            <w:tcW w:w="1559" w:type="dxa"/>
            <w:vAlign w:val="bottom"/>
          </w:tcPr>
          <w:p w14:paraId="6F424154" w14:textId="77777777" w:rsidR="009054AE" w:rsidRDefault="009054AE" w:rsidP="00456789">
            <w:pPr>
              <w:jc w:val="center"/>
              <w:rPr>
                <w:sz w:val="18"/>
                <w:szCs w:val="18"/>
              </w:rPr>
            </w:pPr>
            <w:r>
              <w:rPr>
                <w:sz w:val="18"/>
                <w:szCs w:val="18"/>
              </w:rPr>
              <w:t>0.8</w:t>
            </w:r>
          </w:p>
        </w:tc>
        <w:tc>
          <w:tcPr>
            <w:tcW w:w="1564" w:type="dxa"/>
            <w:vAlign w:val="bottom"/>
          </w:tcPr>
          <w:p w14:paraId="5BD1342B" w14:textId="77777777" w:rsidR="009054AE" w:rsidRDefault="009054AE" w:rsidP="00456789">
            <w:pPr>
              <w:jc w:val="center"/>
              <w:rPr>
                <w:sz w:val="18"/>
                <w:szCs w:val="18"/>
              </w:rPr>
            </w:pPr>
            <w:r>
              <w:rPr>
                <w:sz w:val="18"/>
                <w:szCs w:val="18"/>
              </w:rPr>
              <w:t>0.9</w:t>
            </w:r>
          </w:p>
        </w:tc>
      </w:tr>
      <w:tr w:rsidR="009054AE" w:rsidRPr="00E140C1" w14:paraId="181A5F29" w14:textId="77777777" w:rsidTr="00456789">
        <w:trPr>
          <w:trHeight w:val="288"/>
          <w:jc w:val="center"/>
        </w:trPr>
        <w:tc>
          <w:tcPr>
            <w:tcW w:w="5231" w:type="dxa"/>
            <w:vAlign w:val="bottom"/>
          </w:tcPr>
          <w:p w14:paraId="24365B8F" w14:textId="77777777" w:rsidR="009054AE" w:rsidRDefault="009054AE" w:rsidP="00456789">
            <w:pPr>
              <w:rPr>
                <w:rFonts w:cs="Arial"/>
                <w:color w:val="000000"/>
                <w:sz w:val="18"/>
                <w:szCs w:val="18"/>
              </w:rPr>
            </w:pPr>
            <w:r>
              <w:rPr>
                <w:rFonts w:cs="Arial"/>
                <w:color w:val="000000"/>
                <w:sz w:val="18"/>
                <w:szCs w:val="18"/>
              </w:rPr>
              <w:t>Intermittent claudication</w:t>
            </w:r>
          </w:p>
        </w:tc>
        <w:tc>
          <w:tcPr>
            <w:tcW w:w="1559" w:type="dxa"/>
            <w:vAlign w:val="bottom"/>
          </w:tcPr>
          <w:p w14:paraId="5463494D" w14:textId="77777777" w:rsidR="009054AE" w:rsidRDefault="009054AE" w:rsidP="00456789">
            <w:pPr>
              <w:jc w:val="center"/>
              <w:rPr>
                <w:sz w:val="18"/>
                <w:szCs w:val="18"/>
              </w:rPr>
            </w:pPr>
            <w:r>
              <w:rPr>
                <w:sz w:val="18"/>
                <w:szCs w:val="18"/>
              </w:rPr>
              <w:t>0.5</w:t>
            </w:r>
          </w:p>
        </w:tc>
        <w:tc>
          <w:tcPr>
            <w:tcW w:w="1564" w:type="dxa"/>
            <w:vAlign w:val="bottom"/>
          </w:tcPr>
          <w:p w14:paraId="7FFFEC54" w14:textId="77777777" w:rsidR="009054AE" w:rsidRDefault="009054AE" w:rsidP="00456789">
            <w:pPr>
              <w:jc w:val="center"/>
              <w:rPr>
                <w:sz w:val="18"/>
                <w:szCs w:val="18"/>
              </w:rPr>
            </w:pPr>
            <w:r>
              <w:rPr>
                <w:sz w:val="18"/>
                <w:szCs w:val="18"/>
              </w:rPr>
              <w:t>0.6</w:t>
            </w:r>
          </w:p>
        </w:tc>
      </w:tr>
    </w:tbl>
    <w:p w14:paraId="46C1591F" w14:textId="77777777" w:rsidR="009054AE" w:rsidRDefault="009054AE" w:rsidP="009E6497">
      <w:pPr>
        <w:pStyle w:val="PItextbullet"/>
        <w:numPr>
          <w:ilvl w:val="0"/>
          <w:numId w:val="0"/>
        </w:numPr>
        <w:spacing w:before="0" w:after="0" w:line="240" w:lineRule="auto"/>
        <w:ind w:left="284"/>
        <w:rPr>
          <w:sz w:val="18"/>
          <w:szCs w:val="18"/>
        </w:rPr>
      </w:pPr>
    </w:p>
    <w:p w14:paraId="0284E111" w14:textId="77777777" w:rsidR="009054AE" w:rsidRDefault="009054AE" w:rsidP="009E6497">
      <w:pPr>
        <w:pStyle w:val="PItextbullet"/>
        <w:numPr>
          <w:ilvl w:val="0"/>
          <w:numId w:val="0"/>
        </w:numPr>
        <w:spacing w:before="0" w:after="0" w:line="240" w:lineRule="auto"/>
        <w:ind w:left="284"/>
        <w:rPr>
          <w:sz w:val="18"/>
          <w:szCs w:val="18"/>
        </w:rPr>
      </w:pPr>
      <w:r>
        <w:rPr>
          <w:sz w:val="18"/>
          <w:szCs w:val="18"/>
        </w:rPr>
        <w:t>*</w:t>
      </w:r>
      <w:r w:rsidRPr="00C4145C">
        <w:rPr>
          <w:sz w:val="18"/>
          <w:szCs w:val="18"/>
        </w:rPr>
        <w:t xml:space="preserve">Any </w:t>
      </w:r>
      <w:r>
        <w:rPr>
          <w:sz w:val="18"/>
          <w:szCs w:val="18"/>
        </w:rPr>
        <w:t>c</w:t>
      </w:r>
      <w:r w:rsidRPr="00C4145C">
        <w:rPr>
          <w:sz w:val="18"/>
          <w:szCs w:val="18"/>
        </w:rPr>
        <w:t>ontrol includes placebo and ezetimibe with or without placebo subjects</w:t>
      </w:r>
      <w:r>
        <w:rPr>
          <w:sz w:val="18"/>
          <w:szCs w:val="18"/>
        </w:rPr>
        <w:t>.</w:t>
      </w:r>
    </w:p>
    <w:p w14:paraId="3EBB04BF" w14:textId="77777777" w:rsidR="009054AE" w:rsidRDefault="009054AE" w:rsidP="009E6497">
      <w:pPr>
        <w:pStyle w:val="PItextbullet"/>
        <w:numPr>
          <w:ilvl w:val="0"/>
          <w:numId w:val="0"/>
        </w:numPr>
        <w:spacing w:before="0" w:after="0" w:line="240" w:lineRule="auto"/>
        <w:ind w:left="284"/>
        <w:rPr>
          <w:sz w:val="18"/>
          <w:szCs w:val="18"/>
        </w:rPr>
      </w:pPr>
      <w:r w:rsidRPr="00B37A1B">
        <w:rPr>
          <w:sz w:val="18"/>
          <w:szCs w:val="18"/>
        </w:rPr>
        <w:t>N = number of subjects randomized and dosed.</w:t>
      </w:r>
      <w:r>
        <w:rPr>
          <w:sz w:val="18"/>
          <w:szCs w:val="18"/>
        </w:rPr>
        <w:t xml:space="preserve"> </w:t>
      </w:r>
    </w:p>
    <w:p w14:paraId="27B1D660" w14:textId="77777777" w:rsidR="009054AE" w:rsidRPr="00B37A1B" w:rsidRDefault="009054AE" w:rsidP="009E6497">
      <w:pPr>
        <w:pStyle w:val="PItextbullet"/>
        <w:numPr>
          <w:ilvl w:val="0"/>
          <w:numId w:val="0"/>
        </w:numPr>
        <w:spacing w:before="0" w:after="0" w:line="240" w:lineRule="auto"/>
        <w:ind w:left="284"/>
        <w:rPr>
          <w:sz w:val="18"/>
          <w:szCs w:val="18"/>
        </w:rPr>
      </w:pPr>
      <w:r w:rsidRPr="00B37A1B">
        <w:rPr>
          <w:sz w:val="18"/>
          <w:szCs w:val="18"/>
        </w:rPr>
        <w:t xml:space="preserve">Includes Double-Blinded Studies: 20090158, 20090159, 20101154, 20101155, 20110231, 20110109, 20110114, 20110115, 20110116, 20110117, 20120348, 20120356, </w:t>
      </w:r>
      <w:proofErr w:type="gramStart"/>
      <w:r w:rsidRPr="00B37A1B">
        <w:rPr>
          <w:sz w:val="18"/>
          <w:szCs w:val="18"/>
        </w:rPr>
        <w:t>20120332</w:t>
      </w:r>
      <w:proofErr w:type="gramEnd"/>
      <w:r w:rsidRPr="00B37A1B">
        <w:rPr>
          <w:sz w:val="18"/>
          <w:szCs w:val="18"/>
        </w:rPr>
        <w:t xml:space="preserve"> part B, 20110118, 20120153, 20120122</w:t>
      </w:r>
    </w:p>
    <w:p w14:paraId="6C79FA30" w14:textId="77777777" w:rsidR="006006CC" w:rsidRDefault="006006CC" w:rsidP="00246473">
      <w:pPr>
        <w:rPr>
          <w:iCs/>
        </w:rPr>
      </w:pPr>
    </w:p>
    <w:p w14:paraId="1E7FF10F" w14:textId="77777777" w:rsidR="006002BA" w:rsidRDefault="006002BA" w:rsidP="002813FC">
      <w:pPr>
        <w:pStyle w:val="PI-UnderlinedSubHeader"/>
      </w:pPr>
      <w:r>
        <w:t xml:space="preserve">Post </w:t>
      </w:r>
      <w:r w:rsidR="005E418B">
        <w:t>m</w:t>
      </w:r>
      <w:r>
        <w:t xml:space="preserve">arketing </w:t>
      </w:r>
      <w:r w:rsidR="005E418B">
        <w:t>e</w:t>
      </w:r>
      <w:r>
        <w:t>xperience</w:t>
      </w:r>
    </w:p>
    <w:p w14:paraId="2D4F9C66" w14:textId="77777777" w:rsidR="00D03C34" w:rsidRDefault="00A60CF1" w:rsidP="00D03C34">
      <w:pPr>
        <w:pStyle w:val="PI-text"/>
        <w:rPr>
          <w:b/>
        </w:rPr>
      </w:pPr>
      <w:r>
        <w:t>Hypersensitivity reactions including angioedema</w:t>
      </w:r>
      <w:r>
        <w:rPr>
          <w:sz w:val="14"/>
          <w:szCs w:val="14"/>
        </w:rPr>
        <w:t>.</w:t>
      </w:r>
      <w:bookmarkEnd w:id="23"/>
    </w:p>
    <w:p w14:paraId="622FC7A0" w14:textId="77777777" w:rsidR="007D3C6A" w:rsidRPr="00E37367" w:rsidRDefault="007D3C6A" w:rsidP="00E37367">
      <w:pPr>
        <w:pStyle w:val="PI-MainHeader"/>
      </w:pPr>
      <w:r w:rsidRPr="00E37367">
        <w:t>DOSAGE AND ADMINISTRATION</w:t>
      </w:r>
    </w:p>
    <w:p w14:paraId="5E0A2568" w14:textId="77777777" w:rsidR="002126B0" w:rsidRPr="002126B0" w:rsidRDefault="002126B0" w:rsidP="002813FC">
      <w:pPr>
        <w:pStyle w:val="PI-UnderlinedSubHeader"/>
      </w:pPr>
      <w:r w:rsidRPr="002126B0">
        <w:t>Dosage</w:t>
      </w:r>
    </w:p>
    <w:p w14:paraId="4649F048" w14:textId="0C454559" w:rsidR="00110E6D" w:rsidRPr="00575A99" w:rsidRDefault="009857EB" w:rsidP="00363FAB">
      <w:r>
        <w:rPr>
          <w:b/>
        </w:rPr>
        <w:t xml:space="preserve">Primary </w:t>
      </w:r>
      <w:r w:rsidR="0027632E" w:rsidRPr="00575A99">
        <w:rPr>
          <w:b/>
        </w:rPr>
        <w:t>Hypercholesterolaemia</w:t>
      </w:r>
      <w:r w:rsidR="00AE2D33">
        <w:rPr>
          <w:b/>
        </w:rPr>
        <w:t xml:space="preserve"> and prevention of Cardiovascular Events</w:t>
      </w:r>
    </w:p>
    <w:p w14:paraId="1D93CA68" w14:textId="77777777" w:rsidR="004E7EB1" w:rsidRDefault="00110E6D" w:rsidP="00A75447">
      <w:pPr>
        <w:pStyle w:val="PI-text"/>
      </w:pPr>
      <w:r w:rsidRPr="00C03E30">
        <w:t>The recommended dose for</w:t>
      </w:r>
      <w:r>
        <w:t xml:space="preserve"> </w:t>
      </w:r>
      <w:r w:rsidR="00DA265F">
        <w:t>Repatha</w:t>
      </w:r>
      <w:r w:rsidRPr="00C03E30">
        <w:t xml:space="preserve"> is </w:t>
      </w:r>
      <w:r w:rsidRPr="005C7946">
        <w:t>either</w:t>
      </w:r>
      <w:r w:rsidRPr="00C03E30">
        <w:t xml:space="preserve"> 140 mg </w:t>
      </w:r>
      <w:r>
        <w:t xml:space="preserve">every 2 weeks </w:t>
      </w:r>
      <w:r w:rsidRPr="00C03E30">
        <w:t>or 420 mg once monthly</w:t>
      </w:r>
      <w:r w:rsidR="00A94368" w:rsidRPr="00A94368">
        <w:t>; both doses are clinically equivalent</w:t>
      </w:r>
      <w:r w:rsidR="00E232CD">
        <w:t>.</w:t>
      </w:r>
    </w:p>
    <w:p w14:paraId="49C8BFDD" w14:textId="60E0FC26" w:rsidR="00110E6D" w:rsidRPr="00EB38D7" w:rsidRDefault="00110E6D" w:rsidP="00EB38D7">
      <w:pPr>
        <w:pStyle w:val="PI-text"/>
        <w:rPr>
          <w:b/>
        </w:rPr>
      </w:pPr>
      <w:r w:rsidRPr="00EB38D7">
        <w:rPr>
          <w:b/>
        </w:rPr>
        <w:t xml:space="preserve">Homozygous </w:t>
      </w:r>
      <w:r w:rsidR="005E418B" w:rsidRPr="00EB38D7">
        <w:rPr>
          <w:b/>
          <w:lang w:val="en-AU"/>
        </w:rPr>
        <w:t>f</w:t>
      </w:r>
      <w:r w:rsidRPr="00EB38D7">
        <w:rPr>
          <w:b/>
        </w:rPr>
        <w:t xml:space="preserve">amilial </w:t>
      </w:r>
      <w:r w:rsidR="005E418B" w:rsidRPr="00EB38D7">
        <w:rPr>
          <w:b/>
          <w:lang w:val="en-AU"/>
        </w:rPr>
        <w:t>h</w:t>
      </w:r>
      <w:r w:rsidR="00983361" w:rsidRPr="00EB38D7">
        <w:rPr>
          <w:b/>
        </w:rPr>
        <w:t>ypercholesterolaemia</w:t>
      </w:r>
    </w:p>
    <w:p w14:paraId="35755116" w14:textId="77777777" w:rsidR="00E232CD" w:rsidRPr="00276804" w:rsidRDefault="00110E6D" w:rsidP="00A75447">
      <w:pPr>
        <w:pStyle w:val="PI-text"/>
      </w:pPr>
      <w:r w:rsidRPr="00276804">
        <w:t xml:space="preserve">The </w:t>
      </w:r>
      <w:r w:rsidR="00E06252">
        <w:t xml:space="preserve">initial </w:t>
      </w:r>
      <w:r w:rsidRPr="00276804">
        <w:t xml:space="preserve">recommended dose for </w:t>
      </w:r>
      <w:r w:rsidR="00DA265F" w:rsidRPr="00276804">
        <w:t>Repatha</w:t>
      </w:r>
      <w:r w:rsidRPr="00276804">
        <w:t xml:space="preserve"> </w:t>
      </w:r>
      <w:r w:rsidR="00A94368" w:rsidRPr="00276804">
        <w:t>is 420 mg once monthly</w:t>
      </w:r>
      <w:r w:rsidR="00213542">
        <w:t>.  T</w:t>
      </w:r>
      <w:r w:rsidR="00E06252">
        <w:t>he dose can be increased to 420</w:t>
      </w:r>
      <w:r w:rsidR="00E91246">
        <w:t xml:space="preserve"> </w:t>
      </w:r>
      <w:r w:rsidR="00E06252">
        <w:t xml:space="preserve">mg </w:t>
      </w:r>
      <w:r w:rsidR="00A94368" w:rsidRPr="00276804">
        <w:t>every 2 weeks</w:t>
      </w:r>
      <w:r w:rsidR="00E06252">
        <w:t xml:space="preserve"> if a clinically meaningful response is not achieved in 12 weeks</w:t>
      </w:r>
      <w:r w:rsidR="00A94368" w:rsidRPr="00276804">
        <w:t>.</w:t>
      </w:r>
      <w:r w:rsidR="00276804" w:rsidRPr="00276804">
        <w:t xml:space="preserve"> </w:t>
      </w:r>
      <w:r w:rsidR="00A94368" w:rsidRPr="00276804">
        <w:t xml:space="preserve"> Patients on apheresis may initiate treatment with 420 mg every 2 weeks to correspond with their apheresis schedule.</w:t>
      </w:r>
      <w:r w:rsidR="00BD3A0E">
        <w:t xml:space="preserve"> </w:t>
      </w:r>
      <w:r w:rsidR="00276804" w:rsidRPr="00276804">
        <w:t xml:space="preserve"> </w:t>
      </w:r>
    </w:p>
    <w:p w14:paraId="70B47DA0" w14:textId="77777777" w:rsidR="00825800" w:rsidRPr="00321ADA" w:rsidRDefault="00825800" w:rsidP="002813FC">
      <w:pPr>
        <w:pStyle w:val="PI-subheadernounderline"/>
      </w:pPr>
      <w:r w:rsidRPr="00321ADA">
        <w:t xml:space="preserve">Patients with </w:t>
      </w:r>
      <w:r w:rsidR="005E418B">
        <w:t>r</w:t>
      </w:r>
      <w:r w:rsidRPr="00321ADA">
        <w:t xml:space="preserve">enal </w:t>
      </w:r>
      <w:r w:rsidR="005E418B">
        <w:t>i</w:t>
      </w:r>
      <w:r w:rsidRPr="00321ADA">
        <w:t>mpairment</w:t>
      </w:r>
    </w:p>
    <w:p w14:paraId="57444BA6" w14:textId="77777777" w:rsidR="00276804" w:rsidRPr="00276804" w:rsidRDefault="00825800" w:rsidP="00A75447">
      <w:pPr>
        <w:pStyle w:val="PI-text"/>
      </w:pPr>
      <w:r w:rsidRPr="00276804">
        <w:t>No dose adjustment is necessary in patients w</w:t>
      </w:r>
      <w:r w:rsidR="00276804">
        <w:t>ith renal</w:t>
      </w:r>
      <w:r w:rsidR="00D55229">
        <w:t xml:space="preserve"> impairment</w:t>
      </w:r>
      <w:r w:rsidR="00276804">
        <w:t>.</w:t>
      </w:r>
    </w:p>
    <w:p w14:paraId="72170820" w14:textId="77777777" w:rsidR="00825800" w:rsidRPr="00321ADA" w:rsidRDefault="00825800" w:rsidP="002813FC">
      <w:pPr>
        <w:pStyle w:val="PI-subheadernounderline"/>
      </w:pPr>
      <w:r w:rsidRPr="00321ADA">
        <w:t xml:space="preserve">Patients with </w:t>
      </w:r>
      <w:r w:rsidR="005E418B">
        <w:t>h</w:t>
      </w:r>
      <w:r w:rsidRPr="00321ADA">
        <w:t xml:space="preserve">epatic </w:t>
      </w:r>
      <w:r w:rsidR="005E418B">
        <w:t>i</w:t>
      </w:r>
      <w:r w:rsidRPr="00321ADA">
        <w:t>mpairment</w:t>
      </w:r>
    </w:p>
    <w:p w14:paraId="789FB83F" w14:textId="77777777" w:rsidR="00276804" w:rsidRPr="00276804" w:rsidRDefault="00825800" w:rsidP="00A75447">
      <w:pPr>
        <w:pStyle w:val="PI-text"/>
      </w:pPr>
      <w:r w:rsidRPr="00276804">
        <w:t>No dose adjustment is necessary in patients with mild to moderate hepatic impairment.</w:t>
      </w:r>
      <w:r w:rsidR="00276804" w:rsidRPr="00276804">
        <w:t xml:space="preserve"> </w:t>
      </w:r>
      <w:r w:rsidR="00BD3A0E">
        <w:t xml:space="preserve"> </w:t>
      </w:r>
      <w:r w:rsidR="00276804" w:rsidRPr="00276804">
        <w:t>Repatha has not been studied in patients with severe hepatic impairment (Child-Pugh class C).</w:t>
      </w:r>
    </w:p>
    <w:p w14:paraId="226C3636" w14:textId="77777777" w:rsidR="00825800" w:rsidRPr="00276804" w:rsidRDefault="00825800" w:rsidP="002813FC">
      <w:pPr>
        <w:pStyle w:val="PI-subheadernounderline"/>
      </w:pPr>
      <w:r>
        <w:t>Elderly</w:t>
      </w:r>
      <w:r w:rsidRPr="00321ADA">
        <w:t xml:space="preserve"> </w:t>
      </w:r>
      <w:r w:rsidR="005E418B">
        <w:t>p</w:t>
      </w:r>
      <w:r w:rsidRPr="00321ADA">
        <w:t>atients</w:t>
      </w:r>
      <w:r w:rsidR="00276804">
        <w:t xml:space="preserve"> </w:t>
      </w:r>
    </w:p>
    <w:p w14:paraId="2C6869B2" w14:textId="77777777" w:rsidR="00825800" w:rsidRPr="00276804" w:rsidRDefault="00825800" w:rsidP="00A75447">
      <w:pPr>
        <w:pStyle w:val="PI-text"/>
      </w:pPr>
      <w:r w:rsidRPr="00276804">
        <w:t xml:space="preserve">No dose adjustment is necessary in </w:t>
      </w:r>
      <w:r w:rsidR="00276804" w:rsidRPr="00276804">
        <w:t>elderly</w:t>
      </w:r>
      <w:r w:rsidRPr="00276804">
        <w:t xml:space="preserve"> patients </w:t>
      </w:r>
      <w:r w:rsidR="00276804" w:rsidRPr="00276804">
        <w:t>(age ≥ 65 years)</w:t>
      </w:r>
      <w:r w:rsidRPr="00276804">
        <w:t>.</w:t>
      </w:r>
    </w:p>
    <w:p w14:paraId="3CAB8E5B" w14:textId="77777777" w:rsidR="007D3C6A" w:rsidRPr="0044022D" w:rsidRDefault="007D3C6A" w:rsidP="00A75447">
      <w:pPr>
        <w:pStyle w:val="PI-UnderlinedSubHeader"/>
        <w:rPr>
          <w:snapToGrid w:val="0"/>
        </w:rPr>
      </w:pPr>
      <w:r w:rsidRPr="0044022D">
        <w:rPr>
          <w:snapToGrid w:val="0"/>
        </w:rPr>
        <w:t>Administration</w:t>
      </w:r>
    </w:p>
    <w:p w14:paraId="1C8117D8" w14:textId="77777777" w:rsidR="002A095F" w:rsidRDefault="002A095F" w:rsidP="00A75447">
      <w:pPr>
        <w:pStyle w:val="PI-text"/>
      </w:pPr>
      <w:r w:rsidRPr="002A095F">
        <w:t>Administration should be performed by an individual who has been trained to administer the product</w:t>
      </w:r>
      <w:r>
        <w:t>.</w:t>
      </w:r>
    </w:p>
    <w:p w14:paraId="1F7C8AB1" w14:textId="77777777" w:rsidR="00843DA5" w:rsidRPr="00843DA5" w:rsidRDefault="00843DA5" w:rsidP="00A75447">
      <w:pPr>
        <w:pStyle w:val="PI-text"/>
      </w:pPr>
      <w:r w:rsidRPr="00843DA5">
        <w:lastRenderedPageBreak/>
        <w:t xml:space="preserve">Prior to subcutaneous administration, allow </w:t>
      </w:r>
      <w:r w:rsidR="00DA265F">
        <w:t>Repatha</w:t>
      </w:r>
      <w:r w:rsidRPr="00843DA5">
        <w:t xml:space="preserve"> to sit at room temperature for at least 30 min</w:t>
      </w:r>
      <w:r w:rsidR="003A7EAE">
        <w:t>utes</w:t>
      </w:r>
      <w:r w:rsidRPr="00843DA5">
        <w:t xml:space="preserve"> </w:t>
      </w:r>
      <w:r w:rsidRPr="00916433">
        <w:t xml:space="preserve">for </w:t>
      </w:r>
      <w:r w:rsidR="00620F31" w:rsidRPr="00916433">
        <w:t>the pre</w:t>
      </w:r>
      <w:r w:rsidR="0001187E">
        <w:t>-</w:t>
      </w:r>
      <w:r w:rsidR="00620F31" w:rsidRPr="00916433">
        <w:t>filled pen</w:t>
      </w:r>
      <w:r w:rsidR="003A7EAE">
        <w:t xml:space="preserve"> or 45 minutes for the automated mini-doser (AMD)</w:t>
      </w:r>
      <w:r w:rsidRPr="00843DA5">
        <w:t xml:space="preserve">. </w:t>
      </w:r>
      <w:r w:rsidR="00BD3A0E">
        <w:t xml:space="preserve"> </w:t>
      </w:r>
      <w:r w:rsidRPr="00843DA5">
        <w:t xml:space="preserve">Do not warm in any other way. </w:t>
      </w:r>
    </w:p>
    <w:p w14:paraId="07E17E3F" w14:textId="77777777" w:rsidR="00A617E3" w:rsidRPr="00A617E3" w:rsidRDefault="00A617E3" w:rsidP="00A75447">
      <w:pPr>
        <w:pStyle w:val="PI-text"/>
      </w:pPr>
      <w:r w:rsidRPr="00A617E3">
        <w:t xml:space="preserve">Avoid </w:t>
      </w:r>
      <w:r w:rsidR="00535E2C">
        <w:t xml:space="preserve">vigorous </w:t>
      </w:r>
      <w:r w:rsidRPr="00A617E3">
        <w:t>shaking the product.</w:t>
      </w:r>
    </w:p>
    <w:p w14:paraId="70B4F779" w14:textId="77777777" w:rsidR="00A617E3" w:rsidRPr="00A617E3" w:rsidRDefault="00A617E3" w:rsidP="00A75447">
      <w:pPr>
        <w:pStyle w:val="PI-text"/>
      </w:pPr>
      <w:r w:rsidRPr="00A617E3">
        <w:t>Visually inspect the solution f</w:t>
      </w:r>
      <w:r w:rsidR="002A095F">
        <w:t>or particles and discolo</w:t>
      </w:r>
      <w:r w:rsidR="00615307">
        <w:t>u</w:t>
      </w:r>
      <w:r w:rsidR="002A095F">
        <w:t xml:space="preserve">ration. </w:t>
      </w:r>
      <w:r w:rsidRPr="00A617E3">
        <w:t xml:space="preserve"> Do not use if the solution is discolo</w:t>
      </w:r>
      <w:r w:rsidR="003A7EAE">
        <w:t>u</w:t>
      </w:r>
      <w:r w:rsidRPr="00A617E3">
        <w:t>red, cloudy, or if flakes or particles are present.</w:t>
      </w:r>
    </w:p>
    <w:p w14:paraId="6986CCD3" w14:textId="77777777" w:rsidR="00A617E3" w:rsidRDefault="00A617E3" w:rsidP="00A75447">
      <w:pPr>
        <w:pStyle w:val="PI-text"/>
      </w:pPr>
      <w:r w:rsidRPr="00A75447">
        <w:t>Doses may be administered in the upper arm, thigh, or abdomen.  Injection sites should be rotated and injections should not be given into areas where the skin is tender, bruised, red, or hard.</w:t>
      </w:r>
    </w:p>
    <w:p w14:paraId="736C9BD5" w14:textId="77777777" w:rsidR="00F50C8F" w:rsidRDefault="00F50C8F" w:rsidP="00F50C8F">
      <w:pPr>
        <w:pStyle w:val="PI-text"/>
      </w:pPr>
      <w:r w:rsidRPr="00F50C8F">
        <w:t xml:space="preserve">Repatha is for single use in one patient only. </w:t>
      </w:r>
      <w:r w:rsidR="00BD3A0E">
        <w:t xml:space="preserve"> </w:t>
      </w:r>
      <w:r w:rsidRPr="00F50C8F">
        <w:t>Discard any residue.</w:t>
      </w:r>
    </w:p>
    <w:p w14:paraId="28A32AC6" w14:textId="77777777" w:rsidR="002D638A" w:rsidRDefault="002D638A" w:rsidP="002D638A">
      <w:pPr>
        <w:pStyle w:val="PI-text"/>
      </w:pPr>
      <w:r w:rsidRPr="0047221E">
        <w:rPr>
          <w:lang w:val="en-AU" w:eastAsia="en-AU"/>
        </w:rPr>
        <w:t>Comprehensive instructions for the administration of Repatha are provided in the Instructions for Use</w:t>
      </w:r>
      <w:r>
        <w:rPr>
          <w:sz w:val="20"/>
          <w:lang w:val="en-AU" w:eastAsia="en-AU"/>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3377"/>
        <w:gridCol w:w="2710"/>
      </w:tblGrid>
      <w:tr w:rsidR="003A7EAE" w14:paraId="557E578F" w14:textId="77777777" w:rsidTr="003A7EAE">
        <w:tc>
          <w:tcPr>
            <w:tcW w:w="3377" w:type="dxa"/>
            <w:shd w:val="clear" w:color="auto" w:fill="auto"/>
          </w:tcPr>
          <w:p w14:paraId="7A5F45EE" w14:textId="77777777" w:rsidR="003A7EAE" w:rsidRPr="00461170" w:rsidRDefault="003A7EAE" w:rsidP="00F00FE6">
            <w:pPr>
              <w:pStyle w:val="TableCenterAlign"/>
              <w:spacing w:line="240" w:lineRule="auto"/>
              <w:jc w:val="left"/>
              <w:rPr>
                <w:rFonts w:eastAsia="Arial,Bold" w:cs="Arial"/>
                <w:b/>
                <w:bCs/>
                <w:sz w:val="20"/>
                <w:szCs w:val="18"/>
              </w:rPr>
            </w:pPr>
            <w:r w:rsidRPr="00461170">
              <w:rPr>
                <w:rFonts w:eastAsia="Arial,Bold" w:cs="Arial"/>
                <w:b/>
                <w:bCs/>
                <w:sz w:val="20"/>
                <w:szCs w:val="18"/>
              </w:rPr>
              <w:t>Indication</w:t>
            </w:r>
          </w:p>
        </w:tc>
        <w:tc>
          <w:tcPr>
            <w:tcW w:w="3377" w:type="dxa"/>
            <w:shd w:val="clear" w:color="auto" w:fill="auto"/>
          </w:tcPr>
          <w:p w14:paraId="340AADBA" w14:textId="77777777" w:rsidR="003A7EAE" w:rsidRPr="00461170" w:rsidRDefault="003A7EAE" w:rsidP="00BA6757">
            <w:pPr>
              <w:pStyle w:val="TableCenterAlign"/>
              <w:spacing w:line="240" w:lineRule="auto"/>
              <w:jc w:val="left"/>
              <w:rPr>
                <w:rFonts w:eastAsia="Arial,Bold" w:cs="Arial"/>
                <w:b/>
                <w:bCs/>
                <w:sz w:val="20"/>
                <w:szCs w:val="18"/>
              </w:rPr>
            </w:pPr>
            <w:r w:rsidRPr="00461170">
              <w:rPr>
                <w:rFonts w:eastAsia="Arial,Bold" w:cs="Arial"/>
                <w:b/>
                <w:bCs/>
                <w:sz w:val="20"/>
                <w:szCs w:val="18"/>
              </w:rPr>
              <w:t>Recommended Dosage and Frequency</w:t>
            </w:r>
          </w:p>
        </w:tc>
        <w:tc>
          <w:tcPr>
            <w:tcW w:w="2710" w:type="dxa"/>
            <w:shd w:val="clear" w:color="auto" w:fill="auto"/>
          </w:tcPr>
          <w:p w14:paraId="18B79290" w14:textId="77777777" w:rsidR="003A7EAE" w:rsidRPr="00461170" w:rsidRDefault="003A7EAE" w:rsidP="00F00FE6">
            <w:pPr>
              <w:pStyle w:val="TableCenterAlign"/>
              <w:spacing w:line="240" w:lineRule="auto"/>
              <w:jc w:val="left"/>
              <w:rPr>
                <w:rFonts w:eastAsia="Arial,Bold" w:cs="Arial"/>
                <w:b/>
                <w:bCs/>
                <w:sz w:val="20"/>
                <w:szCs w:val="18"/>
              </w:rPr>
            </w:pPr>
            <w:r w:rsidRPr="00461170">
              <w:rPr>
                <w:rFonts w:eastAsia="Arial,Bold" w:cs="Arial"/>
                <w:b/>
                <w:bCs/>
                <w:sz w:val="20"/>
                <w:szCs w:val="18"/>
              </w:rPr>
              <w:t>Method of Administration</w:t>
            </w:r>
          </w:p>
        </w:tc>
      </w:tr>
      <w:tr w:rsidR="006679D6" w14:paraId="4C03E1C4" w14:textId="77777777" w:rsidTr="003A7EAE">
        <w:tc>
          <w:tcPr>
            <w:tcW w:w="3377" w:type="dxa"/>
            <w:vMerge w:val="restart"/>
            <w:shd w:val="clear" w:color="auto" w:fill="auto"/>
          </w:tcPr>
          <w:p w14:paraId="6AF1DA18" w14:textId="6DC83284" w:rsidR="00D25F78" w:rsidRPr="00461170" w:rsidRDefault="009857EB" w:rsidP="0012330F">
            <w:pPr>
              <w:pStyle w:val="TableCenterAlign"/>
              <w:spacing w:line="240" w:lineRule="auto"/>
              <w:jc w:val="left"/>
              <w:rPr>
                <w:rFonts w:eastAsia="Arial,Bold" w:cs="Arial"/>
                <w:bCs/>
                <w:sz w:val="20"/>
                <w:szCs w:val="18"/>
              </w:rPr>
            </w:pPr>
            <w:r>
              <w:rPr>
                <w:sz w:val="20"/>
              </w:rPr>
              <w:t>Primary h</w:t>
            </w:r>
            <w:r w:rsidR="006679D6" w:rsidRPr="003A7EAE">
              <w:rPr>
                <w:sz w:val="20"/>
              </w:rPr>
              <w:t>ypercholesterolaemia</w:t>
            </w:r>
            <w:r w:rsidR="00F12D63">
              <w:rPr>
                <w:sz w:val="20"/>
              </w:rPr>
              <w:t xml:space="preserve"> </w:t>
            </w:r>
            <w:r w:rsidR="00AE2D33">
              <w:rPr>
                <w:rFonts w:eastAsia="Arial,Bold" w:cs="Arial"/>
                <w:bCs/>
                <w:sz w:val="20"/>
                <w:szCs w:val="18"/>
              </w:rPr>
              <w:t>and prevention of Cardiovascular Events</w:t>
            </w:r>
          </w:p>
        </w:tc>
        <w:tc>
          <w:tcPr>
            <w:tcW w:w="3377" w:type="dxa"/>
            <w:shd w:val="clear" w:color="auto" w:fill="auto"/>
          </w:tcPr>
          <w:p w14:paraId="5B48C00E" w14:textId="77777777" w:rsidR="006679D6" w:rsidRPr="00461170" w:rsidRDefault="006679D6" w:rsidP="00F00FE6">
            <w:pPr>
              <w:pStyle w:val="TableCenterAlign"/>
              <w:spacing w:line="240" w:lineRule="auto"/>
              <w:jc w:val="left"/>
              <w:rPr>
                <w:rFonts w:eastAsia="Arial,Bold" w:cs="Arial"/>
                <w:bCs/>
                <w:sz w:val="20"/>
                <w:szCs w:val="18"/>
              </w:rPr>
            </w:pPr>
            <w:r w:rsidRPr="00461170">
              <w:rPr>
                <w:sz w:val="20"/>
              </w:rPr>
              <w:t>140 mg every 2 weeks</w:t>
            </w:r>
          </w:p>
        </w:tc>
        <w:tc>
          <w:tcPr>
            <w:tcW w:w="2710" w:type="dxa"/>
            <w:shd w:val="clear" w:color="auto" w:fill="auto"/>
          </w:tcPr>
          <w:p w14:paraId="10FCC450" w14:textId="77777777" w:rsidR="006679D6" w:rsidRPr="00EB38D7" w:rsidRDefault="00E62B48" w:rsidP="00E62B48">
            <w:pPr>
              <w:pStyle w:val="TableCenterAlign"/>
              <w:spacing w:line="240" w:lineRule="auto"/>
              <w:jc w:val="left"/>
              <w:rPr>
                <w:rFonts w:eastAsia="Arial,Bold" w:cs="Arial"/>
                <w:bCs/>
                <w:sz w:val="20"/>
                <w:szCs w:val="18"/>
              </w:rPr>
            </w:pPr>
            <w:r>
              <w:rPr>
                <w:sz w:val="20"/>
              </w:rPr>
              <w:t>One</w:t>
            </w:r>
            <w:r w:rsidR="006679D6" w:rsidRPr="00EB38D7">
              <w:rPr>
                <w:sz w:val="20"/>
              </w:rPr>
              <w:t xml:space="preserve"> single-use pre-</w:t>
            </w:r>
            <w:r w:rsidR="006679D6" w:rsidRPr="004052D9">
              <w:rPr>
                <w:sz w:val="20"/>
              </w:rPr>
              <w:t>filled pen (</w:t>
            </w:r>
            <w:r w:rsidR="006679D6" w:rsidRPr="00EB38D7">
              <w:rPr>
                <w:sz w:val="20"/>
              </w:rPr>
              <w:t>SureClick</w:t>
            </w:r>
            <w:r w:rsidR="006679D6" w:rsidRPr="00EB38D7" w:rsidDel="00161A0F">
              <w:rPr>
                <w:sz w:val="20"/>
                <w:vertAlign w:val="superscript"/>
              </w:rPr>
              <w:t>®</w:t>
            </w:r>
            <w:r w:rsidR="006679D6" w:rsidRPr="00EB38D7">
              <w:rPr>
                <w:sz w:val="20"/>
              </w:rPr>
              <w:t>)</w:t>
            </w:r>
          </w:p>
        </w:tc>
      </w:tr>
      <w:tr w:rsidR="006679D6" w14:paraId="2B96B402" w14:textId="77777777" w:rsidTr="003A7EAE">
        <w:tc>
          <w:tcPr>
            <w:tcW w:w="3377" w:type="dxa"/>
            <w:vMerge/>
            <w:shd w:val="clear" w:color="auto" w:fill="auto"/>
          </w:tcPr>
          <w:p w14:paraId="4BF8F897" w14:textId="77777777" w:rsidR="006679D6" w:rsidRPr="00461170" w:rsidRDefault="006679D6" w:rsidP="00F00FE6">
            <w:pPr>
              <w:pStyle w:val="TableCenterAlign"/>
              <w:spacing w:line="240" w:lineRule="auto"/>
              <w:jc w:val="left"/>
              <w:rPr>
                <w:rFonts w:eastAsia="Arial,Bold" w:cs="Arial"/>
                <w:bCs/>
                <w:sz w:val="20"/>
                <w:szCs w:val="18"/>
              </w:rPr>
            </w:pPr>
          </w:p>
        </w:tc>
        <w:tc>
          <w:tcPr>
            <w:tcW w:w="3377" w:type="dxa"/>
            <w:shd w:val="clear" w:color="auto" w:fill="auto"/>
          </w:tcPr>
          <w:p w14:paraId="29659146" w14:textId="77777777" w:rsidR="006679D6" w:rsidRPr="00461170" w:rsidRDefault="006679D6" w:rsidP="00F00FE6">
            <w:pPr>
              <w:pStyle w:val="TableCenterAlign"/>
              <w:spacing w:line="240" w:lineRule="auto"/>
              <w:jc w:val="left"/>
              <w:rPr>
                <w:rFonts w:eastAsia="Arial,Bold" w:cs="Arial"/>
                <w:bCs/>
                <w:sz w:val="20"/>
                <w:szCs w:val="18"/>
              </w:rPr>
            </w:pPr>
            <w:r w:rsidRPr="00461170">
              <w:rPr>
                <w:sz w:val="20"/>
              </w:rPr>
              <w:t>420 mg once monthly</w:t>
            </w:r>
          </w:p>
        </w:tc>
        <w:tc>
          <w:tcPr>
            <w:tcW w:w="2710" w:type="dxa"/>
            <w:shd w:val="clear" w:color="auto" w:fill="auto"/>
          </w:tcPr>
          <w:p w14:paraId="3882EACB" w14:textId="77777777" w:rsidR="006679D6" w:rsidRPr="00EB38D7" w:rsidRDefault="00E62B48" w:rsidP="00F00FE6">
            <w:pPr>
              <w:pStyle w:val="TableCenterAlign"/>
              <w:spacing w:line="240" w:lineRule="auto"/>
              <w:jc w:val="left"/>
              <w:rPr>
                <w:sz w:val="20"/>
              </w:rPr>
            </w:pPr>
            <w:r>
              <w:rPr>
                <w:sz w:val="20"/>
              </w:rPr>
              <w:t>One</w:t>
            </w:r>
            <w:r w:rsidR="006679D6" w:rsidRPr="00EB38D7">
              <w:rPr>
                <w:sz w:val="20"/>
              </w:rPr>
              <w:t xml:space="preserve"> single-use automated mini-doser (AMD) with 3.5 mL pre</w:t>
            </w:r>
            <w:r w:rsidR="00B639FF">
              <w:rPr>
                <w:sz w:val="20"/>
              </w:rPr>
              <w:t>-</w:t>
            </w:r>
            <w:r w:rsidR="006679D6" w:rsidRPr="00EB38D7">
              <w:rPr>
                <w:sz w:val="20"/>
              </w:rPr>
              <w:t>filled cartridge</w:t>
            </w:r>
          </w:p>
          <w:p w14:paraId="117648B6" w14:textId="77777777" w:rsidR="006679D6" w:rsidRPr="00EB38D7" w:rsidRDefault="006679D6" w:rsidP="00F00FE6">
            <w:pPr>
              <w:pStyle w:val="TableCenterAlign"/>
              <w:spacing w:line="240" w:lineRule="auto"/>
              <w:jc w:val="left"/>
              <w:rPr>
                <w:sz w:val="20"/>
              </w:rPr>
            </w:pPr>
            <w:r w:rsidRPr="00EB38D7">
              <w:rPr>
                <w:sz w:val="20"/>
              </w:rPr>
              <w:t>or</w:t>
            </w:r>
          </w:p>
          <w:p w14:paraId="01D0353A" w14:textId="77777777" w:rsidR="006679D6" w:rsidRPr="00EB38D7" w:rsidRDefault="00E62B48" w:rsidP="00E62B48">
            <w:pPr>
              <w:pStyle w:val="TableCenterAlign"/>
              <w:spacing w:line="240" w:lineRule="auto"/>
              <w:jc w:val="left"/>
              <w:rPr>
                <w:rFonts w:eastAsia="Arial,Bold" w:cs="Arial"/>
                <w:bCs/>
                <w:sz w:val="20"/>
                <w:szCs w:val="18"/>
              </w:rPr>
            </w:pPr>
            <w:r>
              <w:rPr>
                <w:sz w:val="20"/>
              </w:rPr>
              <w:t>Three</w:t>
            </w:r>
            <w:r w:rsidR="006679D6" w:rsidRPr="00EB38D7">
              <w:rPr>
                <w:sz w:val="20"/>
              </w:rPr>
              <w:t xml:space="preserve"> single-use pre-filled pens (SureClick</w:t>
            </w:r>
            <w:r w:rsidR="006679D6" w:rsidRPr="00EB38D7" w:rsidDel="00161A0F">
              <w:rPr>
                <w:sz w:val="20"/>
                <w:vertAlign w:val="superscript"/>
              </w:rPr>
              <w:t>®</w:t>
            </w:r>
            <w:r w:rsidR="006679D6" w:rsidRPr="00EB38D7">
              <w:rPr>
                <w:sz w:val="20"/>
              </w:rPr>
              <w:t>) administered consecutively within 30 minutes</w:t>
            </w:r>
          </w:p>
        </w:tc>
      </w:tr>
      <w:tr w:rsidR="003A7EAE" w14:paraId="05D59068" w14:textId="77777777" w:rsidTr="003A7EAE">
        <w:tc>
          <w:tcPr>
            <w:tcW w:w="3377" w:type="dxa"/>
            <w:shd w:val="clear" w:color="auto" w:fill="auto"/>
          </w:tcPr>
          <w:p w14:paraId="4F848493" w14:textId="77777777" w:rsidR="003A7EAE" w:rsidRPr="00461170" w:rsidRDefault="003A7EAE" w:rsidP="00F00FE6">
            <w:pPr>
              <w:pStyle w:val="TableCenterAlign"/>
              <w:spacing w:line="240" w:lineRule="auto"/>
              <w:jc w:val="left"/>
              <w:rPr>
                <w:rFonts w:eastAsia="Arial,Bold" w:cs="Arial"/>
                <w:bCs/>
                <w:sz w:val="20"/>
                <w:szCs w:val="18"/>
              </w:rPr>
            </w:pPr>
            <w:r w:rsidRPr="00461170">
              <w:rPr>
                <w:rFonts w:eastAsia="Arial,Bold" w:cs="Arial"/>
                <w:bCs/>
                <w:sz w:val="20"/>
                <w:szCs w:val="18"/>
              </w:rPr>
              <w:t>Homozygous Familial Hypercholesterol</w:t>
            </w:r>
            <w:r>
              <w:rPr>
                <w:rFonts w:eastAsia="Arial,Bold" w:cs="Arial"/>
                <w:bCs/>
                <w:sz w:val="20"/>
                <w:szCs w:val="18"/>
              </w:rPr>
              <w:t>a</w:t>
            </w:r>
            <w:r w:rsidRPr="00461170">
              <w:rPr>
                <w:rFonts w:eastAsia="Arial,Bold" w:cs="Arial"/>
                <w:bCs/>
                <w:sz w:val="20"/>
                <w:szCs w:val="18"/>
              </w:rPr>
              <w:t>emia</w:t>
            </w:r>
          </w:p>
        </w:tc>
        <w:tc>
          <w:tcPr>
            <w:tcW w:w="3377" w:type="dxa"/>
            <w:shd w:val="clear" w:color="auto" w:fill="auto"/>
          </w:tcPr>
          <w:p w14:paraId="29DECFB3" w14:textId="77777777" w:rsidR="00C010A8" w:rsidRDefault="00D25F78" w:rsidP="00C010A8">
            <w:pPr>
              <w:pStyle w:val="TableCenterAlign"/>
              <w:spacing w:line="240" w:lineRule="auto"/>
              <w:jc w:val="left"/>
              <w:rPr>
                <w:sz w:val="20"/>
              </w:rPr>
            </w:pPr>
            <w:r>
              <w:rPr>
                <w:sz w:val="20"/>
              </w:rPr>
              <w:t xml:space="preserve">Initial dose is </w:t>
            </w:r>
            <w:r w:rsidR="003A7EAE" w:rsidRPr="00461170">
              <w:rPr>
                <w:sz w:val="20"/>
              </w:rPr>
              <w:t>420 mg once monthly</w:t>
            </w:r>
            <w:r w:rsidR="00462318">
              <w:rPr>
                <w:sz w:val="20"/>
              </w:rPr>
              <w:t>.  The</w:t>
            </w:r>
            <w:r w:rsidR="003D4285">
              <w:rPr>
                <w:sz w:val="20"/>
              </w:rPr>
              <w:t xml:space="preserve"> </w:t>
            </w:r>
            <w:r>
              <w:rPr>
                <w:sz w:val="20"/>
              </w:rPr>
              <w:t xml:space="preserve">dose can be </w:t>
            </w:r>
            <w:r w:rsidR="003A7EAE">
              <w:rPr>
                <w:sz w:val="20"/>
              </w:rPr>
              <w:t>increased to</w:t>
            </w:r>
            <w:r w:rsidR="003A7EAE" w:rsidRPr="00461170">
              <w:rPr>
                <w:sz w:val="20"/>
              </w:rPr>
              <w:t xml:space="preserve"> </w:t>
            </w:r>
            <w:r w:rsidR="00462318">
              <w:rPr>
                <w:sz w:val="20"/>
              </w:rPr>
              <w:t xml:space="preserve">420 mg every </w:t>
            </w:r>
            <w:r w:rsidR="003A7EAE" w:rsidRPr="00461170">
              <w:rPr>
                <w:sz w:val="20"/>
              </w:rPr>
              <w:t>2 week</w:t>
            </w:r>
            <w:r w:rsidR="00462318">
              <w:rPr>
                <w:sz w:val="20"/>
              </w:rPr>
              <w:t>s</w:t>
            </w:r>
            <w:r w:rsidR="003A7EAE">
              <w:rPr>
                <w:sz w:val="20"/>
              </w:rPr>
              <w:t xml:space="preserve"> if </w:t>
            </w:r>
            <w:r w:rsidR="003D4285">
              <w:rPr>
                <w:sz w:val="20"/>
              </w:rPr>
              <w:t xml:space="preserve">a </w:t>
            </w:r>
            <w:r w:rsidR="003A7EAE">
              <w:rPr>
                <w:sz w:val="20"/>
              </w:rPr>
              <w:t>clinical meaningful response is not achieved</w:t>
            </w:r>
            <w:r w:rsidR="00462318">
              <w:rPr>
                <w:sz w:val="20"/>
              </w:rPr>
              <w:t xml:space="preserve"> in 12 weeks</w:t>
            </w:r>
            <w:r w:rsidR="00C010A8">
              <w:rPr>
                <w:sz w:val="20"/>
              </w:rPr>
              <w:t>.</w:t>
            </w:r>
            <w:r w:rsidR="003D4285">
              <w:rPr>
                <w:sz w:val="20"/>
              </w:rPr>
              <w:t xml:space="preserve"> </w:t>
            </w:r>
          </w:p>
          <w:p w14:paraId="63D2C6C3" w14:textId="77777777" w:rsidR="003A7EAE" w:rsidRPr="00461170" w:rsidRDefault="00C010A8" w:rsidP="00462318">
            <w:pPr>
              <w:pStyle w:val="TableCenterAlign"/>
              <w:spacing w:line="240" w:lineRule="auto"/>
              <w:jc w:val="left"/>
              <w:rPr>
                <w:rFonts w:eastAsia="Arial,Bold" w:cs="Arial"/>
                <w:bCs/>
                <w:sz w:val="20"/>
                <w:szCs w:val="18"/>
              </w:rPr>
            </w:pPr>
            <w:r>
              <w:rPr>
                <w:sz w:val="20"/>
              </w:rPr>
              <w:t>P</w:t>
            </w:r>
            <w:r w:rsidR="003D4285">
              <w:rPr>
                <w:sz w:val="20"/>
              </w:rPr>
              <w:t xml:space="preserve">atients on apheresis may initiate </w:t>
            </w:r>
            <w:r w:rsidR="00462318">
              <w:rPr>
                <w:sz w:val="20"/>
              </w:rPr>
              <w:t xml:space="preserve">treatment </w:t>
            </w:r>
            <w:r w:rsidR="003D4285">
              <w:rPr>
                <w:sz w:val="20"/>
              </w:rPr>
              <w:t xml:space="preserve">with 420 mg </w:t>
            </w:r>
            <w:r w:rsidR="00462318">
              <w:rPr>
                <w:sz w:val="20"/>
              </w:rPr>
              <w:t xml:space="preserve">every </w:t>
            </w:r>
            <w:r w:rsidR="00852477">
              <w:rPr>
                <w:sz w:val="20"/>
              </w:rPr>
              <w:t>2</w:t>
            </w:r>
            <w:r w:rsidR="003D4285">
              <w:rPr>
                <w:sz w:val="20"/>
              </w:rPr>
              <w:t xml:space="preserve"> week</w:t>
            </w:r>
            <w:r w:rsidR="00462318">
              <w:rPr>
                <w:sz w:val="20"/>
              </w:rPr>
              <w:t>s</w:t>
            </w:r>
            <w:r w:rsidR="003D4285">
              <w:rPr>
                <w:sz w:val="20"/>
              </w:rPr>
              <w:t xml:space="preserve"> to correspond with apheresis schedule.</w:t>
            </w:r>
          </w:p>
        </w:tc>
        <w:tc>
          <w:tcPr>
            <w:tcW w:w="2710" w:type="dxa"/>
            <w:shd w:val="clear" w:color="auto" w:fill="auto"/>
          </w:tcPr>
          <w:p w14:paraId="282024A5" w14:textId="77777777" w:rsidR="003A7EAE" w:rsidRPr="00EB38D7" w:rsidRDefault="00E62B48" w:rsidP="00F00FE6">
            <w:pPr>
              <w:pStyle w:val="TableCenterAlign"/>
              <w:jc w:val="left"/>
              <w:rPr>
                <w:sz w:val="20"/>
              </w:rPr>
            </w:pPr>
            <w:r>
              <w:rPr>
                <w:sz w:val="20"/>
              </w:rPr>
              <w:t>One</w:t>
            </w:r>
            <w:r w:rsidR="003A7EAE" w:rsidRPr="00EB38D7">
              <w:rPr>
                <w:sz w:val="20"/>
              </w:rPr>
              <w:t xml:space="preserve"> single-use </w:t>
            </w:r>
            <w:r w:rsidR="00B7494F" w:rsidRPr="00EB38D7">
              <w:rPr>
                <w:sz w:val="20"/>
              </w:rPr>
              <w:t>automated mini-doser (</w:t>
            </w:r>
            <w:r w:rsidR="003A7EAE" w:rsidRPr="00EB38D7">
              <w:rPr>
                <w:sz w:val="20"/>
              </w:rPr>
              <w:t>AMD</w:t>
            </w:r>
            <w:r w:rsidR="00B7494F" w:rsidRPr="00EB38D7">
              <w:rPr>
                <w:sz w:val="20"/>
              </w:rPr>
              <w:t>)</w:t>
            </w:r>
            <w:r w:rsidR="003A7EAE" w:rsidRPr="00EB38D7">
              <w:rPr>
                <w:sz w:val="20"/>
              </w:rPr>
              <w:t xml:space="preserve"> with 3.5 mL pre</w:t>
            </w:r>
            <w:r w:rsidR="00B639FF">
              <w:rPr>
                <w:sz w:val="20"/>
              </w:rPr>
              <w:t>-</w:t>
            </w:r>
            <w:r w:rsidR="003A7EAE" w:rsidRPr="00EB38D7">
              <w:rPr>
                <w:sz w:val="20"/>
              </w:rPr>
              <w:t>filled cartridge</w:t>
            </w:r>
          </w:p>
          <w:p w14:paraId="742AA6CE" w14:textId="77777777" w:rsidR="003A7EAE" w:rsidRPr="00EB38D7" w:rsidRDefault="003A7EAE" w:rsidP="00F00FE6">
            <w:pPr>
              <w:pStyle w:val="TableCenterAlign"/>
              <w:spacing w:line="240" w:lineRule="auto"/>
              <w:jc w:val="left"/>
              <w:rPr>
                <w:sz w:val="20"/>
              </w:rPr>
            </w:pPr>
            <w:r w:rsidRPr="00EB38D7">
              <w:rPr>
                <w:sz w:val="20"/>
              </w:rPr>
              <w:t>or</w:t>
            </w:r>
          </w:p>
          <w:p w14:paraId="234E1703" w14:textId="77777777" w:rsidR="003A7EAE" w:rsidRPr="00EB38D7" w:rsidRDefault="00E62B48" w:rsidP="00E62B48">
            <w:pPr>
              <w:pStyle w:val="TableCenterAlign"/>
              <w:spacing w:line="240" w:lineRule="auto"/>
              <w:jc w:val="left"/>
              <w:rPr>
                <w:rFonts w:eastAsia="Arial,Bold" w:cs="Arial"/>
                <w:bCs/>
                <w:sz w:val="20"/>
                <w:szCs w:val="18"/>
              </w:rPr>
            </w:pPr>
            <w:r>
              <w:rPr>
                <w:sz w:val="20"/>
              </w:rPr>
              <w:t>Three</w:t>
            </w:r>
            <w:r w:rsidR="003A7EAE" w:rsidRPr="00EB38D7">
              <w:rPr>
                <w:sz w:val="20"/>
              </w:rPr>
              <w:t xml:space="preserve"> single-use </w:t>
            </w:r>
            <w:r w:rsidR="002C6FD0" w:rsidRPr="00EB38D7">
              <w:rPr>
                <w:sz w:val="20"/>
              </w:rPr>
              <w:t xml:space="preserve">pre-filled </w:t>
            </w:r>
            <w:r w:rsidR="003A7EAE" w:rsidRPr="00EB38D7">
              <w:rPr>
                <w:sz w:val="20"/>
              </w:rPr>
              <w:t>pen</w:t>
            </w:r>
            <w:r w:rsidR="00362EB4" w:rsidRPr="00EB38D7">
              <w:rPr>
                <w:sz w:val="20"/>
              </w:rPr>
              <w:t>s (SureClick</w:t>
            </w:r>
            <w:r w:rsidR="00362EB4" w:rsidRPr="00EB38D7" w:rsidDel="00161A0F">
              <w:rPr>
                <w:sz w:val="20"/>
                <w:vertAlign w:val="superscript"/>
              </w:rPr>
              <w:t>®</w:t>
            </w:r>
            <w:r w:rsidR="00362EB4" w:rsidRPr="00EB38D7">
              <w:rPr>
                <w:sz w:val="20"/>
              </w:rPr>
              <w:t>)</w:t>
            </w:r>
            <w:r w:rsidR="003A7EAE" w:rsidRPr="00EB38D7">
              <w:rPr>
                <w:sz w:val="20"/>
              </w:rPr>
              <w:t xml:space="preserve"> administered consecutively within 30 minutes</w:t>
            </w:r>
          </w:p>
        </w:tc>
      </w:tr>
    </w:tbl>
    <w:p w14:paraId="6D118FBD" w14:textId="77777777" w:rsidR="007D3C6A" w:rsidRDefault="007D3C6A" w:rsidP="00A75447">
      <w:pPr>
        <w:pStyle w:val="PI-MainHeader"/>
      </w:pPr>
      <w:r>
        <w:t>OVERDOSAGE</w:t>
      </w:r>
    </w:p>
    <w:p w14:paraId="55C43B12" w14:textId="77777777" w:rsidR="00055DD8" w:rsidRDefault="007D64B1" w:rsidP="00460C2B">
      <w:pPr>
        <w:pStyle w:val="PI-text"/>
      </w:pPr>
      <w:r w:rsidRPr="000F7BEE">
        <w:t xml:space="preserve">There is no specific treatment for </w:t>
      </w:r>
      <w:r w:rsidR="00DA265F">
        <w:t>Repatha</w:t>
      </w:r>
      <w:r w:rsidRPr="000F7BEE">
        <w:t xml:space="preserve"> overdose.</w:t>
      </w:r>
      <w:r w:rsidR="00BD3A0E">
        <w:t xml:space="preserve"> </w:t>
      </w:r>
      <w:r w:rsidRPr="000F7BEE">
        <w:t xml:space="preserve"> In the event of an overdose, the patient should be treated symptomatically, and supportive measures instituted as required</w:t>
      </w:r>
      <w:r w:rsidR="003802CC">
        <w:t>.</w:t>
      </w:r>
    </w:p>
    <w:p w14:paraId="641B13A7" w14:textId="77777777" w:rsidR="003A7762" w:rsidRDefault="007D64B1" w:rsidP="00460C2B">
      <w:pPr>
        <w:pStyle w:val="PI-text"/>
      </w:pPr>
      <w:r>
        <w:t xml:space="preserve">For information on the management of overdose, contact the </w:t>
      </w:r>
      <w:r w:rsidR="00615307">
        <w:t>P</w:t>
      </w:r>
      <w:r>
        <w:t xml:space="preserve">oison Information Centre on 131126. </w:t>
      </w:r>
    </w:p>
    <w:p w14:paraId="7DCDE001" w14:textId="77777777" w:rsidR="007D3C6A" w:rsidRDefault="007D3C6A" w:rsidP="00A75447">
      <w:pPr>
        <w:pStyle w:val="PI-MainHeader"/>
      </w:pPr>
      <w:r>
        <w:lastRenderedPageBreak/>
        <w:t>PRESENTATION</w:t>
      </w:r>
      <w:r w:rsidR="00C13AFB">
        <w:t xml:space="preserve"> AND STORAGE CONDITIONS</w:t>
      </w:r>
    </w:p>
    <w:p w14:paraId="5E178D9B" w14:textId="77777777" w:rsidR="002412C7" w:rsidRPr="002B350A" w:rsidRDefault="00535E2C" w:rsidP="00A75447">
      <w:pPr>
        <w:pStyle w:val="PI-UnderlinedSubHeader"/>
      </w:pPr>
      <w:r>
        <w:t>Presentation</w:t>
      </w:r>
    </w:p>
    <w:p w14:paraId="48A06E44" w14:textId="77777777" w:rsidR="002412C7" w:rsidRDefault="002412C7" w:rsidP="00A75447">
      <w:pPr>
        <w:pStyle w:val="PI-text"/>
      </w:pPr>
      <w:r w:rsidRPr="00C03E30">
        <w:t xml:space="preserve">The needle cover </w:t>
      </w:r>
      <w:r>
        <w:t xml:space="preserve">of the </w:t>
      </w:r>
      <w:r w:rsidRPr="00C03E30">
        <w:t xml:space="preserve">glass </w:t>
      </w:r>
      <w:r w:rsidR="0001187E">
        <w:t>pre-filled syringe</w:t>
      </w:r>
      <w:r w:rsidR="00A9034F">
        <w:t>*</w:t>
      </w:r>
      <w:r>
        <w:t xml:space="preserve"> and </w:t>
      </w:r>
      <w:r w:rsidRPr="00C03E30">
        <w:t xml:space="preserve">the </w:t>
      </w:r>
      <w:r w:rsidR="0001187E">
        <w:t xml:space="preserve">pre-filled </w:t>
      </w:r>
      <w:r w:rsidR="0067758C">
        <w:t>pen</w:t>
      </w:r>
      <w:r w:rsidRPr="00C03E30">
        <w:t xml:space="preserve"> </w:t>
      </w:r>
      <w:r>
        <w:t xml:space="preserve">is made from </w:t>
      </w:r>
      <w:r w:rsidRPr="00C03E30">
        <w:t>dry natural rubber (a derivative of latex)</w:t>
      </w:r>
      <w:r>
        <w:t>.</w:t>
      </w:r>
    </w:p>
    <w:p w14:paraId="4DB30350" w14:textId="77777777" w:rsidR="0067758C" w:rsidRPr="0067758C" w:rsidRDefault="0067758C" w:rsidP="00A75447">
      <w:pPr>
        <w:pStyle w:val="PI-text"/>
      </w:pPr>
      <w:r w:rsidRPr="0067758C">
        <w:t>Repatha is provided as</w:t>
      </w:r>
      <w:r w:rsidR="00A617E3">
        <w:t xml:space="preserve"> a</w:t>
      </w:r>
      <w:r w:rsidRPr="0067758C">
        <w:t>:</w:t>
      </w:r>
    </w:p>
    <w:p w14:paraId="67930161" w14:textId="77777777" w:rsidR="0067758C" w:rsidRPr="00852477" w:rsidRDefault="00263E65" w:rsidP="00A75447">
      <w:pPr>
        <w:pStyle w:val="PItextbullet"/>
      </w:pPr>
      <w:r>
        <w:t>1</w:t>
      </w:r>
      <w:r w:rsidR="00BF551D">
        <w:t xml:space="preserve"> </w:t>
      </w:r>
      <w:r w:rsidR="0067758C" w:rsidRPr="0067758C">
        <w:t xml:space="preserve">mL solution </w:t>
      </w:r>
      <w:r w:rsidR="0067758C" w:rsidRPr="0067758C">
        <w:rPr>
          <w:iCs/>
        </w:rPr>
        <w:t>(140 mg/mL evolocumab)</w:t>
      </w:r>
      <w:r w:rsidR="0067758C" w:rsidRPr="0067758C">
        <w:t xml:space="preserve"> in a single </w:t>
      </w:r>
      <w:r w:rsidR="0067758C">
        <w:t xml:space="preserve">use </w:t>
      </w:r>
      <w:r w:rsidR="0001187E">
        <w:t>pre-filled syringe</w:t>
      </w:r>
      <w:r w:rsidR="0067758C" w:rsidRPr="0067758C">
        <w:t xml:space="preserve"> made from type I gl</w:t>
      </w:r>
      <w:r w:rsidR="0067758C">
        <w:t xml:space="preserve">ass with stainless steel needle, </w:t>
      </w:r>
      <w:r w:rsidR="0067758C" w:rsidRPr="0067758C">
        <w:rPr>
          <w:bCs/>
        </w:rPr>
        <w:t>supplied as a 1-pack.</w:t>
      </w:r>
      <w:r w:rsidR="00B4189C">
        <w:rPr>
          <w:bCs/>
        </w:rPr>
        <w:t>*</w:t>
      </w:r>
    </w:p>
    <w:p w14:paraId="0DA8E6F8" w14:textId="77777777" w:rsidR="00852477" w:rsidRPr="00B4189C" w:rsidRDefault="00852477" w:rsidP="00852477">
      <w:pPr>
        <w:pStyle w:val="PItextbullet"/>
        <w:numPr>
          <w:ilvl w:val="0"/>
          <w:numId w:val="0"/>
        </w:numPr>
        <w:ind w:left="720"/>
      </w:pPr>
      <w:r w:rsidRPr="00852477">
        <w:t>*</w:t>
      </w:r>
      <w:r>
        <w:t xml:space="preserve"> </w:t>
      </w:r>
      <w:r w:rsidRPr="00B4189C">
        <w:t>Not available in Australia</w:t>
      </w:r>
    </w:p>
    <w:p w14:paraId="23B16DD2" w14:textId="77777777" w:rsidR="00A3692B" w:rsidRPr="00362EB4" w:rsidRDefault="00263E65" w:rsidP="00A75447">
      <w:pPr>
        <w:pStyle w:val="PItextbullet"/>
      </w:pPr>
      <w:r>
        <w:t>1</w:t>
      </w:r>
      <w:r w:rsidRPr="00DC2969">
        <w:t xml:space="preserve"> </w:t>
      </w:r>
      <w:r w:rsidR="0067758C" w:rsidRPr="00DC2969">
        <w:t xml:space="preserve">mL solution </w:t>
      </w:r>
      <w:r w:rsidR="0067758C" w:rsidRPr="00DC2969">
        <w:rPr>
          <w:iCs/>
        </w:rPr>
        <w:t>(140 mg/mL evolocumab)</w:t>
      </w:r>
      <w:r w:rsidR="0067758C" w:rsidRPr="00DC2969">
        <w:t xml:space="preserve"> in a single </w:t>
      </w:r>
      <w:r w:rsidR="0067758C">
        <w:t xml:space="preserve">use </w:t>
      </w:r>
      <w:r w:rsidR="0001187E">
        <w:t>pre-filled pen</w:t>
      </w:r>
      <w:r w:rsidR="0067758C">
        <w:t xml:space="preserve"> </w:t>
      </w:r>
      <w:r w:rsidR="0067758C" w:rsidRPr="00DC2969">
        <w:t>with type 1 glass sy</w:t>
      </w:r>
      <w:r w:rsidR="00A617E3">
        <w:t>ringe and stainless steel needle</w:t>
      </w:r>
      <w:r w:rsidR="0067758C" w:rsidRPr="00DC2969">
        <w:t xml:space="preserve">; </w:t>
      </w:r>
      <w:r w:rsidR="0067758C" w:rsidRPr="00DC2969">
        <w:rPr>
          <w:bCs/>
        </w:rPr>
        <w:t>supplied as a 1-pack</w:t>
      </w:r>
      <w:r w:rsidR="0067758C">
        <w:rPr>
          <w:bCs/>
        </w:rPr>
        <w:t>,</w:t>
      </w:r>
      <w:r w:rsidR="0067758C" w:rsidRPr="00DC2969">
        <w:rPr>
          <w:bCs/>
        </w:rPr>
        <w:t xml:space="preserve"> 2-pack</w:t>
      </w:r>
      <w:r w:rsidR="0067758C">
        <w:rPr>
          <w:bCs/>
        </w:rPr>
        <w:t>, and 3-pack</w:t>
      </w:r>
      <w:r w:rsidR="0067758C" w:rsidRPr="00DC2969">
        <w:rPr>
          <w:bCs/>
        </w:rPr>
        <w:t>.</w:t>
      </w:r>
    </w:p>
    <w:p w14:paraId="68CECDD4" w14:textId="1671EE0D" w:rsidR="00B4189C" w:rsidRPr="00B4189C" w:rsidRDefault="00362EB4" w:rsidP="00852477">
      <w:pPr>
        <w:pStyle w:val="PItextbullet"/>
        <w:rPr>
          <w:i/>
        </w:rPr>
      </w:pPr>
      <w:r w:rsidRPr="004F6C73">
        <w:t xml:space="preserve">3.5 mL solution </w:t>
      </w:r>
      <w:r w:rsidR="006679D6" w:rsidRPr="004F6C73">
        <w:t>(</w:t>
      </w:r>
      <w:r w:rsidR="007B4821">
        <w:t>4</w:t>
      </w:r>
      <w:r w:rsidR="006679D6" w:rsidRPr="004F6C73">
        <w:t>20 mg/</w:t>
      </w:r>
      <w:r w:rsidR="007B4821">
        <w:t xml:space="preserve">3.5 </w:t>
      </w:r>
      <w:r w:rsidR="006679D6" w:rsidRPr="004F6C73">
        <w:t>mL</w:t>
      </w:r>
      <w:r w:rsidR="007B4821">
        <w:t xml:space="preserve"> evolocumab</w:t>
      </w:r>
      <w:r w:rsidR="006679D6" w:rsidRPr="004F6C73">
        <w:t xml:space="preserve">) </w:t>
      </w:r>
      <w:r w:rsidR="007B4821">
        <w:t>delivering 120 mg/mL</w:t>
      </w:r>
      <w:r w:rsidR="00637E6E">
        <w:t xml:space="preserve"> evolocumab</w:t>
      </w:r>
      <w:r w:rsidR="007B4821">
        <w:t xml:space="preserve"> </w:t>
      </w:r>
      <w:r w:rsidRPr="004F6C73">
        <w:t>in a single-use pre</w:t>
      </w:r>
      <w:r w:rsidR="00B639FF">
        <w:t>-</w:t>
      </w:r>
      <w:r w:rsidRPr="004F6C73">
        <w:t>filled cartridge assembly made from Crystal Zenith</w:t>
      </w:r>
      <w:r w:rsidRPr="004F6C73">
        <w:rPr>
          <w:vertAlign w:val="superscript"/>
        </w:rPr>
        <w:t>®</w:t>
      </w:r>
      <w:r w:rsidRPr="004F6C73">
        <w:t xml:space="preserve"> resin which is co-packaged with an administration device</w:t>
      </w:r>
      <w:r w:rsidR="006679D6" w:rsidRPr="004F6C73">
        <w:t xml:space="preserve"> (AMD)</w:t>
      </w:r>
      <w:r w:rsidRPr="004F6C73">
        <w:t>.  The administration device is a compact, sterile, single-use, disposable, injection device intended for use only with the provided 3.5 mL pre</w:t>
      </w:r>
      <w:r w:rsidR="002C6FD0" w:rsidRPr="004F6C73">
        <w:t>-</w:t>
      </w:r>
      <w:r w:rsidRPr="004F6C73">
        <w:t>filled cartridge assembly; supplied as a 1-pack.</w:t>
      </w:r>
    </w:p>
    <w:p w14:paraId="60BB353A" w14:textId="77777777" w:rsidR="00362EB4" w:rsidRPr="002B350A" w:rsidRDefault="00362EB4" w:rsidP="000678B0">
      <w:pPr>
        <w:pStyle w:val="PItextbullet"/>
        <w:numPr>
          <w:ilvl w:val="0"/>
          <w:numId w:val="0"/>
        </w:numPr>
      </w:pPr>
    </w:p>
    <w:p w14:paraId="08F5CB8A" w14:textId="77777777" w:rsidR="00535E2C" w:rsidRPr="00535E2C" w:rsidRDefault="002412C7" w:rsidP="00A75447">
      <w:pPr>
        <w:pStyle w:val="PI-UnderlinedSubHeader"/>
        <w:rPr>
          <w:snapToGrid w:val="0"/>
        </w:rPr>
      </w:pPr>
      <w:r w:rsidRPr="002B350A">
        <w:rPr>
          <w:snapToGrid w:val="0"/>
        </w:rPr>
        <w:t>Storage</w:t>
      </w:r>
    </w:p>
    <w:p w14:paraId="588E1BF6" w14:textId="77777777" w:rsidR="002412C7" w:rsidRPr="00460C2B" w:rsidRDefault="002412C7" w:rsidP="00A75447">
      <w:pPr>
        <w:pStyle w:val="PI-text"/>
      </w:pPr>
      <w:r w:rsidRPr="0086340B">
        <w:rPr>
          <w:b/>
        </w:rPr>
        <w:t>Store refrigerated at 2°C to 8°C in the original carton</w:t>
      </w:r>
      <w:r w:rsidR="00A23C3F" w:rsidRPr="0086340B">
        <w:rPr>
          <w:b/>
        </w:rPr>
        <w:t>.</w:t>
      </w:r>
    </w:p>
    <w:p w14:paraId="5ED39A5C" w14:textId="77777777" w:rsidR="002B350A" w:rsidRPr="00472CD3" w:rsidRDefault="002B350A" w:rsidP="00A75447">
      <w:pPr>
        <w:pStyle w:val="PI-text"/>
      </w:pPr>
      <w:r w:rsidRPr="00472CD3">
        <w:t xml:space="preserve">If removed from the refrigerator, </w:t>
      </w:r>
      <w:r w:rsidR="00DA265F">
        <w:t>Repatha</w:t>
      </w:r>
      <w:r w:rsidRPr="00472CD3">
        <w:t xml:space="preserve"> should be kept at controlled room temperature (up to 25°C) in the original carton and must be used within 30 days.</w:t>
      </w:r>
      <w:r>
        <w:t xml:space="preserve"> </w:t>
      </w:r>
    </w:p>
    <w:p w14:paraId="76D5AE22" w14:textId="77777777" w:rsidR="002B350A" w:rsidRDefault="002B350A" w:rsidP="00A75447">
      <w:pPr>
        <w:pStyle w:val="PI-text"/>
      </w:pPr>
      <w:r w:rsidRPr="00472CD3">
        <w:t xml:space="preserve">Protect </w:t>
      </w:r>
      <w:r w:rsidR="00DA265F">
        <w:t>Repatha</w:t>
      </w:r>
      <w:r w:rsidRPr="00472CD3">
        <w:t xml:space="preserve"> from direct light and do not exp</w:t>
      </w:r>
      <w:r w:rsidR="00653CBE">
        <w:t>ose to temperatures above 25°C.</w:t>
      </w:r>
    </w:p>
    <w:p w14:paraId="7E865212" w14:textId="77777777" w:rsidR="00653CBE" w:rsidRDefault="00653CBE" w:rsidP="00A75447">
      <w:pPr>
        <w:pStyle w:val="PI-text"/>
      </w:pPr>
      <w:r>
        <w:t>Do not freeze.</w:t>
      </w:r>
    </w:p>
    <w:p w14:paraId="02078955" w14:textId="77777777" w:rsidR="00535E2C" w:rsidRPr="00A617E3" w:rsidRDefault="00535E2C" w:rsidP="00A75447">
      <w:pPr>
        <w:pStyle w:val="PI-text"/>
      </w:pPr>
      <w:r>
        <w:t>Do not shake.</w:t>
      </w:r>
    </w:p>
    <w:p w14:paraId="762C410A" w14:textId="77777777" w:rsidR="007D3C6A" w:rsidRPr="00A75447" w:rsidRDefault="00A75447" w:rsidP="00A75447">
      <w:pPr>
        <w:pStyle w:val="PI-MainHeader"/>
      </w:pPr>
      <w:r>
        <w:t xml:space="preserve">NAME AND ADDRESS OF THE </w:t>
      </w:r>
      <w:r w:rsidR="00FC3EB4">
        <w:t>SPONSOR</w:t>
      </w:r>
    </w:p>
    <w:p w14:paraId="1AC8218F" w14:textId="77777777" w:rsidR="004E75EC" w:rsidRDefault="007D3C6A" w:rsidP="00A75447">
      <w:pPr>
        <w:pStyle w:val="PI-text"/>
      </w:pPr>
      <w:r>
        <w:t>Amgen Australia Pty Ltd</w:t>
      </w:r>
    </w:p>
    <w:p w14:paraId="0ABC3E59" w14:textId="77777777" w:rsidR="004E75EC" w:rsidRDefault="007D3C6A" w:rsidP="00A75447">
      <w:pPr>
        <w:pStyle w:val="PI-text"/>
      </w:pPr>
      <w:r>
        <w:t>Level 7, 123 Epping Road</w:t>
      </w:r>
    </w:p>
    <w:p w14:paraId="72B0962D" w14:textId="77777777" w:rsidR="004E75EC" w:rsidRDefault="007D3C6A" w:rsidP="00A75447">
      <w:pPr>
        <w:pStyle w:val="PI-text"/>
      </w:pPr>
      <w:r>
        <w:t>North Ryde, NSW 2113</w:t>
      </w:r>
    </w:p>
    <w:p w14:paraId="7B7E1EE0" w14:textId="77777777" w:rsidR="007D3C6A" w:rsidRDefault="007D3C6A" w:rsidP="00A75447">
      <w:pPr>
        <w:pStyle w:val="PI-text"/>
      </w:pPr>
      <w:r>
        <w:t>ABN 31 051 057 428</w:t>
      </w:r>
    </w:p>
    <w:p w14:paraId="3073722F" w14:textId="77777777" w:rsidR="002602E8" w:rsidRDefault="00022AB3" w:rsidP="00A75447">
      <w:pPr>
        <w:pStyle w:val="PI-text"/>
      </w:pPr>
      <w:r>
        <w:t>Medical Information</w:t>
      </w:r>
      <w:r w:rsidR="002602E8">
        <w:t>: 1</w:t>
      </w:r>
      <w:r w:rsidR="002602E8" w:rsidRPr="00846DD6">
        <w:t>800 803 638.</w:t>
      </w:r>
    </w:p>
    <w:p w14:paraId="57F043D3" w14:textId="77777777" w:rsidR="00BE2A6A" w:rsidRPr="00A75447" w:rsidRDefault="00BE2A6A" w:rsidP="00A75447">
      <w:pPr>
        <w:pStyle w:val="PI-MainHeader"/>
      </w:pPr>
      <w:r w:rsidRPr="00A75447">
        <w:lastRenderedPageBreak/>
        <w:t>POISON SCHEDULE OF THE MEDICINE</w:t>
      </w:r>
    </w:p>
    <w:p w14:paraId="3766CBD2" w14:textId="77777777" w:rsidR="00BE2A6A" w:rsidRPr="002602E8" w:rsidRDefault="00022AB3">
      <w:pPr>
        <w:pStyle w:val="Text"/>
        <w:suppressAutoHyphens w:val="0"/>
        <w:rPr>
          <w:bCs/>
        </w:rPr>
      </w:pPr>
      <w:r>
        <w:rPr>
          <w:bCs/>
        </w:rPr>
        <w:t>Prescription Only Medicine (</w:t>
      </w:r>
      <w:r w:rsidR="00BE2A6A" w:rsidRPr="002602E8">
        <w:rPr>
          <w:bCs/>
        </w:rPr>
        <w:t>S4</w:t>
      </w:r>
      <w:r>
        <w:rPr>
          <w:bCs/>
        </w:rPr>
        <w:t>)</w:t>
      </w:r>
    </w:p>
    <w:p w14:paraId="7DA60CC7" w14:textId="77777777" w:rsidR="0063634E" w:rsidRDefault="00022AB3" w:rsidP="00022AB3">
      <w:pPr>
        <w:pStyle w:val="PI-MainHeader"/>
      </w:pPr>
      <w:r w:rsidRPr="00022AB3">
        <w:t>DATE OF FIRST INCLUSION IN THE ARTG</w:t>
      </w:r>
      <w:r w:rsidRPr="00A75447">
        <w:t>:</w:t>
      </w:r>
    </w:p>
    <w:p w14:paraId="66453829" w14:textId="77777777" w:rsidR="00072E95" w:rsidRPr="0063634E" w:rsidRDefault="0063634E" w:rsidP="00022AB3">
      <w:pPr>
        <w:pStyle w:val="PI-MainHeader"/>
        <w:rPr>
          <w:b w:val="0"/>
        </w:rPr>
      </w:pPr>
      <w:r w:rsidRPr="0063634E">
        <w:rPr>
          <w:b w:val="0"/>
        </w:rPr>
        <w:t>9 December 2015</w:t>
      </w:r>
      <w:r w:rsidR="00022AB3" w:rsidRPr="0063634E">
        <w:rPr>
          <w:b w:val="0"/>
        </w:rPr>
        <w:t xml:space="preserve"> </w:t>
      </w:r>
    </w:p>
    <w:p w14:paraId="08885F21" w14:textId="77777777" w:rsidR="00F402D8" w:rsidRDefault="007B67B1" w:rsidP="004F6C73">
      <w:pPr>
        <w:pStyle w:val="PI-MainHeader"/>
      </w:pPr>
      <w:r w:rsidRPr="00A75447">
        <w:t xml:space="preserve">DATE OF MOST RECENT AMENDMENT: </w:t>
      </w:r>
    </w:p>
    <w:p w14:paraId="72B62D7B" w14:textId="34F2B911" w:rsidR="00362EB4" w:rsidRDefault="00C129D0" w:rsidP="00A75447">
      <w:pPr>
        <w:pStyle w:val="PI-MainHeader"/>
        <w:rPr>
          <w:b w:val="0"/>
        </w:rPr>
      </w:pPr>
      <w:r>
        <w:rPr>
          <w:b w:val="0"/>
        </w:rPr>
        <w:t>6 August 2018</w:t>
      </w:r>
    </w:p>
    <w:p w14:paraId="51FBC63D" w14:textId="77777777" w:rsidR="00C73FF8" w:rsidRPr="00362EB4" w:rsidRDefault="00C73FF8" w:rsidP="00A75447">
      <w:pPr>
        <w:pStyle w:val="PI-MainHeader"/>
        <w:rPr>
          <w:b w:val="0"/>
        </w:rPr>
      </w:pPr>
    </w:p>
    <w:p w14:paraId="42F0E40F" w14:textId="77777777" w:rsidR="007D3C6A" w:rsidRDefault="005213BB" w:rsidP="00A75447">
      <w:pPr>
        <w:pStyle w:val="PI-text"/>
      </w:pPr>
      <w:r>
        <w:t xml:space="preserve">2015 </w:t>
      </w:r>
      <w:r w:rsidR="007D3C6A" w:rsidRPr="000F0F2B">
        <w:t>Amgen Inc.  All rights reserved.</w:t>
      </w:r>
    </w:p>
    <w:p w14:paraId="2E69DB62" w14:textId="77777777" w:rsidR="00A23C3F" w:rsidRDefault="00DA265F" w:rsidP="00A75447">
      <w:pPr>
        <w:pStyle w:val="PI-text"/>
      </w:pPr>
      <w:r w:rsidRPr="00893C74">
        <w:t>Repatha</w:t>
      </w:r>
      <w:r w:rsidR="005213BB">
        <w:rPr>
          <w:vertAlign w:val="superscript"/>
        </w:rPr>
        <w:t>®</w:t>
      </w:r>
      <w:r w:rsidR="007D3C6A" w:rsidRPr="00893C74">
        <w:t xml:space="preserve"> is</w:t>
      </w:r>
      <w:r w:rsidR="007D3C6A">
        <w:t xml:space="preserve"> a </w:t>
      </w:r>
      <w:r w:rsidR="005213BB">
        <w:t xml:space="preserve">registered </w:t>
      </w:r>
      <w:r w:rsidR="007D3C6A">
        <w:t>trademark of Amgen.</w:t>
      </w:r>
    </w:p>
    <w:p w14:paraId="2E120077" w14:textId="77777777" w:rsidR="00916433" w:rsidRPr="00921C54" w:rsidRDefault="007D3C6A" w:rsidP="00921C54">
      <w:pPr>
        <w:pStyle w:val="PI-text"/>
      </w:pPr>
      <w:r>
        <w:t>SureClick</w:t>
      </w:r>
      <w:r w:rsidR="00615307">
        <w:rPr>
          <w:vertAlign w:val="superscript"/>
        </w:rPr>
        <w:t>®</w:t>
      </w:r>
      <w:r w:rsidR="00916433">
        <w:t xml:space="preserve"> is a </w:t>
      </w:r>
      <w:r w:rsidR="00022AB3">
        <w:t xml:space="preserve">registered </w:t>
      </w:r>
      <w:r w:rsidR="00921C54">
        <w:t>trademark o</w:t>
      </w:r>
      <w:r w:rsidR="00916433">
        <w:t>f Amgen</w:t>
      </w:r>
      <w:r w:rsidR="00615736">
        <w:t>.</w:t>
      </w:r>
    </w:p>
    <w:sectPr w:rsidR="00916433" w:rsidRPr="00921C54" w:rsidSect="008C495D">
      <w:headerReference w:type="default" r:id="rId16"/>
      <w:pgSz w:w="11907" w:h="16840" w:code="9"/>
      <w:pgMar w:top="1533" w:right="1440" w:bottom="426" w:left="1797" w:header="567"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AF432" w14:textId="77777777" w:rsidR="00050EDA" w:rsidRDefault="00050EDA">
      <w:r>
        <w:separator/>
      </w:r>
    </w:p>
  </w:endnote>
  <w:endnote w:type="continuationSeparator" w:id="0">
    <w:p w14:paraId="7D3C8C5D" w14:textId="77777777" w:rsidR="00050EDA" w:rsidRDefault="00050EDA">
      <w:r>
        <w:continuationSeparator/>
      </w:r>
    </w:p>
  </w:endnote>
  <w:endnote w:type="continuationNotice" w:id="1">
    <w:p w14:paraId="71415BA7" w14:textId="77777777" w:rsidR="00050EDA" w:rsidRDefault="00050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Bold">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29E83" w14:textId="77777777" w:rsidR="00050EDA" w:rsidRDefault="00050EDA">
      <w:r>
        <w:separator/>
      </w:r>
    </w:p>
  </w:footnote>
  <w:footnote w:type="continuationSeparator" w:id="0">
    <w:p w14:paraId="2BFA3EAA" w14:textId="77777777" w:rsidR="00050EDA" w:rsidRDefault="00050EDA">
      <w:r>
        <w:continuationSeparator/>
      </w:r>
    </w:p>
  </w:footnote>
  <w:footnote w:type="continuationNotice" w:id="1">
    <w:p w14:paraId="31AB33DE" w14:textId="77777777" w:rsidR="00050EDA" w:rsidRDefault="00050E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DB416D" w:rsidRPr="00DB416D" w14:paraId="759D765B" w14:textId="77777777" w:rsidTr="00824250">
      <w:tc>
        <w:tcPr>
          <w:tcW w:w="8720" w:type="dxa"/>
          <w:shd w:val="clear" w:color="auto" w:fill="E4F2E0"/>
        </w:tcPr>
        <w:p w14:paraId="066541E4" w14:textId="595B2464" w:rsidR="00DB416D" w:rsidRPr="00DB416D" w:rsidRDefault="00DB416D" w:rsidP="00824250">
          <w:pPr>
            <w:spacing w:before="40" w:after="40"/>
            <w:rPr>
              <w:rFonts w:ascii="Cambria" w:hAnsi="Cambria"/>
              <w:b/>
              <w:sz w:val="20"/>
            </w:rPr>
          </w:pPr>
          <w:r w:rsidRPr="00DB416D">
            <w:rPr>
              <w:rFonts w:ascii="Cambria" w:hAnsi="Cambria"/>
              <w:b/>
              <w:sz w:val="20"/>
            </w:rPr>
            <w:t xml:space="preserve">Attachment 1: Product information for </w:t>
          </w:r>
          <w:proofErr w:type="spellStart"/>
          <w:r w:rsidRPr="00DB416D">
            <w:rPr>
              <w:rFonts w:ascii="Cambria" w:hAnsi="Cambria"/>
              <w:b/>
              <w:sz w:val="20"/>
            </w:rPr>
            <w:t>AusPAR</w:t>
          </w:r>
          <w:proofErr w:type="spellEnd"/>
          <w:r w:rsidRPr="00DB416D">
            <w:rPr>
              <w:rFonts w:ascii="Cambria" w:hAnsi="Cambria"/>
              <w:b/>
              <w:sz w:val="20"/>
            </w:rPr>
            <w:t xml:space="preserve"> </w:t>
          </w:r>
          <w:proofErr w:type="spellStart"/>
          <w:r w:rsidRPr="00DB416D">
            <w:rPr>
              <w:rFonts w:ascii="Cambria" w:hAnsi="Cambria"/>
              <w:b/>
              <w:sz w:val="20"/>
            </w:rPr>
            <w:t>Repatha</w:t>
          </w:r>
          <w:proofErr w:type="spellEnd"/>
          <w:r w:rsidRPr="00DB416D">
            <w:rPr>
              <w:rFonts w:ascii="Cambria" w:hAnsi="Cambria"/>
              <w:b/>
              <w:sz w:val="20"/>
            </w:rPr>
            <w:t xml:space="preserve"> </w:t>
          </w:r>
          <w:proofErr w:type="spellStart"/>
          <w:r w:rsidRPr="00DB416D">
            <w:rPr>
              <w:rFonts w:ascii="Cambria" w:hAnsi="Cambria"/>
              <w:b/>
              <w:sz w:val="20"/>
            </w:rPr>
            <w:t>Evolocumab</w:t>
          </w:r>
          <w:proofErr w:type="spellEnd"/>
          <w:r w:rsidRPr="00DB416D">
            <w:rPr>
              <w:rFonts w:ascii="Cambria" w:hAnsi="Cambria"/>
              <w:b/>
              <w:sz w:val="20"/>
            </w:rPr>
            <w:t xml:space="preserve"> Amgen Australia Pty Ltd PM-2017-02229-1-3 FINAL 7 March 2019. This is the Product Information that was approved with the submission described in this </w:t>
          </w:r>
          <w:proofErr w:type="spellStart"/>
          <w:r w:rsidRPr="00DB416D">
            <w:rPr>
              <w:rFonts w:ascii="Cambria" w:hAnsi="Cambria"/>
              <w:b/>
              <w:sz w:val="20"/>
            </w:rPr>
            <w:t>AusPAR</w:t>
          </w:r>
          <w:proofErr w:type="spellEnd"/>
          <w:r w:rsidRPr="00DB416D">
            <w:rPr>
              <w:rFonts w:ascii="Cambria" w:hAnsi="Cambria"/>
              <w:b/>
              <w:sz w:val="20"/>
            </w:rPr>
            <w:t>. It may have been superseded. For the most recent PI, please refer to the TGA website at &lt;</w:t>
          </w:r>
          <w:hyperlink r:id="rId1" w:history="1">
            <w:r w:rsidRPr="00DB416D">
              <w:rPr>
                <w:rStyle w:val="Hyperlink"/>
                <w:rFonts w:ascii="Cambria" w:hAnsi="Cambria"/>
                <w:b/>
                <w:sz w:val="20"/>
              </w:rPr>
              <w:t>https://www.tga.gov.au/product-information-pi</w:t>
            </w:r>
          </w:hyperlink>
          <w:r w:rsidRPr="00DB416D">
            <w:rPr>
              <w:rFonts w:ascii="Cambria" w:hAnsi="Cambria"/>
              <w:b/>
              <w:sz w:val="20"/>
            </w:rPr>
            <w:t>&gt;</w:t>
          </w:r>
        </w:p>
      </w:tc>
    </w:tr>
  </w:tbl>
  <w:p w14:paraId="34D2798B" w14:textId="77777777" w:rsidR="00DB416D" w:rsidRPr="00DB416D" w:rsidRDefault="00DB416D" w:rsidP="00DB416D">
    <w:pPr>
      <w:rPr>
        <w:rFonts w:ascii="Cambria" w:hAnsi="Cambr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01A"/>
    <w:multiLevelType w:val="singleLevel"/>
    <w:tmpl w:val="21B0C21C"/>
    <w:lvl w:ilvl="0">
      <w:start w:val="1"/>
      <w:numFmt w:val="bullet"/>
      <w:pStyle w:val="TextDash"/>
      <w:lvlText w:val=""/>
      <w:lvlJc w:val="left"/>
      <w:pPr>
        <w:tabs>
          <w:tab w:val="num" w:pos="720"/>
        </w:tabs>
        <w:ind w:left="720" w:hanging="360"/>
      </w:pPr>
      <w:rPr>
        <w:rFonts w:ascii="Symbol" w:hAnsi="Symbol" w:hint="default"/>
      </w:rPr>
    </w:lvl>
  </w:abstractNum>
  <w:abstractNum w:abstractNumId="1">
    <w:nsid w:val="04171F25"/>
    <w:multiLevelType w:val="hybridMultilevel"/>
    <w:tmpl w:val="2C5C4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E62115"/>
    <w:multiLevelType w:val="hybridMultilevel"/>
    <w:tmpl w:val="4A006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141BD"/>
    <w:multiLevelType w:val="hybridMultilevel"/>
    <w:tmpl w:val="D62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27206"/>
    <w:multiLevelType w:val="hybridMultilevel"/>
    <w:tmpl w:val="3DC41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B40DFB"/>
    <w:multiLevelType w:val="hybridMultilevel"/>
    <w:tmpl w:val="D62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0788F"/>
    <w:multiLevelType w:val="hybridMultilevel"/>
    <w:tmpl w:val="D91A3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C6FE7"/>
    <w:multiLevelType w:val="multilevel"/>
    <w:tmpl w:val="B11E566C"/>
    <w:lvl w:ilvl="0">
      <w:start w:val="1"/>
      <w:numFmt w:val="decimal"/>
      <w:pStyle w:val="NumberRestart"/>
      <w:lvlText w:val=""/>
      <w:lvlJc w:val="left"/>
      <w:pPr>
        <w:tabs>
          <w:tab w:val="num" w:pos="1440"/>
        </w:tabs>
        <w:ind w:left="1440" w:hanging="1440"/>
      </w:pPr>
    </w:lvl>
    <w:lvl w:ilvl="1">
      <w:start w:val="1"/>
      <w:numFmt w:val="decimal"/>
      <w:lvlText w:val="Part %1."/>
      <w:lvlJc w:val="left"/>
      <w:pPr>
        <w:tabs>
          <w:tab w:val="num" w:pos="1440"/>
        </w:tabs>
        <w:ind w:left="1440" w:hanging="1440"/>
      </w:pPr>
    </w:lvl>
    <w:lvl w:ilvl="2">
      <w:start w:val="1"/>
      <w:numFmt w:val="decimal"/>
      <w:lvlText w:val="Part %1.%2"/>
      <w:lvlJc w:val="left"/>
      <w:pPr>
        <w:tabs>
          <w:tab w:val="num" w:pos="1440"/>
        </w:tabs>
        <w:ind w:left="1440" w:hanging="1440"/>
      </w:pPr>
    </w:lvl>
    <w:lvl w:ilvl="3">
      <w:start w:val="1"/>
      <w:numFmt w:val="decimal"/>
      <w:lvlText w:val="%1.%2.%3"/>
      <w:lvlJc w:val="left"/>
      <w:pPr>
        <w:tabs>
          <w:tab w:val="num" w:pos="1440"/>
        </w:tabs>
        <w:ind w:left="1440" w:hanging="1440"/>
      </w:pPr>
    </w:lvl>
    <w:lvl w:ilvl="4">
      <w:start w:val="1"/>
      <w:numFmt w:val="decimal"/>
      <w:lvlText w:val="%1.%2.%3.%4"/>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lowerLetter"/>
      <w:lvlText w:val="%8."/>
      <w:lvlJc w:val="left"/>
      <w:pPr>
        <w:tabs>
          <w:tab w:val="num" w:pos="2880"/>
        </w:tabs>
        <w:ind w:left="2880" w:hanging="360"/>
      </w:pPr>
    </w:lvl>
    <w:lvl w:ilvl="8">
      <w:start w:val="1"/>
      <w:numFmt w:val="decimal"/>
      <w:lvlText w:val="%1.%2.%3.%4.%5.%6.%7.%8"/>
      <w:lvlJc w:val="left"/>
      <w:pPr>
        <w:tabs>
          <w:tab w:val="num" w:pos="1440"/>
        </w:tabs>
        <w:ind w:left="1440" w:hanging="1440"/>
      </w:pPr>
    </w:lvl>
  </w:abstractNum>
  <w:abstractNum w:abstractNumId="8">
    <w:nsid w:val="1A753791"/>
    <w:multiLevelType w:val="hybridMultilevel"/>
    <w:tmpl w:val="300C8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B2717"/>
    <w:multiLevelType w:val="hybridMultilevel"/>
    <w:tmpl w:val="EED4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C1343"/>
    <w:multiLevelType w:val="hybridMultilevel"/>
    <w:tmpl w:val="C3BA4870"/>
    <w:lvl w:ilvl="0" w:tplc="6FAEF3E8">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C92A30"/>
    <w:multiLevelType w:val="hybridMultilevel"/>
    <w:tmpl w:val="603A0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F4AAB"/>
    <w:multiLevelType w:val="hybridMultilevel"/>
    <w:tmpl w:val="8D9E8E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26C873C3"/>
    <w:multiLevelType w:val="hybridMultilevel"/>
    <w:tmpl w:val="30489B5C"/>
    <w:lvl w:ilvl="0" w:tplc="56A8D3AA">
      <w:start w:val="1"/>
      <w:numFmt w:val="bullet"/>
      <w:pStyle w:val="PI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15">
    <w:nsid w:val="2CCE234D"/>
    <w:multiLevelType w:val="hybridMultilevel"/>
    <w:tmpl w:val="FA82F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55008B"/>
    <w:multiLevelType w:val="hybridMultilevel"/>
    <w:tmpl w:val="0D3C3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A82826"/>
    <w:multiLevelType w:val="hybridMultilevel"/>
    <w:tmpl w:val="B938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62315"/>
    <w:multiLevelType w:val="hybridMultilevel"/>
    <w:tmpl w:val="BF3E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7B7821"/>
    <w:multiLevelType w:val="hybridMultilevel"/>
    <w:tmpl w:val="F918D5CE"/>
    <w:lvl w:ilvl="0" w:tplc="47A03A54">
      <w:start w:val="1"/>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0273A6"/>
    <w:multiLevelType w:val="multilevel"/>
    <w:tmpl w:val="49CA3058"/>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800"/>
        </w:tabs>
        <w:ind w:left="1440" w:hanging="1440"/>
      </w:pPr>
      <w:rPr>
        <w:rFonts w:hint="default"/>
      </w:rPr>
    </w:lvl>
  </w:abstractNum>
  <w:abstractNum w:abstractNumId="21">
    <w:nsid w:val="3D6C1C68"/>
    <w:multiLevelType w:val="hybridMultilevel"/>
    <w:tmpl w:val="DC64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761F91"/>
    <w:multiLevelType w:val="hybridMultilevel"/>
    <w:tmpl w:val="7C3CA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1936A3B"/>
    <w:multiLevelType w:val="hybridMultilevel"/>
    <w:tmpl w:val="BF3E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0E3472"/>
    <w:multiLevelType w:val="hybridMultilevel"/>
    <w:tmpl w:val="588EB0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44CE56EC"/>
    <w:multiLevelType w:val="hybridMultilevel"/>
    <w:tmpl w:val="DB66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543D0F"/>
    <w:multiLevelType w:val="hybridMultilevel"/>
    <w:tmpl w:val="38AE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ED500C7"/>
    <w:multiLevelType w:val="hybridMultilevel"/>
    <w:tmpl w:val="1F5EC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2C75F8"/>
    <w:multiLevelType w:val="hybridMultilevel"/>
    <w:tmpl w:val="A0F09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12532C"/>
    <w:multiLevelType w:val="hybridMultilevel"/>
    <w:tmpl w:val="EEAE0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B8A6168"/>
    <w:multiLevelType w:val="hybridMultilevel"/>
    <w:tmpl w:val="31840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C8326B0"/>
    <w:multiLevelType w:val="hybridMultilevel"/>
    <w:tmpl w:val="FF5628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nsid w:val="6C9B3775"/>
    <w:multiLevelType w:val="hybridMultilevel"/>
    <w:tmpl w:val="83D4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F948F4"/>
    <w:multiLevelType w:val="hybridMultilevel"/>
    <w:tmpl w:val="6AC0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BF2903"/>
    <w:multiLevelType w:val="hybridMultilevel"/>
    <w:tmpl w:val="114CF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3BA6704"/>
    <w:multiLevelType w:val="hybridMultilevel"/>
    <w:tmpl w:val="81C62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4082FA6"/>
    <w:multiLevelType w:val="hybridMultilevel"/>
    <w:tmpl w:val="60D4FC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nsid w:val="75576C88"/>
    <w:multiLevelType w:val="hybridMultilevel"/>
    <w:tmpl w:val="93301724"/>
    <w:lvl w:ilvl="0" w:tplc="965E212A">
      <w:numFmt w:val="bullet"/>
      <w:lvlText w:val=""/>
      <w:lvlJc w:val="left"/>
      <w:pPr>
        <w:ind w:left="780" w:hanging="4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E52FB2"/>
    <w:multiLevelType w:val="hybridMultilevel"/>
    <w:tmpl w:val="F2CC1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6768B5"/>
    <w:multiLevelType w:val="multilevel"/>
    <w:tmpl w:val="48FAF6E4"/>
    <w:lvl w:ilvl="0">
      <w:start w:val="1"/>
      <w:numFmt w:val="decimal"/>
      <w:lvlText w:val="%1."/>
      <w:lvlJc w:val="left"/>
      <w:pPr>
        <w:tabs>
          <w:tab w:val="num" w:pos="360"/>
        </w:tabs>
        <w:ind w:left="360" w:hanging="360"/>
      </w:pPr>
    </w:lvl>
    <w:lvl w:ilvl="1">
      <w:start w:val="1"/>
      <w:numFmt w:val="decimal"/>
      <w:pStyle w:val="Style1"/>
      <w:lvlText w:val="%1.%2."/>
      <w:lvlJc w:val="left"/>
      <w:pPr>
        <w:tabs>
          <w:tab w:val="num" w:pos="792"/>
        </w:tabs>
        <w:ind w:left="792" w:hanging="432"/>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0">
    <w:nsid w:val="7D0B5D3A"/>
    <w:multiLevelType w:val="hybridMultilevel"/>
    <w:tmpl w:val="1D6AC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0"/>
  </w:num>
  <w:num w:numId="3">
    <w:abstractNumId w:val="7"/>
  </w:num>
  <w:num w:numId="4">
    <w:abstractNumId w:val="14"/>
  </w:num>
  <w:num w:numId="5">
    <w:abstractNumId w:val="0"/>
  </w:num>
  <w:num w:numId="6">
    <w:abstractNumId w:val="13"/>
  </w:num>
  <w:num w:numId="7">
    <w:abstractNumId w:val="26"/>
  </w:num>
  <w:num w:numId="8">
    <w:abstractNumId w:val="13"/>
  </w:num>
  <w:num w:numId="9">
    <w:abstractNumId w:val="19"/>
  </w:num>
  <w:num w:numId="10">
    <w:abstractNumId w:val="10"/>
  </w:num>
  <w:num w:numId="11">
    <w:abstractNumId w:val="37"/>
  </w:num>
  <w:num w:numId="12">
    <w:abstractNumId w:val="21"/>
  </w:num>
  <w:num w:numId="13">
    <w:abstractNumId w:val="15"/>
  </w:num>
  <w:num w:numId="14">
    <w:abstractNumId w:val="13"/>
  </w:num>
  <w:num w:numId="15">
    <w:abstractNumId w:val="13"/>
  </w:num>
  <w:num w:numId="16">
    <w:abstractNumId w:val="30"/>
  </w:num>
  <w:num w:numId="17">
    <w:abstractNumId w:val="35"/>
  </w:num>
  <w:num w:numId="18">
    <w:abstractNumId w:val="32"/>
  </w:num>
  <w:num w:numId="19">
    <w:abstractNumId w:val="8"/>
  </w:num>
  <w:num w:numId="20">
    <w:abstractNumId w:val="17"/>
  </w:num>
  <w:num w:numId="21">
    <w:abstractNumId w:val="33"/>
  </w:num>
  <w:num w:numId="22">
    <w:abstractNumId w:val="40"/>
  </w:num>
  <w:num w:numId="23">
    <w:abstractNumId w:val="9"/>
  </w:num>
  <w:num w:numId="24">
    <w:abstractNumId w:val="38"/>
  </w:num>
  <w:num w:numId="25">
    <w:abstractNumId w:val="28"/>
  </w:num>
  <w:num w:numId="26">
    <w:abstractNumId w:val="3"/>
  </w:num>
  <w:num w:numId="27">
    <w:abstractNumId w:val="25"/>
  </w:num>
  <w:num w:numId="28">
    <w:abstractNumId w:val="18"/>
  </w:num>
  <w:num w:numId="29">
    <w:abstractNumId w:val="6"/>
  </w:num>
  <w:num w:numId="30">
    <w:abstractNumId w:val="2"/>
  </w:num>
  <w:num w:numId="31">
    <w:abstractNumId w:val="27"/>
  </w:num>
  <w:num w:numId="32">
    <w:abstractNumId w:val="11"/>
  </w:num>
  <w:num w:numId="33">
    <w:abstractNumId w:val="23"/>
  </w:num>
  <w:num w:numId="34">
    <w:abstractNumId w:val="24"/>
  </w:num>
  <w:num w:numId="35">
    <w:abstractNumId w:val="5"/>
  </w:num>
  <w:num w:numId="36">
    <w:abstractNumId w:val="22"/>
  </w:num>
  <w:num w:numId="37">
    <w:abstractNumId w:val="16"/>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1"/>
  </w:num>
  <w:num w:numId="41">
    <w:abstractNumId w:val="1"/>
  </w:num>
  <w:num w:numId="42">
    <w:abstractNumId w:val="29"/>
  </w:num>
  <w:num w:numId="43">
    <w:abstractNumId w:val="36"/>
  </w:num>
  <w:num w:numId="44">
    <w:abstractNumId w:val="4"/>
  </w:num>
  <w:num w:numId="45">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5" w:nlCheck="1" w:checkStyle="1"/>
  <w:activeWritingStyle w:appName="MSWord" w:lang="en-US" w:vendorID="64" w:dllVersion="5" w:nlCheck="1" w:checkStyle="1"/>
  <w:activeWritingStyle w:appName="MSWord" w:lang="en-GB"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ja-JP"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US" w:vendorID="8" w:dllVersion="513" w:checkStyle="1"/>
  <w:activeWritingStyle w:appName="MSWord" w:lang="en-GB"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C7"/>
    <w:rsid w:val="00000840"/>
    <w:rsid w:val="00001360"/>
    <w:rsid w:val="000014AD"/>
    <w:rsid w:val="00002CE8"/>
    <w:rsid w:val="00004D9E"/>
    <w:rsid w:val="00006A52"/>
    <w:rsid w:val="00006FEC"/>
    <w:rsid w:val="0001154C"/>
    <w:rsid w:val="0001187E"/>
    <w:rsid w:val="00011A22"/>
    <w:rsid w:val="00012AB7"/>
    <w:rsid w:val="00013365"/>
    <w:rsid w:val="0001361D"/>
    <w:rsid w:val="00014136"/>
    <w:rsid w:val="00014E36"/>
    <w:rsid w:val="0001563D"/>
    <w:rsid w:val="00015745"/>
    <w:rsid w:val="000158B3"/>
    <w:rsid w:val="00016005"/>
    <w:rsid w:val="000161A1"/>
    <w:rsid w:val="00016693"/>
    <w:rsid w:val="0001737E"/>
    <w:rsid w:val="00017C1B"/>
    <w:rsid w:val="00017E8B"/>
    <w:rsid w:val="000200EB"/>
    <w:rsid w:val="000205AA"/>
    <w:rsid w:val="000207BE"/>
    <w:rsid w:val="0002178D"/>
    <w:rsid w:val="00021E3E"/>
    <w:rsid w:val="00022580"/>
    <w:rsid w:val="0002274D"/>
    <w:rsid w:val="00022AB3"/>
    <w:rsid w:val="00023AD8"/>
    <w:rsid w:val="00025898"/>
    <w:rsid w:val="00026667"/>
    <w:rsid w:val="0002691E"/>
    <w:rsid w:val="00026C7A"/>
    <w:rsid w:val="00027325"/>
    <w:rsid w:val="000312C7"/>
    <w:rsid w:val="00032C95"/>
    <w:rsid w:val="000339AD"/>
    <w:rsid w:val="0003559F"/>
    <w:rsid w:val="000369B7"/>
    <w:rsid w:val="00037DEC"/>
    <w:rsid w:val="00040A99"/>
    <w:rsid w:val="0004193C"/>
    <w:rsid w:val="00041AD0"/>
    <w:rsid w:val="000422AE"/>
    <w:rsid w:val="0004380D"/>
    <w:rsid w:val="0004715A"/>
    <w:rsid w:val="00047C29"/>
    <w:rsid w:val="0005040A"/>
    <w:rsid w:val="00050EDA"/>
    <w:rsid w:val="00051CC4"/>
    <w:rsid w:val="00052D1F"/>
    <w:rsid w:val="00053A40"/>
    <w:rsid w:val="00054EF5"/>
    <w:rsid w:val="00055537"/>
    <w:rsid w:val="0005561A"/>
    <w:rsid w:val="000556BB"/>
    <w:rsid w:val="00055DD8"/>
    <w:rsid w:val="00056C35"/>
    <w:rsid w:val="00057813"/>
    <w:rsid w:val="0006098F"/>
    <w:rsid w:val="00060F5E"/>
    <w:rsid w:val="000611EA"/>
    <w:rsid w:val="00064486"/>
    <w:rsid w:val="000678B0"/>
    <w:rsid w:val="00070E8D"/>
    <w:rsid w:val="000711B1"/>
    <w:rsid w:val="00072E95"/>
    <w:rsid w:val="00073183"/>
    <w:rsid w:val="000747C3"/>
    <w:rsid w:val="00075897"/>
    <w:rsid w:val="00075E36"/>
    <w:rsid w:val="0007784F"/>
    <w:rsid w:val="0007791C"/>
    <w:rsid w:val="0008122F"/>
    <w:rsid w:val="000820CF"/>
    <w:rsid w:val="000838D7"/>
    <w:rsid w:val="0008796C"/>
    <w:rsid w:val="000914BF"/>
    <w:rsid w:val="0009189D"/>
    <w:rsid w:val="00091E3B"/>
    <w:rsid w:val="000938B0"/>
    <w:rsid w:val="000960EB"/>
    <w:rsid w:val="0009617D"/>
    <w:rsid w:val="00096882"/>
    <w:rsid w:val="000A0FD9"/>
    <w:rsid w:val="000A249E"/>
    <w:rsid w:val="000A28CB"/>
    <w:rsid w:val="000A463A"/>
    <w:rsid w:val="000A63F5"/>
    <w:rsid w:val="000B03AF"/>
    <w:rsid w:val="000B0595"/>
    <w:rsid w:val="000B1411"/>
    <w:rsid w:val="000B26CC"/>
    <w:rsid w:val="000B2831"/>
    <w:rsid w:val="000B3AFF"/>
    <w:rsid w:val="000B43FF"/>
    <w:rsid w:val="000B5D16"/>
    <w:rsid w:val="000B5E50"/>
    <w:rsid w:val="000B69AB"/>
    <w:rsid w:val="000B7424"/>
    <w:rsid w:val="000C33C0"/>
    <w:rsid w:val="000C34B5"/>
    <w:rsid w:val="000C79E9"/>
    <w:rsid w:val="000D0E98"/>
    <w:rsid w:val="000D12BA"/>
    <w:rsid w:val="000D4EB2"/>
    <w:rsid w:val="000D5746"/>
    <w:rsid w:val="000D5A7F"/>
    <w:rsid w:val="000D5FAF"/>
    <w:rsid w:val="000D6193"/>
    <w:rsid w:val="000D7D65"/>
    <w:rsid w:val="000E11DA"/>
    <w:rsid w:val="000E1CC0"/>
    <w:rsid w:val="000E234B"/>
    <w:rsid w:val="000E2670"/>
    <w:rsid w:val="000E343F"/>
    <w:rsid w:val="000E34D3"/>
    <w:rsid w:val="000E4639"/>
    <w:rsid w:val="000E593B"/>
    <w:rsid w:val="000E5BD2"/>
    <w:rsid w:val="000E6866"/>
    <w:rsid w:val="000E7AB7"/>
    <w:rsid w:val="000F0F2B"/>
    <w:rsid w:val="000F1067"/>
    <w:rsid w:val="000F1DA4"/>
    <w:rsid w:val="000F288D"/>
    <w:rsid w:val="000F33DD"/>
    <w:rsid w:val="00101902"/>
    <w:rsid w:val="00106A04"/>
    <w:rsid w:val="001074DB"/>
    <w:rsid w:val="00107DA8"/>
    <w:rsid w:val="00107F92"/>
    <w:rsid w:val="00110CE2"/>
    <w:rsid w:val="00110E6D"/>
    <w:rsid w:val="00111C54"/>
    <w:rsid w:val="001124DF"/>
    <w:rsid w:val="00115528"/>
    <w:rsid w:val="001161AB"/>
    <w:rsid w:val="0011776F"/>
    <w:rsid w:val="0012330F"/>
    <w:rsid w:val="001234A9"/>
    <w:rsid w:val="0012470B"/>
    <w:rsid w:val="0012487F"/>
    <w:rsid w:val="0012555C"/>
    <w:rsid w:val="00125ACB"/>
    <w:rsid w:val="001272DE"/>
    <w:rsid w:val="0013029C"/>
    <w:rsid w:val="0013198B"/>
    <w:rsid w:val="00131C27"/>
    <w:rsid w:val="00132CDD"/>
    <w:rsid w:val="001345B6"/>
    <w:rsid w:val="00134A02"/>
    <w:rsid w:val="00134D37"/>
    <w:rsid w:val="00135814"/>
    <w:rsid w:val="0013619B"/>
    <w:rsid w:val="00136372"/>
    <w:rsid w:val="00140E02"/>
    <w:rsid w:val="00140ECC"/>
    <w:rsid w:val="001422AF"/>
    <w:rsid w:val="0014381A"/>
    <w:rsid w:val="00143967"/>
    <w:rsid w:val="0014539F"/>
    <w:rsid w:val="001454B8"/>
    <w:rsid w:val="00145942"/>
    <w:rsid w:val="00145F83"/>
    <w:rsid w:val="001468C9"/>
    <w:rsid w:val="00150D80"/>
    <w:rsid w:val="0015104F"/>
    <w:rsid w:val="001516E2"/>
    <w:rsid w:val="001517E4"/>
    <w:rsid w:val="001526B9"/>
    <w:rsid w:val="001546E2"/>
    <w:rsid w:val="001553ED"/>
    <w:rsid w:val="00156318"/>
    <w:rsid w:val="00157430"/>
    <w:rsid w:val="001577AD"/>
    <w:rsid w:val="001601CD"/>
    <w:rsid w:val="00162E3B"/>
    <w:rsid w:val="00162E5A"/>
    <w:rsid w:val="00162F03"/>
    <w:rsid w:val="00163663"/>
    <w:rsid w:val="001647F4"/>
    <w:rsid w:val="00165135"/>
    <w:rsid w:val="00165B88"/>
    <w:rsid w:val="001668BF"/>
    <w:rsid w:val="00170474"/>
    <w:rsid w:val="0017056F"/>
    <w:rsid w:val="00170D62"/>
    <w:rsid w:val="00171F0F"/>
    <w:rsid w:val="0017248B"/>
    <w:rsid w:val="00173A0B"/>
    <w:rsid w:val="00175A07"/>
    <w:rsid w:val="00181DA1"/>
    <w:rsid w:val="00183E2F"/>
    <w:rsid w:val="00185921"/>
    <w:rsid w:val="001878C9"/>
    <w:rsid w:val="00191943"/>
    <w:rsid w:val="00191C80"/>
    <w:rsid w:val="00192644"/>
    <w:rsid w:val="00194943"/>
    <w:rsid w:val="001957B3"/>
    <w:rsid w:val="001958A2"/>
    <w:rsid w:val="001961A7"/>
    <w:rsid w:val="001A1516"/>
    <w:rsid w:val="001A1B46"/>
    <w:rsid w:val="001A23D1"/>
    <w:rsid w:val="001A4C0E"/>
    <w:rsid w:val="001A4F61"/>
    <w:rsid w:val="001A5558"/>
    <w:rsid w:val="001A5C92"/>
    <w:rsid w:val="001A7458"/>
    <w:rsid w:val="001B204C"/>
    <w:rsid w:val="001B3BC8"/>
    <w:rsid w:val="001B3CC4"/>
    <w:rsid w:val="001B5A66"/>
    <w:rsid w:val="001B63DD"/>
    <w:rsid w:val="001B6727"/>
    <w:rsid w:val="001B75BF"/>
    <w:rsid w:val="001B7879"/>
    <w:rsid w:val="001C0092"/>
    <w:rsid w:val="001C04B8"/>
    <w:rsid w:val="001C0BA3"/>
    <w:rsid w:val="001C0DAD"/>
    <w:rsid w:val="001C10B6"/>
    <w:rsid w:val="001C3025"/>
    <w:rsid w:val="001C3C4A"/>
    <w:rsid w:val="001C5140"/>
    <w:rsid w:val="001C5FEF"/>
    <w:rsid w:val="001C6681"/>
    <w:rsid w:val="001C67E4"/>
    <w:rsid w:val="001C6E45"/>
    <w:rsid w:val="001C7C4D"/>
    <w:rsid w:val="001D0ABB"/>
    <w:rsid w:val="001D1539"/>
    <w:rsid w:val="001D2170"/>
    <w:rsid w:val="001D30A0"/>
    <w:rsid w:val="001D7558"/>
    <w:rsid w:val="001D77F1"/>
    <w:rsid w:val="001E0C1C"/>
    <w:rsid w:val="001E16EA"/>
    <w:rsid w:val="001E1945"/>
    <w:rsid w:val="001E1E22"/>
    <w:rsid w:val="001E2097"/>
    <w:rsid w:val="001E345D"/>
    <w:rsid w:val="001E36A5"/>
    <w:rsid w:val="001E3A80"/>
    <w:rsid w:val="001E4851"/>
    <w:rsid w:val="001E5915"/>
    <w:rsid w:val="001E6C71"/>
    <w:rsid w:val="001E7EA8"/>
    <w:rsid w:val="001F0E51"/>
    <w:rsid w:val="001F1E5A"/>
    <w:rsid w:val="001F3D0A"/>
    <w:rsid w:val="001F4B54"/>
    <w:rsid w:val="001F4F0B"/>
    <w:rsid w:val="001F5158"/>
    <w:rsid w:val="001F6756"/>
    <w:rsid w:val="00201996"/>
    <w:rsid w:val="00201F6E"/>
    <w:rsid w:val="00204450"/>
    <w:rsid w:val="00205E85"/>
    <w:rsid w:val="00205EFE"/>
    <w:rsid w:val="00206C13"/>
    <w:rsid w:val="00206D0D"/>
    <w:rsid w:val="00210F6C"/>
    <w:rsid w:val="00211159"/>
    <w:rsid w:val="002116C3"/>
    <w:rsid w:val="002117F0"/>
    <w:rsid w:val="002126B0"/>
    <w:rsid w:val="00212786"/>
    <w:rsid w:val="00212A66"/>
    <w:rsid w:val="00212B21"/>
    <w:rsid w:val="00213542"/>
    <w:rsid w:val="00213FD3"/>
    <w:rsid w:val="0021475B"/>
    <w:rsid w:val="00214C24"/>
    <w:rsid w:val="00214CB8"/>
    <w:rsid w:val="00216A82"/>
    <w:rsid w:val="0021716A"/>
    <w:rsid w:val="00220F62"/>
    <w:rsid w:val="00221225"/>
    <w:rsid w:val="00223A0A"/>
    <w:rsid w:val="00224391"/>
    <w:rsid w:val="00224FB1"/>
    <w:rsid w:val="002262FC"/>
    <w:rsid w:val="0022749E"/>
    <w:rsid w:val="00227C71"/>
    <w:rsid w:val="002329E3"/>
    <w:rsid w:val="00233E63"/>
    <w:rsid w:val="002348AE"/>
    <w:rsid w:val="002351AF"/>
    <w:rsid w:val="002351D5"/>
    <w:rsid w:val="002356A1"/>
    <w:rsid w:val="00235E92"/>
    <w:rsid w:val="00235F49"/>
    <w:rsid w:val="00236D56"/>
    <w:rsid w:val="0024107C"/>
    <w:rsid w:val="002412C7"/>
    <w:rsid w:val="00246200"/>
    <w:rsid w:val="00246473"/>
    <w:rsid w:val="0024698E"/>
    <w:rsid w:val="00250A33"/>
    <w:rsid w:val="00250F3F"/>
    <w:rsid w:val="0025170D"/>
    <w:rsid w:val="0025182E"/>
    <w:rsid w:val="0025229A"/>
    <w:rsid w:val="002547EF"/>
    <w:rsid w:val="0025553E"/>
    <w:rsid w:val="0025594A"/>
    <w:rsid w:val="00255D3D"/>
    <w:rsid w:val="00255FDC"/>
    <w:rsid w:val="002578AE"/>
    <w:rsid w:val="002602B2"/>
    <w:rsid w:val="002602E8"/>
    <w:rsid w:val="00260A37"/>
    <w:rsid w:val="002614CE"/>
    <w:rsid w:val="00261A63"/>
    <w:rsid w:val="00262484"/>
    <w:rsid w:val="00263370"/>
    <w:rsid w:val="00263A5F"/>
    <w:rsid w:val="00263BD5"/>
    <w:rsid w:val="00263E65"/>
    <w:rsid w:val="00265AC5"/>
    <w:rsid w:val="00265E91"/>
    <w:rsid w:val="0026604B"/>
    <w:rsid w:val="00267BE8"/>
    <w:rsid w:val="002720AF"/>
    <w:rsid w:val="00274823"/>
    <w:rsid w:val="00275791"/>
    <w:rsid w:val="0027632E"/>
    <w:rsid w:val="00276804"/>
    <w:rsid w:val="00276B4B"/>
    <w:rsid w:val="00277E9F"/>
    <w:rsid w:val="002808B2"/>
    <w:rsid w:val="00280E5C"/>
    <w:rsid w:val="0028124E"/>
    <w:rsid w:val="002813FC"/>
    <w:rsid w:val="0028349C"/>
    <w:rsid w:val="002837C7"/>
    <w:rsid w:val="0028687D"/>
    <w:rsid w:val="00286AED"/>
    <w:rsid w:val="0029016E"/>
    <w:rsid w:val="002915F2"/>
    <w:rsid w:val="00292BC9"/>
    <w:rsid w:val="00293A0C"/>
    <w:rsid w:val="00293AB8"/>
    <w:rsid w:val="00293E94"/>
    <w:rsid w:val="00294721"/>
    <w:rsid w:val="00294C02"/>
    <w:rsid w:val="002950E5"/>
    <w:rsid w:val="002959C0"/>
    <w:rsid w:val="0029604D"/>
    <w:rsid w:val="002962A7"/>
    <w:rsid w:val="0029671C"/>
    <w:rsid w:val="00296DCF"/>
    <w:rsid w:val="002A0809"/>
    <w:rsid w:val="002A095F"/>
    <w:rsid w:val="002A25A9"/>
    <w:rsid w:val="002A3AB5"/>
    <w:rsid w:val="002A6F81"/>
    <w:rsid w:val="002A73A7"/>
    <w:rsid w:val="002A7B0E"/>
    <w:rsid w:val="002B005C"/>
    <w:rsid w:val="002B0828"/>
    <w:rsid w:val="002B283E"/>
    <w:rsid w:val="002B2F5D"/>
    <w:rsid w:val="002B350A"/>
    <w:rsid w:val="002B404B"/>
    <w:rsid w:val="002B4FBF"/>
    <w:rsid w:val="002B52ED"/>
    <w:rsid w:val="002B62BE"/>
    <w:rsid w:val="002B68B8"/>
    <w:rsid w:val="002C092C"/>
    <w:rsid w:val="002C0E40"/>
    <w:rsid w:val="002C471E"/>
    <w:rsid w:val="002C4B90"/>
    <w:rsid w:val="002C6FD0"/>
    <w:rsid w:val="002C74C3"/>
    <w:rsid w:val="002D130D"/>
    <w:rsid w:val="002D1F43"/>
    <w:rsid w:val="002D2242"/>
    <w:rsid w:val="002D41B2"/>
    <w:rsid w:val="002D48CF"/>
    <w:rsid w:val="002D638A"/>
    <w:rsid w:val="002D6485"/>
    <w:rsid w:val="002D7049"/>
    <w:rsid w:val="002D7167"/>
    <w:rsid w:val="002D740D"/>
    <w:rsid w:val="002D7762"/>
    <w:rsid w:val="002D78C2"/>
    <w:rsid w:val="002E1022"/>
    <w:rsid w:val="002E1039"/>
    <w:rsid w:val="002E159B"/>
    <w:rsid w:val="002E24A8"/>
    <w:rsid w:val="002E3325"/>
    <w:rsid w:val="002E3A45"/>
    <w:rsid w:val="002E520B"/>
    <w:rsid w:val="002E5764"/>
    <w:rsid w:val="002F0522"/>
    <w:rsid w:val="002F1B32"/>
    <w:rsid w:val="002F3FBF"/>
    <w:rsid w:val="002F4A00"/>
    <w:rsid w:val="002F550B"/>
    <w:rsid w:val="002F5A60"/>
    <w:rsid w:val="002F5FE4"/>
    <w:rsid w:val="002F678B"/>
    <w:rsid w:val="002F6F98"/>
    <w:rsid w:val="002F7E3F"/>
    <w:rsid w:val="003009F8"/>
    <w:rsid w:val="00302D95"/>
    <w:rsid w:val="003047D2"/>
    <w:rsid w:val="00304C92"/>
    <w:rsid w:val="00310655"/>
    <w:rsid w:val="00310C20"/>
    <w:rsid w:val="00310FE5"/>
    <w:rsid w:val="00311870"/>
    <w:rsid w:val="00312938"/>
    <w:rsid w:val="0031350C"/>
    <w:rsid w:val="00314187"/>
    <w:rsid w:val="00314603"/>
    <w:rsid w:val="00315E47"/>
    <w:rsid w:val="00315FF3"/>
    <w:rsid w:val="00317582"/>
    <w:rsid w:val="003176AC"/>
    <w:rsid w:val="0032032C"/>
    <w:rsid w:val="00322436"/>
    <w:rsid w:val="0032303A"/>
    <w:rsid w:val="00330432"/>
    <w:rsid w:val="00332B3C"/>
    <w:rsid w:val="00332CB7"/>
    <w:rsid w:val="00334578"/>
    <w:rsid w:val="00334AFE"/>
    <w:rsid w:val="00334EAA"/>
    <w:rsid w:val="00335C06"/>
    <w:rsid w:val="00335FE3"/>
    <w:rsid w:val="0033692D"/>
    <w:rsid w:val="0033779D"/>
    <w:rsid w:val="00343EC3"/>
    <w:rsid w:val="003441C9"/>
    <w:rsid w:val="00346AB0"/>
    <w:rsid w:val="003475A5"/>
    <w:rsid w:val="00350BFE"/>
    <w:rsid w:val="00351814"/>
    <w:rsid w:val="00352DA2"/>
    <w:rsid w:val="00353AEC"/>
    <w:rsid w:val="003542EE"/>
    <w:rsid w:val="00354D9C"/>
    <w:rsid w:val="0035508B"/>
    <w:rsid w:val="00355573"/>
    <w:rsid w:val="003607B8"/>
    <w:rsid w:val="003610A0"/>
    <w:rsid w:val="003611FD"/>
    <w:rsid w:val="003614D4"/>
    <w:rsid w:val="0036213A"/>
    <w:rsid w:val="0036257F"/>
    <w:rsid w:val="00362EB4"/>
    <w:rsid w:val="00362FC6"/>
    <w:rsid w:val="00363FAB"/>
    <w:rsid w:val="00364FFA"/>
    <w:rsid w:val="003665B1"/>
    <w:rsid w:val="003676C4"/>
    <w:rsid w:val="00367C17"/>
    <w:rsid w:val="003725E5"/>
    <w:rsid w:val="003729DA"/>
    <w:rsid w:val="00372E08"/>
    <w:rsid w:val="0037363F"/>
    <w:rsid w:val="00373F0C"/>
    <w:rsid w:val="00374625"/>
    <w:rsid w:val="00374E29"/>
    <w:rsid w:val="00374F47"/>
    <w:rsid w:val="00375CCC"/>
    <w:rsid w:val="003774B4"/>
    <w:rsid w:val="003802CC"/>
    <w:rsid w:val="00381A8B"/>
    <w:rsid w:val="00381AF2"/>
    <w:rsid w:val="00383479"/>
    <w:rsid w:val="00383E29"/>
    <w:rsid w:val="0038412C"/>
    <w:rsid w:val="003866CF"/>
    <w:rsid w:val="00386938"/>
    <w:rsid w:val="00386E39"/>
    <w:rsid w:val="0039076F"/>
    <w:rsid w:val="003909AB"/>
    <w:rsid w:val="00390B47"/>
    <w:rsid w:val="003916A4"/>
    <w:rsid w:val="00392104"/>
    <w:rsid w:val="00392961"/>
    <w:rsid w:val="0039582D"/>
    <w:rsid w:val="003959E2"/>
    <w:rsid w:val="003A2918"/>
    <w:rsid w:val="003A3439"/>
    <w:rsid w:val="003A346F"/>
    <w:rsid w:val="003A5807"/>
    <w:rsid w:val="003A5F24"/>
    <w:rsid w:val="003A65CF"/>
    <w:rsid w:val="003A7762"/>
    <w:rsid w:val="003A7EAE"/>
    <w:rsid w:val="003B01C6"/>
    <w:rsid w:val="003B1E9B"/>
    <w:rsid w:val="003B24D8"/>
    <w:rsid w:val="003B32FD"/>
    <w:rsid w:val="003B50B8"/>
    <w:rsid w:val="003B7F2C"/>
    <w:rsid w:val="003C0761"/>
    <w:rsid w:val="003C0803"/>
    <w:rsid w:val="003C08A8"/>
    <w:rsid w:val="003C165A"/>
    <w:rsid w:val="003C19D8"/>
    <w:rsid w:val="003C1A41"/>
    <w:rsid w:val="003C2011"/>
    <w:rsid w:val="003C254F"/>
    <w:rsid w:val="003C2CA5"/>
    <w:rsid w:val="003C34A5"/>
    <w:rsid w:val="003C40B1"/>
    <w:rsid w:val="003C4841"/>
    <w:rsid w:val="003C65BF"/>
    <w:rsid w:val="003C7ED1"/>
    <w:rsid w:val="003D0BE5"/>
    <w:rsid w:val="003D171D"/>
    <w:rsid w:val="003D2EB5"/>
    <w:rsid w:val="003D3BBC"/>
    <w:rsid w:val="003D4285"/>
    <w:rsid w:val="003D45D9"/>
    <w:rsid w:val="003D4902"/>
    <w:rsid w:val="003D4E99"/>
    <w:rsid w:val="003D5105"/>
    <w:rsid w:val="003D5DE2"/>
    <w:rsid w:val="003D64B2"/>
    <w:rsid w:val="003D6A86"/>
    <w:rsid w:val="003D746C"/>
    <w:rsid w:val="003D74AE"/>
    <w:rsid w:val="003E0E6B"/>
    <w:rsid w:val="003E1E28"/>
    <w:rsid w:val="003E27B1"/>
    <w:rsid w:val="003E3401"/>
    <w:rsid w:val="003E401E"/>
    <w:rsid w:val="003E5957"/>
    <w:rsid w:val="003E5C8D"/>
    <w:rsid w:val="003E6273"/>
    <w:rsid w:val="003E6A17"/>
    <w:rsid w:val="003E6D93"/>
    <w:rsid w:val="003E721C"/>
    <w:rsid w:val="003E72B8"/>
    <w:rsid w:val="003E749E"/>
    <w:rsid w:val="003E781D"/>
    <w:rsid w:val="003F0BBA"/>
    <w:rsid w:val="003F23BC"/>
    <w:rsid w:val="003F5948"/>
    <w:rsid w:val="003F6A04"/>
    <w:rsid w:val="003F6B07"/>
    <w:rsid w:val="003F6F6A"/>
    <w:rsid w:val="00400D5F"/>
    <w:rsid w:val="00402F06"/>
    <w:rsid w:val="0040524D"/>
    <w:rsid w:val="004052D9"/>
    <w:rsid w:val="00405448"/>
    <w:rsid w:val="0040632C"/>
    <w:rsid w:val="004066F9"/>
    <w:rsid w:val="00414C95"/>
    <w:rsid w:val="0041652B"/>
    <w:rsid w:val="004224D7"/>
    <w:rsid w:val="00423526"/>
    <w:rsid w:val="00425A07"/>
    <w:rsid w:val="0042657C"/>
    <w:rsid w:val="00426BDF"/>
    <w:rsid w:val="00430875"/>
    <w:rsid w:val="004321CD"/>
    <w:rsid w:val="0044022D"/>
    <w:rsid w:val="00440563"/>
    <w:rsid w:val="004405A1"/>
    <w:rsid w:val="00441B01"/>
    <w:rsid w:val="0044434A"/>
    <w:rsid w:val="004467BC"/>
    <w:rsid w:val="00446EC7"/>
    <w:rsid w:val="004477C2"/>
    <w:rsid w:val="00450AE2"/>
    <w:rsid w:val="00450BAF"/>
    <w:rsid w:val="004517EB"/>
    <w:rsid w:val="004521B7"/>
    <w:rsid w:val="0045246B"/>
    <w:rsid w:val="00452624"/>
    <w:rsid w:val="00454B56"/>
    <w:rsid w:val="00456789"/>
    <w:rsid w:val="00456949"/>
    <w:rsid w:val="00460B68"/>
    <w:rsid w:val="00460C2B"/>
    <w:rsid w:val="0046100D"/>
    <w:rsid w:val="00462318"/>
    <w:rsid w:val="0046278E"/>
    <w:rsid w:val="00462CF7"/>
    <w:rsid w:val="004630BE"/>
    <w:rsid w:val="00464D4D"/>
    <w:rsid w:val="00464EDF"/>
    <w:rsid w:val="004651CF"/>
    <w:rsid w:val="00466BD7"/>
    <w:rsid w:val="0047011F"/>
    <w:rsid w:val="0047192E"/>
    <w:rsid w:val="00471A32"/>
    <w:rsid w:val="0047767E"/>
    <w:rsid w:val="00477A8D"/>
    <w:rsid w:val="00477B4F"/>
    <w:rsid w:val="00480AA8"/>
    <w:rsid w:val="004825FF"/>
    <w:rsid w:val="00483230"/>
    <w:rsid w:val="00483BE2"/>
    <w:rsid w:val="00484963"/>
    <w:rsid w:val="00485D81"/>
    <w:rsid w:val="00487115"/>
    <w:rsid w:val="004878F9"/>
    <w:rsid w:val="004911F5"/>
    <w:rsid w:val="0049321D"/>
    <w:rsid w:val="00493643"/>
    <w:rsid w:val="00493AB1"/>
    <w:rsid w:val="004945AC"/>
    <w:rsid w:val="004959FC"/>
    <w:rsid w:val="00495C9D"/>
    <w:rsid w:val="004968BF"/>
    <w:rsid w:val="0049705A"/>
    <w:rsid w:val="0049772F"/>
    <w:rsid w:val="00497849"/>
    <w:rsid w:val="00497BD2"/>
    <w:rsid w:val="00497DDD"/>
    <w:rsid w:val="004A0A78"/>
    <w:rsid w:val="004A1AA4"/>
    <w:rsid w:val="004A4E89"/>
    <w:rsid w:val="004A5245"/>
    <w:rsid w:val="004A6BA4"/>
    <w:rsid w:val="004B022C"/>
    <w:rsid w:val="004B0DFF"/>
    <w:rsid w:val="004B29EC"/>
    <w:rsid w:val="004B315B"/>
    <w:rsid w:val="004B4438"/>
    <w:rsid w:val="004B448E"/>
    <w:rsid w:val="004B5324"/>
    <w:rsid w:val="004C062C"/>
    <w:rsid w:val="004C0934"/>
    <w:rsid w:val="004C1113"/>
    <w:rsid w:val="004C5ABD"/>
    <w:rsid w:val="004C5DD0"/>
    <w:rsid w:val="004C62C7"/>
    <w:rsid w:val="004C64A3"/>
    <w:rsid w:val="004C7751"/>
    <w:rsid w:val="004C77AA"/>
    <w:rsid w:val="004D0038"/>
    <w:rsid w:val="004D04E2"/>
    <w:rsid w:val="004D052C"/>
    <w:rsid w:val="004D068C"/>
    <w:rsid w:val="004D0892"/>
    <w:rsid w:val="004D1ED4"/>
    <w:rsid w:val="004D1EE5"/>
    <w:rsid w:val="004D29DD"/>
    <w:rsid w:val="004D38E0"/>
    <w:rsid w:val="004D402B"/>
    <w:rsid w:val="004D49C2"/>
    <w:rsid w:val="004D54E1"/>
    <w:rsid w:val="004D5DD3"/>
    <w:rsid w:val="004D67B0"/>
    <w:rsid w:val="004D6B76"/>
    <w:rsid w:val="004D744F"/>
    <w:rsid w:val="004D7CBF"/>
    <w:rsid w:val="004E0703"/>
    <w:rsid w:val="004E0E66"/>
    <w:rsid w:val="004E0E70"/>
    <w:rsid w:val="004E1509"/>
    <w:rsid w:val="004E1C7C"/>
    <w:rsid w:val="004E20E5"/>
    <w:rsid w:val="004E25D8"/>
    <w:rsid w:val="004E3D42"/>
    <w:rsid w:val="004E75EC"/>
    <w:rsid w:val="004E7AE4"/>
    <w:rsid w:val="004E7EB1"/>
    <w:rsid w:val="004F0279"/>
    <w:rsid w:val="004F202E"/>
    <w:rsid w:val="004F2955"/>
    <w:rsid w:val="004F2B94"/>
    <w:rsid w:val="004F3C89"/>
    <w:rsid w:val="004F51E9"/>
    <w:rsid w:val="004F5F07"/>
    <w:rsid w:val="004F6C73"/>
    <w:rsid w:val="004F6F71"/>
    <w:rsid w:val="00500049"/>
    <w:rsid w:val="0050041F"/>
    <w:rsid w:val="005014D4"/>
    <w:rsid w:val="00501B86"/>
    <w:rsid w:val="00502A4D"/>
    <w:rsid w:val="0050303A"/>
    <w:rsid w:val="00503BCB"/>
    <w:rsid w:val="00504584"/>
    <w:rsid w:val="00505431"/>
    <w:rsid w:val="00506D31"/>
    <w:rsid w:val="005070D3"/>
    <w:rsid w:val="005073A0"/>
    <w:rsid w:val="00510EEF"/>
    <w:rsid w:val="00511B56"/>
    <w:rsid w:val="00512AAD"/>
    <w:rsid w:val="00512CE1"/>
    <w:rsid w:val="00514393"/>
    <w:rsid w:val="005145B7"/>
    <w:rsid w:val="005150B6"/>
    <w:rsid w:val="005157A5"/>
    <w:rsid w:val="005175C1"/>
    <w:rsid w:val="00517EFB"/>
    <w:rsid w:val="00520813"/>
    <w:rsid w:val="00520814"/>
    <w:rsid w:val="005213BB"/>
    <w:rsid w:val="005214B7"/>
    <w:rsid w:val="00521CEC"/>
    <w:rsid w:val="00523DCC"/>
    <w:rsid w:val="0052514D"/>
    <w:rsid w:val="00530D39"/>
    <w:rsid w:val="00530F67"/>
    <w:rsid w:val="005328D2"/>
    <w:rsid w:val="00535730"/>
    <w:rsid w:val="00535E2C"/>
    <w:rsid w:val="00535E34"/>
    <w:rsid w:val="005442BA"/>
    <w:rsid w:val="00544A89"/>
    <w:rsid w:val="005453A3"/>
    <w:rsid w:val="00546976"/>
    <w:rsid w:val="00550CF0"/>
    <w:rsid w:val="00551BE5"/>
    <w:rsid w:val="00555CBE"/>
    <w:rsid w:val="00555F68"/>
    <w:rsid w:val="00556853"/>
    <w:rsid w:val="00557AD0"/>
    <w:rsid w:val="00560D3F"/>
    <w:rsid w:val="00565314"/>
    <w:rsid w:val="00565D3B"/>
    <w:rsid w:val="00565DCB"/>
    <w:rsid w:val="00567FA0"/>
    <w:rsid w:val="005702C5"/>
    <w:rsid w:val="0057088C"/>
    <w:rsid w:val="00571DF8"/>
    <w:rsid w:val="00573217"/>
    <w:rsid w:val="00573464"/>
    <w:rsid w:val="005738F9"/>
    <w:rsid w:val="00573E70"/>
    <w:rsid w:val="0057473F"/>
    <w:rsid w:val="0057485A"/>
    <w:rsid w:val="00574B89"/>
    <w:rsid w:val="005754CD"/>
    <w:rsid w:val="00575A99"/>
    <w:rsid w:val="00577391"/>
    <w:rsid w:val="005802BC"/>
    <w:rsid w:val="005804C8"/>
    <w:rsid w:val="0058211F"/>
    <w:rsid w:val="00583431"/>
    <w:rsid w:val="0058368E"/>
    <w:rsid w:val="0058369D"/>
    <w:rsid w:val="0058426F"/>
    <w:rsid w:val="00586D36"/>
    <w:rsid w:val="00592D24"/>
    <w:rsid w:val="005939AF"/>
    <w:rsid w:val="005944AB"/>
    <w:rsid w:val="00596183"/>
    <w:rsid w:val="005961B0"/>
    <w:rsid w:val="00596B96"/>
    <w:rsid w:val="005A0A21"/>
    <w:rsid w:val="005A158E"/>
    <w:rsid w:val="005A2B6D"/>
    <w:rsid w:val="005A352B"/>
    <w:rsid w:val="005A46ED"/>
    <w:rsid w:val="005A49C9"/>
    <w:rsid w:val="005A5C94"/>
    <w:rsid w:val="005A62F2"/>
    <w:rsid w:val="005A62F6"/>
    <w:rsid w:val="005A6504"/>
    <w:rsid w:val="005B45E0"/>
    <w:rsid w:val="005B4DE4"/>
    <w:rsid w:val="005B613D"/>
    <w:rsid w:val="005B652A"/>
    <w:rsid w:val="005C18AE"/>
    <w:rsid w:val="005C1BFF"/>
    <w:rsid w:val="005C25A7"/>
    <w:rsid w:val="005C3782"/>
    <w:rsid w:val="005C3D6A"/>
    <w:rsid w:val="005C4645"/>
    <w:rsid w:val="005C46E8"/>
    <w:rsid w:val="005D104D"/>
    <w:rsid w:val="005D22D4"/>
    <w:rsid w:val="005D260A"/>
    <w:rsid w:val="005D2EC5"/>
    <w:rsid w:val="005D5446"/>
    <w:rsid w:val="005D6798"/>
    <w:rsid w:val="005D6EC8"/>
    <w:rsid w:val="005D71BA"/>
    <w:rsid w:val="005D76B7"/>
    <w:rsid w:val="005D7AFF"/>
    <w:rsid w:val="005E0D20"/>
    <w:rsid w:val="005E16A6"/>
    <w:rsid w:val="005E1C80"/>
    <w:rsid w:val="005E295E"/>
    <w:rsid w:val="005E39CA"/>
    <w:rsid w:val="005E418B"/>
    <w:rsid w:val="005E4431"/>
    <w:rsid w:val="005E45D1"/>
    <w:rsid w:val="005E568C"/>
    <w:rsid w:val="005E6D31"/>
    <w:rsid w:val="005F1135"/>
    <w:rsid w:val="005F257E"/>
    <w:rsid w:val="005F277F"/>
    <w:rsid w:val="005F3E5F"/>
    <w:rsid w:val="005F49D4"/>
    <w:rsid w:val="005F5FFD"/>
    <w:rsid w:val="005F6649"/>
    <w:rsid w:val="005F79D1"/>
    <w:rsid w:val="006002BA"/>
    <w:rsid w:val="006006CC"/>
    <w:rsid w:val="006011AA"/>
    <w:rsid w:val="00601CC8"/>
    <w:rsid w:val="00602580"/>
    <w:rsid w:val="00602D07"/>
    <w:rsid w:val="00605244"/>
    <w:rsid w:val="0060754E"/>
    <w:rsid w:val="00610B00"/>
    <w:rsid w:val="006123C8"/>
    <w:rsid w:val="00612575"/>
    <w:rsid w:val="00612D0F"/>
    <w:rsid w:val="00612E71"/>
    <w:rsid w:val="006134DD"/>
    <w:rsid w:val="00613CA0"/>
    <w:rsid w:val="00614B52"/>
    <w:rsid w:val="00615307"/>
    <w:rsid w:val="00615736"/>
    <w:rsid w:val="00615993"/>
    <w:rsid w:val="00617A07"/>
    <w:rsid w:val="00617FCE"/>
    <w:rsid w:val="00620F31"/>
    <w:rsid w:val="006225F4"/>
    <w:rsid w:val="00624069"/>
    <w:rsid w:val="006247AD"/>
    <w:rsid w:val="006249D6"/>
    <w:rsid w:val="00624DE0"/>
    <w:rsid w:val="00624E80"/>
    <w:rsid w:val="00625E23"/>
    <w:rsid w:val="0062741A"/>
    <w:rsid w:val="006274C6"/>
    <w:rsid w:val="0063113E"/>
    <w:rsid w:val="00633129"/>
    <w:rsid w:val="00634097"/>
    <w:rsid w:val="00635A65"/>
    <w:rsid w:val="0063634E"/>
    <w:rsid w:val="00637E6E"/>
    <w:rsid w:val="006417B5"/>
    <w:rsid w:val="00642F59"/>
    <w:rsid w:val="00643564"/>
    <w:rsid w:val="00643BD7"/>
    <w:rsid w:val="00645926"/>
    <w:rsid w:val="00645D73"/>
    <w:rsid w:val="00646697"/>
    <w:rsid w:val="00646B99"/>
    <w:rsid w:val="00647EFE"/>
    <w:rsid w:val="00651DA5"/>
    <w:rsid w:val="006534FF"/>
    <w:rsid w:val="00653CBE"/>
    <w:rsid w:val="00660AB3"/>
    <w:rsid w:val="006632B5"/>
    <w:rsid w:val="00663EBD"/>
    <w:rsid w:val="0066429B"/>
    <w:rsid w:val="00665774"/>
    <w:rsid w:val="00665F7F"/>
    <w:rsid w:val="00666FDF"/>
    <w:rsid w:val="006679D6"/>
    <w:rsid w:val="00667B8C"/>
    <w:rsid w:val="00670AEF"/>
    <w:rsid w:val="00670FB7"/>
    <w:rsid w:val="006720C4"/>
    <w:rsid w:val="00672556"/>
    <w:rsid w:val="00672CD6"/>
    <w:rsid w:val="006738DE"/>
    <w:rsid w:val="00673B7C"/>
    <w:rsid w:val="00675584"/>
    <w:rsid w:val="00675C8F"/>
    <w:rsid w:val="00676EB0"/>
    <w:rsid w:val="006771F4"/>
    <w:rsid w:val="0067758C"/>
    <w:rsid w:val="006811DE"/>
    <w:rsid w:val="006814C2"/>
    <w:rsid w:val="00681BDF"/>
    <w:rsid w:val="00682784"/>
    <w:rsid w:val="00684AA1"/>
    <w:rsid w:val="00685852"/>
    <w:rsid w:val="00687936"/>
    <w:rsid w:val="00690EE2"/>
    <w:rsid w:val="00691E65"/>
    <w:rsid w:val="00691F0E"/>
    <w:rsid w:val="00692CDE"/>
    <w:rsid w:val="006932C9"/>
    <w:rsid w:val="006943F7"/>
    <w:rsid w:val="0069481B"/>
    <w:rsid w:val="006969C6"/>
    <w:rsid w:val="006972DC"/>
    <w:rsid w:val="006A1B0D"/>
    <w:rsid w:val="006A3502"/>
    <w:rsid w:val="006A5A4F"/>
    <w:rsid w:val="006A69FA"/>
    <w:rsid w:val="006A70CA"/>
    <w:rsid w:val="006A7906"/>
    <w:rsid w:val="006B0C1B"/>
    <w:rsid w:val="006B22E3"/>
    <w:rsid w:val="006B27D6"/>
    <w:rsid w:val="006B4114"/>
    <w:rsid w:val="006B4350"/>
    <w:rsid w:val="006B43C5"/>
    <w:rsid w:val="006B4432"/>
    <w:rsid w:val="006B502F"/>
    <w:rsid w:val="006B6165"/>
    <w:rsid w:val="006B63F4"/>
    <w:rsid w:val="006B68E8"/>
    <w:rsid w:val="006C172B"/>
    <w:rsid w:val="006C181E"/>
    <w:rsid w:val="006C4AF9"/>
    <w:rsid w:val="006C51AA"/>
    <w:rsid w:val="006C589F"/>
    <w:rsid w:val="006C5DCC"/>
    <w:rsid w:val="006C78BA"/>
    <w:rsid w:val="006D0523"/>
    <w:rsid w:val="006D115B"/>
    <w:rsid w:val="006D25F6"/>
    <w:rsid w:val="006D3457"/>
    <w:rsid w:val="006D48CC"/>
    <w:rsid w:val="006D499F"/>
    <w:rsid w:val="006D57E7"/>
    <w:rsid w:val="006D5C2F"/>
    <w:rsid w:val="006E14CE"/>
    <w:rsid w:val="006E2A13"/>
    <w:rsid w:val="006E2E0F"/>
    <w:rsid w:val="006E2EC3"/>
    <w:rsid w:val="006E33C5"/>
    <w:rsid w:val="006E35EA"/>
    <w:rsid w:val="006E3ADB"/>
    <w:rsid w:val="006E45DE"/>
    <w:rsid w:val="006E4E44"/>
    <w:rsid w:val="006E5083"/>
    <w:rsid w:val="006E50B6"/>
    <w:rsid w:val="006E5141"/>
    <w:rsid w:val="006E5D51"/>
    <w:rsid w:val="006E6A7C"/>
    <w:rsid w:val="006E6ED6"/>
    <w:rsid w:val="006F0D8B"/>
    <w:rsid w:val="006F1034"/>
    <w:rsid w:val="006F114E"/>
    <w:rsid w:val="006F59C9"/>
    <w:rsid w:val="006F59D7"/>
    <w:rsid w:val="006F5F0D"/>
    <w:rsid w:val="006F7726"/>
    <w:rsid w:val="006F795F"/>
    <w:rsid w:val="006F7960"/>
    <w:rsid w:val="006F7AE0"/>
    <w:rsid w:val="0070040F"/>
    <w:rsid w:val="00700787"/>
    <w:rsid w:val="007013BE"/>
    <w:rsid w:val="00703C4B"/>
    <w:rsid w:val="007068FF"/>
    <w:rsid w:val="007072DE"/>
    <w:rsid w:val="007073D6"/>
    <w:rsid w:val="007077AE"/>
    <w:rsid w:val="00711CD7"/>
    <w:rsid w:val="00712568"/>
    <w:rsid w:val="007131D6"/>
    <w:rsid w:val="007160DE"/>
    <w:rsid w:val="00716699"/>
    <w:rsid w:val="00720AA0"/>
    <w:rsid w:val="00722A83"/>
    <w:rsid w:val="00722C97"/>
    <w:rsid w:val="00722ECA"/>
    <w:rsid w:val="00723CE8"/>
    <w:rsid w:val="007243A0"/>
    <w:rsid w:val="007255CC"/>
    <w:rsid w:val="00725911"/>
    <w:rsid w:val="00726A89"/>
    <w:rsid w:val="007320C8"/>
    <w:rsid w:val="00732CBE"/>
    <w:rsid w:val="00733792"/>
    <w:rsid w:val="0073445F"/>
    <w:rsid w:val="00734CE7"/>
    <w:rsid w:val="00741387"/>
    <w:rsid w:val="00741628"/>
    <w:rsid w:val="007444FF"/>
    <w:rsid w:val="00744B5B"/>
    <w:rsid w:val="00744C39"/>
    <w:rsid w:val="007453A9"/>
    <w:rsid w:val="00745A5F"/>
    <w:rsid w:val="0074627C"/>
    <w:rsid w:val="0074742B"/>
    <w:rsid w:val="0075137F"/>
    <w:rsid w:val="0075306A"/>
    <w:rsid w:val="0075332A"/>
    <w:rsid w:val="00754616"/>
    <w:rsid w:val="0075487E"/>
    <w:rsid w:val="007550C0"/>
    <w:rsid w:val="00756118"/>
    <w:rsid w:val="007571FB"/>
    <w:rsid w:val="00757333"/>
    <w:rsid w:val="00757817"/>
    <w:rsid w:val="007579BD"/>
    <w:rsid w:val="00760BAE"/>
    <w:rsid w:val="00763346"/>
    <w:rsid w:val="00765BE9"/>
    <w:rsid w:val="007702ED"/>
    <w:rsid w:val="00770955"/>
    <w:rsid w:val="00772A8B"/>
    <w:rsid w:val="00773149"/>
    <w:rsid w:val="007738BD"/>
    <w:rsid w:val="00774969"/>
    <w:rsid w:val="007750D6"/>
    <w:rsid w:val="00775C34"/>
    <w:rsid w:val="007767D8"/>
    <w:rsid w:val="00776AB3"/>
    <w:rsid w:val="00776BAA"/>
    <w:rsid w:val="00777A68"/>
    <w:rsid w:val="00780F6A"/>
    <w:rsid w:val="00780F8C"/>
    <w:rsid w:val="00781425"/>
    <w:rsid w:val="0078474F"/>
    <w:rsid w:val="007873E1"/>
    <w:rsid w:val="0078762E"/>
    <w:rsid w:val="00787852"/>
    <w:rsid w:val="00787D25"/>
    <w:rsid w:val="00787F70"/>
    <w:rsid w:val="0079032F"/>
    <w:rsid w:val="007917B8"/>
    <w:rsid w:val="0079375F"/>
    <w:rsid w:val="007942E0"/>
    <w:rsid w:val="0079454D"/>
    <w:rsid w:val="00795129"/>
    <w:rsid w:val="007A153A"/>
    <w:rsid w:val="007A45AA"/>
    <w:rsid w:val="007A5EBB"/>
    <w:rsid w:val="007A60D8"/>
    <w:rsid w:val="007A66A4"/>
    <w:rsid w:val="007A6890"/>
    <w:rsid w:val="007B11EA"/>
    <w:rsid w:val="007B1ADD"/>
    <w:rsid w:val="007B35A4"/>
    <w:rsid w:val="007B47D4"/>
    <w:rsid w:val="007B4821"/>
    <w:rsid w:val="007B57E8"/>
    <w:rsid w:val="007B5A34"/>
    <w:rsid w:val="007B5A50"/>
    <w:rsid w:val="007B6235"/>
    <w:rsid w:val="007B67B1"/>
    <w:rsid w:val="007B764E"/>
    <w:rsid w:val="007C1AF8"/>
    <w:rsid w:val="007C34F2"/>
    <w:rsid w:val="007C3A0E"/>
    <w:rsid w:val="007C3E0E"/>
    <w:rsid w:val="007C44B7"/>
    <w:rsid w:val="007D0D14"/>
    <w:rsid w:val="007D3AD3"/>
    <w:rsid w:val="007D3C6A"/>
    <w:rsid w:val="007D64B1"/>
    <w:rsid w:val="007D6606"/>
    <w:rsid w:val="007D6EE0"/>
    <w:rsid w:val="007D7125"/>
    <w:rsid w:val="007D78AF"/>
    <w:rsid w:val="007E0519"/>
    <w:rsid w:val="007E0E4F"/>
    <w:rsid w:val="007E2D0A"/>
    <w:rsid w:val="007E364E"/>
    <w:rsid w:val="007E58F8"/>
    <w:rsid w:val="007E5FC0"/>
    <w:rsid w:val="007F0238"/>
    <w:rsid w:val="007F055D"/>
    <w:rsid w:val="007F115A"/>
    <w:rsid w:val="007F1831"/>
    <w:rsid w:val="007F4550"/>
    <w:rsid w:val="007F5009"/>
    <w:rsid w:val="007F57C2"/>
    <w:rsid w:val="007F6A2A"/>
    <w:rsid w:val="007F7A2F"/>
    <w:rsid w:val="008001EF"/>
    <w:rsid w:val="00800988"/>
    <w:rsid w:val="00800B37"/>
    <w:rsid w:val="00801163"/>
    <w:rsid w:val="00801533"/>
    <w:rsid w:val="008017AF"/>
    <w:rsid w:val="00801A0B"/>
    <w:rsid w:val="008024CA"/>
    <w:rsid w:val="00802F89"/>
    <w:rsid w:val="008043C5"/>
    <w:rsid w:val="00804FB6"/>
    <w:rsid w:val="0080593B"/>
    <w:rsid w:val="008062B1"/>
    <w:rsid w:val="00812CC9"/>
    <w:rsid w:val="00813AFD"/>
    <w:rsid w:val="00814142"/>
    <w:rsid w:val="008149A1"/>
    <w:rsid w:val="008151B5"/>
    <w:rsid w:val="00815B47"/>
    <w:rsid w:val="00817C99"/>
    <w:rsid w:val="00820F2A"/>
    <w:rsid w:val="00821102"/>
    <w:rsid w:val="00821180"/>
    <w:rsid w:val="008224C1"/>
    <w:rsid w:val="00823FD6"/>
    <w:rsid w:val="008240C6"/>
    <w:rsid w:val="00825800"/>
    <w:rsid w:val="00827208"/>
    <w:rsid w:val="00827BB8"/>
    <w:rsid w:val="00830757"/>
    <w:rsid w:val="008309D0"/>
    <w:rsid w:val="00830E56"/>
    <w:rsid w:val="008325D3"/>
    <w:rsid w:val="0083270B"/>
    <w:rsid w:val="008328BE"/>
    <w:rsid w:val="00832CB7"/>
    <w:rsid w:val="00832EFA"/>
    <w:rsid w:val="008341B7"/>
    <w:rsid w:val="00836608"/>
    <w:rsid w:val="00836BEB"/>
    <w:rsid w:val="00840009"/>
    <w:rsid w:val="008406CA"/>
    <w:rsid w:val="00840EE7"/>
    <w:rsid w:val="00841CC1"/>
    <w:rsid w:val="00842318"/>
    <w:rsid w:val="00842F6B"/>
    <w:rsid w:val="00843DA5"/>
    <w:rsid w:val="00844388"/>
    <w:rsid w:val="00844DAB"/>
    <w:rsid w:val="00845E0C"/>
    <w:rsid w:val="00846DD6"/>
    <w:rsid w:val="00847FA4"/>
    <w:rsid w:val="00850F05"/>
    <w:rsid w:val="00850FCD"/>
    <w:rsid w:val="00851138"/>
    <w:rsid w:val="008512D3"/>
    <w:rsid w:val="008513A3"/>
    <w:rsid w:val="0085190A"/>
    <w:rsid w:val="00852477"/>
    <w:rsid w:val="00852B16"/>
    <w:rsid w:val="00855D4E"/>
    <w:rsid w:val="00855F1F"/>
    <w:rsid w:val="008613FA"/>
    <w:rsid w:val="00861E55"/>
    <w:rsid w:val="00861F68"/>
    <w:rsid w:val="00862939"/>
    <w:rsid w:val="0086340B"/>
    <w:rsid w:val="00863A8E"/>
    <w:rsid w:val="00863FDD"/>
    <w:rsid w:val="00865626"/>
    <w:rsid w:val="00865901"/>
    <w:rsid w:val="008661A5"/>
    <w:rsid w:val="00866F35"/>
    <w:rsid w:val="00870571"/>
    <w:rsid w:val="008706DB"/>
    <w:rsid w:val="00870C08"/>
    <w:rsid w:val="00870C35"/>
    <w:rsid w:val="0087203F"/>
    <w:rsid w:val="00873CB3"/>
    <w:rsid w:val="008801FB"/>
    <w:rsid w:val="0088072C"/>
    <w:rsid w:val="008832CC"/>
    <w:rsid w:val="00883D13"/>
    <w:rsid w:val="008848C2"/>
    <w:rsid w:val="00884D53"/>
    <w:rsid w:val="00886768"/>
    <w:rsid w:val="00887F46"/>
    <w:rsid w:val="008905BA"/>
    <w:rsid w:val="0089133A"/>
    <w:rsid w:val="008933C0"/>
    <w:rsid w:val="00893C74"/>
    <w:rsid w:val="00893F7E"/>
    <w:rsid w:val="00895EE4"/>
    <w:rsid w:val="00897035"/>
    <w:rsid w:val="00897621"/>
    <w:rsid w:val="008A1194"/>
    <w:rsid w:val="008A1CF1"/>
    <w:rsid w:val="008A297C"/>
    <w:rsid w:val="008A2B03"/>
    <w:rsid w:val="008A3D4A"/>
    <w:rsid w:val="008A55AD"/>
    <w:rsid w:val="008A64A5"/>
    <w:rsid w:val="008A658E"/>
    <w:rsid w:val="008B03D1"/>
    <w:rsid w:val="008B07F8"/>
    <w:rsid w:val="008B1914"/>
    <w:rsid w:val="008B1DA1"/>
    <w:rsid w:val="008B2CE2"/>
    <w:rsid w:val="008B31C8"/>
    <w:rsid w:val="008B3295"/>
    <w:rsid w:val="008B3A51"/>
    <w:rsid w:val="008B4143"/>
    <w:rsid w:val="008B44E2"/>
    <w:rsid w:val="008B4DAE"/>
    <w:rsid w:val="008B606B"/>
    <w:rsid w:val="008B63BA"/>
    <w:rsid w:val="008B6F26"/>
    <w:rsid w:val="008B71DD"/>
    <w:rsid w:val="008B7600"/>
    <w:rsid w:val="008C0BED"/>
    <w:rsid w:val="008C1370"/>
    <w:rsid w:val="008C34C1"/>
    <w:rsid w:val="008C38A0"/>
    <w:rsid w:val="008C428C"/>
    <w:rsid w:val="008C495D"/>
    <w:rsid w:val="008C4D22"/>
    <w:rsid w:val="008C61FA"/>
    <w:rsid w:val="008C6623"/>
    <w:rsid w:val="008C7FDF"/>
    <w:rsid w:val="008D0652"/>
    <w:rsid w:val="008D08CE"/>
    <w:rsid w:val="008D0A01"/>
    <w:rsid w:val="008D22CC"/>
    <w:rsid w:val="008D34FB"/>
    <w:rsid w:val="008D40F4"/>
    <w:rsid w:val="008D58F4"/>
    <w:rsid w:val="008D5F1F"/>
    <w:rsid w:val="008D60C9"/>
    <w:rsid w:val="008D6261"/>
    <w:rsid w:val="008D7BE0"/>
    <w:rsid w:val="008D7F08"/>
    <w:rsid w:val="008E00A1"/>
    <w:rsid w:val="008E0F7D"/>
    <w:rsid w:val="008E13F7"/>
    <w:rsid w:val="008E29E4"/>
    <w:rsid w:val="008E3869"/>
    <w:rsid w:val="008E3E62"/>
    <w:rsid w:val="008E4027"/>
    <w:rsid w:val="008E45B0"/>
    <w:rsid w:val="008E4A94"/>
    <w:rsid w:val="008E5922"/>
    <w:rsid w:val="008E5F3D"/>
    <w:rsid w:val="008E6084"/>
    <w:rsid w:val="008E63E8"/>
    <w:rsid w:val="008E6528"/>
    <w:rsid w:val="008E664F"/>
    <w:rsid w:val="008F2DBC"/>
    <w:rsid w:val="008F3F41"/>
    <w:rsid w:val="008F544C"/>
    <w:rsid w:val="008F72AA"/>
    <w:rsid w:val="009004B6"/>
    <w:rsid w:val="00900ADF"/>
    <w:rsid w:val="00900B2F"/>
    <w:rsid w:val="00905474"/>
    <w:rsid w:val="009054AE"/>
    <w:rsid w:val="00905572"/>
    <w:rsid w:val="00905EB6"/>
    <w:rsid w:val="0090654E"/>
    <w:rsid w:val="00907A61"/>
    <w:rsid w:val="00907BAA"/>
    <w:rsid w:val="00907C00"/>
    <w:rsid w:val="009102CC"/>
    <w:rsid w:val="00912097"/>
    <w:rsid w:val="0091245B"/>
    <w:rsid w:val="00912F42"/>
    <w:rsid w:val="00913E22"/>
    <w:rsid w:val="009143BE"/>
    <w:rsid w:val="009153DD"/>
    <w:rsid w:val="00915584"/>
    <w:rsid w:val="009160F4"/>
    <w:rsid w:val="00916433"/>
    <w:rsid w:val="00917E8C"/>
    <w:rsid w:val="00921A99"/>
    <w:rsid w:val="00921C54"/>
    <w:rsid w:val="009221C5"/>
    <w:rsid w:val="009225F0"/>
    <w:rsid w:val="009229E6"/>
    <w:rsid w:val="0092693E"/>
    <w:rsid w:val="0092702F"/>
    <w:rsid w:val="0092733E"/>
    <w:rsid w:val="00930963"/>
    <w:rsid w:val="00930A7C"/>
    <w:rsid w:val="00933CB3"/>
    <w:rsid w:val="00935B75"/>
    <w:rsid w:val="00936939"/>
    <w:rsid w:val="009378BF"/>
    <w:rsid w:val="009411D2"/>
    <w:rsid w:val="00944E59"/>
    <w:rsid w:val="009465F3"/>
    <w:rsid w:val="00947577"/>
    <w:rsid w:val="00947A91"/>
    <w:rsid w:val="00947B0A"/>
    <w:rsid w:val="00947E2A"/>
    <w:rsid w:val="00951A19"/>
    <w:rsid w:val="009522EB"/>
    <w:rsid w:val="00954D8E"/>
    <w:rsid w:val="009554DC"/>
    <w:rsid w:val="00955EF0"/>
    <w:rsid w:val="009565C7"/>
    <w:rsid w:val="00956827"/>
    <w:rsid w:val="00957328"/>
    <w:rsid w:val="009604EC"/>
    <w:rsid w:val="009628BF"/>
    <w:rsid w:val="0096365F"/>
    <w:rsid w:val="009641FB"/>
    <w:rsid w:val="00965CE7"/>
    <w:rsid w:val="009665EC"/>
    <w:rsid w:val="00966846"/>
    <w:rsid w:val="009718B1"/>
    <w:rsid w:val="00971B36"/>
    <w:rsid w:val="00971CC4"/>
    <w:rsid w:val="00972A9F"/>
    <w:rsid w:val="00975EE9"/>
    <w:rsid w:val="0098068A"/>
    <w:rsid w:val="00980B6E"/>
    <w:rsid w:val="00983361"/>
    <w:rsid w:val="00983C51"/>
    <w:rsid w:val="00983CBE"/>
    <w:rsid w:val="00983E3D"/>
    <w:rsid w:val="009857EB"/>
    <w:rsid w:val="00985870"/>
    <w:rsid w:val="00985BAB"/>
    <w:rsid w:val="00986AF4"/>
    <w:rsid w:val="00994A80"/>
    <w:rsid w:val="00995D8E"/>
    <w:rsid w:val="00996552"/>
    <w:rsid w:val="00997D1D"/>
    <w:rsid w:val="009A09DB"/>
    <w:rsid w:val="009A0E6E"/>
    <w:rsid w:val="009A12D8"/>
    <w:rsid w:val="009A61D5"/>
    <w:rsid w:val="009A6C3C"/>
    <w:rsid w:val="009A6ED7"/>
    <w:rsid w:val="009B044B"/>
    <w:rsid w:val="009B07BF"/>
    <w:rsid w:val="009B0DA1"/>
    <w:rsid w:val="009B10E4"/>
    <w:rsid w:val="009B264D"/>
    <w:rsid w:val="009B29D0"/>
    <w:rsid w:val="009B3419"/>
    <w:rsid w:val="009B3D9F"/>
    <w:rsid w:val="009B4DDC"/>
    <w:rsid w:val="009B57FB"/>
    <w:rsid w:val="009B60B3"/>
    <w:rsid w:val="009B65A3"/>
    <w:rsid w:val="009C0CFC"/>
    <w:rsid w:val="009C1467"/>
    <w:rsid w:val="009C2B24"/>
    <w:rsid w:val="009C3AC4"/>
    <w:rsid w:val="009C6805"/>
    <w:rsid w:val="009C7AEC"/>
    <w:rsid w:val="009C7FF9"/>
    <w:rsid w:val="009D055E"/>
    <w:rsid w:val="009D2D72"/>
    <w:rsid w:val="009D366C"/>
    <w:rsid w:val="009D3A3A"/>
    <w:rsid w:val="009D3B5D"/>
    <w:rsid w:val="009D3DEB"/>
    <w:rsid w:val="009D57DE"/>
    <w:rsid w:val="009D57E7"/>
    <w:rsid w:val="009D68A1"/>
    <w:rsid w:val="009D7BB5"/>
    <w:rsid w:val="009E09CC"/>
    <w:rsid w:val="009E0F77"/>
    <w:rsid w:val="009E24C2"/>
    <w:rsid w:val="009E4DBE"/>
    <w:rsid w:val="009E6497"/>
    <w:rsid w:val="009E678F"/>
    <w:rsid w:val="009E6A3B"/>
    <w:rsid w:val="009E6D25"/>
    <w:rsid w:val="009E72DA"/>
    <w:rsid w:val="009E7B3A"/>
    <w:rsid w:val="009E7E4D"/>
    <w:rsid w:val="009F1A29"/>
    <w:rsid w:val="009F2E33"/>
    <w:rsid w:val="009F7E62"/>
    <w:rsid w:val="00A014AD"/>
    <w:rsid w:val="00A01D23"/>
    <w:rsid w:val="00A02758"/>
    <w:rsid w:val="00A04386"/>
    <w:rsid w:val="00A04C03"/>
    <w:rsid w:val="00A05744"/>
    <w:rsid w:val="00A0703A"/>
    <w:rsid w:val="00A10A9D"/>
    <w:rsid w:val="00A10C72"/>
    <w:rsid w:val="00A1393A"/>
    <w:rsid w:val="00A13F28"/>
    <w:rsid w:val="00A14C40"/>
    <w:rsid w:val="00A14E69"/>
    <w:rsid w:val="00A14EA4"/>
    <w:rsid w:val="00A17C43"/>
    <w:rsid w:val="00A20544"/>
    <w:rsid w:val="00A22AD6"/>
    <w:rsid w:val="00A23444"/>
    <w:rsid w:val="00A23C3F"/>
    <w:rsid w:val="00A245AA"/>
    <w:rsid w:val="00A25458"/>
    <w:rsid w:val="00A2615F"/>
    <w:rsid w:val="00A264AF"/>
    <w:rsid w:val="00A26DB4"/>
    <w:rsid w:val="00A26DDF"/>
    <w:rsid w:val="00A271A9"/>
    <w:rsid w:val="00A313AC"/>
    <w:rsid w:val="00A314B6"/>
    <w:rsid w:val="00A318C2"/>
    <w:rsid w:val="00A333E1"/>
    <w:rsid w:val="00A33EA3"/>
    <w:rsid w:val="00A34D91"/>
    <w:rsid w:val="00A3554A"/>
    <w:rsid w:val="00A35F0D"/>
    <w:rsid w:val="00A3692B"/>
    <w:rsid w:val="00A36BC3"/>
    <w:rsid w:val="00A36BDA"/>
    <w:rsid w:val="00A376FB"/>
    <w:rsid w:val="00A40EB0"/>
    <w:rsid w:val="00A422A4"/>
    <w:rsid w:val="00A42C0C"/>
    <w:rsid w:val="00A439BE"/>
    <w:rsid w:val="00A44652"/>
    <w:rsid w:val="00A4575B"/>
    <w:rsid w:val="00A471C1"/>
    <w:rsid w:val="00A47FB4"/>
    <w:rsid w:val="00A503AE"/>
    <w:rsid w:val="00A5337D"/>
    <w:rsid w:val="00A53833"/>
    <w:rsid w:val="00A55215"/>
    <w:rsid w:val="00A57B4F"/>
    <w:rsid w:val="00A57E26"/>
    <w:rsid w:val="00A6078F"/>
    <w:rsid w:val="00A60CF1"/>
    <w:rsid w:val="00A617E3"/>
    <w:rsid w:val="00A61839"/>
    <w:rsid w:val="00A6191C"/>
    <w:rsid w:val="00A61D1B"/>
    <w:rsid w:val="00A62975"/>
    <w:rsid w:val="00A62AF2"/>
    <w:rsid w:val="00A64B9B"/>
    <w:rsid w:val="00A660AE"/>
    <w:rsid w:val="00A67D2B"/>
    <w:rsid w:val="00A70696"/>
    <w:rsid w:val="00A70F38"/>
    <w:rsid w:val="00A729F6"/>
    <w:rsid w:val="00A75447"/>
    <w:rsid w:val="00A759EA"/>
    <w:rsid w:val="00A77128"/>
    <w:rsid w:val="00A779A1"/>
    <w:rsid w:val="00A77B71"/>
    <w:rsid w:val="00A81956"/>
    <w:rsid w:val="00A82E6E"/>
    <w:rsid w:val="00A85F25"/>
    <w:rsid w:val="00A86D17"/>
    <w:rsid w:val="00A86DE4"/>
    <w:rsid w:val="00A87531"/>
    <w:rsid w:val="00A877CE"/>
    <w:rsid w:val="00A90142"/>
    <w:rsid w:val="00A9034F"/>
    <w:rsid w:val="00A9075D"/>
    <w:rsid w:val="00A94368"/>
    <w:rsid w:val="00A9634E"/>
    <w:rsid w:val="00A97855"/>
    <w:rsid w:val="00AA4098"/>
    <w:rsid w:val="00AA4FF6"/>
    <w:rsid w:val="00AA579B"/>
    <w:rsid w:val="00AA6467"/>
    <w:rsid w:val="00AB20B6"/>
    <w:rsid w:val="00AB24C9"/>
    <w:rsid w:val="00AB436C"/>
    <w:rsid w:val="00AB5FEA"/>
    <w:rsid w:val="00AB6087"/>
    <w:rsid w:val="00AB6B81"/>
    <w:rsid w:val="00AB7468"/>
    <w:rsid w:val="00AB74AB"/>
    <w:rsid w:val="00AC024D"/>
    <w:rsid w:val="00AC3466"/>
    <w:rsid w:val="00AC352A"/>
    <w:rsid w:val="00AC3687"/>
    <w:rsid w:val="00AC3CD5"/>
    <w:rsid w:val="00AC429C"/>
    <w:rsid w:val="00AC4836"/>
    <w:rsid w:val="00AC5ECC"/>
    <w:rsid w:val="00AC6C6A"/>
    <w:rsid w:val="00AC758E"/>
    <w:rsid w:val="00AD0214"/>
    <w:rsid w:val="00AD03CB"/>
    <w:rsid w:val="00AD04AB"/>
    <w:rsid w:val="00AD072A"/>
    <w:rsid w:val="00AD20FE"/>
    <w:rsid w:val="00AD596C"/>
    <w:rsid w:val="00AD5EC6"/>
    <w:rsid w:val="00AD6DBD"/>
    <w:rsid w:val="00AD70AB"/>
    <w:rsid w:val="00AE02D4"/>
    <w:rsid w:val="00AE085F"/>
    <w:rsid w:val="00AE2266"/>
    <w:rsid w:val="00AE2506"/>
    <w:rsid w:val="00AE2D33"/>
    <w:rsid w:val="00AE3D59"/>
    <w:rsid w:val="00AE6F10"/>
    <w:rsid w:val="00AE7245"/>
    <w:rsid w:val="00AF0FC1"/>
    <w:rsid w:val="00AF1794"/>
    <w:rsid w:val="00AF1EA9"/>
    <w:rsid w:val="00AF1FE2"/>
    <w:rsid w:val="00AF3C42"/>
    <w:rsid w:val="00AF3CF8"/>
    <w:rsid w:val="00AF581E"/>
    <w:rsid w:val="00AF752B"/>
    <w:rsid w:val="00AF7C34"/>
    <w:rsid w:val="00B013C6"/>
    <w:rsid w:val="00B0332E"/>
    <w:rsid w:val="00B048E4"/>
    <w:rsid w:val="00B05056"/>
    <w:rsid w:val="00B05DD5"/>
    <w:rsid w:val="00B07C08"/>
    <w:rsid w:val="00B1042E"/>
    <w:rsid w:val="00B115DC"/>
    <w:rsid w:val="00B11E49"/>
    <w:rsid w:val="00B13940"/>
    <w:rsid w:val="00B15AC4"/>
    <w:rsid w:val="00B15B11"/>
    <w:rsid w:val="00B16473"/>
    <w:rsid w:val="00B17627"/>
    <w:rsid w:val="00B17B15"/>
    <w:rsid w:val="00B208DF"/>
    <w:rsid w:val="00B2451A"/>
    <w:rsid w:val="00B249A4"/>
    <w:rsid w:val="00B25446"/>
    <w:rsid w:val="00B2723D"/>
    <w:rsid w:val="00B276AE"/>
    <w:rsid w:val="00B31761"/>
    <w:rsid w:val="00B31C6F"/>
    <w:rsid w:val="00B31D88"/>
    <w:rsid w:val="00B31E6A"/>
    <w:rsid w:val="00B34BA7"/>
    <w:rsid w:val="00B352D6"/>
    <w:rsid w:val="00B357DF"/>
    <w:rsid w:val="00B3595E"/>
    <w:rsid w:val="00B35FF4"/>
    <w:rsid w:val="00B37390"/>
    <w:rsid w:val="00B37A1B"/>
    <w:rsid w:val="00B4189C"/>
    <w:rsid w:val="00B4313F"/>
    <w:rsid w:val="00B437D9"/>
    <w:rsid w:val="00B438ED"/>
    <w:rsid w:val="00B44A1C"/>
    <w:rsid w:val="00B44AF9"/>
    <w:rsid w:val="00B44F34"/>
    <w:rsid w:val="00B46403"/>
    <w:rsid w:val="00B46F77"/>
    <w:rsid w:val="00B47D69"/>
    <w:rsid w:val="00B5054B"/>
    <w:rsid w:val="00B51418"/>
    <w:rsid w:val="00B51E37"/>
    <w:rsid w:val="00B53D10"/>
    <w:rsid w:val="00B54318"/>
    <w:rsid w:val="00B54319"/>
    <w:rsid w:val="00B545D1"/>
    <w:rsid w:val="00B55C42"/>
    <w:rsid w:val="00B56110"/>
    <w:rsid w:val="00B57BC3"/>
    <w:rsid w:val="00B57C4A"/>
    <w:rsid w:val="00B60A99"/>
    <w:rsid w:val="00B61F81"/>
    <w:rsid w:val="00B63591"/>
    <w:rsid w:val="00B639FF"/>
    <w:rsid w:val="00B641EB"/>
    <w:rsid w:val="00B663D7"/>
    <w:rsid w:val="00B67E61"/>
    <w:rsid w:val="00B714C2"/>
    <w:rsid w:val="00B71CA4"/>
    <w:rsid w:val="00B727C5"/>
    <w:rsid w:val="00B729D9"/>
    <w:rsid w:val="00B7494F"/>
    <w:rsid w:val="00B75FB5"/>
    <w:rsid w:val="00B76791"/>
    <w:rsid w:val="00B804AD"/>
    <w:rsid w:val="00B83755"/>
    <w:rsid w:val="00B83E75"/>
    <w:rsid w:val="00B84AD5"/>
    <w:rsid w:val="00B859BC"/>
    <w:rsid w:val="00B86395"/>
    <w:rsid w:val="00B9126B"/>
    <w:rsid w:val="00B9363B"/>
    <w:rsid w:val="00B93B49"/>
    <w:rsid w:val="00B9608F"/>
    <w:rsid w:val="00B97840"/>
    <w:rsid w:val="00B97D39"/>
    <w:rsid w:val="00BA0B50"/>
    <w:rsid w:val="00BA11A6"/>
    <w:rsid w:val="00BA3A8C"/>
    <w:rsid w:val="00BA577E"/>
    <w:rsid w:val="00BA6757"/>
    <w:rsid w:val="00BA6E33"/>
    <w:rsid w:val="00BA7A90"/>
    <w:rsid w:val="00BB0F8B"/>
    <w:rsid w:val="00BB23EE"/>
    <w:rsid w:val="00BB369C"/>
    <w:rsid w:val="00BB4384"/>
    <w:rsid w:val="00BB4536"/>
    <w:rsid w:val="00BB5022"/>
    <w:rsid w:val="00BB5C8C"/>
    <w:rsid w:val="00BB7E1B"/>
    <w:rsid w:val="00BC0496"/>
    <w:rsid w:val="00BC2A00"/>
    <w:rsid w:val="00BC5740"/>
    <w:rsid w:val="00BC71BE"/>
    <w:rsid w:val="00BC73A2"/>
    <w:rsid w:val="00BC74A0"/>
    <w:rsid w:val="00BC770C"/>
    <w:rsid w:val="00BC7841"/>
    <w:rsid w:val="00BD0EFD"/>
    <w:rsid w:val="00BD0F72"/>
    <w:rsid w:val="00BD21B7"/>
    <w:rsid w:val="00BD3062"/>
    <w:rsid w:val="00BD3A0E"/>
    <w:rsid w:val="00BD4CA6"/>
    <w:rsid w:val="00BD5556"/>
    <w:rsid w:val="00BD590E"/>
    <w:rsid w:val="00BD5C0B"/>
    <w:rsid w:val="00BD5EBA"/>
    <w:rsid w:val="00BD6730"/>
    <w:rsid w:val="00BE16ED"/>
    <w:rsid w:val="00BE26AF"/>
    <w:rsid w:val="00BE2A6A"/>
    <w:rsid w:val="00BE2BA9"/>
    <w:rsid w:val="00BE337A"/>
    <w:rsid w:val="00BE393E"/>
    <w:rsid w:val="00BE3AB2"/>
    <w:rsid w:val="00BE418B"/>
    <w:rsid w:val="00BE4B6C"/>
    <w:rsid w:val="00BE5A26"/>
    <w:rsid w:val="00BE5E2F"/>
    <w:rsid w:val="00BF1CBE"/>
    <w:rsid w:val="00BF25CE"/>
    <w:rsid w:val="00BF2864"/>
    <w:rsid w:val="00BF3004"/>
    <w:rsid w:val="00BF314C"/>
    <w:rsid w:val="00BF4755"/>
    <w:rsid w:val="00BF4C67"/>
    <w:rsid w:val="00BF551D"/>
    <w:rsid w:val="00BF758F"/>
    <w:rsid w:val="00C00A14"/>
    <w:rsid w:val="00C00C71"/>
    <w:rsid w:val="00C010A8"/>
    <w:rsid w:val="00C04BB2"/>
    <w:rsid w:val="00C04ED4"/>
    <w:rsid w:val="00C05013"/>
    <w:rsid w:val="00C10F05"/>
    <w:rsid w:val="00C116E3"/>
    <w:rsid w:val="00C129D0"/>
    <w:rsid w:val="00C13188"/>
    <w:rsid w:val="00C13AFB"/>
    <w:rsid w:val="00C13CA7"/>
    <w:rsid w:val="00C13E5D"/>
    <w:rsid w:val="00C14B63"/>
    <w:rsid w:val="00C1542D"/>
    <w:rsid w:val="00C161E2"/>
    <w:rsid w:val="00C1715B"/>
    <w:rsid w:val="00C208EE"/>
    <w:rsid w:val="00C20EBA"/>
    <w:rsid w:val="00C22420"/>
    <w:rsid w:val="00C22D11"/>
    <w:rsid w:val="00C23857"/>
    <w:rsid w:val="00C23F42"/>
    <w:rsid w:val="00C25861"/>
    <w:rsid w:val="00C26031"/>
    <w:rsid w:val="00C261BD"/>
    <w:rsid w:val="00C27C06"/>
    <w:rsid w:val="00C3026C"/>
    <w:rsid w:val="00C31A50"/>
    <w:rsid w:val="00C328D1"/>
    <w:rsid w:val="00C35F89"/>
    <w:rsid w:val="00C373F8"/>
    <w:rsid w:val="00C37CFE"/>
    <w:rsid w:val="00C40128"/>
    <w:rsid w:val="00C40285"/>
    <w:rsid w:val="00C4145C"/>
    <w:rsid w:val="00C4280A"/>
    <w:rsid w:val="00C4309A"/>
    <w:rsid w:val="00C438C8"/>
    <w:rsid w:val="00C44582"/>
    <w:rsid w:val="00C449E6"/>
    <w:rsid w:val="00C459B7"/>
    <w:rsid w:val="00C46925"/>
    <w:rsid w:val="00C46AE6"/>
    <w:rsid w:val="00C50092"/>
    <w:rsid w:val="00C52E31"/>
    <w:rsid w:val="00C534D6"/>
    <w:rsid w:val="00C545A0"/>
    <w:rsid w:val="00C556A8"/>
    <w:rsid w:val="00C55F71"/>
    <w:rsid w:val="00C563FE"/>
    <w:rsid w:val="00C56F0D"/>
    <w:rsid w:val="00C5749E"/>
    <w:rsid w:val="00C57A5F"/>
    <w:rsid w:val="00C60010"/>
    <w:rsid w:val="00C620C5"/>
    <w:rsid w:val="00C6225B"/>
    <w:rsid w:val="00C63FD4"/>
    <w:rsid w:val="00C72077"/>
    <w:rsid w:val="00C726C3"/>
    <w:rsid w:val="00C73FF8"/>
    <w:rsid w:val="00C74504"/>
    <w:rsid w:val="00C7673A"/>
    <w:rsid w:val="00C77D74"/>
    <w:rsid w:val="00C805C9"/>
    <w:rsid w:val="00C809E8"/>
    <w:rsid w:val="00C81671"/>
    <w:rsid w:val="00C817A3"/>
    <w:rsid w:val="00C81DFF"/>
    <w:rsid w:val="00C82709"/>
    <w:rsid w:val="00C83AD0"/>
    <w:rsid w:val="00C85B13"/>
    <w:rsid w:val="00C86A47"/>
    <w:rsid w:val="00C872B3"/>
    <w:rsid w:val="00C87DDE"/>
    <w:rsid w:val="00C87FBD"/>
    <w:rsid w:val="00C909B7"/>
    <w:rsid w:val="00C933BC"/>
    <w:rsid w:val="00C93D16"/>
    <w:rsid w:val="00C945EE"/>
    <w:rsid w:val="00C9472D"/>
    <w:rsid w:val="00C947C3"/>
    <w:rsid w:val="00C9604F"/>
    <w:rsid w:val="00C97576"/>
    <w:rsid w:val="00CA0D25"/>
    <w:rsid w:val="00CA2006"/>
    <w:rsid w:val="00CA567E"/>
    <w:rsid w:val="00CA5C20"/>
    <w:rsid w:val="00CA6EAB"/>
    <w:rsid w:val="00CA7DB1"/>
    <w:rsid w:val="00CB073C"/>
    <w:rsid w:val="00CB1EBA"/>
    <w:rsid w:val="00CB2473"/>
    <w:rsid w:val="00CB2570"/>
    <w:rsid w:val="00CB32DA"/>
    <w:rsid w:val="00CB33D5"/>
    <w:rsid w:val="00CB3EC8"/>
    <w:rsid w:val="00CB416F"/>
    <w:rsid w:val="00CB60E6"/>
    <w:rsid w:val="00CB7436"/>
    <w:rsid w:val="00CC07D0"/>
    <w:rsid w:val="00CC1E2D"/>
    <w:rsid w:val="00CC203D"/>
    <w:rsid w:val="00CC2304"/>
    <w:rsid w:val="00CC2C81"/>
    <w:rsid w:val="00CC336B"/>
    <w:rsid w:val="00CC4898"/>
    <w:rsid w:val="00CC7159"/>
    <w:rsid w:val="00CD20EE"/>
    <w:rsid w:val="00CD23FA"/>
    <w:rsid w:val="00CD2AFE"/>
    <w:rsid w:val="00CD3987"/>
    <w:rsid w:val="00CD3DD4"/>
    <w:rsid w:val="00CD4395"/>
    <w:rsid w:val="00CD4CA7"/>
    <w:rsid w:val="00CD7B09"/>
    <w:rsid w:val="00CE1FF3"/>
    <w:rsid w:val="00CE29F1"/>
    <w:rsid w:val="00CE5B0B"/>
    <w:rsid w:val="00CE66E3"/>
    <w:rsid w:val="00CE6F81"/>
    <w:rsid w:val="00CE7925"/>
    <w:rsid w:val="00CE7A5A"/>
    <w:rsid w:val="00CF00A4"/>
    <w:rsid w:val="00CF0300"/>
    <w:rsid w:val="00CF0675"/>
    <w:rsid w:val="00CF17B5"/>
    <w:rsid w:val="00CF2179"/>
    <w:rsid w:val="00CF4B57"/>
    <w:rsid w:val="00CF4F0D"/>
    <w:rsid w:val="00D0152B"/>
    <w:rsid w:val="00D023B3"/>
    <w:rsid w:val="00D023D7"/>
    <w:rsid w:val="00D024E2"/>
    <w:rsid w:val="00D024FB"/>
    <w:rsid w:val="00D03399"/>
    <w:rsid w:val="00D03C34"/>
    <w:rsid w:val="00D03E04"/>
    <w:rsid w:val="00D04DBE"/>
    <w:rsid w:val="00D05047"/>
    <w:rsid w:val="00D0642A"/>
    <w:rsid w:val="00D06845"/>
    <w:rsid w:val="00D06FE4"/>
    <w:rsid w:val="00D07730"/>
    <w:rsid w:val="00D10A4B"/>
    <w:rsid w:val="00D10DBB"/>
    <w:rsid w:val="00D12645"/>
    <w:rsid w:val="00D1316C"/>
    <w:rsid w:val="00D142B1"/>
    <w:rsid w:val="00D15B44"/>
    <w:rsid w:val="00D2018C"/>
    <w:rsid w:val="00D20A89"/>
    <w:rsid w:val="00D22561"/>
    <w:rsid w:val="00D226FC"/>
    <w:rsid w:val="00D25094"/>
    <w:rsid w:val="00D25910"/>
    <w:rsid w:val="00D25B7A"/>
    <w:rsid w:val="00D25F78"/>
    <w:rsid w:val="00D261F9"/>
    <w:rsid w:val="00D2750D"/>
    <w:rsid w:val="00D27E19"/>
    <w:rsid w:val="00D319CE"/>
    <w:rsid w:val="00D3314A"/>
    <w:rsid w:val="00D351CA"/>
    <w:rsid w:val="00D36731"/>
    <w:rsid w:val="00D401E1"/>
    <w:rsid w:val="00D41437"/>
    <w:rsid w:val="00D443E6"/>
    <w:rsid w:val="00D44919"/>
    <w:rsid w:val="00D459E4"/>
    <w:rsid w:val="00D45D62"/>
    <w:rsid w:val="00D4616E"/>
    <w:rsid w:val="00D50585"/>
    <w:rsid w:val="00D50BC3"/>
    <w:rsid w:val="00D50E5C"/>
    <w:rsid w:val="00D51CAC"/>
    <w:rsid w:val="00D5220E"/>
    <w:rsid w:val="00D53795"/>
    <w:rsid w:val="00D539DE"/>
    <w:rsid w:val="00D54396"/>
    <w:rsid w:val="00D54806"/>
    <w:rsid w:val="00D54812"/>
    <w:rsid w:val="00D548D5"/>
    <w:rsid w:val="00D54E2D"/>
    <w:rsid w:val="00D550DA"/>
    <w:rsid w:val="00D55229"/>
    <w:rsid w:val="00D55235"/>
    <w:rsid w:val="00D55F15"/>
    <w:rsid w:val="00D5679C"/>
    <w:rsid w:val="00D567E7"/>
    <w:rsid w:val="00D5736C"/>
    <w:rsid w:val="00D60A27"/>
    <w:rsid w:val="00D6155C"/>
    <w:rsid w:val="00D636F6"/>
    <w:rsid w:val="00D64B54"/>
    <w:rsid w:val="00D66734"/>
    <w:rsid w:val="00D72622"/>
    <w:rsid w:val="00D7288D"/>
    <w:rsid w:val="00D728B2"/>
    <w:rsid w:val="00D73AB5"/>
    <w:rsid w:val="00D744C7"/>
    <w:rsid w:val="00D767B2"/>
    <w:rsid w:val="00D76824"/>
    <w:rsid w:val="00D77550"/>
    <w:rsid w:val="00D77C7D"/>
    <w:rsid w:val="00D77D95"/>
    <w:rsid w:val="00D82617"/>
    <w:rsid w:val="00D83081"/>
    <w:rsid w:val="00D8351B"/>
    <w:rsid w:val="00D83AA2"/>
    <w:rsid w:val="00D9029A"/>
    <w:rsid w:val="00D92DC3"/>
    <w:rsid w:val="00D93A07"/>
    <w:rsid w:val="00D93D67"/>
    <w:rsid w:val="00D944BF"/>
    <w:rsid w:val="00D97642"/>
    <w:rsid w:val="00DA265F"/>
    <w:rsid w:val="00DA3C2C"/>
    <w:rsid w:val="00DA4C52"/>
    <w:rsid w:val="00DA52E8"/>
    <w:rsid w:val="00DA5B34"/>
    <w:rsid w:val="00DA5FDF"/>
    <w:rsid w:val="00DA6039"/>
    <w:rsid w:val="00DA7704"/>
    <w:rsid w:val="00DA780B"/>
    <w:rsid w:val="00DB0DEC"/>
    <w:rsid w:val="00DB13B5"/>
    <w:rsid w:val="00DB1A7F"/>
    <w:rsid w:val="00DB1B4F"/>
    <w:rsid w:val="00DB2C19"/>
    <w:rsid w:val="00DB2C7B"/>
    <w:rsid w:val="00DB37D4"/>
    <w:rsid w:val="00DB3E4B"/>
    <w:rsid w:val="00DB416D"/>
    <w:rsid w:val="00DB4BB4"/>
    <w:rsid w:val="00DB5264"/>
    <w:rsid w:val="00DB6154"/>
    <w:rsid w:val="00DB6BF6"/>
    <w:rsid w:val="00DB6DA1"/>
    <w:rsid w:val="00DB6E21"/>
    <w:rsid w:val="00DB7A86"/>
    <w:rsid w:val="00DC3F20"/>
    <w:rsid w:val="00DC6124"/>
    <w:rsid w:val="00DC748C"/>
    <w:rsid w:val="00DC7D03"/>
    <w:rsid w:val="00DD01A6"/>
    <w:rsid w:val="00DD103D"/>
    <w:rsid w:val="00DD2B8A"/>
    <w:rsid w:val="00DD497B"/>
    <w:rsid w:val="00DD4B8A"/>
    <w:rsid w:val="00DD5960"/>
    <w:rsid w:val="00DE0678"/>
    <w:rsid w:val="00DE0C70"/>
    <w:rsid w:val="00DE1225"/>
    <w:rsid w:val="00DE149A"/>
    <w:rsid w:val="00DE1547"/>
    <w:rsid w:val="00DE231D"/>
    <w:rsid w:val="00DE3792"/>
    <w:rsid w:val="00DE39B0"/>
    <w:rsid w:val="00DE3C6C"/>
    <w:rsid w:val="00DE3FC2"/>
    <w:rsid w:val="00DE438F"/>
    <w:rsid w:val="00DE4421"/>
    <w:rsid w:val="00DE7DE5"/>
    <w:rsid w:val="00DF0022"/>
    <w:rsid w:val="00DF257D"/>
    <w:rsid w:val="00DF3D32"/>
    <w:rsid w:val="00DF5B22"/>
    <w:rsid w:val="00DF5BE8"/>
    <w:rsid w:val="00DF6E8B"/>
    <w:rsid w:val="00E00443"/>
    <w:rsid w:val="00E0078A"/>
    <w:rsid w:val="00E00ABA"/>
    <w:rsid w:val="00E03A65"/>
    <w:rsid w:val="00E03A9A"/>
    <w:rsid w:val="00E04920"/>
    <w:rsid w:val="00E05A93"/>
    <w:rsid w:val="00E06252"/>
    <w:rsid w:val="00E07C1C"/>
    <w:rsid w:val="00E109D1"/>
    <w:rsid w:val="00E10C7E"/>
    <w:rsid w:val="00E1123D"/>
    <w:rsid w:val="00E11502"/>
    <w:rsid w:val="00E121EF"/>
    <w:rsid w:val="00E1303F"/>
    <w:rsid w:val="00E131CD"/>
    <w:rsid w:val="00E137BB"/>
    <w:rsid w:val="00E1433F"/>
    <w:rsid w:val="00E14EAA"/>
    <w:rsid w:val="00E151ED"/>
    <w:rsid w:val="00E15D4F"/>
    <w:rsid w:val="00E15EBB"/>
    <w:rsid w:val="00E20893"/>
    <w:rsid w:val="00E2144D"/>
    <w:rsid w:val="00E21873"/>
    <w:rsid w:val="00E22244"/>
    <w:rsid w:val="00E22B15"/>
    <w:rsid w:val="00E22CAC"/>
    <w:rsid w:val="00E22DE0"/>
    <w:rsid w:val="00E232CD"/>
    <w:rsid w:val="00E246DC"/>
    <w:rsid w:val="00E26146"/>
    <w:rsid w:val="00E26A41"/>
    <w:rsid w:val="00E272AF"/>
    <w:rsid w:val="00E300D2"/>
    <w:rsid w:val="00E329FB"/>
    <w:rsid w:val="00E32B80"/>
    <w:rsid w:val="00E34321"/>
    <w:rsid w:val="00E34F85"/>
    <w:rsid w:val="00E356C9"/>
    <w:rsid w:val="00E37367"/>
    <w:rsid w:val="00E41EE0"/>
    <w:rsid w:val="00E43407"/>
    <w:rsid w:val="00E43516"/>
    <w:rsid w:val="00E46421"/>
    <w:rsid w:val="00E50310"/>
    <w:rsid w:val="00E50CF0"/>
    <w:rsid w:val="00E51886"/>
    <w:rsid w:val="00E51A5F"/>
    <w:rsid w:val="00E52B50"/>
    <w:rsid w:val="00E52EF0"/>
    <w:rsid w:val="00E5383D"/>
    <w:rsid w:val="00E54440"/>
    <w:rsid w:val="00E545C8"/>
    <w:rsid w:val="00E55577"/>
    <w:rsid w:val="00E55C35"/>
    <w:rsid w:val="00E57C8F"/>
    <w:rsid w:val="00E62B48"/>
    <w:rsid w:val="00E63D0E"/>
    <w:rsid w:val="00E64771"/>
    <w:rsid w:val="00E6520E"/>
    <w:rsid w:val="00E65DE3"/>
    <w:rsid w:val="00E6628F"/>
    <w:rsid w:val="00E66E2F"/>
    <w:rsid w:val="00E75096"/>
    <w:rsid w:val="00E7603B"/>
    <w:rsid w:val="00E76936"/>
    <w:rsid w:val="00E80AA8"/>
    <w:rsid w:val="00E832D1"/>
    <w:rsid w:val="00E83829"/>
    <w:rsid w:val="00E8583A"/>
    <w:rsid w:val="00E866B5"/>
    <w:rsid w:val="00E871EB"/>
    <w:rsid w:val="00E87CC1"/>
    <w:rsid w:val="00E902CF"/>
    <w:rsid w:val="00E91246"/>
    <w:rsid w:val="00E9269A"/>
    <w:rsid w:val="00E92C55"/>
    <w:rsid w:val="00E94162"/>
    <w:rsid w:val="00E95514"/>
    <w:rsid w:val="00EA0021"/>
    <w:rsid w:val="00EA1465"/>
    <w:rsid w:val="00EA202A"/>
    <w:rsid w:val="00EA307E"/>
    <w:rsid w:val="00EA3807"/>
    <w:rsid w:val="00EA389C"/>
    <w:rsid w:val="00EA4356"/>
    <w:rsid w:val="00EA587D"/>
    <w:rsid w:val="00EA6616"/>
    <w:rsid w:val="00EA761D"/>
    <w:rsid w:val="00EB0230"/>
    <w:rsid w:val="00EB0A56"/>
    <w:rsid w:val="00EB176A"/>
    <w:rsid w:val="00EB280D"/>
    <w:rsid w:val="00EB2BA6"/>
    <w:rsid w:val="00EB2D0C"/>
    <w:rsid w:val="00EB3084"/>
    <w:rsid w:val="00EB3724"/>
    <w:rsid w:val="00EB38D7"/>
    <w:rsid w:val="00EB3976"/>
    <w:rsid w:val="00EB3A24"/>
    <w:rsid w:val="00EB47FF"/>
    <w:rsid w:val="00EB6188"/>
    <w:rsid w:val="00EB70CE"/>
    <w:rsid w:val="00EC1D65"/>
    <w:rsid w:val="00EC2D30"/>
    <w:rsid w:val="00EC2D92"/>
    <w:rsid w:val="00EC2FA8"/>
    <w:rsid w:val="00EC387C"/>
    <w:rsid w:val="00EC41E4"/>
    <w:rsid w:val="00EC5E05"/>
    <w:rsid w:val="00EC6A99"/>
    <w:rsid w:val="00EC7567"/>
    <w:rsid w:val="00EC7FF1"/>
    <w:rsid w:val="00ED18DA"/>
    <w:rsid w:val="00ED3249"/>
    <w:rsid w:val="00ED3286"/>
    <w:rsid w:val="00ED391A"/>
    <w:rsid w:val="00ED3D48"/>
    <w:rsid w:val="00ED41CC"/>
    <w:rsid w:val="00ED6084"/>
    <w:rsid w:val="00ED6C33"/>
    <w:rsid w:val="00ED78FC"/>
    <w:rsid w:val="00EE01A6"/>
    <w:rsid w:val="00EE1008"/>
    <w:rsid w:val="00EE1B21"/>
    <w:rsid w:val="00EE22A2"/>
    <w:rsid w:val="00EE3E40"/>
    <w:rsid w:val="00EE6420"/>
    <w:rsid w:val="00EF0E2D"/>
    <w:rsid w:val="00EF12E5"/>
    <w:rsid w:val="00EF248C"/>
    <w:rsid w:val="00EF6C2F"/>
    <w:rsid w:val="00EF6F02"/>
    <w:rsid w:val="00F00FE6"/>
    <w:rsid w:val="00F01D37"/>
    <w:rsid w:val="00F01E49"/>
    <w:rsid w:val="00F03B6C"/>
    <w:rsid w:val="00F04289"/>
    <w:rsid w:val="00F049AA"/>
    <w:rsid w:val="00F075F6"/>
    <w:rsid w:val="00F1003C"/>
    <w:rsid w:val="00F10097"/>
    <w:rsid w:val="00F10D41"/>
    <w:rsid w:val="00F10D81"/>
    <w:rsid w:val="00F12061"/>
    <w:rsid w:val="00F12D63"/>
    <w:rsid w:val="00F131FD"/>
    <w:rsid w:val="00F14A5D"/>
    <w:rsid w:val="00F1532A"/>
    <w:rsid w:val="00F15409"/>
    <w:rsid w:val="00F163B9"/>
    <w:rsid w:val="00F170D8"/>
    <w:rsid w:val="00F17BF5"/>
    <w:rsid w:val="00F20046"/>
    <w:rsid w:val="00F20CCF"/>
    <w:rsid w:val="00F21D2A"/>
    <w:rsid w:val="00F221B5"/>
    <w:rsid w:val="00F22A91"/>
    <w:rsid w:val="00F22DE5"/>
    <w:rsid w:val="00F230AC"/>
    <w:rsid w:val="00F23A6E"/>
    <w:rsid w:val="00F23E84"/>
    <w:rsid w:val="00F24FDC"/>
    <w:rsid w:val="00F2695D"/>
    <w:rsid w:val="00F27155"/>
    <w:rsid w:val="00F2773F"/>
    <w:rsid w:val="00F3030A"/>
    <w:rsid w:val="00F30761"/>
    <w:rsid w:val="00F309DA"/>
    <w:rsid w:val="00F31162"/>
    <w:rsid w:val="00F32057"/>
    <w:rsid w:val="00F348A3"/>
    <w:rsid w:val="00F3531D"/>
    <w:rsid w:val="00F35516"/>
    <w:rsid w:val="00F359B7"/>
    <w:rsid w:val="00F36FA6"/>
    <w:rsid w:val="00F402D8"/>
    <w:rsid w:val="00F40F21"/>
    <w:rsid w:val="00F41548"/>
    <w:rsid w:val="00F4155A"/>
    <w:rsid w:val="00F41C05"/>
    <w:rsid w:val="00F42129"/>
    <w:rsid w:val="00F4272F"/>
    <w:rsid w:val="00F42BF9"/>
    <w:rsid w:val="00F42DA9"/>
    <w:rsid w:val="00F43774"/>
    <w:rsid w:val="00F46BDD"/>
    <w:rsid w:val="00F47F10"/>
    <w:rsid w:val="00F50C8F"/>
    <w:rsid w:val="00F52F4A"/>
    <w:rsid w:val="00F5318C"/>
    <w:rsid w:val="00F53709"/>
    <w:rsid w:val="00F53734"/>
    <w:rsid w:val="00F541F4"/>
    <w:rsid w:val="00F54A1B"/>
    <w:rsid w:val="00F54E61"/>
    <w:rsid w:val="00F55605"/>
    <w:rsid w:val="00F5591C"/>
    <w:rsid w:val="00F56BB5"/>
    <w:rsid w:val="00F60388"/>
    <w:rsid w:val="00F61AD9"/>
    <w:rsid w:val="00F6261C"/>
    <w:rsid w:val="00F64928"/>
    <w:rsid w:val="00F649C3"/>
    <w:rsid w:val="00F64BD2"/>
    <w:rsid w:val="00F6532B"/>
    <w:rsid w:val="00F72DC1"/>
    <w:rsid w:val="00F72FB4"/>
    <w:rsid w:val="00F76337"/>
    <w:rsid w:val="00F769A8"/>
    <w:rsid w:val="00F77831"/>
    <w:rsid w:val="00F77B10"/>
    <w:rsid w:val="00F77EBC"/>
    <w:rsid w:val="00F802CE"/>
    <w:rsid w:val="00F802F4"/>
    <w:rsid w:val="00F802F8"/>
    <w:rsid w:val="00F8069A"/>
    <w:rsid w:val="00F809C5"/>
    <w:rsid w:val="00F80ABD"/>
    <w:rsid w:val="00F81A63"/>
    <w:rsid w:val="00F82849"/>
    <w:rsid w:val="00F8410B"/>
    <w:rsid w:val="00F86D94"/>
    <w:rsid w:val="00F86EC6"/>
    <w:rsid w:val="00F87240"/>
    <w:rsid w:val="00F90E98"/>
    <w:rsid w:val="00F913C9"/>
    <w:rsid w:val="00F922B7"/>
    <w:rsid w:val="00F93FB8"/>
    <w:rsid w:val="00F941DB"/>
    <w:rsid w:val="00F94348"/>
    <w:rsid w:val="00F945AB"/>
    <w:rsid w:val="00F95294"/>
    <w:rsid w:val="00F963CA"/>
    <w:rsid w:val="00F97267"/>
    <w:rsid w:val="00FA0692"/>
    <w:rsid w:val="00FA09D9"/>
    <w:rsid w:val="00FA328F"/>
    <w:rsid w:val="00FA360D"/>
    <w:rsid w:val="00FA5DD9"/>
    <w:rsid w:val="00FA5F9A"/>
    <w:rsid w:val="00FA7252"/>
    <w:rsid w:val="00FA7A15"/>
    <w:rsid w:val="00FB20F9"/>
    <w:rsid w:val="00FB25E7"/>
    <w:rsid w:val="00FB3019"/>
    <w:rsid w:val="00FB44DB"/>
    <w:rsid w:val="00FB44DD"/>
    <w:rsid w:val="00FB4EC2"/>
    <w:rsid w:val="00FC0B74"/>
    <w:rsid w:val="00FC2C04"/>
    <w:rsid w:val="00FC3279"/>
    <w:rsid w:val="00FC3EB4"/>
    <w:rsid w:val="00FC5117"/>
    <w:rsid w:val="00FC6665"/>
    <w:rsid w:val="00FC6A8D"/>
    <w:rsid w:val="00FD0EB7"/>
    <w:rsid w:val="00FD2D0B"/>
    <w:rsid w:val="00FD3B45"/>
    <w:rsid w:val="00FD6101"/>
    <w:rsid w:val="00FD6E56"/>
    <w:rsid w:val="00FE0BEC"/>
    <w:rsid w:val="00FE0BF8"/>
    <w:rsid w:val="00FE0F0F"/>
    <w:rsid w:val="00FE5A0E"/>
    <w:rsid w:val="00FE61B9"/>
    <w:rsid w:val="00FE673C"/>
    <w:rsid w:val="00FE777B"/>
    <w:rsid w:val="00FF15E7"/>
    <w:rsid w:val="00FF3381"/>
    <w:rsid w:val="00FF4149"/>
    <w:rsid w:val="00FF5F6F"/>
    <w:rsid w:val="00FF6184"/>
    <w:rsid w:val="00FF6AAA"/>
    <w:rsid w:val="00FF7571"/>
    <w:rsid w:val="00FF7A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CE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4DE4"/>
    <w:pPr>
      <w:suppressAutoHyphens/>
    </w:pPr>
    <w:rPr>
      <w:rFonts w:ascii="Arial" w:hAnsi="Arial"/>
      <w:sz w:val="22"/>
      <w:lang w:eastAsia="en-US"/>
    </w:rPr>
  </w:style>
  <w:style w:type="paragraph" w:styleId="Heading1">
    <w:name w:val="heading 1"/>
    <w:basedOn w:val="Normal"/>
    <w:next w:val="Text"/>
    <w:link w:val="Heading1Char"/>
    <w:qFormat/>
    <w:rsid w:val="005B4DE4"/>
    <w:pPr>
      <w:keepNext/>
      <w:numPr>
        <w:numId w:val="2"/>
      </w:numPr>
      <w:spacing w:before="120" w:after="120"/>
      <w:outlineLvl w:val="0"/>
    </w:pPr>
    <w:rPr>
      <w:b/>
    </w:rPr>
  </w:style>
  <w:style w:type="paragraph" w:styleId="Heading2">
    <w:name w:val="heading 2"/>
    <w:basedOn w:val="Heading1"/>
    <w:next w:val="Text"/>
    <w:link w:val="Heading2Char"/>
    <w:qFormat/>
    <w:rsid w:val="005B4DE4"/>
    <w:pPr>
      <w:numPr>
        <w:ilvl w:val="1"/>
      </w:numPr>
      <w:outlineLvl w:val="1"/>
    </w:pPr>
  </w:style>
  <w:style w:type="paragraph" w:styleId="Heading3">
    <w:name w:val="heading 3"/>
    <w:basedOn w:val="Heading2"/>
    <w:next w:val="Text"/>
    <w:link w:val="Heading3Char"/>
    <w:qFormat/>
    <w:rsid w:val="005B4DE4"/>
    <w:pPr>
      <w:numPr>
        <w:ilvl w:val="2"/>
      </w:numPr>
      <w:outlineLvl w:val="2"/>
    </w:pPr>
  </w:style>
  <w:style w:type="paragraph" w:styleId="Heading4">
    <w:name w:val="heading 4"/>
    <w:basedOn w:val="Heading2"/>
    <w:next w:val="Text"/>
    <w:link w:val="Heading4Char"/>
    <w:qFormat/>
    <w:rsid w:val="005B4DE4"/>
    <w:pPr>
      <w:numPr>
        <w:ilvl w:val="3"/>
      </w:numPr>
      <w:outlineLvl w:val="3"/>
    </w:pPr>
  </w:style>
  <w:style w:type="paragraph" w:styleId="Heading5">
    <w:name w:val="heading 5"/>
    <w:basedOn w:val="Heading2"/>
    <w:next w:val="Text"/>
    <w:link w:val="Heading5Char"/>
    <w:qFormat/>
    <w:rsid w:val="005B4DE4"/>
    <w:pPr>
      <w:numPr>
        <w:ilvl w:val="4"/>
      </w:numPr>
      <w:outlineLvl w:val="4"/>
    </w:pPr>
  </w:style>
  <w:style w:type="paragraph" w:styleId="Heading6">
    <w:name w:val="heading 6"/>
    <w:basedOn w:val="Heading2"/>
    <w:next w:val="Text"/>
    <w:link w:val="Heading6Char"/>
    <w:qFormat/>
    <w:rsid w:val="005B4DE4"/>
    <w:pPr>
      <w:numPr>
        <w:ilvl w:val="5"/>
      </w:numPr>
      <w:outlineLvl w:val="5"/>
    </w:pPr>
  </w:style>
  <w:style w:type="paragraph" w:styleId="Heading7">
    <w:name w:val="heading 7"/>
    <w:basedOn w:val="Heading2"/>
    <w:next w:val="Text"/>
    <w:link w:val="Heading7Char"/>
    <w:qFormat/>
    <w:rsid w:val="005B4DE4"/>
    <w:pPr>
      <w:numPr>
        <w:ilvl w:val="6"/>
      </w:numPr>
      <w:outlineLvl w:val="6"/>
    </w:pPr>
  </w:style>
  <w:style w:type="paragraph" w:styleId="Heading8">
    <w:name w:val="heading 8"/>
    <w:basedOn w:val="Heading2"/>
    <w:next w:val="Text"/>
    <w:link w:val="Heading8Char"/>
    <w:qFormat/>
    <w:rsid w:val="005B4DE4"/>
    <w:pPr>
      <w:numPr>
        <w:ilvl w:val="7"/>
      </w:numPr>
      <w:outlineLvl w:val="7"/>
    </w:pPr>
  </w:style>
  <w:style w:type="paragraph" w:styleId="Heading9">
    <w:name w:val="heading 9"/>
    <w:basedOn w:val="Heading2"/>
    <w:next w:val="Text"/>
    <w:link w:val="Heading9Char"/>
    <w:qFormat/>
    <w:rsid w:val="005B4DE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7730"/>
    <w:rPr>
      <w:rFonts w:ascii="Arial" w:hAnsi="Arial"/>
      <w:b/>
      <w:sz w:val="22"/>
      <w:lang w:val="en-US" w:eastAsia="en-US"/>
    </w:rPr>
  </w:style>
  <w:style w:type="character" w:customStyle="1" w:styleId="Heading2Char">
    <w:name w:val="Heading 2 Char"/>
    <w:link w:val="Heading2"/>
    <w:rsid w:val="00FF4149"/>
    <w:rPr>
      <w:rFonts w:ascii="Arial" w:hAnsi="Arial"/>
      <w:b/>
      <w:sz w:val="22"/>
      <w:lang w:val="en-US" w:eastAsia="en-US"/>
    </w:rPr>
  </w:style>
  <w:style w:type="paragraph" w:customStyle="1" w:styleId="Text">
    <w:name w:val="Text"/>
    <w:aliases w:val="本文,JP Body Text,Body Text1,本文2,Body Text11,Body Text111,text文,Body Text2"/>
    <w:basedOn w:val="Normal"/>
    <w:link w:val="TextChar"/>
    <w:qFormat/>
    <w:rsid w:val="005B4DE4"/>
    <w:pPr>
      <w:spacing w:before="120" w:after="120" w:line="360" w:lineRule="auto"/>
    </w:pPr>
  </w:style>
  <w:style w:type="character" w:customStyle="1" w:styleId="TextChar">
    <w:name w:val="Text Char"/>
    <w:link w:val="Text"/>
    <w:rsid w:val="000E343F"/>
    <w:rPr>
      <w:rFonts w:ascii="Arial" w:hAnsi="Arial"/>
      <w:sz w:val="22"/>
      <w:lang w:val="en-US" w:eastAsia="en-US"/>
    </w:rPr>
  </w:style>
  <w:style w:type="character" w:customStyle="1" w:styleId="Heading3Char">
    <w:name w:val="Heading 3 Char"/>
    <w:link w:val="Heading3"/>
    <w:rsid w:val="00D07730"/>
    <w:rPr>
      <w:rFonts w:ascii="Arial" w:hAnsi="Arial"/>
      <w:b/>
      <w:sz w:val="22"/>
      <w:lang w:val="en-US" w:eastAsia="en-US"/>
    </w:rPr>
  </w:style>
  <w:style w:type="character" w:customStyle="1" w:styleId="Heading4Char">
    <w:name w:val="Heading 4 Char"/>
    <w:link w:val="Heading4"/>
    <w:rsid w:val="00D07730"/>
    <w:rPr>
      <w:rFonts w:ascii="Arial" w:hAnsi="Arial"/>
      <w:b/>
      <w:sz w:val="22"/>
      <w:lang w:val="en-US" w:eastAsia="en-US"/>
    </w:rPr>
  </w:style>
  <w:style w:type="character" w:customStyle="1" w:styleId="Heading5Char">
    <w:name w:val="Heading 5 Char"/>
    <w:link w:val="Heading5"/>
    <w:rsid w:val="00FF4149"/>
    <w:rPr>
      <w:rFonts w:ascii="Arial" w:hAnsi="Arial"/>
      <w:b/>
      <w:sz w:val="22"/>
      <w:lang w:val="en-US" w:eastAsia="en-US"/>
    </w:rPr>
  </w:style>
  <w:style w:type="character" w:customStyle="1" w:styleId="Heading6Char">
    <w:name w:val="Heading 6 Char"/>
    <w:link w:val="Heading6"/>
    <w:rsid w:val="00D07730"/>
    <w:rPr>
      <w:rFonts w:ascii="Arial" w:hAnsi="Arial"/>
      <w:b/>
      <w:sz w:val="22"/>
      <w:lang w:val="en-US" w:eastAsia="en-US"/>
    </w:rPr>
  </w:style>
  <w:style w:type="character" w:customStyle="1" w:styleId="Heading7Char">
    <w:name w:val="Heading 7 Char"/>
    <w:link w:val="Heading7"/>
    <w:rsid w:val="00D07730"/>
    <w:rPr>
      <w:rFonts w:ascii="Arial" w:hAnsi="Arial"/>
      <w:b/>
      <w:sz w:val="22"/>
      <w:lang w:val="en-US" w:eastAsia="en-US"/>
    </w:rPr>
  </w:style>
  <w:style w:type="character" w:customStyle="1" w:styleId="Heading8Char">
    <w:name w:val="Heading 8 Char"/>
    <w:link w:val="Heading8"/>
    <w:rsid w:val="00D07730"/>
    <w:rPr>
      <w:rFonts w:ascii="Arial" w:hAnsi="Arial"/>
      <w:b/>
      <w:sz w:val="22"/>
      <w:lang w:val="en-US" w:eastAsia="en-US"/>
    </w:rPr>
  </w:style>
  <w:style w:type="character" w:customStyle="1" w:styleId="Heading9Char">
    <w:name w:val="Heading 9 Char"/>
    <w:link w:val="Heading9"/>
    <w:rsid w:val="00D07730"/>
    <w:rPr>
      <w:rFonts w:ascii="Arial" w:hAnsi="Arial"/>
      <w:b/>
      <w:sz w:val="22"/>
      <w:lang w:val="en-US" w:eastAsia="en-US"/>
    </w:rPr>
  </w:style>
  <w:style w:type="paragraph" w:styleId="Caption">
    <w:name w:val="caption"/>
    <w:aliases w:val="Caption Char1 Char,Caption Char Char Char,Caption Char1,Caption Table...,Caption Char1 + 8 pt,Not B....,Caption Table,..."/>
    <w:basedOn w:val="Normal"/>
    <w:next w:val="Text"/>
    <w:link w:val="CaptionChar"/>
    <w:uiPriority w:val="35"/>
    <w:qFormat/>
    <w:rsid w:val="005B4DE4"/>
    <w:pPr>
      <w:keepNext/>
      <w:spacing w:before="300" w:after="100"/>
      <w:jc w:val="center"/>
    </w:pPr>
    <w:rPr>
      <w:b/>
    </w:rPr>
  </w:style>
  <w:style w:type="character" w:customStyle="1" w:styleId="CaptionChar">
    <w:name w:val="Caption Char"/>
    <w:aliases w:val="Caption Char1 Char Char,Caption Char Char Char Char,Caption Char1 Char1,Caption Table... Char,Caption Char1 + 8 pt Char,Not B.... Char,Caption Table Char,... Char"/>
    <w:link w:val="Caption"/>
    <w:uiPriority w:val="35"/>
    <w:rsid w:val="006C78BA"/>
    <w:rPr>
      <w:rFonts w:ascii="Arial" w:hAnsi="Arial"/>
      <w:b/>
      <w:sz w:val="22"/>
      <w:lang w:val="en-US" w:eastAsia="en-US"/>
    </w:rPr>
  </w:style>
  <w:style w:type="paragraph" w:customStyle="1" w:styleId="FootnoteText">
    <w:name w:val="FootnoteText"/>
    <w:basedOn w:val="TableLeftAlign"/>
    <w:next w:val="Text"/>
    <w:link w:val="FootnoteTextChar"/>
    <w:rsid w:val="005B4DE4"/>
    <w:pPr>
      <w:keepLines/>
      <w:spacing w:before="0" w:after="0" w:line="240" w:lineRule="auto"/>
      <w:ind w:left="144" w:hanging="144"/>
    </w:pPr>
    <w:rPr>
      <w:sz w:val="18"/>
    </w:rPr>
  </w:style>
  <w:style w:type="paragraph" w:customStyle="1" w:styleId="TableCenterAlign">
    <w:name w:val="TableCenterAlign"/>
    <w:basedOn w:val="Normal"/>
    <w:rsid w:val="005B4DE4"/>
    <w:pPr>
      <w:spacing w:before="60" w:after="60" w:line="240" w:lineRule="atLeast"/>
      <w:jc w:val="center"/>
    </w:pPr>
  </w:style>
  <w:style w:type="paragraph" w:customStyle="1" w:styleId="TableCentreBold">
    <w:name w:val="TableCentreBold"/>
    <w:basedOn w:val="Normal"/>
    <w:pPr>
      <w:spacing w:before="60" w:after="60"/>
      <w:jc w:val="center"/>
    </w:pPr>
    <w:rPr>
      <w:b/>
      <w:sz w:val="20"/>
    </w:rPr>
  </w:style>
  <w:style w:type="paragraph" w:customStyle="1" w:styleId="TableLeftAlign">
    <w:name w:val="TableLeftAlign"/>
    <w:basedOn w:val="Normal"/>
    <w:rsid w:val="005B4DE4"/>
    <w:pPr>
      <w:spacing w:before="60" w:after="60" w:line="240" w:lineRule="atLeast"/>
    </w:pPr>
  </w:style>
  <w:style w:type="paragraph" w:customStyle="1" w:styleId="TableLeftBold">
    <w:name w:val="TableLeftBold"/>
    <w:basedOn w:val="Normal"/>
    <w:pPr>
      <w:spacing w:before="60" w:after="60"/>
    </w:pPr>
    <w:rPr>
      <w:b/>
      <w:sz w:val="20"/>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sid w:val="00DB1A7F"/>
    <w:rPr>
      <w:rFonts w:ascii="Arial" w:hAnsi="Arial"/>
      <w:lang w:eastAsia="en-US"/>
    </w:rPr>
  </w:style>
  <w:style w:type="paragraph" w:styleId="Header">
    <w:name w:val="header"/>
    <w:basedOn w:val="Normal"/>
    <w:link w:val="HeaderChar"/>
    <w:rsid w:val="005B4DE4"/>
    <w:pPr>
      <w:keepLines/>
      <w:pBdr>
        <w:bottom w:val="single" w:sz="12" w:space="6" w:color="auto"/>
      </w:pBdr>
      <w:tabs>
        <w:tab w:val="right" w:pos="8640"/>
      </w:tabs>
      <w:spacing w:line="200" w:lineRule="atLeast"/>
    </w:pPr>
    <w:rPr>
      <w:b/>
      <w:sz w:val="20"/>
    </w:rPr>
  </w:style>
  <w:style w:type="character" w:customStyle="1" w:styleId="HeaderChar">
    <w:name w:val="Header Char"/>
    <w:link w:val="Header"/>
    <w:rsid w:val="00FF7AFE"/>
    <w:rPr>
      <w:rFonts w:ascii="Arial" w:hAnsi="Arial"/>
      <w:b/>
      <w:lang w:val="en-US" w:eastAsia="en-US"/>
    </w:rPr>
  </w:style>
  <w:style w:type="paragraph" w:styleId="Footer">
    <w:name w:val="footer"/>
    <w:basedOn w:val="Normal"/>
    <w:link w:val="FooterChar"/>
    <w:rsid w:val="005B4DE4"/>
    <w:pPr>
      <w:keepLines/>
      <w:pBdr>
        <w:top w:val="single" w:sz="12" w:space="6" w:color="auto"/>
      </w:pBdr>
      <w:tabs>
        <w:tab w:val="center" w:pos="4320"/>
        <w:tab w:val="right" w:pos="8640"/>
      </w:tabs>
      <w:spacing w:line="200" w:lineRule="atLeast"/>
    </w:pPr>
    <w:rPr>
      <w:b/>
      <w:sz w:val="20"/>
    </w:rPr>
  </w:style>
  <w:style w:type="character" w:customStyle="1" w:styleId="FooterChar">
    <w:name w:val="Footer Char"/>
    <w:link w:val="Footer"/>
    <w:rsid w:val="00CA7DB1"/>
    <w:rPr>
      <w:rFonts w:ascii="Arial" w:hAnsi="Arial"/>
      <w:b/>
      <w:lang w:val="en-US" w:eastAsia="en-US"/>
    </w:rPr>
  </w:style>
  <w:style w:type="paragraph" w:customStyle="1" w:styleId="lbltxt">
    <w:name w:val="lbltxt"/>
    <w:rPr>
      <w:noProof/>
      <w:sz w:val="22"/>
      <w:lang w:eastAsia="en-US"/>
    </w:rPr>
  </w:style>
  <w:style w:type="paragraph" w:styleId="BodyText">
    <w:name w:val="Body Text"/>
    <w:basedOn w:val="Normal"/>
    <w:link w:val="BodyTextChar"/>
    <w:rPr>
      <w:rFonts w:ascii="Times New Roman" w:hAnsi="Times New Roman"/>
    </w:rPr>
  </w:style>
  <w:style w:type="character" w:customStyle="1" w:styleId="BodyTextChar">
    <w:name w:val="Body Text Char"/>
    <w:link w:val="BodyText"/>
    <w:rsid w:val="00D07730"/>
    <w:rPr>
      <w:sz w:val="22"/>
      <w:lang w:eastAsia="en-US"/>
    </w:rPr>
  </w:style>
  <w:style w:type="paragraph" w:customStyle="1" w:styleId="TextList">
    <w:name w:val="TextList"/>
    <w:basedOn w:val="Text"/>
    <w:rsid w:val="005B4DE4"/>
    <w:pPr>
      <w:spacing w:after="100" w:line="280" w:lineRule="atLeast"/>
      <w:ind w:left="360" w:hanging="360"/>
    </w:pPr>
  </w:style>
  <w:style w:type="paragraph" w:customStyle="1" w:styleId="TextBullet">
    <w:name w:val="TextBullet"/>
    <w:basedOn w:val="Normal"/>
    <w:rsid w:val="005B4DE4"/>
    <w:pPr>
      <w:numPr>
        <w:numId w:val="4"/>
      </w:numPr>
      <w:spacing w:after="100"/>
    </w:pPr>
  </w:style>
  <w:style w:type="paragraph" w:customStyle="1" w:styleId="NumberRestart">
    <w:name w:val="NumberRestart"/>
    <w:basedOn w:val="Text"/>
    <w:rsid w:val="005B4DE4"/>
    <w:pPr>
      <w:numPr>
        <w:numId w:val="3"/>
      </w:numPr>
      <w:outlineLvl w:val="0"/>
    </w:pPr>
  </w:style>
  <w:style w:type="paragraph" w:customStyle="1" w:styleId="Indication">
    <w:name w:val="Indication"/>
    <w:basedOn w:val="Normal"/>
    <w:next w:val="Text"/>
    <w:pPr>
      <w:keepNext/>
      <w:spacing w:before="120"/>
    </w:pPr>
    <w:rPr>
      <w:b/>
      <w:i/>
      <w:sz w:val="24"/>
      <w:lang w:val="en-US"/>
    </w:rPr>
  </w:style>
  <w:style w:type="paragraph" w:styleId="TableofFigures">
    <w:name w:val="table of figures"/>
    <w:basedOn w:val="Text"/>
    <w:next w:val="Text"/>
    <w:rsid w:val="005B4DE4"/>
    <w:pPr>
      <w:keepLines/>
      <w:tabs>
        <w:tab w:val="right" w:leader="dot" w:pos="8640"/>
      </w:tabs>
      <w:spacing w:before="0" w:line="240" w:lineRule="auto"/>
      <w:ind w:left="1426" w:right="1080" w:hanging="1426"/>
    </w:pPr>
    <w:rPr>
      <w:color w:val="0000FF"/>
    </w:rPr>
  </w:style>
  <w:style w:type="character" w:styleId="Hyperlink">
    <w:name w:val="Hyperlink"/>
    <w:uiPriority w:val="99"/>
    <w:rsid w:val="005B4DE4"/>
    <w:rPr>
      <w:color w:val="0000FF"/>
      <w:u w:val="single"/>
    </w:rPr>
  </w:style>
  <w:style w:type="paragraph" w:styleId="BodyText2">
    <w:name w:val="Body Text 2"/>
    <w:basedOn w:val="Normal"/>
    <w:link w:val="BodyText2Char"/>
    <w:rPr>
      <w:sz w:val="16"/>
    </w:rPr>
  </w:style>
  <w:style w:type="character" w:customStyle="1" w:styleId="BodyText2Char">
    <w:name w:val="Body Text 2 Char"/>
    <w:link w:val="BodyText2"/>
    <w:rsid w:val="00D07730"/>
    <w:rPr>
      <w:rFonts w:ascii="Arial" w:hAnsi="Arial"/>
      <w:sz w:val="16"/>
      <w:lang w:eastAsia="en-US"/>
    </w:rPr>
  </w:style>
  <w:style w:type="paragraph" w:styleId="Title">
    <w:name w:val="Title"/>
    <w:basedOn w:val="Normal"/>
    <w:link w:val="TitleChar"/>
    <w:qFormat/>
    <w:rsid w:val="005B4DE4"/>
    <w:pPr>
      <w:suppressAutoHyphens w:val="0"/>
      <w:spacing w:before="240" w:after="60"/>
      <w:jc w:val="center"/>
      <w:outlineLvl w:val="0"/>
    </w:pPr>
    <w:rPr>
      <w:b/>
      <w:kern w:val="28"/>
      <w:sz w:val="32"/>
    </w:rPr>
  </w:style>
  <w:style w:type="character" w:customStyle="1" w:styleId="TitleChar">
    <w:name w:val="Title Char"/>
    <w:link w:val="Title"/>
    <w:rsid w:val="00D07730"/>
    <w:rPr>
      <w:rFonts w:ascii="Arial" w:hAnsi="Arial"/>
      <w:b/>
      <w:kern w:val="28"/>
      <w:sz w:val="32"/>
      <w:lang w:val="en-US" w:eastAsia="en-US"/>
    </w:rPr>
  </w:style>
  <w:style w:type="character" w:styleId="FollowedHyperlink">
    <w:name w:val="FollowedHyperlink"/>
    <w:rPr>
      <w:color w:val="800080"/>
      <w:u w:val="single"/>
    </w:rPr>
  </w:style>
  <w:style w:type="paragraph" w:styleId="BodyTextIndent">
    <w:name w:val="Body Text Indent"/>
    <w:basedOn w:val="Normal"/>
    <w:link w:val="BodyTextIndentChar"/>
    <w:pPr>
      <w:ind w:left="285"/>
    </w:pPr>
    <w:rPr>
      <w:rFonts w:ascii="Times New Roman" w:hAnsi="Times New Roman"/>
      <w:sz w:val="24"/>
      <w:szCs w:val="24"/>
    </w:rPr>
  </w:style>
  <w:style w:type="character" w:customStyle="1" w:styleId="BodyTextIndentChar">
    <w:name w:val="Body Text Indent Char"/>
    <w:link w:val="BodyTextIndent"/>
    <w:rsid w:val="00D07730"/>
    <w:rPr>
      <w:sz w:val="24"/>
      <w:szCs w:val="24"/>
      <w:lang w:eastAsia="en-US"/>
    </w:rPr>
  </w:style>
  <w:style w:type="paragraph" w:styleId="BodyTextIndent2">
    <w:name w:val="Body Text Indent 2"/>
    <w:basedOn w:val="Normal"/>
    <w:pPr>
      <w:ind w:left="285"/>
    </w:pPr>
  </w:style>
  <w:style w:type="character" w:styleId="LineNumber">
    <w:name w:val="line number"/>
    <w:basedOn w:val="DefaultParagraphFont"/>
  </w:style>
  <w:style w:type="paragraph" w:styleId="Signature">
    <w:name w:val="Signature"/>
    <w:basedOn w:val="Normal"/>
    <w:pPr>
      <w:ind w:left="4252"/>
    </w:pPr>
  </w:style>
  <w:style w:type="character" w:styleId="PageNumber">
    <w:name w:val="page number"/>
    <w:rsid w:val="005B4DE4"/>
  </w:style>
  <w:style w:type="paragraph" w:styleId="BalloonText">
    <w:name w:val="Balloon Text"/>
    <w:basedOn w:val="Normal"/>
    <w:link w:val="BalloonTextChar"/>
    <w:rsid w:val="005B4DE4"/>
    <w:rPr>
      <w:rFonts w:ascii="Tahoma" w:hAnsi="Tahoma" w:cs="Tahoma"/>
      <w:sz w:val="16"/>
      <w:szCs w:val="16"/>
    </w:rPr>
  </w:style>
  <w:style w:type="character" w:customStyle="1" w:styleId="BalloonTextChar">
    <w:name w:val="Balloon Text Char"/>
    <w:link w:val="BalloonText"/>
    <w:rsid w:val="005B4DE4"/>
    <w:rPr>
      <w:rFonts w:ascii="Tahoma" w:hAnsi="Tahoma" w:cs="Tahoma"/>
      <w:sz w:val="16"/>
      <w:szCs w:val="16"/>
      <w:lang w:val="en-US" w:eastAsia="en-US"/>
    </w:rPr>
  </w:style>
  <w:style w:type="table" w:styleId="TableGrid">
    <w:name w:val="Table Grid"/>
    <w:basedOn w:val="TableNormal"/>
    <w:uiPriority w:val="59"/>
    <w:rsid w:val="00157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24107C"/>
    <w:rPr>
      <w:b/>
      <w:bCs/>
    </w:rPr>
  </w:style>
  <w:style w:type="character" w:customStyle="1" w:styleId="CommentSubjectChar">
    <w:name w:val="Comment Subject Char"/>
    <w:link w:val="CommentSubject"/>
    <w:semiHidden/>
    <w:rsid w:val="00D07730"/>
    <w:rPr>
      <w:rFonts w:ascii="Arial" w:hAnsi="Arial"/>
      <w:b/>
      <w:bCs/>
      <w:lang w:eastAsia="en-US"/>
    </w:rPr>
  </w:style>
  <w:style w:type="paragraph" w:customStyle="1" w:styleId="text0">
    <w:name w:val="text"/>
    <w:basedOn w:val="Normal"/>
    <w:rsid w:val="00AF3CF8"/>
    <w:pPr>
      <w:spacing w:after="200" w:line="380" w:lineRule="atLeast"/>
    </w:pPr>
    <w:rPr>
      <w:rFonts w:cs="Arial"/>
      <w:szCs w:val="22"/>
      <w:lang w:eastAsia="en-AU"/>
    </w:rPr>
  </w:style>
  <w:style w:type="paragraph" w:styleId="Revision">
    <w:name w:val="Revision"/>
    <w:hidden/>
    <w:uiPriority w:val="99"/>
    <w:semiHidden/>
    <w:rsid w:val="00975EE9"/>
    <w:rPr>
      <w:rFonts w:ascii="Arial" w:hAnsi="Arial"/>
      <w:sz w:val="22"/>
      <w:lang w:eastAsia="en-US"/>
    </w:rPr>
  </w:style>
  <w:style w:type="paragraph" w:styleId="ListBullet">
    <w:name w:val="List Bullet"/>
    <w:basedOn w:val="Normal"/>
    <w:link w:val="ListBulletChar"/>
    <w:rsid w:val="00FF7AFE"/>
    <w:rPr>
      <w:rFonts w:ascii="Times New Roman" w:eastAsia="MS Mincho" w:hAnsi="Times New Roman"/>
      <w:i/>
      <w:sz w:val="24"/>
      <w:szCs w:val="24"/>
      <w:lang w:val="en-US" w:eastAsia="ja-JP"/>
    </w:rPr>
  </w:style>
  <w:style w:type="character" w:customStyle="1" w:styleId="ListBulletChar">
    <w:name w:val="List Bullet Char"/>
    <w:link w:val="ListBullet"/>
    <w:rsid w:val="00FF7AFE"/>
    <w:rPr>
      <w:rFonts w:eastAsia="MS Mincho"/>
      <w:i/>
      <w:sz w:val="24"/>
      <w:szCs w:val="24"/>
      <w:lang w:val="en-US" w:eastAsia="ja-JP"/>
    </w:rPr>
  </w:style>
  <w:style w:type="paragraph" w:customStyle="1" w:styleId="Sub-tabletitle">
    <w:name w:val="Sub-table title"/>
    <w:basedOn w:val="Normal"/>
    <w:rsid w:val="00DB1A7F"/>
    <w:rPr>
      <w:rFonts w:ascii="Times New Roman" w:eastAsia="MS Mincho" w:hAnsi="Times New Roman"/>
      <w:b/>
      <w:bCs/>
      <w:i/>
      <w:iCs/>
      <w:color w:val="000000"/>
      <w:sz w:val="24"/>
      <w:szCs w:val="24"/>
      <w:lang w:val="en-US" w:eastAsia="ja-JP"/>
    </w:rPr>
  </w:style>
  <w:style w:type="paragraph" w:customStyle="1" w:styleId="TextItalicized">
    <w:name w:val="Text Italicized"/>
    <w:basedOn w:val="Normal"/>
    <w:link w:val="TextItalicizedChar"/>
    <w:rsid w:val="00DB6DA1"/>
    <w:rPr>
      <w:rFonts w:ascii="Times New Roman" w:eastAsia="MS Mincho" w:hAnsi="Times New Roman"/>
      <w:i/>
      <w:iCs/>
      <w:color w:val="000000"/>
      <w:sz w:val="24"/>
      <w:szCs w:val="24"/>
      <w:lang w:val="en-US" w:eastAsia="ja-JP"/>
    </w:rPr>
  </w:style>
  <w:style w:type="character" w:customStyle="1" w:styleId="TextItalicizedChar">
    <w:name w:val="Text Italicized Char"/>
    <w:link w:val="TextItalicized"/>
    <w:rsid w:val="00DB6DA1"/>
    <w:rPr>
      <w:rFonts w:eastAsia="MS Mincho"/>
      <w:i/>
      <w:iCs/>
      <w:color w:val="000000"/>
      <w:sz w:val="24"/>
      <w:szCs w:val="24"/>
      <w:lang w:val="en-US" w:eastAsia="ja-JP"/>
    </w:rPr>
  </w:style>
  <w:style w:type="paragraph" w:customStyle="1" w:styleId="Header1">
    <w:name w:val="Header 1"/>
    <w:basedOn w:val="Normal"/>
    <w:rsid w:val="00CA7DB1"/>
    <w:rPr>
      <w:b/>
      <w:caps/>
      <w:sz w:val="20"/>
      <w:lang w:val="en-US"/>
    </w:rPr>
  </w:style>
  <w:style w:type="paragraph" w:styleId="TOC3">
    <w:name w:val="toc 3"/>
    <w:basedOn w:val="TOC2"/>
    <w:next w:val="Text"/>
    <w:autoRedefine/>
    <w:rsid w:val="005B4DE4"/>
    <w:pPr>
      <w:tabs>
        <w:tab w:val="clear" w:pos="1267"/>
        <w:tab w:val="left" w:pos="2246"/>
      </w:tabs>
      <w:ind w:left="2261" w:hanging="994"/>
    </w:pPr>
  </w:style>
  <w:style w:type="paragraph" w:styleId="TOC2">
    <w:name w:val="toc 2"/>
    <w:basedOn w:val="TOC1"/>
    <w:next w:val="Text"/>
    <w:autoRedefine/>
    <w:rsid w:val="005B4DE4"/>
    <w:pPr>
      <w:tabs>
        <w:tab w:val="left" w:pos="1267"/>
      </w:tabs>
      <w:spacing w:before="60"/>
      <w:ind w:left="1267" w:hanging="720"/>
    </w:pPr>
  </w:style>
  <w:style w:type="paragraph" w:styleId="TOC1">
    <w:name w:val="toc 1"/>
    <w:basedOn w:val="Text"/>
    <w:next w:val="Text"/>
    <w:autoRedefine/>
    <w:rsid w:val="005B4DE4"/>
    <w:pPr>
      <w:keepLines/>
      <w:tabs>
        <w:tab w:val="right" w:leader="dot" w:pos="8640"/>
      </w:tabs>
      <w:spacing w:before="200" w:after="0" w:line="240" w:lineRule="auto"/>
      <w:ind w:left="547" w:right="1080" w:hanging="547"/>
    </w:pPr>
    <w:rPr>
      <w:noProof/>
      <w:color w:val="0000FF"/>
    </w:rPr>
  </w:style>
  <w:style w:type="paragraph" w:customStyle="1" w:styleId="Style1">
    <w:name w:val="Style1"/>
    <w:basedOn w:val="Heading2"/>
    <w:rsid w:val="00CA7DB1"/>
    <w:pPr>
      <w:numPr>
        <w:numId w:val="1"/>
      </w:numPr>
    </w:pPr>
    <w:rPr>
      <w:i/>
      <w:sz w:val="20"/>
      <w:lang w:val="en-US"/>
    </w:rPr>
  </w:style>
  <w:style w:type="paragraph" w:customStyle="1" w:styleId="InstructionsText">
    <w:name w:val="Instructions Text"/>
    <w:basedOn w:val="Normal"/>
    <w:rsid w:val="00CA7DB1"/>
    <w:pPr>
      <w:spacing w:before="100" w:beforeAutospacing="1" w:after="100" w:afterAutospacing="1"/>
    </w:pPr>
    <w:rPr>
      <w:color w:val="0000FF"/>
      <w:sz w:val="20"/>
      <w:szCs w:val="22"/>
      <w:lang w:val="en-US"/>
    </w:rPr>
  </w:style>
  <w:style w:type="paragraph" w:styleId="NormalIndent">
    <w:name w:val="Normal Indent"/>
    <w:basedOn w:val="Normal"/>
    <w:rsid w:val="00CA7DB1"/>
    <w:pPr>
      <w:overflowPunct w:val="0"/>
      <w:autoSpaceDE w:val="0"/>
      <w:autoSpaceDN w:val="0"/>
      <w:adjustRightInd w:val="0"/>
      <w:spacing w:before="168"/>
      <w:ind w:left="900"/>
      <w:jc w:val="both"/>
      <w:textAlignment w:val="baseline"/>
    </w:pPr>
    <w:rPr>
      <w:sz w:val="20"/>
      <w:lang w:val="en-US"/>
    </w:rPr>
  </w:style>
  <w:style w:type="paragraph" w:styleId="NormalWeb">
    <w:name w:val="Normal (Web)"/>
    <w:basedOn w:val="Normal"/>
    <w:rsid w:val="00CA7DB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CA7DB1"/>
    <w:rPr>
      <w:sz w:val="16"/>
      <w:szCs w:val="16"/>
      <w:lang w:val="en-US"/>
    </w:rPr>
  </w:style>
  <w:style w:type="character" w:customStyle="1" w:styleId="BodyText3Char">
    <w:name w:val="Body Text 3 Char"/>
    <w:link w:val="BodyText3"/>
    <w:rsid w:val="00CA7DB1"/>
    <w:rPr>
      <w:rFonts w:ascii="Arial" w:hAnsi="Arial"/>
      <w:sz w:val="16"/>
      <w:szCs w:val="16"/>
      <w:lang w:val="en-US" w:eastAsia="en-US"/>
    </w:rPr>
  </w:style>
  <w:style w:type="paragraph" w:customStyle="1" w:styleId="Heading7Bold">
    <w:name w:val="Heading 7Bold"/>
    <w:basedOn w:val="Normal"/>
    <w:next w:val="Text"/>
    <w:rsid w:val="005B4DE4"/>
    <w:pPr>
      <w:keepNext/>
      <w:spacing w:before="120" w:after="120"/>
    </w:pPr>
    <w:rPr>
      <w:b/>
    </w:rPr>
  </w:style>
  <w:style w:type="paragraph" w:customStyle="1" w:styleId="Heading8BoldItalic">
    <w:name w:val="Heading 8BoldItalic"/>
    <w:basedOn w:val="Normal"/>
    <w:next w:val="Text"/>
    <w:rsid w:val="005B4DE4"/>
    <w:pPr>
      <w:keepNext/>
      <w:spacing w:before="120" w:after="120"/>
    </w:pPr>
    <w:rPr>
      <w:b/>
      <w:i/>
    </w:rPr>
  </w:style>
  <w:style w:type="paragraph" w:customStyle="1" w:styleId="Heading9Italic">
    <w:name w:val="Heading 9Italic"/>
    <w:basedOn w:val="Normal"/>
    <w:next w:val="Text"/>
    <w:rsid w:val="005B4DE4"/>
    <w:pPr>
      <w:keepNext/>
      <w:spacing w:before="120" w:after="120"/>
    </w:pPr>
    <w:rPr>
      <w:i/>
    </w:rPr>
  </w:style>
  <w:style w:type="paragraph" w:customStyle="1" w:styleId="CenterBold">
    <w:name w:val="CenterBold"/>
    <w:basedOn w:val="Normal"/>
    <w:next w:val="Normal"/>
    <w:rsid w:val="005B4DE4"/>
    <w:pPr>
      <w:keepNext/>
      <w:keepLines/>
      <w:spacing w:before="300" w:after="120"/>
      <w:jc w:val="center"/>
    </w:pPr>
    <w:rPr>
      <w:b/>
    </w:rPr>
  </w:style>
  <w:style w:type="paragraph" w:customStyle="1" w:styleId="FigureLegend">
    <w:name w:val="FigureLegend"/>
    <w:basedOn w:val="Text"/>
    <w:rsid w:val="005B4DE4"/>
    <w:pPr>
      <w:keepLines/>
      <w:spacing w:after="0" w:line="240" w:lineRule="auto"/>
    </w:pPr>
    <w:rPr>
      <w:sz w:val="18"/>
    </w:rPr>
  </w:style>
  <w:style w:type="paragraph" w:customStyle="1" w:styleId="FlushLeftBold">
    <w:name w:val="FlushLeftBold"/>
    <w:basedOn w:val="Normal"/>
    <w:next w:val="Text"/>
    <w:rsid w:val="005B4DE4"/>
    <w:pPr>
      <w:keepNext/>
      <w:keepLines/>
      <w:spacing w:before="120" w:after="120"/>
    </w:pPr>
    <w:rPr>
      <w:b/>
    </w:rPr>
  </w:style>
  <w:style w:type="paragraph" w:customStyle="1" w:styleId="Insert">
    <w:name w:val="Insert"/>
    <w:basedOn w:val="Normal"/>
    <w:rsid w:val="005B4DE4"/>
    <w:pPr>
      <w:spacing w:before="100" w:after="100"/>
      <w:jc w:val="center"/>
    </w:pPr>
  </w:style>
  <w:style w:type="paragraph" w:customStyle="1" w:styleId="RefList">
    <w:name w:val="RefList#"/>
    <w:basedOn w:val="TextList"/>
    <w:rsid w:val="005B4DE4"/>
    <w:pPr>
      <w:keepLines/>
      <w:spacing w:after="0" w:line="240" w:lineRule="auto"/>
    </w:pPr>
  </w:style>
  <w:style w:type="paragraph" w:customStyle="1" w:styleId="RefListAlpha">
    <w:name w:val="RefListAlpha"/>
    <w:basedOn w:val="Text"/>
    <w:rsid w:val="005B4DE4"/>
    <w:pPr>
      <w:keepLines/>
      <w:spacing w:line="240" w:lineRule="auto"/>
    </w:pPr>
  </w:style>
  <w:style w:type="paragraph" w:customStyle="1" w:styleId="TextDash">
    <w:name w:val="TextDash"/>
    <w:basedOn w:val="TextBullet"/>
    <w:rsid w:val="005B4DE4"/>
    <w:pPr>
      <w:numPr>
        <w:numId w:val="5"/>
      </w:numPr>
    </w:pPr>
  </w:style>
  <w:style w:type="paragraph" w:customStyle="1" w:styleId="TextIndent">
    <w:name w:val="TextIndent"/>
    <w:basedOn w:val="Text"/>
    <w:rsid w:val="005B4DE4"/>
    <w:pPr>
      <w:spacing w:line="280" w:lineRule="atLeast"/>
      <w:ind w:left="360"/>
    </w:pPr>
  </w:style>
  <w:style w:type="paragraph" w:customStyle="1" w:styleId="TextSingleSpace">
    <w:name w:val="TextSingleSpace"/>
    <w:basedOn w:val="Text"/>
    <w:rsid w:val="005B4DE4"/>
    <w:pPr>
      <w:spacing w:line="240" w:lineRule="auto"/>
    </w:pPr>
  </w:style>
  <w:style w:type="paragraph" w:styleId="TOC4">
    <w:name w:val="toc 4"/>
    <w:basedOn w:val="TOC3"/>
    <w:next w:val="Text"/>
    <w:autoRedefine/>
    <w:rsid w:val="005B4DE4"/>
    <w:pPr>
      <w:ind w:left="3384" w:hanging="1123"/>
    </w:pPr>
  </w:style>
  <w:style w:type="paragraph" w:styleId="TOC5">
    <w:name w:val="toc 5"/>
    <w:basedOn w:val="TOC2"/>
    <w:next w:val="Text"/>
    <w:autoRedefine/>
    <w:rsid w:val="005B4DE4"/>
  </w:style>
  <w:style w:type="paragraph" w:styleId="TOC6">
    <w:name w:val="toc 6"/>
    <w:basedOn w:val="TOC2"/>
    <w:next w:val="Text"/>
    <w:autoRedefine/>
    <w:rsid w:val="005B4DE4"/>
  </w:style>
  <w:style w:type="paragraph" w:styleId="TOC7">
    <w:name w:val="toc 7"/>
    <w:basedOn w:val="Normal"/>
    <w:next w:val="Normal"/>
    <w:autoRedefine/>
    <w:rsid w:val="005B4DE4"/>
    <w:pPr>
      <w:tabs>
        <w:tab w:val="right" w:leader="dot" w:pos="8640"/>
      </w:tabs>
      <w:ind w:left="1320"/>
    </w:pPr>
  </w:style>
  <w:style w:type="paragraph" w:styleId="TOC8">
    <w:name w:val="toc 8"/>
    <w:basedOn w:val="Normal"/>
    <w:next w:val="Normal"/>
    <w:autoRedefine/>
    <w:rsid w:val="005B4DE4"/>
    <w:pPr>
      <w:tabs>
        <w:tab w:val="right" w:leader="dot" w:pos="8640"/>
      </w:tabs>
      <w:ind w:left="1540"/>
    </w:pPr>
  </w:style>
  <w:style w:type="paragraph" w:styleId="TOC9">
    <w:name w:val="toc 9"/>
    <w:basedOn w:val="Normal"/>
    <w:next w:val="Normal"/>
    <w:autoRedefine/>
    <w:rsid w:val="005B4DE4"/>
    <w:pPr>
      <w:tabs>
        <w:tab w:val="right" w:leader="dot" w:pos="8640"/>
      </w:tabs>
      <w:ind w:left="1760"/>
    </w:pPr>
  </w:style>
  <w:style w:type="paragraph" w:customStyle="1" w:styleId="Heading0">
    <w:name w:val="Heading 0"/>
    <w:basedOn w:val="Normal"/>
    <w:next w:val="Text"/>
    <w:rsid w:val="005B4DE4"/>
    <w:pPr>
      <w:keepNext/>
      <w:pageBreakBefore/>
      <w:spacing w:before="120" w:after="120"/>
      <w:ind w:left="1440" w:hanging="1440"/>
    </w:pPr>
    <w:rPr>
      <w:b/>
    </w:rPr>
  </w:style>
  <w:style w:type="paragraph" w:styleId="DocumentMap">
    <w:name w:val="Document Map"/>
    <w:basedOn w:val="Normal"/>
    <w:link w:val="DocumentMapChar"/>
    <w:rsid w:val="005B4DE4"/>
    <w:pPr>
      <w:shd w:val="clear" w:color="auto" w:fill="000080"/>
    </w:pPr>
    <w:rPr>
      <w:rFonts w:ascii="Tahoma" w:hAnsi="Tahoma" w:cs="Tahoma"/>
    </w:rPr>
  </w:style>
  <w:style w:type="character" w:customStyle="1" w:styleId="DocumentMapChar">
    <w:name w:val="Document Map Char"/>
    <w:link w:val="DocumentMap"/>
    <w:rsid w:val="00CA7DB1"/>
    <w:rPr>
      <w:rFonts w:ascii="Tahoma" w:hAnsi="Tahoma" w:cs="Tahoma"/>
      <w:sz w:val="22"/>
      <w:shd w:val="clear" w:color="auto" w:fill="000080"/>
      <w:lang w:val="en-US" w:eastAsia="en-US"/>
    </w:rPr>
  </w:style>
  <w:style w:type="paragraph" w:customStyle="1" w:styleId="TablePageNumber">
    <w:name w:val="TablePageNumber"/>
    <w:basedOn w:val="Normal"/>
    <w:next w:val="Text"/>
    <w:rsid w:val="005B4DE4"/>
    <w:pPr>
      <w:spacing w:line="240" w:lineRule="atLeast"/>
      <w:jc w:val="right"/>
    </w:pPr>
    <w:rPr>
      <w:sz w:val="20"/>
    </w:rPr>
  </w:style>
  <w:style w:type="paragraph" w:styleId="ListParagraph">
    <w:name w:val="List Paragraph"/>
    <w:basedOn w:val="Normal"/>
    <w:uiPriority w:val="34"/>
    <w:qFormat/>
    <w:rsid w:val="00CA7DB1"/>
    <w:pPr>
      <w:ind w:left="720"/>
    </w:pPr>
    <w:rPr>
      <w:lang w:val="en-US"/>
    </w:rPr>
  </w:style>
  <w:style w:type="paragraph" w:styleId="FootnoteText0">
    <w:name w:val="footnote text"/>
    <w:basedOn w:val="Normal"/>
    <w:link w:val="FootnoteTextChar0"/>
    <w:rsid w:val="00CA7DB1"/>
    <w:rPr>
      <w:sz w:val="20"/>
      <w:lang w:val="en-US"/>
    </w:rPr>
  </w:style>
  <w:style w:type="character" w:customStyle="1" w:styleId="FootnoteTextChar0">
    <w:name w:val="Footnote Text Char"/>
    <w:link w:val="FootnoteText0"/>
    <w:rsid w:val="00CA7DB1"/>
    <w:rPr>
      <w:rFonts w:ascii="Arial" w:hAnsi="Arial"/>
      <w:lang w:val="en-US" w:eastAsia="en-US"/>
    </w:rPr>
  </w:style>
  <w:style w:type="character" w:styleId="FootnoteReference">
    <w:name w:val="footnote reference"/>
    <w:rsid w:val="00CA7DB1"/>
    <w:rPr>
      <w:vertAlign w:val="superscript"/>
    </w:rPr>
  </w:style>
  <w:style w:type="paragraph" w:customStyle="1" w:styleId="TextBold">
    <w:name w:val="Text Bold"/>
    <w:basedOn w:val="Normal"/>
    <w:link w:val="TextBoldChar"/>
    <w:rsid w:val="00CA7DB1"/>
    <w:rPr>
      <w:rFonts w:ascii="Times New Roman" w:eastAsia="MS Mincho" w:hAnsi="Times New Roman"/>
      <w:b/>
      <w:bCs/>
      <w:color w:val="000000"/>
      <w:sz w:val="24"/>
      <w:szCs w:val="24"/>
      <w:lang w:val="en-US" w:eastAsia="ja-JP"/>
    </w:rPr>
  </w:style>
  <w:style w:type="character" w:customStyle="1" w:styleId="TextBoldChar">
    <w:name w:val="Text Bold Char"/>
    <w:link w:val="TextBold"/>
    <w:rsid w:val="00CA7DB1"/>
    <w:rPr>
      <w:rFonts w:eastAsia="MS Mincho"/>
      <w:b/>
      <w:bCs/>
      <w:color w:val="000000"/>
      <w:sz w:val="24"/>
      <w:szCs w:val="24"/>
      <w:lang w:val="en-US" w:eastAsia="ja-JP"/>
    </w:rPr>
  </w:style>
  <w:style w:type="paragraph" w:styleId="EndnoteText">
    <w:name w:val="endnote text"/>
    <w:basedOn w:val="Normal"/>
    <w:link w:val="EndnoteTextChar"/>
    <w:rsid w:val="00CA7DB1"/>
    <w:rPr>
      <w:sz w:val="20"/>
      <w:lang w:val="en-US"/>
    </w:rPr>
  </w:style>
  <w:style w:type="character" w:customStyle="1" w:styleId="EndnoteTextChar">
    <w:name w:val="Endnote Text Char"/>
    <w:link w:val="EndnoteText"/>
    <w:rsid w:val="00CA7DB1"/>
    <w:rPr>
      <w:rFonts w:ascii="Arial" w:hAnsi="Arial"/>
      <w:lang w:val="en-US" w:eastAsia="en-US"/>
    </w:rPr>
  </w:style>
  <w:style w:type="character" w:styleId="EndnoteReference">
    <w:name w:val="endnote reference"/>
    <w:rsid w:val="00CA7DB1"/>
    <w:rPr>
      <w:vertAlign w:val="superscript"/>
    </w:rPr>
  </w:style>
  <w:style w:type="character" w:styleId="Emphasis">
    <w:name w:val="Emphasis"/>
    <w:qFormat/>
    <w:rsid w:val="00CA7DB1"/>
    <w:rPr>
      <w:i/>
      <w:iCs/>
    </w:rPr>
  </w:style>
  <w:style w:type="paragraph" w:customStyle="1" w:styleId="Default">
    <w:name w:val="Default"/>
    <w:rsid w:val="00555CBE"/>
    <w:pPr>
      <w:autoSpaceDE w:val="0"/>
      <w:autoSpaceDN w:val="0"/>
      <w:adjustRightInd w:val="0"/>
    </w:pPr>
    <w:rPr>
      <w:rFonts w:ascii="Symbol" w:hAnsi="Symbol" w:cs="Symbol"/>
      <w:color w:val="000000"/>
      <w:sz w:val="24"/>
      <w:szCs w:val="24"/>
    </w:rPr>
  </w:style>
  <w:style w:type="paragraph" w:styleId="PlainText">
    <w:name w:val="Plain Text"/>
    <w:basedOn w:val="Normal"/>
    <w:link w:val="PlainTextChar"/>
    <w:uiPriority w:val="99"/>
    <w:unhideWhenUsed/>
    <w:rsid w:val="00F049AA"/>
    <w:rPr>
      <w:rFonts w:ascii="Consolas" w:eastAsia="Calibri" w:hAnsi="Consolas"/>
      <w:sz w:val="21"/>
      <w:szCs w:val="21"/>
      <w:lang w:val="en-US"/>
    </w:rPr>
  </w:style>
  <w:style w:type="character" w:customStyle="1" w:styleId="PlainTextChar">
    <w:name w:val="Plain Text Char"/>
    <w:link w:val="PlainText"/>
    <w:uiPriority w:val="99"/>
    <w:rsid w:val="00F049AA"/>
    <w:rPr>
      <w:rFonts w:ascii="Consolas" w:eastAsia="Calibri" w:hAnsi="Consolas"/>
      <w:sz w:val="21"/>
      <w:szCs w:val="21"/>
      <w:lang w:val="en-US" w:eastAsia="en-US"/>
    </w:rPr>
  </w:style>
  <w:style w:type="character" w:customStyle="1" w:styleId="apple-converted-space">
    <w:name w:val="apple-converted-space"/>
    <w:rsid w:val="00D07730"/>
  </w:style>
  <w:style w:type="paragraph" w:customStyle="1" w:styleId="MemoHeaderStyle">
    <w:name w:val="MemoHeaderStyle"/>
    <w:basedOn w:val="Normal"/>
    <w:next w:val="Normal"/>
    <w:rsid w:val="002602E8"/>
    <w:pPr>
      <w:tabs>
        <w:tab w:val="left" w:pos="567"/>
      </w:tabs>
      <w:spacing w:line="120" w:lineRule="atLeast"/>
      <w:ind w:left="1418"/>
      <w:jc w:val="both"/>
    </w:pPr>
    <w:rPr>
      <w:b/>
      <w:smallCaps/>
      <w:lang w:val="en-GB"/>
    </w:rPr>
  </w:style>
  <w:style w:type="paragraph" w:customStyle="1" w:styleId="Confidential">
    <w:name w:val="Confidential"/>
    <w:basedOn w:val="Normal"/>
    <w:semiHidden/>
    <w:rsid w:val="005B4DE4"/>
    <w:pPr>
      <w:keepLines/>
      <w:framePr w:w="5760" w:hSpace="187" w:vSpace="144" w:wrap="notBeside" w:vAnchor="page" w:hAnchor="text" w:xAlign="center" w:yAlign="center"/>
      <w:pBdr>
        <w:top w:val="single" w:sz="6" w:space="3" w:color="auto"/>
        <w:left w:val="single" w:sz="6" w:space="3" w:color="auto"/>
        <w:bottom w:val="single" w:sz="6" w:space="3" w:color="auto"/>
        <w:right w:val="single" w:sz="6" w:space="3" w:color="auto"/>
      </w:pBdr>
      <w:spacing w:after="200" w:line="300" w:lineRule="atLeast"/>
      <w:jc w:val="center"/>
    </w:pPr>
  </w:style>
  <w:style w:type="paragraph" w:customStyle="1" w:styleId="CoverPage">
    <w:name w:val="CoverPage"/>
    <w:basedOn w:val="CenterBold"/>
    <w:semiHidden/>
    <w:rsid w:val="005B4DE4"/>
    <w:pPr>
      <w:spacing w:before="400" w:after="400"/>
    </w:pPr>
    <w:rPr>
      <w:sz w:val="24"/>
    </w:rPr>
  </w:style>
  <w:style w:type="paragraph" w:customStyle="1" w:styleId="FootnoteLine">
    <w:name w:val="FootnoteLine"/>
    <w:basedOn w:val="Normal"/>
    <w:next w:val="Normal"/>
    <w:semiHidden/>
    <w:rsid w:val="005B4DE4"/>
    <w:pPr>
      <w:pBdr>
        <w:bottom w:val="single" w:sz="6" w:space="6" w:color="auto"/>
      </w:pBdr>
      <w:spacing w:line="160" w:lineRule="atLeast"/>
    </w:pPr>
    <w:rPr>
      <w:sz w:val="16"/>
    </w:rPr>
  </w:style>
  <w:style w:type="paragraph" w:customStyle="1" w:styleId="RightTabBold">
    <w:name w:val="RightTabBold"/>
    <w:basedOn w:val="Normal"/>
    <w:semiHidden/>
    <w:rsid w:val="005B4DE4"/>
    <w:pPr>
      <w:tabs>
        <w:tab w:val="right" w:pos="8640"/>
      </w:tabs>
      <w:spacing w:before="100" w:after="100"/>
    </w:pPr>
    <w:rPr>
      <w:b/>
    </w:rPr>
  </w:style>
  <w:style w:type="paragraph" w:customStyle="1" w:styleId="SectionBreak">
    <w:name w:val="SectionBreak"/>
    <w:basedOn w:val="Normal"/>
    <w:next w:val="Text"/>
    <w:semiHidden/>
    <w:rsid w:val="005B4DE4"/>
  </w:style>
  <w:style w:type="paragraph" w:customStyle="1" w:styleId="PI-UnderlinedSubHeader">
    <w:name w:val="PI -Underlined Sub Header"/>
    <w:basedOn w:val="Heading3"/>
    <w:qFormat/>
    <w:rsid w:val="005B4DE4"/>
    <w:pPr>
      <w:numPr>
        <w:ilvl w:val="0"/>
        <w:numId w:val="0"/>
      </w:numPr>
      <w:ind w:left="1440" w:hanging="1440"/>
    </w:pPr>
    <w:rPr>
      <w:u w:val="single"/>
    </w:rPr>
  </w:style>
  <w:style w:type="paragraph" w:customStyle="1" w:styleId="PI-MainHeader">
    <w:name w:val="PI - Main Header"/>
    <w:basedOn w:val="Heading2"/>
    <w:qFormat/>
    <w:rsid w:val="005B4DE4"/>
    <w:pPr>
      <w:numPr>
        <w:ilvl w:val="0"/>
        <w:numId w:val="0"/>
      </w:numPr>
      <w:spacing w:before="240"/>
      <w:ind w:left="1440" w:hanging="1440"/>
    </w:pPr>
    <w:rPr>
      <w:rFonts w:cs="Arial"/>
    </w:rPr>
  </w:style>
  <w:style w:type="paragraph" w:customStyle="1" w:styleId="PI-text">
    <w:name w:val="PI - text"/>
    <w:basedOn w:val="Normal"/>
    <w:qFormat/>
    <w:rsid w:val="00F309DA"/>
    <w:pPr>
      <w:spacing w:before="120" w:after="120" w:line="360" w:lineRule="auto"/>
    </w:pPr>
    <w:rPr>
      <w:rFonts w:cs="Arial"/>
      <w:szCs w:val="22"/>
      <w:lang w:val="en-GB"/>
    </w:rPr>
  </w:style>
  <w:style w:type="paragraph" w:customStyle="1" w:styleId="PI-subheadernounderline">
    <w:name w:val="PI -sub header no underline"/>
    <w:basedOn w:val="PI-UnderlinedSubHeader"/>
    <w:qFormat/>
    <w:rsid w:val="00F309DA"/>
    <w:rPr>
      <w:u w:val="none"/>
    </w:rPr>
  </w:style>
  <w:style w:type="paragraph" w:customStyle="1" w:styleId="PItextbullet">
    <w:name w:val="PI text bullet"/>
    <w:basedOn w:val="PI-text"/>
    <w:qFormat/>
    <w:rsid w:val="00F309DA"/>
    <w:pPr>
      <w:numPr>
        <w:numId w:val="6"/>
      </w:numPr>
      <w:spacing w:before="60" w:after="60"/>
    </w:pPr>
  </w:style>
  <w:style w:type="paragraph" w:customStyle="1" w:styleId="SynopsisText">
    <w:name w:val="SynopsisText"/>
    <w:basedOn w:val="Normal"/>
    <w:link w:val="SynopsisTextChar"/>
    <w:rsid w:val="00C05013"/>
    <w:pPr>
      <w:tabs>
        <w:tab w:val="left" w:pos="1794"/>
      </w:tabs>
      <w:spacing w:before="60" w:after="60"/>
    </w:pPr>
  </w:style>
  <w:style w:type="character" w:customStyle="1" w:styleId="SynopsisTextChar">
    <w:name w:val="SynopsisText Char"/>
    <w:link w:val="SynopsisText"/>
    <w:locked/>
    <w:rsid w:val="00C05013"/>
    <w:rPr>
      <w:rFonts w:ascii="Arial" w:hAnsi="Arial"/>
      <w:sz w:val="22"/>
      <w:lang w:val="en-US" w:eastAsia="en-US"/>
    </w:rPr>
  </w:style>
  <w:style w:type="character" w:customStyle="1" w:styleId="FootnoteTextChar">
    <w:name w:val="FootnoteText Char"/>
    <w:link w:val="FootnoteText"/>
    <w:rsid w:val="00C05013"/>
    <w:rPr>
      <w:rFonts w:ascii="Arial" w:hAnsi="Arial"/>
      <w:sz w:val="18"/>
      <w:lang w:val="en-US" w:eastAsia="en-US"/>
    </w:rPr>
  </w:style>
  <w:style w:type="paragraph" w:customStyle="1" w:styleId="TextBoldItalic">
    <w:name w:val="TextBoldItalic"/>
    <w:basedOn w:val="Normal"/>
    <w:rsid w:val="001C3025"/>
    <w:pPr>
      <w:spacing w:before="120" w:after="100" w:line="360" w:lineRule="auto"/>
    </w:pPr>
    <w:rPr>
      <w:b/>
      <w: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4DE4"/>
    <w:pPr>
      <w:suppressAutoHyphens/>
    </w:pPr>
    <w:rPr>
      <w:rFonts w:ascii="Arial" w:hAnsi="Arial"/>
      <w:sz w:val="22"/>
      <w:lang w:eastAsia="en-US"/>
    </w:rPr>
  </w:style>
  <w:style w:type="paragraph" w:styleId="Heading1">
    <w:name w:val="heading 1"/>
    <w:basedOn w:val="Normal"/>
    <w:next w:val="Text"/>
    <w:link w:val="Heading1Char"/>
    <w:qFormat/>
    <w:rsid w:val="005B4DE4"/>
    <w:pPr>
      <w:keepNext/>
      <w:numPr>
        <w:numId w:val="2"/>
      </w:numPr>
      <w:spacing w:before="120" w:after="120"/>
      <w:outlineLvl w:val="0"/>
    </w:pPr>
    <w:rPr>
      <w:b/>
    </w:rPr>
  </w:style>
  <w:style w:type="paragraph" w:styleId="Heading2">
    <w:name w:val="heading 2"/>
    <w:basedOn w:val="Heading1"/>
    <w:next w:val="Text"/>
    <w:link w:val="Heading2Char"/>
    <w:qFormat/>
    <w:rsid w:val="005B4DE4"/>
    <w:pPr>
      <w:numPr>
        <w:ilvl w:val="1"/>
      </w:numPr>
      <w:outlineLvl w:val="1"/>
    </w:pPr>
  </w:style>
  <w:style w:type="paragraph" w:styleId="Heading3">
    <w:name w:val="heading 3"/>
    <w:basedOn w:val="Heading2"/>
    <w:next w:val="Text"/>
    <w:link w:val="Heading3Char"/>
    <w:qFormat/>
    <w:rsid w:val="005B4DE4"/>
    <w:pPr>
      <w:numPr>
        <w:ilvl w:val="2"/>
      </w:numPr>
      <w:outlineLvl w:val="2"/>
    </w:pPr>
  </w:style>
  <w:style w:type="paragraph" w:styleId="Heading4">
    <w:name w:val="heading 4"/>
    <w:basedOn w:val="Heading2"/>
    <w:next w:val="Text"/>
    <w:link w:val="Heading4Char"/>
    <w:qFormat/>
    <w:rsid w:val="005B4DE4"/>
    <w:pPr>
      <w:numPr>
        <w:ilvl w:val="3"/>
      </w:numPr>
      <w:outlineLvl w:val="3"/>
    </w:pPr>
  </w:style>
  <w:style w:type="paragraph" w:styleId="Heading5">
    <w:name w:val="heading 5"/>
    <w:basedOn w:val="Heading2"/>
    <w:next w:val="Text"/>
    <w:link w:val="Heading5Char"/>
    <w:qFormat/>
    <w:rsid w:val="005B4DE4"/>
    <w:pPr>
      <w:numPr>
        <w:ilvl w:val="4"/>
      </w:numPr>
      <w:outlineLvl w:val="4"/>
    </w:pPr>
  </w:style>
  <w:style w:type="paragraph" w:styleId="Heading6">
    <w:name w:val="heading 6"/>
    <w:basedOn w:val="Heading2"/>
    <w:next w:val="Text"/>
    <w:link w:val="Heading6Char"/>
    <w:qFormat/>
    <w:rsid w:val="005B4DE4"/>
    <w:pPr>
      <w:numPr>
        <w:ilvl w:val="5"/>
      </w:numPr>
      <w:outlineLvl w:val="5"/>
    </w:pPr>
  </w:style>
  <w:style w:type="paragraph" w:styleId="Heading7">
    <w:name w:val="heading 7"/>
    <w:basedOn w:val="Heading2"/>
    <w:next w:val="Text"/>
    <w:link w:val="Heading7Char"/>
    <w:qFormat/>
    <w:rsid w:val="005B4DE4"/>
    <w:pPr>
      <w:numPr>
        <w:ilvl w:val="6"/>
      </w:numPr>
      <w:outlineLvl w:val="6"/>
    </w:pPr>
  </w:style>
  <w:style w:type="paragraph" w:styleId="Heading8">
    <w:name w:val="heading 8"/>
    <w:basedOn w:val="Heading2"/>
    <w:next w:val="Text"/>
    <w:link w:val="Heading8Char"/>
    <w:qFormat/>
    <w:rsid w:val="005B4DE4"/>
    <w:pPr>
      <w:numPr>
        <w:ilvl w:val="7"/>
      </w:numPr>
      <w:outlineLvl w:val="7"/>
    </w:pPr>
  </w:style>
  <w:style w:type="paragraph" w:styleId="Heading9">
    <w:name w:val="heading 9"/>
    <w:basedOn w:val="Heading2"/>
    <w:next w:val="Text"/>
    <w:link w:val="Heading9Char"/>
    <w:qFormat/>
    <w:rsid w:val="005B4DE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7730"/>
    <w:rPr>
      <w:rFonts w:ascii="Arial" w:hAnsi="Arial"/>
      <w:b/>
      <w:sz w:val="22"/>
      <w:lang w:val="en-US" w:eastAsia="en-US"/>
    </w:rPr>
  </w:style>
  <w:style w:type="character" w:customStyle="1" w:styleId="Heading2Char">
    <w:name w:val="Heading 2 Char"/>
    <w:link w:val="Heading2"/>
    <w:rsid w:val="00FF4149"/>
    <w:rPr>
      <w:rFonts w:ascii="Arial" w:hAnsi="Arial"/>
      <w:b/>
      <w:sz w:val="22"/>
      <w:lang w:val="en-US" w:eastAsia="en-US"/>
    </w:rPr>
  </w:style>
  <w:style w:type="paragraph" w:customStyle="1" w:styleId="Text">
    <w:name w:val="Text"/>
    <w:aliases w:val="本文,JP Body Text,Body Text1,本文2,Body Text11,Body Text111,text文,Body Text2"/>
    <w:basedOn w:val="Normal"/>
    <w:link w:val="TextChar"/>
    <w:qFormat/>
    <w:rsid w:val="005B4DE4"/>
    <w:pPr>
      <w:spacing w:before="120" w:after="120" w:line="360" w:lineRule="auto"/>
    </w:pPr>
  </w:style>
  <w:style w:type="character" w:customStyle="1" w:styleId="TextChar">
    <w:name w:val="Text Char"/>
    <w:link w:val="Text"/>
    <w:rsid w:val="000E343F"/>
    <w:rPr>
      <w:rFonts w:ascii="Arial" w:hAnsi="Arial"/>
      <w:sz w:val="22"/>
      <w:lang w:val="en-US" w:eastAsia="en-US"/>
    </w:rPr>
  </w:style>
  <w:style w:type="character" w:customStyle="1" w:styleId="Heading3Char">
    <w:name w:val="Heading 3 Char"/>
    <w:link w:val="Heading3"/>
    <w:rsid w:val="00D07730"/>
    <w:rPr>
      <w:rFonts w:ascii="Arial" w:hAnsi="Arial"/>
      <w:b/>
      <w:sz w:val="22"/>
      <w:lang w:val="en-US" w:eastAsia="en-US"/>
    </w:rPr>
  </w:style>
  <w:style w:type="character" w:customStyle="1" w:styleId="Heading4Char">
    <w:name w:val="Heading 4 Char"/>
    <w:link w:val="Heading4"/>
    <w:rsid w:val="00D07730"/>
    <w:rPr>
      <w:rFonts w:ascii="Arial" w:hAnsi="Arial"/>
      <w:b/>
      <w:sz w:val="22"/>
      <w:lang w:val="en-US" w:eastAsia="en-US"/>
    </w:rPr>
  </w:style>
  <w:style w:type="character" w:customStyle="1" w:styleId="Heading5Char">
    <w:name w:val="Heading 5 Char"/>
    <w:link w:val="Heading5"/>
    <w:rsid w:val="00FF4149"/>
    <w:rPr>
      <w:rFonts w:ascii="Arial" w:hAnsi="Arial"/>
      <w:b/>
      <w:sz w:val="22"/>
      <w:lang w:val="en-US" w:eastAsia="en-US"/>
    </w:rPr>
  </w:style>
  <w:style w:type="character" w:customStyle="1" w:styleId="Heading6Char">
    <w:name w:val="Heading 6 Char"/>
    <w:link w:val="Heading6"/>
    <w:rsid w:val="00D07730"/>
    <w:rPr>
      <w:rFonts w:ascii="Arial" w:hAnsi="Arial"/>
      <w:b/>
      <w:sz w:val="22"/>
      <w:lang w:val="en-US" w:eastAsia="en-US"/>
    </w:rPr>
  </w:style>
  <w:style w:type="character" w:customStyle="1" w:styleId="Heading7Char">
    <w:name w:val="Heading 7 Char"/>
    <w:link w:val="Heading7"/>
    <w:rsid w:val="00D07730"/>
    <w:rPr>
      <w:rFonts w:ascii="Arial" w:hAnsi="Arial"/>
      <w:b/>
      <w:sz w:val="22"/>
      <w:lang w:val="en-US" w:eastAsia="en-US"/>
    </w:rPr>
  </w:style>
  <w:style w:type="character" w:customStyle="1" w:styleId="Heading8Char">
    <w:name w:val="Heading 8 Char"/>
    <w:link w:val="Heading8"/>
    <w:rsid w:val="00D07730"/>
    <w:rPr>
      <w:rFonts w:ascii="Arial" w:hAnsi="Arial"/>
      <w:b/>
      <w:sz w:val="22"/>
      <w:lang w:val="en-US" w:eastAsia="en-US"/>
    </w:rPr>
  </w:style>
  <w:style w:type="character" w:customStyle="1" w:styleId="Heading9Char">
    <w:name w:val="Heading 9 Char"/>
    <w:link w:val="Heading9"/>
    <w:rsid w:val="00D07730"/>
    <w:rPr>
      <w:rFonts w:ascii="Arial" w:hAnsi="Arial"/>
      <w:b/>
      <w:sz w:val="22"/>
      <w:lang w:val="en-US" w:eastAsia="en-US"/>
    </w:rPr>
  </w:style>
  <w:style w:type="paragraph" w:styleId="Caption">
    <w:name w:val="caption"/>
    <w:aliases w:val="Caption Char1 Char,Caption Char Char Char,Caption Char1,Caption Table...,Caption Char1 + 8 pt,Not B....,Caption Table,..."/>
    <w:basedOn w:val="Normal"/>
    <w:next w:val="Text"/>
    <w:link w:val="CaptionChar"/>
    <w:uiPriority w:val="35"/>
    <w:qFormat/>
    <w:rsid w:val="005B4DE4"/>
    <w:pPr>
      <w:keepNext/>
      <w:spacing w:before="300" w:after="100"/>
      <w:jc w:val="center"/>
    </w:pPr>
    <w:rPr>
      <w:b/>
    </w:rPr>
  </w:style>
  <w:style w:type="character" w:customStyle="1" w:styleId="CaptionChar">
    <w:name w:val="Caption Char"/>
    <w:aliases w:val="Caption Char1 Char Char,Caption Char Char Char Char,Caption Char1 Char1,Caption Table... Char,Caption Char1 + 8 pt Char,Not B.... Char,Caption Table Char,... Char"/>
    <w:link w:val="Caption"/>
    <w:uiPriority w:val="35"/>
    <w:rsid w:val="006C78BA"/>
    <w:rPr>
      <w:rFonts w:ascii="Arial" w:hAnsi="Arial"/>
      <w:b/>
      <w:sz w:val="22"/>
      <w:lang w:val="en-US" w:eastAsia="en-US"/>
    </w:rPr>
  </w:style>
  <w:style w:type="paragraph" w:customStyle="1" w:styleId="FootnoteText">
    <w:name w:val="FootnoteText"/>
    <w:basedOn w:val="TableLeftAlign"/>
    <w:next w:val="Text"/>
    <w:link w:val="FootnoteTextChar"/>
    <w:rsid w:val="005B4DE4"/>
    <w:pPr>
      <w:keepLines/>
      <w:spacing w:before="0" w:after="0" w:line="240" w:lineRule="auto"/>
      <w:ind w:left="144" w:hanging="144"/>
    </w:pPr>
    <w:rPr>
      <w:sz w:val="18"/>
    </w:rPr>
  </w:style>
  <w:style w:type="paragraph" w:customStyle="1" w:styleId="TableCenterAlign">
    <w:name w:val="TableCenterAlign"/>
    <w:basedOn w:val="Normal"/>
    <w:rsid w:val="005B4DE4"/>
    <w:pPr>
      <w:spacing w:before="60" w:after="60" w:line="240" w:lineRule="atLeast"/>
      <w:jc w:val="center"/>
    </w:pPr>
  </w:style>
  <w:style w:type="paragraph" w:customStyle="1" w:styleId="TableCentreBold">
    <w:name w:val="TableCentreBold"/>
    <w:basedOn w:val="Normal"/>
    <w:pPr>
      <w:spacing w:before="60" w:after="60"/>
      <w:jc w:val="center"/>
    </w:pPr>
    <w:rPr>
      <w:b/>
      <w:sz w:val="20"/>
    </w:rPr>
  </w:style>
  <w:style w:type="paragraph" w:customStyle="1" w:styleId="TableLeftAlign">
    <w:name w:val="TableLeftAlign"/>
    <w:basedOn w:val="Normal"/>
    <w:rsid w:val="005B4DE4"/>
    <w:pPr>
      <w:spacing w:before="60" w:after="60" w:line="240" w:lineRule="atLeast"/>
    </w:pPr>
  </w:style>
  <w:style w:type="paragraph" w:customStyle="1" w:styleId="TableLeftBold">
    <w:name w:val="TableLeftBold"/>
    <w:basedOn w:val="Normal"/>
    <w:pPr>
      <w:spacing w:before="60" w:after="60"/>
    </w:pPr>
    <w:rPr>
      <w:b/>
      <w:sz w:val="20"/>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sid w:val="00DB1A7F"/>
    <w:rPr>
      <w:rFonts w:ascii="Arial" w:hAnsi="Arial"/>
      <w:lang w:eastAsia="en-US"/>
    </w:rPr>
  </w:style>
  <w:style w:type="paragraph" w:styleId="Header">
    <w:name w:val="header"/>
    <w:basedOn w:val="Normal"/>
    <w:link w:val="HeaderChar"/>
    <w:rsid w:val="005B4DE4"/>
    <w:pPr>
      <w:keepLines/>
      <w:pBdr>
        <w:bottom w:val="single" w:sz="12" w:space="6" w:color="auto"/>
      </w:pBdr>
      <w:tabs>
        <w:tab w:val="right" w:pos="8640"/>
      </w:tabs>
      <w:spacing w:line="200" w:lineRule="atLeast"/>
    </w:pPr>
    <w:rPr>
      <w:b/>
      <w:sz w:val="20"/>
    </w:rPr>
  </w:style>
  <w:style w:type="character" w:customStyle="1" w:styleId="HeaderChar">
    <w:name w:val="Header Char"/>
    <w:link w:val="Header"/>
    <w:rsid w:val="00FF7AFE"/>
    <w:rPr>
      <w:rFonts w:ascii="Arial" w:hAnsi="Arial"/>
      <w:b/>
      <w:lang w:val="en-US" w:eastAsia="en-US"/>
    </w:rPr>
  </w:style>
  <w:style w:type="paragraph" w:styleId="Footer">
    <w:name w:val="footer"/>
    <w:basedOn w:val="Normal"/>
    <w:link w:val="FooterChar"/>
    <w:rsid w:val="005B4DE4"/>
    <w:pPr>
      <w:keepLines/>
      <w:pBdr>
        <w:top w:val="single" w:sz="12" w:space="6" w:color="auto"/>
      </w:pBdr>
      <w:tabs>
        <w:tab w:val="center" w:pos="4320"/>
        <w:tab w:val="right" w:pos="8640"/>
      </w:tabs>
      <w:spacing w:line="200" w:lineRule="atLeast"/>
    </w:pPr>
    <w:rPr>
      <w:b/>
      <w:sz w:val="20"/>
    </w:rPr>
  </w:style>
  <w:style w:type="character" w:customStyle="1" w:styleId="FooterChar">
    <w:name w:val="Footer Char"/>
    <w:link w:val="Footer"/>
    <w:rsid w:val="00CA7DB1"/>
    <w:rPr>
      <w:rFonts w:ascii="Arial" w:hAnsi="Arial"/>
      <w:b/>
      <w:lang w:val="en-US" w:eastAsia="en-US"/>
    </w:rPr>
  </w:style>
  <w:style w:type="paragraph" w:customStyle="1" w:styleId="lbltxt">
    <w:name w:val="lbltxt"/>
    <w:rPr>
      <w:noProof/>
      <w:sz w:val="22"/>
      <w:lang w:eastAsia="en-US"/>
    </w:rPr>
  </w:style>
  <w:style w:type="paragraph" w:styleId="BodyText">
    <w:name w:val="Body Text"/>
    <w:basedOn w:val="Normal"/>
    <w:link w:val="BodyTextChar"/>
    <w:rPr>
      <w:rFonts w:ascii="Times New Roman" w:hAnsi="Times New Roman"/>
    </w:rPr>
  </w:style>
  <w:style w:type="character" w:customStyle="1" w:styleId="BodyTextChar">
    <w:name w:val="Body Text Char"/>
    <w:link w:val="BodyText"/>
    <w:rsid w:val="00D07730"/>
    <w:rPr>
      <w:sz w:val="22"/>
      <w:lang w:eastAsia="en-US"/>
    </w:rPr>
  </w:style>
  <w:style w:type="paragraph" w:customStyle="1" w:styleId="TextList">
    <w:name w:val="TextList"/>
    <w:basedOn w:val="Text"/>
    <w:rsid w:val="005B4DE4"/>
    <w:pPr>
      <w:spacing w:after="100" w:line="280" w:lineRule="atLeast"/>
      <w:ind w:left="360" w:hanging="360"/>
    </w:pPr>
  </w:style>
  <w:style w:type="paragraph" w:customStyle="1" w:styleId="TextBullet">
    <w:name w:val="TextBullet"/>
    <w:basedOn w:val="Normal"/>
    <w:rsid w:val="005B4DE4"/>
    <w:pPr>
      <w:numPr>
        <w:numId w:val="4"/>
      </w:numPr>
      <w:spacing w:after="100"/>
    </w:pPr>
  </w:style>
  <w:style w:type="paragraph" w:customStyle="1" w:styleId="NumberRestart">
    <w:name w:val="NumberRestart"/>
    <w:basedOn w:val="Text"/>
    <w:rsid w:val="005B4DE4"/>
    <w:pPr>
      <w:numPr>
        <w:numId w:val="3"/>
      </w:numPr>
      <w:outlineLvl w:val="0"/>
    </w:pPr>
  </w:style>
  <w:style w:type="paragraph" w:customStyle="1" w:styleId="Indication">
    <w:name w:val="Indication"/>
    <w:basedOn w:val="Normal"/>
    <w:next w:val="Text"/>
    <w:pPr>
      <w:keepNext/>
      <w:spacing w:before="120"/>
    </w:pPr>
    <w:rPr>
      <w:b/>
      <w:i/>
      <w:sz w:val="24"/>
      <w:lang w:val="en-US"/>
    </w:rPr>
  </w:style>
  <w:style w:type="paragraph" w:styleId="TableofFigures">
    <w:name w:val="table of figures"/>
    <w:basedOn w:val="Text"/>
    <w:next w:val="Text"/>
    <w:rsid w:val="005B4DE4"/>
    <w:pPr>
      <w:keepLines/>
      <w:tabs>
        <w:tab w:val="right" w:leader="dot" w:pos="8640"/>
      </w:tabs>
      <w:spacing w:before="0" w:line="240" w:lineRule="auto"/>
      <w:ind w:left="1426" w:right="1080" w:hanging="1426"/>
    </w:pPr>
    <w:rPr>
      <w:color w:val="0000FF"/>
    </w:rPr>
  </w:style>
  <w:style w:type="character" w:styleId="Hyperlink">
    <w:name w:val="Hyperlink"/>
    <w:uiPriority w:val="99"/>
    <w:rsid w:val="005B4DE4"/>
    <w:rPr>
      <w:color w:val="0000FF"/>
      <w:u w:val="single"/>
    </w:rPr>
  </w:style>
  <w:style w:type="paragraph" w:styleId="BodyText2">
    <w:name w:val="Body Text 2"/>
    <w:basedOn w:val="Normal"/>
    <w:link w:val="BodyText2Char"/>
    <w:rPr>
      <w:sz w:val="16"/>
    </w:rPr>
  </w:style>
  <w:style w:type="character" w:customStyle="1" w:styleId="BodyText2Char">
    <w:name w:val="Body Text 2 Char"/>
    <w:link w:val="BodyText2"/>
    <w:rsid w:val="00D07730"/>
    <w:rPr>
      <w:rFonts w:ascii="Arial" w:hAnsi="Arial"/>
      <w:sz w:val="16"/>
      <w:lang w:eastAsia="en-US"/>
    </w:rPr>
  </w:style>
  <w:style w:type="paragraph" w:styleId="Title">
    <w:name w:val="Title"/>
    <w:basedOn w:val="Normal"/>
    <w:link w:val="TitleChar"/>
    <w:qFormat/>
    <w:rsid w:val="005B4DE4"/>
    <w:pPr>
      <w:suppressAutoHyphens w:val="0"/>
      <w:spacing w:before="240" w:after="60"/>
      <w:jc w:val="center"/>
      <w:outlineLvl w:val="0"/>
    </w:pPr>
    <w:rPr>
      <w:b/>
      <w:kern w:val="28"/>
      <w:sz w:val="32"/>
    </w:rPr>
  </w:style>
  <w:style w:type="character" w:customStyle="1" w:styleId="TitleChar">
    <w:name w:val="Title Char"/>
    <w:link w:val="Title"/>
    <w:rsid w:val="00D07730"/>
    <w:rPr>
      <w:rFonts w:ascii="Arial" w:hAnsi="Arial"/>
      <w:b/>
      <w:kern w:val="28"/>
      <w:sz w:val="32"/>
      <w:lang w:val="en-US" w:eastAsia="en-US"/>
    </w:rPr>
  </w:style>
  <w:style w:type="character" w:styleId="FollowedHyperlink">
    <w:name w:val="FollowedHyperlink"/>
    <w:rPr>
      <w:color w:val="800080"/>
      <w:u w:val="single"/>
    </w:rPr>
  </w:style>
  <w:style w:type="paragraph" w:styleId="BodyTextIndent">
    <w:name w:val="Body Text Indent"/>
    <w:basedOn w:val="Normal"/>
    <w:link w:val="BodyTextIndentChar"/>
    <w:pPr>
      <w:ind w:left="285"/>
    </w:pPr>
    <w:rPr>
      <w:rFonts w:ascii="Times New Roman" w:hAnsi="Times New Roman"/>
      <w:sz w:val="24"/>
      <w:szCs w:val="24"/>
    </w:rPr>
  </w:style>
  <w:style w:type="character" w:customStyle="1" w:styleId="BodyTextIndentChar">
    <w:name w:val="Body Text Indent Char"/>
    <w:link w:val="BodyTextIndent"/>
    <w:rsid w:val="00D07730"/>
    <w:rPr>
      <w:sz w:val="24"/>
      <w:szCs w:val="24"/>
      <w:lang w:eastAsia="en-US"/>
    </w:rPr>
  </w:style>
  <w:style w:type="paragraph" w:styleId="BodyTextIndent2">
    <w:name w:val="Body Text Indent 2"/>
    <w:basedOn w:val="Normal"/>
    <w:pPr>
      <w:ind w:left="285"/>
    </w:pPr>
  </w:style>
  <w:style w:type="character" w:styleId="LineNumber">
    <w:name w:val="line number"/>
    <w:basedOn w:val="DefaultParagraphFont"/>
  </w:style>
  <w:style w:type="paragraph" w:styleId="Signature">
    <w:name w:val="Signature"/>
    <w:basedOn w:val="Normal"/>
    <w:pPr>
      <w:ind w:left="4252"/>
    </w:pPr>
  </w:style>
  <w:style w:type="character" w:styleId="PageNumber">
    <w:name w:val="page number"/>
    <w:rsid w:val="005B4DE4"/>
  </w:style>
  <w:style w:type="paragraph" w:styleId="BalloonText">
    <w:name w:val="Balloon Text"/>
    <w:basedOn w:val="Normal"/>
    <w:link w:val="BalloonTextChar"/>
    <w:rsid w:val="005B4DE4"/>
    <w:rPr>
      <w:rFonts w:ascii="Tahoma" w:hAnsi="Tahoma" w:cs="Tahoma"/>
      <w:sz w:val="16"/>
      <w:szCs w:val="16"/>
    </w:rPr>
  </w:style>
  <w:style w:type="character" w:customStyle="1" w:styleId="BalloonTextChar">
    <w:name w:val="Balloon Text Char"/>
    <w:link w:val="BalloonText"/>
    <w:rsid w:val="005B4DE4"/>
    <w:rPr>
      <w:rFonts w:ascii="Tahoma" w:hAnsi="Tahoma" w:cs="Tahoma"/>
      <w:sz w:val="16"/>
      <w:szCs w:val="16"/>
      <w:lang w:val="en-US" w:eastAsia="en-US"/>
    </w:rPr>
  </w:style>
  <w:style w:type="table" w:styleId="TableGrid">
    <w:name w:val="Table Grid"/>
    <w:basedOn w:val="TableNormal"/>
    <w:uiPriority w:val="59"/>
    <w:rsid w:val="00157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24107C"/>
    <w:rPr>
      <w:b/>
      <w:bCs/>
    </w:rPr>
  </w:style>
  <w:style w:type="character" w:customStyle="1" w:styleId="CommentSubjectChar">
    <w:name w:val="Comment Subject Char"/>
    <w:link w:val="CommentSubject"/>
    <w:semiHidden/>
    <w:rsid w:val="00D07730"/>
    <w:rPr>
      <w:rFonts w:ascii="Arial" w:hAnsi="Arial"/>
      <w:b/>
      <w:bCs/>
      <w:lang w:eastAsia="en-US"/>
    </w:rPr>
  </w:style>
  <w:style w:type="paragraph" w:customStyle="1" w:styleId="text0">
    <w:name w:val="text"/>
    <w:basedOn w:val="Normal"/>
    <w:rsid w:val="00AF3CF8"/>
    <w:pPr>
      <w:spacing w:after="200" w:line="380" w:lineRule="atLeast"/>
    </w:pPr>
    <w:rPr>
      <w:rFonts w:cs="Arial"/>
      <w:szCs w:val="22"/>
      <w:lang w:eastAsia="en-AU"/>
    </w:rPr>
  </w:style>
  <w:style w:type="paragraph" w:styleId="Revision">
    <w:name w:val="Revision"/>
    <w:hidden/>
    <w:uiPriority w:val="99"/>
    <w:semiHidden/>
    <w:rsid w:val="00975EE9"/>
    <w:rPr>
      <w:rFonts w:ascii="Arial" w:hAnsi="Arial"/>
      <w:sz w:val="22"/>
      <w:lang w:eastAsia="en-US"/>
    </w:rPr>
  </w:style>
  <w:style w:type="paragraph" w:styleId="ListBullet">
    <w:name w:val="List Bullet"/>
    <w:basedOn w:val="Normal"/>
    <w:link w:val="ListBulletChar"/>
    <w:rsid w:val="00FF7AFE"/>
    <w:rPr>
      <w:rFonts w:ascii="Times New Roman" w:eastAsia="MS Mincho" w:hAnsi="Times New Roman"/>
      <w:i/>
      <w:sz w:val="24"/>
      <w:szCs w:val="24"/>
      <w:lang w:val="en-US" w:eastAsia="ja-JP"/>
    </w:rPr>
  </w:style>
  <w:style w:type="character" w:customStyle="1" w:styleId="ListBulletChar">
    <w:name w:val="List Bullet Char"/>
    <w:link w:val="ListBullet"/>
    <w:rsid w:val="00FF7AFE"/>
    <w:rPr>
      <w:rFonts w:eastAsia="MS Mincho"/>
      <w:i/>
      <w:sz w:val="24"/>
      <w:szCs w:val="24"/>
      <w:lang w:val="en-US" w:eastAsia="ja-JP"/>
    </w:rPr>
  </w:style>
  <w:style w:type="paragraph" w:customStyle="1" w:styleId="Sub-tabletitle">
    <w:name w:val="Sub-table title"/>
    <w:basedOn w:val="Normal"/>
    <w:rsid w:val="00DB1A7F"/>
    <w:rPr>
      <w:rFonts w:ascii="Times New Roman" w:eastAsia="MS Mincho" w:hAnsi="Times New Roman"/>
      <w:b/>
      <w:bCs/>
      <w:i/>
      <w:iCs/>
      <w:color w:val="000000"/>
      <w:sz w:val="24"/>
      <w:szCs w:val="24"/>
      <w:lang w:val="en-US" w:eastAsia="ja-JP"/>
    </w:rPr>
  </w:style>
  <w:style w:type="paragraph" w:customStyle="1" w:styleId="TextItalicized">
    <w:name w:val="Text Italicized"/>
    <w:basedOn w:val="Normal"/>
    <w:link w:val="TextItalicizedChar"/>
    <w:rsid w:val="00DB6DA1"/>
    <w:rPr>
      <w:rFonts w:ascii="Times New Roman" w:eastAsia="MS Mincho" w:hAnsi="Times New Roman"/>
      <w:i/>
      <w:iCs/>
      <w:color w:val="000000"/>
      <w:sz w:val="24"/>
      <w:szCs w:val="24"/>
      <w:lang w:val="en-US" w:eastAsia="ja-JP"/>
    </w:rPr>
  </w:style>
  <w:style w:type="character" w:customStyle="1" w:styleId="TextItalicizedChar">
    <w:name w:val="Text Italicized Char"/>
    <w:link w:val="TextItalicized"/>
    <w:rsid w:val="00DB6DA1"/>
    <w:rPr>
      <w:rFonts w:eastAsia="MS Mincho"/>
      <w:i/>
      <w:iCs/>
      <w:color w:val="000000"/>
      <w:sz w:val="24"/>
      <w:szCs w:val="24"/>
      <w:lang w:val="en-US" w:eastAsia="ja-JP"/>
    </w:rPr>
  </w:style>
  <w:style w:type="paragraph" w:customStyle="1" w:styleId="Header1">
    <w:name w:val="Header 1"/>
    <w:basedOn w:val="Normal"/>
    <w:rsid w:val="00CA7DB1"/>
    <w:rPr>
      <w:b/>
      <w:caps/>
      <w:sz w:val="20"/>
      <w:lang w:val="en-US"/>
    </w:rPr>
  </w:style>
  <w:style w:type="paragraph" w:styleId="TOC3">
    <w:name w:val="toc 3"/>
    <w:basedOn w:val="TOC2"/>
    <w:next w:val="Text"/>
    <w:autoRedefine/>
    <w:rsid w:val="005B4DE4"/>
    <w:pPr>
      <w:tabs>
        <w:tab w:val="clear" w:pos="1267"/>
        <w:tab w:val="left" w:pos="2246"/>
      </w:tabs>
      <w:ind w:left="2261" w:hanging="994"/>
    </w:pPr>
  </w:style>
  <w:style w:type="paragraph" w:styleId="TOC2">
    <w:name w:val="toc 2"/>
    <w:basedOn w:val="TOC1"/>
    <w:next w:val="Text"/>
    <w:autoRedefine/>
    <w:rsid w:val="005B4DE4"/>
    <w:pPr>
      <w:tabs>
        <w:tab w:val="left" w:pos="1267"/>
      </w:tabs>
      <w:spacing w:before="60"/>
      <w:ind w:left="1267" w:hanging="720"/>
    </w:pPr>
  </w:style>
  <w:style w:type="paragraph" w:styleId="TOC1">
    <w:name w:val="toc 1"/>
    <w:basedOn w:val="Text"/>
    <w:next w:val="Text"/>
    <w:autoRedefine/>
    <w:rsid w:val="005B4DE4"/>
    <w:pPr>
      <w:keepLines/>
      <w:tabs>
        <w:tab w:val="right" w:leader="dot" w:pos="8640"/>
      </w:tabs>
      <w:spacing w:before="200" w:after="0" w:line="240" w:lineRule="auto"/>
      <w:ind w:left="547" w:right="1080" w:hanging="547"/>
    </w:pPr>
    <w:rPr>
      <w:noProof/>
      <w:color w:val="0000FF"/>
    </w:rPr>
  </w:style>
  <w:style w:type="paragraph" w:customStyle="1" w:styleId="Style1">
    <w:name w:val="Style1"/>
    <w:basedOn w:val="Heading2"/>
    <w:rsid w:val="00CA7DB1"/>
    <w:pPr>
      <w:numPr>
        <w:numId w:val="1"/>
      </w:numPr>
    </w:pPr>
    <w:rPr>
      <w:i/>
      <w:sz w:val="20"/>
      <w:lang w:val="en-US"/>
    </w:rPr>
  </w:style>
  <w:style w:type="paragraph" w:customStyle="1" w:styleId="InstructionsText">
    <w:name w:val="Instructions Text"/>
    <w:basedOn w:val="Normal"/>
    <w:rsid w:val="00CA7DB1"/>
    <w:pPr>
      <w:spacing w:before="100" w:beforeAutospacing="1" w:after="100" w:afterAutospacing="1"/>
    </w:pPr>
    <w:rPr>
      <w:color w:val="0000FF"/>
      <w:sz w:val="20"/>
      <w:szCs w:val="22"/>
      <w:lang w:val="en-US"/>
    </w:rPr>
  </w:style>
  <w:style w:type="paragraph" w:styleId="NormalIndent">
    <w:name w:val="Normal Indent"/>
    <w:basedOn w:val="Normal"/>
    <w:rsid w:val="00CA7DB1"/>
    <w:pPr>
      <w:overflowPunct w:val="0"/>
      <w:autoSpaceDE w:val="0"/>
      <w:autoSpaceDN w:val="0"/>
      <w:adjustRightInd w:val="0"/>
      <w:spacing w:before="168"/>
      <w:ind w:left="900"/>
      <w:jc w:val="both"/>
      <w:textAlignment w:val="baseline"/>
    </w:pPr>
    <w:rPr>
      <w:sz w:val="20"/>
      <w:lang w:val="en-US"/>
    </w:rPr>
  </w:style>
  <w:style w:type="paragraph" w:styleId="NormalWeb">
    <w:name w:val="Normal (Web)"/>
    <w:basedOn w:val="Normal"/>
    <w:rsid w:val="00CA7DB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CA7DB1"/>
    <w:rPr>
      <w:sz w:val="16"/>
      <w:szCs w:val="16"/>
      <w:lang w:val="en-US"/>
    </w:rPr>
  </w:style>
  <w:style w:type="character" w:customStyle="1" w:styleId="BodyText3Char">
    <w:name w:val="Body Text 3 Char"/>
    <w:link w:val="BodyText3"/>
    <w:rsid w:val="00CA7DB1"/>
    <w:rPr>
      <w:rFonts w:ascii="Arial" w:hAnsi="Arial"/>
      <w:sz w:val="16"/>
      <w:szCs w:val="16"/>
      <w:lang w:val="en-US" w:eastAsia="en-US"/>
    </w:rPr>
  </w:style>
  <w:style w:type="paragraph" w:customStyle="1" w:styleId="Heading7Bold">
    <w:name w:val="Heading 7Bold"/>
    <w:basedOn w:val="Normal"/>
    <w:next w:val="Text"/>
    <w:rsid w:val="005B4DE4"/>
    <w:pPr>
      <w:keepNext/>
      <w:spacing w:before="120" w:after="120"/>
    </w:pPr>
    <w:rPr>
      <w:b/>
    </w:rPr>
  </w:style>
  <w:style w:type="paragraph" w:customStyle="1" w:styleId="Heading8BoldItalic">
    <w:name w:val="Heading 8BoldItalic"/>
    <w:basedOn w:val="Normal"/>
    <w:next w:val="Text"/>
    <w:rsid w:val="005B4DE4"/>
    <w:pPr>
      <w:keepNext/>
      <w:spacing w:before="120" w:after="120"/>
    </w:pPr>
    <w:rPr>
      <w:b/>
      <w:i/>
    </w:rPr>
  </w:style>
  <w:style w:type="paragraph" w:customStyle="1" w:styleId="Heading9Italic">
    <w:name w:val="Heading 9Italic"/>
    <w:basedOn w:val="Normal"/>
    <w:next w:val="Text"/>
    <w:rsid w:val="005B4DE4"/>
    <w:pPr>
      <w:keepNext/>
      <w:spacing w:before="120" w:after="120"/>
    </w:pPr>
    <w:rPr>
      <w:i/>
    </w:rPr>
  </w:style>
  <w:style w:type="paragraph" w:customStyle="1" w:styleId="CenterBold">
    <w:name w:val="CenterBold"/>
    <w:basedOn w:val="Normal"/>
    <w:next w:val="Normal"/>
    <w:rsid w:val="005B4DE4"/>
    <w:pPr>
      <w:keepNext/>
      <w:keepLines/>
      <w:spacing w:before="300" w:after="120"/>
      <w:jc w:val="center"/>
    </w:pPr>
    <w:rPr>
      <w:b/>
    </w:rPr>
  </w:style>
  <w:style w:type="paragraph" w:customStyle="1" w:styleId="FigureLegend">
    <w:name w:val="FigureLegend"/>
    <w:basedOn w:val="Text"/>
    <w:rsid w:val="005B4DE4"/>
    <w:pPr>
      <w:keepLines/>
      <w:spacing w:after="0" w:line="240" w:lineRule="auto"/>
    </w:pPr>
    <w:rPr>
      <w:sz w:val="18"/>
    </w:rPr>
  </w:style>
  <w:style w:type="paragraph" w:customStyle="1" w:styleId="FlushLeftBold">
    <w:name w:val="FlushLeftBold"/>
    <w:basedOn w:val="Normal"/>
    <w:next w:val="Text"/>
    <w:rsid w:val="005B4DE4"/>
    <w:pPr>
      <w:keepNext/>
      <w:keepLines/>
      <w:spacing w:before="120" w:after="120"/>
    </w:pPr>
    <w:rPr>
      <w:b/>
    </w:rPr>
  </w:style>
  <w:style w:type="paragraph" w:customStyle="1" w:styleId="Insert">
    <w:name w:val="Insert"/>
    <w:basedOn w:val="Normal"/>
    <w:rsid w:val="005B4DE4"/>
    <w:pPr>
      <w:spacing w:before="100" w:after="100"/>
      <w:jc w:val="center"/>
    </w:pPr>
  </w:style>
  <w:style w:type="paragraph" w:customStyle="1" w:styleId="RefList">
    <w:name w:val="RefList#"/>
    <w:basedOn w:val="TextList"/>
    <w:rsid w:val="005B4DE4"/>
    <w:pPr>
      <w:keepLines/>
      <w:spacing w:after="0" w:line="240" w:lineRule="auto"/>
    </w:pPr>
  </w:style>
  <w:style w:type="paragraph" w:customStyle="1" w:styleId="RefListAlpha">
    <w:name w:val="RefListAlpha"/>
    <w:basedOn w:val="Text"/>
    <w:rsid w:val="005B4DE4"/>
    <w:pPr>
      <w:keepLines/>
      <w:spacing w:line="240" w:lineRule="auto"/>
    </w:pPr>
  </w:style>
  <w:style w:type="paragraph" w:customStyle="1" w:styleId="TextDash">
    <w:name w:val="TextDash"/>
    <w:basedOn w:val="TextBullet"/>
    <w:rsid w:val="005B4DE4"/>
    <w:pPr>
      <w:numPr>
        <w:numId w:val="5"/>
      </w:numPr>
    </w:pPr>
  </w:style>
  <w:style w:type="paragraph" w:customStyle="1" w:styleId="TextIndent">
    <w:name w:val="TextIndent"/>
    <w:basedOn w:val="Text"/>
    <w:rsid w:val="005B4DE4"/>
    <w:pPr>
      <w:spacing w:line="280" w:lineRule="atLeast"/>
      <w:ind w:left="360"/>
    </w:pPr>
  </w:style>
  <w:style w:type="paragraph" w:customStyle="1" w:styleId="TextSingleSpace">
    <w:name w:val="TextSingleSpace"/>
    <w:basedOn w:val="Text"/>
    <w:rsid w:val="005B4DE4"/>
    <w:pPr>
      <w:spacing w:line="240" w:lineRule="auto"/>
    </w:pPr>
  </w:style>
  <w:style w:type="paragraph" w:styleId="TOC4">
    <w:name w:val="toc 4"/>
    <w:basedOn w:val="TOC3"/>
    <w:next w:val="Text"/>
    <w:autoRedefine/>
    <w:rsid w:val="005B4DE4"/>
    <w:pPr>
      <w:ind w:left="3384" w:hanging="1123"/>
    </w:pPr>
  </w:style>
  <w:style w:type="paragraph" w:styleId="TOC5">
    <w:name w:val="toc 5"/>
    <w:basedOn w:val="TOC2"/>
    <w:next w:val="Text"/>
    <w:autoRedefine/>
    <w:rsid w:val="005B4DE4"/>
  </w:style>
  <w:style w:type="paragraph" w:styleId="TOC6">
    <w:name w:val="toc 6"/>
    <w:basedOn w:val="TOC2"/>
    <w:next w:val="Text"/>
    <w:autoRedefine/>
    <w:rsid w:val="005B4DE4"/>
  </w:style>
  <w:style w:type="paragraph" w:styleId="TOC7">
    <w:name w:val="toc 7"/>
    <w:basedOn w:val="Normal"/>
    <w:next w:val="Normal"/>
    <w:autoRedefine/>
    <w:rsid w:val="005B4DE4"/>
    <w:pPr>
      <w:tabs>
        <w:tab w:val="right" w:leader="dot" w:pos="8640"/>
      </w:tabs>
      <w:ind w:left="1320"/>
    </w:pPr>
  </w:style>
  <w:style w:type="paragraph" w:styleId="TOC8">
    <w:name w:val="toc 8"/>
    <w:basedOn w:val="Normal"/>
    <w:next w:val="Normal"/>
    <w:autoRedefine/>
    <w:rsid w:val="005B4DE4"/>
    <w:pPr>
      <w:tabs>
        <w:tab w:val="right" w:leader="dot" w:pos="8640"/>
      </w:tabs>
      <w:ind w:left="1540"/>
    </w:pPr>
  </w:style>
  <w:style w:type="paragraph" w:styleId="TOC9">
    <w:name w:val="toc 9"/>
    <w:basedOn w:val="Normal"/>
    <w:next w:val="Normal"/>
    <w:autoRedefine/>
    <w:rsid w:val="005B4DE4"/>
    <w:pPr>
      <w:tabs>
        <w:tab w:val="right" w:leader="dot" w:pos="8640"/>
      </w:tabs>
      <w:ind w:left="1760"/>
    </w:pPr>
  </w:style>
  <w:style w:type="paragraph" w:customStyle="1" w:styleId="Heading0">
    <w:name w:val="Heading 0"/>
    <w:basedOn w:val="Normal"/>
    <w:next w:val="Text"/>
    <w:rsid w:val="005B4DE4"/>
    <w:pPr>
      <w:keepNext/>
      <w:pageBreakBefore/>
      <w:spacing w:before="120" w:after="120"/>
      <w:ind w:left="1440" w:hanging="1440"/>
    </w:pPr>
    <w:rPr>
      <w:b/>
    </w:rPr>
  </w:style>
  <w:style w:type="paragraph" w:styleId="DocumentMap">
    <w:name w:val="Document Map"/>
    <w:basedOn w:val="Normal"/>
    <w:link w:val="DocumentMapChar"/>
    <w:rsid w:val="005B4DE4"/>
    <w:pPr>
      <w:shd w:val="clear" w:color="auto" w:fill="000080"/>
    </w:pPr>
    <w:rPr>
      <w:rFonts w:ascii="Tahoma" w:hAnsi="Tahoma" w:cs="Tahoma"/>
    </w:rPr>
  </w:style>
  <w:style w:type="character" w:customStyle="1" w:styleId="DocumentMapChar">
    <w:name w:val="Document Map Char"/>
    <w:link w:val="DocumentMap"/>
    <w:rsid w:val="00CA7DB1"/>
    <w:rPr>
      <w:rFonts w:ascii="Tahoma" w:hAnsi="Tahoma" w:cs="Tahoma"/>
      <w:sz w:val="22"/>
      <w:shd w:val="clear" w:color="auto" w:fill="000080"/>
      <w:lang w:val="en-US" w:eastAsia="en-US"/>
    </w:rPr>
  </w:style>
  <w:style w:type="paragraph" w:customStyle="1" w:styleId="TablePageNumber">
    <w:name w:val="TablePageNumber"/>
    <w:basedOn w:val="Normal"/>
    <w:next w:val="Text"/>
    <w:rsid w:val="005B4DE4"/>
    <w:pPr>
      <w:spacing w:line="240" w:lineRule="atLeast"/>
      <w:jc w:val="right"/>
    </w:pPr>
    <w:rPr>
      <w:sz w:val="20"/>
    </w:rPr>
  </w:style>
  <w:style w:type="paragraph" w:styleId="ListParagraph">
    <w:name w:val="List Paragraph"/>
    <w:basedOn w:val="Normal"/>
    <w:uiPriority w:val="34"/>
    <w:qFormat/>
    <w:rsid w:val="00CA7DB1"/>
    <w:pPr>
      <w:ind w:left="720"/>
    </w:pPr>
    <w:rPr>
      <w:lang w:val="en-US"/>
    </w:rPr>
  </w:style>
  <w:style w:type="paragraph" w:styleId="FootnoteText0">
    <w:name w:val="footnote text"/>
    <w:basedOn w:val="Normal"/>
    <w:link w:val="FootnoteTextChar0"/>
    <w:rsid w:val="00CA7DB1"/>
    <w:rPr>
      <w:sz w:val="20"/>
      <w:lang w:val="en-US"/>
    </w:rPr>
  </w:style>
  <w:style w:type="character" w:customStyle="1" w:styleId="FootnoteTextChar0">
    <w:name w:val="Footnote Text Char"/>
    <w:link w:val="FootnoteText0"/>
    <w:rsid w:val="00CA7DB1"/>
    <w:rPr>
      <w:rFonts w:ascii="Arial" w:hAnsi="Arial"/>
      <w:lang w:val="en-US" w:eastAsia="en-US"/>
    </w:rPr>
  </w:style>
  <w:style w:type="character" w:styleId="FootnoteReference">
    <w:name w:val="footnote reference"/>
    <w:rsid w:val="00CA7DB1"/>
    <w:rPr>
      <w:vertAlign w:val="superscript"/>
    </w:rPr>
  </w:style>
  <w:style w:type="paragraph" w:customStyle="1" w:styleId="TextBold">
    <w:name w:val="Text Bold"/>
    <w:basedOn w:val="Normal"/>
    <w:link w:val="TextBoldChar"/>
    <w:rsid w:val="00CA7DB1"/>
    <w:rPr>
      <w:rFonts w:ascii="Times New Roman" w:eastAsia="MS Mincho" w:hAnsi="Times New Roman"/>
      <w:b/>
      <w:bCs/>
      <w:color w:val="000000"/>
      <w:sz w:val="24"/>
      <w:szCs w:val="24"/>
      <w:lang w:val="en-US" w:eastAsia="ja-JP"/>
    </w:rPr>
  </w:style>
  <w:style w:type="character" w:customStyle="1" w:styleId="TextBoldChar">
    <w:name w:val="Text Bold Char"/>
    <w:link w:val="TextBold"/>
    <w:rsid w:val="00CA7DB1"/>
    <w:rPr>
      <w:rFonts w:eastAsia="MS Mincho"/>
      <w:b/>
      <w:bCs/>
      <w:color w:val="000000"/>
      <w:sz w:val="24"/>
      <w:szCs w:val="24"/>
      <w:lang w:val="en-US" w:eastAsia="ja-JP"/>
    </w:rPr>
  </w:style>
  <w:style w:type="paragraph" w:styleId="EndnoteText">
    <w:name w:val="endnote text"/>
    <w:basedOn w:val="Normal"/>
    <w:link w:val="EndnoteTextChar"/>
    <w:rsid w:val="00CA7DB1"/>
    <w:rPr>
      <w:sz w:val="20"/>
      <w:lang w:val="en-US"/>
    </w:rPr>
  </w:style>
  <w:style w:type="character" w:customStyle="1" w:styleId="EndnoteTextChar">
    <w:name w:val="Endnote Text Char"/>
    <w:link w:val="EndnoteText"/>
    <w:rsid w:val="00CA7DB1"/>
    <w:rPr>
      <w:rFonts w:ascii="Arial" w:hAnsi="Arial"/>
      <w:lang w:val="en-US" w:eastAsia="en-US"/>
    </w:rPr>
  </w:style>
  <w:style w:type="character" w:styleId="EndnoteReference">
    <w:name w:val="endnote reference"/>
    <w:rsid w:val="00CA7DB1"/>
    <w:rPr>
      <w:vertAlign w:val="superscript"/>
    </w:rPr>
  </w:style>
  <w:style w:type="character" w:styleId="Emphasis">
    <w:name w:val="Emphasis"/>
    <w:qFormat/>
    <w:rsid w:val="00CA7DB1"/>
    <w:rPr>
      <w:i/>
      <w:iCs/>
    </w:rPr>
  </w:style>
  <w:style w:type="paragraph" w:customStyle="1" w:styleId="Default">
    <w:name w:val="Default"/>
    <w:rsid w:val="00555CBE"/>
    <w:pPr>
      <w:autoSpaceDE w:val="0"/>
      <w:autoSpaceDN w:val="0"/>
      <w:adjustRightInd w:val="0"/>
    </w:pPr>
    <w:rPr>
      <w:rFonts w:ascii="Symbol" w:hAnsi="Symbol" w:cs="Symbol"/>
      <w:color w:val="000000"/>
      <w:sz w:val="24"/>
      <w:szCs w:val="24"/>
    </w:rPr>
  </w:style>
  <w:style w:type="paragraph" w:styleId="PlainText">
    <w:name w:val="Plain Text"/>
    <w:basedOn w:val="Normal"/>
    <w:link w:val="PlainTextChar"/>
    <w:uiPriority w:val="99"/>
    <w:unhideWhenUsed/>
    <w:rsid w:val="00F049AA"/>
    <w:rPr>
      <w:rFonts w:ascii="Consolas" w:eastAsia="Calibri" w:hAnsi="Consolas"/>
      <w:sz w:val="21"/>
      <w:szCs w:val="21"/>
      <w:lang w:val="en-US"/>
    </w:rPr>
  </w:style>
  <w:style w:type="character" w:customStyle="1" w:styleId="PlainTextChar">
    <w:name w:val="Plain Text Char"/>
    <w:link w:val="PlainText"/>
    <w:uiPriority w:val="99"/>
    <w:rsid w:val="00F049AA"/>
    <w:rPr>
      <w:rFonts w:ascii="Consolas" w:eastAsia="Calibri" w:hAnsi="Consolas"/>
      <w:sz w:val="21"/>
      <w:szCs w:val="21"/>
      <w:lang w:val="en-US" w:eastAsia="en-US"/>
    </w:rPr>
  </w:style>
  <w:style w:type="character" w:customStyle="1" w:styleId="apple-converted-space">
    <w:name w:val="apple-converted-space"/>
    <w:rsid w:val="00D07730"/>
  </w:style>
  <w:style w:type="paragraph" w:customStyle="1" w:styleId="MemoHeaderStyle">
    <w:name w:val="MemoHeaderStyle"/>
    <w:basedOn w:val="Normal"/>
    <w:next w:val="Normal"/>
    <w:rsid w:val="002602E8"/>
    <w:pPr>
      <w:tabs>
        <w:tab w:val="left" w:pos="567"/>
      </w:tabs>
      <w:spacing w:line="120" w:lineRule="atLeast"/>
      <w:ind w:left="1418"/>
      <w:jc w:val="both"/>
    </w:pPr>
    <w:rPr>
      <w:b/>
      <w:smallCaps/>
      <w:lang w:val="en-GB"/>
    </w:rPr>
  </w:style>
  <w:style w:type="paragraph" w:customStyle="1" w:styleId="Confidential">
    <w:name w:val="Confidential"/>
    <w:basedOn w:val="Normal"/>
    <w:semiHidden/>
    <w:rsid w:val="005B4DE4"/>
    <w:pPr>
      <w:keepLines/>
      <w:framePr w:w="5760" w:hSpace="187" w:vSpace="144" w:wrap="notBeside" w:vAnchor="page" w:hAnchor="text" w:xAlign="center" w:yAlign="center"/>
      <w:pBdr>
        <w:top w:val="single" w:sz="6" w:space="3" w:color="auto"/>
        <w:left w:val="single" w:sz="6" w:space="3" w:color="auto"/>
        <w:bottom w:val="single" w:sz="6" w:space="3" w:color="auto"/>
        <w:right w:val="single" w:sz="6" w:space="3" w:color="auto"/>
      </w:pBdr>
      <w:spacing w:after="200" w:line="300" w:lineRule="atLeast"/>
      <w:jc w:val="center"/>
    </w:pPr>
  </w:style>
  <w:style w:type="paragraph" w:customStyle="1" w:styleId="CoverPage">
    <w:name w:val="CoverPage"/>
    <w:basedOn w:val="CenterBold"/>
    <w:semiHidden/>
    <w:rsid w:val="005B4DE4"/>
    <w:pPr>
      <w:spacing w:before="400" w:after="400"/>
    </w:pPr>
    <w:rPr>
      <w:sz w:val="24"/>
    </w:rPr>
  </w:style>
  <w:style w:type="paragraph" w:customStyle="1" w:styleId="FootnoteLine">
    <w:name w:val="FootnoteLine"/>
    <w:basedOn w:val="Normal"/>
    <w:next w:val="Normal"/>
    <w:semiHidden/>
    <w:rsid w:val="005B4DE4"/>
    <w:pPr>
      <w:pBdr>
        <w:bottom w:val="single" w:sz="6" w:space="6" w:color="auto"/>
      </w:pBdr>
      <w:spacing w:line="160" w:lineRule="atLeast"/>
    </w:pPr>
    <w:rPr>
      <w:sz w:val="16"/>
    </w:rPr>
  </w:style>
  <w:style w:type="paragraph" w:customStyle="1" w:styleId="RightTabBold">
    <w:name w:val="RightTabBold"/>
    <w:basedOn w:val="Normal"/>
    <w:semiHidden/>
    <w:rsid w:val="005B4DE4"/>
    <w:pPr>
      <w:tabs>
        <w:tab w:val="right" w:pos="8640"/>
      </w:tabs>
      <w:spacing w:before="100" w:after="100"/>
    </w:pPr>
    <w:rPr>
      <w:b/>
    </w:rPr>
  </w:style>
  <w:style w:type="paragraph" w:customStyle="1" w:styleId="SectionBreak">
    <w:name w:val="SectionBreak"/>
    <w:basedOn w:val="Normal"/>
    <w:next w:val="Text"/>
    <w:semiHidden/>
    <w:rsid w:val="005B4DE4"/>
  </w:style>
  <w:style w:type="paragraph" w:customStyle="1" w:styleId="PI-UnderlinedSubHeader">
    <w:name w:val="PI -Underlined Sub Header"/>
    <w:basedOn w:val="Heading3"/>
    <w:qFormat/>
    <w:rsid w:val="005B4DE4"/>
    <w:pPr>
      <w:numPr>
        <w:ilvl w:val="0"/>
        <w:numId w:val="0"/>
      </w:numPr>
      <w:ind w:left="1440" w:hanging="1440"/>
    </w:pPr>
    <w:rPr>
      <w:u w:val="single"/>
    </w:rPr>
  </w:style>
  <w:style w:type="paragraph" w:customStyle="1" w:styleId="PI-MainHeader">
    <w:name w:val="PI - Main Header"/>
    <w:basedOn w:val="Heading2"/>
    <w:qFormat/>
    <w:rsid w:val="005B4DE4"/>
    <w:pPr>
      <w:numPr>
        <w:ilvl w:val="0"/>
        <w:numId w:val="0"/>
      </w:numPr>
      <w:spacing w:before="240"/>
      <w:ind w:left="1440" w:hanging="1440"/>
    </w:pPr>
    <w:rPr>
      <w:rFonts w:cs="Arial"/>
    </w:rPr>
  </w:style>
  <w:style w:type="paragraph" w:customStyle="1" w:styleId="PI-text">
    <w:name w:val="PI - text"/>
    <w:basedOn w:val="Normal"/>
    <w:qFormat/>
    <w:rsid w:val="00F309DA"/>
    <w:pPr>
      <w:spacing w:before="120" w:after="120" w:line="360" w:lineRule="auto"/>
    </w:pPr>
    <w:rPr>
      <w:rFonts w:cs="Arial"/>
      <w:szCs w:val="22"/>
      <w:lang w:val="en-GB"/>
    </w:rPr>
  </w:style>
  <w:style w:type="paragraph" w:customStyle="1" w:styleId="PI-subheadernounderline">
    <w:name w:val="PI -sub header no underline"/>
    <w:basedOn w:val="PI-UnderlinedSubHeader"/>
    <w:qFormat/>
    <w:rsid w:val="00F309DA"/>
    <w:rPr>
      <w:u w:val="none"/>
    </w:rPr>
  </w:style>
  <w:style w:type="paragraph" w:customStyle="1" w:styleId="PItextbullet">
    <w:name w:val="PI text bullet"/>
    <w:basedOn w:val="PI-text"/>
    <w:qFormat/>
    <w:rsid w:val="00F309DA"/>
    <w:pPr>
      <w:numPr>
        <w:numId w:val="6"/>
      </w:numPr>
      <w:spacing w:before="60" w:after="60"/>
    </w:pPr>
  </w:style>
  <w:style w:type="paragraph" w:customStyle="1" w:styleId="SynopsisText">
    <w:name w:val="SynopsisText"/>
    <w:basedOn w:val="Normal"/>
    <w:link w:val="SynopsisTextChar"/>
    <w:rsid w:val="00C05013"/>
    <w:pPr>
      <w:tabs>
        <w:tab w:val="left" w:pos="1794"/>
      </w:tabs>
      <w:spacing w:before="60" w:after="60"/>
    </w:pPr>
  </w:style>
  <w:style w:type="character" w:customStyle="1" w:styleId="SynopsisTextChar">
    <w:name w:val="SynopsisText Char"/>
    <w:link w:val="SynopsisText"/>
    <w:locked/>
    <w:rsid w:val="00C05013"/>
    <w:rPr>
      <w:rFonts w:ascii="Arial" w:hAnsi="Arial"/>
      <w:sz w:val="22"/>
      <w:lang w:val="en-US" w:eastAsia="en-US"/>
    </w:rPr>
  </w:style>
  <w:style w:type="character" w:customStyle="1" w:styleId="FootnoteTextChar">
    <w:name w:val="FootnoteText Char"/>
    <w:link w:val="FootnoteText"/>
    <w:rsid w:val="00C05013"/>
    <w:rPr>
      <w:rFonts w:ascii="Arial" w:hAnsi="Arial"/>
      <w:sz w:val="18"/>
      <w:lang w:val="en-US" w:eastAsia="en-US"/>
    </w:rPr>
  </w:style>
  <w:style w:type="paragraph" w:customStyle="1" w:styleId="TextBoldItalic">
    <w:name w:val="TextBoldItalic"/>
    <w:basedOn w:val="Normal"/>
    <w:rsid w:val="001C3025"/>
    <w:pPr>
      <w:spacing w:before="120" w:after="100" w:line="360" w:lineRule="auto"/>
    </w:pPr>
    <w:rPr>
      <w:b/>
      <w: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6513">
      <w:bodyDiv w:val="1"/>
      <w:marLeft w:val="0"/>
      <w:marRight w:val="0"/>
      <w:marTop w:val="0"/>
      <w:marBottom w:val="0"/>
      <w:divBdr>
        <w:top w:val="none" w:sz="0" w:space="0" w:color="auto"/>
        <w:left w:val="none" w:sz="0" w:space="0" w:color="auto"/>
        <w:bottom w:val="none" w:sz="0" w:space="0" w:color="auto"/>
        <w:right w:val="none" w:sz="0" w:space="0" w:color="auto"/>
      </w:divBdr>
    </w:div>
    <w:div w:id="151066073">
      <w:bodyDiv w:val="1"/>
      <w:marLeft w:val="0"/>
      <w:marRight w:val="0"/>
      <w:marTop w:val="0"/>
      <w:marBottom w:val="0"/>
      <w:divBdr>
        <w:top w:val="none" w:sz="0" w:space="0" w:color="auto"/>
        <w:left w:val="none" w:sz="0" w:space="0" w:color="auto"/>
        <w:bottom w:val="none" w:sz="0" w:space="0" w:color="auto"/>
        <w:right w:val="none" w:sz="0" w:space="0" w:color="auto"/>
      </w:divBdr>
    </w:div>
    <w:div w:id="198246730">
      <w:bodyDiv w:val="1"/>
      <w:marLeft w:val="0"/>
      <w:marRight w:val="0"/>
      <w:marTop w:val="0"/>
      <w:marBottom w:val="0"/>
      <w:divBdr>
        <w:top w:val="none" w:sz="0" w:space="0" w:color="auto"/>
        <w:left w:val="none" w:sz="0" w:space="0" w:color="auto"/>
        <w:bottom w:val="none" w:sz="0" w:space="0" w:color="auto"/>
        <w:right w:val="none" w:sz="0" w:space="0" w:color="auto"/>
      </w:divBdr>
    </w:div>
    <w:div w:id="227494188">
      <w:bodyDiv w:val="1"/>
      <w:marLeft w:val="0"/>
      <w:marRight w:val="0"/>
      <w:marTop w:val="0"/>
      <w:marBottom w:val="0"/>
      <w:divBdr>
        <w:top w:val="none" w:sz="0" w:space="0" w:color="auto"/>
        <w:left w:val="none" w:sz="0" w:space="0" w:color="auto"/>
        <w:bottom w:val="none" w:sz="0" w:space="0" w:color="auto"/>
        <w:right w:val="none" w:sz="0" w:space="0" w:color="auto"/>
      </w:divBdr>
    </w:div>
    <w:div w:id="339285417">
      <w:bodyDiv w:val="1"/>
      <w:marLeft w:val="0"/>
      <w:marRight w:val="0"/>
      <w:marTop w:val="0"/>
      <w:marBottom w:val="0"/>
      <w:divBdr>
        <w:top w:val="none" w:sz="0" w:space="0" w:color="auto"/>
        <w:left w:val="none" w:sz="0" w:space="0" w:color="auto"/>
        <w:bottom w:val="none" w:sz="0" w:space="0" w:color="auto"/>
        <w:right w:val="none" w:sz="0" w:space="0" w:color="auto"/>
      </w:divBdr>
    </w:div>
    <w:div w:id="344598216">
      <w:bodyDiv w:val="1"/>
      <w:marLeft w:val="0"/>
      <w:marRight w:val="0"/>
      <w:marTop w:val="0"/>
      <w:marBottom w:val="0"/>
      <w:divBdr>
        <w:top w:val="none" w:sz="0" w:space="0" w:color="auto"/>
        <w:left w:val="none" w:sz="0" w:space="0" w:color="auto"/>
        <w:bottom w:val="none" w:sz="0" w:space="0" w:color="auto"/>
        <w:right w:val="none" w:sz="0" w:space="0" w:color="auto"/>
      </w:divBdr>
    </w:div>
    <w:div w:id="362832511">
      <w:bodyDiv w:val="1"/>
      <w:marLeft w:val="0"/>
      <w:marRight w:val="0"/>
      <w:marTop w:val="0"/>
      <w:marBottom w:val="0"/>
      <w:divBdr>
        <w:top w:val="none" w:sz="0" w:space="0" w:color="auto"/>
        <w:left w:val="none" w:sz="0" w:space="0" w:color="auto"/>
        <w:bottom w:val="none" w:sz="0" w:space="0" w:color="auto"/>
        <w:right w:val="none" w:sz="0" w:space="0" w:color="auto"/>
      </w:divBdr>
    </w:div>
    <w:div w:id="414595678">
      <w:bodyDiv w:val="1"/>
      <w:marLeft w:val="0"/>
      <w:marRight w:val="0"/>
      <w:marTop w:val="0"/>
      <w:marBottom w:val="0"/>
      <w:divBdr>
        <w:top w:val="none" w:sz="0" w:space="0" w:color="auto"/>
        <w:left w:val="none" w:sz="0" w:space="0" w:color="auto"/>
        <w:bottom w:val="none" w:sz="0" w:space="0" w:color="auto"/>
        <w:right w:val="none" w:sz="0" w:space="0" w:color="auto"/>
      </w:divBdr>
    </w:div>
    <w:div w:id="449402040">
      <w:bodyDiv w:val="1"/>
      <w:marLeft w:val="0"/>
      <w:marRight w:val="0"/>
      <w:marTop w:val="0"/>
      <w:marBottom w:val="0"/>
      <w:divBdr>
        <w:top w:val="none" w:sz="0" w:space="0" w:color="auto"/>
        <w:left w:val="none" w:sz="0" w:space="0" w:color="auto"/>
        <w:bottom w:val="none" w:sz="0" w:space="0" w:color="auto"/>
        <w:right w:val="none" w:sz="0" w:space="0" w:color="auto"/>
      </w:divBdr>
      <w:divsChild>
        <w:div w:id="702050216">
          <w:marLeft w:val="1166"/>
          <w:marRight w:val="0"/>
          <w:marTop w:val="0"/>
          <w:marBottom w:val="0"/>
          <w:divBdr>
            <w:top w:val="none" w:sz="0" w:space="0" w:color="auto"/>
            <w:left w:val="none" w:sz="0" w:space="0" w:color="auto"/>
            <w:bottom w:val="none" w:sz="0" w:space="0" w:color="auto"/>
            <w:right w:val="none" w:sz="0" w:space="0" w:color="auto"/>
          </w:divBdr>
        </w:div>
        <w:div w:id="1924755803">
          <w:marLeft w:val="1166"/>
          <w:marRight w:val="0"/>
          <w:marTop w:val="0"/>
          <w:marBottom w:val="0"/>
          <w:divBdr>
            <w:top w:val="none" w:sz="0" w:space="0" w:color="auto"/>
            <w:left w:val="none" w:sz="0" w:space="0" w:color="auto"/>
            <w:bottom w:val="none" w:sz="0" w:space="0" w:color="auto"/>
            <w:right w:val="none" w:sz="0" w:space="0" w:color="auto"/>
          </w:divBdr>
        </w:div>
      </w:divsChild>
    </w:div>
    <w:div w:id="450898901">
      <w:bodyDiv w:val="1"/>
      <w:marLeft w:val="0"/>
      <w:marRight w:val="0"/>
      <w:marTop w:val="0"/>
      <w:marBottom w:val="0"/>
      <w:divBdr>
        <w:top w:val="none" w:sz="0" w:space="0" w:color="auto"/>
        <w:left w:val="none" w:sz="0" w:space="0" w:color="auto"/>
        <w:bottom w:val="none" w:sz="0" w:space="0" w:color="auto"/>
        <w:right w:val="none" w:sz="0" w:space="0" w:color="auto"/>
      </w:divBdr>
    </w:div>
    <w:div w:id="562109288">
      <w:bodyDiv w:val="1"/>
      <w:marLeft w:val="0"/>
      <w:marRight w:val="0"/>
      <w:marTop w:val="0"/>
      <w:marBottom w:val="0"/>
      <w:divBdr>
        <w:top w:val="none" w:sz="0" w:space="0" w:color="auto"/>
        <w:left w:val="none" w:sz="0" w:space="0" w:color="auto"/>
        <w:bottom w:val="none" w:sz="0" w:space="0" w:color="auto"/>
        <w:right w:val="none" w:sz="0" w:space="0" w:color="auto"/>
      </w:divBdr>
    </w:div>
    <w:div w:id="629630940">
      <w:bodyDiv w:val="1"/>
      <w:marLeft w:val="0"/>
      <w:marRight w:val="0"/>
      <w:marTop w:val="0"/>
      <w:marBottom w:val="0"/>
      <w:divBdr>
        <w:top w:val="none" w:sz="0" w:space="0" w:color="auto"/>
        <w:left w:val="none" w:sz="0" w:space="0" w:color="auto"/>
        <w:bottom w:val="none" w:sz="0" w:space="0" w:color="auto"/>
        <w:right w:val="none" w:sz="0" w:space="0" w:color="auto"/>
      </w:divBdr>
    </w:div>
    <w:div w:id="630676526">
      <w:bodyDiv w:val="1"/>
      <w:marLeft w:val="0"/>
      <w:marRight w:val="0"/>
      <w:marTop w:val="0"/>
      <w:marBottom w:val="0"/>
      <w:divBdr>
        <w:top w:val="none" w:sz="0" w:space="0" w:color="auto"/>
        <w:left w:val="none" w:sz="0" w:space="0" w:color="auto"/>
        <w:bottom w:val="none" w:sz="0" w:space="0" w:color="auto"/>
        <w:right w:val="none" w:sz="0" w:space="0" w:color="auto"/>
      </w:divBdr>
    </w:div>
    <w:div w:id="648629419">
      <w:bodyDiv w:val="1"/>
      <w:marLeft w:val="0"/>
      <w:marRight w:val="0"/>
      <w:marTop w:val="0"/>
      <w:marBottom w:val="0"/>
      <w:divBdr>
        <w:top w:val="none" w:sz="0" w:space="0" w:color="auto"/>
        <w:left w:val="none" w:sz="0" w:space="0" w:color="auto"/>
        <w:bottom w:val="none" w:sz="0" w:space="0" w:color="auto"/>
        <w:right w:val="none" w:sz="0" w:space="0" w:color="auto"/>
      </w:divBdr>
    </w:div>
    <w:div w:id="815876368">
      <w:bodyDiv w:val="1"/>
      <w:marLeft w:val="0"/>
      <w:marRight w:val="0"/>
      <w:marTop w:val="0"/>
      <w:marBottom w:val="0"/>
      <w:divBdr>
        <w:top w:val="none" w:sz="0" w:space="0" w:color="auto"/>
        <w:left w:val="none" w:sz="0" w:space="0" w:color="auto"/>
        <w:bottom w:val="none" w:sz="0" w:space="0" w:color="auto"/>
        <w:right w:val="none" w:sz="0" w:space="0" w:color="auto"/>
      </w:divBdr>
    </w:div>
    <w:div w:id="996885115">
      <w:bodyDiv w:val="1"/>
      <w:marLeft w:val="0"/>
      <w:marRight w:val="0"/>
      <w:marTop w:val="0"/>
      <w:marBottom w:val="0"/>
      <w:divBdr>
        <w:top w:val="none" w:sz="0" w:space="0" w:color="auto"/>
        <w:left w:val="none" w:sz="0" w:space="0" w:color="auto"/>
        <w:bottom w:val="none" w:sz="0" w:space="0" w:color="auto"/>
        <w:right w:val="none" w:sz="0" w:space="0" w:color="auto"/>
      </w:divBdr>
    </w:div>
    <w:div w:id="1102337090">
      <w:bodyDiv w:val="1"/>
      <w:marLeft w:val="0"/>
      <w:marRight w:val="0"/>
      <w:marTop w:val="0"/>
      <w:marBottom w:val="0"/>
      <w:divBdr>
        <w:top w:val="none" w:sz="0" w:space="0" w:color="auto"/>
        <w:left w:val="none" w:sz="0" w:space="0" w:color="auto"/>
        <w:bottom w:val="none" w:sz="0" w:space="0" w:color="auto"/>
        <w:right w:val="none" w:sz="0" w:space="0" w:color="auto"/>
      </w:divBdr>
    </w:div>
    <w:div w:id="1194004432">
      <w:bodyDiv w:val="1"/>
      <w:marLeft w:val="0"/>
      <w:marRight w:val="0"/>
      <w:marTop w:val="0"/>
      <w:marBottom w:val="0"/>
      <w:divBdr>
        <w:top w:val="none" w:sz="0" w:space="0" w:color="auto"/>
        <w:left w:val="none" w:sz="0" w:space="0" w:color="auto"/>
        <w:bottom w:val="none" w:sz="0" w:space="0" w:color="auto"/>
        <w:right w:val="none" w:sz="0" w:space="0" w:color="auto"/>
      </w:divBdr>
    </w:div>
    <w:div w:id="1286235285">
      <w:bodyDiv w:val="1"/>
      <w:marLeft w:val="0"/>
      <w:marRight w:val="0"/>
      <w:marTop w:val="0"/>
      <w:marBottom w:val="0"/>
      <w:divBdr>
        <w:top w:val="none" w:sz="0" w:space="0" w:color="auto"/>
        <w:left w:val="none" w:sz="0" w:space="0" w:color="auto"/>
        <w:bottom w:val="none" w:sz="0" w:space="0" w:color="auto"/>
        <w:right w:val="none" w:sz="0" w:space="0" w:color="auto"/>
      </w:divBdr>
    </w:div>
    <w:div w:id="1331560963">
      <w:bodyDiv w:val="1"/>
      <w:marLeft w:val="0"/>
      <w:marRight w:val="0"/>
      <w:marTop w:val="0"/>
      <w:marBottom w:val="0"/>
      <w:divBdr>
        <w:top w:val="none" w:sz="0" w:space="0" w:color="auto"/>
        <w:left w:val="none" w:sz="0" w:space="0" w:color="auto"/>
        <w:bottom w:val="none" w:sz="0" w:space="0" w:color="auto"/>
        <w:right w:val="none" w:sz="0" w:space="0" w:color="auto"/>
      </w:divBdr>
    </w:div>
    <w:div w:id="1348799142">
      <w:bodyDiv w:val="1"/>
      <w:marLeft w:val="0"/>
      <w:marRight w:val="0"/>
      <w:marTop w:val="0"/>
      <w:marBottom w:val="0"/>
      <w:divBdr>
        <w:top w:val="none" w:sz="0" w:space="0" w:color="auto"/>
        <w:left w:val="none" w:sz="0" w:space="0" w:color="auto"/>
        <w:bottom w:val="none" w:sz="0" w:space="0" w:color="auto"/>
        <w:right w:val="none" w:sz="0" w:space="0" w:color="auto"/>
      </w:divBdr>
    </w:div>
    <w:div w:id="1419444713">
      <w:bodyDiv w:val="1"/>
      <w:marLeft w:val="0"/>
      <w:marRight w:val="0"/>
      <w:marTop w:val="0"/>
      <w:marBottom w:val="0"/>
      <w:divBdr>
        <w:top w:val="none" w:sz="0" w:space="0" w:color="auto"/>
        <w:left w:val="none" w:sz="0" w:space="0" w:color="auto"/>
        <w:bottom w:val="none" w:sz="0" w:space="0" w:color="auto"/>
        <w:right w:val="none" w:sz="0" w:space="0" w:color="auto"/>
      </w:divBdr>
    </w:div>
    <w:div w:id="1460611257">
      <w:bodyDiv w:val="1"/>
      <w:marLeft w:val="0"/>
      <w:marRight w:val="0"/>
      <w:marTop w:val="0"/>
      <w:marBottom w:val="0"/>
      <w:divBdr>
        <w:top w:val="none" w:sz="0" w:space="0" w:color="auto"/>
        <w:left w:val="none" w:sz="0" w:space="0" w:color="auto"/>
        <w:bottom w:val="none" w:sz="0" w:space="0" w:color="auto"/>
        <w:right w:val="none" w:sz="0" w:space="0" w:color="auto"/>
      </w:divBdr>
    </w:div>
    <w:div w:id="1536886866">
      <w:bodyDiv w:val="1"/>
      <w:marLeft w:val="0"/>
      <w:marRight w:val="0"/>
      <w:marTop w:val="0"/>
      <w:marBottom w:val="0"/>
      <w:divBdr>
        <w:top w:val="none" w:sz="0" w:space="0" w:color="auto"/>
        <w:left w:val="none" w:sz="0" w:space="0" w:color="auto"/>
        <w:bottom w:val="none" w:sz="0" w:space="0" w:color="auto"/>
        <w:right w:val="none" w:sz="0" w:space="0" w:color="auto"/>
      </w:divBdr>
    </w:div>
    <w:div w:id="1594363922">
      <w:bodyDiv w:val="1"/>
      <w:marLeft w:val="0"/>
      <w:marRight w:val="0"/>
      <w:marTop w:val="0"/>
      <w:marBottom w:val="0"/>
      <w:divBdr>
        <w:top w:val="none" w:sz="0" w:space="0" w:color="auto"/>
        <w:left w:val="none" w:sz="0" w:space="0" w:color="auto"/>
        <w:bottom w:val="none" w:sz="0" w:space="0" w:color="auto"/>
        <w:right w:val="none" w:sz="0" w:space="0" w:color="auto"/>
      </w:divBdr>
    </w:div>
    <w:div w:id="1609505411">
      <w:bodyDiv w:val="1"/>
      <w:marLeft w:val="0"/>
      <w:marRight w:val="0"/>
      <w:marTop w:val="0"/>
      <w:marBottom w:val="0"/>
      <w:divBdr>
        <w:top w:val="none" w:sz="0" w:space="0" w:color="auto"/>
        <w:left w:val="none" w:sz="0" w:space="0" w:color="auto"/>
        <w:bottom w:val="none" w:sz="0" w:space="0" w:color="auto"/>
        <w:right w:val="none" w:sz="0" w:space="0" w:color="auto"/>
      </w:divBdr>
    </w:div>
    <w:div w:id="1632056361">
      <w:bodyDiv w:val="1"/>
      <w:marLeft w:val="0"/>
      <w:marRight w:val="0"/>
      <w:marTop w:val="0"/>
      <w:marBottom w:val="0"/>
      <w:divBdr>
        <w:top w:val="none" w:sz="0" w:space="0" w:color="auto"/>
        <w:left w:val="none" w:sz="0" w:space="0" w:color="auto"/>
        <w:bottom w:val="none" w:sz="0" w:space="0" w:color="auto"/>
        <w:right w:val="none" w:sz="0" w:space="0" w:color="auto"/>
      </w:divBdr>
    </w:div>
    <w:div w:id="1640648769">
      <w:bodyDiv w:val="1"/>
      <w:marLeft w:val="0"/>
      <w:marRight w:val="0"/>
      <w:marTop w:val="0"/>
      <w:marBottom w:val="0"/>
      <w:divBdr>
        <w:top w:val="none" w:sz="0" w:space="0" w:color="auto"/>
        <w:left w:val="none" w:sz="0" w:space="0" w:color="auto"/>
        <w:bottom w:val="none" w:sz="0" w:space="0" w:color="auto"/>
        <w:right w:val="none" w:sz="0" w:space="0" w:color="auto"/>
      </w:divBdr>
    </w:div>
    <w:div w:id="1759404349">
      <w:bodyDiv w:val="1"/>
      <w:marLeft w:val="0"/>
      <w:marRight w:val="0"/>
      <w:marTop w:val="0"/>
      <w:marBottom w:val="0"/>
      <w:divBdr>
        <w:top w:val="none" w:sz="0" w:space="0" w:color="auto"/>
        <w:left w:val="none" w:sz="0" w:space="0" w:color="auto"/>
        <w:bottom w:val="none" w:sz="0" w:space="0" w:color="auto"/>
        <w:right w:val="none" w:sz="0" w:space="0" w:color="auto"/>
      </w:divBdr>
    </w:div>
    <w:div w:id="1808278146">
      <w:bodyDiv w:val="1"/>
      <w:marLeft w:val="0"/>
      <w:marRight w:val="0"/>
      <w:marTop w:val="0"/>
      <w:marBottom w:val="0"/>
      <w:divBdr>
        <w:top w:val="none" w:sz="0" w:space="0" w:color="auto"/>
        <w:left w:val="none" w:sz="0" w:space="0" w:color="auto"/>
        <w:bottom w:val="none" w:sz="0" w:space="0" w:color="auto"/>
        <w:right w:val="none" w:sz="0" w:space="0" w:color="auto"/>
      </w:divBdr>
    </w:div>
    <w:div w:id="1855462012">
      <w:bodyDiv w:val="1"/>
      <w:marLeft w:val="0"/>
      <w:marRight w:val="0"/>
      <w:marTop w:val="0"/>
      <w:marBottom w:val="0"/>
      <w:divBdr>
        <w:top w:val="none" w:sz="0" w:space="0" w:color="auto"/>
        <w:left w:val="none" w:sz="0" w:space="0" w:color="auto"/>
        <w:bottom w:val="none" w:sz="0" w:space="0" w:color="auto"/>
        <w:right w:val="none" w:sz="0" w:space="0" w:color="auto"/>
      </w:divBdr>
    </w:div>
    <w:div w:id="1951693838">
      <w:bodyDiv w:val="1"/>
      <w:marLeft w:val="0"/>
      <w:marRight w:val="0"/>
      <w:marTop w:val="0"/>
      <w:marBottom w:val="0"/>
      <w:divBdr>
        <w:top w:val="none" w:sz="0" w:space="0" w:color="auto"/>
        <w:left w:val="none" w:sz="0" w:space="0" w:color="auto"/>
        <w:bottom w:val="none" w:sz="0" w:space="0" w:color="auto"/>
        <w:right w:val="none" w:sz="0" w:space="0" w:color="auto"/>
      </w:divBdr>
      <w:divsChild>
        <w:div w:id="1280993684">
          <w:marLeft w:val="0"/>
          <w:marRight w:val="0"/>
          <w:marTop w:val="0"/>
          <w:marBottom w:val="0"/>
          <w:divBdr>
            <w:top w:val="none" w:sz="0" w:space="0" w:color="auto"/>
            <w:left w:val="none" w:sz="0" w:space="0" w:color="auto"/>
            <w:bottom w:val="none" w:sz="0" w:space="0" w:color="auto"/>
            <w:right w:val="none" w:sz="0" w:space="0" w:color="auto"/>
          </w:divBdr>
          <w:divsChild>
            <w:div w:id="1551764543">
              <w:marLeft w:val="0"/>
              <w:marRight w:val="0"/>
              <w:marTop w:val="0"/>
              <w:marBottom w:val="0"/>
              <w:divBdr>
                <w:top w:val="none" w:sz="0" w:space="0" w:color="auto"/>
                <w:left w:val="none" w:sz="0" w:space="0" w:color="auto"/>
                <w:bottom w:val="none" w:sz="0" w:space="0" w:color="auto"/>
                <w:right w:val="none" w:sz="0" w:space="0" w:color="auto"/>
              </w:divBdr>
              <w:divsChild>
                <w:div w:id="18870607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69431145">
      <w:bodyDiv w:val="1"/>
      <w:marLeft w:val="0"/>
      <w:marRight w:val="0"/>
      <w:marTop w:val="0"/>
      <w:marBottom w:val="0"/>
      <w:divBdr>
        <w:top w:val="none" w:sz="0" w:space="0" w:color="auto"/>
        <w:left w:val="none" w:sz="0" w:space="0" w:color="auto"/>
        <w:bottom w:val="none" w:sz="0" w:space="0" w:color="auto"/>
        <w:right w:val="none" w:sz="0" w:space="0" w:color="auto"/>
      </w:divBdr>
    </w:div>
    <w:div w:id="21049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image" Target="media/image6.jpeg"/><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768aceb2-b366-4b48-827b-e820edc548bd"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B0421-2A76-4074-B761-737EF01125D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EE3D0FA-56D9-4D0E-90BF-B805D251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27</Pages>
  <Words>7696</Words>
  <Characters>44070</Characters>
  <Application>Microsoft Office Word</Application>
  <DocSecurity>0</DocSecurity>
  <Lines>1632</Lines>
  <Paragraphs>1176</Paragraphs>
  <ScaleCrop>false</ScaleCrop>
  <HeadingPairs>
    <vt:vector size="2" baseType="variant">
      <vt:variant>
        <vt:lpstr>Title</vt:lpstr>
      </vt:variant>
      <vt:variant>
        <vt:i4>1</vt:i4>
      </vt:variant>
    </vt:vector>
  </HeadingPairs>
  <TitlesOfParts>
    <vt:vector size="1" baseType="lpstr">
      <vt:lpstr>AusPAR Attachment 1: Product Information Evolocumab</vt:lpstr>
    </vt:vector>
  </TitlesOfParts>
  <Company/>
  <LinksUpToDate>false</LinksUpToDate>
  <CharactersWithSpaces>50590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Evolocumab</dc:title>
  <dc:subject>Prescription medicines</dc:subject>
  <dc:creator>Amgen Australia Pty Ltd</dc:creator>
  <cp:keywords>AusPARs</cp:keywords>
  <cp:lastPrinted>2018-05-14T22:23:00Z</cp:lastPrinted>
  <dcterms:created xsi:type="dcterms:W3CDTF">2019-05-02T03:43:00Z</dcterms:created>
  <dcterms:modified xsi:type="dcterms:W3CDTF">2019-05-06T01:58:00Z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34198c97-9860-437b-90a8-a8f7684b3c01</vt:lpwstr>
  </property>
  <property fmtid="{D5CDD505-2E9C-101B-9397-08002B2CF9AE}" pid="3" name="bjSaver">
    <vt:lpwstr>haN+T17j7ikomSkFtccuYCftqZDTWzD4</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uid="768aceb2-b366-4b48-827b-e820edc548bd" value="" /&gt;&lt;/sisl&gt;</vt:lpwstr>
  </property>
  <property fmtid="{D5CDD505-2E9C-101B-9397-08002B2CF9AE}" pid="6" name="bjDocumentSecurityLabel">
    <vt:lpwstr>Non-Amgen Business</vt:lpwstr>
  </property>
</Properties>
</file>