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13630348" w14:textId="77777777" w:rsidTr="00BF1190">
        <w:trPr>
          <w:trHeight w:val="1863"/>
        </w:trPr>
        <w:tc>
          <w:tcPr>
            <w:tcW w:w="3652" w:type="dxa"/>
            <w:tcBorders>
              <w:top w:val="nil"/>
              <w:left w:val="nil"/>
              <w:bottom w:val="nil"/>
              <w:right w:val="nil"/>
            </w:tcBorders>
          </w:tcPr>
          <w:p w14:paraId="17C24879" w14:textId="016F2588" w:rsidR="008E7846" w:rsidRPr="00096AA7" w:rsidRDefault="00B5201B" w:rsidP="00B20295">
            <w:pPr>
              <w:pStyle w:val="Date"/>
              <w:framePr w:hSpace="0" w:wrap="auto" w:vAnchor="margin" w:hAnchor="text" w:yAlign="inline"/>
              <w:suppressOverlap w:val="0"/>
            </w:pPr>
            <w:r w:rsidRPr="00B20295">
              <w:t>November</w:t>
            </w:r>
            <w:r>
              <w:t xml:space="preserve"> </w:t>
            </w:r>
            <w:r w:rsidR="009E1F14">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7DEDBF7F" w14:textId="77777777" w:rsidTr="0032583B">
        <w:trPr>
          <w:trHeight w:val="868"/>
        </w:trPr>
        <w:tc>
          <w:tcPr>
            <w:tcW w:w="9079" w:type="dxa"/>
          </w:tcPr>
          <w:p w14:paraId="588192E8" w14:textId="77777777" w:rsidR="0032583B" w:rsidRPr="00A964D1" w:rsidRDefault="0032583B" w:rsidP="00B20295">
            <w:pPr>
              <w:pStyle w:val="Title"/>
              <w:framePr w:hSpace="0" w:wrap="auto" w:vAnchor="margin" w:yAlign="inline"/>
            </w:pPr>
            <w:r w:rsidRPr="00A964D1">
              <w:t>Australi</w:t>
            </w:r>
            <w:r w:rsidR="009E1F14">
              <w:t>an Public Assessment Report for Everolimus</w:t>
            </w:r>
          </w:p>
        </w:tc>
      </w:tr>
      <w:tr w:rsidR="0032583B" w:rsidRPr="00B64760" w14:paraId="1A7E7E41" w14:textId="77777777" w:rsidTr="0032583B">
        <w:tc>
          <w:tcPr>
            <w:tcW w:w="9079" w:type="dxa"/>
          </w:tcPr>
          <w:p w14:paraId="24D85696" w14:textId="77777777" w:rsidR="0032583B" w:rsidRPr="008E7846" w:rsidRDefault="0032583B" w:rsidP="00B20295">
            <w:pPr>
              <w:pStyle w:val="Subtitle"/>
              <w:framePr w:hSpace="0" w:wrap="auto" w:vAnchor="margin" w:yAlign="inline"/>
            </w:pPr>
            <w:r w:rsidRPr="008E7846">
              <w:t xml:space="preserve">Proprietary </w:t>
            </w:r>
            <w:r w:rsidRPr="00B20295">
              <w:t>Product</w:t>
            </w:r>
            <w:r w:rsidRPr="008E7846">
              <w:t xml:space="preserve"> Name: </w:t>
            </w:r>
            <w:proofErr w:type="spellStart"/>
            <w:r w:rsidR="009E1F14" w:rsidRPr="009E1F14">
              <w:t>Afinitor</w:t>
            </w:r>
            <w:proofErr w:type="spellEnd"/>
          </w:p>
        </w:tc>
      </w:tr>
      <w:tr w:rsidR="0032583B" w:rsidRPr="00B64760" w14:paraId="79F257E9" w14:textId="77777777" w:rsidTr="0032583B">
        <w:trPr>
          <w:trHeight w:val="486"/>
        </w:trPr>
        <w:tc>
          <w:tcPr>
            <w:tcW w:w="9079" w:type="dxa"/>
          </w:tcPr>
          <w:p w14:paraId="01BE3B37" w14:textId="77777777" w:rsidR="0032583B" w:rsidRPr="008E7846" w:rsidRDefault="0032583B" w:rsidP="00B20295">
            <w:pPr>
              <w:pStyle w:val="Subtitle"/>
              <w:framePr w:hSpace="0" w:wrap="auto" w:vAnchor="margin" w:yAlign="inline"/>
            </w:pPr>
            <w:r w:rsidRPr="008E7846">
              <w:t xml:space="preserve">Sponsor: </w:t>
            </w:r>
            <w:r w:rsidR="009E1F14" w:rsidRPr="009E1F14">
              <w:t>Novartis Pha</w:t>
            </w:r>
            <w:r w:rsidR="009E1F14">
              <w:t>rmaceuticals Australia Pty Ltd</w:t>
            </w:r>
          </w:p>
        </w:tc>
      </w:tr>
    </w:tbl>
    <w:p w14:paraId="612388EB" w14:textId="77777777" w:rsidR="008E7846" w:rsidRPr="0085156D" w:rsidRDefault="008E7846" w:rsidP="0085156D">
      <w:r w:rsidRPr="0085156D">
        <w:br w:type="page"/>
      </w:r>
    </w:p>
    <w:p w14:paraId="2B489948" w14:textId="77777777" w:rsidR="008E7846" w:rsidRPr="001F6CBA" w:rsidRDefault="008E7846" w:rsidP="008E7846">
      <w:pPr>
        <w:pStyle w:val="NonTOCHeading2"/>
      </w:pPr>
      <w:r w:rsidRPr="001F6CBA">
        <w:lastRenderedPageBreak/>
        <w:t>About the Therapeutic Goods Administration (TGA)</w:t>
      </w:r>
    </w:p>
    <w:p w14:paraId="1B2D26F1" w14:textId="77777777" w:rsidR="008E7846" w:rsidRDefault="008E7846" w:rsidP="003D7F9D">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2E3B9F7A" w14:textId="77777777" w:rsidR="008E7846" w:rsidRDefault="00C80137" w:rsidP="003D7F9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4061E070" w14:textId="77777777" w:rsidR="008E7846" w:rsidRDefault="008E7846" w:rsidP="003D7F9D">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05EC0FB8" w14:textId="77777777" w:rsidR="008E7846" w:rsidRDefault="008E7846" w:rsidP="003D7F9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4C23AFF4" w14:textId="6036E5D2" w:rsidR="00441C3F" w:rsidRDefault="008E7846" w:rsidP="003D7F9D">
      <w:pPr>
        <w:pStyle w:val="ListBullet"/>
        <w:numPr>
          <w:ilvl w:val="0"/>
          <w:numId w:val="1"/>
        </w:numPr>
        <w:ind w:left="357" w:hanging="357"/>
      </w:pPr>
      <w:r>
        <w:t xml:space="preserve">To report a problem with a medicine or medical device, please see the information on </w:t>
      </w:r>
      <w:r w:rsidR="00441C3F">
        <w:t xml:space="preserve">the TGA website </w:t>
      </w:r>
      <w:r w:rsidR="00F50ABF">
        <w:t xml:space="preserve">&lt; </w:t>
      </w:r>
      <w:hyperlink r:id="rId9" w:history="1">
        <w:r w:rsidR="00441C3F">
          <w:rPr>
            <w:rStyle w:val="Hyperlink"/>
          </w:rPr>
          <w:t>https://www.tga.gov.au</w:t>
        </w:r>
      </w:hyperlink>
      <w:r w:rsidR="00B20295">
        <w:t>&gt;</w:t>
      </w:r>
      <w:r w:rsidR="00441C3F">
        <w:t>.</w:t>
      </w:r>
    </w:p>
    <w:p w14:paraId="102200A1" w14:textId="77777777" w:rsidR="008E7846" w:rsidRDefault="008E7846" w:rsidP="0081112E">
      <w:pPr>
        <w:pStyle w:val="NonTOCHeading2"/>
      </w:pPr>
      <w:r>
        <w:t xml:space="preserve">About </w:t>
      </w:r>
      <w:proofErr w:type="spellStart"/>
      <w:r w:rsidRPr="0081112E">
        <w:t>AusPARs</w:t>
      </w:r>
      <w:proofErr w:type="spellEnd"/>
    </w:p>
    <w:p w14:paraId="037EE3EE" w14:textId="77777777" w:rsidR="008E7846" w:rsidRDefault="008E7846" w:rsidP="003D7F9D">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35FAC0DB" w14:textId="77777777" w:rsidR="008E7846" w:rsidRDefault="008E7846" w:rsidP="003D7F9D">
      <w:pPr>
        <w:pStyle w:val="ListBullet"/>
        <w:numPr>
          <w:ilvl w:val="0"/>
          <w:numId w:val="1"/>
        </w:numPr>
        <w:ind w:left="357" w:hanging="357"/>
      </w:pPr>
      <w:proofErr w:type="spellStart"/>
      <w:r>
        <w:t>AusPARs</w:t>
      </w:r>
      <w:proofErr w:type="spellEnd"/>
      <w:r>
        <w:t xml:space="preserve"> are prepared and published by the TGA.</w:t>
      </w:r>
    </w:p>
    <w:p w14:paraId="6FC56F84" w14:textId="77777777" w:rsidR="008E7846" w:rsidRDefault="008E7846" w:rsidP="003D7F9D">
      <w:pPr>
        <w:pStyle w:val="ListBullet"/>
        <w:numPr>
          <w:ilvl w:val="0"/>
          <w:numId w:val="1"/>
        </w:numPr>
        <w:ind w:left="357" w:hanging="357"/>
      </w:pPr>
      <w:r>
        <w:t>An AusPAR is prepared for submissions that relate to new chemical entities, generic medicines, major variations and extensions of indications.</w:t>
      </w:r>
    </w:p>
    <w:p w14:paraId="0454129E" w14:textId="77777777" w:rsidR="008E7846" w:rsidRDefault="008E7846" w:rsidP="003D7F9D">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285AEE06" w14:textId="77777777" w:rsidR="00B452CE" w:rsidRDefault="008E7846" w:rsidP="003D7F9D">
      <w:pPr>
        <w:pStyle w:val="ListBullet"/>
        <w:numPr>
          <w:ilvl w:val="0"/>
          <w:numId w:val="1"/>
        </w:numPr>
        <w:ind w:left="357" w:hanging="357"/>
      </w:pPr>
      <w:r>
        <w:t>A new AusPAR will be developed to reflect changes to indications and/or major variations to a prescription medicine subject to evaluation by the TGA.</w:t>
      </w:r>
    </w:p>
    <w:p w14:paraId="436A1F9E" w14:textId="77777777" w:rsidR="00924482" w:rsidRPr="00DF1D7F" w:rsidRDefault="00924482" w:rsidP="00F54B65">
      <w:pPr>
        <w:pStyle w:val="LegalSubheading"/>
        <w:spacing w:before="3120"/>
      </w:pPr>
      <w:r w:rsidRPr="00DF1D7F">
        <w:t>Copyright</w:t>
      </w:r>
    </w:p>
    <w:p w14:paraId="594BB628" w14:textId="4B374BA2" w:rsidR="00924482" w:rsidRDefault="00924482" w:rsidP="00924482">
      <w:pPr>
        <w:pStyle w:val="LegalCopy"/>
      </w:pPr>
      <w:r w:rsidRPr="00191B3B">
        <w:rPr>
          <w:rFonts w:cs="Arial"/>
          <w:lang w:val="en-GB"/>
        </w:rPr>
        <w:t>© Comm</w:t>
      </w:r>
      <w:r>
        <w:rPr>
          <w:rFonts w:cs="Arial"/>
          <w:lang w:val="en-GB"/>
        </w:rPr>
        <w:t>onwealth of Australia 201</w:t>
      </w:r>
      <w:r w:rsidR="002B14E4">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F50ABF">
        <w:rPr>
          <w:rFonts w:cs="Arial"/>
          <w:lang w:val="en-GB"/>
        </w:rPr>
        <w:t xml:space="preserve">&lt; </w:t>
      </w:r>
      <w:hyperlink r:id="rId10" w:history="1">
        <w:r w:rsidRPr="00191B3B">
          <w:rPr>
            <w:rStyle w:val="Hyperlink"/>
            <w:rFonts w:cs="Arial"/>
            <w:lang w:val="en-GB"/>
          </w:rPr>
          <w:t>tga.copyright@tga.gov.au</w:t>
        </w:r>
      </w:hyperlink>
      <w:r w:rsidR="00F50ABF">
        <w:rPr>
          <w:rFonts w:cs="Arial"/>
        </w:rPr>
        <w:t>&gt;</w:t>
      </w:r>
      <w:r w:rsidRPr="00191B3B">
        <w:rPr>
          <w:rFonts w:cs="Arial"/>
        </w:rPr>
        <w:t>.</w:t>
      </w:r>
    </w:p>
    <w:p w14:paraId="4897FA7E"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
          <w:szCs w:val="2"/>
        </w:rPr>
      </w:sdtEndPr>
      <w:sdtContent>
        <w:p w14:paraId="09718513" w14:textId="77777777" w:rsidR="0089635C" w:rsidRPr="0089635C" w:rsidRDefault="0089635C" w:rsidP="0010788A">
          <w:pPr>
            <w:pStyle w:val="Contents"/>
          </w:pPr>
          <w:r w:rsidRPr="0010788A">
            <w:t>Contents</w:t>
          </w:r>
        </w:p>
        <w:p w14:paraId="37AA397A" w14:textId="77777777" w:rsidR="00B218AC"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bookmarkStart w:id="2" w:name="_GoBack"/>
          <w:bookmarkEnd w:id="2"/>
          <w:r w:rsidR="00B218AC" w:rsidRPr="006953C5">
            <w:rPr>
              <w:rStyle w:val="Hyperlink"/>
              <w:noProof/>
            </w:rPr>
            <w:fldChar w:fldCharType="begin"/>
          </w:r>
          <w:r w:rsidR="00B218AC" w:rsidRPr="006953C5">
            <w:rPr>
              <w:rStyle w:val="Hyperlink"/>
              <w:noProof/>
            </w:rPr>
            <w:instrText xml:space="preserve"> </w:instrText>
          </w:r>
          <w:r w:rsidR="00B218AC">
            <w:rPr>
              <w:noProof/>
            </w:rPr>
            <w:instrText>HYPERLINK \l "_Toc1555394"</w:instrText>
          </w:r>
          <w:r w:rsidR="00B218AC" w:rsidRPr="006953C5">
            <w:rPr>
              <w:rStyle w:val="Hyperlink"/>
              <w:noProof/>
            </w:rPr>
            <w:instrText xml:space="preserve"> </w:instrText>
          </w:r>
          <w:r w:rsidR="00B218AC" w:rsidRPr="006953C5">
            <w:rPr>
              <w:rStyle w:val="Hyperlink"/>
              <w:noProof/>
            </w:rPr>
          </w:r>
          <w:r w:rsidR="00B218AC" w:rsidRPr="006953C5">
            <w:rPr>
              <w:rStyle w:val="Hyperlink"/>
              <w:noProof/>
            </w:rPr>
            <w:fldChar w:fldCharType="separate"/>
          </w:r>
          <w:r w:rsidR="00B218AC" w:rsidRPr="006953C5">
            <w:rPr>
              <w:rStyle w:val="Hyperlink"/>
              <w:noProof/>
            </w:rPr>
            <w:t>Common abbreviations</w:t>
          </w:r>
          <w:r w:rsidR="00B218AC">
            <w:rPr>
              <w:noProof/>
              <w:webHidden/>
            </w:rPr>
            <w:tab/>
          </w:r>
          <w:r w:rsidR="00B218AC">
            <w:rPr>
              <w:noProof/>
              <w:webHidden/>
            </w:rPr>
            <w:fldChar w:fldCharType="begin"/>
          </w:r>
          <w:r w:rsidR="00B218AC">
            <w:rPr>
              <w:noProof/>
              <w:webHidden/>
            </w:rPr>
            <w:instrText xml:space="preserve"> PAGEREF _Toc1555394 \h </w:instrText>
          </w:r>
          <w:r w:rsidR="00B218AC">
            <w:rPr>
              <w:noProof/>
              <w:webHidden/>
            </w:rPr>
          </w:r>
          <w:r w:rsidR="00B218AC">
            <w:rPr>
              <w:noProof/>
              <w:webHidden/>
            </w:rPr>
            <w:fldChar w:fldCharType="separate"/>
          </w:r>
          <w:r w:rsidR="00B218AC">
            <w:rPr>
              <w:noProof/>
              <w:webHidden/>
            </w:rPr>
            <w:t>4</w:t>
          </w:r>
          <w:r w:rsidR="00B218AC">
            <w:rPr>
              <w:noProof/>
              <w:webHidden/>
            </w:rPr>
            <w:fldChar w:fldCharType="end"/>
          </w:r>
          <w:r w:rsidR="00B218AC" w:rsidRPr="006953C5">
            <w:rPr>
              <w:rStyle w:val="Hyperlink"/>
              <w:noProof/>
            </w:rPr>
            <w:fldChar w:fldCharType="end"/>
          </w:r>
        </w:p>
        <w:p w14:paraId="186BC57B" w14:textId="77777777" w:rsidR="00B218AC" w:rsidRDefault="00B218AC">
          <w:pPr>
            <w:pStyle w:val="TOC2"/>
            <w:rPr>
              <w:rFonts w:asciiTheme="minorHAnsi" w:eastAsiaTheme="minorEastAsia" w:hAnsiTheme="minorHAnsi" w:cstheme="minorBidi"/>
              <w:b w:val="0"/>
              <w:noProof/>
              <w:sz w:val="22"/>
              <w:lang w:eastAsia="en-AU"/>
            </w:rPr>
          </w:pPr>
          <w:hyperlink w:anchor="_Toc1555395" w:history="1">
            <w:r w:rsidRPr="006953C5">
              <w:rPr>
                <w:rStyle w:val="Hyperlink"/>
                <w:noProof/>
              </w:rPr>
              <w:t>I. Introduction to product submission</w:t>
            </w:r>
            <w:r>
              <w:rPr>
                <w:noProof/>
                <w:webHidden/>
              </w:rPr>
              <w:tab/>
            </w:r>
            <w:r>
              <w:rPr>
                <w:noProof/>
                <w:webHidden/>
              </w:rPr>
              <w:fldChar w:fldCharType="begin"/>
            </w:r>
            <w:r>
              <w:rPr>
                <w:noProof/>
                <w:webHidden/>
              </w:rPr>
              <w:instrText xml:space="preserve"> PAGEREF _Toc1555395 \h </w:instrText>
            </w:r>
            <w:r>
              <w:rPr>
                <w:noProof/>
                <w:webHidden/>
              </w:rPr>
            </w:r>
            <w:r>
              <w:rPr>
                <w:noProof/>
                <w:webHidden/>
              </w:rPr>
              <w:fldChar w:fldCharType="separate"/>
            </w:r>
            <w:r>
              <w:rPr>
                <w:noProof/>
                <w:webHidden/>
              </w:rPr>
              <w:t>6</w:t>
            </w:r>
            <w:r>
              <w:rPr>
                <w:noProof/>
                <w:webHidden/>
              </w:rPr>
              <w:fldChar w:fldCharType="end"/>
            </w:r>
          </w:hyperlink>
        </w:p>
        <w:p w14:paraId="7983B016" w14:textId="77777777" w:rsidR="00B218AC" w:rsidRDefault="00B218AC">
          <w:pPr>
            <w:pStyle w:val="TOC3"/>
            <w:rPr>
              <w:rFonts w:asciiTheme="minorHAnsi" w:eastAsiaTheme="minorEastAsia" w:hAnsiTheme="minorHAnsi" w:cstheme="minorBidi"/>
              <w:noProof/>
              <w:lang w:eastAsia="en-AU"/>
            </w:rPr>
          </w:pPr>
          <w:hyperlink w:anchor="_Toc1555396" w:history="1">
            <w:r w:rsidRPr="006953C5">
              <w:rPr>
                <w:rStyle w:val="Hyperlink"/>
                <w:noProof/>
                <w:lang w:eastAsia="en-AU"/>
              </w:rPr>
              <w:t>Submission details</w:t>
            </w:r>
            <w:r>
              <w:rPr>
                <w:noProof/>
                <w:webHidden/>
              </w:rPr>
              <w:tab/>
            </w:r>
            <w:r>
              <w:rPr>
                <w:noProof/>
                <w:webHidden/>
              </w:rPr>
              <w:fldChar w:fldCharType="begin"/>
            </w:r>
            <w:r>
              <w:rPr>
                <w:noProof/>
                <w:webHidden/>
              </w:rPr>
              <w:instrText xml:space="preserve"> PAGEREF _Toc1555396 \h </w:instrText>
            </w:r>
            <w:r>
              <w:rPr>
                <w:noProof/>
                <w:webHidden/>
              </w:rPr>
            </w:r>
            <w:r>
              <w:rPr>
                <w:noProof/>
                <w:webHidden/>
              </w:rPr>
              <w:fldChar w:fldCharType="separate"/>
            </w:r>
            <w:r>
              <w:rPr>
                <w:noProof/>
                <w:webHidden/>
              </w:rPr>
              <w:t>6</w:t>
            </w:r>
            <w:r>
              <w:rPr>
                <w:noProof/>
                <w:webHidden/>
              </w:rPr>
              <w:fldChar w:fldCharType="end"/>
            </w:r>
          </w:hyperlink>
        </w:p>
        <w:p w14:paraId="4C0722DE" w14:textId="77777777" w:rsidR="00B218AC" w:rsidRDefault="00B218AC">
          <w:pPr>
            <w:pStyle w:val="TOC3"/>
            <w:rPr>
              <w:rFonts w:asciiTheme="minorHAnsi" w:eastAsiaTheme="minorEastAsia" w:hAnsiTheme="minorHAnsi" w:cstheme="minorBidi"/>
              <w:noProof/>
              <w:lang w:eastAsia="en-AU"/>
            </w:rPr>
          </w:pPr>
          <w:hyperlink w:anchor="_Toc1555397" w:history="1">
            <w:r w:rsidRPr="006953C5">
              <w:rPr>
                <w:rStyle w:val="Hyperlink"/>
                <w:noProof/>
              </w:rPr>
              <w:t>Product background</w:t>
            </w:r>
            <w:r>
              <w:rPr>
                <w:noProof/>
                <w:webHidden/>
              </w:rPr>
              <w:tab/>
            </w:r>
            <w:r>
              <w:rPr>
                <w:noProof/>
                <w:webHidden/>
              </w:rPr>
              <w:fldChar w:fldCharType="begin"/>
            </w:r>
            <w:r>
              <w:rPr>
                <w:noProof/>
                <w:webHidden/>
              </w:rPr>
              <w:instrText xml:space="preserve"> PAGEREF _Toc1555397 \h </w:instrText>
            </w:r>
            <w:r>
              <w:rPr>
                <w:noProof/>
                <w:webHidden/>
              </w:rPr>
            </w:r>
            <w:r>
              <w:rPr>
                <w:noProof/>
                <w:webHidden/>
              </w:rPr>
              <w:fldChar w:fldCharType="separate"/>
            </w:r>
            <w:r>
              <w:rPr>
                <w:noProof/>
                <w:webHidden/>
              </w:rPr>
              <w:t>6</w:t>
            </w:r>
            <w:r>
              <w:rPr>
                <w:noProof/>
                <w:webHidden/>
              </w:rPr>
              <w:fldChar w:fldCharType="end"/>
            </w:r>
          </w:hyperlink>
        </w:p>
        <w:p w14:paraId="48D1879F" w14:textId="77777777" w:rsidR="00B218AC" w:rsidRDefault="00B218AC">
          <w:pPr>
            <w:pStyle w:val="TOC3"/>
            <w:rPr>
              <w:rFonts w:asciiTheme="minorHAnsi" w:eastAsiaTheme="minorEastAsia" w:hAnsiTheme="minorHAnsi" w:cstheme="minorBidi"/>
              <w:noProof/>
              <w:lang w:eastAsia="en-AU"/>
            </w:rPr>
          </w:pPr>
          <w:hyperlink w:anchor="_Toc1555398" w:history="1">
            <w:r w:rsidRPr="006953C5">
              <w:rPr>
                <w:rStyle w:val="Hyperlink"/>
                <w:noProof/>
              </w:rPr>
              <w:t>Regulatory status</w:t>
            </w:r>
            <w:r>
              <w:rPr>
                <w:noProof/>
                <w:webHidden/>
              </w:rPr>
              <w:tab/>
            </w:r>
            <w:r>
              <w:rPr>
                <w:noProof/>
                <w:webHidden/>
              </w:rPr>
              <w:fldChar w:fldCharType="begin"/>
            </w:r>
            <w:r>
              <w:rPr>
                <w:noProof/>
                <w:webHidden/>
              </w:rPr>
              <w:instrText xml:space="preserve"> PAGEREF _Toc1555398 \h </w:instrText>
            </w:r>
            <w:r>
              <w:rPr>
                <w:noProof/>
                <w:webHidden/>
              </w:rPr>
            </w:r>
            <w:r>
              <w:rPr>
                <w:noProof/>
                <w:webHidden/>
              </w:rPr>
              <w:fldChar w:fldCharType="separate"/>
            </w:r>
            <w:r>
              <w:rPr>
                <w:noProof/>
                <w:webHidden/>
              </w:rPr>
              <w:t>7</w:t>
            </w:r>
            <w:r>
              <w:rPr>
                <w:noProof/>
                <w:webHidden/>
              </w:rPr>
              <w:fldChar w:fldCharType="end"/>
            </w:r>
          </w:hyperlink>
        </w:p>
        <w:p w14:paraId="294CCAF6" w14:textId="77777777" w:rsidR="00B218AC" w:rsidRDefault="00B218AC">
          <w:pPr>
            <w:pStyle w:val="TOC3"/>
            <w:rPr>
              <w:rFonts w:asciiTheme="minorHAnsi" w:eastAsiaTheme="minorEastAsia" w:hAnsiTheme="minorHAnsi" w:cstheme="minorBidi"/>
              <w:noProof/>
              <w:lang w:eastAsia="en-AU"/>
            </w:rPr>
          </w:pPr>
          <w:hyperlink w:anchor="_Toc1555399" w:history="1">
            <w:r w:rsidRPr="006953C5">
              <w:rPr>
                <w:rStyle w:val="Hyperlink"/>
                <w:noProof/>
              </w:rPr>
              <w:t>Product Information</w:t>
            </w:r>
            <w:r>
              <w:rPr>
                <w:noProof/>
                <w:webHidden/>
              </w:rPr>
              <w:tab/>
            </w:r>
            <w:r>
              <w:rPr>
                <w:noProof/>
                <w:webHidden/>
              </w:rPr>
              <w:fldChar w:fldCharType="begin"/>
            </w:r>
            <w:r>
              <w:rPr>
                <w:noProof/>
                <w:webHidden/>
              </w:rPr>
              <w:instrText xml:space="preserve"> PAGEREF _Toc1555399 \h </w:instrText>
            </w:r>
            <w:r>
              <w:rPr>
                <w:noProof/>
                <w:webHidden/>
              </w:rPr>
            </w:r>
            <w:r>
              <w:rPr>
                <w:noProof/>
                <w:webHidden/>
              </w:rPr>
              <w:fldChar w:fldCharType="separate"/>
            </w:r>
            <w:r>
              <w:rPr>
                <w:noProof/>
                <w:webHidden/>
              </w:rPr>
              <w:t>8</w:t>
            </w:r>
            <w:r>
              <w:rPr>
                <w:noProof/>
                <w:webHidden/>
              </w:rPr>
              <w:fldChar w:fldCharType="end"/>
            </w:r>
          </w:hyperlink>
        </w:p>
        <w:p w14:paraId="0212FDF0" w14:textId="77777777" w:rsidR="00B218AC" w:rsidRDefault="00B218AC">
          <w:pPr>
            <w:pStyle w:val="TOC2"/>
            <w:rPr>
              <w:rFonts w:asciiTheme="minorHAnsi" w:eastAsiaTheme="minorEastAsia" w:hAnsiTheme="minorHAnsi" w:cstheme="minorBidi"/>
              <w:b w:val="0"/>
              <w:noProof/>
              <w:sz w:val="22"/>
              <w:lang w:eastAsia="en-AU"/>
            </w:rPr>
          </w:pPr>
          <w:hyperlink w:anchor="_Toc1555400" w:history="1">
            <w:r w:rsidRPr="006953C5">
              <w:rPr>
                <w:rStyle w:val="Hyperlink"/>
                <w:noProof/>
              </w:rPr>
              <w:t>II. Registration time line</w:t>
            </w:r>
            <w:r>
              <w:rPr>
                <w:noProof/>
                <w:webHidden/>
              </w:rPr>
              <w:tab/>
            </w:r>
            <w:r>
              <w:rPr>
                <w:noProof/>
                <w:webHidden/>
              </w:rPr>
              <w:fldChar w:fldCharType="begin"/>
            </w:r>
            <w:r>
              <w:rPr>
                <w:noProof/>
                <w:webHidden/>
              </w:rPr>
              <w:instrText xml:space="preserve"> PAGEREF _Toc1555400 \h </w:instrText>
            </w:r>
            <w:r>
              <w:rPr>
                <w:noProof/>
                <w:webHidden/>
              </w:rPr>
            </w:r>
            <w:r>
              <w:rPr>
                <w:noProof/>
                <w:webHidden/>
              </w:rPr>
              <w:fldChar w:fldCharType="separate"/>
            </w:r>
            <w:r>
              <w:rPr>
                <w:noProof/>
                <w:webHidden/>
              </w:rPr>
              <w:t>8</w:t>
            </w:r>
            <w:r>
              <w:rPr>
                <w:noProof/>
                <w:webHidden/>
              </w:rPr>
              <w:fldChar w:fldCharType="end"/>
            </w:r>
          </w:hyperlink>
        </w:p>
        <w:p w14:paraId="2DA48700" w14:textId="77777777" w:rsidR="00B218AC" w:rsidRDefault="00B218AC">
          <w:pPr>
            <w:pStyle w:val="TOC2"/>
            <w:rPr>
              <w:rFonts w:asciiTheme="minorHAnsi" w:eastAsiaTheme="minorEastAsia" w:hAnsiTheme="minorHAnsi" w:cstheme="minorBidi"/>
              <w:b w:val="0"/>
              <w:noProof/>
              <w:sz w:val="22"/>
              <w:lang w:eastAsia="en-AU"/>
            </w:rPr>
          </w:pPr>
          <w:hyperlink w:anchor="_Toc1555401" w:history="1">
            <w:r w:rsidRPr="006953C5">
              <w:rPr>
                <w:rStyle w:val="Hyperlink"/>
                <w:noProof/>
              </w:rPr>
              <w:t>III. Quality findings</w:t>
            </w:r>
            <w:r>
              <w:rPr>
                <w:noProof/>
                <w:webHidden/>
              </w:rPr>
              <w:tab/>
            </w:r>
            <w:r>
              <w:rPr>
                <w:noProof/>
                <w:webHidden/>
              </w:rPr>
              <w:fldChar w:fldCharType="begin"/>
            </w:r>
            <w:r>
              <w:rPr>
                <w:noProof/>
                <w:webHidden/>
              </w:rPr>
              <w:instrText xml:space="preserve"> PAGEREF _Toc1555401 \h </w:instrText>
            </w:r>
            <w:r>
              <w:rPr>
                <w:noProof/>
                <w:webHidden/>
              </w:rPr>
            </w:r>
            <w:r>
              <w:rPr>
                <w:noProof/>
                <w:webHidden/>
              </w:rPr>
              <w:fldChar w:fldCharType="separate"/>
            </w:r>
            <w:r>
              <w:rPr>
                <w:noProof/>
                <w:webHidden/>
              </w:rPr>
              <w:t>9</w:t>
            </w:r>
            <w:r>
              <w:rPr>
                <w:noProof/>
                <w:webHidden/>
              </w:rPr>
              <w:fldChar w:fldCharType="end"/>
            </w:r>
          </w:hyperlink>
        </w:p>
        <w:p w14:paraId="1BDBE84A" w14:textId="77777777" w:rsidR="00B218AC" w:rsidRDefault="00B218AC">
          <w:pPr>
            <w:pStyle w:val="TOC2"/>
            <w:rPr>
              <w:rFonts w:asciiTheme="minorHAnsi" w:eastAsiaTheme="minorEastAsia" w:hAnsiTheme="minorHAnsi" w:cstheme="minorBidi"/>
              <w:b w:val="0"/>
              <w:noProof/>
              <w:sz w:val="22"/>
              <w:lang w:eastAsia="en-AU"/>
            </w:rPr>
          </w:pPr>
          <w:hyperlink w:anchor="_Toc1555402" w:history="1">
            <w:r w:rsidRPr="006953C5">
              <w:rPr>
                <w:rStyle w:val="Hyperlink"/>
                <w:noProof/>
              </w:rPr>
              <w:t>IV. Nonclinical findings</w:t>
            </w:r>
            <w:r>
              <w:rPr>
                <w:noProof/>
                <w:webHidden/>
              </w:rPr>
              <w:tab/>
            </w:r>
            <w:r>
              <w:rPr>
                <w:noProof/>
                <w:webHidden/>
              </w:rPr>
              <w:fldChar w:fldCharType="begin"/>
            </w:r>
            <w:r>
              <w:rPr>
                <w:noProof/>
                <w:webHidden/>
              </w:rPr>
              <w:instrText xml:space="preserve"> PAGEREF _Toc1555402 \h </w:instrText>
            </w:r>
            <w:r>
              <w:rPr>
                <w:noProof/>
                <w:webHidden/>
              </w:rPr>
            </w:r>
            <w:r>
              <w:rPr>
                <w:noProof/>
                <w:webHidden/>
              </w:rPr>
              <w:fldChar w:fldCharType="separate"/>
            </w:r>
            <w:r>
              <w:rPr>
                <w:noProof/>
                <w:webHidden/>
              </w:rPr>
              <w:t>9</w:t>
            </w:r>
            <w:r>
              <w:rPr>
                <w:noProof/>
                <w:webHidden/>
              </w:rPr>
              <w:fldChar w:fldCharType="end"/>
            </w:r>
          </w:hyperlink>
        </w:p>
        <w:p w14:paraId="5E6B2ED4" w14:textId="77777777" w:rsidR="00B218AC" w:rsidRDefault="00B218AC">
          <w:pPr>
            <w:pStyle w:val="TOC3"/>
            <w:rPr>
              <w:rFonts w:asciiTheme="minorHAnsi" w:eastAsiaTheme="minorEastAsia" w:hAnsiTheme="minorHAnsi" w:cstheme="minorBidi"/>
              <w:noProof/>
              <w:lang w:eastAsia="en-AU"/>
            </w:rPr>
          </w:pPr>
          <w:hyperlink w:anchor="_Toc1555403" w:history="1">
            <w:r w:rsidRPr="006953C5">
              <w:rPr>
                <w:rStyle w:val="Hyperlink"/>
                <w:noProof/>
              </w:rPr>
              <w:t>Introduction</w:t>
            </w:r>
            <w:r>
              <w:rPr>
                <w:noProof/>
                <w:webHidden/>
              </w:rPr>
              <w:tab/>
            </w:r>
            <w:r>
              <w:rPr>
                <w:noProof/>
                <w:webHidden/>
              </w:rPr>
              <w:fldChar w:fldCharType="begin"/>
            </w:r>
            <w:r>
              <w:rPr>
                <w:noProof/>
                <w:webHidden/>
              </w:rPr>
              <w:instrText xml:space="preserve"> PAGEREF _Toc1555403 \h </w:instrText>
            </w:r>
            <w:r>
              <w:rPr>
                <w:noProof/>
                <w:webHidden/>
              </w:rPr>
            </w:r>
            <w:r>
              <w:rPr>
                <w:noProof/>
                <w:webHidden/>
              </w:rPr>
              <w:fldChar w:fldCharType="separate"/>
            </w:r>
            <w:r>
              <w:rPr>
                <w:noProof/>
                <w:webHidden/>
              </w:rPr>
              <w:t>9</w:t>
            </w:r>
            <w:r>
              <w:rPr>
                <w:noProof/>
                <w:webHidden/>
              </w:rPr>
              <w:fldChar w:fldCharType="end"/>
            </w:r>
          </w:hyperlink>
        </w:p>
        <w:p w14:paraId="50F073F3" w14:textId="77777777" w:rsidR="00B218AC" w:rsidRDefault="00B218AC">
          <w:pPr>
            <w:pStyle w:val="TOC3"/>
            <w:rPr>
              <w:rFonts w:asciiTheme="minorHAnsi" w:eastAsiaTheme="minorEastAsia" w:hAnsiTheme="minorHAnsi" w:cstheme="minorBidi"/>
              <w:noProof/>
              <w:lang w:eastAsia="en-AU"/>
            </w:rPr>
          </w:pPr>
          <w:hyperlink w:anchor="_Toc1555404" w:history="1">
            <w:r w:rsidRPr="006953C5">
              <w:rPr>
                <w:rStyle w:val="Hyperlink"/>
                <w:noProof/>
              </w:rPr>
              <w:t>Pharmacology</w:t>
            </w:r>
            <w:r>
              <w:rPr>
                <w:noProof/>
                <w:webHidden/>
              </w:rPr>
              <w:tab/>
            </w:r>
            <w:r>
              <w:rPr>
                <w:noProof/>
                <w:webHidden/>
              </w:rPr>
              <w:fldChar w:fldCharType="begin"/>
            </w:r>
            <w:r>
              <w:rPr>
                <w:noProof/>
                <w:webHidden/>
              </w:rPr>
              <w:instrText xml:space="preserve"> PAGEREF _Toc1555404 \h </w:instrText>
            </w:r>
            <w:r>
              <w:rPr>
                <w:noProof/>
                <w:webHidden/>
              </w:rPr>
            </w:r>
            <w:r>
              <w:rPr>
                <w:noProof/>
                <w:webHidden/>
              </w:rPr>
              <w:fldChar w:fldCharType="separate"/>
            </w:r>
            <w:r>
              <w:rPr>
                <w:noProof/>
                <w:webHidden/>
              </w:rPr>
              <w:t>10</w:t>
            </w:r>
            <w:r>
              <w:rPr>
                <w:noProof/>
                <w:webHidden/>
              </w:rPr>
              <w:fldChar w:fldCharType="end"/>
            </w:r>
          </w:hyperlink>
        </w:p>
        <w:p w14:paraId="339D1190" w14:textId="77777777" w:rsidR="00B218AC" w:rsidRDefault="00B218AC">
          <w:pPr>
            <w:pStyle w:val="TOC3"/>
            <w:rPr>
              <w:rFonts w:asciiTheme="minorHAnsi" w:eastAsiaTheme="minorEastAsia" w:hAnsiTheme="minorHAnsi" w:cstheme="minorBidi"/>
              <w:noProof/>
              <w:lang w:eastAsia="en-AU"/>
            </w:rPr>
          </w:pPr>
          <w:hyperlink w:anchor="_Toc1555405" w:history="1">
            <w:r w:rsidRPr="006953C5">
              <w:rPr>
                <w:rStyle w:val="Hyperlink"/>
                <w:noProof/>
              </w:rPr>
              <w:t>Nonclinical summary and conclusions</w:t>
            </w:r>
            <w:r>
              <w:rPr>
                <w:noProof/>
                <w:webHidden/>
              </w:rPr>
              <w:tab/>
            </w:r>
            <w:r>
              <w:rPr>
                <w:noProof/>
                <w:webHidden/>
              </w:rPr>
              <w:fldChar w:fldCharType="begin"/>
            </w:r>
            <w:r>
              <w:rPr>
                <w:noProof/>
                <w:webHidden/>
              </w:rPr>
              <w:instrText xml:space="preserve"> PAGEREF _Toc1555405 \h </w:instrText>
            </w:r>
            <w:r>
              <w:rPr>
                <w:noProof/>
                <w:webHidden/>
              </w:rPr>
            </w:r>
            <w:r>
              <w:rPr>
                <w:noProof/>
                <w:webHidden/>
              </w:rPr>
              <w:fldChar w:fldCharType="separate"/>
            </w:r>
            <w:r>
              <w:rPr>
                <w:noProof/>
                <w:webHidden/>
              </w:rPr>
              <w:t>20</w:t>
            </w:r>
            <w:r>
              <w:rPr>
                <w:noProof/>
                <w:webHidden/>
              </w:rPr>
              <w:fldChar w:fldCharType="end"/>
            </w:r>
          </w:hyperlink>
        </w:p>
        <w:p w14:paraId="2BB78473" w14:textId="77777777" w:rsidR="00B218AC" w:rsidRDefault="00B218AC">
          <w:pPr>
            <w:pStyle w:val="TOC2"/>
            <w:rPr>
              <w:rFonts w:asciiTheme="minorHAnsi" w:eastAsiaTheme="minorEastAsia" w:hAnsiTheme="minorHAnsi" w:cstheme="minorBidi"/>
              <w:b w:val="0"/>
              <w:noProof/>
              <w:sz w:val="22"/>
              <w:lang w:eastAsia="en-AU"/>
            </w:rPr>
          </w:pPr>
          <w:hyperlink w:anchor="_Toc1555406" w:history="1">
            <w:r w:rsidRPr="006953C5">
              <w:rPr>
                <w:rStyle w:val="Hyperlink"/>
                <w:noProof/>
              </w:rPr>
              <w:t>V. Clinical findings</w:t>
            </w:r>
            <w:r>
              <w:rPr>
                <w:noProof/>
                <w:webHidden/>
              </w:rPr>
              <w:tab/>
            </w:r>
            <w:r>
              <w:rPr>
                <w:noProof/>
                <w:webHidden/>
              </w:rPr>
              <w:fldChar w:fldCharType="begin"/>
            </w:r>
            <w:r>
              <w:rPr>
                <w:noProof/>
                <w:webHidden/>
              </w:rPr>
              <w:instrText xml:space="preserve"> PAGEREF _Toc1555406 \h </w:instrText>
            </w:r>
            <w:r>
              <w:rPr>
                <w:noProof/>
                <w:webHidden/>
              </w:rPr>
            </w:r>
            <w:r>
              <w:rPr>
                <w:noProof/>
                <w:webHidden/>
              </w:rPr>
              <w:fldChar w:fldCharType="separate"/>
            </w:r>
            <w:r>
              <w:rPr>
                <w:noProof/>
                <w:webHidden/>
              </w:rPr>
              <w:t>20</w:t>
            </w:r>
            <w:r>
              <w:rPr>
                <w:noProof/>
                <w:webHidden/>
              </w:rPr>
              <w:fldChar w:fldCharType="end"/>
            </w:r>
          </w:hyperlink>
        </w:p>
        <w:p w14:paraId="3A610007" w14:textId="77777777" w:rsidR="00B218AC" w:rsidRDefault="00B218AC">
          <w:pPr>
            <w:pStyle w:val="TOC3"/>
            <w:rPr>
              <w:rFonts w:asciiTheme="minorHAnsi" w:eastAsiaTheme="minorEastAsia" w:hAnsiTheme="minorHAnsi" w:cstheme="minorBidi"/>
              <w:noProof/>
              <w:lang w:eastAsia="en-AU"/>
            </w:rPr>
          </w:pPr>
          <w:hyperlink w:anchor="_Toc1555407" w:history="1">
            <w:r w:rsidRPr="006953C5">
              <w:rPr>
                <w:rStyle w:val="Hyperlink"/>
                <w:noProof/>
              </w:rPr>
              <w:t>Introduction</w:t>
            </w:r>
            <w:r>
              <w:rPr>
                <w:noProof/>
                <w:webHidden/>
              </w:rPr>
              <w:tab/>
            </w:r>
            <w:r>
              <w:rPr>
                <w:noProof/>
                <w:webHidden/>
              </w:rPr>
              <w:fldChar w:fldCharType="begin"/>
            </w:r>
            <w:r>
              <w:rPr>
                <w:noProof/>
                <w:webHidden/>
              </w:rPr>
              <w:instrText xml:space="preserve"> PAGEREF _Toc1555407 \h </w:instrText>
            </w:r>
            <w:r>
              <w:rPr>
                <w:noProof/>
                <w:webHidden/>
              </w:rPr>
            </w:r>
            <w:r>
              <w:rPr>
                <w:noProof/>
                <w:webHidden/>
              </w:rPr>
              <w:fldChar w:fldCharType="separate"/>
            </w:r>
            <w:r>
              <w:rPr>
                <w:noProof/>
                <w:webHidden/>
              </w:rPr>
              <w:t>20</w:t>
            </w:r>
            <w:r>
              <w:rPr>
                <w:noProof/>
                <w:webHidden/>
              </w:rPr>
              <w:fldChar w:fldCharType="end"/>
            </w:r>
          </w:hyperlink>
        </w:p>
        <w:p w14:paraId="364AD4A0" w14:textId="77777777" w:rsidR="00B218AC" w:rsidRDefault="00B218AC">
          <w:pPr>
            <w:pStyle w:val="TOC3"/>
            <w:rPr>
              <w:rFonts w:asciiTheme="minorHAnsi" w:eastAsiaTheme="minorEastAsia" w:hAnsiTheme="minorHAnsi" w:cstheme="minorBidi"/>
              <w:noProof/>
              <w:lang w:eastAsia="en-AU"/>
            </w:rPr>
          </w:pPr>
          <w:hyperlink w:anchor="_Toc1555408" w:history="1">
            <w:r w:rsidRPr="006953C5">
              <w:rPr>
                <w:rStyle w:val="Hyperlink"/>
                <w:noProof/>
              </w:rPr>
              <w:t>Pharmacokinetics</w:t>
            </w:r>
            <w:r>
              <w:rPr>
                <w:noProof/>
                <w:webHidden/>
              </w:rPr>
              <w:tab/>
            </w:r>
            <w:r>
              <w:rPr>
                <w:noProof/>
                <w:webHidden/>
              </w:rPr>
              <w:fldChar w:fldCharType="begin"/>
            </w:r>
            <w:r>
              <w:rPr>
                <w:noProof/>
                <w:webHidden/>
              </w:rPr>
              <w:instrText xml:space="preserve"> PAGEREF _Toc1555408 \h </w:instrText>
            </w:r>
            <w:r>
              <w:rPr>
                <w:noProof/>
                <w:webHidden/>
              </w:rPr>
            </w:r>
            <w:r>
              <w:rPr>
                <w:noProof/>
                <w:webHidden/>
              </w:rPr>
              <w:fldChar w:fldCharType="separate"/>
            </w:r>
            <w:r>
              <w:rPr>
                <w:noProof/>
                <w:webHidden/>
              </w:rPr>
              <w:t>23</w:t>
            </w:r>
            <w:r>
              <w:rPr>
                <w:noProof/>
                <w:webHidden/>
              </w:rPr>
              <w:fldChar w:fldCharType="end"/>
            </w:r>
          </w:hyperlink>
        </w:p>
        <w:p w14:paraId="6FCBCDEC" w14:textId="77777777" w:rsidR="00B218AC" w:rsidRDefault="00B218AC">
          <w:pPr>
            <w:pStyle w:val="TOC3"/>
            <w:rPr>
              <w:rFonts w:asciiTheme="minorHAnsi" w:eastAsiaTheme="minorEastAsia" w:hAnsiTheme="minorHAnsi" w:cstheme="minorBidi"/>
              <w:noProof/>
              <w:lang w:eastAsia="en-AU"/>
            </w:rPr>
          </w:pPr>
          <w:hyperlink w:anchor="_Toc1555409" w:history="1">
            <w:r w:rsidRPr="006953C5">
              <w:rPr>
                <w:rStyle w:val="Hyperlink"/>
                <w:noProof/>
              </w:rPr>
              <w:t>Pharmacodynamics</w:t>
            </w:r>
            <w:r>
              <w:rPr>
                <w:noProof/>
                <w:webHidden/>
              </w:rPr>
              <w:tab/>
            </w:r>
            <w:r>
              <w:rPr>
                <w:noProof/>
                <w:webHidden/>
              </w:rPr>
              <w:fldChar w:fldCharType="begin"/>
            </w:r>
            <w:r>
              <w:rPr>
                <w:noProof/>
                <w:webHidden/>
              </w:rPr>
              <w:instrText xml:space="preserve"> PAGEREF _Toc1555409 \h </w:instrText>
            </w:r>
            <w:r>
              <w:rPr>
                <w:noProof/>
                <w:webHidden/>
              </w:rPr>
            </w:r>
            <w:r>
              <w:rPr>
                <w:noProof/>
                <w:webHidden/>
              </w:rPr>
              <w:fldChar w:fldCharType="separate"/>
            </w:r>
            <w:r>
              <w:rPr>
                <w:noProof/>
                <w:webHidden/>
              </w:rPr>
              <w:t>26</w:t>
            </w:r>
            <w:r>
              <w:rPr>
                <w:noProof/>
                <w:webHidden/>
              </w:rPr>
              <w:fldChar w:fldCharType="end"/>
            </w:r>
          </w:hyperlink>
        </w:p>
        <w:p w14:paraId="78A7C1BB" w14:textId="77777777" w:rsidR="00B218AC" w:rsidRDefault="00B218AC">
          <w:pPr>
            <w:pStyle w:val="TOC3"/>
            <w:rPr>
              <w:rFonts w:asciiTheme="minorHAnsi" w:eastAsiaTheme="minorEastAsia" w:hAnsiTheme="minorHAnsi" w:cstheme="minorBidi"/>
              <w:noProof/>
              <w:lang w:eastAsia="en-AU"/>
            </w:rPr>
          </w:pPr>
          <w:hyperlink w:anchor="_Toc1555410" w:history="1">
            <w:r w:rsidRPr="006953C5">
              <w:rPr>
                <w:rStyle w:val="Hyperlink"/>
                <w:noProof/>
              </w:rPr>
              <w:t>Dosage selection for the pivotal studies</w:t>
            </w:r>
            <w:r>
              <w:rPr>
                <w:noProof/>
                <w:webHidden/>
              </w:rPr>
              <w:tab/>
            </w:r>
            <w:r>
              <w:rPr>
                <w:noProof/>
                <w:webHidden/>
              </w:rPr>
              <w:fldChar w:fldCharType="begin"/>
            </w:r>
            <w:r>
              <w:rPr>
                <w:noProof/>
                <w:webHidden/>
              </w:rPr>
              <w:instrText xml:space="preserve"> PAGEREF _Toc1555410 \h </w:instrText>
            </w:r>
            <w:r>
              <w:rPr>
                <w:noProof/>
                <w:webHidden/>
              </w:rPr>
            </w:r>
            <w:r>
              <w:rPr>
                <w:noProof/>
                <w:webHidden/>
              </w:rPr>
              <w:fldChar w:fldCharType="separate"/>
            </w:r>
            <w:r>
              <w:rPr>
                <w:noProof/>
                <w:webHidden/>
              </w:rPr>
              <w:t>28</w:t>
            </w:r>
            <w:r>
              <w:rPr>
                <w:noProof/>
                <w:webHidden/>
              </w:rPr>
              <w:fldChar w:fldCharType="end"/>
            </w:r>
          </w:hyperlink>
        </w:p>
        <w:p w14:paraId="56C00B75" w14:textId="77777777" w:rsidR="00B218AC" w:rsidRDefault="00B218AC">
          <w:pPr>
            <w:pStyle w:val="TOC3"/>
            <w:rPr>
              <w:rFonts w:asciiTheme="minorHAnsi" w:eastAsiaTheme="minorEastAsia" w:hAnsiTheme="minorHAnsi" w:cstheme="minorBidi"/>
              <w:noProof/>
              <w:lang w:eastAsia="en-AU"/>
            </w:rPr>
          </w:pPr>
          <w:hyperlink w:anchor="_Toc1555411" w:history="1">
            <w:r w:rsidRPr="006953C5">
              <w:rPr>
                <w:rStyle w:val="Hyperlink"/>
                <w:noProof/>
              </w:rPr>
              <w:t>Efficacy</w:t>
            </w:r>
            <w:r>
              <w:rPr>
                <w:noProof/>
                <w:webHidden/>
              </w:rPr>
              <w:tab/>
            </w:r>
            <w:r>
              <w:rPr>
                <w:noProof/>
                <w:webHidden/>
              </w:rPr>
              <w:fldChar w:fldCharType="begin"/>
            </w:r>
            <w:r>
              <w:rPr>
                <w:noProof/>
                <w:webHidden/>
              </w:rPr>
              <w:instrText xml:space="preserve"> PAGEREF _Toc1555411 \h </w:instrText>
            </w:r>
            <w:r>
              <w:rPr>
                <w:noProof/>
                <w:webHidden/>
              </w:rPr>
            </w:r>
            <w:r>
              <w:rPr>
                <w:noProof/>
                <w:webHidden/>
              </w:rPr>
              <w:fldChar w:fldCharType="separate"/>
            </w:r>
            <w:r>
              <w:rPr>
                <w:noProof/>
                <w:webHidden/>
              </w:rPr>
              <w:t>29</w:t>
            </w:r>
            <w:r>
              <w:rPr>
                <w:noProof/>
                <w:webHidden/>
              </w:rPr>
              <w:fldChar w:fldCharType="end"/>
            </w:r>
          </w:hyperlink>
        </w:p>
        <w:p w14:paraId="20847055" w14:textId="77777777" w:rsidR="00B218AC" w:rsidRDefault="00B218AC">
          <w:pPr>
            <w:pStyle w:val="TOC3"/>
            <w:rPr>
              <w:rFonts w:asciiTheme="minorHAnsi" w:eastAsiaTheme="minorEastAsia" w:hAnsiTheme="minorHAnsi" w:cstheme="minorBidi"/>
              <w:noProof/>
              <w:lang w:eastAsia="en-AU"/>
            </w:rPr>
          </w:pPr>
          <w:hyperlink w:anchor="_Toc1555412" w:history="1">
            <w:r w:rsidRPr="006953C5">
              <w:rPr>
                <w:rStyle w:val="Hyperlink"/>
                <w:noProof/>
              </w:rPr>
              <w:t>Safety</w:t>
            </w:r>
            <w:r>
              <w:rPr>
                <w:noProof/>
                <w:webHidden/>
              </w:rPr>
              <w:tab/>
            </w:r>
            <w:r>
              <w:rPr>
                <w:noProof/>
                <w:webHidden/>
              </w:rPr>
              <w:fldChar w:fldCharType="begin"/>
            </w:r>
            <w:r>
              <w:rPr>
                <w:noProof/>
                <w:webHidden/>
              </w:rPr>
              <w:instrText xml:space="preserve"> PAGEREF _Toc1555412 \h </w:instrText>
            </w:r>
            <w:r>
              <w:rPr>
                <w:noProof/>
                <w:webHidden/>
              </w:rPr>
            </w:r>
            <w:r>
              <w:rPr>
                <w:noProof/>
                <w:webHidden/>
              </w:rPr>
              <w:fldChar w:fldCharType="separate"/>
            </w:r>
            <w:r>
              <w:rPr>
                <w:noProof/>
                <w:webHidden/>
              </w:rPr>
              <w:t>30</w:t>
            </w:r>
            <w:r>
              <w:rPr>
                <w:noProof/>
                <w:webHidden/>
              </w:rPr>
              <w:fldChar w:fldCharType="end"/>
            </w:r>
          </w:hyperlink>
        </w:p>
        <w:p w14:paraId="13D624C7" w14:textId="77777777" w:rsidR="00B218AC" w:rsidRDefault="00B218AC">
          <w:pPr>
            <w:pStyle w:val="TOC3"/>
            <w:rPr>
              <w:rFonts w:asciiTheme="minorHAnsi" w:eastAsiaTheme="minorEastAsia" w:hAnsiTheme="minorHAnsi" w:cstheme="minorBidi"/>
              <w:noProof/>
              <w:lang w:eastAsia="en-AU"/>
            </w:rPr>
          </w:pPr>
          <w:hyperlink w:anchor="_Toc1555413" w:history="1">
            <w:r w:rsidRPr="006953C5">
              <w:rPr>
                <w:rStyle w:val="Hyperlink"/>
                <w:noProof/>
              </w:rPr>
              <w:t>First round benefit-risk assessment</w:t>
            </w:r>
            <w:r>
              <w:rPr>
                <w:noProof/>
                <w:webHidden/>
              </w:rPr>
              <w:tab/>
            </w:r>
            <w:r>
              <w:rPr>
                <w:noProof/>
                <w:webHidden/>
              </w:rPr>
              <w:fldChar w:fldCharType="begin"/>
            </w:r>
            <w:r>
              <w:rPr>
                <w:noProof/>
                <w:webHidden/>
              </w:rPr>
              <w:instrText xml:space="preserve"> PAGEREF _Toc1555413 \h </w:instrText>
            </w:r>
            <w:r>
              <w:rPr>
                <w:noProof/>
                <w:webHidden/>
              </w:rPr>
            </w:r>
            <w:r>
              <w:rPr>
                <w:noProof/>
                <w:webHidden/>
              </w:rPr>
              <w:fldChar w:fldCharType="separate"/>
            </w:r>
            <w:r>
              <w:rPr>
                <w:noProof/>
                <w:webHidden/>
              </w:rPr>
              <w:t>39</w:t>
            </w:r>
            <w:r>
              <w:rPr>
                <w:noProof/>
                <w:webHidden/>
              </w:rPr>
              <w:fldChar w:fldCharType="end"/>
            </w:r>
          </w:hyperlink>
        </w:p>
        <w:p w14:paraId="194DAD1A" w14:textId="77777777" w:rsidR="00B218AC" w:rsidRDefault="00B218AC">
          <w:pPr>
            <w:pStyle w:val="TOC3"/>
            <w:rPr>
              <w:rFonts w:asciiTheme="minorHAnsi" w:eastAsiaTheme="minorEastAsia" w:hAnsiTheme="minorHAnsi" w:cstheme="minorBidi"/>
              <w:noProof/>
              <w:lang w:eastAsia="en-AU"/>
            </w:rPr>
          </w:pPr>
          <w:hyperlink w:anchor="_Toc1555414" w:history="1">
            <w:r w:rsidRPr="006953C5">
              <w:rPr>
                <w:rStyle w:val="Hyperlink"/>
                <w:noProof/>
              </w:rPr>
              <w:t>First round recommendation regarding authorisation</w:t>
            </w:r>
            <w:r>
              <w:rPr>
                <w:noProof/>
                <w:webHidden/>
              </w:rPr>
              <w:tab/>
            </w:r>
            <w:r>
              <w:rPr>
                <w:noProof/>
                <w:webHidden/>
              </w:rPr>
              <w:fldChar w:fldCharType="begin"/>
            </w:r>
            <w:r>
              <w:rPr>
                <w:noProof/>
                <w:webHidden/>
              </w:rPr>
              <w:instrText xml:space="preserve"> PAGEREF _Toc1555414 \h </w:instrText>
            </w:r>
            <w:r>
              <w:rPr>
                <w:noProof/>
                <w:webHidden/>
              </w:rPr>
            </w:r>
            <w:r>
              <w:rPr>
                <w:noProof/>
                <w:webHidden/>
              </w:rPr>
              <w:fldChar w:fldCharType="separate"/>
            </w:r>
            <w:r>
              <w:rPr>
                <w:noProof/>
                <w:webHidden/>
              </w:rPr>
              <w:t>39</w:t>
            </w:r>
            <w:r>
              <w:rPr>
                <w:noProof/>
                <w:webHidden/>
              </w:rPr>
              <w:fldChar w:fldCharType="end"/>
            </w:r>
          </w:hyperlink>
        </w:p>
        <w:p w14:paraId="53F68ADF" w14:textId="77777777" w:rsidR="00B218AC" w:rsidRDefault="00B218AC">
          <w:pPr>
            <w:pStyle w:val="TOC3"/>
            <w:rPr>
              <w:rFonts w:asciiTheme="minorHAnsi" w:eastAsiaTheme="minorEastAsia" w:hAnsiTheme="minorHAnsi" w:cstheme="minorBidi"/>
              <w:noProof/>
              <w:lang w:eastAsia="en-AU"/>
            </w:rPr>
          </w:pPr>
          <w:hyperlink w:anchor="_Toc1555415" w:history="1">
            <w:r w:rsidRPr="006953C5">
              <w:rPr>
                <w:rStyle w:val="Hyperlink"/>
                <w:noProof/>
              </w:rPr>
              <w:t>Second round evaluation</w:t>
            </w:r>
            <w:r>
              <w:rPr>
                <w:noProof/>
                <w:webHidden/>
              </w:rPr>
              <w:tab/>
            </w:r>
            <w:r>
              <w:rPr>
                <w:noProof/>
                <w:webHidden/>
              </w:rPr>
              <w:fldChar w:fldCharType="begin"/>
            </w:r>
            <w:r>
              <w:rPr>
                <w:noProof/>
                <w:webHidden/>
              </w:rPr>
              <w:instrText xml:space="preserve"> PAGEREF _Toc1555415 \h </w:instrText>
            </w:r>
            <w:r>
              <w:rPr>
                <w:noProof/>
                <w:webHidden/>
              </w:rPr>
            </w:r>
            <w:r>
              <w:rPr>
                <w:noProof/>
                <w:webHidden/>
              </w:rPr>
              <w:fldChar w:fldCharType="separate"/>
            </w:r>
            <w:r>
              <w:rPr>
                <w:noProof/>
                <w:webHidden/>
              </w:rPr>
              <w:t>40</w:t>
            </w:r>
            <w:r>
              <w:rPr>
                <w:noProof/>
                <w:webHidden/>
              </w:rPr>
              <w:fldChar w:fldCharType="end"/>
            </w:r>
          </w:hyperlink>
        </w:p>
        <w:p w14:paraId="343A7157" w14:textId="77777777" w:rsidR="00B218AC" w:rsidRDefault="00B218AC">
          <w:pPr>
            <w:pStyle w:val="TOC2"/>
            <w:rPr>
              <w:rFonts w:asciiTheme="minorHAnsi" w:eastAsiaTheme="minorEastAsia" w:hAnsiTheme="minorHAnsi" w:cstheme="minorBidi"/>
              <w:b w:val="0"/>
              <w:noProof/>
              <w:sz w:val="22"/>
              <w:lang w:eastAsia="en-AU"/>
            </w:rPr>
          </w:pPr>
          <w:hyperlink w:anchor="_Toc1555416" w:history="1">
            <w:r w:rsidRPr="006953C5">
              <w:rPr>
                <w:rStyle w:val="Hyperlink"/>
                <w:noProof/>
              </w:rPr>
              <w:t>VI. Pharmacovigilance findings</w:t>
            </w:r>
            <w:r>
              <w:rPr>
                <w:noProof/>
                <w:webHidden/>
              </w:rPr>
              <w:tab/>
            </w:r>
            <w:r>
              <w:rPr>
                <w:noProof/>
                <w:webHidden/>
              </w:rPr>
              <w:fldChar w:fldCharType="begin"/>
            </w:r>
            <w:r>
              <w:rPr>
                <w:noProof/>
                <w:webHidden/>
              </w:rPr>
              <w:instrText xml:space="preserve"> PAGEREF _Toc1555416 \h </w:instrText>
            </w:r>
            <w:r>
              <w:rPr>
                <w:noProof/>
                <w:webHidden/>
              </w:rPr>
            </w:r>
            <w:r>
              <w:rPr>
                <w:noProof/>
                <w:webHidden/>
              </w:rPr>
              <w:fldChar w:fldCharType="separate"/>
            </w:r>
            <w:r>
              <w:rPr>
                <w:noProof/>
                <w:webHidden/>
              </w:rPr>
              <w:t>40</w:t>
            </w:r>
            <w:r>
              <w:rPr>
                <w:noProof/>
                <w:webHidden/>
              </w:rPr>
              <w:fldChar w:fldCharType="end"/>
            </w:r>
          </w:hyperlink>
        </w:p>
        <w:p w14:paraId="411AF8C3" w14:textId="77777777" w:rsidR="00B218AC" w:rsidRDefault="00B218AC">
          <w:pPr>
            <w:pStyle w:val="TOC3"/>
            <w:rPr>
              <w:rFonts w:asciiTheme="minorHAnsi" w:eastAsiaTheme="minorEastAsia" w:hAnsiTheme="minorHAnsi" w:cstheme="minorBidi"/>
              <w:noProof/>
              <w:lang w:eastAsia="en-AU"/>
            </w:rPr>
          </w:pPr>
          <w:hyperlink w:anchor="_Toc1555417" w:history="1">
            <w:r w:rsidRPr="006953C5">
              <w:rPr>
                <w:rStyle w:val="Hyperlink"/>
                <w:noProof/>
                <w:lang w:eastAsia="en-AU"/>
              </w:rPr>
              <w:t>Risk management plan</w:t>
            </w:r>
            <w:r>
              <w:rPr>
                <w:noProof/>
                <w:webHidden/>
              </w:rPr>
              <w:tab/>
            </w:r>
            <w:r>
              <w:rPr>
                <w:noProof/>
                <w:webHidden/>
              </w:rPr>
              <w:fldChar w:fldCharType="begin"/>
            </w:r>
            <w:r>
              <w:rPr>
                <w:noProof/>
                <w:webHidden/>
              </w:rPr>
              <w:instrText xml:space="preserve"> PAGEREF _Toc1555417 \h </w:instrText>
            </w:r>
            <w:r>
              <w:rPr>
                <w:noProof/>
                <w:webHidden/>
              </w:rPr>
            </w:r>
            <w:r>
              <w:rPr>
                <w:noProof/>
                <w:webHidden/>
              </w:rPr>
              <w:fldChar w:fldCharType="separate"/>
            </w:r>
            <w:r>
              <w:rPr>
                <w:noProof/>
                <w:webHidden/>
              </w:rPr>
              <w:t>40</w:t>
            </w:r>
            <w:r>
              <w:rPr>
                <w:noProof/>
                <w:webHidden/>
              </w:rPr>
              <w:fldChar w:fldCharType="end"/>
            </w:r>
          </w:hyperlink>
        </w:p>
        <w:p w14:paraId="42C628BB" w14:textId="77777777" w:rsidR="00B218AC" w:rsidRDefault="00B218AC">
          <w:pPr>
            <w:pStyle w:val="TOC2"/>
            <w:rPr>
              <w:rFonts w:asciiTheme="minorHAnsi" w:eastAsiaTheme="minorEastAsia" w:hAnsiTheme="minorHAnsi" w:cstheme="minorBidi"/>
              <w:b w:val="0"/>
              <w:noProof/>
              <w:sz w:val="22"/>
              <w:lang w:eastAsia="en-AU"/>
            </w:rPr>
          </w:pPr>
          <w:hyperlink w:anchor="_Toc1555418" w:history="1">
            <w:r w:rsidRPr="006953C5">
              <w:rPr>
                <w:rStyle w:val="Hyperlink"/>
                <w:noProof/>
              </w:rPr>
              <w:t>VII. Overall conclusion and risk/benefit assessment</w:t>
            </w:r>
            <w:r>
              <w:rPr>
                <w:noProof/>
                <w:webHidden/>
              </w:rPr>
              <w:tab/>
            </w:r>
            <w:r>
              <w:rPr>
                <w:noProof/>
                <w:webHidden/>
              </w:rPr>
              <w:fldChar w:fldCharType="begin"/>
            </w:r>
            <w:r>
              <w:rPr>
                <w:noProof/>
                <w:webHidden/>
              </w:rPr>
              <w:instrText xml:space="preserve"> PAGEREF _Toc1555418 \h </w:instrText>
            </w:r>
            <w:r>
              <w:rPr>
                <w:noProof/>
                <w:webHidden/>
              </w:rPr>
            </w:r>
            <w:r>
              <w:rPr>
                <w:noProof/>
                <w:webHidden/>
              </w:rPr>
              <w:fldChar w:fldCharType="separate"/>
            </w:r>
            <w:r>
              <w:rPr>
                <w:noProof/>
                <w:webHidden/>
              </w:rPr>
              <w:t>43</w:t>
            </w:r>
            <w:r>
              <w:rPr>
                <w:noProof/>
                <w:webHidden/>
              </w:rPr>
              <w:fldChar w:fldCharType="end"/>
            </w:r>
          </w:hyperlink>
        </w:p>
        <w:p w14:paraId="47156A3F" w14:textId="77777777" w:rsidR="00B218AC" w:rsidRDefault="00B218AC">
          <w:pPr>
            <w:pStyle w:val="TOC3"/>
            <w:rPr>
              <w:rFonts w:asciiTheme="minorHAnsi" w:eastAsiaTheme="minorEastAsia" w:hAnsiTheme="minorHAnsi" w:cstheme="minorBidi"/>
              <w:noProof/>
              <w:lang w:eastAsia="en-AU"/>
            </w:rPr>
          </w:pPr>
          <w:hyperlink w:anchor="_Toc1555419" w:history="1">
            <w:r w:rsidRPr="006953C5">
              <w:rPr>
                <w:rStyle w:val="Hyperlink"/>
                <w:noProof/>
              </w:rPr>
              <w:t>Background</w:t>
            </w:r>
            <w:r>
              <w:rPr>
                <w:noProof/>
                <w:webHidden/>
              </w:rPr>
              <w:tab/>
            </w:r>
            <w:r>
              <w:rPr>
                <w:noProof/>
                <w:webHidden/>
              </w:rPr>
              <w:fldChar w:fldCharType="begin"/>
            </w:r>
            <w:r>
              <w:rPr>
                <w:noProof/>
                <w:webHidden/>
              </w:rPr>
              <w:instrText xml:space="preserve"> PAGEREF _Toc1555419 \h </w:instrText>
            </w:r>
            <w:r>
              <w:rPr>
                <w:noProof/>
                <w:webHidden/>
              </w:rPr>
            </w:r>
            <w:r>
              <w:rPr>
                <w:noProof/>
                <w:webHidden/>
              </w:rPr>
              <w:fldChar w:fldCharType="separate"/>
            </w:r>
            <w:r>
              <w:rPr>
                <w:noProof/>
                <w:webHidden/>
              </w:rPr>
              <w:t>43</w:t>
            </w:r>
            <w:r>
              <w:rPr>
                <w:noProof/>
                <w:webHidden/>
              </w:rPr>
              <w:fldChar w:fldCharType="end"/>
            </w:r>
          </w:hyperlink>
        </w:p>
        <w:p w14:paraId="1B99C456" w14:textId="77777777" w:rsidR="00B218AC" w:rsidRDefault="00B218AC">
          <w:pPr>
            <w:pStyle w:val="TOC3"/>
            <w:rPr>
              <w:rFonts w:asciiTheme="minorHAnsi" w:eastAsiaTheme="minorEastAsia" w:hAnsiTheme="minorHAnsi" w:cstheme="minorBidi"/>
              <w:noProof/>
              <w:lang w:eastAsia="en-AU"/>
            </w:rPr>
          </w:pPr>
          <w:hyperlink w:anchor="_Toc1555420" w:history="1">
            <w:r w:rsidRPr="006953C5">
              <w:rPr>
                <w:rStyle w:val="Hyperlink"/>
                <w:noProof/>
              </w:rPr>
              <w:t>Quality</w:t>
            </w:r>
            <w:r>
              <w:rPr>
                <w:noProof/>
                <w:webHidden/>
              </w:rPr>
              <w:tab/>
            </w:r>
            <w:r>
              <w:rPr>
                <w:noProof/>
                <w:webHidden/>
              </w:rPr>
              <w:fldChar w:fldCharType="begin"/>
            </w:r>
            <w:r>
              <w:rPr>
                <w:noProof/>
                <w:webHidden/>
              </w:rPr>
              <w:instrText xml:space="preserve"> PAGEREF _Toc1555420 \h </w:instrText>
            </w:r>
            <w:r>
              <w:rPr>
                <w:noProof/>
                <w:webHidden/>
              </w:rPr>
            </w:r>
            <w:r>
              <w:rPr>
                <w:noProof/>
                <w:webHidden/>
              </w:rPr>
              <w:fldChar w:fldCharType="separate"/>
            </w:r>
            <w:r>
              <w:rPr>
                <w:noProof/>
                <w:webHidden/>
              </w:rPr>
              <w:t>46</w:t>
            </w:r>
            <w:r>
              <w:rPr>
                <w:noProof/>
                <w:webHidden/>
              </w:rPr>
              <w:fldChar w:fldCharType="end"/>
            </w:r>
          </w:hyperlink>
        </w:p>
        <w:p w14:paraId="750DDBB9" w14:textId="77777777" w:rsidR="00B218AC" w:rsidRDefault="00B218AC">
          <w:pPr>
            <w:pStyle w:val="TOC3"/>
            <w:rPr>
              <w:rFonts w:asciiTheme="minorHAnsi" w:eastAsiaTheme="minorEastAsia" w:hAnsiTheme="minorHAnsi" w:cstheme="minorBidi"/>
              <w:noProof/>
              <w:lang w:eastAsia="en-AU"/>
            </w:rPr>
          </w:pPr>
          <w:hyperlink w:anchor="_Toc1555421" w:history="1">
            <w:r w:rsidRPr="006953C5">
              <w:rPr>
                <w:rStyle w:val="Hyperlink"/>
                <w:noProof/>
              </w:rPr>
              <w:t>Nonclinical</w:t>
            </w:r>
            <w:r>
              <w:rPr>
                <w:noProof/>
                <w:webHidden/>
              </w:rPr>
              <w:tab/>
            </w:r>
            <w:r>
              <w:rPr>
                <w:noProof/>
                <w:webHidden/>
              </w:rPr>
              <w:fldChar w:fldCharType="begin"/>
            </w:r>
            <w:r>
              <w:rPr>
                <w:noProof/>
                <w:webHidden/>
              </w:rPr>
              <w:instrText xml:space="preserve"> PAGEREF _Toc1555421 \h </w:instrText>
            </w:r>
            <w:r>
              <w:rPr>
                <w:noProof/>
                <w:webHidden/>
              </w:rPr>
            </w:r>
            <w:r>
              <w:rPr>
                <w:noProof/>
                <w:webHidden/>
              </w:rPr>
              <w:fldChar w:fldCharType="separate"/>
            </w:r>
            <w:r>
              <w:rPr>
                <w:noProof/>
                <w:webHidden/>
              </w:rPr>
              <w:t>46</w:t>
            </w:r>
            <w:r>
              <w:rPr>
                <w:noProof/>
                <w:webHidden/>
              </w:rPr>
              <w:fldChar w:fldCharType="end"/>
            </w:r>
          </w:hyperlink>
        </w:p>
        <w:p w14:paraId="2FB34929" w14:textId="77777777" w:rsidR="00B218AC" w:rsidRDefault="00B218AC">
          <w:pPr>
            <w:pStyle w:val="TOC3"/>
            <w:rPr>
              <w:rFonts w:asciiTheme="minorHAnsi" w:eastAsiaTheme="minorEastAsia" w:hAnsiTheme="minorHAnsi" w:cstheme="minorBidi"/>
              <w:noProof/>
              <w:lang w:eastAsia="en-AU"/>
            </w:rPr>
          </w:pPr>
          <w:hyperlink w:anchor="_Toc1555422" w:history="1">
            <w:r w:rsidRPr="006953C5">
              <w:rPr>
                <w:rStyle w:val="Hyperlink"/>
                <w:noProof/>
              </w:rPr>
              <w:t>Clinical</w:t>
            </w:r>
            <w:r>
              <w:rPr>
                <w:noProof/>
                <w:webHidden/>
              </w:rPr>
              <w:tab/>
            </w:r>
            <w:r>
              <w:rPr>
                <w:noProof/>
                <w:webHidden/>
              </w:rPr>
              <w:fldChar w:fldCharType="begin"/>
            </w:r>
            <w:r>
              <w:rPr>
                <w:noProof/>
                <w:webHidden/>
              </w:rPr>
              <w:instrText xml:space="preserve"> PAGEREF _Toc1555422 \h </w:instrText>
            </w:r>
            <w:r>
              <w:rPr>
                <w:noProof/>
                <w:webHidden/>
              </w:rPr>
            </w:r>
            <w:r>
              <w:rPr>
                <w:noProof/>
                <w:webHidden/>
              </w:rPr>
              <w:fldChar w:fldCharType="separate"/>
            </w:r>
            <w:r>
              <w:rPr>
                <w:noProof/>
                <w:webHidden/>
              </w:rPr>
              <w:t>46</w:t>
            </w:r>
            <w:r>
              <w:rPr>
                <w:noProof/>
                <w:webHidden/>
              </w:rPr>
              <w:fldChar w:fldCharType="end"/>
            </w:r>
          </w:hyperlink>
        </w:p>
        <w:p w14:paraId="0C0A749A" w14:textId="77777777" w:rsidR="00B218AC" w:rsidRDefault="00B218AC">
          <w:pPr>
            <w:pStyle w:val="TOC3"/>
            <w:rPr>
              <w:rFonts w:asciiTheme="minorHAnsi" w:eastAsiaTheme="minorEastAsia" w:hAnsiTheme="minorHAnsi" w:cstheme="minorBidi"/>
              <w:noProof/>
              <w:lang w:eastAsia="en-AU"/>
            </w:rPr>
          </w:pPr>
          <w:hyperlink w:anchor="_Toc1555423" w:history="1">
            <w:r w:rsidRPr="006953C5">
              <w:rPr>
                <w:rStyle w:val="Hyperlink"/>
                <w:noProof/>
                <w:lang w:eastAsia="en-AU"/>
              </w:rPr>
              <w:t>Risk management plan</w:t>
            </w:r>
            <w:r>
              <w:rPr>
                <w:noProof/>
                <w:webHidden/>
              </w:rPr>
              <w:tab/>
            </w:r>
            <w:r>
              <w:rPr>
                <w:noProof/>
                <w:webHidden/>
              </w:rPr>
              <w:fldChar w:fldCharType="begin"/>
            </w:r>
            <w:r>
              <w:rPr>
                <w:noProof/>
                <w:webHidden/>
              </w:rPr>
              <w:instrText xml:space="preserve"> PAGEREF _Toc1555423 \h </w:instrText>
            </w:r>
            <w:r>
              <w:rPr>
                <w:noProof/>
                <w:webHidden/>
              </w:rPr>
            </w:r>
            <w:r>
              <w:rPr>
                <w:noProof/>
                <w:webHidden/>
              </w:rPr>
              <w:fldChar w:fldCharType="separate"/>
            </w:r>
            <w:r>
              <w:rPr>
                <w:noProof/>
                <w:webHidden/>
              </w:rPr>
              <w:t>65</w:t>
            </w:r>
            <w:r>
              <w:rPr>
                <w:noProof/>
                <w:webHidden/>
              </w:rPr>
              <w:fldChar w:fldCharType="end"/>
            </w:r>
          </w:hyperlink>
        </w:p>
        <w:p w14:paraId="0827EF19" w14:textId="77777777" w:rsidR="00B218AC" w:rsidRDefault="00B218AC">
          <w:pPr>
            <w:pStyle w:val="TOC3"/>
            <w:rPr>
              <w:rFonts w:asciiTheme="minorHAnsi" w:eastAsiaTheme="minorEastAsia" w:hAnsiTheme="minorHAnsi" w:cstheme="minorBidi"/>
              <w:noProof/>
              <w:lang w:eastAsia="en-AU"/>
            </w:rPr>
          </w:pPr>
          <w:hyperlink w:anchor="_Toc1555424" w:history="1">
            <w:r w:rsidRPr="006953C5">
              <w:rPr>
                <w:rStyle w:val="Hyperlink"/>
                <w:noProof/>
              </w:rPr>
              <w:t>Risk-benefit analysis</w:t>
            </w:r>
            <w:r>
              <w:rPr>
                <w:noProof/>
                <w:webHidden/>
              </w:rPr>
              <w:tab/>
            </w:r>
            <w:r>
              <w:rPr>
                <w:noProof/>
                <w:webHidden/>
              </w:rPr>
              <w:fldChar w:fldCharType="begin"/>
            </w:r>
            <w:r>
              <w:rPr>
                <w:noProof/>
                <w:webHidden/>
              </w:rPr>
              <w:instrText xml:space="preserve"> PAGEREF _Toc1555424 \h </w:instrText>
            </w:r>
            <w:r>
              <w:rPr>
                <w:noProof/>
                <w:webHidden/>
              </w:rPr>
            </w:r>
            <w:r>
              <w:rPr>
                <w:noProof/>
                <w:webHidden/>
              </w:rPr>
              <w:fldChar w:fldCharType="separate"/>
            </w:r>
            <w:r>
              <w:rPr>
                <w:noProof/>
                <w:webHidden/>
              </w:rPr>
              <w:t>66</w:t>
            </w:r>
            <w:r>
              <w:rPr>
                <w:noProof/>
                <w:webHidden/>
              </w:rPr>
              <w:fldChar w:fldCharType="end"/>
            </w:r>
          </w:hyperlink>
        </w:p>
        <w:p w14:paraId="7F0C3991" w14:textId="77777777" w:rsidR="00B218AC" w:rsidRDefault="00B218AC">
          <w:pPr>
            <w:pStyle w:val="TOC3"/>
            <w:rPr>
              <w:rFonts w:asciiTheme="minorHAnsi" w:eastAsiaTheme="minorEastAsia" w:hAnsiTheme="minorHAnsi" w:cstheme="minorBidi"/>
              <w:noProof/>
              <w:lang w:eastAsia="en-AU"/>
            </w:rPr>
          </w:pPr>
          <w:hyperlink w:anchor="_Toc1555425" w:history="1">
            <w:r w:rsidRPr="006953C5">
              <w:rPr>
                <w:rStyle w:val="Hyperlink"/>
                <w:noProof/>
              </w:rPr>
              <w:t>Outcome</w:t>
            </w:r>
            <w:r>
              <w:rPr>
                <w:noProof/>
                <w:webHidden/>
              </w:rPr>
              <w:tab/>
            </w:r>
            <w:r>
              <w:rPr>
                <w:noProof/>
                <w:webHidden/>
              </w:rPr>
              <w:fldChar w:fldCharType="begin"/>
            </w:r>
            <w:r>
              <w:rPr>
                <w:noProof/>
                <w:webHidden/>
              </w:rPr>
              <w:instrText xml:space="preserve"> PAGEREF _Toc1555425 \h </w:instrText>
            </w:r>
            <w:r>
              <w:rPr>
                <w:noProof/>
                <w:webHidden/>
              </w:rPr>
            </w:r>
            <w:r>
              <w:rPr>
                <w:noProof/>
                <w:webHidden/>
              </w:rPr>
              <w:fldChar w:fldCharType="separate"/>
            </w:r>
            <w:r>
              <w:rPr>
                <w:noProof/>
                <w:webHidden/>
              </w:rPr>
              <w:t>72</w:t>
            </w:r>
            <w:r>
              <w:rPr>
                <w:noProof/>
                <w:webHidden/>
              </w:rPr>
              <w:fldChar w:fldCharType="end"/>
            </w:r>
          </w:hyperlink>
        </w:p>
        <w:p w14:paraId="13096551" w14:textId="77777777" w:rsidR="00B218AC" w:rsidRDefault="00B218AC">
          <w:pPr>
            <w:pStyle w:val="TOC2"/>
            <w:rPr>
              <w:rFonts w:asciiTheme="minorHAnsi" w:eastAsiaTheme="minorEastAsia" w:hAnsiTheme="minorHAnsi" w:cstheme="minorBidi"/>
              <w:b w:val="0"/>
              <w:noProof/>
              <w:sz w:val="22"/>
              <w:lang w:eastAsia="en-AU"/>
            </w:rPr>
          </w:pPr>
          <w:hyperlink w:anchor="_Toc1555426" w:history="1">
            <w:r w:rsidRPr="006953C5">
              <w:rPr>
                <w:rStyle w:val="Hyperlink"/>
                <w:noProof/>
              </w:rPr>
              <w:t>Attachment 1. Product Information</w:t>
            </w:r>
            <w:r>
              <w:rPr>
                <w:noProof/>
                <w:webHidden/>
              </w:rPr>
              <w:tab/>
            </w:r>
            <w:r>
              <w:rPr>
                <w:noProof/>
                <w:webHidden/>
              </w:rPr>
              <w:fldChar w:fldCharType="begin"/>
            </w:r>
            <w:r>
              <w:rPr>
                <w:noProof/>
                <w:webHidden/>
              </w:rPr>
              <w:instrText xml:space="preserve"> PAGEREF _Toc1555426 \h </w:instrText>
            </w:r>
            <w:r>
              <w:rPr>
                <w:noProof/>
                <w:webHidden/>
              </w:rPr>
            </w:r>
            <w:r>
              <w:rPr>
                <w:noProof/>
                <w:webHidden/>
              </w:rPr>
              <w:fldChar w:fldCharType="separate"/>
            </w:r>
            <w:r>
              <w:rPr>
                <w:noProof/>
                <w:webHidden/>
              </w:rPr>
              <w:t>73</w:t>
            </w:r>
            <w:r>
              <w:rPr>
                <w:noProof/>
                <w:webHidden/>
              </w:rPr>
              <w:fldChar w:fldCharType="end"/>
            </w:r>
          </w:hyperlink>
        </w:p>
        <w:p w14:paraId="6A808EA5" w14:textId="77777777" w:rsidR="00B218AC" w:rsidRDefault="00B218AC">
          <w:pPr>
            <w:pStyle w:val="TOC2"/>
            <w:rPr>
              <w:rFonts w:asciiTheme="minorHAnsi" w:eastAsiaTheme="minorEastAsia" w:hAnsiTheme="minorHAnsi" w:cstheme="minorBidi"/>
              <w:b w:val="0"/>
              <w:noProof/>
              <w:sz w:val="22"/>
              <w:lang w:eastAsia="en-AU"/>
            </w:rPr>
          </w:pPr>
          <w:hyperlink w:anchor="_Toc1555427" w:history="1">
            <w:r w:rsidRPr="006953C5">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_Toc1555427 \h </w:instrText>
            </w:r>
            <w:r>
              <w:rPr>
                <w:noProof/>
                <w:webHidden/>
              </w:rPr>
            </w:r>
            <w:r>
              <w:rPr>
                <w:noProof/>
                <w:webHidden/>
              </w:rPr>
              <w:fldChar w:fldCharType="separate"/>
            </w:r>
            <w:r>
              <w:rPr>
                <w:noProof/>
                <w:webHidden/>
              </w:rPr>
              <w:t>73</w:t>
            </w:r>
            <w:r>
              <w:rPr>
                <w:noProof/>
                <w:webHidden/>
              </w:rPr>
              <w:fldChar w:fldCharType="end"/>
            </w:r>
          </w:hyperlink>
        </w:p>
        <w:p w14:paraId="4270213E" w14:textId="77777777" w:rsidR="003A7F6C" w:rsidRPr="00E56946" w:rsidRDefault="00DB6124" w:rsidP="00E56946">
          <w:pPr>
            <w:pStyle w:val="TOC2"/>
            <w:spacing w:before="0" w:after="0"/>
            <w:rPr>
              <w:sz w:val="2"/>
              <w:szCs w:val="2"/>
            </w:rPr>
          </w:pPr>
          <w:r>
            <w:fldChar w:fldCharType="end"/>
          </w:r>
        </w:p>
      </w:sdtContent>
    </w:sdt>
    <w:bookmarkStart w:id="3" w:name="_Toc314842482" w:displacedByCustomXml="prev"/>
    <w:p w14:paraId="4C15C7C5" w14:textId="548133CB" w:rsidR="00FD119B" w:rsidRPr="00FD119B" w:rsidRDefault="00E56946" w:rsidP="00E56946">
      <w:pPr>
        <w:pStyle w:val="Heading2"/>
      </w:pPr>
      <w:bookmarkStart w:id="4" w:name="_Toc351716269"/>
      <w:bookmarkStart w:id="5" w:name="_Toc351718881"/>
      <w:bookmarkStart w:id="6" w:name="_Toc355338616"/>
      <w:bookmarkStart w:id="7" w:name="_Toc356306144"/>
      <w:bookmarkStart w:id="8" w:name="_Toc1555394"/>
      <w:r>
        <w:lastRenderedPageBreak/>
        <w:t>C</w:t>
      </w:r>
      <w:r w:rsidR="00441C3F">
        <w:t>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14:paraId="02F7640F"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7A9D9FC3" w14:textId="0DC70DE2"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0C06FBD2" w14:textId="77777777" w:rsidR="00FD119B" w:rsidRPr="00FD119B" w:rsidRDefault="00FD119B" w:rsidP="00FD119B">
            <w:pPr>
              <w:keepNext w:val="0"/>
              <w:ind w:left="0" w:right="0"/>
              <w:rPr>
                <w:szCs w:val="22"/>
                <w:lang w:eastAsia="en-US"/>
              </w:rPr>
            </w:pPr>
            <w:r w:rsidRPr="00FD119B">
              <w:rPr>
                <w:szCs w:val="22"/>
                <w:lang w:eastAsia="en-US"/>
              </w:rPr>
              <w:t>Meaning</w:t>
            </w:r>
          </w:p>
        </w:tc>
      </w:tr>
      <w:tr w:rsidR="000D7C2B" w:rsidRPr="00FD119B" w14:paraId="3C6E1193" w14:textId="77777777" w:rsidTr="00FD119B">
        <w:tc>
          <w:tcPr>
            <w:tcW w:w="1809" w:type="dxa"/>
          </w:tcPr>
          <w:p w14:paraId="67C652D6" w14:textId="77777777" w:rsidR="000D7C2B" w:rsidRPr="00520F74" w:rsidRDefault="000D7C2B" w:rsidP="002B14E4">
            <w:r w:rsidRPr="001064B8">
              <w:t>ADR</w:t>
            </w:r>
          </w:p>
        </w:tc>
        <w:tc>
          <w:tcPr>
            <w:tcW w:w="6911" w:type="dxa"/>
          </w:tcPr>
          <w:p w14:paraId="3E64CF36" w14:textId="77777777" w:rsidR="000D7C2B" w:rsidRDefault="000D7C2B" w:rsidP="00C66C14">
            <w:r>
              <w:t>Adverse drug reaction</w:t>
            </w:r>
          </w:p>
        </w:tc>
      </w:tr>
      <w:tr w:rsidR="00C66C14" w:rsidRPr="00FD119B" w14:paraId="5A1F66C9" w14:textId="77777777" w:rsidTr="00FD119B">
        <w:tc>
          <w:tcPr>
            <w:tcW w:w="1809" w:type="dxa"/>
          </w:tcPr>
          <w:p w14:paraId="65A50EC4" w14:textId="77777777" w:rsidR="00C66C14" w:rsidRPr="008F6857" w:rsidRDefault="00C66C14" w:rsidP="002B14E4">
            <w:r w:rsidRPr="00520F74">
              <w:t>AEDs</w:t>
            </w:r>
          </w:p>
        </w:tc>
        <w:tc>
          <w:tcPr>
            <w:tcW w:w="6911" w:type="dxa"/>
          </w:tcPr>
          <w:p w14:paraId="0834514B" w14:textId="1FFF7CE5" w:rsidR="00C66C14" w:rsidRPr="008F6857" w:rsidRDefault="00B5201B" w:rsidP="00C66C14">
            <w:r>
              <w:t>A</w:t>
            </w:r>
            <w:r w:rsidR="00C66C14">
              <w:t>nti-epileptic drugs</w:t>
            </w:r>
          </w:p>
        </w:tc>
      </w:tr>
      <w:tr w:rsidR="000D7C2B" w:rsidRPr="00FD119B" w14:paraId="148F80C1" w14:textId="77777777" w:rsidTr="00FD119B">
        <w:tc>
          <w:tcPr>
            <w:tcW w:w="1809" w:type="dxa"/>
          </w:tcPr>
          <w:p w14:paraId="01B7243C" w14:textId="77777777" w:rsidR="000D7C2B" w:rsidRPr="00520F74" w:rsidRDefault="000D7C2B" w:rsidP="002B14E4">
            <w:r w:rsidRPr="001064B8">
              <w:t>ALT</w:t>
            </w:r>
          </w:p>
        </w:tc>
        <w:tc>
          <w:tcPr>
            <w:tcW w:w="6911" w:type="dxa"/>
          </w:tcPr>
          <w:p w14:paraId="69F5C4E5" w14:textId="77777777" w:rsidR="000D7C2B" w:rsidRPr="000D7C2B" w:rsidRDefault="000D7C2B" w:rsidP="000D7C2B">
            <w:r w:rsidRPr="000D7C2B">
              <w:t>Alanine aminotransferase</w:t>
            </w:r>
          </w:p>
        </w:tc>
      </w:tr>
      <w:tr w:rsidR="00FC69C3" w:rsidRPr="00FD119B" w14:paraId="7D664E6E" w14:textId="77777777" w:rsidTr="00FD119B">
        <w:tc>
          <w:tcPr>
            <w:tcW w:w="1809" w:type="dxa"/>
          </w:tcPr>
          <w:p w14:paraId="604B2462" w14:textId="77777777" w:rsidR="00FC69C3" w:rsidRPr="001064B8" w:rsidRDefault="00FC69C3" w:rsidP="002B14E4">
            <w:r>
              <w:t>ASA</w:t>
            </w:r>
          </w:p>
        </w:tc>
        <w:tc>
          <w:tcPr>
            <w:tcW w:w="6911" w:type="dxa"/>
          </w:tcPr>
          <w:p w14:paraId="3DBFAD40" w14:textId="77777777" w:rsidR="00FC69C3" w:rsidRPr="000D7C2B" w:rsidRDefault="00FC69C3" w:rsidP="000D7C2B">
            <w:r>
              <w:t>Australian Specific Annex</w:t>
            </w:r>
          </w:p>
        </w:tc>
      </w:tr>
      <w:tr w:rsidR="00CA1837" w:rsidRPr="00FD119B" w14:paraId="174DD1D0" w14:textId="77777777" w:rsidTr="00FD119B">
        <w:tc>
          <w:tcPr>
            <w:tcW w:w="1809" w:type="dxa"/>
          </w:tcPr>
          <w:p w14:paraId="58DBDE86" w14:textId="77777777" w:rsidR="00CA1837" w:rsidRDefault="00CA1837" w:rsidP="002B14E4">
            <w:r>
              <w:t>AST</w:t>
            </w:r>
          </w:p>
        </w:tc>
        <w:tc>
          <w:tcPr>
            <w:tcW w:w="6911" w:type="dxa"/>
          </w:tcPr>
          <w:p w14:paraId="05F4B198" w14:textId="77777777" w:rsidR="00CA1837" w:rsidRDefault="00CA1837" w:rsidP="000D7C2B">
            <w:r>
              <w:t>Aspartate aminotransferase</w:t>
            </w:r>
          </w:p>
        </w:tc>
      </w:tr>
      <w:tr w:rsidR="00307F94" w:rsidRPr="00FD119B" w14:paraId="3BA97D73" w14:textId="77777777" w:rsidTr="00FD119B">
        <w:tc>
          <w:tcPr>
            <w:tcW w:w="1809" w:type="dxa"/>
          </w:tcPr>
          <w:p w14:paraId="1F76D7E1" w14:textId="77777777" w:rsidR="00307F94" w:rsidRPr="00520F74" w:rsidRDefault="00307F94" w:rsidP="002B14E4">
            <w:r>
              <w:t>BSA</w:t>
            </w:r>
          </w:p>
        </w:tc>
        <w:tc>
          <w:tcPr>
            <w:tcW w:w="6911" w:type="dxa"/>
          </w:tcPr>
          <w:p w14:paraId="2D4498DF" w14:textId="77777777" w:rsidR="00307F94" w:rsidRDefault="00307F94" w:rsidP="00C66C14">
            <w:r>
              <w:t>Body surface area (</w:t>
            </w:r>
            <w:r w:rsidR="00FC69C3" w:rsidRPr="00F50805">
              <w:t>m</w:t>
            </w:r>
            <w:r w:rsidR="00FC69C3" w:rsidRPr="00FC69C3">
              <w:rPr>
                <w:vertAlign w:val="superscript"/>
              </w:rPr>
              <w:t>2</w:t>
            </w:r>
            <w:r>
              <w:t>)</w:t>
            </w:r>
          </w:p>
        </w:tc>
      </w:tr>
      <w:tr w:rsidR="00656D98" w:rsidRPr="00FD119B" w14:paraId="24177D8F" w14:textId="77777777" w:rsidTr="00FD119B">
        <w:tc>
          <w:tcPr>
            <w:tcW w:w="1809" w:type="dxa"/>
          </w:tcPr>
          <w:p w14:paraId="703E87D4" w14:textId="77777777" w:rsidR="00656D98" w:rsidRDefault="00656D98" w:rsidP="002B14E4">
            <w:r w:rsidRPr="00CE2A37">
              <w:t>CI</w:t>
            </w:r>
          </w:p>
        </w:tc>
        <w:tc>
          <w:tcPr>
            <w:tcW w:w="6911" w:type="dxa"/>
          </w:tcPr>
          <w:p w14:paraId="29EDD52A" w14:textId="77777777" w:rsidR="00656D98" w:rsidRDefault="00656D98" w:rsidP="00C66C14">
            <w:r>
              <w:t>Confidence interval</w:t>
            </w:r>
          </w:p>
        </w:tc>
      </w:tr>
      <w:tr w:rsidR="0014640B" w:rsidRPr="00FD119B" w14:paraId="2605AAFA" w14:textId="77777777" w:rsidTr="00FD119B">
        <w:tc>
          <w:tcPr>
            <w:tcW w:w="1809" w:type="dxa"/>
          </w:tcPr>
          <w:p w14:paraId="34388D80" w14:textId="77777777" w:rsidR="0014640B" w:rsidRPr="00520F74" w:rsidRDefault="0014640B" w:rsidP="0014640B">
            <w:r w:rsidRPr="00CE2A37">
              <w:t>CL/</w:t>
            </w:r>
            <w:r>
              <w:t>F</w:t>
            </w:r>
          </w:p>
        </w:tc>
        <w:tc>
          <w:tcPr>
            <w:tcW w:w="6911" w:type="dxa"/>
          </w:tcPr>
          <w:p w14:paraId="789923F7" w14:textId="77777777" w:rsidR="0014640B" w:rsidRPr="00A950BC" w:rsidRDefault="00A950BC" w:rsidP="00A950BC">
            <w:r w:rsidRPr="00A950BC">
              <w:t>The apparent systemic (or total body) clearance from plasma (or serum or blood) following extravascular administration</w:t>
            </w:r>
          </w:p>
        </w:tc>
      </w:tr>
      <w:tr w:rsidR="00307F94" w:rsidRPr="00FD119B" w14:paraId="735FB2DB" w14:textId="77777777" w:rsidTr="00FD119B">
        <w:tc>
          <w:tcPr>
            <w:tcW w:w="1809" w:type="dxa"/>
          </w:tcPr>
          <w:p w14:paraId="427CF031" w14:textId="77777777" w:rsidR="00307F94" w:rsidRPr="00CE2A37" w:rsidRDefault="00307F94" w:rsidP="0014640B">
            <w:proofErr w:type="spellStart"/>
            <w:r w:rsidRPr="00656D98">
              <w:t>C</w:t>
            </w:r>
            <w:r w:rsidRPr="00D47C24">
              <w:rPr>
                <w:vertAlign w:val="subscript"/>
              </w:rPr>
              <w:t>min</w:t>
            </w:r>
            <w:proofErr w:type="spellEnd"/>
          </w:p>
        </w:tc>
        <w:tc>
          <w:tcPr>
            <w:tcW w:w="6911" w:type="dxa"/>
          </w:tcPr>
          <w:p w14:paraId="4E176A8E" w14:textId="37E8EDF1" w:rsidR="00307F94" w:rsidRPr="00A950BC" w:rsidRDefault="00656D98" w:rsidP="00A950BC">
            <w:r w:rsidRPr="00656D98">
              <w:t xml:space="preserve">Minimum </w:t>
            </w:r>
            <w:r w:rsidR="00411FA2">
              <w:t>steady state</w:t>
            </w:r>
            <w:r w:rsidRPr="00656D98">
              <w:t xml:space="preserve"> drug concentration during multiple dosing </w:t>
            </w:r>
            <w:r w:rsidR="00B5201B">
              <w:t>(</w:t>
            </w:r>
            <w:r w:rsidRPr="00656D98">
              <w:t>ng/mL</w:t>
            </w:r>
            <w:r w:rsidR="00B5201B">
              <w:t>)</w:t>
            </w:r>
          </w:p>
        </w:tc>
      </w:tr>
      <w:tr w:rsidR="00656D98" w:rsidRPr="00FD119B" w14:paraId="44F81E80" w14:textId="77777777" w:rsidTr="00FD119B">
        <w:tc>
          <w:tcPr>
            <w:tcW w:w="1809" w:type="dxa"/>
          </w:tcPr>
          <w:p w14:paraId="395D83A1" w14:textId="77777777" w:rsidR="00656D98" w:rsidRPr="00656D98" w:rsidRDefault="00656D98" w:rsidP="0014640B">
            <w:r>
              <w:t>CSR</w:t>
            </w:r>
          </w:p>
        </w:tc>
        <w:tc>
          <w:tcPr>
            <w:tcW w:w="6911" w:type="dxa"/>
          </w:tcPr>
          <w:p w14:paraId="538F8BEE" w14:textId="77777777" w:rsidR="00656D98" w:rsidRPr="00656D98" w:rsidRDefault="00656D98" w:rsidP="00656D98">
            <w:r>
              <w:t>Clinical Study Report</w:t>
            </w:r>
          </w:p>
        </w:tc>
      </w:tr>
      <w:tr w:rsidR="00307F94" w:rsidRPr="00FD119B" w14:paraId="73462DB5" w14:textId="77777777" w:rsidTr="00FD119B">
        <w:tc>
          <w:tcPr>
            <w:tcW w:w="1809" w:type="dxa"/>
          </w:tcPr>
          <w:p w14:paraId="7DB6E3B2" w14:textId="77777777" w:rsidR="00307F94" w:rsidRPr="00CE2A37" w:rsidRDefault="00307F94" w:rsidP="0014640B">
            <w:r>
              <w:t>CYP3A4</w:t>
            </w:r>
          </w:p>
        </w:tc>
        <w:tc>
          <w:tcPr>
            <w:tcW w:w="6911" w:type="dxa"/>
          </w:tcPr>
          <w:p w14:paraId="6C4A23A4" w14:textId="77777777" w:rsidR="00307F94" w:rsidRPr="00A950BC" w:rsidRDefault="00307F94" w:rsidP="00A950BC">
            <w:r w:rsidRPr="00307F94">
              <w:t>Cytochrome P</w:t>
            </w:r>
            <w:r w:rsidRPr="00656D98">
              <w:t>450</w:t>
            </w:r>
            <w:r w:rsidRPr="00307F94">
              <w:t xml:space="preserve"> 3A4; enzyme involved in drug metabolism</w:t>
            </w:r>
          </w:p>
        </w:tc>
      </w:tr>
      <w:tr w:rsidR="00CE5C99" w:rsidRPr="00FD119B" w14:paraId="7270AC97" w14:textId="77777777" w:rsidTr="00FD119B">
        <w:tc>
          <w:tcPr>
            <w:tcW w:w="1809" w:type="dxa"/>
          </w:tcPr>
          <w:p w14:paraId="66545E94" w14:textId="77777777" w:rsidR="00CE5C99" w:rsidRPr="00520F74" w:rsidRDefault="0014640B" w:rsidP="0014640B">
            <w:r w:rsidRPr="001222AB">
              <w:t>ER</w:t>
            </w:r>
          </w:p>
        </w:tc>
        <w:tc>
          <w:tcPr>
            <w:tcW w:w="6911" w:type="dxa"/>
          </w:tcPr>
          <w:p w14:paraId="4DBD4E46" w14:textId="7DFD0CD4" w:rsidR="00CE5C99" w:rsidRPr="00CE5C99" w:rsidRDefault="00B5201B" w:rsidP="0014640B">
            <w:r>
              <w:t xml:space="preserve">Oestrogen </w:t>
            </w:r>
            <w:r w:rsidR="0014640B">
              <w:t>receptor</w:t>
            </w:r>
          </w:p>
        </w:tc>
      </w:tr>
      <w:tr w:rsidR="00C66C14" w:rsidRPr="00FD119B" w14:paraId="07F193FF" w14:textId="77777777" w:rsidTr="008E4A23">
        <w:trPr>
          <w:trHeight w:val="583"/>
        </w:trPr>
        <w:tc>
          <w:tcPr>
            <w:tcW w:w="1809" w:type="dxa"/>
          </w:tcPr>
          <w:p w14:paraId="679A22E6" w14:textId="77777777" w:rsidR="00C66C14" w:rsidRPr="00520F74" w:rsidRDefault="00C66C14" w:rsidP="002B14E4">
            <w:r w:rsidRPr="00A945EE">
              <w:t>EU</w:t>
            </w:r>
          </w:p>
        </w:tc>
        <w:tc>
          <w:tcPr>
            <w:tcW w:w="6911" w:type="dxa"/>
          </w:tcPr>
          <w:p w14:paraId="1F39D01C" w14:textId="77777777" w:rsidR="00C66C14" w:rsidRDefault="00C66C14" w:rsidP="00C66C14">
            <w:r>
              <w:t>European Union</w:t>
            </w:r>
          </w:p>
        </w:tc>
      </w:tr>
      <w:tr w:rsidR="008E4A23" w:rsidRPr="00FD119B" w14:paraId="195B19F7" w14:textId="77777777" w:rsidTr="00FD119B">
        <w:tc>
          <w:tcPr>
            <w:tcW w:w="1809" w:type="dxa"/>
          </w:tcPr>
          <w:p w14:paraId="59C75E99" w14:textId="77777777" w:rsidR="008E4A23" w:rsidRPr="008E4A23" w:rsidRDefault="008E4A23" w:rsidP="002B14E4">
            <w:pPr>
              <w:rPr>
                <w:szCs w:val="22"/>
              </w:rPr>
            </w:pPr>
            <w:proofErr w:type="spellStart"/>
            <w:r w:rsidRPr="008E4A23">
              <w:rPr>
                <w:rFonts w:asciiTheme="minorHAnsi" w:eastAsiaTheme="minorHAnsi" w:hAnsiTheme="minorHAnsi" w:cs="Times-Roman"/>
                <w:szCs w:val="22"/>
                <w:lang w:eastAsia="en-US"/>
              </w:rPr>
              <w:t>fEPSPs</w:t>
            </w:r>
            <w:proofErr w:type="spellEnd"/>
          </w:p>
        </w:tc>
        <w:tc>
          <w:tcPr>
            <w:tcW w:w="6911" w:type="dxa"/>
          </w:tcPr>
          <w:p w14:paraId="5084FFED" w14:textId="6FE2142E" w:rsidR="008E4A23" w:rsidRPr="008E4A23" w:rsidRDefault="00B5201B" w:rsidP="008E4A23">
            <w:pPr>
              <w:rPr>
                <w:szCs w:val="22"/>
              </w:rPr>
            </w:pPr>
            <w:r>
              <w:rPr>
                <w:rFonts w:asciiTheme="minorHAnsi" w:eastAsiaTheme="minorHAnsi" w:hAnsiTheme="minorHAnsi" w:cs="Times-Roman"/>
                <w:szCs w:val="22"/>
                <w:lang w:eastAsia="en-US"/>
              </w:rPr>
              <w:t>E</w:t>
            </w:r>
            <w:r w:rsidRPr="008E4A23">
              <w:rPr>
                <w:rFonts w:asciiTheme="minorHAnsi" w:eastAsiaTheme="minorHAnsi" w:hAnsiTheme="minorHAnsi" w:cs="Times-Roman"/>
                <w:szCs w:val="22"/>
                <w:lang w:eastAsia="en-US"/>
              </w:rPr>
              <w:t xml:space="preserve">voked </w:t>
            </w:r>
            <w:r w:rsidR="008E4A23" w:rsidRPr="008E4A23">
              <w:rPr>
                <w:rFonts w:asciiTheme="minorHAnsi" w:eastAsiaTheme="minorHAnsi" w:hAnsiTheme="minorHAnsi" w:cs="Times-Roman"/>
                <w:szCs w:val="22"/>
                <w:lang w:eastAsia="en-US"/>
              </w:rPr>
              <w:t>field exci</w:t>
            </w:r>
            <w:r w:rsidR="008E4A23">
              <w:rPr>
                <w:rFonts w:asciiTheme="minorHAnsi" w:eastAsiaTheme="minorHAnsi" w:hAnsiTheme="minorHAnsi" w:cs="Times-Roman"/>
                <w:szCs w:val="22"/>
                <w:lang w:eastAsia="en-US"/>
              </w:rPr>
              <w:t>tatory postsynaptic potentials</w:t>
            </w:r>
          </w:p>
        </w:tc>
      </w:tr>
      <w:tr w:rsidR="00CE5C99" w:rsidRPr="00FD119B" w14:paraId="41106403" w14:textId="77777777" w:rsidTr="00FD119B">
        <w:tc>
          <w:tcPr>
            <w:tcW w:w="1809" w:type="dxa"/>
          </w:tcPr>
          <w:p w14:paraId="56FFDDAA" w14:textId="77777777" w:rsidR="00CE5C99" w:rsidRPr="008E4A23" w:rsidRDefault="00CE5C99" w:rsidP="0014640B">
            <w:pPr>
              <w:rPr>
                <w:rFonts w:eastAsiaTheme="minorHAnsi" w:cs="Times-Roman"/>
              </w:rPr>
            </w:pPr>
            <w:r w:rsidRPr="00CE5C99">
              <w:rPr>
                <w:snapToGrid w:val="0"/>
                <w:lang w:eastAsia="en-US"/>
              </w:rPr>
              <w:t>GFAP</w:t>
            </w:r>
          </w:p>
        </w:tc>
        <w:tc>
          <w:tcPr>
            <w:tcW w:w="6911" w:type="dxa"/>
          </w:tcPr>
          <w:p w14:paraId="30E7A0CB" w14:textId="4F2D0998" w:rsidR="00CE5C99" w:rsidRPr="008E4A23" w:rsidRDefault="00B5201B" w:rsidP="0014640B">
            <w:pPr>
              <w:rPr>
                <w:rFonts w:eastAsiaTheme="minorHAnsi" w:cs="Times-Roman"/>
              </w:rPr>
            </w:pPr>
            <w:r>
              <w:rPr>
                <w:snapToGrid w:val="0"/>
                <w:lang w:eastAsia="en-US"/>
              </w:rPr>
              <w:t>G</w:t>
            </w:r>
            <w:r w:rsidRPr="00CE5C99">
              <w:rPr>
                <w:snapToGrid w:val="0"/>
                <w:lang w:eastAsia="en-US"/>
              </w:rPr>
              <w:t>lial</w:t>
            </w:r>
            <w:r w:rsidR="00CE5C99" w:rsidRPr="00CE5C99">
              <w:rPr>
                <w:snapToGrid w:val="0"/>
                <w:lang w:eastAsia="en-US"/>
              </w:rPr>
              <w:t>-fibr</w:t>
            </w:r>
            <w:r w:rsidR="00CE5C99">
              <w:rPr>
                <w:snapToGrid w:val="0"/>
                <w:lang w:eastAsia="en-US"/>
              </w:rPr>
              <w:t>illary acidic protein promoter</w:t>
            </w:r>
          </w:p>
        </w:tc>
      </w:tr>
      <w:tr w:rsidR="00FC69C3" w:rsidRPr="00FD119B" w14:paraId="683BD345" w14:textId="77777777" w:rsidTr="00FD119B">
        <w:tc>
          <w:tcPr>
            <w:tcW w:w="1809" w:type="dxa"/>
          </w:tcPr>
          <w:p w14:paraId="2CD99FE2" w14:textId="77777777" w:rsidR="00FC69C3" w:rsidRPr="00CE5C99" w:rsidRDefault="00FC69C3" w:rsidP="0014640B">
            <w:pPr>
              <w:rPr>
                <w:snapToGrid w:val="0"/>
              </w:rPr>
            </w:pPr>
            <w:r>
              <w:rPr>
                <w:snapToGrid w:val="0"/>
              </w:rPr>
              <w:t>HR</w:t>
            </w:r>
          </w:p>
        </w:tc>
        <w:tc>
          <w:tcPr>
            <w:tcW w:w="6911" w:type="dxa"/>
          </w:tcPr>
          <w:p w14:paraId="33D75DF2" w14:textId="77777777" w:rsidR="00FC69C3" w:rsidRPr="00CE5C99" w:rsidRDefault="00FC69C3" w:rsidP="0014640B">
            <w:pPr>
              <w:rPr>
                <w:snapToGrid w:val="0"/>
              </w:rPr>
            </w:pPr>
            <w:r>
              <w:rPr>
                <w:snapToGrid w:val="0"/>
              </w:rPr>
              <w:t>Hazards ratio</w:t>
            </w:r>
          </w:p>
        </w:tc>
      </w:tr>
      <w:tr w:rsidR="000D7C2B" w:rsidRPr="00FD119B" w14:paraId="0F3110A7" w14:textId="77777777" w:rsidTr="00FD119B">
        <w:tc>
          <w:tcPr>
            <w:tcW w:w="1809" w:type="dxa"/>
          </w:tcPr>
          <w:p w14:paraId="5A24ED69" w14:textId="77777777" w:rsidR="000D7C2B" w:rsidRPr="00CE5C99" w:rsidRDefault="000D7C2B" w:rsidP="0014640B">
            <w:pPr>
              <w:rPr>
                <w:snapToGrid w:val="0"/>
              </w:rPr>
            </w:pPr>
            <w:r>
              <w:rPr>
                <w:snapToGrid w:val="0"/>
              </w:rPr>
              <w:t>HT</w:t>
            </w:r>
          </w:p>
        </w:tc>
        <w:tc>
          <w:tcPr>
            <w:tcW w:w="6911" w:type="dxa"/>
          </w:tcPr>
          <w:p w14:paraId="55B4ABD6" w14:textId="77777777" w:rsidR="000D7C2B" w:rsidRPr="00CE5C99" w:rsidRDefault="000D7C2B" w:rsidP="000D7C2B">
            <w:pPr>
              <w:rPr>
                <w:snapToGrid w:val="0"/>
              </w:rPr>
            </w:pPr>
            <w:r w:rsidRPr="000D7C2B">
              <w:rPr>
                <w:snapToGrid w:val="0"/>
              </w:rPr>
              <w:t xml:space="preserve">High </w:t>
            </w:r>
            <w:r>
              <w:rPr>
                <w:snapToGrid w:val="0"/>
              </w:rPr>
              <w:t>trough</w:t>
            </w:r>
            <w:r w:rsidRPr="000D7C2B">
              <w:rPr>
                <w:snapToGrid w:val="0"/>
              </w:rPr>
              <w:t xml:space="preserve"> range treatment arm with targeted </w:t>
            </w:r>
            <w:proofErr w:type="spellStart"/>
            <w:r w:rsidRPr="000D7C2B">
              <w:rPr>
                <w:snapToGrid w:val="0"/>
              </w:rPr>
              <w:t>C</w:t>
            </w:r>
            <w:r w:rsidRPr="000D7C2B">
              <w:rPr>
                <w:snapToGrid w:val="0"/>
                <w:vertAlign w:val="subscript"/>
              </w:rPr>
              <w:t>min</w:t>
            </w:r>
            <w:proofErr w:type="spellEnd"/>
            <w:r w:rsidRPr="000D7C2B">
              <w:rPr>
                <w:snapToGrid w:val="0"/>
              </w:rPr>
              <w:t xml:space="preserve"> range of 9 to 15 ng/mL</w:t>
            </w:r>
          </w:p>
        </w:tc>
      </w:tr>
      <w:tr w:rsidR="00CE5C99" w:rsidRPr="00FD119B" w14:paraId="325B38EF" w14:textId="77777777" w:rsidTr="00FD119B">
        <w:tc>
          <w:tcPr>
            <w:tcW w:w="1809" w:type="dxa"/>
          </w:tcPr>
          <w:p w14:paraId="68589D53" w14:textId="77777777" w:rsidR="00CE5C99" w:rsidRPr="00CE5C99" w:rsidRDefault="00CE5C99" w:rsidP="0014640B">
            <w:pPr>
              <w:rPr>
                <w:rFonts w:asciiTheme="minorHAnsi" w:eastAsia="Times New Roman" w:hAnsiTheme="minorHAnsi"/>
                <w:snapToGrid w:val="0"/>
              </w:rPr>
            </w:pPr>
            <w:r w:rsidRPr="007A1387">
              <w:rPr>
                <w:lang w:eastAsia="en-US"/>
              </w:rPr>
              <w:t>IP</w:t>
            </w:r>
          </w:p>
        </w:tc>
        <w:tc>
          <w:tcPr>
            <w:tcW w:w="6911" w:type="dxa"/>
          </w:tcPr>
          <w:p w14:paraId="2A985E02" w14:textId="0DD5E0D1" w:rsidR="00CE5C99" w:rsidRPr="00CE5C99" w:rsidRDefault="00B5201B" w:rsidP="0014640B">
            <w:pPr>
              <w:rPr>
                <w:rFonts w:asciiTheme="minorHAnsi" w:eastAsia="Times New Roman" w:hAnsiTheme="minorHAnsi"/>
                <w:snapToGrid w:val="0"/>
              </w:rPr>
            </w:pPr>
            <w:r>
              <w:rPr>
                <w:lang w:eastAsia="en-US"/>
              </w:rPr>
              <w:t>Intra</w:t>
            </w:r>
            <w:r w:rsidR="00CE5C99">
              <w:rPr>
                <w:lang w:eastAsia="en-US"/>
              </w:rPr>
              <w:t>peritoneal</w:t>
            </w:r>
          </w:p>
        </w:tc>
      </w:tr>
      <w:tr w:rsidR="00CA1837" w:rsidRPr="00FD119B" w14:paraId="2D2FED62" w14:textId="77777777" w:rsidTr="00FD119B">
        <w:tc>
          <w:tcPr>
            <w:tcW w:w="1809" w:type="dxa"/>
          </w:tcPr>
          <w:p w14:paraId="70A40A3A" w14:textId="77777777" w:rsidR="00CA1837" w:rsidRPr="007A1387" w:rsidRDefault="00CA1837" w:rsidP="0014640B">
            <w:r w:rsidRPr="00F41FBA">
              <w:t>IRT</w:t>
            </w:r>
          </w:p>
        </w:tc>
        <w:tc>
          <w:tcPr>
            <w:tcW w:w="6911" w:type="dxa"/>
          </w:tcPr>
          <w:p w14:paraId="6029585E" w14:textId="77777777" w:rsidR="00CA1837" w:rsidRDefault="00CA1837" w:rsidP="0014640B">
            <w:r w:rsidRPr="00F41FBA">
              <w:t>Interactive Response Technology</w:t>
            </w:r>
          </w:p>
        </w:tc>
      </w:tr>
      <w:tr w:rsidR="0014640B" w:rsidRPr="00FD119B" w14:paraId="2457FA25" w14:textId="77777777" w:rsidTr="00FD119B">
        <w:tc>
          <w:tcPr>
            <w:tcW w:w="1809" w:type="dxa"/>
          </w:tcPr>
          <w:p w14:paraId="22B29D46" w14:textId="77777777" w:rsidR="0014640B" w:rsidRPr="007A1387" w:rsidRDefault="0014640B" w:rsidP="0014640B">
            <w:r w:rsidRPr="00CE2A37">
              <w:t>KA</w:t>
            </w:r>
          </w:p>
        </w:tc>
        <w:tc>
          <w:tcPr>
            <w:tcW w:w="6911" w:type="dxa"/>
          </w:tcPr>
          <w:p w14:paraId="394843A6" w14:textId="611E682C" w:rsidR="0014640B" w:rsidRDefault="00B5201B" w:rsidP="0014640B">
            <w:r>
              <w:t xml:space="preserve">Rate </w:t>
            </w:r>
            <w:r w:rsidR="0014640B">
              <w:t>constant</w:t>
            </w:r>
          </w:p>
        </w:tc>
      </w:tr>
      <w:tr w:rsidR="000D7C2B" w:rsidRPr="00FD119B" w14:paraId="42454B13" w14:textId="77777777" w:rsidTr="00FD119B">
        <w:tc>
          <w:tcPr>
            <w:tcW w:w="1809" w:type="dxa"/>
          </w:tcPr>
          <w:p w14:paraId="5E2411D1" w14:textId="77777777" w:rsidR="000D7C2B" w:rsidRPr="00CE2A37" w:rsidRDefault="000D7C2B" w:rsidP="0014640B">
            <w:r>
              <w:t>LT</w:t>
            </w:r>
          </w:p>
        </w:tc>
        <w:tc>
          <w:tcPr>
            <w:tcW w:w="6911" w:type="dxa"/>
          </w:tcPr>
          <w:p w14:paraId="28CC577E" w14:textId="668F4D4D" w:rsidR="000D7C2B" w:rsidRDefault="000D7C2B" w:rsidP="000D7C2B">
            <w:r w:rsidRPr="000D7C2B">
              <w:t xml:space="preserve">Low </w:t>
            </w:r>
            <w:r>
              <w:t>trough</w:t>
            </w:r>
            <w:r w:rsidRPr="000D7C2B">
              <w:t xml:space="preserve"> range treatment arm with targeted </w:t>
            </w:r>
            <w:proofErr w:type="spellStart"/>
            <w:r w:rsidRPr="000D7C2B">
              <w:t>C</w:t>
            </w:r>
            <w:r w:rsidRPr="000D7C2B">
              <w:rPr>
                <w:vertAlign w:val="subscript"/>
              </w:rPr>
              <w:t>min</w:t>
            </w:r>
            <w:proofErr w:type="spellEnd"/>
            <w:r w:rsidRPr="000D7C2B">
              <w:t xml:space="preserve"> range of 3 to 7</w:t>
            </w:r>
            <w:r w:rsidR="00B5201B">
              <w:t> </w:t>
            </w:r>
            <w:r w:rsidRPr="000D7C2B">
              <w:t>ng/mL</w:t>
            </w:r>
          </w:p>
        </w:tc>
      </w:tr>
      <w:tr w:rsidR="00C66C14" w:rsidRPr="00FD119B" w14:paraId="10B15585" w14:textId="77777777" w:rsidTr="00FD119B">
        <w:tc>
          <w:tcPr>
            <w:tcW w:w="1809" w:type="dxa"/>
          </w:tcPr>
          <w:p w14:paraId="775DEA9F" w14:textId="77777777" w:rsidR="00C66C14" w:rsidRPr="00520F74" w:rsidRDefault="00C66C14" w:rsidP="002B14E4">
            <w:proofErr w:type="spellStart"/>
            <w:r>
              <w:t>mTOR</w:t>
            </w:r>
            <w:proofErr w:type="spellEnd"/>
          </w:p>
        </w:tc>
        <w:tc>
          <w:tcPr>
            <w:tcW w:w="6911" w:type="dxa"/>
          </w:tcPr>
          <w:p w14:paraId="68FEC3FB" w14:textId="5CEA461D" w:rsidR="00C66C14" w:rsidRDefault="00B5201B" w:rsidP="00C66C14">
            <w:r>
              <w:t>M</w:t>
            </w:r>
            <w:r w:rsidRPr="008F6857">
              <w:t>ammalian</w:t>
            </w:r>
            <w:r>
              <w:t xml:space="preserve"> </w:t>
            </w:r>
            <w:r w:rsidR="00C66C14">
              <w:t>target of rapamycin</w:t>
            </w:r>
          </w:p>
        </w:tc>
      </w:tr>
      <w:tr w:rsidR="00C66C14" w:rsidRPr="00FD119B" w14:paraId="0F59C612" w14:textId="77777777" w:rsidTr="00FD119B">
        <w:tc>
          <w:tcPr>
            <w:tcW w:w="1809" w:type="dxa"/>
          </w:tcPr>
          <w:p w14:paraId="7E2A80EA" w14:textId="77777777" w:rsidR="00C66C14" w:rsidRPr="00BD726A" w:rsidRDefault="00C66C14" w:rsidP="002B14E4">
            <w:r w:rsidRPr="008F6857">
              <w:t>mTORC1</w:t>
            </w:r>
          </w:p>
        </w:tc>
        <w:tc>
          <w:tcPr>
            <w:tcW w:w="6911" w:type="dxa"/>
          </w:tcPr>
          <w:p w14:paraId="3FA09AA7" w14:textId="22C124E7" w:rsidR="00C66C14" w:rsidRDefault="00B5201B" w:rsidP="00C66C14">
            <w:r>
              <w:t>M</w:t>
            </w:r>
            <w:r w:rsidRPr="008F6857">
              <w:t>ammalian</w:t>
            </w:r>
            <w:r>
              <w:t xml:space="preserve"> </w:t>
            </w:r>
            <w:r w:rsidR="00C66C14">
              <w:t>target of rapamycin complex 1</w:t>
            </w:r>
          </w:p>
        </w:tc>
      </w:tr>
      <w:tr w:rsidR="00656D98" w:rsidRPr="00FD119B" w14:paraId="450DE67B" w14:textId="77777777" w:rsidTr="00FD119B">
        <w:tc>
          <w:tcPr>
            <w:tcW w:w="1809" w:type="dxa"/>
          </w:tcPr>
          <w:p w14:paraId="02106C5F" w14:textId="77777777" w:rsidR="00656D98" w:rsidRPr="008F6857" w:rsidRDefault="00656D98" w:rsidP="002B14E4">
            <w:r w:rsidRPr="00745F37">
              <w:lastRenderedPageBreak/>
              <w:t>NCI</w:t>
            </w:r>
          </w:p>
        </w:tc>
        <w:tc>
          <w:tcPr>
            <w:tcW w:w="6911" w:type="dxa"/>
          </w:tcPr>
          <w:p w14:paraId="4B1A2518" w14:textId="77777777" w:rsidR="00656D98" w:rsidRPr="008F6857" w:rsidRDefault="00656D98" w:rsidP="00C66C14">
            <w:r>
              <w:t>National Cancer Institute</w:t>
            </w:r>
          </w:p>
        </w:tc>
      </w:tr>
      <w:tr w:rsidR="00C66C14" w:rsidRPr="00FD119B" w14:paraId="0B2899BD" w14:textId="77777777" w:rsidTr="00FD119B">
        <w:tc>
          <w:tcPr>
            <w:tcW w:w="1809" w:type="dxa"/>
          </w:tcPr>
          <w:p w14:paraId="414FE895" w14:textId="77777777" w:rsidR="00C66C14" w:rsidRPr="00C66C14" w:rsidRDefault="00C66C14" w:rsidP="002B14E4">
            <w:r w:rsidRPr="00C66C14">
              <w:t>NETs</w:t>
            </w:r>
          </w:p>
        </w:tc>
        <w:tc>
          <w:tcPr>
            <w:tcW w:w="6911" w:type="dxa"/>
          </w:tcPr>
          <w:p w14:paraId="319A652F" w14:textId="66B16504" w:rsidR="00C66C14" w:rsidRPr="00C66C14" w:rsidRDefault="00B5201B" w:rsidP="00C66C14">
            <w:r>
              <w:t>N</w:t>
            </w:r>
            <w:r w:rsidRPr="00C66C14">
              <w:t xml:space="preserve">euroendocrine </w:t>
            </w:r>
            <w:r w:rsidR="00C66C14" w:rsidRPr="00C66C14">
              <w:t>tumours</w:t>
            </w:r>
          </w:p>
        </w:tc>
      </w:tr>
      <w:tr w:rsidR="00CE5C99" w:rsidRPr="00FD119B" w14:paraId="7328F382" w14:textId="77777777" w:rsidTr="00FD119B">
        <w:tc>
          <w:tcPr>
            <w:tcW w:w="1809" w:type="dxa"/>
          </w:tcPr>
          <w:p w14:paraId="2F9E9D16" w14:textId="77777777" w:rsidR="00CE5C99" w:rsidRPr="00C66C14" w:rsidRDefault="00CE5C99" w:rsidP="002B14E4">
            <w:r>
              <w:t>pDab1</w:t>
            </w:r>
          </w:p>
        </w:tc>
        <w:tc>
          <w:tcPr>
            <w:tcW w:w="6911" w:type="dxa"/>
          </w:tcPr>
          <w:p w14:paraId="72FD1C05" w14:textId="66F3A8B8" w:rsidR="00CE5C99" w:rsidRPr="00C66C14" w:rsidRDefault="00CE5C99" w:rsidP="00B5201B">
            <w:proofErr w:type="spellStart"/>
            <w:r w:rsidRPr="00CE5C99">
              <w:t>Phospho</w:t>
            </w:r>
            <w:proofErr w:type="spellEnd"/>
            <w:r w:rsidR="00B5201B">
              <w:t>-d</w:t>
            </w:r>
            <w:r w:rsidRPr="00CE5C99">
              <w:t xml:space="preserve">isabled </w:t>
            </w:r>
            <w:r w:rsidR="00B5201B">
              <w:t>h</w:t>
            </w:r>
            <w:r w:rsidR="00B5201B" w:rsidRPr="00CE5C99">
              <w:t xml:space="preserve">omolog </w:t>
            </w:r>
            <w:r w:rsidRPr="00CE5C99">
              <w:t>1</w:t>
            </w:r>
          </w:p>
        </w:tc>
      </w:tr>
      <w:tr w:rsidR="00307F94" w:rsidRPr="00FD119B" w14:paraId="0A955DBD" w14:textId="77777777" w:rsidTr="00FD119B">
        <w:tc>
          <w:tcPr>
            <w:tcW w:w="1809" w:type="dxa"/>
          </w:tcPr>
          <w:p w14:paraId="0512C0A2" w14:textId="77777777" w:rsidR="00307F94" w:rsidRDefault="00307F94" w:rsidP="002B14E4">
            <w:r w:rsidRPr="00CE2A37">
              <w:t>PK</w:t>
            </w:r>
          </w:p>
        </w:tc>
        <w:tc>
          <w:tcPr>
            <w:tcW w:w="6911" w:type="dxa"/>
          </w:tcPr>
          <w:p w14:paraId="3B74CAD0" w14:textId="2C9C8D8F" w:rsidR="00307F94" w:rsidRPr="00CE5C99" w:rsidRDefault="00B5201B" w:rsidP="00307F94">
            <w:r>
              <w:t>Pharmacokinetic</w:t>
            </w:r>
          </w:p>
        </w:tc>
      </w:tr>
      <w:tr w:rsidR="00307F94" w:rsidRPr="00FD119B" w14:paraId="28514E75" w14:textId="77777777" w:rsidTr="00FD119B">
        <w:tc>
          <w:tcPr>
            <w:tcW w:w="1809" w:type="dxa"/>
          </w:tcPr>
          <w:p w14:paraId="1F39DCC6" w14:textId="77777777" w:rsidR="00307F94" w:rsidRDefault="00307F94">
            <w:proofErr w:type="spellStart"/>
            <w:r w:rsidRPr="003426ED">
              <w:t>PgP</w:t>
            </w:r>
            <w:proofErr w:type="spellEnd"/>
          </w:p>
        </w:tc>
        <w:tc>
          <w:tcPr>
            <w:tcW w:w="6911" w:type="dxa"/>
          </w:tcPr>
          <w:p w14:paraId="09D76BDA" w14:textId="77777777" w:rsidR="00307F94" w:rsidRDefault="00307F94">
            <w:r w:rsidRPr="00307F94">
              <w:t>P-glycoprotein; enzyme involved in drug metabolism</w:t>
            </w:r>
          </w:p>
        </w:tc>
      </w:tr>
      <w:tr w:rsidR="00CE5C99" w:rsidRPr="00FD119B" w14:paraId="5F7BFD61" w14:textId="77777777" w:rsidTr="00FD119B">
        <w:tc>
          <w:tcPr>
            <w:tcW w:w="1809" w:type="dxa"/>
          </w:tcPr>
          <w:p w14:paraId="523BA430" w14:textId="77777777" w:rsidR="00CE5C99" w:rsidRDefault="00CE5C99" w:rsidP="0014640B">
            <w:r w:rsidRPr="007A1387">
              <w:rPr>
                <w:snapToGrid w:val="0"/>
                <w:lang w:val="en-US" w:eastAsia="en-US"/>
              </w:rPr>
              <w:t>pGSK3β</w:t>
            </w:r>
          </w:p>
        </w:tc>
        <w:tc>
          <w:tcPr>
            <w:tcW w:w="6911" w:type="dxa"/>
          </w:tcPr>
          <w:p w14:paraId="55169C6E" w14:textId="5BB3B0FA" w:rsidR="00CE5C99" w:rsidRPr="00CE5C99" w:rsidRDefault="00B5201B" w:rsidP="0014640B">
            <w:proofErr w:type="spellStart"/>
            <w:r>
              <w:rPr>
                <w:snapToGrid w:val="0"/>
                <w:lang w:val="en-US" w:eastAsia="en-US"/>
              </w:rPr>
              <w:t>P</w:t>
            </w:r>
            <w:r w:rsidRPr="007A1387">
              <w:rPr>
                <w:snapToGrid w:val="0"/>
                <w:lang w:val="en-US" w:eastAsia="en-US"/>
              </w:rPr>
              <w:t>hos</w:t>
            </w:r>
            <w:r>
              <w:rPr>
                <w:snapToGrid w:val="0"/>
                <w:lang w:val="en-US" w:eastAsia="en-US"/>
              </w:rPr>
              <w:t>pho</w:t>
            </w:r>
            <w:proofErr w:type="spellEnd"/>
            <w:r w:rsidR="00CE5C99">
              <w:rPr>
                <w:snapToGrid w:val="0"/>
                <w:lang w:val="en-US" w:eastAsia="en-US"/>
              </w:rPr>
              <w:t>-glycogen synthase kinase 3</w:t>
            </w:r>
          </w:p>
        </w:tc>
      </w:tr>
      <w:tr w:rsidR="00307F94" w:rsidRPr="00FD119B" w14:paraId="6A61F0A3" w14:textId="77777777" w:rsidTr="00FD119B">
        <w:tc>
          <w:tcPr>
            <w:tcW w:w="1809" w:type="dxa"/>
          </w:tcPr>
          <w:p w14:paraId="32B44EC7" w14:textId="77777777" w:rsidR="00307F94" w:rsidRPr="007A1387" w:rsidRDefault="00307F94" w:rsidP="0014640B">
            <w:pPr>
              <w:rPr>
                <w:snapToGrid w:val="0"/>
                <w:lang w:val="en-US"/>
              </w:rPr>
            </w:pPr>
            <w:r w:rsidRPr="007911BD">
              <w:t>PIP</w:t>
            </w:r>
          </w:p>
        </w:tc>
        <w:tc>
          <w:tcPr>
            <w:tcW w:w="6911" w:type="dxa"/>
          </w:tcPr>
          <w:p w14:paraId="4A3EE848" w14:textId="77777777" w:rsidR="00307F94" w:rsidRPr="007A1387" w:rsidRDefault="00307F94" w:rsidP="00307F94">
            <w:pPr>
              <w:rPr>
                <w:snapToGrid w:val="0"/>
                <w:lang w:val="en-US"/>
              </w:rPr>
            </w:pPr>
            <w:r>
              <w:t>Paediatric Investigation Plan</w:t>
            </w:r>
          </w:p>
        </w:tc>
      </w:tr>
      <w:tr w:rsidR="00307F94" w:rsidRPr="00FD119B" w14:paraId="2E1E7C27" w14:textId="77777777" w:rsidTr="00FD119B">
        <w:tc>
          <w:tcPr>
            <w:tcW w:w="1809" w:type="dxa"/>
          </w:tcPr>
          <w:p w14:paraId="4A599F4A" w14:textId="77777777" w:rsidR="00307F94" w:rsidRPr="007911BD" w:rsidRDefault="00307F94" w:rsidP="0014640B">
            <w:r w:rsidRPr="00CE2A37">
              <w:t>PopPK</w:t>
            </w:r>
          </w:p>
        </w:tc>
        <w:tc>
          <w:tcPr>
            <w:tcW w:w="6911" w:type="dxa"/>
          </w:tcPr>
          <w:p w14:paraId="6B40C04F" w14:textId="77777777" w:rsidR="00307F94" w:rsidRDefault="00307F94" w:rsidP="00307F94">
            <w:r w:rsidRPr="00CE2A37">
              <w:t>Population pharmacokinetics</w:t>
            </w:r>
          </w:p>
        </w:tc>
      </w:tr>
      <w:tr w:rsidR="00CE5C99" w:rsidRPr="00FD119B" w14:paraId="1A30A182" w14:textId="77777777" w:rsidTr="00FD119B">
        <w:tc>
          <w:tcPr>
            <w:tcW w:w="1809" w:type="dxa"/>
          </w:tcPr>
          <w:p w14:paraId="628DBBE8" w14:textId="77777777" w:rsidR="00CE5C99" w:rsidRPr="00CE5C99" w:rsidRDefault="00CE5C99" w:rsidP="002B14E4">
            <w:pPr>
              <w:rPr>
                <w:szCs w:val="22"/>
              </w:rPr>
            </w:pPr>
            <w:r w:rsidRPr="00CE5C99">
              <w:rPr>
                <w:rFonts w:asciiTheme="minorHAnsi" w:eastAsia="Times New Roman" w:hAnsiTheme="minorHAnsi"/>
                <w:snapToGrid w:val="0"/>
                <w:szCs w:val="22"/>
                <w:lang w:eastAsia="en-US"/>
              </w:rPr>
              <w:t>PTEN</w:t>
            </w:r>
          </w:p>
        </w:tc>
        <w:tc>
          <w:tcPr>
            <w:tcW w:w="6911" w:type="dxa"/>
          </w:tcPr>
          <w:p w14:paraId="726EA804" w14:textId="77777777" w:rsidR="00CE5C99" w:rsidRPr="00CE5C99" w:rsidRDefault="00CE5C99" w:rsidP="00CE5C99">
            <w:pPr>
              <w:rPr>
                <w:szCs w:val="22"/>
              </w:rPr>
            </w:pPr>
            <w:r w:rsidRPr="00CE5C99">
              <w:rPr>
                <w:rFonts w:asciiTheme="minorHAnsi" w:eastAsia="Times New Roman" w:hAnsiTheme="minorHAnsi"/>
                <w:snapToGrid w:val="0"/>
                <w:szCs w:val="22"/>
                <w:lang w:eastAsia="en-US"/>
              </w:rPr>
              <w:t xml:space="preserve">Phosphatase </w:t>
            </w:r>
            <w:proofErr w:type="spellStart"/>
            <w:r w:rsidRPr="00CE5C99">
              <w:rPr>
                <w:rFonts w:asciiTheme="minorHAnsi" w:eastAsia="Times New Roman" w:hAnsiTheme="minorHAnsi"/>
                <w:snapToGrid w:val="0"/>
                <w:szCs w:val="22"/>
                <w:lang w:eastAsia="en-US"/>
              </w:rPr>
              <w:t>tensin</w:t>
            </w:r>
            <w:proofErr w:type="spellEnd"/>
            <w:r w:rsidRPr="00CE5C99">
              <w:rPr>
                <w:rFonts w:asciiTheme="minorHAnsi" w:eastAsia="Times New Roman" w:hAnsiTheme="minorHAnsi"/>
                <w:snapToGrid w:val="0"/>
                <w:szCs w:val="22"/>
                <w:lang w:eastAsia="en-US"/>
              </w:rPr>
              <w:t xml:space="preserve"> homolog</w:t>
            </w:r>
          </w:p>
        </w:tc>
      </w:tr>
      <w:tr w:rsidR="0014640B" w:rsidRPr="00FD119B" w14:paraId="5C916D5D" w14:textId="77777777" w:rsidTr="00FD119B">
        <w:tc>
          <w:tcPr>
            <w:tcW w:w="1809" w:type="dxa"/>
          </w:tcPr>
          <w:p w14:paraId="56B0BC09" w14:textId="77777777" w:rsidR="0014640B" w:rsidRPr="00CE5C99" w:rsidRDefault="0014640B" w:rsidP="002B14E4">
            <w:pPr>
              <w:rPr>
                <w:rFonts w:asciiTheme="minorHAnsi" w:eastAsia="Times New Roman" w:hAnsiTheme="minorHAnsi"/>
                <w:snapToGrid w:val="0"/>
              </w:rPr>
            </w:pPr>
            <w:r>
              <w:rPr>
                <w:rFonts w:asciiTheme="minorHAnsi" w:eastAsia="Times New Roman" w:hAnsiTheme="minorHAnsi"/>
                <w:snapToGrid w:val="0"/>
              </w:rPr>
              <w:t>QF</w:t>
            </w:r>
          </w:p>
        </w:tc>
        <w:tc>
          <w:tcPr>
            <w:tcW w:w="6911" w:type="dxa"/>
          </w:tcPr>
          <w:p w14:paraId="552A8DDE" w14:textId="77777777" w:rsidR="0014640B" w:rsidRPr="00CE5C99" w:rsidRDefault="00A950BC" w:rsidP="00CE5C99">
            <w:pPr>
              <w:rPr>
                <w:rFonts w:asciiTheme="minorHAnsi" w:eastAsia="Times New Roman" w:hAnsiTheme="minorHAnsi"/>
                <w:snapToGrid w:val="0"/>
              </w:rPr>
            </w:pPr>
            <w:r w:rsidRPr="00A950BC">
              <w:rPr>
                <w:rFonts w:asciiTheme="minorHAnsi" w:eastAsia="Times New Roman" w:hAnsiTheme="minorHAnsi"/>
                <w:snapToGrid w:val="0"/>
                <w:szCs w:val="22"/>
                <w:lang w:eastAsia="en-US"/>
              </w:rPr>
              <w:t xml:space="preserve">Two compartment model </w:t>
            </w:r>
            <w:proofErr w:type="spellStart"/>
            <w:r w:rsidRPr="00A950BC">
              <w:rPr>
                <w:rFonts w:asciiTheme="minorHAnsi" w:eastAsia="Times New Roman" w:hAnsiTheme="minorHAnsi"/>
                <w:snapToGrid w:val="0"/>
                <w:szCs w:val="22"/>
                <w:lang w:eastAsia="en-US"/>
              </w:rPr>
              <w:t>intercompartmental</w:t>
            </w:r>
            <w:proofErr w:type="spellEnd"/>
            <w:r w:rsidRPr="00A950BC">
              <w:rPr>
                <w:rFonts w:asciiTheme="minorHAnsi" w:eastAsia="Times New Roman" w:hAnsiTheme="minorHAnsi"/>
                <w:snapToGrid w:val="0"/>
                <w:szCs w:val="22"/>
                <w:lang w:eastAsia="en-US"/>
              </w:rPr>
              <w:t xml:space="preserve"> clearance</w:t>
            </w:r>
          </w:p>
        </w:tc>
      </w:tr>
      <w:tr w:rsidR="002B14E4" w:rsidRPr="00FD119B" w14:paraId="6C70143F" w14:textId="77777777" w:rsidTr="00FD119B">
        <w:tc>
          <w:tcPr>
            <w:tcW w:w="1809" w:type="dxa"/>
          </w:tcPr>
          <w:p w14:paraId="521D8251" w14:textId="77777777" w:rsidR="002B14E4" w:rsidRDefault="002B14E4" w:rsidP="0014640B">
            <w:r w:rsidRPr="00BD726A">
              <w:t>RAD001</w:t>
            </w:r>
          </w:p>
        </w:tc>
        <w:tc>
          <w:tcPr>
            <w:tcW w:w="6911" w:type="dxa"/>
          </w:tcPr>
          <w:p w14:paraId="511D4F17" w14:textId="6F5CB642" w:rsidR="002B14E4" w:rsidRDefault="002B14E4" w:rsidP="0014640B">
            <w:r>
              <w:t xml:space="preserve">Everolimus </w:t>
            </w:r>
            <w:r w:rsidR="00B5201B">
              <w:t>(drug development name)</w:t>
            </w:r>
          </w:p>
        </w:tc>
      </w:tr>
      <w:tr w:rsidR="002B14E4" w:rsidRPr="00FD119B" w14:paraId="40B9306D" w14:textId="77777777" w:rsidTr="00FD119B">
        <w:tc>
          <w:tcPr>
            <w:tcW w:w="1809" w:type="dxa"/>
          </w:tcPr>
          <w:p w14:paraId="22C5AE7F" w14:textId="77777777" w:rsidR="002B14E4" w:rsidRPr="00DA40F2" w:rsidRDefault="002B14E4" w:rsidP="002B14E4">
            <w:r>
              <w:rPr>
                <w:lang w:eastAsia="ja-JP"/>
              </w:rPr>
              <w:t>%Red</w:t>
            </w:r>
          </w:p>
        </w:tc>
        <w:tc>
          <w:tcPr>
            <w:tcW w:w="6911" w:type="dxa"/>
          </w:tcPr>
          <w:p w14:paraId="14C4107C" w14:textId="77777777" w:rsidR="002B14E4" w:rsidRPr="00DA40F2" w:rsidRDefault="002B14E4" w:rsidP="002B14E4">
            <w:r>
              <w:rPr>
                <w:lang w:eastAsia="ja-JP"/>
              </w:rPr>
              <w:t xml:space="preserve">Percentage reduction from Baseline in average weekly seizure frequency during the Core phase Maintenance period </w:t>
            </w:r>
          </w:p>
        </w:tc>
      </w:tr>
      <w:tr w:rsidR="00FC69C3" w:rsidRPr="00FD119B" w14:paraId="4F7D56E6" w14:textId="77777777" w:rsidTr="00FD119B">
        <w:tc>
          <w:tcPr>
            <w:tcW w:w="1809" w:type="dxa"/>
          </w:tcPr>
          <w:p w14:paraId="1B839519" w14:textId="77777777" w:rsidR="00FC69C3" w:rsidRDefault="00FC69C3" w:rsidP="002B14E4">
            <w:pPr>
              <w:rPr>
                <w:lang w:eastAsia="ja-JP"/>
              </w:rPr>
            </w:pPr>
            <w:r>
              <w:rPr>
                <w:lang w:eastAsia="ja-JP"/>
              </w:rPr>
              <w:t>RMP</w:t>
            </w:r>
          </w:p>
        </w:tc>
        <w:tc>
          <w:tcPr>
            <w:tcW w:w="6911" w:type="dxa"/>
          </w:tcPr>
          <w:p w14:paraId="21FBAF35" w14:textId="77777777" w:rsidR="00FC69C3" w:rsidRDefault="00FC69C3" w:rsidP="002B14E4">
            <w:pPr>
              <w:rPr>
                <w:lang w:eastAsia="ja-JP"/>
              </w:rPr>
            </w:pPr>
            <w:r>
              <w:rPr>
                <w:lang w:eastAsia="ja-JP"/>
              </w:rPr>
              <w:t>Risk management plan</w:t>
            </w:r>
          </w:p>
        </w:tc>
      </w:tr>
      <w:tr w:rsidR="00FC69C3" w:rsidRPr="00FD119B" w14:paraId="464CBE9A" w14:textId="77777777" w:rsidTr="00FD119B">
        <w:tc>
          <w:tcPr>
            <w:tcW w:w="1809" w:type="dxa"/>
          </w:tcPr>
          <w:p w14:paraId="167B9CCF" w14:textId="77777777" w:rsidR="00FC69C3" w:rsidRDefault="00FC69C3" w:rsidP="002B14E4">
            <w:pPr>
              <w:rPr>
                <w:lang w:eastAsia="ja-JP"/>
              </w:rPr>
            </w:pPr>
            <w:r w:rsidRPr="00355435">
              <w:t>SDS</w:t>
            </w:r>
          </w:p>
        </w:tc>
        <w:tc>
          <w:tcPr>
            <w:tcW w:w="6911" w:type="dxa"/>
          </w:tcPr>
          <w:p w14:paraId="1F3B7037" w14:textId="77777777" w:rsidR="00FC69C3" w:rsidRDefault="00FC69C3" w:rsidP="002B14E4">
            <w:pPr>
              <w:rPr>
                <w:lang w:eastAsia="ja-JP"/>
              </w:rPr>
            </w:pPr>
            <w:r w:rsidRPr="00355435">
              <w:t>Standard deviation scores</w:t>
            </w:r>
          </w:p>
        </w:tc>
      </w:tr>
      <w:tr w:rsidR="00C66C14" w:rsidRPr="00FD119B" w14:paraId="2634A9C3" w14:textId="77777777" w:rsidTr="00FD119B">
        <w:tc>
          <w:tcPr>
            <w:tcW w:w="1809" w:type="dxa"/>
          </w:tcPr>
          <w:p w14:paraId="093904DF" w14:textId="77777777" w:rsidR="00C66C14" w:rsidRPr="00C66C14" w:rsidRDefault="00C66C14" w:rsidP="002B14E4">
            <w:pPr>
              <w:rPr>
                <w:lang w:eastAsia="ja-JP"/>
              </w:rPr>
            </w:pPr>
            <w:r w:rsidRPr="00C66C14">
              <w:t>SEGA</w:t>
            </w:r>
          </w:p>
        </w:tc>
        <w:tc>
          <w:tcPr>
            <w:tcW w:w="6911" w:type="dxa"/>
          </w:tcPr>
          <w:p w14:paraId="6B7C9A34" w14:textId="52C8E601" w:rsidR="00C66C14" w:rsidRPr="00C66C14" w:rsidRDefault="00C66C14" w:rsidP="00C66C14">
            <w:pPr>
              <w:rPr>
                <w:lang w:eastAsia="ja-JP"/>
              </w:rPr>
            </w:pPr>
            <w:r w:rsidRPr="00C66C14">
              <w:t>Sub</w:t>
            </w:r>
            <w:r w:rsidR="00B5201B">
              <w:t>-</w:t>
            </w:r>
            <w:r w:rsidRPr="00C66C14">
              <w:t>e</w:t>
            </w:r>
            <w:r>
              <w:t>pendymal giant cell astrocytoma</w:t>
            </w:r>
          </w:p>
        </w:tc>
      </w:tr>
      <w:tr w:rsidR="002B14E4" w:rsidRPr="00FD119B" w14:paraId="5F1542A5" w14:textId="77777777" w:rsidTr="00FD119B">
        <w:tc>
          <w:tcPr>
            <w:tcW w:w="1809" w:type="dxa"/>
          </w:tcPr>
          <w:p w14:paraId="4D6174D5" w14:textId="77777777" w:rsidR="002B14E4" w:rsidRPr="00DA40F2" w:rsidRDefault="002B14E4" w:rsidP="002B14E4">
            <w:r>
              <w:rPr>
                <w:lang w:eastAsia="ja-JP"/>
              </w:rPr>
              <w:t>SFB</w:t>
            </w:r>
          </w:p>
        </w:tc>
        <w:tc>
          <w:tcPr>
            <w:tcW w:w="6911" w:type="dxa"/>
          </w:tcPr>
          <w:p w14:paraId="2ECBE4CC" w14:textId="17993E57" w:rsidR="002B14E4" w:rsidRPr="00DA40F2" w:rsidRDefault="002B14E4" w:rsidP="002B14E4">
            <w:r>
              <w:rPr>
                <w:lang w:eastAsia="ja-JP"/>
              </w:rPr>
              <w:t>Average weekly seizure frequency in the 8 week Baseline phase</w:t>
            </w:r>
          </w:p>
        </w:tc>
      </w:tr>
      <w:tr w:rsidR="002B14E4" w:rsidRPr="00FD119B" w14:paraId="5B919AA5" w14:textId="77777777" w:rsidTr="00FD119B">
        <w:tc>
          <w:tcPr>
            <w:tcW w:w="1809" w:type="dxa"/>
          </w:tcPr>
          <w:p w14:paraId="4DAA9A4B" w14:textId="77777777" w:rsidR="002B14E4" w:rsidRPr="00DA40F2" w:rsidRDefault="002B14E4" w:rsidP="002B14E4">
            <w:r>
              <w:rPr>
                <w:lang w:eastAsia="ja-JP"/>
              </w:rPr>
              <w:t>SFM</w:t>
            </w:r>
          </w:p>
        </w:tc>
        <w:tc>
          <w:tcPr>
            <w:tcW w:w="6911" w:type="dxa"/>
          </w:tcPr>
          <w:p w14:paraId="24EE0DBC" w14:textId="6CF94913" w:rsidR="002B14E4" w:rsidRPr="00DA40F2" w:rsidRDefault="002B14E4" w:rsidP="002B14E4">
            <w:r>
              <w:rPr>
                <w:lang w:eastAsia="ja-JP"/>
              </w:rPr>
              <w:t>Average weekly seizure frequency in the Core phase Maintenance period</w:t>
            </w:r>
          </w:p>
        </w:tc>
      </w:tr>
      <w:tr w:rsidR="002B14E4" w:rsidRPr="00FD119B" w14:paraId="6505BCAF" w14:textId="77777777" w:rsidTr="00FD119B">
        <w:tc>
          <w:tcPr>
            <w:tcW w:w="1809" w:type="dxa"/>
          </w:tcPr>
          <w:p w14:paraId="7BE6925D" w14:textId="77777777" w:rsidR="002B14E4" w:rsidRDefault="002B14E4" w:rsidP="002B14E4">
            <w:r w:rsidRPr="00DA40F2">
              <w:t>TSC</w:t>
            </w:r>
          </w:p>
        </w:tc>
        <w:tc>
          <w:tcPr>
            <w:tcW w:w="6911" w:type="dxa"/>
          </w:tcPr>
          <w:p w14:paraId="578A059A" w14:textId="77777777" w:rsidR="002B14E4" w:rsidRDefault="00C66C14" w:rsidP="002B14E4">
            <w:r>
              <w:t>T</w:t>
            </w:r>
            <w:r w:rsidR="002B14E4" w:rsidRPr="00DA40F2">
              <w:t>uberous sclerosis complex</w:t>
            </w:r>
          </w:p>
        </w:tc>
      </w:tr>
      <w:tr w:rsidR="00C66C14" w:rsidRPr="00FD119B" w14:paraId="1BA937DA" w14:textId="77777777" w:rsidTr="00FD119B">
        <w:tc>
          <w:tcPr>
            <w:tcW w:w="1809" w:type="dxa"/>
          </w:tcPr>
          <w:p w14:paraId="28247A50" w14:textId="77777777" w:rsidR="00C66C14" w:rsidRPr="00DA40F2" w:rsidRDefault="00C66C14" w:rsidP="002B14E4">
            <w:r w:rsidRPr="008F6857">
              <w:t>TSC1</w:t>
            </w:r>
          </w:p>
        </w:tc>
        <w:tc>
          <w:tcPr>
            <w:tcW w:w="6911" w:type="dxa"/>
          </w:tcPr>
          <w:p w14:paraId="1A7528C1" w14:textId="77777777" w:rsidR="00C66C14" w:rsidRDefault="00C66C14" w:rsidP="00C66C14">
            <w:r>
              <w:t>Tuberous sclerosis 1 gene</w:t>
            </w:r>
          </w:p>
        </w:tc>
      </w:tr>
      <w:tr w:rsidR="00C66C14" w:rsidRPr="00FD119B" w14:paraId="088DF58E" w14:textId="77777777" w:rsidTr="00FD119B">
        <w:tc>
          <w:tcPr>
            <w:tcW w:w="1809" w:type="dxa"/>
          </w:tcPr>
          <w:p w14:paraId="45D06177" w14:textId="77777777" w:rsidR="00C66C14" w:rsidRPr="00DA40F2" w:rsidRDefault="00C66C14" w:rsidP="002B14E4">
            <w:r>
              <w:t>TSC2</w:t>
            </w:r>
          </w:p>
        </w:tc>
        <w:tc>
          <w:tcPr>
            <w:tcW w:w="6911" w:type="dxa"/>
          </w:tcPr>
          <w:p w14:paraId="6637DFB4" w14:textId="77777777" w:rsidR="00C66C14" w:rsidRDefault="00C66C14" w:rsidP="002B14E4">
            <w:r>
              <w:t>Tuberous sclerosis 2</w:t>
            </w:r>
            <w:r w:rsidRPr="008F6857">
              <w:t xml:space="preserve"> gene</w:t>
            </w:r>
          </w:p>
        </w:tc>
      </w:tr>
      <w:tr w:rsidR="002B14E4" w:rsidRPr="00FD119B" w14:paraId="098C7783" w14:textId="77777777" w:rsidTr="00FD119B">
        <w:tc>
          <w:tcPr>
            <w:tcW w:w="1809" w:type="dxa"/>
          </w:tcPr>
          <w:p w14:paraId="4911F10C" w14:textId="77777777" w:rsidR="002B14E4" w:rsidRPr="00DA40F2" w:rsidRDefault="002B14E4" w:rsidP="002B14E4">
            <w:r w:rsidRPr="008276E7">
              <w:t>TN-</w:t>
            </w:r>
            <w:proofErr w:type="spellStart"/>
            <w:r w:rsidR="00F50ABF" w:rsidRPr="00C9173F">
              <w:t>C</w:t>
            </w:r>
            <w:r w:rsidR="00F50ABF" w:rsidRPr="00F50ABF">
              <w:rPr>
                <w:vertAlign w:val="subscript"/>
              </w:rPr>
              <w:t>min</w:t>
            </w:r>
            <w:proofErr w:type="spellEnd"/>
          </w:p>
        </w:tc>
        <w:tc>
          <w:tcPr>
            <w:tcW w:w="6911" w:type="dxa"/>
          </w:tcPr>
          <w:p w14:paraId="5059367F" w14:textId="327543F5" w:rsidR="002B14E4" w:rsidRPr="00DA40F2" w:rsidRDefault="00307F94" w:rsidP="00B5201B">
            <w:r w:rsidRPr="008276E7">
              <w:t>T</w:t>
            </w:r>
            <w:r w:rsidR="002B14E4" w:rsidRPr="008276E7">
              <w:t xml:space="preserve">ime </w:t>
            </w:r>
            <w:r w:rsidR="00B5201B" w:rsidRPr="008276E7">
              <w:t>normali</w:t>
            </w:r>
            <w:r w:rsidR="00B5201B">
              <w:t>s</w:t>
            </w:r>
            <w:r w:rsidR="00B5201B" w:rsidRPr="008276E7">
              <w:t xml:space="preserve">ed </w:t>
            </w:r>
            <w:proofErr w:type="spellStart"/>
            <w:r w:rsidR="00F50ABF" w:rsidRPr="00C9173F">
              <w:t>C</w:t>
            </w:r>
            <w:r w:rsidR="00F50ABF" w:rsidRPr="00F50ABF">
              <w:rPr>
                <w:vertAlign w:val="subscript"/>
              </w:rPr>
              <w:t>min</w:t>
            </w:r>
            <w:proofErr w:type="spellEnd"/>
          </w:p>
        </w:tc>
      </w:tr>
      <w:tr w:rsidR="00C66C14" w:rsidRPr="00FD119B" w14:paraId="0845A493" w14:textId="77777777" w:rsidTr="00FD119B">
        <w:tc>
          <w:tcPr>
            <w:tcW w:w="1809" w:type="dxa"/>
          </w:tcPr>
          <w:p w14:paraId="6CD19A1B" w14:textId="77777777" w:rsidR="00C66C14" w:rsidRPr="008276E7" w:rsidRDefault="00C66C14" w:rsidP="002B14E4">
            <w:r>
              <w:t>USA</w:t>
            </w:r>
          </w:p>
        </w:tc>
        <w:tc>
          <w:tcPr>
            <w:tcW w:w="6911" w:type="dxa"/>
          </w:tcPr>
          <w:p w14:paraId="4011DC85" w14:textId="77777777" w:rsidR="00C66C14" w:rsidRPr="008276E7" w:rsidRDefault="00C66C14" w:rsidP="002B14E4">
            <w:r>
              <w:t>United States of America</w:t>
            </w:r>
          </w:p>
        </w:tc>
      </w:tr>
      <w:tr w:rsidR="00307F94" w:rsidRPr="00FD119B" w14:paraId="233FD648" w14:textId="77777777" w:rsidTr="00FD119B">
        <w:tc>
          <w:tcPr>
            <w:tcW w:w="1809" w:type="dxa"/>
          </w:tcPr>
          <w:p w14:paraId="72C74F1A" w14:textId="77777777" w:rsidR="00307F94" w:rsidRDefault="00307F94" w:rsidP="00307F94">
            <w:r>
              <w:t>V2/F</w:t>
            </w:r>
          </w:p>
        </w:tc>
        <w:tc>
          <w:tcPr>
            <w:tcW w:w="6911" w:type="dxa"/>
          </w:tcPr>
          <w:p w14:paraId="63327F05" w14:textId="77777777" w:rsidR="00307F94" w:rsidRDefault="00307F94" w:rsidP="002B14E4">
            <w:r w:rsidRPr="00307F94">
              <w:t>Two compartment PK parameter for central volume</w:t>
            </w:r>
          </w:p>
        </w:tc>
      </w:tr>
      <w:tr w:rsidR="00307F94" w:rsidRPr="00FD119B" w14:paraId="183A503B" w14:textId="77777777" w:rsidTr="00FD119B">
        <w:tc>
          <w:tcPr>
            <w:tcW w:w="1809" w:type="dxa"/>
          </w:tcPr>
          <w:p w14:paraId="630C5E79" w14:textId="77777777" w:rsidR="00307F94" w:rsidRDefault="00307F94" w:rsidP="002B14E4">
            <w:r>
              <w:t>V3/F</w:t>
            </w:r>
          </w:p>
        </w:tc>
        <w:tc>
          <w:tcPr>
            <w:tcW w:w="6911" w:type="dxa"/>
          </w:tcPr>
          <w:p w14:paraId="6C912B62" w14:textId="77777777" w:rsidR="00307F94" w:rsidRDefault="00307F94" w:rsidP="002B14E4">
            <w:r w:rsidRPr="00307F94">
              <w:t>Two compartment PK parameter for peripheral volume</w:t>
            </w:r>
          </w:p>
        </w:tc>
      </w:tr>
      <w:tr w:rsidR="00C66C14" w:rsidRPr="00FD119B" w14:paraId="13E27D43" w14:textId="77777777" w:rsidTr="00FD119B">
        <w:tc>
          <w:tcPr>
            <w:tcW w:w="1809" w:type="dxa"/>
          </w:tcPr>
          <w:p w14:paraId="1024A434" w14:textId="77777777" w:rsidR="00C66C14" w:rsidRPr="008276E7" w:rsidRDefault="00C66C14" w:rsidP="002B14E4">
            <w:r w:rsidRPr="00520F74">
              <w:t>VNS</w:t>
            </w:r>
          </w:p>
        </w:tc>
        <w:tc>
          <w:tcPr>
            <w:tcW w:w="6911" w:type="dxa"/>
          </w:tcPr>
          <w:p w14:paraId="68BC1E47" w14:textId="77777777" w:rsidR="00C66C14" w:rsidRPr="008276E7" w:rsidRDefault="00307F94" w:rsidP="00C66C14">
            <w:r w:rsidRPr="00520F74">
              <w:t>V</w:t>
            </w:r>
            <w:r w:rsidR="00C66C14" w:rsidRPr="00520F74">
              <w:t>agal nerve stim</w:t>
            </w:r>
            <w:r w:rsidR="00C66C14">
              <w:t>ulation</w:t>
            </w:r>
          </w:p>
        </w:tc>
      </w:tr>
    </w:tbl>
    <w:p w14:paraId="35E8E330" w14:textId="77777777" w:rsidR="008E7846" w:rsidRDefault="00F53C07" w:rsidP="00E56946">
      <w:pPr>
        <w:pStyle w:val="Heading2"/>
      </w:pPr>
      <w:bookmarkStart w:id="9" w:name="_Toc1555395"/>
      <w:r>
        <w:lastRenderedPageBreak/>
        <w:t>I.</w:t>
      </w:r>
      <w:r w:rsidR="008E7846">
        <w:t xml:space="preserve"> </w:t>
      </w:r>
      <w:r w:rsidR="008E7846" w:rsidRPr="00E56946">
        <w:t>Introduction</w:t>
      </w:r>
      <w:r w:rsidR="008E7846">
        <w:t xml:space="preserve"> to product submission</w:t>
      </w:r>
      <w:bookmarkEnd w:id="0"/>
      <w:bookmarkEnd w:id="3"/>
      <w:bookmarkEnd w:id="9"/>
    </w:p>
    <w:p w14:paraId="42606C06" w14:textId="77777777" w:rsidR="008E7846" w:rsidRDefault="008E7846" w:rsidP="00E56946">
      <w:pPr>
        <w:pStyle w:val="Heading3"/>
        <w:rPr>
          <w:lang w:eastAsia="en-AU"/>
        </w:rPr>
      </w:pPr>
      <w:bookmarkStart w:id="10" w:name="_Toc247691502"/>
      <w:bookmarkStart w:id="11" w:name="_Toc314842483"/>
      <w:bookmarkStart w:id="12" w:name="_Toc1555396"/>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68D332C3" w14:textId="77777777" w:rsidTr="00500337">
        <w:trPr>
          <w:trHeight w:hRule="exact" w:val="454"/>
        </w:trPr>
        <w:tc>
          <w:tcPr>
            <w:tcW w:w="2907" w:type="dxa"/>
          </w:tcPr>
          <w:p w14:paraId="081CF5E1"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5A116817" w14:textId="77777777" w:rsidR="008E7846" w:rsidRPr="003D1E62" w:rsidRDefault="0016229D" w:rsidP="00224DC7">
            <w:r>
              <w:t>M</w:t>
            </w:r>
            <w:r w:rsidR="008E7846" w:rsidRPr="003D1E62">
              <w:t xml:space="preserve">ajor </w:t>
            </w:r>
            <w:r w:rsidR="001B5C90">
              <w:t>v</w:t>
            </w:r>
            <w:r w:rsidR="008E7846" w:rsidRPr="003D1E62">
              <w:t>ariation (</w:t>
            </w:r>
            <w:r w:rsidR="001B5C90">
              <w:t>n</w:t>
            </w:r>
            <w:r w:rsidR="008E7846" w:rsidRPr="003D1E62">
              <w:t xml:space="preserve">ew </w:t>
            </w:r>
            <w:r w:rsidR="00224DC7">
              <w:t>indication</w:t>
            </w:r>
            <w:r w:rsidR="008E7846" w:rsidRPr="003D1E62">
              <w:t>)</w:t>
            </w:r>
          </w:p>
        </w:tc>
      </w:tr>
      <w:tr w:rsidR="008E7846" w:rsidRPr="003D1E62" w14:paraId="08E9834F" w14:textId="77777777" w:rsidTr="00500337">
        <w:trPr>
          <w:trHeight w:hRule="exact" w:val="454"/>
        </w:trPr>
        <w:tc>
          <w:tcPr>
            <w:tcW w:w="2907" w:type="dxa"/>
          </w:tcPr>
          <w:p w14:paraId="094F5F13" w14:textId="77777777" w:rsidR="008E7846" w:rsidRPr="003D1E62" w:rsidRDefault="008E7846" w:rsidP="003D1E62">
            <w:r w:rsidRPr="003D1E62">
              <w:rPr>
                <w:i/>
              </w:rPr>
              <w:t>Decision</w:t>
            </w:r>
            <w:r w:rsidRPr="003D1E62">
              <w:t>:</w:t>
            </w:r>
          </w:p>
        </w:tc>
        <w:tc>
          <w:tcPr>
            <w:tcW w:w="6307" w:type="dxa"/>
          </w:tcPr>
          <w:p w14:paraId="44FF1586" w14:textId="77777777" w:rsidR="008E7846" w:rsidRPr="003D1E62" w:rsidRDefault="002B14E4" w:rsidP="002B14E4">
            <w:r>
              <w:t>Approved</w:t>
            </w:r>
          </w:p>
        </w:tc>
      </w:tr>
      <w:tr w:rsidR="008E7846" w:rsidRPr="003D1E62" w14:paraId="67E4E025" w14:textId="77777777" w:rsidTr="00500337">
        <w:trPr>
          <w:trHeight w:hRule="exact" w:val="454"/>
        </w:trPr>
        <w:tc>
          <w:tcPr>
            <w:tcW w:w="2907" w:type="dxa"/>
          </w:tcPr>
          <w:p w14:paraId="015F2813"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3A91011F" w14:textId="77777777" w:rsidR="008E7846" w:rsidRPr="003D1E62" w:rsidRDefault="00203ED3" w:rsidP="001B5C90">
            <w:r>
              <w:t>22 December 2017</w:t>
            </w:r>
          </w:p>
        </w:tc>
      </w:tr>
      <w:tr w:rsidR="00ED2922" w:rsidRPr="003D1E62" w14:paraId="65360C54" w14:textId="77777777" w:rsidTr="00500337">
        <w:trPr>
          <w:trHeight w:hRule="exact" w:val="454"/>
        </w:trPr>
        <w:tc>
          <w:tcPr>
            <w:tcW w:w="2907" w:type="dxa"/>
          </w:tcPr>
          <w:p w14:paraId="5277E799" w14:textId="77777777" w:rsidR="00ED2922" w:rsidRPr="00441C3F" w:rsidRDefault="00ED2922" w:rsidP="001B5C90">
            <w:pPr>
              <w:rPr>
                <w:i/>
              </w:rPr>
            </w:pPr>
            <w:r w:rsidRPr="00441C3F">
              <w:rPr>
                <w:i/>
              </w:rPr>
              <w:t>Date of entry onto ARTG</w:t>
            </w:r>
            <w:r w:rsidR="00500337">
              <w:rPr>
                <w:i/>
              </w:rPr>
              <w:t>:</w:t>
            </w:r>
          </w:p>
        </w:tc>
        <w:tc>
          <w:tcPr>
            <w:tcW w:w="6307" w:type="dxa"/>
          </w:tcPr>
          <w:p w14:paraId="5CFCB198" w14:textId="77777777" w:rsidR="00ED2922" w:rsidRPr="00441C3F" w:rsidRDefault="00203ED3" w:rsidP="00EC463D">
            <w:pPr>
              <w:rPr>
                <w:i/>
              </w:rPr>
            </w:pPr>
            <w:r>
              <w:t>3 January 2018</w:t>
            </w:r>
          </w:p>
        </w:tc>
      </w:tr>
      <w:tr w:rsidR="00500337" w:rsidRPr="003D1E62" w14:paraId="11022BD0" w14:textId="77777777" w:rsidTr="00500337">
        <w:trPr>
          <w:trHeight w:hRule="exact" w:val="454"/>
        </w:trPr>
        <w:tc>
          <w:tcPr>
            <w:tcW w:w="2907" w:type="dxa"/>
          </w:tcPr>
          <w:p w14:paraId="6583D2DF" w14:textId="77777777" w:rsidR="00500337" w:rsidRPr="00441C3F" w:rsidRDefault="00474F04" w:rsidP="001B5C90">
            <w:pPr>
              <w:rPr>
                <w:i/>
              </w:rPr>
            </w:pPr>
            <w:r>
              <w:rPr>
                <w:i/>
              </w:rPr>
              <w:t>ARTG numbers</w:t>
            </w:r>
            <w:r w:rsidR="00500337">
              <w:rPr>
                <w:i/>
              </w:rPr>
              <w:t>:</w:t>
            </w:r>
          </w:p>
        </w:tc>
        <w:tc>
          <w:tcPr>
            <w:tcW w:w="6307" w:type="dxa"/>
          </w:tcPr>
          <w:p w14:paraId="0D3DA57C" w14:textId="77777777" w:rsidR="00500337" w:rsidRPr="00441C3F" w:rsidRDefault="00203ED3" w:rsidP="00EC463D">
            <w:r w:rsidRPr="00203ED3">
              <w:t>177648,</w:t>
            </w:r>
            <w:r>
              <w:t xml:space="preserve"> 154661, 154663, 200203, 200204 and</w:t>
            </w:r>
            <w:r w:rsidRPr="00203ED3">
              <w:t xml:space="preserve"> 200205</w:t>
            </w:r>
          </w:p>
        </w:tc>
      </w:tr>
    </w:tbl>
    <w:p w14:paraId="1B579305" w14:textId="77777777"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14:paraId="2F103A92" w14:textId="77777777" w:rsidTr="00BF1190">
        <w:tc>
          <w:tcPr>
            <w:tcW w:w="2907" w:type="dxa"/>
          </w:tcPr>
          <w:p w14:paraId="09AFF319" w14:textId="77777777" w:rsidR="008E7846" w:rsidRPr="00487162" w:rsidRDefault="0016229D" w:rsidP="00E45619">
            <w:pPr>
              <w:rPr>
                <w:i/>
              </w:rPr>
            </w:pPr>
            <w:r>
              <w:rPr>
                <w:i/>
              </w:rPr>
              <w:t>Active ingredient</w:t>
            </w:r>
            <w:r w:rsidR="001B5C90">
              <w:rPr>
                <w:i/>
              </w:rPr>
              <w:t>:</w:t>
            </w:r>
          </w:p>
        </w:tc>
        <w:tc>
          <w:tcPr>
            <w:tcW w:w="6307" w:type="dxa"/>
          </w:tcPr>
          <w:p w14:paraId="3E0DB61D" w14:textId="6310BD1D" w:rsidR="008E7846" w:rsidRPr="00487162" w:rsidRDefault="00B5201B" w:rsidP="00E45619">
            <w:r>
              <w:t>Everolimus</w:t>
            </w:r>
          </w:p>
        </w:tc>
      </w:tr>
      <w:tr w:rsidR="008E7846" w:rsidRPr="00487162" w14:paraId="7FAAA277" w14:textId="77777777" w:rsidTr="00BF1190">
        <w:tc>
          <w:tcPr>
            <w:tcW w:w="2907" w:type="dxa"/>
          </w:tcPr>
          <w:p w14:paraId="1CA3CA2F" w14:textId="77777777" w:rsidR="008E7846" w:rsidRPr="00487162" w:rsidRDefault="008E7846" w:rsidP="001B5C90">
            <w:pPr>
              <w:rPr>
                <w:i/>
              </w:rPr>
            </w:pPr>
            <w:r w:rsidRPr="00487162">
              <w:rPr>
                <w:i/>
              </w:rPr>
              <w:t>Product</w:t>
            </w:r>
            <w:r w:rsidR="0016229D">
              <w:rPr>
                <w:i/>
              </w:rPr>
              <w:t xml:space="preserve"> name</w:t>
            </w:r>
            <w:r w:rsidR="001B5C90">
              <w:rPr>
                <w:i/>
              </w:rPr>
              <w:t>:</w:t>
            </w:r>
          </w:p>
        </w:tc>
        <w:tc>
          <w:tcPr>
            <w:tcW w:w="6307" w:type="dxa"/>
          </w:tcPr>
          <w:p w14:paraId="52902A11" w14:textId="77777777" w:rsidR="008E7846" w:rsidRPr="00487162" w:rsidRDefault="0016229D" w:rsidP="00E45619">
            <w:r>
              <w:t>Afinitor</w:t>
            </w:r>
          </w:p>
        </w:tc>
      </w:tr>
      <w:tr w:rsidR="008E7846" w:rsidRPr="00487162" w14:paraId="2AE519A2" w14:textId="77777777" w:rsidTr="00BF1190">
        <w:tc>
          <w:tcPr>
            <w:tcW w:w="2907" w:type="dxa"/>
          </w:tcPr>
          <w:p w14:paraId="5027BCB2"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1F7ED01C" w14:textId="77777777" w:rsidR="008E7846" w:rsidRPr="00670801" w:rsidRDefault="0016229D" w:rsidP="00E45619">
            <w:pPr>
              <w:rPr>
                <w:lang w:val="it-IT"/>
              </w:rPr>
            </w:pPr>
            <w:r w:rsidRPr="00670801">
              <w:rPr>
                <w:lang w:val="it-IT"/>
              </w:rPr>
              <w:t>Novartis Pharmaceuticals Australia Pty Ltd</w:t>
            </w:r>
          </w:p>
          <w:p w14:paraId="5F0274AC" w14:textId="77777777" w:rsidR="00203ED3" w:rsidRPr="00670801" w:rsidRDefault="00203ED3" w:rsidP="00E45619">
            <w:pPr>
              <w:rPr>
                <w:lang w:val="it-IT"/>
              </w:rPr>
            </w:pPr>
            <w:r w:rsidRPr="00670801">
              <w:rPr>
                <w:lang w:val="it-IT"/>
              </w:rPr>
              <w:t>PO Box 101</w:t>
            </w:r>
          </w:p>
          <w:p w14:paraId="7C42D4A8" w14:textId="77777777" w:rsidR="00203ED3" w:rsidRPr="00487162" w:rsidRDefault="00203ED3" w:rsidP="00E45619">
            <w:r>
              <w:t>North Ryde NSW 1670</w:t>
            </w:r>
          </w:p>
        </w:tc>
      </w:tr>
      <w:tr w:rsidR="008E7846" w:rsidRPr="00487162" w14:paraId="10AB61E7" w14:textId="77777777" w:rsidTr="00BF1190">
        <w:tc>
          <w:tcPr>
            <w:tcW w:w="2907" w:type="dxa"/>
          </w:tcPr>
          <w:p w14:paraId="32152535" w14:textId="77777777" w:rsidR="008E7846" w:rsidRPr="00487162" w:rsidRDefault="0016229D" w:rsidP="00E45619">
            <w:pPr>
              <w:rPr>
                <w:i/>
              </w:rPr>
            </w:pPr>
            <w:r>
              <w:rPr>
                <w:i/>
              </w:rPr>
              <w:t>Dose forms</w:t>
            </w:r>
            <w:r w:rsidR="001B5C90">
              <w:rPr>
                <w:i/>
              </w:rPr>
              <w:t>:</w:t>
            </w:r>
          </w:p>
        </w:tc>
        <w:tc>
          <w:tcPr>
            <w:tcW w:w="6307" w:type="dxa"/>
          </w:tcPr>
          <w:p w14:paraId="7041356C" w14:textId="77777777" w:rsidR="008E7846" w:rsidRPr="00487162" w:rsidRDefault="0016229D" w:rsidP="00E45619">
            <w:r>
              <w:t>Tablet and dispersible tablet</w:t>
            </w:r>
          </w:p>
        </w:tc>
      </w:tr>
      <w:tr w:rsidR="008E7846" w:rsidRPr="00487162" w14:paraId="741F9057" w14:textId="77777777" w:rsidTr="00BF1190">
        <w:tc>
          <w:tcPr>
            <w:tcW w:w="2907" w:type="dxa"/>
          </w:tcPr>
          <w:p w14:paraId="19D7A387" w14:textId="77777777" w:rsidR="008E7846" w:rsidRPr="00487162" w:rsidRDefault="0016229D" w:rsidP="00E45619">
            <w:pPr>
              <w:rPr>
                <w:i/>
              </w:rPr>
            </w:pPr>
            <w:r>
              <w:rPr>
                <w:i/>
              </w:rPr>
              <w:t>Strengths</w:t>
            </w:r>
            <w:r w:rsidR="00224DC7">
              <w:rPr>
                <w:i/>
              </w:rPr>
              <w:t>:</w:t>
            </w:r>
          </w:p>
        </w:tc>
        <w:tc>
          <w:tcPr>
            <w:tcW w:w="6307" w:type="dxa"/>
          </w:tcPr>
          <w:p w14:paraId="00A925E6" w14:textId="77777777" w:rsidR="008E7846" w:rsidRPr="00487162" w:rsidRDefault="0016229D" w:rsidP="00E45619">
            <w:r>
              <w:t>2.5</w:t>
            </w:r>
            <w:r w:rsidR="00203ED3">
              <w:t xml:space="preserve"> mg, 5 mg, 10 mg (tablet) 2 mg, 3 mg, and 5 mg (dispersible tablet)</w:t>
            </w:r>
          </w:p>
        </w:tc>
      </w:tr>
      <w:tr w:rsidR="008E7846" w:rsidRPr="00487162" w14:paraId="46835449" w14:textId="77777777" w:rsidTr="00BF1190">
        <w:tc>
          <w:tcPr>
            <w:tcW w:w="2907" w:type="dxa"/>
          </w:tcPr>
          <w:p w14:paraId="79F144C0" w14:textId="77777777" w:rsidR="008E7846" w:rsidRPr="00487162" w:rsidRDefault="00203ED3" w:rsidP="00E45619">
            <w:pPr>
              <w:rPr>
                <w:i/>
              </w:rPr>
            </w:pPr>
            <w:r>
              <w:rPr>
                <w:i/>
              </w:rPr>
              <w:t>Container</w:t>
            </w:r>
            <w:r w:rsidR="008E7846" w:rsidRPr="00487162">
              <w:rPr>
                <w:i/>
              </w:rPr>
              <w:t>:</w:t>
            </w:r>
          </w:p>
        </w:tc>
        <w:tc>
          <w:tcPr>
            <w:tcW w:w="6307" w:type="dxa"/>
          </w:tcPr>
          <w:p w14:paraId="37E77BC0" w14:textId="77777777" w:rsidR="008E7846" w:rsidRPr="00487162" w:rsidRDefault="00203ED3" w:rsidP="00E45619">
            <w:r>
              <w:t>Blister pack</w:t>
            </w:r>
          </w:p>
        </w:tc>
      </w:tr>
      <w:tr w:rsidR="008E7846" w:rsidRPr="00487162" w14:paraId="44462905" w14:textId="77777777" w:rsidTr="00BF1190">
        <w:tc>
          <w:tcPr>
            <w:tcW w:w="2907" w:type="dxa"/>
          </w:tcPr>
          <w:p w14:paraId="37453EB3" w14:textId="77777777" w:rsidR="008E7846" w:rsidRPr="00487162" w:rsidRDefault="00203ED3" w:rsidP="00E45619">
            <w:pPr>
              <w:rPr>
                <w:i/>
              </w:rPr>
            </w:pPr>
            <w:r>
              <w:rPr>
                <w:i/>
              </w:rPr>
              <w:t>Pack sizes</w:t>
            </w:r>
            <w:r w:rsidR="008E7846" w:rsidRPr="00487162">
              <w:rPr>
                <w:i/>
              </w:rPr>
              <w:t>:</w:t>
            </w:r>
          </w:p>
        </w:tc>
        <w:tc>
          <w:tcPr>
            <w:tcW w:w="6307" w:type="dxa"/>
          </w:tcPr>
          <w:p w14:paraId="76832C1F" w14:textId="03A8BF31" w:rsidR="00203ED3" w:rsidRDefault="00203ED3" w:rsidP="00E45619">
            <w:r>
              <w:t>30, 50, 60</w:t>
            </w:r>
            <w:r w:rsidR="00B5201B">
              <w:t>,</w:t>
            </w:r>
            <w:r>
              <w:t xml:space="preserve"> 100</w:t>
            </w:r>
            <w:r w:rsidR="00B5201B">
              <w:t>, and</w:t>
            </w:r>
            <w:r>
              <w:t xml:space="preserve"> 120</w:t>
            </w:r>
            <w:r w:rsidR="00B5201B">
              <w:t xml:space="preserve"> tablets</w:t>
            </w:r>
            <w:r w:rsidR="00B75163">
              <w:t>:</w:t>
            </w:r>
            <w:r>
              <w:t xml:space="preserve"> </w:t>
            </w:r>
            <w:r w:rsidR="00B75163">
              <w:t>(</w:t>
            </w:r>
            <w:r>
              <w:t xml:space="preserve">2 </w:t>
            </w:r>
            <w:r w:rsidR="00B75163">
              <w:t>mg</w:t>
            </w:r>
            <w:r w:rsidR="00B5201B">
              <w:t xml:space="preserve"> and</w:t>
            </w:r>
            <w:r w:rsidR="00B75163">
              <w:t xml:space="preserve"> </w:t>
            </w:r>
            <w:r>
              <w:t>5 mg dispersible tablet</w:t>
            </w:r>
            <w:r w:rsidR="00B5201B">
              <w:t>s;</w:t>
            </w:r>
            <w:r>
              <w:t xml:space="preserve"> </w:t>
            </w:r>
            <w:r w:rsidR="00B75163">
              <w:t>and 5 mg and 10 mg tablet)</w:t>
            </w:r>
          </w:p>
          <w:p w14:paraId="21408BF6" w14:textId="01AFFF98" w:rsidR="008E7846" w:rsidRPr="00487162" w:rsidRDefault="00B75163" w:rsidP="00E45619">
            <w:r>
              <w:t xml:space="preserve">10, 30 </w:t>
            </w:r>
            <w:r w:rsidR="00D47C24">
              <w:t xml:space="preserve">and </w:t>
            </w:r>
            <w:r>
              <w:t>90</w:t>
            </w:r>
            <w:r w:rsidR="00B5201B">
              <w:t xml:space="preserve"> tablets</w:t>
            </w:r>
            <w:r>
              <w:t>: (2.5 mg tablet)</w:t>
            </w:r>
          </w:p>
        </w:tc>
      </w:tr>
      <w:tr w:rsidR="008E7846" w:rsidRPr="00487162" w14:paraId="6B1D8EF2" w14:textId="77777777" w:rsidTr="00BF1190">
        <w:tc>
          <w:tcPr>
            <w:tcW w:w="2907" w:type="dxa"/>
          </w:tcPr>
          <w:p w14:paraId="52A077B0"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711C70BA" w14:textId="77777777" w:rsidR="008E7846" w:rsidRPr="00224DC7" w:rsidRDefault="00224DC7" w:rsidP="00224DC7">
            <w:pPr>
              <w:rPr>
                <w:i/>
              </w:rPr>
            </w:pPr>
            <w:r w:rsidRPr="00224DC7">
              <w:rPr>
                <w:i/>
              </w:rPr>
              <w:t xml:space="preserve">Adjunctive treatment of patients aged 2 years and older with TSC and </w:t>
            </w:r>
            <w:r w:rsidR="00EA5C85">
              <w:rPr>
                <w:i/>
              </w:rPr>
              <w:t>associated refractory seizures.</w:t>
            </w:r>
          </w:p>
        </w:tc>
      </w:tr>
      <w:tr w:rsidR="008E7846" w:rsidRPr="00487162" w14:paraId="2A01281C" w14:textId="77777777" w:rsidTr="00BF1190">
        <w:tc>
          <w:tcPr>
            <w:tcW w:w="2907" w:type="dxa"/>
          </w:tcPr>
          <w:p w14:paraId="6801D206" w14:textId="77777777" w:rsidR="008E7846" w:rsidRPr="00487162" w:rsidRDefault="00203ED3" w:rsidP="00E45619">
            <w:pPr>
              <w:rPr>
                <w:i/>
              </w:rPr>
            </w:pPr>
            <w:r>
              <w:rPr>
                <w:i/>
              </w:rPr>
              <w:t>Route</w:t>
            </w:r>
            <w:r w:rsidR="008E7846" w:rsidRPr="00487162">
              <w:rPr>
                <w:i/>
              </w:rPr>
              <w:t xml:space="preserve"> of administration:</w:t>
            </w:r>
          </w:p>
        </w:tc>
        <w:tc>
          <w:tcPr>
            <w:tcW w:w="6307" w:type="dxa"/>
          </w:tcPr>
          <w:p w14:paraId="28E3109D" w14:textId="57ED23FD" w:rsidR="008E7846" w:rsidRPr="00487162" w:rsidRDefault="00B5201B" w:rsidP="00E45619">
            <w:r>
              <w:t>Oral</w:t>
            </w:r>
          </w:p>
        </w:tc>
      </w:tr>
      <w:tr w:rsidR="008E7846" w:rsidRPr="00487162" w14:paraId="5D218840" w14:textId="77777777" w:rsidTr="00BF1190">
        <w:tc>
          <w:tcPr>
            <w:tcW w:w="2907" w:type="dxa"/>
          </w:tcPr>
          <w:p w14:paraId="096C822E" w14:textId="77777777" w:rsidR="008E7846" w:rsidRPr="00487162" w:rsidRDefault="008E7846" w:rsidP="00E45619">
            <w:pPr>
              <w:rPr>
                <w:i/>
              </w:rPr>
            </w:pPr>
            <w:r w:rsidRPr="00487162">
              <w:rPr>
                <w:i/>
              </w:rPr>
              <w:t>Dosage:</w:t>
            </w:r>
          </w:p>
        </w:tc>
        <w:tc>
          <w:tcPr>
            <w:tcW w:w="6307" w:type="dxa"/>
          </w:tcPr>
          <w:p w14:paraId="22CAE78B" w14:textId="77777777" w:rsidR="008E7846" w:rsidRPr="00487162" w:rsidRDefault="00224DC7" w:rsidP="00E45619">
            <w:r>
              <w:t>For details of dosage please see the Product Information</w:t>
            </w:r>
          </w:p>
        </w:tc>
      </w:tr>
    </w:tbl>
    <w:p w14:paraId="6A74E766" w14:textId="77777777" w:rsidR="008E7846" w:rsidRDefault="008E7846" w:rsidP="00E56946">
      <w:pPr>
        <w:pStyle w:val="Heading3"/>
      </w:pPr>
      <w:bookmarkStart w:id="13" w:name="_Toc247691503"/>
      <w:bookmarkStart w:id="14" w:name="_Toc314842484"/>
      <w:bookmarkStart w:id="15" w:name="_Toc1555397"/>
      <w:r>
        <w:t xml:space="preserve">Product </w:t>
      </w:r>
      <w:r w:rsidRPr="00E56946">
        <w:t>background</w:t>
      </w:r>
      <w:bookmarkEnd w:id="13"/>
      <w:bookmarkEnd w:id="14"/>
      <w:bookmarkEnd w:id="15"/>
    </w:p>
    <w:p w14:paraId="21DE2054" w14:textId="77777777" w:rsidR="008E7846" w:rsidRDefault="00940A89" w:rsidP="00E56946">
      <w:r w:rsidRPr="00940A89">
        <w:t xml:space="preserve">This AusPAR describes the application by </w:t>
      </w:r>
      <w:r w:rsidR="00224DC7">
        <w:t>Novartis Pharmaceuticals Australia Pty Ltd</w:t>
      </w:r>
      <w:r w:rsidR="00224DC7" w:rsidRPr="00940A89">
        <w:t xml:space="preserve"> </w:t>
      </w:r>
      <w:r w:rsidR="00224DC7">
        <w:t>(</w:t>
      </w:r>
      <w:r w:rsidRPr="00940A89">
        <w:t>the sponsor</w:t>
      </w:r>
      <w:r w:rsidR="00224DC7">
        <w:t>)</w:t>
      </w:r>
      <w:r w:rsidRPr="00940A89">
        <w:t xml:space="preserve"> to register </w:t>
      </w:r>
      <w:r w:rsidR="00224DC7">
        <w:t>Afinitor</w:t>
      </w:r>
      <w:r w:rsidRPr="00940A89">
        <w:t xml:space="preserve"> </w:t>
      </w:r>
      <w:r w:rsidR="00212CE9">
        <w:t xml:space="preserve">everolimus </w:t>
      </w:r>
      <w:r w:rsidRPr="00940A89">
        <w:t>for the following indication</w:t>
      </w:r>
      <w:r w:rsidR="00212CE9">
        <w:t>:</w:t>
      </w:r>
    </w:p>
    <w:p w14:paraId="618AFC0C" w14:textId="77777777" w:rsidR="00212CE9" w:rsidRPr="00212CE9" w:rsidRDefault="00212CE9" w:rsidP="00E56946">
      <w:pPr>
        <w:ind w:left="567"/>
      </w:pPr>
      <w:proofErr w:type="gramStart"/>
      <w:r w:rsidRPr="00224DC7">
        <w:rPr>
          <w:i/>
        </w:rPr>
        <w:t xml:space="preserve">Adjunctive treatment of patients aged 2 years and older with TSC and </w:t>
      </w:r>
      <w:r>
        <w:rPr>
          <w:i/>
        </w:rPr>
        <w:t>refractory seizures.</w:t>
      </w:r>
      <w:proofErr w:type="gramEnd"/>
    </w:p>
    <w:p w14:paraId="2BF447C7" w14:textId="77777777" w:rsidR="00212CE9" w:rsidRPr="00212CE9" w:rsidRDefault="00212CE9" w:rsidP="00E56946">
      <w:r>
        <w:t xml:space="preserve">Patients with </w:t>
      </w:r>
      <w:r w:rsidR="009E05C8">
        <w:t>t</w:t>
      </w:r>
      <w:r w:rsidR="009E05C8" w:rsidRPr="009E05C8">
        <w:t>uberous sclerosis complex</w:t>
      </w:r>
      <w:r w:rsidR="009E05C8">
        <w:t xml:space="preserve"> (</w:t>
      </w:r>
      <w:r>
        <w:t>TSC</w:t>
      </w:r>
      <w:r w:rsidR="009E05C8">
        <w:t>)</w:t>
      </w:r>
      <w:r>
        <w:t xml:space="preserve"> and refractory seizures are treated with dispersible tablets only.</w:t>
      </w:r>
    </w:p>
    <w:p w14:paraId="55727AF4" w14:textId="3F8A9379" w:rsidR="00026557" w:rsidRPr="008F6857" w:rsidRDefault="009E05C8" w:rsidP="00E56946">
      <w:r>
        <w:lastRenderedPageBreak/>
        <w:t>T</w:t>
      </w:r>
      <w:r w:rsidRPr="009E05C8">
        <w:t>uberous sclerosis complex</w:t>
      </w:r>
      <w:r>
        <w:t xml:space="preserve"> </w:t>
      </w:r>
      <w:r w:rsidR="00026557">
        <w:t xml:space="preserve">is a rare multisystem </w:t>
      </w:r>
      <w:r w:rsidR="00026557" w:rsidRPr="008F6857">
        <w:t>genetic disease</w:t>
      </w:r>
      <w:r w:rsidR="00026557">
        <w:t xml:space="preserve"> that causes </w:t>
      </w:r>
      <w:r w:rsidR="00026557" w:rsidRPr="008F6857">
        <w:t>benign tumours</w:t>
      </w:r>
      <w:r w:rsidR="00026557">
        <w:t xml:space="preserve"> to grow in the </w:t>
      </w:r>
      <w:r w:rsidR="00026557" w:rsidRPr="008F6857">
        <w:t>brain</w:t>
      </w:r>
      <w:r w:rsidR="00026557">
        <w:t xml:space="preserve"> </w:t>
      </w:r>
      <w:r w:rsidR="00026557" w:rsidRPr="008F6857">
        <w:t>and</w:t>
      </w:r>
      <w:r w:rsidR="00026557">
        <w:t xml:space="preserve"> on other vital organs</w:t>
      </w:r>
      <w:r w:rsidR="00026557" w:rsidRPr="008F6857">
        <w:t>. TSC has a prevalence approaching 1 in 6</w:t>
      </w:r>
      <w:r w:rsidR="00026557">
        <w:t>,</w:t>
      </w:r>
      <w:r w:rsidR="00026557" w:rsidRPr="008F6857">
        <w:t xml:space="preserve">000 live births and is an autosomal dominant genetic condition involving </w:t>
      </w:r>
      <w:r>
        <w:t xml:space="preserve">mutations in either </w:t>
      </w:r>
      <w:r w:rsidR="00026557" w:rsidRPr="008F6857">
        <w:t xml:space="preserve">the tuberous sclerosis 1 gene (TSC1) and/or the tuberous sclerosis 2 </w:t>
      </w:r>
      <w:proofErr w:type="gramStart"/>
      <w:r w:rsidR="00026557" w:rsidRPr="008F6857">
        <w:t>gene</w:t>
      </w:r>
      <w:proofErr w:type="gramEnd"/>
      <w:r w:rsidR="00026557" w:rsidRPr="008F6857">
        <w:t xml:space="preserve"> (TSC</w:t>
      </w:r>
      <w:r w:rsidR="00026557">
        <w:t xml:space="preserve">2). Normally, these two </w:t>
      </w:r>
      <w:r w:rsidR="00026557" w:rsidRPr="008F6857">
        <w:t>genes</w:t>
      </w:r>
      <w:r w:rsidR="00026557">
        <w:t xml:space="preserve">, </w:t>
      </w:r>
      <w:r w:rsidR="00026557" w:rsidRPr="008F6857">
        <w:t>TSC1</w:t>
      </w:r>
      <w:r w:rsidR="00026557">
        <w:t xml:space="preserve"> and </w:t>
      </w:r>
      <w:r w:rsidR="00026557" w:rsidRPr="008F6857">
        <w:t>TSC2</w:t>
      </w:r>
      <w:r w:rsidR="00026557">
        <w:t xml:space="preserve">, code for the </w:t>
      </w:r>
      <w:r w:rsidR="00026557" w:rsidRPr="008F6857">
        <w:t>proteins</w:t>
      </w:r>
      <w:r w:rsidR="00026557">
        <w:t xml:space="preserve"> </w:t>
      </w:r>
      <w:proofErr w:type="spellStart"/>
      <w:r w:rsidR="00026557" w:rsidRPr="008F6857">
        <w:t>hamartin</w:t>
      </w:r>
      <w:proofErr w:type="spellEnd"/>
      <w:r w:rsidR="00026557">
        <w:t xml:space="preserve"> </w:t>
      </w:r>
      <w:r>
        <w:t xml:space="preserve">and </w:t>
      </w:r>
      <w:proofErr w:type="spellStart"/>
      <w:r w:rsidR="00026557" w:rsidRPr="008F6857">
        <w:t>tuberin</w:t>
      </w:r>
      <w:proofErr w:type="spellEnd"/>
      <w:r w:rsidR="00026557" w:rsidRPr="008F6857">
        <w:t>, respectively</w:t>
      </w:r>
      <w:r w:rsidR="00026557">
        <w:t>, which</w:t>
      </w:r>
      <w:r w:rsidR="00026557" w:rsidRPr="008F6857">
        <w:t xml:space="preserve"> form</w:t>
      </w:r>
      <w:r w:rsidR="00026557">
        <w:t xml:space="preserve"> </w:t>
      </w:r>
      <w:r w:rsidR="00026557" w:rsidRPr="00520F74">
        <w:t>tumour growth suppressor complex</w:t>
      </w:r>
      <w:r w:rsidR="00026557" w:rsidRPr="008F6857">
        <w:t xml:space="preserve"> which regulates cell proliferation and differentiation. When either TSC1 or TSC2 are deficient, mammalian target of rapamycin complex 1 (mTORC1) is upregulated</w:t>
      </w:r>
      <w:r w:rsidR="00806BD8">
        <w:t xml:space="preserve">. </w:t>
      </w:r>
      <w:proofErr w:type="gramStart"/>
      <w:r w:rsidR="00806BD8" w:rsidRPr="008F6857">
        <w:t>mTORC1</w:t>
      </w:r>
      <w:proofErr w:type="gramEnd"/>
      <w:r w:rsidR="00806BD8">
        <w:t xml:space="preserve"> </w:t>
      </w:r>
      <w:r w:rsidR="00026557" w:rsidRPr="008F6857">
        <w:t>is a key serine</w:t>
      </w:r>
      <w:r w:rsidR="00B5201B">
        <w:noBreakHyphen/>
      </w:r>
      <w:r w:rsidR="00026557" w:rsidRPr="008F6857">
        <w:t>threonine kinase playing a central role in the regulation of cell grow</w:t>
      </w:r>
      <w:r w:rsidR="00806BD8">
        <w:t>th, proliferation and survival and its u</w:t>
      </w:r>
      <w:r w:rsidR="00026557" w:rsidRPr="008F6857">
        <w:t>pregula</w:t>
      </w:r>
      <w:r w:rsidR="00806BD8">
        <w:t>tion</w:t>
      </w:r>
      <w:r w:rsidR="00026557" w:rsidRPr="008F6857">
        <w:t xml:space="preserve"> results in a variety of benign tumours or hamartomas in multiple organ systems: lesions in the kidney, brain, skin, lung, heart and eye.</w:t>
      </w:r>
    </w:p>
    <w:p w14:paraId="23E3BE6E" w14:textId="77777777" w:rsidR="00026557" w:rsidRPr="00520F74" w:rsidRDefault="00113D17" w:rsidP="00E56946">
      <w:r>
        <w:t xml:space="preserve">Everolimus </w:t>
      </w:r>
      <w:r w:rsidR="00026557" w:rsidRPr="008F6857">
        <w:t>is a signal transduc</w:t>
      </w:r>
      <w:r>
        <w:t xml:space="preserve">tion inhibitor targeting mTORC1 and it </w:t>
      </w:r>
      <w:r w:rsidR="00026557" w:rsidRPr="008F6857">
        <w:t>exerts its activity through high affinity interaction with the intracellular receptor protein FKBP12.</w:t>
      </w:r>
      <w:r>
        <w:t xml:space="preserve"> Everolimus</w:t>
      </w:r>
      <w:r w:rsidRPr="008F6857">
        <w:t xml:space="preserve"> </w:t>
      </w:r>
      <w:r w:rsidR="00026557" w:rsidRPr="008F6857">
        <w:t>is an inhibitor of the growth and proliferation of tumour cells, endothelial cell</w:t>
      </w:r>
      <w:r w:rsidR="00806BD8">
        <w:t xml:space="preserve">s, fibroblasts and blood vessel </w:t>
      </w:r>
      <w:r w:rsidR="00026557" w:rsidRPr="008F6857">
        <w:t>associated smooth muscle cells.</w:t>
      </w:r>
      <w:r>
        <w:t xml:space="preserve"> I</w:t>
      </w:r>
      <w:r w:rsidR="00026557" w:rsidRPr="00520F74">
        <w:t xml:space="preserve">n a mouse neuronal model of TSC (in which TSC1 is ablated in most neurons during cortical development), </w:t>
      </w:r>
      <w:r>
        <w:t>everolimus</w:t>
      </w:r>
      <w:r w:rsidRPr="00520F74">
        <w:t xml:space="preserve"> </w:t>
      </w:r>
      <w:r w:rsidR="00026557" w:rsidRPr="00520F74">
        <w:t>was shown to markedly improve survival and neurological function following repeated intraperitoneal administration.</w:t>
      </w:r>
    </w:p>
    <w:p w14:paraId="730D48FD" w14:textId="77777777" w:rsidR="009E05C8" w:rsidRDefault="00113D17" w:rsidP="00E56946">
      <w:r>
        <w:t>A</w:t>
      </w:r>
      <w:r w:rsidR="00026557" w:rsidRPr="00520F74">
        <w:t xml:space="preserve">bout 85% of children and adolescents with TSC have neurological manifestations including epilepsy, cognitive impairment and behavioural problems, whereas a subset of </w:t>
      </w:r>
      <w:proofErr w:type="gramStart"/>
      <w:r w:rsidR="00026557" w:rsidRPr="00520F74">
        <w:t>affected</w:t>
      </w:r>
      <w:proofErr w:type="gramEnd"/>
      <w:r w:rsidR="00026557" w:rsidRPr="00520F74">
        <w:t xml:space="preserve"> adults have no signs of cerebral manifestations and have a normal mental status. </w:t>
      </w:r>
      <w:r w:rsidR="009E05C8">
        <w:t>U</w:t>
      </w:r>
      <w:r w:rsidR="009E05C8" w:rsidRPr="00520F74">
        <w:t xml:space="preserve">p to 90% of individuals with TSC are affected by a variety of epileptic seizure types, typically occurring in the first year of life (with 82% before 3 years of age); however, up to 12% of adult patients with </w:t>
      </w:r>
      <w:r w:rsidR="009E05C8">
        <w:t>TSC develop epilepsy as adults.</w:t>
      </w:r>
    </w:p>
    <w:p w14:paraId="5FB6199B" w14:textId="77777777" w:rsidR="00940A89" w:rsidRDefault="00113D17" w:rsidP="00E56946">
      <w:r>
        <w:t>S</w:t>
      </w:r>
      <w:r w:rsidR="00026557" w:rsidRPr="00520F74">
        <w:t xml:space="preserve">eizures associated with TSC are poorly controlled by </w:t>
      </w:r>
      <w:r w:rsidR="009E05C8">
        <w:t>anti-epileptic drugs (</w:t>
      </w:r>
      <w:r w:rsidR="00026557" w:rsidRPr="00520F74">
        <w:t>AEDs</w:t>
      </w:r>
      <w:r w:rsidR="009E05C8">
        <w:t>)</w:t>
      </w:r>
      <w:r w:rsidR="00026557" w:rsidRPr="00520F74">
        <w:t xml:space="preserve">, epilepsy surgery, </w:t>
      </w:r>
      <w:proofErr w:type="gramStart"/>
      <w:r w:rsidR="00026557" w:rsidRPr="00520F74">
        <w:t>vagal</w:t>
      </w:r>
      <w:proofErr w:type="gramEnd"/>
      <w:r w:rsidR="00026557" w:rsidRPr="00520F74">
        <w:t xml:space="preserve"> nerve stimulation (VNS) and ketogenic diet. Up to 60% of patients fail to demonstrate improvement in seizure frequency with the available therapies.</w:t>
      </w:r>
    </w:p>
    <w:p w14:paraId="68012759" w14:textId="77777777" w:rsidR="009E05C8" w:rsidRDefault="009E05C8" w:rsidP="00940A89">
      <w:r>
        <w:t xml:space="preserve">In patients with TSC, the mechanisms causing epilepsy are not entirely understood. Dysregulation of development and maintenance of cortical structure and function because of </w:t>
      </w:r>
      <w:proofErr w:type="spellStart"/>
      <w:r>
        <w:t>mTOR</w:t>
      </w:r>
      <w:proofErr w:type="spellEnd"/>
      <w:r>
        <w:t xml:space="preserve"> dependent processes may play a role in the development of epilepsy and neuropsychiatric disorders.</w:t>
      </w:r>
    </w:p>
    <w:p w14:paraId="0F4F6B95" w14:textId="77777777" w:rsidR="008E7846" w:rsidRPr="003F31A2" w:rsidRDefault="00386150" w:rsidP="00E56946">
      <w:pPr>
        <w:pStyle w:val="Heading3"/>
      </w:pPr>
      <w:bookmarkStart w:id="16" w:name="_Toc314842485"/>
      <w:bookmarkStart w:id="17" w:name="_Toc247691504"/>
      <w:bookmarkStart w:id="18" w:name="_Toc1555398"/>
      <w:r w:rsidRPr="00E56946">
        <w:t>Regulatory</w:t>
      </w:r>
      <w:r>
        <w:t xml:space="preserve"> s</w:t>
      </w:r>
      <w:r w:rsidR="008E7846">
        <w:t>tatus</w:t>
      </w:r>
      <w:bookmarkEnd w:id="16"/>
      <w:bookmarkEnd w:id="17"/>
      <w:bookmarkEnd w:id="18"/>
    </w:p>
    <w:p w14:paraId="74DEFC55" w14:textId="77777777" w:rsidR="00940A89" w:rsidRDefault="00940A89" w:rsidP="00E56946">
      <w:bookmarkStart w:id="19" w:name="_Toc247691505"/>
      <w:bookmarkStart w:id="20" w:name="_Toc314842486"/>
      <w:r w:rsidRPr="00940A89">
        <w:t>The product received initial registration on the Australian Register of Therapeutic Goods (ARTG) on</w:t>
      </w:r>
      <w:r w:rsidR="00224DC7">
        <w:t xml:space="preserve"> 6 August 2009.</w:t>
      </w:r>
    </w:p>
    <w:p w14:paraId="2983347A" w14:textId="77777777" w:rsidR="00224DC7" w:rsidRDefault="00224DC7" w:rsidP="00E56946">
      <w:r w:rsidRPr="00224DC7">
        <w:t>Everolimus was first registered in Australia on 6 August 2009 for the treatment of advanced renal cell carcinoma.</w:t>
      </w:r>
    </w:p>
    <w:p w14:paraId="2980FFDE" w14:textId="424850BD" w:rsidR="00212CE9" w:rsidRDefault="00212CE9" w:rsidP="00E56946">
      <w:r>
        <w:t>At the time of this submission was considered the approved indication for Afinitor was:</w:t>
      </w:r>
    </w:p>
    <w:p w14:paraId="54E4AF6E" w14:textId="77777777" w:rsidR="00212CE9" w:rsidRPr="00A945EE" w:rsidRDefault="00A945EE" w:rsidP="00E56946">
      <w:pPr>
        <w:ind w:left="567"/>
        <w:rPr>
          <w:i/>
        </w:rPr>
      </w:pPr>
      <w:r>
        <w:rPr>
          <w:i/>
        </w:rPr>
        <w:t xml:space="preserve">Treatment of </w:t>
      </w:r>
      <w:proofErr w:type="spellStart"/>
      <w:r w:rsidR="00212CE9" w:rsidRPr="00A945EE">
        <w:rPr>
          <w:i/>
        </w:rPr>
        <w:t>Subependymal</w:t>
      </w:r>
      <w:proofErr w:type="spellEnd"/>
      <w:r w:rsidR="00212CE9" w:rsidRPr="00A945EE">
        <w:rPr>
          <w:i/>
        </w:rPr>
        <w:t xml:space="preserve"> giant cell astrocytoma SEGA) associated with tuberous sclerosis complex (TSC) who require therapeutic intervention but are not candidates for curative surgical resection.</w:t>
      </w:r>
    </w:p>
    <w:p w14:paraId="642AE93F" w14:textId="77777777" w:rsidR="00212CE9" w:rsidRPr="00A945EE" w:rsidRDefault="00A945EE" w:rsidP="00E56946">
      <w:pPr>
        <w:ind w:left="567"/>
        <w:rPr>
          <w:i/>
        </w:rPr>
      </w:pPr>
      <w:proofErr w:type="gramStart"/>
      <w:r>
        <w:rPr>
          <w:i/>
        </w:rPr>
        <w:t>Treatment of p</w:t>
      </w:r>
      <w:r w:rsidR="00212CE9" w:rsidRPr="00A945EE">
        <w:rPr>
          <w:i/>
        </w:rPr>
        <w:t xml:space="preserve">atients with tuberous sclerosis complex (TSC) who have renal </w:t>
      </w:r>
      <w:proofErr w:type="spellStart"/>
      <w:r w:rsidR="00212CE9" w:rsidRPr="00A945EE">
        <w:rPr>
          <w:i/>
        </w:rPr>
        <w:t>angiomyolipoma</w:t>
      </w:r>
      <w:proofErr w:type="spellEnd"/>
      <w:r w:rsidR="00212CE9" w:rsidRPr="00A945EE">
        <w:rPr>
          <w:i/>
        </w:rPr>
        <w:t xml:space="preserve"> not requiring immediate surgery.</w:t>
      </w:r>
      <w:proofErr w:type="gramEnd"/>
    </w:p>
    <w:p w14:paraId="5D43115E" w14:textId="77777777" w:rsidR="00212CE9" w:rsidRPr="00A945EE" w:rsidRDefault="00A945EE" w:rsidP="00E56946">
      <w:pPr>
        <w:ind w:left="567"/>
        <w:rPr>
          <w:i/>
        </w:rPr>
      </w:pPr>
      <w:proofErr w:type="gramStart"/>
      <w:r>
        <w:rPr>
          <w:i/>
        </w:rPr>
        <w:t>Treatment of p</w:t>
      </w:r>
      <w:r w:rsidR="00212CE9" w:rsidRPr="00A945EE">
        <w:rPr>
          <w:i/>
        </w:rPr>
        <w:t xml:space="preserve">ostmenopausal women with hormone receptor-positive, HER2 negative advanced breast cancer in combination with </w:t>
      </w:r>
      <w:proofErr w:type="spellStart"/>
      <w:r w:rsidR="00212CE9" w:rsidRPr="00A945EE">
        <w:rPr>
          <w:i/>
        </w:rPr>
        <w:t>exemestane</w:t>
      </w:r>
      <w:proofErr w:type="spellEnd"/>
      <w:r w:rsidR="00212CE9" w:rsidRPr="00A945EE">
        <w:rPr>
          <w:i/>
        </w:rPr>
        <w:t xml:space="preserve"> after failure of treatment with letrozole or anastrozole.</w:t>
      </w:r>
      <w:proofErr w:type="gramEnd"/>
    </w:p>
    <w:p w14:paraId="70FE2A2C" w14:textId="77777777" w:rsidR="00212CE9" w:rsidRPr="00A945EE" w:rsidRDefault="00A945EE" w:rsidP="00E56946">
      <w:pPr>
        <w:ind w:left="567"/>
        <w:rPr>
          <w:i/>
        </w:rPr>
      </w:pPr>
      <w:r>
        <w:rPr>
          <w:i/>
        </w:rPr>
        <w:t>Treatment of p</w:t>
      </w:r>
      <w:r w:rsidR="00212CE9" w:rsidRPr="00A945EE">
        <w:rPr>
          <w:i/>
        </w:rPr>
        <w:t>rogressive, unresectable or metastatic, well or moderately differentiated neuroendocrine tumou</w:t>
      </w:r>
      <w:r w:rsidRPr="00A945EE">
        <w:rPr>
          <w:i/>
        </w:rPr>
        <w:t>rs (NETs) of pancreatic origin.</w:t>
      </w:r>
    </w:p>
    <w:p w14:paraId="61A4D0D2" w14:textId="79C8BF05" w:rsidR="00212CE9" w:rsidRPr="00A945EE" w:rsidRDefault="00A945EE" w:rsidP="00E56946">
      <w:pPr>
        <w:ind w:left="567"/>
        <w:rPr>
          <w:i/>
        </w:rPr>
      </w:pPr>
      <w:proofErr w:type="gramStart"/>
      <w:r>
        <w:rPr>
          <w:i/>
        </w:rPr>
        <w:lastRenderedPageBreak/>
        <w:t>Treatment of p</w:t>
      </w:r>
      <w:r w:rsidR="00212CE9" w:rsidRPr="00A945EE">
        <w:rPr>
          <w:i/>
        </w:rPr>
        <w:t>rogressiv</w:t>
      </w:r>
      <w:r w:rsidRPr="00A945EE">
        <w:rPr>
          <w:i/>
        </w:rPr>
        <w:t xml:space="preserve">e, unresectable or metastatic, </w:t>
      </w:r>
      <w:r w:rsidR="00212CE9" w:rsidRPr="00A945EE">
        <w:rPr>
          <w:i/>
        </w:rPr>
        <w:t>well-d</w:t>
      </w:r>
      <w:r w:rsidRPr="00A945EE">
        <w:rPr>
          <w:i/>
        </w:rPr>
        <w:t xml:space="preserve">ifferentiated, non- functional </w:t>
      </w:r>
      <w:r w:rsidR="00212CE9" w:rsidRPr="00A945EE">
        <w:rPr>
          <w:i/>
        </w:rPr>
        <w:t>n</w:t>
      </w:r>
      <w:r w:rsidRPr="00A945EE">
        <w:rPr>
          <w:i/>
        </w:rPr>
        <w:t xml:space="preserve">euroendocrine tumours (NET) of </w:t>
      </w:r>
      <w:r w:rsidR="00212CE9" w:rsidRPr="00A945EE">
        <w:rPr>
          <w:i/>
        </w:rPr>
        <w:t>gastrointes</w:t>
      </w:r>
      <w:r w:rsidR="00E56946">
        <w:rPr>
          <w:i/>
        </w:rPr>
        <w:t>tinal or lung origin in adults.</w:t>
      </w:r>
      <w:proofErr w:type="gramEnd"/>
    </w:p>
    <w:p w14:paraId="0AEBE56E" w14:textId="77777777" w:rsidR="00212CE9" w:rsidRPr="00A945EE" w:rsidRDefault="00A945EE" w:rsidP="00E56946">
      <w:pPr>
        <w:ind w:left="567"/>
        <w:rPr>
          <w:i/>
        </w:rPr>
      </w:pPr>
      <w:proofErr w:type="gramStart"/>
      <w:r>
        <w:rPr>
          <w:i/>
        </w:rPr>
        <w:t>Treatment of a</w:t>
      </w:r>
      <w:r w:rsidR="00212CE9" w:rsidRPr="00A945EE">
        <w:rPr>
          <w:i/>
        </w:rPr>
        <w:t>dvanced rena</w:t>
      </w:r>
      <w:r w:rsidRPr="00A945EE">
        <w:rPr>
          <w:i/>
        </w:rPr>
        <w:t xml:space="preserve">l cell carcinoma after failure </w:t>
      </w:r>
      <w:r w:rsidR="00212CE9" w:rsidRPr="00A945EE">
        <w:rPr>
          <w:i/>
        </w:rPr>
        <w:t>of treatme</w:t>
      </w:r>
      <w:r>
        <w:rPr>
          <w:i/>
        </w:rPr>
        <w:t xml:space="preserve">nt with </w:t>
      </w:r>
      <w:proofErr w:type="spellStart"/>
      <w:r>
        <w:rPr>
          <w:i/>
        </w:rPr>
        <w:t>sorafenib</w:t>
      </w:r>
      <w:proofErr w:type="spellEnd"/>
      <w:r>
        <w:rPr>
          <w:i/>
        </w:rPr>
        <w:t xml:space="preserve"> or </w:t>
      </w:r>
      <w:proofErr w:type="spellStart"/>
      <w:r>
        <w:rPr>
          <w:i/>
        </w:rPr>
        <w:t>sunitinib</w:t>
      </w:r>
      <w:proofErr w:type="spellEnd"/>
      <w:r>
        <w:rPr>
          <w:i/>
        </w:rPr>
        <w:t>.</w:t>
      </w:r>
      <w:proofErr w:type="gramEnd"/>
    </w:p>
    <w:p w14:paraId="16CD57F9" w14:textId="77777777" w:rsidR="00224DC7" w:rsidRPr="00224DC7" w:rsidRDefault="00A945EE" w:rsidP="00E56946">
      <w:r>
        <w:t>Afinitor</w:t>
      </w:r>
      <w:r w:rsidR="00224DC7" w:rsidRPr="00224DC7">
        <w:t xml:space="preserve"> was granted Orphan drug designation under the old guidelines for TSC on 26 July 2010 in Australia.</w:t>
      </w:r>
    </w:p>
    <w:p w14:paraId="5EB4A8F9" w14:textId="77777777" w:rsidR="007F57EC" w:rsidRDefault="00224DC7" w:rsidP="00E56946">
      <w:r w:rsidRPr="00A945EE">
        <w:t>For overseas regulatory status, similar applications for the TSC seizures indication had been submitte</w:t>
      </w:r>
      <w:r w:rsidR="00A945EE" w:rsidRPr="00A945EE">
        <w:t xml:space="preserve">d in </w:t>
      </w:r>
      <w:r w:rsidR="00C66C14">
        <w:t>European Union</w:t>
      </w:r>
      <w:r w:rsidR="00C66C14" w:rsidRPr="00A945EE">
        <w:t xml:space="preserve"> </w:t>
      </w:r>
      <w:r w:rsidR="00C66C14">
        <w:t>(</w:t>
      </w:r>
      <w:r w:rsidR="00A945EE" w:rsidRPr="00A945EE">
        <w:t>EU</w:t>
      </w:r>
      <w:r w:rsidR="00C66C14">
        <w:t>)</w:t>
      </w:r>
      <w:r w:rsidR="00A945EE" w:rsidRPr="00A945EE">
        <w:t xml:space="preserve"> (centralised procedure): submitted 30 May 2016 and approved 27 January 2017 for</w:t>
      </w:r>
      <w:r w:rsidR="007F57EC">
        <w:t>:</w:t>
      </w:r>
    </w:p>
    <w:p w14:paraId="53C3372A" w14:textId="77777777" w:rsidR="007F57EC" w:rsidRPr="007F57EC" w:rsidRDefault="00A945EE" w:rsidP="00E56946">
      <w:pPr>
        <w:ind w:left="567"/>
      </w:pPr>
      <w:r w:rsidRPr="00A945EE">
        <w:rPr>
          <w:i/>
        </w:rPr>
        <w:t xml:space="preserve">Adjunctive treatment of patients aged 2 years and older </w:t>
      </w:r>
      <w:proofErr w:type="gramStart"/>
      <w:r w:rsidRPr="00A945EE">
        <w:rPr>
          <w:i/>
        </w:rPr>
        <w:t>whose</w:t>
      </w:r>
      <w:proofErr w:type="gramEnd"/>
      <w:r w:rsidRPr="00A945EE">
        <w:rPr>
          <w:i/>
        </w:rPr>
        <w:t xml:space="preserve"> refractory </w:t>
      </w:r>
      <w:r w:rsidR="00411FA2">
        <w:rPr>
          <w:i/>
        </w:rPr>
        <w:t>partial onset</w:t>
      </w:r>
      <w:r w:rsidRPr="00A945EE">
        <w:rPr>
          <w:i/>
        </w:rPr>
        <w:t xml:space="preserve"> seizures, with or without secondary generalisation, are associated with tuberous sclerosis complex (TSC)</w:t>
      </w:r>
      <w:r w:rsidR="007F57EC">
        <w:t>.</w:t>
      </w:r>
    </w:p>
    <w:p w14:paraId="032836E1" w14:textId="77777777" w:rsidR="00224DC7" w:rsidRPr="00224DC7" w:rsidRDefault="007F57EC" w:rsidP="00E56946">
      <w:r>
        <w:t xml:space="preserve">Submissions were also under consideration in the </w:t>
      </w:r>
      <w:r w:rsidR="00C66C14">
        <w:t>United States of America (</w:t>
      </w:r>
      <w:r>
        <w:t>USA</w:t>
      </w:r>
      <w:r w:rsidR="00C66C14">
        <w:t>)</w:t>
      </w:r>
      <w:r>
        <w:t xml:space="preserve"> (submitted 10 March 2017),</w:t>
      </w:r>
      <w:r w:rsidR="00A945EE">
        <w:t xml:space="preserve"> Canada </w:t>
      </w:r>
      <w:r>
        <w:t xml:space="preserve">(submitted 1 December 2016) </w:t>
      </w:r>
      <w:r w:rsidR="00A945EE">
        <w:t>and Switzerland</w:t>
      </w:r>
      <w:r>
        <w:t xml:space="preserve"> (submitted 28 June 2016).</w:t>
      </w:r>
    </w:p>
    <w:p w14:paraId="38CE0971" w14:textId="77777777" w:rsidR="008E7846" w:rsidRDefault="008E7846" w:rsidP="00E56946">
      <w:pPr>
        <w:pStyle w:val="Heading3"/>
      </w:pPr>
      <w:bookmarkStart w:id="21" w:name="_Toc1555399"/>
      <w:r>
        <w:t xml:space="preserve">Product </w:t>
      </w:r>
      <w:r w:rsidRPr="00E56946">
        <w:t>Information</w:t>
      </w:r>
      <w:bookmarkEnd w:id="19"/>
      <w:bookmarkEnd w:id="20"/>
      <w:bookmarkEnd w:id="21"/>
    </w:p>
    <w:p w14:paraId="534CF444" w14:textId="180696F4"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F50ABF">
        <w:t>&lt;</w:t>
      </w:r>
      <w:hyperlink r:id="rId14" w:history="1">
        <w:r w:rsidR="00441C3F" w:rsidRPr="00441C3F">
          <w:rPr>
            <w:rStyle w:val="Hyperlink"/>
          </w:rPr>
          <w:t>https://www.tga.gov.au/product-information-pi</w:t>
        </w:r>
      </w:hyperlink>
      <w:r w:rsidR="00E56946">
        <w:t>&gt;</w:t>
      </w:r>
      <w:r w:rsidR="00940A89" w:rsidRPr="00940A89">
        <w:t>.</w:t>
      </w:r>
    </w:p>
    <w:p w14:paraId="4A43B8BB" w14:textId="77777777" w:rsidR="00500337" w:rsidRDefault="00500337" w:rsidP="0044301B">
      <w:pPr>
        <w:pStyle w:val="Heading2"/>
      </w:pPr>
      <w:bookmarkStart w:id="24" w:name="_Toc504480011"/>
      <w:bookmarkStart w:id="25" w:name="_Toc1555400"/>
      <w:r>
        <w:t xml:space="preserve">II. </w:t>
      </w:r>
      <w:r w:rsidRPr="0044301B">
        <w:t>Registration</w:t>
      </w:r>
      <w:r>
        <w:t xml:space="preserve"> time line</w:t>
      </w:r>
      <w:bookmarkEnd w:id="24"/>
      <w:bookmarkEnd w:id="25"/>
    </w:p>
    <w:p w14:paraId="2312CA95" w14:textId="77777777" w:rsidR="00500337" w:rsidRDefault="007F57EC" w:rsidP="0044301B">
      <w:r>
        <w:t>T</w:t>
      </w:r>
      <w:r w:rsidR="00500337">
        <w:t xml:space="preserve">able </w:t>
      </w:r>
      <w:r>
        <w:t xml:space="preserve">1 </w:t>
      </w:r>
      <w:r w:rsidR="00500337">
        <w:t>captures the key steps and dates for this application and which are detailed and discussed in this AusPAR and Attachment 2.</w:t>
      </w:r>
    </w:p>
    <w:p w14:paraId="22F27825" w14:textId="77777777" w:rsidR="00500337" w:rsidRPr="008F6857" w:rsidRDefault="007F57EC" w:rsidP="0044301B">
      <w:pPr>
        <w:pStyle w:val="Tabletitle0"/>
      </w:pPr>
      <w:r>
        <w:t xml:space="preserve">Table 1: Timeline </w:t>
      </w:r>
      <w:r w:rsidRPr="0044301B">
        <w:t>for</w:t>
      </w:r>
      <w:r>
        <w:t xml:space="preserve"> Submission PM-2016-03871-1-1</w:t>
      </w:r>
    </w:p>
    <w:tbl>
      <w:tblPr>
        <w:tblStyle w:val="TableTGAblue"/>
        <w:tblW w:w="0" w:type="auto"/>
        <w:tblLook w:val="04A0" w:firstRow="1" w:lastRow="0" w:firstColumn="1" w:lastColumn="0" w:noHBand="0" w:noVBand="1"/>
      </w:tblPr>
      <w:tblGrid>
        <w:gridCol w:w="4360"/>
        <w:gridCol w:w="4360"/>
      </w:tblGrid>
      <w:tr w:rsidR="00500337" w14:paraId="36002AF7"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4AF7D7E4" w14:textId="77777777" w:rsidR="00500337" w:rsidRDefault="00500337" w:rsidP="00500337">
            <w:pPr>
              <w:ind w:left="0" w:right="0"/>
            </w:pPr>
            <w:r>
              <w:t>Description</w:t>
            </w:r>
          </w:p>
        </w:tc>
        <w:tc>
          <w:tcPr>
            <w:tcW w:w="4360" w:type="dxa"/>
          </w:tcPr>
          <w:p w14:paraId="2122255D" w14:textId="77777777" w:rsidR="00500337" w:rsidRDefault="00500337" w:rsidP="00500337">
            <w:pPr>
              <w:ind w:left="0" w:right="0"/>
            </w:pPr>
            <w:r>
              <w:t>Date</w:t>
            </w:r>
          </w:p>
        </w:tc>
      </w:tr>
      <w:tr w:rsidR="00500337" w14:paraId="328DE659" w14:textId="77777777" w:rsidTr="00500337">
        <w:tc>
          <w:tcPr>
            <w:tcW w:w="4360" w:type="dxa"/>
          </w:tcPr>
          <w:p w14:paraId="3F7D18D4" w14:textId="77777777" w:rsidR="00500337" w:rsidRDefault="00500337" w:rsidP="00500337">
            <w:pPr>
              <w:ind w:left="0" w:right="0"/>
            </w:pPr>
            <w:r>
              <w:t>Submission dossier accepted and first round evaluation commenced</w:t>
            </w:r>
          </w:p>
        </w:tc>
        <w:tc>
          <w:tcPr>
            <w:tcW w:w="4360" w:type="dxa"/>
          </w:tcPr>
          <w:p w14:paraId="3D2E415A" w14:textId="77777777" w:rsidR="00500337" w:rsidRDefault="00B75163" w:rsidP="00500337">
            <w:pPr>
              <w:ind w:left="0" w:right="0"/>
            </w:pPr>
            <w:r>
              <w:t>31 January 2017</w:t>
            </w:r>
          </w:p>
        </w:tc>
      </w:tr>
      <w:tr w:rsidR="00500337" w14:paraId="1AA9E197" w14:textId="77777777" w:rsidTr="00500337">
        <w:tc>
          <w:tcPr>
            <w:tcW w:w="4360" w:type="dxa"/>
          </w:tcPr>
          <w:p w14:paraId="08CAB735" w14:textId="77777777" w:rsidR="00500337" w:rsidRDefault="00500337" w:rsidP="00500337">
            <w:pPr>
              <w:ind w:left="0" w:right="0"/>
            </w:pPr>
            <w:r>
              <w:t>First round evaluation completed</w:t>
            </w:r>
          </w:p>
        </w:tc>
        <w:tc>
          <w:tcPr>
            <w:tcW w:w="4360" w:type="dxa"/>
          </w:tcPr>
          <w:p w14:paraId="63E31BAF" w14:textId="77777777" w:rsidR="00500337" w:rsidRDefault="00B75163" w:rsidP="00500337">
            <w:pPr>
              <w:ind w:left="0" w:right="0"/>
            </w:pPr>
            <w:r>
              <w:t>30 June 2017</w:t>
            </w:r>
          </w:p>
        </w:tc>
      </w:tr>
      <w:tr w:rsidR="00500337" w14:paraId="05780572" w14:textId="77777777" w:rsidTr="00500337">
        <w:tc>
          <w:tcPr>
            <w:tcW w:w="4360" w:type="dxa"/>
          </w:tcPr>
          <w:p w14:paraId="02402F9B" w14:textId="77777777" w:rsidR="00500337" w:rsidRDefault="00500337" w:rsidP="00500337">
            <w:pPr>
              <w:ind w:left="0" w:right="0"/>
            </w:pPr>
            <w:r>
              <w:t>Sponsor provides responses on questions raised in first round evaluation</w:t>
            </w:r>
          </w:p>
        </w:tc>
        <w:tc>
          <w:tcPr>
            <w:tcW w:w="4360" w:type="dxa"/>
          </w:tcPr>
          <w:p w14:paraId="736F074D" w14:textId="77777777" w:rsidR="00500337" w:rsidRDefault="00B75163" w:rsidP="00500337">
            <w:pPr>
              <w:ind w:left="0" w:right="0"/>
            </w:pPr>
            <w:r>
              <w:t>31 August 2017</w:t>
            </w:r>
          </w:p>
        </w:tc>
      </w:tr>
      <w:tr w:rsidR="00500337" w14:paraId="5BFEFF55" w14:textId="77777777" w:rsidTr="00500337">
        <w:tc>
          <w:tcPr>
            <w:tcW w:w="4360" w:type="dxa"/>
          </w:tcPr>
          <w:p w14:paraId="6875A32E" w14:textId="77777777" w:rsidR="00500337" w:rsidRDefault="00500337" w:rsidP="00500337">
            <w:pPr>
              <w:ind w:left="0" w:right="0"/>
            </w:pPr>
            <w:r>
              <w:t>Second round evaluation completed</w:t>
            </w:r>
          </w:p>
        </w:tc>
        <w:tc>
          <w:tcPr>
            <w:tcW w:w="4360" w:type="dxa"/>
          </w:tcPr>
          <w:p w14:paraId="04020178" w14:textId="77777777" w:rsidR="00500337" w:rsidRDefault="00B75163" w:rsidP="00500337">
            <w:pPr>
              <w:ind w:left="0" w:right="0"/>
            </w:pPr>
            <w:r>
              <w:t>11 October 2017</w:t>
            </w:r>
          </w:p>
        </w:tc>
      </w:tr>
      <w:tr w:rsidR="00500337" w14:paraId="7DBF457A" w14:textId="77777777" w:rsidTr="00500337">
        <w:tc>
          <w:tcPr>
            <w:tcW w:w="4360" w:type="dxa"/>
          </w:tcPr>
          <w:p w14:paraId="60963632" w14:textId="77777777" w:rsidR="00500337" w:rsidRDefault="00F50ABF" w:rsidP="00500337">
            <w:pPr>
              <w:ind w:left="0" w:right="0"/>
            </w:pPr>
            <w:r>
              <w:t>Delegate</w:t>
            </w:r>
            <w:r w:rsidR="00500337">
              <w:t>’s Overall benefit-risk assessment and request for Advisory Committee advice</w:t>
            </w:r>
          </w:p>
        </w:tc>
        <w:tc>
          <w:tcPr>
            <w:tcW w:w="4360" w:type="dxa"/>
          </w:tcPr>
          <w:p w14:paraId="7DA9FF97" w14:textId="77777777" w:rsidR="00500337" w:rsidRDefault="00B75163" w:rsidP="00500337">
            <w:pPr>
              <w:ind w:left="0" w:right="0"/>
            </w:pPr>
            <w:r>
              <w:t>31 October 2017</w:t>
            </w:r>
          </w:p>
        </w:tc>
      </w:tr>
      <w:tr w:rsidR="00500337" w14:paraId="1FABEF66" w14:textId="77777777" w:rsidTr="00500337">
        <w:tc>
          <w:tcPr>
            <w:tcW w:w="4360" w:type="dxa"/>
          </w:tcPr>
          <w:p w14:paraId="2DD962D1" w14:textId="77777777" w:rsidR="00500337" w:rsidRDefault="00500337" w:rsidP="00500337">
            <w:pPr>
              <w:ind w:left="0" w:right="0"/>
            </w:pPr>
            <w:r>
              <w:t>Sponsor’s pre-Advisory Committee response</w:t>
            </w:r>
          </w:p>
        </w:tc>
        <w:tc>
          <w:tcPr>
            <w:tcW w:w="4360" w:type="dxa"/>
          </w:tcPr>
          <w:p w14:paraId="07B0AB65" w14:textId="77777777" w:rsidR="00500337" w:rsidRDefault="00B75163" w:rsidP="00500337">
            <w:pPr>
              <w:ind w:left="0" w:right="0"/>
            </w:pPr>
            <w:r>
              <w:t>13 November 2017</w:t>
            </w:r>
          </w:p>
        </w:tc>
      </w:tr>
      <w:tr w:rsidR="00500337" w14:paraId="648F7DD3" w14:textId="77777777" w:rsidTr="00500337">
        <w:tc>
          <w:tcPr>
            <w:tcW w:w="4360" w:type="dxa"/>
          </w:tcPr>
          <w:p w14:paraId="220BEE41" w14:textId="77777777" w:rsidR="00500337" w:rsidRDefault="00500337" w:rsidP="00500337">
            <w:pPr>
              <w:ind w:left="0" w:right="0"/>
            </w:pPr>
            <w:r>
              <w:t>Advisory Committee meeting</w:t>
            </w:r>
          </w:p>
        </w:tc>
        <w:tc>
          <w:tcPr>
            <w:tcW w:w="4360" w:type="dxa"/>
          </w:tcPr>
          <w:p w14:paraId="3EBFF10E" w14:textId="77777777" w:rsidR="00500337" w:rsidRDefault="00C66C14" w:rsidP="00500337">
            <w:pPr>
              <w:ind w:left="0" w:right="0"/>
            </w:pPr>
            <w:r>
              <w:t>30 November to 1</w:t>
            </w:r>
            <w:r w:rsidR="00B75163">
              <w:t xml:space="preserve"> December 2017</w:t>
            </w:r>
          </w:p>
        </w:tc>
      </w:tr>
      <w:tr w:rsidR="00500337" w14:paraId="18EA1DA1" w14:textId="77777777" w:rsidTr="00500337">
        <w:tc>
          <w:tcPr>
            <w:tcW w:w="4360" w:type="dxa"/>
          </w:tcPr>
          <w:p w14:paraId="6FDAFC63" w14:textId="77777777" w:rsidR="00500337" w:rsidRDefault="00500337" w:rsidP="00500337">
            <w:pPr>
              <w:ind w:left="0" w:right="0"/>
            </w:pPr>
            <w:r>
              <w:t>Registration decision (Outcome)</w:t>
            </w:r>
          </w:p>
        </w:tc>
        <w:tc>
          <w:tcPr>
            <w:tcW w:w="4360" w:type="dxa"/>
          </w:tcPr>
          <w:p w14:paraId="3F116205" w14:textId="77777777" w:rsidR="00500337" w:rsidRDefault="00B75163" w:rsidP="00500337">
            <w:pPr>
              <w:ind w:left="0" w:right="0"/>
            </w:pPr>
            <w:r>
              <w:t>22 December 2017</w:t>
            </w:r>
          </w:p>
        </w:tc>
      </w:tr>
      <w:tr w:rsidR="00500337" w14:paraId="74EF6244" w14:textId="77777777" w:rsidTr="00500337">
        <w:tc>
          <w:tcPr>
            <w:tcW w:w="4360" w:type="dxa"/>
          </w:tcPr>
          <w:p w14:paraId="687F6BB9" w14:textId="77777777" w:rsidR="00500337" w:rsidRDefault="00500337" w:rsidP="00500337">
            <w:pPr>
              <w:ind w:left="0" w:right="0"/>
            </w:pPr>
            <w:r>
              <w:lastRenderedPageBreak/>
              <w:t>Completion of administrative activities and registration on ARTG</w:t>
            </w:r>
          </w:p>
        </w:tc>
        <w:tc>
          <w:tcPr>
            <w:tcW w:w="4360" w:type="dxa"/>
          </w:tcPr>
          <w:p w14:paraId="7B5487EC" w14:textId="77777777" w:rsidR="00500337" w:rsidRDefault="00B75163" w:rsidP="00500337">
            <w:pPr>
              <w:ind w:left="0" w:right="0"/>
            </w:pPr>
            <w:r>
              <w:t>3 January 2018</w:t>
            </w:r>
          </w:p>
        </w:tc>
      </w:tr>
      <w:tr w:rsidR="00500337" w14:paraId="1DAD99E5" w14:textId="77777777" w:rsidTr="00500337">
        <w:tc>
          <w:tcPr>
            <w:tcW w:w="4360" w:type="dxa"/>
          </w:tcPr>
          <w:p w14:paraId="1E99BC86" w14:textId="77777777" w:rsidR="00500337" w:rsidRDefault="00500337" w:rsidP="00500337">
            <w:pPr>
              <w:ind w:left="0" w:right="0"/>
            </w:pPr>
            <w:r>
              <w:t>Number of working days from submission dossier acceptance to registration decision*</w:t>
            </w:r>
          </w:p>
        </w:tc>
        <w:tc>
          <w:tcPr>
            <w:tcW w:w="4360" w:type="dxa"/>
          </w:tcPr>
          <w:p w14:paraId="0AE210DD" w14:textId="77777777" w:rsidR="00500337" w:rsidRDefault="00B75163" w:rsidP="00500337">
            <w:pPr>
              <w:ind w:left="0" w:right="0"/>
            </w:pPr>
            <w:r>
              <w:t>182</w:t>
            </w:r>
          </w:p>
        </w:tc>
      </w:tr>
    </w:tbl>
    <w:p w14:paraId="27F5B518" w14:textId="77777777" w:rsidR="00500337" w:rsidRDefault="00500337" w:rsidP="0044301B">
      <w:pPr>
        <w:pStyle w:val="TableDescription"/>
      </w:pPr>
      <w:r>
        <w:t>*</w:t>
      </w:r>
      <w:r w:rsidR="00B75163">
        <w:t>Statutory timeframe is 255</w:t>
      </w:r>
      <w:r>
        <w:t xml:space="preserve"> </w:t>
      </w:r>
      <w:r w:rsidRPr="0044301B">
        <w:t>working</w:t>
      </w:r>
      <w:r>
        <w:t xml:space="preserve"> days</w:t>
      </w:r>
    </w:p>
    <w:p w14:paraId="18311776" w14:textId="77777777" w:rsidR="008E7846" w:rsidRPr="003602A9" w:rsidRDefault="00500337" w:rsidP="0044301B">
      <w:pPr>
        <w:pStyle w:val="Heading2"/>
      </w:pPr>
      <w:bookmarkStart w:id="26" w:name="_Toc1555401"/>
      <w:r>
        <w:t>I</w:t>
      </w:r>
      <w:r w:rsidR="008E7846">
        <w:t>II. Quality</w:t>
      </w:r>
      <w:bookmarkEnd w:id="1"/>
      <w:r w:rsidR="008E7846">
        <w:t xml:space="preserve"> </w:t>
      </w:r>
      <w:r w:rsidR="008E7846" w:rsidRPr="0044301B">
        <w:t>findings</w:t>
      </w:r>
      <w:bookmarkEnd w:id="22"/>
      <w:bookmarkEnd w:id="23"/>
      <w:bookmarkEnd w:id="26"/>
    </w:p>
    <w:p w14:paraId="2E5DD71F" w14:textId="77777777" w:rsidR="008E7846" w:rsidRDefault="00940A89" w:rsidP="0044301B">
      <w:bookmarkStart w:id="27" w:name="_Toc247691507"/>
      <w:bookmarkStart w:id="28" w:name="_Toc314842488"/>
      <w:r w:rsidRPr="00940A89">
        <w:t>There was no requirement for a quality evaluation in a submission of this type.</w:t>
      </w:r>
      <w:bookmarkEnd w:id="27"/>
      <w:bookmarkEnd w:id="28"/>
    </w:p>
    <w:p w14:paraId="61127E27" w14:textId="77777777" w:rsidR="008E7846" w:rsidRDefault="008E7846" w:rsidP="0044301B">
      <w:pPr>
        <w:pStyle w:val="Heading2"/>
      </w:pPr>
      <w:bookmarkStart w:id="29" w:name="_Toc196046439"/>
      <w:bookmarkStart w:id="30" w:name="_Toc247691510"/>
      <w:bookmarkStart w:id="31" w:name="_Toc314842494"/>
      <w:bookmarkStart w:id="32" w:name="_Toc1555402"/>
      <w:r>
        <w:t>I</w:t>
      </w:r>
      <w:r w:rsidR="00500337">
        <w:t>V</w:t>
      </w:r>
      <w:r>
        <w:t xml:space="preserve">. </w:t>
      </w:r>
      <w:r w:rsidRPr="0044301B">
        <w:t>Nonclinical</w:t>
      </w:r>
      <w:bookmarkEnd w:id="29"/>
      <w:r>
        <w:t xml:space="preserve"> findings</w:t>
      </w:r>
      <w:bookmarkEnd w:id="30"/>
      <w:bookmarkEnd w:id="31"/>
      <w:bookmarkEnd w:id="32"/>
    </w:p>
    <w:p w14:paraId="1D7E795C" w14:textId="77777777" w:rsidR="008E7846" w:rsidRDefault="008E7846" w:rsidP="0044301B">
      <w:pPr>
        <w:pStyle w:val="Heading3"/>
      </w:pPr>
      <w:bookmarkStart w:id="33" w:name="_Toc247691511"/>
      <w:bookmarkStart w:id="34" w:name="_Toc314842495"/>
      <w:bookmarkStart w:id="35" w:name="_Toc1555403"/>
      <w:r w:rsidRPr="0044301B">
        <w:t>Introduction</w:t>
      </w:r>
      <w:bookmarkEnd w:id="33"/>
      <w:bookmarkEnd w:id="34"/>
      <w:bookmarkEnd w:id="35"/>
    </w:p>
    <w:p w14:paraId="18027413" w14:textId="77777777" w:rsidR="00F061FA" w:rsidRPr="00F061FA" w:rsidRDefault="00F061FA" w:rsidP="0044301B">
      <w:pPr>
        <w:pStyle w:val="Heading4"/>
      </w:pPr>
      <w:r w:rsidRPr="00F061FA">
        <w:t>Rationale and mechanism of action</w:t>
      </w:r>
    </w:p>
    <w:p w14:paraId="312BB27A" w14:textId="77777777" w:rsidR="00F061FA" w:rsidRDefault="00F061FA" w:rsidP="0044301B">
      <w:r w:rsidRPr="00F061FA">
        <w:t xml:space="preserve">The following is from the </w:t>
      </w:r>
      <w:r w:rsidR="0089632C" w:rsidRPr="00F061FA">
        <w:t>sponsor’s summary</w:t>
      </w:r>
      <w:r>
        <w:t>:</w:t>
      </w:r>
    </w:p>
    <w:p w14:paraId="746AC749" w14:textId="774CB469" w:rsidR="00F061FA" w:rsidRPr="00F061FA" w:rsidRDefault="00F50ABF" w:rsidP="0044301B">
      <w:pPr>
        <w:ind w:left="567"/>
      </w:pPr>
      <w:r>
        <w:t>‘</w:t>
      </w:r>
      <w:r w:rsidR="00F061FA" w:rsidRPr="00F061FA">
        <w:t xml:space="preserve">The specific cellular mechanisms by which </w:t>
      </w:r>
      <w:proofErr w:type="spellStart"/>
      <w:r w:rsidR="00F061FA" w:rsidRPr="00F061FA">
        <w:t>mTOR</w:t>
      </w:r>
      <w:proofErr w:type="spellEnd"/>
      <w:r w:rsidR="00F061FA" w:rsidRPr="00F061FA">
        <w:t xml:space="preserve"> </w:t>
      </w:r>
      <w:proofErr w:type="spellStart"/>
      <w:r w:rsidR="00F061FA" w:rsidRPr="00F061FA">
        <w:t>hyperactivation</w:t>
      </w:r>
      <w:proofErr w:type="spellEnd"/>
      <w:r w:rsidR="00F061FA" w:rsidRPr="00F061FA">
        <w:t xml:space="preserve"> elicits </w:t>
      </w:r>
      <w:proofErr w:type="spellStart"/>
      <w:r w:rsidR="00F061FA" w:rsidRPr="00F061FA">
        <w:t>epileptogenesis</w:t>
      </w:r>
      <w:proofErr w:type="spellEnd"/>
      <w:r w:rsidR="00F061FA" w:rsidRPr="00F061FA">
        <w:t xml:space="preserve"> are less certain. Components of the </w:t>
      </w:r>
      <w:proofErr w:type="spellStart"/>
      <w:r w:rsidR="00F061FA" w:rsidRPr="00F061FA">
        <w:t>mTOR</w:t>
      </w:r>
      <w:proofErr w:type="spellEnd"/>
      <w:r w:rsidR="00F061FA" w:rsidRPr="00F061FA">
        <w:t xml:space="preserve"> </w:t>
      </w:r>
      <w:r w:rsidR="00C66C14" w:rsidRPr="00F061FA">
        <w:t>signalling</w:t>
      </w:r>
      <w:r w:rsidR="00F061FA" w:rsidRPr="00F061FA">
        <w:t xml:space="preserve"> pathway are widely expressed in the nervous system and TSC proteins are also highly abundant in the adu</w:t>
      </w:r>
      <w:r w:rsidR="0044301B">
        <w:t xml:space="preserve">lt central nervous system. </w:t>
      </w:r>
      <w:proofErr w:type="spellStart"/>
      <w:proofErr w:type="gramStart"/>
      <w:r w:rsidR="0044301B">
        <w:t>mTOR</w:t>
      </w:r>
      <w:proofErr w:type="spellEnd"/>
      <w:proofErr w:type="gramEnd"/>
      <w:r w:rsidR="0044301B">
        <w:t xml:space="preserve"> </w:t>
      </w:r>
      <w:r w:rsidR="00C66C14" w:rsidRPr="00F061FA">
        <w:t>signalling</w:t>
      </w:r>
      <w:r w:rsidR="00F061FA" w:rsidRPr="00F061FA">
        <w:t xml:space="preserve"> is involved in regulating cell proliferation, autophagy, metabolism, synaptogenesis and growth of dendrites and axons, hence is important during brain development and in maintaining mature brain functions. Progress has been made in identifying potential mechanisms of </w:t>
      </w:r>
      <w:proofErr w:type="spellStart"/>
      <w:r w:rsidR="00F061FA" w:rsidRPr="00F061FA">
        <w:t>epileptogenesis</w:t>
      </w:r>
      <w:proofErr w:type="spellEnd"/>
      <w:r w:rsidR="00F061FA" w:rsidRPr="00F061FA">
        <w:t xml:space="preserve">, namely the pathophysiologic changes that occur in nervous system tissue that predispose to spontaneous seizures. A general concept to explain </w:t>
      </w:r>
      <w:proofErr w:type="spellStart"/>
      <w:r w:rsidR="00F061FA" w:rsidRPr="00F061FA">
        <w:t>epileptogenesis</w:t>
      </w:r>
      <w:proofErr w:type="spellEnd"/>
      <w:r w:rsidR="00F061FA" w:rsidRPr="00F061FA">
        <w:t xml:space="preserve"> is that epilepsy results from an imbalance between excitatory and inhibitory forces in the brain. A defect in the involved mechanisms secondary to cellular changes induced by </w:t>
      </w:r>
      <w:proofErr w:type="spellStart"/>
      <w:r w:rsidR="00F061FA" w:rsidRPr="00F061FA">
        <w:t>mTOR</w:t>
      </w:r>
      <w:proofErr w:type="spellEnd"/>
      <w:r w:rsidR="00F061FA" w:rsidRPr="00F061FA">
        <w:t xml:space="preserve"> </w:t>
      </w:r>
      <w:proofErr w:type="spellStart"/>
      <w:r w:rsidR="00F061FA" w:rsidRPr="00F061FA">
        <w:t>hyperactivation</w:t>
      </w:r>
      <w:proofErr w:type="spellEnd"/>
      <w:r w:rsidR="00F061FA" w:rsidRPr="00F061FA">
        <w:t xml:space="preserve"> could disrupt this physiologic balance and lead to </w:t>
      </w:r>
      <w:proofErr w:type="spellStart"/>
      <w:r w:rsidR="00F061FA" w:rsidRPr="00F061FA">
        <w:t>epileptogenesis</w:t>
      </w:r>
      <w:proofErr w:type="spellEnd"/>
      <w:r w:rsidR="00F061FA" w:rsidRPr="00F061FA">
        <w:t xml:space="preserve"> and seizure generation. The TSC1 and TSC2 genes regulate the activity of the </w:t>
      </w:r>
      <w:proofErr w:type="spellStart"/>
      <w:r w:rsidR="00F061FA" w:rsidRPr="00F061FA">
        <w:t>mTOR</w:t>
      </w:r>
      <w:proofErr w:type="spellEnd"/>
      <w:r w:rsidR="00F061FA" w:rsidRPr="00F061FA">
        <w:t xml:space="preserve"> pathway. Tuberous sclerosis is caused by mutations in either the TSC1 or TSC2 genes with consequent </w:t>
      </w:r>
      <w:proofErr w:type="spellStart"/>
      <w:r w:rsidR="00F061FA" w:rsidRPr="00F061FA">
        <w:t>mTOR</w:t>
      </w:r>
      <w:proofErr w:type="spellEnd"/>
      <w:r w:rsidR="00F061FA" w:rsidRPr="00F061FA">
        <w:t xml:space="preserve"> </w:t>
      </w:r>
      <w:proofErr w:type="spellStart"/>
      <w:r w:rsidR="00F061FA" w:rsidRPr="00F061FA">
        <w:t>hyperactivation</w:t>
      </w:r>
      <w:proofErr w:type="spellEnd"/>
      <w:r w:rsidR="00F061FA" w:rsidRPr="00F061FA">
        <w:t>.</w:t>
      </w:r>
      <w:r>
        <w:t>’</w:t>
      </w:r>
    </w:p>
    <w:p w14:paraId="3F6C3AF9" w14:textId="77777777" w:rsidR="00F061FA" w:rsidRPr="0044301B" w:rsidRDefault="00F061FA" w:rsidP="00F061FA">
      <w:pPr>
        <w:pStyle w:val="FigureTitle"/>
      </w:pPr>
      <w:r w:rsidRPr="00F061FA">
        <w:lastRenderedPageBreak/>
        <w:t xml:space="preserve">Figure </w:t>
      </w:r>
      <w:r>
        <w:t>1</w:t>
      </w:r>
      <w:r w:rsidRPr="0044301B">
        <w:t>:</w:t>
      </w:r>
      <w:r w:rsidR="00F50ABF" w:rsidRPr="0044301B">
        <w:t xml:space="preserve"> </w:t>
      </w:r>
      <w:r w:rsidRPr="0044301B">
        <w:t xml:space="preserve">Diagram of the </w:t>
      </w:r>
      <w:proofErr w:type="spellStart"/>
      <w:r w:rsidRPr="0044301B">
        <w:t>mTOR</w:t>
      </w:r>
      <w:proofErr w:type="spellEnd"/>
      <w:r w:rsidRPr="0044301B">
        <w:t xml:space="preserve"> pathway (RAD001 = </w:t>
      </w:r>
      <w:proofErr w:type="spellStart"/>
      <w:r w:rsidRPr="0044301B">
        <w:t>everolimus</w:t>
      </w:r>
      <w:proofErr w:type="spellEnd"/>
      <w:r w:rsidRPr="0044301B">
        <w:t>)</w:t>
      </w:r>
    </w:p>
    <w:p w14:paraId="361F3B3F" w14:textId="77777777" w:rsidR="00F061FA" w:rsidRPr="004334C7" w:rsidRDefault="00F061FA" w:rsidP="004334C7">
      <w:r>
        <w:rPr>
          <w:noProof/>
          <w:lang w:eastAsia="en-AU"/>
        </w:rPr>
        <w:drawing>
          <wp:inline distT="0" distB="0" distL="0" distR="0" wp14:anchorId="4D534B6B" wp14:editId="0F81247C">
            <wp:extent cx="5400040" cy="3698681"/>
            <wp:effectExtent l="0" t="0" r="0" b="0"/>
            <wp:docPr id="2" name="Picture 2" descr="Figure 1: Diagram of the mTOR pathway (RAD001 = everoli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3698681"/>
                    </a:xfrm>
                    <a:prstGeom prst="rect">
                      <a:avLst/>
                    </a:prstGeom>
                  </pic:spPr>
                </pic:pic>
              </a:graphicData>
            </a:graphic>
          </wp:inline>
        </w:drawing>
      </w:r>
    </w:p>
    <w:p w14:paraId="6730C317" w14:textId="77777777" w:rsidR="00F061FA" w:rsidRPr="00F061FA" w:rsidRDefault="00F061FA" w:rsidP="0044301B">
      <w:bookmarkStart w:id="36" w:name="_Toc247691512"/>
      <w:bookmarkStart w:id="37" w:name="_Toc314842496"/>
      <w:r w:rsidRPr="00F061FA">
        <w:t xml:space="preserve">There are no new animal data and no designated </w:t>
      </w:r>
      <w:r w:rsidR="00BD2550">
        <w:t>nonclinical</w:t>
      </w:r>
      <w:r w:rsidRPr="00F061FA">
        <w:t xml:space="preserve"> com</w:t>
      </w:r>
      <w:r w:rsidR="00BD2550">
        <w:t xml:space="preserve">ponent for this submission. The </w:t>
      </w:r>
      <w:r w:rsidRPr="00F061FA">
        <w:t>sponsor has submitted 115 literature publications (cited in t</w:t>
      </w:r>
      <w:r w:rsidR="00BD2550">
        <w:t xml:space="preserve">he Nonclinical Overview and the Pharmacology Written Summary) supporting the newly </w:t>
      </w:r>
      <w:r w:rsidRPr="00F061FA">
        <w:t>proposed preclinical statements.</w:t>
      </w:r>
      <w:r w:rsidR="00F50ABF">
        <w:t xml:space="preserve"> </w:t>
      </w:r>
      <w:r w:rsidRPr="00F061FA">
        <w:t>Of</w:t>
      </w:r>
      <w:r w:rsidR="00BD2550">
        <w:t xml:space="preserve"> </w:t>
      </w:r>
      <w:r w:rsidRPr="00F061FA">
        <w:t>these, those considered to be of particular relevance to this application have been briefly assessed and reported below.</w:t>
      </w:r>
    </w:p>
    <w:p w14:paraId="54B93613" w14:textId="77777777" w:rsidR="008E7846" w:rsidRDefault="008E7846" w:rsidP="0044301B">
      <w:pPr>
        <w:pStyle w:val="Heading3"/>
      </w:pPr>
      <w:bookmarkStart w:id="38" w:name="_Toc1555404"/>
      <w:r w:rsidRPr="0044301B">
        <w:t>Pharmacology</w:t>
      </w:r>
      <w:bookmarkEnd w:id="36"/>
      <w:bookmarkEnd w:id="37"/>
      <w:bookmarkEnd w:id="38"/>
    </w:p>
    <w:p w14:paraId="605C663E" w14:textId="77777777" w:rsidR="00F061FA" w:rsidRPr="00F061FA" w:rsidRDefault="00F061FA" w:rsidP="0044301B">
      <w:pPr>
        <w:pStyle w:val="Heading4"/>
      </w:pPr>
      <w:proofErr w:type="spellStart"/>
      <w:r w:rsidRPr="00F061FA">
        <w:t>Everolimus</w:t>
      </w:r>
      <w:proofErr w:type="spellEnd"/>
      <w:r w:rsidRPr="00F061FA">
        <w:t xml:space="preserve"> (RAD001) and </w:t>
      </w:r>
      <w:proofErr w:type="spellStart"/>
      <w:r w:rsidRPr="00F061FA">
        <w:t>mTOR</w:t>
      </w:r>
      <w:proofErr w:type="spellEnd"/>
      <w:r w:rsidRPr="00F061FA">
        <w:t xml:space="preserve"> </w:t>
      </w:r>
      <w:r w:rsidRPr="0044301B">
        <w:t>inhibitors</w:t>
      </w:r>
      <w:r w:rsidRPr="00F061FA">
        <w:t xml:space="preserve"> i</w:t>
      </w:r>
      <w:r w:rsidR="0089632C">
        <w:t>n TSC seizure and other seizure</w:t>
      </w:r>
      <w:r w:rsidRPr="00F061FA">
        <w:t xml:space="preserve"> models</w:t>
      </w:r>
    </w:p>
    <w:p w14:paraId="53CB5594" w14:textId="77777777" w:rsidR="00F50ABF" w:rsidRDefault="00F061FA" w:rsidP="0044301B">
      <w:r w:rsidRPr="00F061FA">
        <w:t>Tuberous sclerosis patients have heterozygous mutations in either the tuberous sclerosis co</w:t>
      </w:r>
      <w:r w:rsidR="00BD2550">
        <w:t xml:space="preserve">mplex 1 (TSC1) or TSC2 gene and </w:t>
      </w:r>
      <w:r w:rsidRPr="00F061FA">
        <w:t>seizure activity arises from focal epileptogenic lesions in or near</w:t>
      </w:r>
      <w:r w:rsidR="00BD2550">
        <w:t xml:space="preserve"> cortical tubers with </w:t>
      </w:r>
      <w:proofErr w:type="spellStart"/>
      <w:r w:rsidR="00BD2550">
        <w:t>biallelic</w:t>
      </w:r>
      <w:proofErr w:type="spellEnd"/>
      <w:r w:rsidR="00BD2550">
        <w:t xml:space="preserve"> deletion of TSC1 </w:t>
      </w:r>
      <w:r w:rsidRPr="00F061FA">
        <w:t>or TSC2</w:t>
      </w:r>
      <w:r w:rsidR="00BD2550">
        <w:t>.</w:t>
      </w:r>
      <w:r w:rsidRPr="00BD2550">
        <w:rPr>
          <w:vertAlign w:val="superscript"/>
        </w:rPr>
        <w:footnoteReference w:id="1"/>
      </w:r>
    </w:p>
    <w:p w14:paraId="3A9EEEAD" w14:textId="6B4E3CF2" w:rsidR="00F50ABF" w:rsidRDefault="00F061FA" w:rsidP="0044301B">
      <w:r w:rsidRPr="00F061FA">
        <w:t xml:space="preserve">The studies below include animal </w:t>
      </w:r>
      <w:r w:rsidR="00BD2550">
        <w:t xml:space="preserve">models with similar genetic and </w:t>
      </w:r>
      <w:r w:rsidRPr="00F061FA">
        <w:t xml:space="preserve">molecular features of TSC (including seizures) using mice with mostly conditional homozygous deletion of </w:t>
      </w:r>
      <w:r w:rsidR="00BD2550" w:rsidRPr="00F061FA">
        <w:t>TSC1</w:t>
      </w:r>
      <w:r w:rsidRPr="00F061FA">
        <w:t xml:space="preserve"> or </w:t>
      </w:r>
      <w:r w:rsidR="00BD2550" w:rsidRPr="00F061FA">
        <w:t>TSC2</w:t>
      </w:r>
      <w:r w:rsidR="00BD2550">
        <w:t xml:space="preserve"> genes using the </w:t>
      </w:r>
      <w:r w:rsidR="00B5201B">
        <w:t xml:space="preserve">cyclisation </w:t>
      </w:r>
      <w:r w:rsidR="00BD2550">
        <w:t xml:space="preserve">recombination </w:t>
      </w:r>
      <w:r w:rsidRPr="00F061FA">
        <w:t>locus of X-over P1 (</w:t>
      </w:r>
      <w:proofErr w:type="spellStart"/>
      <w:r w:rsidRPr="00F061FA">
        <w:t>Cre</w:t>
      </w:r>
      <w:proofErr w:type="spellEnd"/>
      <w:r w:rsidRPr="00F061FA">
        <w:t>–</w:t>
      </w:r>
      <w:proofErr w:type="spellStart"/>
      <w:r w:rsidRPr="00F061FA">
        <w:t>LoxP</w:t>
      </w:r>
      <w:proofErr w:type="spellEnd"/>
      <w:r w:rsidRPr="00F061FA">
        <w:t>) system</w:t>
      </w:r>
      <w:r w:rsidR="00F50ABF">
        <w:t>.</w:t>
      </w:r>
    </w:p>
    <w:p w14:paraId="7E372980" w14:textId="6DE0104E" w:rsidR="00F061FA" w:rsidRPr="00F061FA" w:rsidRDefault="00F061FA" w:rsidP="0044301B">
      <w:r w:rsidRPr="00F061FA">
        <w:t xml:space="preserve">The </w:t>
      </w:r>
      <w:proofErr w:type="spellStart"/>
      <w:r w:rsidRPr="00F061FA">
        <w:t>mTOR</w:t>
      </w:r>
      <w:proofErr w:type="spellEnd"/>
      <w:r w:rsidRPr="00F061FA">
        <w:t xml:space="preserve"> inhibitors rapamycin and </w:t>
      </w:r>
      <w:proofErr w:type="spellStart"/>
      <w:r w:rsidRPr="00F061FA">
        <w:t>everlolimus</w:t>
      </w:r>
      <w:proofErr w:type="spellEnd"/>
      <w:r w:rsidRPr="00F061FA">
        <w:t xml:space="preserve"> (laboratory code: RAD001) demonstrated anti</w:t>
      </w:r>
      <w:r w:rsidR="00B5201B">
        <w:t>-</w:t>
      </w:r>
      <w:r w:rsidRPr="00F061FA">
        <w:t>seizure effects in these mouse models of TSC.</w:t>
      </w:r>
    </w:p>
    <w:p w14:paraId="25401EB8" w14:textId="77777777" w:rsidR="00F061FA" w:rsidRPr="00670801" w:rsidRDefault="00F061FA" w:rsidP="0044301B">
      <w:pPr>
        <w:pStyle w:val="Heading5"/>
        <w:rPr>
          <w:snapToGrid w:val="0"/>
          <w:lang w:val="it-IT"/>
        </w:rPr>
      </w:pPr>
      <w:r w:rsidRPr="00670801">
        <w:rPr>
          <w:snapToGrid w:val="0"/>
          <w:lang w:val="it-IT"/>
        </w:rPr>
        <w:lastRenderedPageBreak/>
        <w:t>In vitro and in vivo studies</w:t>
      </w:r>
    </w:p>
    <w:p w14:paraId="27E73F34" w14:textId="77777777" w:rsidR="006D4B5A" w:rsidRPr="006D4B5A" w:rsidRDefault="000128D8" w:rsidP="0044301B">
      <w:pPr>
        <w:pStyle w:val="TableTitle"/>
      </w:pPr>
      <w:r>
        <w:t>Table 2</w:t>
      </w:r>
      <w:r w:rsidR="006D4B5A">
        <w:t xml:space="preserve">: </w:t>
      </w:r>
      <w:r w:rsidR="006D4B5A" w:rsidRPr="00BD2550">
        <w:rPr>
          <w:i/>
        </w:rPr>
        <w:t>In vitro</w:t>
      </w:r>
      <w:r w:rsidR="006D4B5A">
        <w:t xml:space="preserve"> </w:t>
      </w:r>
      <w:r w:rsidR="006D4B5A" w:rsidRPr="0044301B">
        <w:t>studies</w:t>
      </w:r>
    </w:p>
    <w:tbl>
      <w:tblPr>
        <w:tblStyle w:val="TableTGAblue"/>
        <w:tblW w:w="0" w:type="auto"/>
        <w:tblLayout w:type="fixed"/>
        <w:tblLook w:val="0020" w:firstRow="1" w:lastRow="0" w:firstColumn="0" w:lastColumn="0" w:noHBand="0" w:noVBand="0"/>
      </w:tblPr>
      <w:tblGrid>
        <w:gridCol w:w="2518"/>
        <w:gridCol w:w="6946"/>
      </w:tblGrid>
      <w:tr w:rsidR="006D4B5A" w:rsidRPr="00377BBF" w14:paraId="0E8D1FB5" w14:textId="77777777" w:rsidTr="006D4B5A">
        <w:trPr>
          <w:cnfStyle w:val="100000000000" w:firstRow="1" w:lastRow="0" w:firstColumn="0" w:lastColumn="0" w:oddVBand="0" w:evenVBand="0" w:oddHBand="0" w:evenHBand="0" w:firstRowFirstColumn="0" w:firstRowLastColumn="0" w:lastRowFirstColumn="0" w:lastRowLastColumn="0"/>
        </w:trPr>
        <w:tc>
          <w:tcPr>
            <w:tcW w:w="9464" w:type="dxa"/>
            <w:gridSpan w:val="2"/>
          </w:tcPr>
          <w:p w14:paraId="6D7076DE" w14:textId="77777777" w:rsidR="006D4B5A" w:rsidRPr="0044301B" w:rsidRDefault="006D4B5A" w:rsidP="0044301B">
            <w:pPr>
              <w:rPr>
                <w:b w:val="0"/>
                <w:snapToGrid w:val="0"/>
                <w:color w:val="004C4A" w:themeColor="accent4" w:themeShade="BF"/>
                <w:sz w:val="20"/>
                <w:szCs w:val="20"/>
                <w:lang w:val="en-US" w:eastAsia="en-US"/>
              </w:rPr>
            </w:pPr>
            <w:r w:rsidRPr="0044301B">
              <w:rPr>
                <w:snapToGrid w:val="0"/>
                <w:sz w:val="20"/>
                <w:szCs w:val="20"/>
                <w:lang w:eastAsia="en-US"/>
              </w:rPr>
              <w:t xml:space="preserve">Genetic alterations of TSC genes results in genetic and hyper-activation of </w:t>
            </w:r>
            <w:proofErr w:type="spellStart"/>
            <w:r w:rsidRPr="0044301B">
              <w:rPr>
                <w:snapToGrid w:val="0"/>
                <w:sz w:val="20"/>
                <w:szCs w:val="20"/>
                <w:lang w:eastAsia="en-US"/>
              </w:rPr>
              <w:t>mTOR</w:t>
            </w:r>
            <w:proofErr w:type="spellEnd"/>
            <w:r w:rsidRPr="0044301B">
              <w:rPr>
                <w:snapToGrid w:val="0"/>
                <w:sz w:val="20"/>
                <w:szCs w:val="20"/>
                <w:lang w:eastAsia="en-US"/>
              </w:rPr>
              <w:t xml:space="preserve"> </w:t>
            </w:r>
            <w:proofErr w:type="spellStart"/>
            <w:r w:rsidRPr="0044301B">
              <w:rPr>
                <w:snapToGrid w:val="0"/>
                <w:sz w:val="20"/>
                <w:szCs w:val="20"/>
                <w:lang w:eastAsia="en-US"/>
              </w:rPr>
              <w:t>signaling</w:t>
            </w:r>
            <w:proofErr w:type="spellEnd"/>
            <w:r w:rsidRPr="0044301B">
              <w:rPr>
                <w:snapToGrid w:val="0"/>
                <w:sz w:val="20"/>
                <w:szCs w:val="20"/>
                <w:lang w:eastAsia="en-US"/>
              </w:rPr>
              <w:t xml:space="preserve"> pathway in neurons: </w:t>
            </w:r>
            <w:r w:rsidRPr="0044301B">
              <w:rPr>
                <w:snapToGrid w:val="0"/>
                <w:sz w:val="20"/>
                <w:szCs w:val="20"/>
                <w:lang w:val="en-US" w:eastAsia="en-US"/>
              </w:rPr>
              <w:t xml:space="preserve">abnormalities in cellular processes, neuronal excitability and </w:t>
            </w:r>
            <w:proofErr w:type="spellStart"/>
            <w:r w:rsidRPr="0044301B">
              <w:rPr>
                <w:snapToGrid w:val="0"/>
                <w:sz w:val="20"/>
                <w:szCs w:val="20"/>
                <w:lang w:val="en-US" w:eastAsia="en-US"/>
              </w:rPr>
              <w:t>epileptogenesis</w:t>
            </w:r>
            <w:proofErr w:type="spellEnd"/>
          </w:p>
        </w:tc>
      </w:tr>
      <w:tr w:rsidR="006D4B5A" w:rsidRPr="00377BBF" w14:paraId="37987B3C" w14:textId="77777777" w:rsidTr="006D4B5A">
        <w:tc>
          <w:tcPr>
            <w:tcW w:w="2518" w:type="dxa"/>
          </w:tcPr>
          <w:p w14:paraId="57061C5F" w14:textId="77777777" w:rsidR="006D4B5A" w:rsidRPr="00377BBF" w:rsidRDefault="006D4B5A" w:rsidP="002709C3">
            <w:pPr>
              <w:spacing w:line="240" w:lineRule="auto"/>
              <w:jc w:val="center"/>
              <w:rPr>
                <w:rFonts w:asciiTheme="minorHAnsi" w:eastAsia="Times New Roman" w:hAnsiTheme="minorHAnsi"/>
                <w:b/>
                <w:snapToGrid w:val="0"/>
                <w:sz w:val="20"/>
                <w:lang w:val="en-US" w:eastAsia="en-US"/>
              </w:rPr>
            </w:pPr>
            <w:r>
              <w:rPr>
                <w:rFonts w:asciiTheme="minorHAnsi" w:eastAsia="Times New Roman" w:hAnsiTheme="minorHAnsi"/>
                <w:b/>
                <w:snapToGrid w:val="0"/>
                <w:sz w:val="20"/>
                <w:lang w:val="en-US" w:eastAsia="en-US"/>
              </w:rPr>
              <w:t xml:space="preserve">Publication and </w:t>
            </w:r>
            <w:r w:rsidRPr="00377BBF">
              <w:rPr>
                <w:rFonts w:asciiTheme="minorHAnsi" w:eastAsia="Times New Roman" w:hAnsiTheme="minorHAnsi"/>
                <w:b/>
                <w:snapToGrid w:val="0"/>
                <w:sz w:val="20"/>
                <w:lang w:val="en-US" w:eastAsia="en-US"/>
              </w:rPr>
              <w:t>Study</w:t>
            </w:r>
            <w:r>
              <w:rPr>
                <w:rFonts w:asciiTheme="minorHAnsi" w:eastAsia="Times New Roman" w:hAnsiTheme="minorHAnsi"/>
                <w:b/>
                <w:snapToGrid w:val="0"/>
                <w:sz w:val="20"/>
                <w:lang w:val="en-US" w:eastAsia="en-US"/>
              </w:rPr>
              <w:t> Details</w:t>
            </w:r>
          </w:p>
        </w:tc>
        <w:tc>
          <w:tcPr>
            <w:tcW w:w="6946" w:type="dxa"/>
          </w:tcPr>
          <w:p w14:paraId="207B5C81" w14:textId="77777777" w:rsidR="006D4B5A" w:rsidRPr="00377BBF" w:rsidRDefault="006D4B5A" w:rsidP="002709C3">
            <w:pPr>
              <w:spacing w:line="240" w:lineRule="auto"/>
              <w:jc w:val="center"/>
              <w:rPr>
                <w:rFonts w:asciiTheme="minorHAnsi" w:eastAsia="Times New Roman" w:hAnsiTheme="minorHAnsi"/>
                <w:b/>
                <w:snapToGrid w:val="0"/>
                <w:sz w:val="20"/>
                <w:lang w:val="en-US" w:eastAsia="en-US"/>
              </w:rPr>
            </w:pPr>
            <w:r w:rsidRPr="00377BBF">
              <w:rPr>
                <w:rFonts w:asciiTheme="minorHAnsi" w:eastAsia="Times New Roman" w:hAnsiTheme="minorHAnsi"/>
                <w:b/>
                <w:snapToGrid w:val="0"/>
                <w:sz w:val="20"/>
                <w:lang w:val="en-US" w:eastAsia="en-US"/>
              </w:rPr>
              <w:t>Results</w:t>
            </w:r>
          </w:p>
        </w:tc>
      </w:tr>
      <w:tr w:rsidR="006D4B5A" w:rsidRPr="00953B27" w14:paraId="750BAAE5" w14:textId="77777777" w:rsidTr="006D4B5A">
        <w:tc>
          <w:tcPr>
            <w:tcW w:w="2518" w:type="dxa"/>
          </w:tcPr>
          <w:p w14:paraId="6FBC7360" w14:textId="39AE4925" w:rsidR="006D4B5A" w:rsidRPr="00D9476F" w:rsidRDefault="006D4B5A" w:rsidP="002709C3">
            <w:pPr>
              <w:spacing w:before="0" w:after="0" w:line="240" w:lineRule="auto"/>
              <w:rPr>
                <w:rFonts w:asciiTheme="minorHAnsi" w:eastAsia="Times New Roman" w:hAnsiTheme="minorHAnsi"/>
                <w:b/>
                <w:snapToGrid w:val="0"/>
                <w:sz w:val="20"/>
                <w:lang w:val="en-US" w:eastAsia="en-US"/>
              </w:rPr>
            </w:pPr>
            <w:proofErr w:type="spellStart"/>
            <w:r w:rsidRPr="00D9476F">
              <w:rPr>
                <w:rFonts w:asciiTheme="minorHAnsi" w:eastAsia="Times New Roman" w:hAnsiTheme="minorHAnsi"/>
                <w:b/>
                <w:snapToGrid w:val="0"/>
                <w:sz w:val="20"/>
                <w:lang w:val="en-US" w:eastAsia="en-US"/>
              </w:rPr>
              <w:t>Reugg</w:t>
            </w:r>
            <w:proofErr w:type="spellEnd"/>
            <w:r w:rsidRPr="00D9476F">
              <w:rPr>
                <w:rFonts w:asciiTheme="minorHAnsi" w:eastAsia="Times New Roman" w:hAnsiTheme="minorHAnsi"/>
                <w:b/>
                <w:snapToGrid w:val="0"/>
                <w:sz w:val="20"/>
                <w:lang w:val="en-US" w:eastAsia="en-US"/>
              </w:rPr>
              <w:t xml:space="preserve"> </w:t>
            </w:r>
            <w:r w:rsidRPr="004C5C8D">
              <w:rPr>
                <w:rFonts w:asciiTheme="minorHAnsi" w:eastAsia="Times New Roman" w:hAnsiTheme="minorHAnsi"/>
                <w:b/>
                <w:i/>
                <w:snapToGrid w:val="0"/>
                <w:sz w:val="20"/>
                <w:lang w:val="en-US" w:eastAsia="en-US"/>
              </w:rPr>
              <w:t>et al</w:t>
            </w:r>
            <w:r>
              <w:rPr>
                <w:rFonts w:asciiTheme="minorHAnsi" w:eastAsia="Times New Roman" w:hAnsiTheme="minorHAnsi"/>
                <w:b/>
                <w:snapToGrid w:val="0"/>
                <w:sz w:val="20"/>
                <w:lang w:val="en-US" w:eastAsia="en-US"/>
              </w:rPr>
              <w:t xml:space="preserve">., </w:t>
            </w:r>
            <w:r w:rsidRPr="00D9476F">
              <w:rPr>
                <w:rFonts w:asciiTheme="minorHAnsi" w:eastAsia="Times New Roman" w:hAnsiTheme="minorHAnsi"/>
                <w:b/>
                <w:snapToGrid w:val="0"/>
                <w:sz w:val="20"/>
                <w:lang w:val="en-US" w:eastAsia="en-US"/>
              </w:rPr>
              <w:t>2007</w:t>
            </w:r>
            <w:r w:rsidR="00DD3A0D">
              <w:rPr>
                <w:rFonts w:asciiTheme="minorHAnsi" w:eastAsia="Times New Roman" w:hAnsiTheme="minorHAnsi"/>
                <w:b/>
                <w:snapToGrid w:val="0"/>
                <w:sz w:val="20"/>
                <w:lang w:val="en-US" w:eastAsia="en-US"/>
              </w:rPr>
              <w:t>;</w:t>
            </w:r>
            <w:r w:rsidR="002709C3">
              <w:rPr>
                <w:rStyle w:val="FootnoteReference"/>
                <w:rFonts w:asciiTheme="minorHAnsi" w:eastAsia="Times New Roman" w:hAnsiTheme="minorHAnsi"/>
                <w:b/>
                <w:snapToGrid w:val="0"/>
                <w:sz w:val="20"/>
                <w:lang w:val="en-US" w:eastAsia="en-US"/>
              </w:rPr>
              <w:footnoteReference w:id="2"/>
            </w:r>
          </w:p>
          <w:p w14:paraId="2BA32E20" w14:textId="77777777" w:rsidR="006D4B5A" w:rsidRDefault="006D4B5A" w:rsidP="002709C3">
            <w:pPr>
              <w:spacing w:before="0" w:after="0" w:line="240" w:lineRule="auto"/>
              <w:rPr>
                <w:rFonts w:asciiTheme="minorHAnsi" w:eastAsia="Times New Roman" w:hAnsiTheme="minorHAnsi"/>
                <w:i/>
                <w:snapToGrid w:val="0"/>
                <w:sz w:val="20"/>
                <w:lang w:val="en-US" w:eastAsia="en-US"/>
              </w:rPr>
            </w:pPr>
            <w:r w:rsidRPr="00D9476F">
              <w:rPr>
                <w:rFonts w:asciiTheme="minorHAnsi" w:eastAsia="Times New Roman" w:hAnsiTheme="minorHAnsi"/>
                <w:i/>
                <w:snapToGrid w:val="0"/>
                <w:sz w:val="20"/>
                <w:lang w:val="en-US" w:eastAsia="en-US"/>
              </w:rPr>
              <w:t xml:space="preserve">In vitro </w:t>
            </w:r>
          </w:p>
          <w:p w14:paraId="2E2D4C08" w14:textId="77777777" w:rsidR="006D4B5A" w:rsidRDefault="006D4B5A" w:rsidP="002709C3">
            <w:pPr>
              <w:spacing w:before="0" w:after="0" w:line="240" w:lineRule="auto"/>
              <w:rPr>
                <w:rFonts w:asciiTheme="minorHAnsi" w:eastAsia="Times New Roman" w:hAnsiTheme="minorHAnsi"/>
                <w:i/>
                <w:snapToGrid w:val="0"/>
                <w:sz w:val="20"/>
                <w:lang w:val="en-US" w:eastAsia="en-US"/>
              </w:rPr>
            </w:pPr>
            <w:r>
              <w:rPr>
                <w:rFonts w:asciiTheme="minorHAnsi" w:eastAsia="Times New Roman" w:hAnsiTheme="minorHAnsi"/>
                <w:i/>
                <w:snapToGrid w:val="0"/>
                <w:sz w:val="20"/>
                <w:lang w:val="en-US" w:eastAsia="en-US"/>
              </w:rPr>
              <w:t>E</w:t>
            </w:r>
            <w:r w:rsidRPr="0014607A">
              <w:rPr>
                <w:rFonts w:asciiTheme="minorHAnsi" w:eastAsia="Times New Roman" w:hAnsiTheme="minorHAnsi"/>
                <w:i/>
                <w:snapToGrid w:val="0"/>
                <w:sz w:val="20"/>
                <w:lang w:val="en-US" w:eastAsia="en-US"/>
              </w:rPr>
              <w:t>ffects of</w:t>
            </w:r>
            <w:r w:rsidR="00F50ABF">
              <w:rPr>
                <w:rFonts w:asciiTheme="minorHAnsi" w:eastAsia="Times New Roman" w:hAnsiTheme="minorHAnsi"/>
                <w:i/>
                <w:snapToGrid w:val="0"/>
                <w:sz w:val="20"/>
                <w:lang w:val="en-US" w:eastAsia="en-US"/>
              </w:rPr>
              <w:t xml:space="preserve"> </w:t>
            </w:r>
            <w:proofErr w:type="spellStart"/>
            <w:r>
              <w:rPr>
                <w:rFonts w:asciiTheme="minorHAnsi" w:eastAsia="Times New Roman" w:hAnsiTheme="minorHAnsi"/>
                <w:i/>
                <w:snapToGrid w:val="0"/>
                <w:sz w:val="20"/>
                <w:lang w:val="en-US" w:eastAsia="en-US"/>
              </w:rPr>
              <w:t>mTor</w:t>
            </w:r>
            <w:proofErr w:type="spellEnd"/>
            <w:r>
              <w:rPr>
                <w:rFonts w:asciiTheme="minorHAnsi" w:eastAsia="Times New Roman" w:hAnsiTheme="minorHAnsi"/>
                <w:i/>
                <w:snapToGrid w:val="0"/>
                <w:sz w:val="20"/>
                <w:lang w:val="en-US" w:eastAsia="en-US"/>
              </w:rPr>
              <w:t xml:space="preserve"> inhibitor (</w:t>
            </w:r>
            <w:r w:rsidRPr="0014607A">
              <w:rPr>
                <w:rFonts w:asciiTheme="minorHAnsi" w:eastAsia="Times New Roman" w:hAnsiTheme="minorHAnsi"/>
                <w:i/>
                <w:snapToGrid w:val="0"/>
                <w:sz w:val="20"/>
                <w:lang w:val="en-US" w:eastAsia="en-US"/>
              </w:rPr>
              <w:t>rapamycin</w:t>
            </w:r>
            <w:r>
              <w:rPr>
                <w:rFonts w:asciiTheme="minorHAnsi" w:eastAsia="Times New Roman" w:hAnsiTheme="minorHAnsi"/>
                <w:i/>
                <w:snapToGrid w:val="0"/>
                <w:sz w:val="20"/>
                <w:lang w:val="en-US" w:eastAsia="en-US"/>
              </w:rPr>
              <w:t xml:space="preserve">) </w:t>
            </w:r>
            <w:r w:rsidRPr="0014607A">
              <w:rPr>
                <w:rFonts w:asciiTheme="minorHAnsi" w:eastAsia="Times New Roman" w:hAnsiTheme="minorHAnsi"/>
                <w:i/>
                <w:snapToGrid w:val="0"/>
                <w:sz w:val="20"/>
                <w:lang w:val="en-US" w:eastAsia="en-US"/>
              </w:rPr>
              <w:t>on neuronal excitability</w:t>
            </w:r>
          </w:p>
          <w:p w14:paraId="1ACA908C" w14:textId="77777777" w:rsidR="006D4B5A" w:rsidRPr="00C604F1" w:rsidRDefault="006D4B5A" w:rsidP="002709C3">
            <w:pPr>
              <w:spacing w:before="0" w:after="0" w:line="240" w:lineRule="auto"/>
              <w:rPr>
                <w:rFonts w:asciiTheme="minorHAnsi" w:eastAsia="Times New Roman" w:hAnsiTheme="minorHAnsi"/>
                <w:b/>
                <w:snapToGrid w:val="0"/>
                <w:color w:val="004C4A" w:themeColor="accent4" w:themeShade="BF"/>
                <w:sz w:val="20"/>
                <w:lang w:val="en-US" w:eastAsia="en-US"/>
              </w:rPr>
            </w:pPr>
            <w:r w:rsidRPr="00D9476F">
              <w:rPr>
                <w:rFonts w:asciiTheme="minorHAnsi" w:eastAsia="Times New Roman" w:hAnsiTheme="minorHAnsi"/>
                <w:snapToGrid w:val="0"/>
                <w:sz w:val="20"/>
                <w:lang w:val="en-US" w:eastAsia="en-US"/>
              </w:rPr>
              <w:t>Electrophysiology studies</w:t>
            </w:r>
            <w:r>
              <w:rPr>
                <w:rFonts w:asciiTheme="minorHAnsi" w:eastAsia="Times New Roman" w:hAnsiTheme="minorHAnsi"/>
                <w:snapToGrid w:val="0"/>
                <w:sz w:val="20"/>
                <w:lang w:val="en-US" w:eastAsia="en-US"/>
              </w:rPr>
              <w:t xml:space="preserve"> using </w:t>
            </w:r>
            <w:r w:rsidRPr="00D9476F">
              <w:rPr>
                <w:rFonts w:asciiTheme="minorHAnsi" w:eastAsia="Times New Roman" w:hAnsiTheme="minorHAnsi"/>
                <w:snapToGrid w:val="0"/>
                <w:sz w:val="20"/>
                <w:lang w:val="en-US" w:eastAsia="en-US"/>
              </w:rPr>
              <w:t>whole-cell patch</w:t>
            </w:r>
            <w:r>
              <w:rPr>
                <w:rFonts w:asciiTheme="minorHAnsi" w:eastAsia="Times New Roman" w:hAnsiTheme="minorHAnsi"/>
                <w:snapToGrid w:val="0"/>
                <w:sz w:val="20"/>
                <w:lang w:val="en-US" w:eastAsia="en-US"/>
              </w:rPr>
              <w:t> </w:t>
            </w:r>
            <w:r w:rsidRPr="00D9476F">
              <w:rPr>
                <w:rFonts w:asciiTheme="minorHAnsi" w:eastAsia="Times New Roman" w:hAnsiTheme="minorHAnsi"/>
                <w:snapToGrid w:val="0"/>
                <w:sz w:val="20"/>
                <w:lang w:val="en-US" w:eastAsia="en-US"/>
              </w:rPr>
              <w:t>clamp analysis of</w:t>
            </w:r>
            <w:r w:rsidR="00F50ABF">
              <w:rPr>
                <w:rFonts w:asciiTheme="minorHAnsi" w:eastAsia="Times New Roman" w:hAnsiTheme="minorHAnsi"/>
                <w:snapToGrid w:val="0"/>
                <w:sz w:val="20"/>
                <w:lang w:val="en-US" w:eastAsia="en-US"/>
              </w:rPr>
              <w:t xml:space="preserve"> </w:t>
            </w:r>
            <w:r w:rsidRPr="00D9476F">
              <w:rPr>
                <w:rFonts w:asciiTheme="minorHAnsi" w:eastAsia="Times New Roman" w:hAnsiTheme="minorHAnsi"/>
                <w:snapToGrid w:val="0"/>
                <w:sz w:val="20"/>
                <w:lang w:val="en-US" w:eastAsia="en-US"/>
              </w:rPr>
              <w:t>currents</w:t>
            </w:r>
            <w:r>
              <w:rPr>
                <w:rFonts w:asciiTheme="minorHAnsi" w:eastAsia="Times New Roman" w:hAnsiTheme="minorHAnsi"/>
                <w:snapToGrid w:val="0"/>
                <w:sz w:val="20"/>
                <w:lang w:val="en-US" w:eastAsia="en-US"/>
              </w:rPr>
              <w:t xml:space="preserve"> </w:t>
            </w:r>
            <w:r w:rsidRPr="00D9476F">
              <w:rPr>
                <w:rFonts w:asciiTheme="minorHAnsi" w:eastAsia="Times New Roman" w:hAnsiTheme="minorHAnsi"/>
                <w:snapToGrid w:val="0"/>
                <w:sz w:val="20"/>
                <w:lang w:val="en-US" w:eastAsia="en-US"/>
              </w:rPr>
              <w:t xml:space="preserve">recorded from neurons in cultures of </w:t>
            </w:r>
            <w:r w:rsidRPr="00D9476F">
              <w:rPr>
                <w:rFonts w:asciiTheme="minorHAnsi" w:eastAsia="Times New Roman" w:hAnsiTheme="minorHAnsi"/>
                <w:snapToGrid w:val="0"/>
                <w:sz w:val="20"/>
                <w:lang w:eastAsia="en-US"/>
              </w:rPr>
              <w:t>SD rat hippocampal neurons</w:t>
            </w:r>
          </w:p>
        </w:tc>
        <w:tc>
          <w:tcPr>
            <w:tcW w:w="6946" w:type="dxa"/>
          </w:tcPr>
          <w:p w14:paraId="681802D4" w14:textId="77777777" w:rsidR="00F50ABF" w:rsidRDefault="006D4B5A" w:rsidP="006D4B5A">
            <w:pPr>
              <w:spacing w:line="240" w:lineRule="auto"/>
              <w:rPr>
                <w:rFonts w:eastAsia="Times New Roman"/>
                <w:snapToGrid w:val="0"/>
                <w:sz w:val="20"/>
                <w:lang w:eastAsia="en-US"/>
              </w:rPr>
            </w:pPr>
            <w:r>
              <w:rPr>
                <w:rFonts w:eastAsia="Times New Roman"/>
                <w:snapToGrid w:val="0"/>
                <w:sz w:val="20"/>
                <w:lang w:eastAsia="en-US"/>
              </w:rPr>
              <w:t>A</w:t>
            </w:r>
            <w:r w:rsidRPr="00DC17E9">
              <w:rPr>
                <w:rFonts w:eastAsia="Times New Roman"/>
                <w:snapToGrid w:val="0"/>
                <w:sz w:val="20"/>
                <w:lang w:eastAsia="en-US"/>
              </w:rPr>
              <w:t xml:space="preserve"> relatively high dose (200 </w:t>
            </w:r>
            <w:proofErr w:type="spellStart"/>
            <w:r w:rsidRPr="00DC17E9">
              <w:rPr>
                <w:rFonts w:eastAsia="Times New Roman"/>
                <w:snapToGrid w:val="0"/>
                <w:sz w:val="20"/>
                <w:lang w:eastAsia="en-US"/>
              </w:rPr>
              <w:t>nM</w:t>
            </w:r>
            <w:proofErr w:type="spellEnd"/>
            <w:r>
              <w:rPr>
                <w:rFonts w:eastAsia="Times New Roman"/>
                <w:snapToGrid w:val="0"/>
                <w:sz w:val="20"/>
                <w:lang w:eastAsia="en-US"/>
              </w:rPr>
              <w:t>; 10 - 50 min incubation</w:t>
            </w:r>
            <w:r w:rsidRPr="00DC17E9">
              <w:rPr>
                <w:rFonts w:eastAsia="Times New Roman"/>
                <w:snapToGrid w:val="0"/>
                <w:sz w:val="20"/>
                <w:lang w:eastAsia="en-US"/>
              </w:rPr>
              <w:t xml:space="preserve">) of rapamycin </w:t>
            </w:r>
            <w:r>
              <w:rPr>
                <w:rFonts w:eastAsia="Times New Roman"/>
                <w:snapToGrid w:val="0"/>
                <w:sz w:val="20"/>
                <w:lang w:eastAsia="en-US"/>
              </w:rPr>
              <w:t>used (</w:t>
            </w:r>
            <w:r w:rsidRPr="00DC17E9">
              <w:rPr>
                <w:rFonts w:eastAsia="Times New Roman"/>
                <w:snapToGrid w:val="0"/>
                <w:sz w:val="20"/>
                <w:lang w:eastAsia="en-US"/>
              </w:rPr>
              <w:t>supra-maximal</w:t>
            </w:r>
            <w:r>
              <w:rPr>
                <w:rFonts w:eastAsia="Times New Roman"/>
                <w:snapToGrid w:val="0"/>
                <w:sz w:val="20"/>
                <w:lang w:eastAsia="en-US"/>
              </w:rPr>
              <w:t xml:space="preserve">, </w:t>
            </w:r>
            <w:r w:rsidRPr="00DC17E9">
              <w:rPr>
                <w:rFonts w:eastAsia="Times New Roman"/>
                <w:snapToGrid w:val="0"/>
                <w:sz w:val="20"/>
                <w:lang w:eastAsia="en-US"/>
              </w:rPr>
              <w:t xml:space="preserve">based on previous studies in hippocampal cultures) for </w:t>
            </w:r>
            <w:proofErr w:type="spellStart"/>
            <w:r w:rsidRPr="00DC17E9">
              <w:rPr>
                <w:rFonts w:eastAsia="Times New Roman"/>
                <w:snapToGrid w:val="0"/>
                <w:sz w:val="20"/>
                <w:lang w:eastAsia="en-US"/>
              </w:rPr>
              <w:t>mTOR</w:t>
            </w:r>
            <w:proofErr w:type="spellEnd"/>
            <w:r w:rsidRPr="00DC17E9">
              <w:rPr>
                <w:rFonts w:eastAsia="Times New Roman"/>
                <w:snapToGrid w:val="0"/>
                <w:sz w:val="20"/>
                <w:lang w:eastAsia="en-US"/>
              </w:rPr>
              <w:t xml:space="preserve"> inhibition with </w:t>
            </w:r>
            <w:r>
              <w:rPr>
                <w:rFonts w:eastAsia="Times New Roman"/>
                <w:snapToGrid w:val="0"/>
                <w:sz w:val="20"/>
                <w:lang w:eastAsia="en-US"/>
              </w:rPr>
              <w:t xml:space="preserve">findings of </w:t>
            </w:r>
            <w:r w:rsidRPr="00DC17E9">
              <w:rPr>
                <w:rFonts w:eastAsia="Times New Roman"/>
                <w:snapToGrid w:val="0"/>
                <w:sz w:val="20"/>
                <w:lang w:eastAsia="en-US"/>
              </w:rPr>
              <w:t>a general lack of consistent effects</w:t>
            </w:r>
            <w:r w:rsidR="00F50ABF">
              <w:rPr>
                <w:rFonts w:eastAsia="Times New Roman"/>
                <w:snapToGrid w:val="0"/>
                <w:sz w:val="20"/>
                <w:lang w:eastAsia="en-US"/>
              </w:rPr>
              <w:t>.</w:t>
            </w:r>
          </w:p>
          <w:p w14:paraId="7C317327" w14:textId="77777777" w:rsidR="006D4B5A" w:rsidRDefault="006D4B5A" w:rsidP="006D4B5A">
            <w:pPr>
              <w:spacing w:line="240" w:lineRule="auto"/>
              <w:rPr>
                <w:rFonts w:eastAsia="Times New Roman"/>
                <w:snapToGrid w:val="0"/>
                <w:sz w:val="20"/>
                <w:lang w:eastAsia="en-US"/>
              </w:rPr>
            </w:pPr>
            <w:r w:rsidRPr="00DC17E9">
              <w:rPr>
                <w:rFonts w:eastAsia="Times New Roman"/>
                <w:i/>
                <w:snapToGrid w:val="0"/>
                <w:sz w:val="20"/>
                <w:lang w:eastAsia="en-US"/>
              </w:rPr>
              <w:t>Neuronal firing</w:t>
            </w:r>
            <w:r w:rsidRPr="00DC17E9">
              <w:rPr>
                <w:rFonts w:eastAsia="Times New Roman"/>
                <w:snapToGrid w:val="0"/>
                <w:sz w:val="20"/>
                <w:lang w:eastAsia="en-US"/>
              </w:rPr>
              <w:t>. Spontaneous firing frequ</w:t>
            </w:r>
            <w:r w:rsidR="00BD2550">
              <w:rPr>
                <w:rFonts w:eastAsia="Times New Roman"/>
                <w:snapToGrid w:val="0"/>
                <w:sz w:val="20"/>
                <w:lang w:eastAsia="en-US"/>
              </w:rPr>
              <w:t xml:space="preserve">ency of neurons (single </w:t>
            </w:r>
            <w:r w:rsidRPr="00DC17E9">
              <w:rPr>
                <w:rFonts w:eastAsia="Times New Roman"/>
                <w:snapToGrid w:val="0"/>
                <w:sz w:val="20"/>
                <w:lang w:eastAsia="en-US"/>
              </w:rPr>
              <w:t>action potentials and/or short bursts of action potentials) was unaffected by rapamycin or there was a slight decrease.</w:t>
            </w:r>
          </w:p>
          <w:p w14:paraId="101B8DD7" w14:textId="77777777" w:rsidR="00BD2550" w:rsidRDefault="006D4B5A" w:rsidP="006D4B5A">
            <w:pPr>
              <w:spacing w:line="240" w:lineRule="auto"/>
              <w:rPr>
                <w:rFonts w:eastAsia="Times New Roman"/>
                <w:snapToGrid w:val="0"/>
                <w:sz w:val="20"/>
                <w:lang w:eastAsia="en-US"/>
              </w:rPr>
            </w:pPr>
            <w:r w:rsidRPr="00DC17E9">
              <w:rPr>
                <w:rFonts w:eastAsia="Times New Roman"/>
                <w:i/>
                <w:snapToGrid w:val="0"/>
                <w:sz w:val="20"/>
                <w:lang w:eastAsia="en-US"/>
              </w:rPr>
              <w:t>Voltage-gated currents</w:t>
            </w:r>
            <w:r w:rsidRPr="00DC17E9">
              <w:rPr>
                <w:rFonts w:eastAsia="Times New Roman"/>
                <w:snapToGrid w:val="0"/>
                <w:sz w:val="20"/>
                <w:lang w:eastAsia="en-US"/>
              </w:rPr>
              <w:t xml:space="preserve">. </w:t>
            </w:r>
            <w:r>
              <w:rPr>
                <w:rFonts w:eastAsia="Times New Roman"/>
                <w:snapToGrid w:val="0"/>
                <w:sz w:val="20"/>
                <w:lang w:eastAsia="en-US"/>
              </w:rPr>
              <w:t>There was n</w:t>
            </w:r>
            <w:r w:rsidRPr="00DC17E9">
              <w:rPr>
                <w:rFonts w:eastAsia="Times New Roman"/>
                <w:snapToGrid w:val="0"/>
                <w:sz w:val="20"/>
                <w:lang w:eastAsia="en-US"/>
              </w:rPr>
              <w:t>o change in sodium or potassium currents</w:t>
            </w:r>
            <w:r>
              <w:rPr>
                <w:rFonts w:eastAsia="Times New Roman"/>
                <w:snapToGrid w:val="0"/>
                <w:sz w:val="20"/>
                <w:lang w:eastAsia="en-US"/>
              </w:rPr>
              <w:t xml:space="preserve"> in preparations where s</w:t>
            </w:r>
            <w:r w:rsidRPr="00DC17E9">
              <w:rPr>
                <w:rFonts w:eastAsia="Times New Roman"/>
                <w:snapToGrid w:val="0"/>
                <w:sz w:val="20"/>
                <w:lang w:eastAsia="en-US"/>
              </w:rPr>
              <w:t>ynaptic</w:t>
            </w:r>
            <w:r>
              <w:rPr>
                <w:rFonts w:eastAsia="Times New Roman"/>
                <w:snapToGrid w:val="0"/>
                <w:sz w:val="20"/>
                <w:lang w:eastAsia="en-US"/>
              </w:rPr>
              <w:t xml:space="preserve"> </w:t>
            </w:r>
            <w:r w:rsidRPr="00DC17E9">
              <w:rPr>
                <w:rFonts w:eastAsia="Times New Roman"/>
                <w:snapToGrid w:val="0"/>
                <w:sz w:val="20"/>
                <w:lang w:eastAsia="en-US"/>
              </w:rPr>
              <w:t xml:space="preserve">activity </w:t>
            </w:r>
            <w:r>
              <w:rPr>
                <w:rFonts w:eastAsia="Times New Roman"/>
                <w:snapToGrid w:val="0"/>
                <w:sz w:val="20"/>
                <w:lang w:eastAsia="en-US"/>
              </w:rPr>
              <w:t>was inhibited (with</w:t>
            </w:r>
            <w:r w:rsidRPr="00DC17E9">
              <w:rPr>
                <w:rFonts w:eastAsia="Times New Roman"/>
                <w:snapToGrid w:val="0"/>
                <w:sz w:val="20"/>
                <w:lang w:eastAsia="en-US"/>
              </w:rPr>
              <w:t xml:space="preserve"> a combination of </w:t>
            </w:r>
            <w:r>
              <w:rPr>
                <w:rFonts w:eastAsia="Times New Roman"/>
                <w:snapToGrid w:val="0"/>
                <w:sz w:val="20"/>
                <w:lang w:eastAsia="en-US"/>
              </w:rPr>
              <w:t xml:space="preserve">inhibitors of </w:t>
            </w:r>
            <w:r w:rsidRPr="00BD2550">
              <w:rPr>
                <w:sz w:val="20"/>
                <w:szCs w:val="20"/>
              </w:rPr>
              <w:t>GABA</w:t>
            </w:r>
            <w:r w:rsidRPr="00BD2550">
              <w:rPr>
                <w:sz w:val="20"/>
                <w:szCs w:val="20"/>
                <w:vertAlign w:val="subscript"/>
              </w:rPr>
              <w:t>A</w:t>
            </w:r>
            <w:r w:rsidRPr="00DC17E9">
              <w:rPr>
                <w:rFonts w:eastAsia="Times New Roman"/>
                <w:snapToGrid w:val="0"/>
                <w:sz w:val="20"/>
                <w:lang w:eastAsia="en-US"/>
              </w:rPr>
              <w:t>, AMPA, and NMDA receptors</w:t>
            </w:r>
            <w:r w:rsidR="00BD2550">
              <w:rPr>
                <w:rStyle w:val="FootnoteReference"/>
                <w:rFonts w:eastAsia="Times New Roman"/>
                <w:snapToGrid w:val="0"/>
                <w:sz w:val="20"/>
                <w:lang w:eastAsia="en-US"/>
              </w:rPr>
              <w:footnoteReference w:id="3"/>
            </w:r>
            <w:r>
              <w:rPr>
                <w:rFonts w:eastAsia="Times New Roman"/>
                <w:snapToGrid w:val="0"/>
                <w:sz w:val="20"/>
                <w:lang w:eastAsia="en-US"/>
              </w:rPr>
              <w:t>)</w:t>
            </w:r>
            <w:r w:rsidRPr="00DC17E9">
              <w:rPr>
                <w:rFonts w:eastAsia="Times New Roman"/>
                <w:snapToGrid w:val="0"/>
                <w:sz w:val="20"/>
                <w:lang w:eastAsia="en-US"/>
              </w:rPr>
              <w:t>.</w:t>
            </w:r>
          </w:p>
          <w:p w14:paraId="0C1D2F86" w14:textId="77777777" w:rsidR="006D4B5A" w:rsidRDefault="006D4B5A" w:rsidP="006D4B5A">
            <w:pPr>
              <w:spacing w:line="240" w:lineRule="auto"/>
              <w:rPr>
                <w:rFonts w:eastAsia="Times New Roman"/>
                <w:snapToGrid w:val="0"/>
                <w:sz w:val="20"/>
                <w:lang w:eastAsia="en-US"/>
              </w:rPr>
            </w:pPr>
            <w:r w:rsidRPr="00DC17E9">
              <w:rPr>
                <w:rFonts w:eastAsia="Times New Roman"/>
                <w:i/>
                <w:snapToGrid w:val="0"/>
                <w:sz w:val="20"/>
                <w:lang w:eastAsia="en-US"/>
              </w:rPr>
              <w:t>Synaptic events</w:t>
            </w:r>
            <w:r w:rsidRPr="00DC17E9">
              <w:rPr>
                <w:rFonts w:eastAsia="Times New Roman"/>
                <w:snapToGrid w:val="0"/>
                <w:sz w:val="20"/>
                <w:lang w:eastAsia="en-US"/>
              </w:rPr>
              <w:t xml:space="preserve">. Similarly, there was general lack of consistent effects of rapamycin on excitatory glutamatergic currents following addition of </w:t>
            </w:r>
            <w:r>
              <w:rPr>
                <w:rFonts w:eastAsia="Times New Roman"/>
                <w:snapToGrid w:val="0"/>
                <w:sz w:val="20"/>
                <w:lang w:eastAsia="en-US"/>
              </w:rPr>
              <w:t>a</w:t>
            </w:r>
            <w:r w:rsidRPr="00DC17E9">
              <w:rPr>
                <w:rFonts w:eastAsia="Times New Roman"/>
                <w:snapToGrid w:val="0"/>
                <w:sz w:val="20"/>
                <w:lang w:eastAsia="en-US"/>
              </w:rPr>
              <w:t xml:space="preserve"> GABA</w:t>
            </w:r>
            <w:r w:rsidRPr="00DC17E9">
              <w:rPr>
                <w:rFonts w:eastAsia="Times New Roman"/>
                <w:snapToGrid w:val="0"/>
                <w:sz w:val="20"/>
                <w:vertAlign w:val="subscript"/>
                <w:lang w:eastAsia="en-US"/>
              </w:rPr>
              <w:t>A</w:t>
            </w:r>
            <w:r w:rsidRPr="00DC17E9">
              <w:rPr>
                <w:rFonts w:eastAsia="Times New Roman"/>
                <w:snapToGrid w:val="0"/>
                <w:sz w:val="20"/>
                <w:lang w:eastAsia="en-US"/>
              </w:rPr>
              <w:t xml:space="preserve"> receptor antagonist </w:t>
            </w:r>
            <w:r>
              <w:rPr>
                <w:rFonts w:eastAsia="Times New Roman"/>
                <w:snapToGrid w:val="0"/>
                <w:sz w:val="20"/>
                <w:lang w:eastAsia="en-US"/>
              </w:rPr>
              <w:t>(</w:t>
            </w:r>
            <w:proofErr w:type="spellStart"/>
            <w:r w:rsidRPr="00DC17E9">
              <w:rPr>
                <w:rFonts w:eastAsia="Times New Roman"/>
                <w:snapToGrid w:val="0"/>
                <w:sz w:val="20"/>
                <w:lang w:eastAsia="en-US"/>
              </w:rPr>
              <w:t>bicuculline</w:t>
            </w:r>
            <w:proofErr w:type="spellEnd"/>
            <w:r>
              <w:rPr>
                <w:rFonts w:eastAsia="Times New Roman"/>
                <w:snapToGrid w:val="0"/>
                <w:sz w:val="20"/>
                <w:lang w:eastAsia="en-US"/>
              </w:rPr>
              <w:t xml:space="preserve">, </w:t>
            </w:r>
            <w:r w:rsidR="008E4A23">
              <w:rPr>
                <w:rFonts w:eastAsia="Times New Roman"/>
                <w:snapToGrid w:val="0"/>
                <w:sz w:val="20"/>
                <w:lang w:eastAsia="en-US"/>
              </w:rPr>
              <w:t xml:space="preserve">10 </w:t>
            </w:r>
            <w:proofErr w:type="spellStart"/>
            <w:r w:rsidR="008E4A23">
              <w:rPr>
                <w:rFonts w:eastAsia="Times New Roman"/>
                <w:snapToGrid w:val="0"/>
                <w:sz w:val="20"/>
                <w:lang w:eastAsia="en-US"/>
              </w:rPr>
              <w:t>μ</w:t>
            </w:r>
            <w:r w:rsidRPr="00DC17E9">
              <w:rPr>
                <w:rFonts w:eastAsia="Times New Roman"/>
                <w:snapToGrid w:val="0"/>
                <w:sz w:val="20"/>
                <w:lang w:eastAsia="en-US"/>
              </w:rPr>
              <w:t>M</w:t>
            </w:r>
            <w:proofErr w:type="spellEnd"/>
            <w:r w:rsidRPr="00DC17E9">
              <w:rPr>
                <w:rFonts w:eastAsia="Times New Roman"/>
                <w:snapToGrid w:val="0"/>
                <w:sz w:val="20"/>
                <w:lang w:eastAsia="en-US"/>
              </w:rPr>
              <w:t>)</w:t>
            </w:r>
            <w:r>
              <w:rPr>
                <w:rFonts w:eastAsia="Times New Roman"/>
                <w:snapToGrid w:val="0"/>
                <w:sz w:val="20"/>
                <w:lang w:eastAsia="en-US"/>
              </w:rPr>
              <w:t xml:space="preserve">. There was </w:t>
            </w:r>
            <w:r w:rsidRPr="00DC17E9">
              <w:rPr>
                <w:rFonts w:eastAsia="Times New Roman"/>
                <w:snapToGrid w:val="0"/>
                <w:sz w:val="20"/>
                <w:lang w:eastAsia="en-US"/>
              </w:rPr>
              <w:t xml:space="preserve">no effect in some preparations while in others; rapamycin decreased the </w:t>
            </w:r>
            <w:r>
              <w:rPr>
                <w:rFonts w:eastAsia="Times New Roman"/>
                <w:snapToGrid w:val="0"/>
                <w:sz w:val="20"/>
                <w:lang w:eastAsia="en-US"/>
              </w:rPr>
              <w:t xml:space="preserve">induced </w:t>
            </w:r>
            <w:r w:rsidRPr="00DC17E9">
              <w:rPr>
                <w:rFonts w:eastAsia="Times New Roman"/>
                <w:snapToGrid w:val="0"/>
                <w:sz w:val="20"/>
                <w:lang w:eastAsia="en-US"/>
              </w:rPr>
              <w:t>burst activity.</w:t>
            </w:r>
          </w:p>
          <w:p w14:paraId="56B4E6EB" w14:textId="77777777" w:rsidR="006D4B5A" w:rsidRPr="00953B27" w:rsidRDefault="006D4B5A" w:rsidP="006D4B5A">
            <w:pPr>
              <w:spacing w:line="240" w:lineRule="auto"/>
              <w:rPr>
                <w:rFonts w:asciiTheme="minorHAnsi" w:eastAsia="Times New Roman" w:hAnsiTheme="minorHAnsi"/>
                <w:snapToGrid w:val="0"/>
                <w:color w:val="004C4A" w:themeColor="accent4" w:themeShade="BF"/>
                <w:sz w:val="20"/>
                <w:lang w:val="en-US" w:eastAsia="en-US"/>
              </w:rPr>
            </w:pPr>
            <w:r w:rsidRPr="00DC17E9">
              <w:rPr>
                <w:rFonts w:eastAsia="Times New Roman"/>
                <w:i/>
                <w:snapToGrid w:val="0"/>
                <w:sz w:val="20"/>
                <w:lang w:val="en-US" w:eastAsia="en-US"/>
              </w:rPr>
              <w:t xml:space="preserve">Conclusion. </w:t>
            </w:r>
            <w:r w:rsidRPr="00DC17E9">
              <w:rPr>
                <w:rFonts w:eastAsia="Times New Roman"/>
                <w:snapToGrid w:val="0"/>
                <w:sz w:val="20"/>
                <w:lang w:eastAsia="en-US"/>
              </w:rPr>
              <w:t xml:space="preserve">The findings are not consistent with rapamycin producing </w:t>
            </w:r>
            <w:r>
              <w:rPr>
                <w:rFonts w:eastAsia="Times New Roman"/>
                <w:snapToGrid w:val="0"/>
                <w:sz w:val="20"/>
                <w:lang w:eastAsia="en-US"/>
              </w:rPr>
              <w:t xml:space="preserve">significant </w:t>
            </w:r>
            <w:r w:rsidR="00CE5C99">
              <w:rPr>
                <w:rFonts w:eastAsia="Times New Roman"/>
                <w:snapToGrid w:val="0"/>
                <w:sz w:val="20"/>
                <w:lang w:eastAsia="en-US"/>
              </w:rPr>
              <w:t xml:space="preserve">acute </w:t>
            </w:r>
            <w:r w:rsidRPr="00152652">
              <w:rPr>
                <w:rFonts w:eastAsia="Times New Roman"/>
                <w:snapToGrid w:val="0"/>
                <w:sz w:val="20"/>
                <w:lang w:eastAsia="en-US"/>
              </w:rPr>
              <w:t>effects on neuronal firing to an exte</w:t>
            </w:r>
            <w:r w:rsidR="008E4A23">
              <w:rPr>
                <w:rFonts w:eastAsia="Times New Roman"/>
                <w:snapToGrid w:val="0"/>
                <w:sz w:val="20"/>
                <w:lang w:eastAsia="en-US"/>
              </w:rPr>
              <w:t xml:space="preserve">nt which could result in marked </w:t>
            </w:r>
            <w:proofErr w:type="spellStart"/>
            <w:r w:rsidRPr="00152652">
              <w:rPr>
                <w:rFonts w:eastAsia="Times New Roman"/>
                <w:snapToGrid w:val="0"/>
                <w:sz w:val="20"/>
                <w:lang w:eastAsia="en-US"/>
              </w:rPr>
              <w:t>antiseizure</w:t>
            </w:r>
            <w:proofErr w:type="spellEnd"/>
            <w:r w:rsidRPr="00DC17E9">
              <w:rPr>
                <w:rFonts w:eastAsia="Times New Roman"/>
                <w:snapToGrid w:val="0"/>
                <w:sz w:val="20"/>
                <w:lang w:eastAsia="en-US"/>
              </w:rPr>
              <w:t xml:space="preserve"> activity </w:t>
            </w:r>
            <w:r>
              <w:rPr>
                <w:rFonts w:eastAsia="Times New Roman"/>
                <w:snapToGrid w:val="0"/>
                <w:sz w:val="20"/>
                <w:lang w:eastAsia="en-US"/>
              </w:rPr>
              <w:t xml:space="preserve">observed </w:t>
            </w:r>
            <w:r w:rsidRPr="00DC17E9">
              <w:rPr>
                <w:rFonts w:eastAsia="Times New Roman"/>
                <w:snapToGrid w:val="0"/>
                <w:sz w:val="20"/>
                <w:lang w:eastAsia="en-US"/>
              </w:rPr>
              <w:t>in T</w:t>
            </w:r>
            <w:r w:rsidR="008E4A23">
              <w:rPr>
                <w:rFonts w:eastAsia="Times New Roman"/>
                <w:snapToGrid w:val="0"/>
                <w:sz w:val="20"/>
                <w:lang w:eastAsia="en-US"/>
              </w:rPr>
              <w:t>SC knockout models (see below).</w:t>
            </w:r>
          </w:p>
        </w:tc>
      </w:tr>
      <w:tr w:rsidR="006D4B5A" w:rsidRPr="00152652" w14:paraId="07A6368C" w14:textId="77777777" w:rsidTr="006D4B5A">
        <w:tc>
          <w:tcPr>
            <w:tcW w:w="2518" w:type="dxa"/>
          </w:tcPr>
          <w:p w14:paraId="5BA8181D" w14:textId="77777777" w:rsidR="006D4B5A" w:rsidRPr="007D0D32" w:rsidRDefault="006D4B5A" w:rsidP="002709C3">
            <w:pPr>
              <w:spacing w:before="0" w:after="0" w:line="240" w:lineRule="auto"/>
              <w:rPr>
                <w:rFonts w:asciiTheme="minorHAnsi" w:eastAsia="Times New Roman" w:hAnsiTheme="minorHAnsi"/>
                <w:b/>
                <w:snapToGrid w:val="0"/>
                <w:sz w:val="20"/>
                <w:lang w:val="en-US" w:eastAsia="en-US"/>
              </w:rPr>
            </w:pPr>
            <w:proofErr w:type="spellStart"/>
            <w:r w:rsidRPr="007D0D32">
              <w:rPr>
                <w:rFonts w:asciiTheme="minorHAnsi" w:eastAsia="Times New Roman" w:hAnsiTheme="minorHAnsi"/>
                <w:b/>
                <w:snapToGrid w:val="0"/>
                <w:sz w:val="20"/>
                <w:lang w:val="en-US" w:eastAsia="en-US"/>
              </w:rPr>
              <w:t>Daoud</w:t>
            </w:r>
            <w:proofErr w:type="spellEnd"/>
            <w:r w:rsidRPr="007D0D32">
              <w:rPr>
                <w:rFonts w:asciiTheme="minorHAnsi" w:eastAsia="Times New Roman" w:hAnsiTheme="minorHAnsi"/>
                <w:b/>
                <w:snapToGrid w:val="0"/>
                <w:sz w:val="20"/>
                <w:lang w:val="en-US" w:eastAsia="en-US"/>
              </w:rPr>
              <w:t xml:space="preserve"> </w:t>
            </w:r>
            <w:r w:rsidRPr="004C5C8D">
              <w:rPr>
                <w:rFonts w:asciiTheme="minorHAnsi" w:eastAsia="Times New Roman" w:hAnsiTheme="minorHAnsi"/>
                <w:b/>
                <w:i/>
                <w:snapToGrid w:val="0"/>
                <w:sz w:val="20"/>
                <w:lang w:val="en-US" w:eastAsia="en-US"/>
              </w:rPr>
              <w:t>et al</w:t>
            </w:r>
            <w:r w:rsidRPr="007D0D32">
              <w:rPr>
                <w:rFonts w:asciiTheme="minorHAnsi" w:eastAsia="Times New Roman" w:hAnsiTheme="minorHAnsi"/>
                <w:b/>
                <w:snapToGrid w:val="0"/>
                <w:sz w:val="20"/>
                <w:lang w:val="en-US" w:eastAsia="en-US"/>
              </w:rPr>
              <w:t>., 2007</w:t>
            </w:r>
            <w:r w:rsidR="002709C3">
              <w:rPr>
                <w:rStyle w:val="FootnoteReference"/>
                <w:rFonts w:asciiTheme="minorHAnsi" w:eastAsia="Times New Roman" w:hAnsiTheme="minorHAnsi"/>
                <w:b/>
                <w:snapToGrid w:val="0"/>
                <w:sz w:val="20"/>
                <w:lang w:val="en-US" w:eastAsia="en-US"/>
              </w:rPr>
              <w:footnoteReference w:id="4"/>
            </w:r>
          </w:p>
          <w:p w14:paraId="5AB1F35D" w14:textId="77777777" w:rsidR="006D4B5A" w:rsidRPr="007D0D32" w:rsidRDefault="008E4A23" w:rsidP="008E4A23">
            <w:pPr>
              <w:spacing w:before="0" w:after="0" w:line="240" w:lineRule="auto"/>
              <w:rPr>
                <w:rFonts w:asciiTheme="minorHAnsi" w:eastAsia="Times New Roman" w:hAnsiTheme="minorHAnsi"/>
                <w:i/>
                <w:snapToGrid w:val="0"/>
                <w:sz w:val="20"/>
                <w:lang w:val="en-US" w:eastAsia="en-US"/>
              </w:rPr>
            </w:pPr>
            <w:r>
              <w:rPr>
                <w:rFonts w:asciiTheme="minorHAnsi" w:eastAsia="Times New Roman" w:hAnsiTheme="minorHAnsi"/>
                <w:i/>
                <w:snapToGrid w:val="0"/>
                <w:sz w:val="20"/>
                <w:lang w:val="en-US" w:eastAsia="en-US"/>
              </w:rPr>
              <w:t xml:space="preserve">In vitro </w:t>
            </w:r>
            <w:r w:rsidR="006D4B5A" w:rsidRPr="007D0D32">
              <w:rPr>
                <w:rFonts w:asciiTheme="minorHAnsi" w:eastAsia="Times New Roman" w:hAnsiTheme="minorHAnsi"/>
                <w:i/>
                <w:snapToGrid w:val="0"/>
                <w:sz w:val="20"/>
                <w:lang w:val="en-US" w:eastAsia="en-US"/>
              </w:rPr>
              <w:t>Effects of rapamycin on neuronal excitability</w:t>
            </w:r>
          </w:p>
          <w:p w14:paraId="77D22706" w14:textId="77777777" w:rsidR="006D4B5A" w:rsidRPr="007D0D32" w:rsidRDefault="006D4B5A" w:rsidP="002709C3">
            <w:pPr>
              <w:autoSpaceDE w:val="0"/>
              <w:autoSpaceDN w:val="0"/>
              <w:spacing w:before="0" w:after="0" w:line="240" w:lineRule="auto"/>
              <w:rPr>
                <w:rFonts w:asciiTheme="minorHAnsi" w:eastAsia="Times New Roman" w:hAnsiTheme="minorHAnsi"/>
                <w:b/>
                <w:snapToGrid w:val="0"/>
                <w:color w:val="004C4A" w:themeColor="accent4" w:themeShade="BF"/>
                <w:sz w:val="20"/>
                <w:lang w:val="en-US" w:eastAsia="en-US"/>
              </w:rPr>
            </w:pPr>
            <w:r w:rsidRPr="007D0D32">
              <w:rPr>
                <w:rFonts w:asciiTheme="minorHAnsi" w:eastAsiaTheme="minorHAnsi" w:hAnsiTheme="minorHAnsi" w:cs="Times-Roman"/>
                <w:sz w:val="20"/>
                <w:lang w:eastAsia="en-US"/>
              </w:rPr>
              <w:t>Extracellular field potentials recorded with glass microelectrodes</w:t>
            </w:r>
            <w:r w:rsidR="008E4A23">
              <w:rPr>
                <w:rFonts w:asciiTheme="minorHAnsi" w:eastAsia="Times New Roman" w:hAnsiTheme="minorHAnsi"/>
                <w:snapToGrid w:val="0"/>
                <w:sz w:val="20"/>
                <w:lang w:val="en-US" w:eastAsia="en-US"/>
              </w:rPr>
              <w:t xml:space="preserve"> in CA1 </w:t>
            </w:r>
            <w:r w:rsidRPr="007D0D32">
              <w:rPr>
                <w:rFonts w:asciiTheme="minorHAnsi" w:eastAsia="Times New Roman" w:hAnsiTheme="minorHAnsi"/>
                <w:snapToGrid w:val="0"/>
                <w:sz w:val="20"/>
                <w:lang w:val="en-US" w:eastAsia="en-US"/>
              </w:rPr>
              <w:t>hippocampal neurons</w:t>
            </w:r>
          </w:p>
        </w:tc>
        <w:tc>
          <w:tcPr>
            <w:tcW w:w="6946" w:type="dxa"/>
          </w:tcPr>
          <w:p w14:paraId="54301521" w14:textId="77777777" w:rsidR="006D4B5A" w:rsidRPr="00CE5C99" w:rsidRDefault="006D4B5A" w:rsidP="00CE5C99">
            <w:pPr>
              <w:rPr>
                <w:sz w:val="20"/>
                <w:szCs w:val="20"/>
              </w:rPr>
            </w:pPr>
            <w:r w:rsidRPr="00CE5C99">
              <w:rPr>
                <w:sz w:val="20"/>
                <w:szCs w:val="20"/>
                <w:lang w:eastAsia="en-US"/>
              </w:rPr>
              <w:t xml:space="preserve">Under control conditions, no spontaneous </w:t>
            </w:r>
            <w:r w:rsidR="008E4A23" w:rsidRPr="00CE5C99">
              <w:rPr>
                <w:sz w:val="20"/>
                <w:szCs w:val="20"/>
                <w:lang w:eastAsia="en-US"/>
              </w:rPr>
              <w:t xml:space="preserve">epileptiform activity observed. </w:t>
            </w:r>
            <w:r w:rsidRPr="00CE5C99">
              <w:rPr>
                <w:sz w:val="20"/>
                <w:szCs w:val="20"/>
                <w:lang w:eastAsia="en-US"/>
              </w:rPr>
              <w:t>The amplitude of evoked field excitatory postsynaptic potentials (</w:t>
            </w:r>
            <w:proofErr w:type="spellStart"/>
            <w:r w:rsidRPr="00CE5C99">
              <w:rPr>
                <w:sz w:val="20"/>
                <w:szCs w:val="20"/>
                <w:lang w:eastAsia="en-US"/>
              </w:rPr>
              <w:t>fEPSPs</w:t>
            </w:r>
            <w:proofErr w:type="spellEnd"/>
            <w:r w:rsidRPr="00CE5C99">
              <w:rPr>
                <w:sz w:val="20"/>
                <w:szCs w:val="20"/>
                <w:lang w:eastAsia="en-US"/>
              </w:rPr>
              <w:t>) induced by stimulation of Schaffer collater</w:t>
            </w:r>
            <w:r w:rsidR="008E4A23" w:rsidRPr="00CE5C99">
              <w:rPr>
                <w:sz w:val="20"/>
                <w:szCs w:val="20"/>
                <w:lang w:eastAsia="en-US"/>
              </w:rPr>
              <w:t xml:space="preserve">als in the CA1 area with single </w:t>
            </w:r>
            <w:r w:rsidRPr="00CE5C99">
              <w:rPr>
                <w:sz w:val="20"/>
                <w:szCs w:val="20"/>
                <w:lang w:eastAsia="en-US"/>
              </w:rPr>
              <w:t>pulses applied ever</w:t>
            </w:r>
            <w:r w:rsidR="008E4A23" w:rsidRPr="00CE5C99">
              <w:rPr>
                <w:sz w:val="20"/>
                <w:szCs w:val="20"/>
                <w:lang w:eastAsia="en-US"/>
              </w:rPr>
              <w:t xml:space="preserve">y 5 </w:t>
            </w:r>
            <w:r w:rsidRPr="00CE5C99">
              <w:rPr>
                <w:sz w:val="20"/>
                <w:szCs w:val="20"/>
                <w:lang w:eastAsia="en-US"/>
              </w:rPr>
              <w:t>min</w:t>
            </w:r>
            <w:r w:rsidR="008E4A23" w:rsidRPr="00CE5C99">
              <w:rPr>
                <w:sz w:val="20"/>
                <w:szCs w:val="20"/>
                <w:lang w:eastAsia="en-US"/>
              </w:rPr>
              <w:t>utes</w:t>
            </w:r>
            <w:r w:rsidRPr="00CE5C99">
              <w:rPr>
                <w:sz w:val="20"/>
                <w:szCs w:val="20"/>
                <w:lang w:eastAsia="en-US"/>
              </w:rPr>
              <w:t xml:space="preserve"> was unaffe</w:t>
            </w:r>
            <w:r w:rsidR="008E4A23" w:rsidRPr="00CE5C99">
              <w:rPr>
                <w:sz w:val="20"/>
                <w:szCs w:val="20"/>
                <w:lang w:eastAsia="en-US"/>
              </w:rPr>
              <w:t>cted by rapamycin up to 250 </w:t>
            </w:r>
            <w:proofErr w:type="spellStart"/>
            <w:r w:rsidRPr="00CE5C99">
              <w:rPr>
                <w:sz w:val="20"/>
                <w:szCs w:val="20"/>
                <w:lang w:eastAsia="en-US"/>
              </w:rPr>
              <w:t>nM</w:t>
            </w:r>
            <w:proofErr w:type="spellEnd"/>
            <w:r w:rsidRPr="00CE5C99">
              <w:rPr>
                <w:sz w:val="20"/>
                <w:szCs w:val="20"/>
              </w:rPr>
              <w:t>.</w:t>
            </w:r>
          </w:p>
          <w:p w14:paraId="53A767E2" w14:textId="77777777" w:rsidR="00F50ABF" w:rsidRPr="00CE5C99" w:rsidRDefault="006D4B5A" w:rsidP="00CE5C99">
            <w:pPr>
              <w:rPr>
                <w:rFonts w:eastAsia="Times New Roman"/>
                <w:snapToGrid w:val="0"/>
                <w:sz w:val="20"/>
                <w:szCs w:val="20"/>
                <w:lang w:val="en-US" w:eastAsia="en-US"/>
              </w:rPr>
            </w:pPr>
            <w:r w:rsidRPr="00CE5C99">
              <w:rPr>
                <w:rFonts w:eastAsia="Times New Roman"/>
                <w:snapToGrid w:val="0"/>
                <w:sz w:val="20"/>
                <w:szCs w:val="20"/>
                <w:lang w:val="en-US" w:eastAsia="en-US"/>
              </w:rPr>
              <w:t xml:space="preserve">At ≥ 500 </w:t>
            </w:r>
            <w:proofErr w:type="spellStart"/>
            <w:r w:rsidRPr="00CE5C99">
              <w:rPr>
                <w:rFonts w:eastAsia="Times New Roman"/>
                <w:snapToGrid w:val="0"/>
                <w:sz w:val="20"/>
                <w:szCs w:val="20"/>
                <w:lang w:val="en-US" w:eastAsia="en-US"/>
              </w:rPr>
              <w:t>nM</w:t>
            </w:r>
            <w:proofErr w:type="spellEnd"/>
            <w:r w:rsidRPr="00CE5C99">
              <w:rPr>
                <w:rFonts w:eastAsia="Times New Roman"/>
                <w:snapToGrid w:val="0"/>
                <w:sz w:val="20"/>
                <w:szCs w:val="20"/>
                <w:lang w:val="en-US" w:eastAsia="en-US"/>
              </w:rPr>
              <w:t xml:space="preserve"> of rapamycin, </w:t>
            </w:r>
            <w:proofErr w:type="spellStart"/>
            <w:r w:rsidRPr="00CE5C99">
              <w:rPr>
                <w:rFonts w:eastAsia="Times New Roman"/>
                <w:snapToGrid w:val="0"/>
                <w:sz w:val="20"/>
                <w:szCs w:val="20"/>
                <w:lang w:val="en-US" w:eastAsia="en-US"/>
              </w:rPr>
              <w:t>fEPSPs</w:t>
            </w:r>
            <w:proofErr w:type="spellEnd"/>
            <w:r w:rsidRPr="00CE5C99">
              <w:rPr>
                <w:rFonts w:eastAsia="Times New Roman"/>
                <w:snapToGrid w:val="0"/>
                <w:sz w:val="20"/>
                <w:szCs w:val="20"/>
                <w:lang w:val="en-US" w:eastAsia="en-US"/>
              </w:rPr>
              <w:t xml:space="preserve"> increased, but this is not consistent with its anti-seizure activity</w:t>
            </w:r>
            <w:r w:rsidR="00F50ABF" w:rsidRPr="00CE5C99">
              <w:rPr>
                <w:rFonts w:eastAsia="Times New Roman"/>
                <w:snapToGrid w:val="0"/>
                <w:sz w:val="20"/>
                <w:szCs w:val="20"/>
                <w:lang w:val="en-US" w:eastAsia="en-US"/>
              </w:rPr>
              <w:t>.</w:t>
            </w:r>
          </w:p>
          <w:p w14:paraId="58491B39" w14:textId="77777777" w:rsidR="006D4B5A" w:rsidRPr="007D0D32" w:rsidRDefault="006D4B5A" w:rsidP="00CE5C99">
            <w:pPr>
              <w:rPr>
                <w:rFonts w:eastAsia="Times New Roman"/>
                <w:snapToGrid w:val="0"/>
                <w:color w:val="004C4A" w:themeColor="accent4" w:themeShade="BF"/>
                <w:lang w:val="en-US" w:eastAsia="en-US"/>
              </w:rPr>
            </w:pPr>
            <w:r w:rsidRPr="00CE5C99">
              <w:rPr>
                <w:rFonts w:eastAsia="Times New Roman"/>
                <w:i/>
                <w:snapToGrid w:val="0"/>
                <w:sz w:val="20"/>
                <w:szCs w:val="20"/>
                <w:lang w:val="en-US" w:eastAsia="en-US"/>
              </w:rPr>
              <w:t>Conclusion</w:t>
            </w:r>
            <w:r w:rsidRPr="00CE5C99">
              <w:rPr>
                <w:rFonts w:eastAsia="Times New Roman"/>
                <w:snapToGrid w:val="0"/>
                <w:sz w:val="20"/>
                <w:szCs w:val="20"/>
                <w:lang w:val="en-US" w:eastAsia="en-US"/>
              </w:rPr>
              <w:t xml:space="preserve">. Based on findings at ≤ </w:t>
            </w:r>
            <w:r w:rsidR="008E4A23" w:rsidRPr="00CE5C99">
              <w:rPr>
                <w:rFonts w:eastAsia="Times New Roman"/>
                <w:snapToGrid w:val="0"/>
                <w:sz w:val="20"/>
                <w:szCs w:val="20"/>
                <w:lang w:val="en-US" w:eastAsia="en-US"/>
              </w:rPr>
              <w:t xml:space="preserve">250 </w:t>
            </w:r>
            <w:proofErr w:type="spellStart"/>
            <w:r w:rsidR="008E4A23" w:rsidRPr="00CE5C99">
              <w:rPr>
                <w:rFonts w:eastAsia="Times New Roman"/>
                <w:snapToGrid w:val="0"/>
                <w:sz w:val="20"/>
                <w:szCs w:val="20"/>
                <w:lang w:val="en-US" w:eastAsia="en-US"/>
              </w:rPr>
              <w:t>nM</w:t>
            </w:r>
            <w:proofErr w:type="spellEnd"/>
            <w:r w:rsidR="008E4A23" w:rsidRPr="00CE5C99">
              <w:rPr>
                <w:rFonts w:eastAsia="Times New Roman"/>
                <w:snapToGrid w:val="0"/>
                <w:sz w:val="20"/>
                <w:szCs w:val="20"/>
                <w:lang w:val="en-US" w:eastAsia="en-US"/>
              </w:rPr>
              <w:t xml:space="preserve"> of rapamycin, no </w:t>
            </w:r>
            <w:r w:rsidRPr="00CE5C99">
              <w:rPr>
                <w:rFonts w:eastAsia="Times New Roman"/>
                <w:snapToGrid w:val="0"/>
                <w:sz w:val="20"/>
                <w:szCs w:val="20"/>
                <w:lang w:val="en-US" w:eastAsia="en-US"/>
              </w:rPr>
              <w:t>significant acute effects were evident on neuronal firing (excitatory neurotransmission).</w:t>
            </w:r>
          </w:p>
        </w:tc>
      </w:tr>
      <w:tr w:rsidR="006D4B5A" w:rsidRPr="00377BBF" w14:paraId="3F3C930D" w14:textId="77777777" w:rsidTr="006D4B5A">
        <w:tc>
          <w:tcPr>
            <w:tcW w:w="2518" w:type="dxa"/>
          </w:tcPr>
          <w:p w14:paraId="0E874E5D" w14:textId="77777777" w:rsidR="006D4B5A" w:rsidRPr="00A42C25" w:rsidRDefault="006D4B5A" w:rsidP="002709C3">
            <w:pPr>
              <w:spacing w:before="0" w:after="0" w:line="240" w:lineRule="auto"/>
              <w:rPr>
                <w:rFonts w:asciiTheme="minorHAnsi" w:eastAsia="Times New Roman" w:hAnsiTheme="minorHAnsi"/>
                <w:b/>
                <w:snapToGrid w:val="0"/>
                <w:sz w:val="20"/>
                <w:lang w:val="en-US" w:eastAsia="en-US"/>
              </w:rPr>
            </w:pPr>
            <w:proofErr w:type="spellStart"/>
            <w:r w:rsidRPr="00A42C25">
              <w:rPr>
                <w:rFonts w:asciiTheme="minorHAnsi" w:eastAsia="Times New Roman" w:hAnsiTheme="minorHAnsi"/>
                <w:b/>
                <w:snapToGrid w:val="0"/>
                <w:sz w:val="20"/>
                <w:lang w:val="en-US" w:eastAsia="en-US"/>
              </w:rPr>
              <w:t>Bateup</w:t>
            </w:r>
            <w:proofErr w:type="spellEnd"/>
            <w:r w:rsidRPr="00A42C25">
              <w:rPr>
                <w:rFonts w:asciiTheme="minorHAnsi" w:eastAsia="Times New Roman" w:hAnsiTheme="minorHAnsi"/>
                <w:b/>
                <w:snapToGrid w:val="0"/>
                <w:sz w:val="20"/>
                <w:lang w:val="en-US" w:eastAsia="en-US"/>
              </w:rPr>
              <w:t xml:space="preserve"> </w:t>
            </w:r>
            <w:r w:rsidRPr="00A42C25">
              <w:rPr>
                <w:rFonts w:asciiTheme="minorHAnsi" w:eastAsia="Times New Roman" w:hAnsiTheme="minorHAnsi"/>
                <w:b/>
                <w:i/>
                <w:snapToGrid w:val="0"/>
                <w:sz w:val="20"/>
                <w:lang w:val="en-US" w:eastAsia="en-US"/>
              </w:rPr>
              <w:t>et al</w:t>
            </w:r>
            <w:r w:rsidRPr="00A42C25">
              <w:rPr>
                <w:rFonts w:asciiTheme="minorHAnsi" w:eastAsia="Times New Roman" w:hAnsiTheme="minorHAnsi"/>
                <w:b/>
                <w:snapToGrid w:val="0"/>
                <w:sz w:val="20"/>
                <w:lang w:val="en-US" w:eastAsia="en-US"/>
              </w:rPr>
              <w:t>., 2013</w:t>
            </w:r>
            <w:r w:rsidR="002709C3">
              <w:rPr>
                <w:rStyle w:val="FootnoteReference"/>
                <w:rFonts w:asciiTheme="minorHAnsi" w:eastAsia="Times New Roman" w:hAnsiTheme="minorHAnsi"/>
                <w:b/>
                <w:snapToGrid w:val="0"/>
                <w:sz w:val="20"/>
                <w:lang w:val="en-US" w:eastAsia="en-US"/>
              </w:rPr>
              <w:footnoteReference w:id="5"/>
            </w:r>
          </w:p>
          <w:p w14:paraId="77D5ED6B" w14:textId="77777777" w:rsidR="006D4B5A" w:rsidRPr="008E4A23" w:rsidRDefault="008E4A23" w:rsidP="008E4A23">
            <w:pPr>
              <w:spacing w:before="0" w:after="0" w:line="240" w:lineRule="auto"/>
              <w:rPr>
                <w:rFonts w:asciiTheme="minorHAnsi" w:eastAsia="Times New Roman" w:hAnsiTheme="minorHAnsi"/>
                <w:i/>
                <w:snapToGrid w:val="0"/>
                <w:sz w:val="20"/>
                <w:lang w:val="en-US" w:eastAsia="en-US"/>
              </w:rPr>
            </w:pPr>
            <w:r>
              <w:rPr>
                <w:rFonts w:asciiTheme="minorHAnsi" w:eastAsia="Times New Roman" w:hAnsiTheme="minorHAnsi"/>
                <w:i/>
                <w:snapToGrid w:val="0"/>
                <w:sz w:val="20"/>
                <w:lang w:val="en-US" w:eastAsia="en-US"/>
              </w:rPr>
              <w:t xml:space="preserve">In vitro </w:t>
            </w:r>
            <w:r w:rsidR="006D4B5A" w:rsidRPr="00A42C25">
              <w:rPr>
                <w:rFonts w:asciiTheme="minorHAnsi" w:eastAsia="Times New Roman" w:hAnsiTheme="minorHAnsi"/>
                <w:i/>
                <w:snapToGrid w:val="0"/>
                <w:sz w:val="20"/>
                <w:lang w:val="en-US" w:eastAsia="en-US"/>
              </w:rPr>
              <w:t xml:space="preserve">Effects of rapamycin on </w:t>
            </w:r>
          </w:p>
          <w:p w14:paraId="65022571" w14:textId="77777777" w:rsidR="006D4B5A" w:rsidRPr="00A42C25" w:rsidRDefault="006D4B5A" w:rsidP="006D4B5A">
            <w:pPr>
              <w:spacing w:before="0" w:after="0" w:line="240" w:lineRule="auto"/>
              <w:rPr>
                <w:rFonts w:asciiTheme="minorHAnsi" w:eastAsia="Times New Roman" w:hAnsiTheme="minorHAnsi"/>
                <w:snapToGrid w:val="0"/>
                <w:sz w:val="20"/>
                <w:lang w:val="en-US" w:eastAsia="en-US"/>
              </w:rPr>
            </w:pPr>
            <w:r w:rsidRPr="00A42C25">
              <w:rPr>
                <w:rFonts w:asciiTheme="minorHAnsi" w:eastAsia="Times New Roman" w:hAnsiTheme="minorHAnsi"/>
                <w:i/>
                <w:snapToGrid w:val="0"/>
                <w:sz w:val="20"/>
                <w:lang w:eastAsia="en-US"/>
              </w:rPr>
              <w:t>neural network activity</w:t>
            </w:r>
            <w:r w:rsidRPr="00A42C25">
              <w:rPr>
                <w:rFonts w:asciiTheme="minorHAnsi" w:eastAsia="Times New Roman" w:hAnsiTheme="minorHAnsi"/>
                <w:snapToGrid w:val="0"/>
                <w:sz w:val="20"/>
                <w:lang w:eastAsia="en-US"/>
              </w:rPr>
              <w:t xml:space="preserve"> in cultured </w:t>
            </w:r>
            <w:r w:rsidRPr="00A42C25">
              <w:rPr>
                <w:rFonts w:asciiTheme="minorHAnsi" w:eastAsia="Times New Roman" w:hAnsiTheme="minorHAnsi"/>
                <w:snapToGrid w:val="0"/>
                <w:sz w:val="20"/>
                <w:lang w:eastAsia="en-US"/>
              </w:rPr>
              <w:lastRenderedPageBreak/>
              <w:t xml:space="preserve">hippocampal neurons from conditional TSC1 knockout mice </w:t>
            </w:r>
          </w:p>
        </w:tc>
        <w:tc>
          <w:tcPr>
            <w:tcW w:w="6946" w:type="dxa"/>
          </w:tcPr>
          <w:p w14:paraId="1E635EC2" w14:textId="77777777" w:rsidR="006D4B5A" w:rsidRPr="00CE5C99" w:rsidRDefault="006D4B5A" w:rsidP="00CE5C99">
            <w:pPr>
              <w:rPr>
                <w:snapToGrid w:val="0"/>
                <w:sz w:val="20"/>
                <w:szCs w:val="20"/>
                <w:lang w:eastAsia="en-US"/>
              </w:rPr>
            </w:pPr>
            <w:r w:rsidRPr="00CE5C99">
              <w:rPr>
                <w:snapToGrid w:val="0"/>
                <w:sz w:val="20"/>
                <w:szCs w:val="20"/>
                <w:lang w:eastAsia="en-US"/>
              </w:rPr>
              <w:lastRenderedPageBreak/>
              <w:t xml:space="preserve">Firing rate in neuronal cultures reflecting synaptic activity and intrinsic excitability (driven by ion channel expression and function) of neurons from TSC1 </w:t>
            </w:r>
            <w:r w:rsidR="008E4A23" w:rsidRPr="00CE5C99">
              <w:rPr>
                <w:snapToGrid w:val="0"/>
                <w:sz w:val="20"/>
                <w:szCs w:val="20"/>
                <w:lang w:eastAsia="en-US"/>
              </w:rPr>
              <w:t>knockout (</w:t>
            </w:r>
            <w:r w:rsidRPr="00CE5C99">
              <w:rPr>
                <w:snapToGrid w:val="0"/>
                <w:sz w:val="20"/>
                <w:szCs w:val="20"/>
                <w:lang w:eastAsia="en-US"/>
              </w:rPr>
              <w:t>KO</w:t>
            </w:r>
            <w:r w:rsidR="008E4A23" w:rsidRPr="00CE5C99">
              <w:rPr>
                <w:snapToGrid w:val="0"/>
                <w:sz w:val="20"/>
                <w:szCs w:val="20"/>
                <w:lang w:eastAsia="en-US"/>
              </w:rPr>
              <w:t>)</w:t>
            </w:r>
            <w:r w:rsidRPr="00CE5C99">
              <w:rPr>
                <w:snapToGrid w:val="0"/>
                <w:sz w:val="20"/>
                <w:szCs w:val="20"/>
                <w:lang w:eastAsia="en-US"/>
              </w:rPr>
              <w:t xml:space="preserve"> mice was significantly elevated </w:t>
            </w:r>
            <w:r w:rsidR="008E4A23" w:rsidRPr="00CE5C99">
              <w:rPr>
                <w:snapToGrid w:val="0"/>
                <w:sz w:val="20"/>
                <w:szCs w:val="20"/>
                <w:lang w:eastAsia="en-US"/>
              </w:rPr>
              <w:t>compared</w:t>
            </w:r>
            <w:r w:rsidRPr="00CE5C99">
              <w:rPr>
                <w:snapToGrid w:val="0"/>
                <w:sz w:val="20"/>
                <w:szCs w:val="20"/>
                <w:lang w:eastAsia="en-US"/>
              </w:rPr>
              <w:t xml:space="preserve"> to wild-type neurons.</w:t>
            </w:r>
          </w:p>
          <w:p w14:paraId="6536F1DF" w14:textId="77777777" w:rsidR="006D4B5A" w:rsidRPr="00CE5C99" w:rsidRDefault="006D4B5A" w:rsidP="00CE5C99">
            <w:pPr>
              <w:rPr>
                <w:snapToGrid w:val="0"/>
                <w:sz w:val="20"/>
                <w:szCs w:val="20"/>
                <w:lang w:eastAsia="en-US"/>
              </w:rPr>
            </w:pPr>
            <w:r w:rsidRPr="00CE5C99">
              <w:rPr>
                <w:snapToGrid w:val="0"/>
                <w:sz w:val="20"/>
                <w:szCs w:val="20"/>
                <w:lang w:val="en-US" w:eastAsia="en-US"/>
              </w:rPr>
              <w:lastRenderedPageBreak/>
              <w:t>Loss of TSC1 in hippocampal</w:t>
            </w:r>
            <w:r w:rsidRPr="00A42C25">
              <w:rPr>
                <w:snapToGrid w:val="0"/>
                <w:lang w:val="en-US" w:eastAsia="en-US"/>
              </w:rPr>
              <w:t xml:space="preserve"> </w:t>
            </w:r>
            <w:r w:rsidRPr="00CE5C99">
              <w:rPr>
                <w:snapToGrid w:val="0"/>
                <w:sz w:val="20"/>
                <w:szCs w:val="20"/>
                <w:lang w:val="en-US" w:eastAsia="en-US"/>
              </w:rPr>
              <w:t>CA1 pyramidal neurons led to an altered ratio of excitatory and inhibitory synaptic transmission leading to hyper-excitability.</w:t>
            </w:r>
          </w:p>
          <w:p w14:paraId="07E9D719" w14:textId="77777777" w:rsidR="006D4B5A" w:rsidRPr="00CE5C99" w:rsidRDefault="006D4B5A" w:rsidP="00CE5C99">
            <w:pPr>
              <w:rPr>
                <w:snapToGrid w:val="0"/>
                <w:sz w:val="20"/>
                <w:szCs w:val="20"/>
                <w:lang w:eastAsia="en-US"/>
              </w:rPr>
            </w:pPr>
            <w:r w:rsidRPr="00CE5C99">
              <w:rPr>
                <w:snapToGrid w:val="0"/>
                <w:sz w:val="20"/>
                <w:szCs w:val="20"/>
                <w:lang w:eastAsia="en-US"/>
              </w:rPr>
              <w:t xml:space="preserve">Rapamycin (50 </w:t>
            </w:r>
            <w:proofErr w:type="spellStart"/>
            <w:proofErr w:type="gramStart"/>
            <w:r w:rsidRPr="00CE5C99">
              <w:rPr>
                <w:snapToGrid w:val="0"/>
                <w:sz w:val="20"/>
                <w:szCs w:val="20"/>
                <w:lang w:eastAsia="en-US"/>
              </w:rPr>
              <w:t>nM</w:t>
            </w:r>
            <w:proofErr w:type="spellEnd"/>
            <w:r w:rsidRPr="00CE5C99">
              <w:rPr>
                <w:snapToGrid w:val="0"/>
                <w:sz w:val="20"/>
                <w:szCs w:val="20"/>
                <w:lang w:eastAsia="en-US"/>
              </w:rPr>
              <w:t xml:space="preserve"> )</w:t>
            </w:r>
            <w:proofErr w:type="gramEnd"/>
            <w:r w:rsidRPr="00CE5C99">
              <w:rPr>
                <w:snapToGrid w:val="0"/>
                <w:sz w:val="20"/>
                <w:szCs w:val="20"/>
                <w:lang w:eastAsia="en-US"/>
              </w:rPr>
              <w:t xml:space="preserve"> resulted in a gradual and marked decrease in firing rate in TSC1 KO neurons (with only a very modest effect in the wild type).</w:t>
            </w:r>
          </w:p>
          <w:p w14:paraId="30EDA0D1" w14:textId="77777777" w:rsidR="006D4B5A" w:rsidRPr="00CE5C99" w:rsidRDefault="006D4B5A" w:rsidP="00CE5C99">
            <w:pPr>
              <w:rPr>
                <w:snapToGrid w:val="0"/>
                <w:sz w:val="20"/>
                <w:szCs w:val="20"/>
                <w:lang w:eastAsia="en-US"/>
              </w:rPr>
            </w:pPr>
            <w:r w:rsidRPr="00CE5C99">
              <w:rPr>
                <w:snapToGrid w:val="0"/>
                <w:sz w:val="20"/>
                <w:szCs w:val="20"/>
                <w:lang w:eastAsia="en-US"/>
              </w:rPr>
              <w:t>The rapamycin-induced decrease in firing frequency in TSC1 KO neurons occurred after two days with max</w:t>
            </w:r>
            <w:r w:rsidR="00CE5C99" w:rsidRPr="00CE5C99">
              <w:rPr>
                <w:snapToGrid w:val="0"/>
                <w:sz w:val="20"/>
                <w:szCs w:val="20"/>
                <w:lang w:eastAsia="en-US"/>
              </w:rPr>
              <w:t xml:space="preserve">imum effects seen in 4 to </w:t>
            </w:r>
            <w:r w:rsidRPr="00CE5C99">
              <w:rPr>
                <w:snapToGrid w:val="0"/>
                <w:sz w:val="20"/>
                <w:szCs w:val="20"/>
                <w:lang w:eastAsia="en-US"/>
              </w:rPr>
              <w:t>5 days. This slow onset of action is in accord with corrections in</w:t>
            </w:r>
            <w:r w:rsidRPr="00A42C25">
              <w:rPr>
                <w:snapToGrid w:val="0"/>
                <w:lang w:eastAsia="en-US"/>
              </w:rPr>
              <w:t xml:space="preserve"> </w:t>
            </w:r>
            <w:r w:rsidRPr="00CE5C99">
              <w:rPr>
                <w:snapToGrid w:val="0"/>
                <w:sz w:val="20"/>
                <w:szCs w:val="20"/>
                <w:lang w:eastAsia="en-US"/>
              </w:rPr>
              <w:t xml:space="preserve">transcriptional/translational changes induced by </w:t>
            </w:r>
            <w:proofErr w:type="spellStart"/>
            <w:r w:rsidRPr="00CE5C99">
              <w:rPr>
                <w:snapToGrid w:val="0"/>
                <w:sz w:val="20"/>
                <w:szCs w:val="20"/>
                <w:lang w:eastAsia="en-US"/>
              </w:rPr>
              <w:t>mTOR</w:t>
            </w:r>
            <w:proofErr w:type="spellEnd"/>
            <w:r w:rsidRPr="00CE5C99">
              <w:rPr>
                <w:snapToGrid w:val="0"/>
                <w:sz w:val="20"/>
                <w:szCs w:val="20"/>
                <w:lang w:eastAsia="en-US"/>
              </w:rPr>
              <w:t xml:space="preserve"> hyperactivity.</w:t>
            </w:r>
          </w:p>
          <w:p w14:paraId="273F3763" w14:textId="77777777" w:rsidR="006D4B5A" w:rsidRPr="00A42C25" w:rsidRDefault="006D4B5A" w:rsidP="006D4B5A">
            <w:pPr>
              <w:spacing w:before="0" w:after="0" w:line="240" w:lineRule="auto"/>
              <w:rPr>
                <w:rFonts w:asciiTheme="minorHAnsi" w:eastAsia="Times New Roman" w:hAnsiTheme="minorHAnsi"/>
                <w:snapToGrid w:val="0"/>
                <w:sz w:val="20"/>
                <w:lang w:val="en-US" w:eastAsia="en-US"/>
              </w:rPr>
            </w:pPr>
            <w:r w:rsidRPr="00A42C25">
              <w:rPr>
                <w:rFonts w:asciiTheme="minorHAnsi" w:eastAsia="Times New Roman" w:hAnsiTheme="minorHAnsi"/>
                <w:i/>
                <w:snapToGrid w:val="0"/>
                <w:sz w:val="20"/>
                <w:lang w:val="en-US" w:eastAsia="en-US"/>
              </w:rPr>
              <w:t xml:space="preserve">Conclusion. </w:t>
            </w:r>
            <w:r w:rsidRPr="00A42C25">
              <w:rPr>
                <w:rFonts w:asciiTheme="minorHAnsi" w:eastAsia="Times New Roman" w:hAnsiTheme="minorHAnsi"/>
                <w:snapToGrid w:val="0"/>
                <w:sz w:val="20"/>
                <w:lang w:eastAsia="en-US"/>
              </w:rPr>
              <w:t xml:space="preserve">The mechanism of action of </w:t>
            </w:r>
            <w:proofErr w:type="spellStart"/>
            <w:r w:rsidRPr="00A42C25">
              <w:rPr>
                <w:rFonts w:asciiTheme="minorHAnsi" w:eastAsia="Times New Roman" w:hAnsiTheme="minorHAnsi"/>
                <w:snapToGrid w:val="0"/>
                <w:sz w:val="20"/>
                <w:lang w:eastAsia="en-US"/>
              </w:rPr>
              <w:t>mTOR</w:t>
            </w:r>
            <w:proofErr w:type="spellEnd"/>
            <w:r w:rsidRPr="00A42C25">
              <w:rPr>
                <w:rFonts w:asciiTheme="minorHAnsi" w:eastAsia="Times New Roman" w:hAnsiTheme="minorHAnsi"/>
                <w:snapToGrid w:val="0"/>
                <w:sz w:val="20"/>
                <w:lang w:eastAsia="en-US"/>
              </w:rPr>
              <w:t xml:space="preserve"> inhibitors such as rapamycin against seizures in TSC is probabl</w:t>
            </w:r>
            <w:r w:rsidR="008E4A23">
              <w:rPr>
                <w:rFonts w:asciiTheme="minorHAnsi" w:eastAsia="Times New Roman" w:hAnsiTheme="minorHAnsi"/>
                <w:snapToGrid w:val="0"/>
                <w:sz w:val="20"/>
                <w:lang w:eastAsia="en-US"/>
              </w:rPr>
              <w:t xml:space="preserve">y due to normalization of </w:t>
            </w:r>
            <w:proofErr w:type="spellStart"/>
            <w:r w:rsidR="008E4A23">
              <w:rPr>
                <w:rFonts w:asciiTheme="minorHAnsi" w:eastAsia="Times New Roman" w:hAnsiTheme="minorHAnsi"/>
                <w:snapToGrid w:val="0"/>
                <w:sz w:val="20"/>
                <w:lang w:eastAsia="en-US"/>
              </w:rPr>
              <w:t>mTOR</w:t>
            </w:r>
            <w:proofErr w:type="spellEnd"/>
            <w:r w:rsidR="008E4A23">
              <w:rPr>
                <w:rFonts w:asciiTheme="minorHAnsi" w:eastAsia="Times New Roman" w:hAnsiTheme="minorHAnsi"/>
                <w:snapToGrid w:val="0"/>
                <w:sz w:val="20"/>
                <w:lang w:eastAsia="en-US"/>
              </w:rPr>
              <w:t>.</w:t>
            </w:r>
          </w:p>
        </w:tc>
      </w:tr>
      <w:tr w:rsidR="006D4B5A" w:rsidRPr="00A42C25" w14:paraId="0529F2E9" w14:textId="77777777" w:rsidTr="006D4B5A">
        <w:tc>
          <w:tcPr>
            <w:tcW w:w="2518" w:type="dxa"/>
          </w:tcPr>
          <w:p w14:paraId="11E23B82" w14:textId="6E38F19F" w:rsidR="006D4B5A" w:rsidRPr="008E4A23" w:rsidRDefault="006D4B5A" w:rsidP="008E4A23">
            <w:pPr>
              <w:spacing w:before="0" w:after="0" w:line="240" w:lineRule="auto"/>
              <w:rPr>
                <w:rFonts w:asciiTheme="minorHAnsi" w:eastAsia="Times New Roman" w:hAnsiTheme="minorHAnsi"/>
                <w:i/>
                <w:snapToGrid w:val="0"/>
                <w:sz w:val="20"/>
                <w:lang w:eastAsia="en-US"/>
              </w:rPr>
            </w:pPr>
            <w:r w:rsidRPr="00A42C25">
              <w:rPr>
                <w:rFonts w:asciiTheme="minorHAnsi" w:eastAsia="Times New Roman" w:hAnsiTheme="minorHAnsi"/>
                <w:b/>
                <w:snapToGrid w:val="0"/>
                <w:sz w:val="20"/>
                <w:lang w:val="en-US" w:eastAsia="en-US"/>
              </w:rPr>
              <w:lastRenderedPageBreak/>
              <w:t xml:space="preserve">McMahon </w:t>
            </w:r>
            <w:r w:rsidRPr="00A42C25">
              <w:rPr>
                <w:rFonts w:asciiTheme="minorHAnsi" w:eastAsia="Times New Roman" w:hAnsiTheme="minorHAnsi"/>
                <w:b/>
                <w:i/>
                <w:snapToGrid w:val="0"/>
                <w:sz w:val="20"/>
                <w:lang w:val="en-US" w:eastAsia="en-US"/>
              </w:rPr>
              <w:t>et al</w:t>
            </w:r>
            <w:r w:rsidRPr="00A42C25">
              <w:rPr>
                <w:rFonts w:asciiTheme="minorHAnsi" w:eastAsia="Times New Roman" w:hAnsiTheme="minorHAnsi"/>
                <w:b/>
                <w:snapToGrid w:val="0"/>
                <w:sz w:val="20"/>
                <w:lang w:val="en-US" w:eastAsia="en-US"/>
              </w:rPr>
              <w:t>., 2012</w:t>
            </w:r>
            <w:r w:rsidR="00DD3A0D">
              <w:rPr>
                <w:rFonts w:asciiTheme="minorHAnsi" w:eastAsia="Times New Roman" w:hAnsiTheme="minorHAnsi"/>
                <w:b/>
                <w:snapToGrid w:val="0"/>
                <w:sz w:val="20"/>
                <w:lang w:val="en-US" w:eastAsia="en-US"/>
              </w:rPr>
              <w:t>;</w:t>
            </w:r>
            <w:r w:rsidR="002709C3">
              <w:rPr>
                <w:rStyle w:val="FootnoteReference"/>
                <w:rFonts w:asciiTheme="minorHAnsi" w:eastAsia="Times New Roman" w:hAnsiTheme="minorHAnsi"/>
                <w:b/>
                <w:snapToGrid w:val="0"/>
                <w:sz w:val="20"/>
                <w:lang w:val="en-US" w:eastAsia="en-US"/>
              </w:rPr>
              <w:footnoteReference w:id="6"/>
            </w:r>
            <w:r>
              <w:rPr>
                <w:rFonts w:asciiTheme="minorHAnsi" w:eastAsia="Times New Roman" w:hAnsiTheme="minorHAnsi"/>
                <w:snapToGrid w:val="0"/>
                <w:sz w:val="20"/>
                <w:lang w:eastAsia="en-US"/>
              </w:rPr>
              <w:t xml:space="preserve"> </w:t>
            </w:r>
            <w:r w:rsidRPr="00A42C25">
              <w:rPr>
                <w:rFonts w:asciiTheme="minorHAnsi" w:eastAsia="Times New Roman" w:hAnsiTheme="minorHAnsi"/>
                <w:i/>
                <w:snapToGrid w:val="0"/>
                <w:sz w:val="20"/>
                <w:lang w:eastAsia="en-US"/>
              </w:rPr>
              <w:t xml:space="preserve">Mouse model with forebrain deficient in autophagy </w:t>
            </w:r>
            <w:r w:rsidR="008E4A23">
              <w:rPr>
                <w:rFonts w:asciiTheme="minorHAnsi" w:eastAsia="Times New Roman" w:hAnsiTheme="minorHAnsi"/>
                <w:i/>
                <w:snapToGrid w:val="0"/>
                <w:sz w:val="20"/>
                <w:lang w:eastAsia="en-US"/>
              </w:rPr>
              <w:t xml:space="preserve"> </w:t>
            </w:r>
            <w:r w:rsidRPr="00A42C25">
              <w:rPr>
                <w:rFonts w:asciiTheme="minorHAnsi" w:eastAsia="Times New Roman" w:hAnsiTheme="minorHAnsi"/>
                <w:snapToGrid w:val="0"/>
                <w:sz w:val="20"/>
                <w:lang w:eastAsia="en-US"/>
              </w:rPr>
              <w:t>following conditional deletion of ATG7 (a </w:t>
            </w:r>
            <w:r w:rsidRPr="00A42C25">
              <w:rPr>
                <w:rFonts w:asciiTheme="minorHAnsi" w:eastAsia="Times New Roman" w:hAnsiTheme="minorHAnsi"/>
                <w:snapToGrid w:val="0"/>
                <w:sz w:val="20"/>
                <w:lang w:val="en-US" w:eastAsia="en-US"/>
              </w:rPr>
              <w:t>regulator of autophagy)</w:t>
            </w:r>
          </w:p>
        </w:tc>
        <w:tc>
          <w:tcPr>
            <w:tcW w:w="6946" w:type="dxa"/>
          </w:tcPr>
          <w:p w14:paraId="2F119F47" w14:textId="77777777" w:rsidR="006D4B5A" w:rsidRDefault="006D4B5A" w:rsidP="006D4B5A">
            <w:pPr>
              <w:spacing w:before="0" w:line="240" w:lineRule="auto"/>
              <w:rPr>
                <w:rFonts w:asciiTheme="minorHAnsi" w:eastAsia="Times New Roman" w:hAnsiTheme="minorHAnsi"/>
                <w:snapToGrid w:val="0"/>
                <w:sz w:val="20"/>
                <w:lang w:eastAsia="en-US"/>
              </w:rPr>
            </w:pPr>
            <w:r w:rsidRPr="00A42C25">
              <w:rPr>
                <w:rFonts w:asciiTheme="minorHAnsi" w:eastAsia="Times New Roman" w:hAnsiTheme="minorHAnsi"/>
                <w:snapToGrid w:val="0"/>
                <w:sz w:val="20"/>
                <w:lang w:eastAsia="en-US"/>
              </w:rPr>
              <w:t>Autophagy was also suppresse</w:t>
            </w:r>
            <w:r w:rsidR="008E4A23">
              <w:rPr>
                <w:rFonts w:asciiTheme="minorHAnsi" w:eastAsia="Times New Roman" w:hAnsiTheme="minorHAnsi"/>
                <w:snapToGrid w:val="0"/>
                <w:sz w:val="20"/>
                <w:lang w:eastAsia="en-US"/>
              </w:rPr>
              <w:t xml:space="preserve">d in brain tissues of forebrain </w:t>
            </w:r>
            <w:r w:rsidRPr="00A42C25">
              <w:rPr>
                <w:rFonts w:asciiTheme="minorHAnsi" w:eastAsia="Times New Roman" w:hAnsiTheme="minorHAnsi"/>
                <w:snapToGrid w:val="0"/>
                <w:sz w:val="20"/>
                <w:lang w:eastAsia="en-US"/>
              </w:rPr>
              <w:t>specific cond</w:t>
            </w:r>
            <w:r w:rsidR="008E4A23">
              <w:rPr>
                <w:rFonts w:asciiTheme="minorHAnsi" w:eastAsia="Times New Roman" w:hAnsiTheme="minorHAnsi"/>
                <w:snapToGrid w:val="0"/>
                <w:sz w:val="20"/>
                <w:lang w:eastAsia="en-US"/>
              </w:rPr>
              <w:t xml:space="preserve">itional TSC1 knock-out (KO) and </w:t>
            </w:r>
            <w:r w:rsidRPr="00A42C25">
              <w:rPr>
                <w:rFonts w:asciiTheme="minorHAnsi" w:eastAsia="Times New Roman" w:hAnsiTheme="minorHAnsi"/>
                <w:snapToGrid w:val="0"/>
                <w:sz w:val="20"/>
                <w:lang w:eastAsia="en-US"/>
              </w:rPr>
              <w:t>phosphatase/</w:t>
            </w:r>
            <w:proofErr w:type="spellStart"/>
            <w:r w:rsidRPr="00A42C25">
              <w:rPr>
                <w:rFonts w:asciiTheme="minorHAnsi" w:eastAsia="Times New Roman" w:hAnsiTheme="minorHAnsi"/>
                <w:snapToGrid w:val="0"/>
                <w:sz w:val="20"/>
                <w:lang w:eastAsia="en-US"/>
              </w:rPr>
              <w:t>tensin</w:t>
            </w:r>
            <w:proofErr w:type="spellEnd"/>
            <w:r w:rsidRPr="00A42C25">
              <w:rPr>
                <w:rFonts w:asciiTheme="minorHAnsi" w:eastAsia="Times New Roman" w:hAnsiTheme="minorHAnsi"/>
                <w:snapToGrid w:val="0"/>
                <w:sz w:val="20"/>
                <w:lang w:eastAsia="en-US"/>
              </w:rPr>
              <w:t xml:space="preserve"> homolog (PTEN) KO mice (both of which display aberrant </w:t>
            </w:r>
            <w:proofErr w:type="spellStart"/>
            <w:r w:rsidRPr="00A42C25">
              <w:rPr>
                <w:rFonts w:asciiTheme="minorHAnsi" w:eastAsia="Times New Roman" w:hAnsiTheme="minorHAnsi"/>
                <w:snapToGrid w:val="0"/>
                <w:sz w:val="20"/>
                <w:lang w:eastAsia="en-US"/>
              </w:rPr>
              <w:t>mTOR</w:t>
            </w:r>
            <w:proofErr w:type="spellEnd"/>
            <w:r w:rsidRPr="00A42C25">
              <w:rPr>
                <w:rFonts w:asciiTheme="minorHAnsi" w:eastAsia="Times New Roman" w:hAnsiTheme="minorHAnsi"/>
                <w:snapToGrid w:val="0"/>
                <w:sz w:val="20"/>
                <w:lang w:eastAsia="en-US"/>
              </w:rPr>
              <w:t xml:space="preserve"> activation and seizures as early as 5 weeks of age with associated increased mortality</w:t>
            </w:r>
            <w:r w:rsidRPr="00A42C25">
              <w:rPr>
                <w:sz w:val="20"/>
              </w:rPr>
              <w:t xml:space="preserve"> especially </w:t>
            </w:r>
            <w:r w:rsidRPr="00A42C25">
              <w:rPr>
                <w:rFonts w:asciiTheme="minorHAnsi" w:eastAsia="Times New Roman" w:hAnsiTheme="minorHAnsi"/>
                <w:snapToGrid w:val="0"/>
                <w:sz w:val="20"/>
                <w:lang w:eastAsia="en-US"/>
              </w:rPr>
              <w:t>between postnata</w:t>
            </w:r>
            <w:r w:rsidR="00CE5C99">
              <w:rPr>
                <w:rFonts w:asciiTheme="minorHAnsi" w:eastAsia="Times New Roman" w:hAnsiTheme="minorHAnsi"/>
                <w:snapToGrid w:val="0"/>
                <w:sz w:val="20"/>
                <w:lang w:eastAsia="en-US"/>
              </w:rPr>
              <w:t>l W</w:t>
            </w:r>
            <w:r w:rsidRPr="00A42C25">
              <w:rPr>
                <w:rFonts w:asciiTheme="minorHAnsi" w:eastAsia="Times New Roman" w:hAnsiTheme="minorHAnsi"/>
                <w:snapToGrid w:val="0"/>
                <w:sz w:val="20"/>
                <w:lang w:eastAsia="en-US"/>
              </w:rPr>
              <w:t>eeks 6 and 8). Mice with conditional deletion of ATG7 also exhibited spontaneous recurrent seizures.</w:t>
            </w:r>
          </w:p>
          <w:p w14:paraId="52183159" w14:textId="0965F1DC" w:rsidR="006D4B5A" w:rsidRPr="00A42C25" w:rsidRDefault="00526707" w:rsidP="006D4B5A">
            <w:pPr>
              <w:spacing w:before="0" w:line="240" w:lineRule="auto"/>
              <w:rPr>
                <w:rFonts w:asciiTheme="minorHAnsi" w:eastAsia="Times New Roman" w:hAnsiTheme="minorHAnsi"/>
                <w:snapToGrid w:val="0"/>
                <w:sz w:val="20"/>
                <w:lang w:val="en-US" w:eastAsia="en-US"/>
              </w:rPr>
            </w:pPr>
            <w:r>
              <w:rPr>
                <w:rFonts w:asciiTheme="minorHAnsi" w:eastAsia="Times New Roman" w:hAnsiTheme="minorHAnsi"/>
                <w:i/>
                <w:snapToGrid w:val="0"/>
                <w:sz w:val="20"/>
                <w:lang w:val="en-US" w:eastAsia="en-US"/>
              </w:rPr>
              <w:t xml:space="preserve">Conclusion. </w:t>
            </w:r>
            <w:r w:rsidR="00CE5C99">
              <w:rPr>
                <w:rFonts w:asciiTheme="minorHAnsi" w:eastAsia="Times New Roman" w:hAnsiTheme="minorHAnsi"/>
                <w:snapToGrid w:val="0"/>
                <w:sz w:val="20"/>
                <w:lang w:val="en-US" w:eastAsia="en-US"/>
              </w:rPr>
              <w:t>I</w:t>
            </w:r>
            <w:proofErr w:type="spellStart"/>
            <w:r w:rsidR="00CE5C99" w:rsidRPr="00A42C25">
              <w:rPr>
                <w:rFonts w:asciiTheme="minorHAnsi" w:eastAsia="Times New Roman" w:hAnsiTheme="minorHAnsi"/>
                <w:snapToGrid w:val="0"/>
                <w:sz w:val="20"/>
                <w:lang w:eastAsia="en-US"/>
              </w:rPr>
              <w:t>mpaired</w:t>
            </w:r>
            <w:proofErr w:type="spellEnd"/>
            <w:r w:rsidR="006D4B5A" w:rsidRPr="00A42C25">
              <w:rPr>
                <w:rFonts w:asciiTheme="minorHAnsi" w:eastAsia="Times New Roman" w:hAnsiTheme="minorHAnsi"/>
                <w:snapToGrid w:val="0"/>
                <w:sz w:val="20"/>
                <w:lang w:eastAsia="en-US"/>
              </w:rPr>
              <w:t xml:space="preserve"> autophagy may contribute to </w:t>
            </w:r>
            <w:proofErr w:type="spellStart"/>
            <w:r w:rsidR="006D4B5A" w:rsidRPr="00A42C25">
              <w:rPr>
                <w:rFonts w:asciiTheme="minorHAnsi" w:eastAsia="Times New Roman" w:hAnsiTheme="minorHAnsi"/>
                <w:snapToGrid w:val="0"/>
                <w:sz w:val="20"/>
                <w:lang w:eastAsia="en-US"/>
              </w:rPr>
              <w:t>epileptogenesis</w:t>
            </w:r>
            <w:proofErr w:type="spellEnd"/>
            <w:r w:rsidR="006D4B5A" w:rsidRPr="00A42C25">
              <w:rPr>
                <w:rFonts w:asciiTheme="minorHAnsi" w:eastAsia="Times New Roman" w:hAnsiTheme="minorHAnsi"/>
                <w:snapToGrid w:val="0"/>
                <w:sz w:val="20"/>
                <w:lang w:eastAsia="en-US"/>
              </w:rPr>
              <w:t xml:space="preserve"> in TSC.</w:t>
            </w:r>
          </w:p>
        </w:tc>
      </w:tr>
      <w:tr w:rsidR="006D4B5A" w:rsidRPr="007A1387" w14:paraId="69A522CB" w14:textId="77777777" w:rsidTr="006D4B5A">
        <w:tc>
          <w:tcPr>
            <w:tcW w:w="2518" w:type="dxa"/>
          </w:tcPr>
          <w:p w14:paraId="35588460" w14:textId="199A5128" w:rsidR="006D4B5A" w:rsidRPr="007A1387" w:rsidRDefault="006D4B5A" w:rsidP="006D4B5A">
            <w:pPr>
              <w:spacing w:before="0" w:after="0" w:line="240" w:lineRule="auto"/>
              <w:rPr>
                <w:rFonts w:asciiTheme="minorHAnsi" w:eastAsia="Times New Roman" w:hAnsiTheme="minorHAnsi"/>
                <w:b/>
                <w:snapToGrid w:val="0"/>
                <w:sz w:val="20"/>
                <w:lang w:val="en-US" w:eastAsia="en-US"/>
              </w:rPr>
            </w:pPr>
            <w:proofErr w:type="spellStart"/>
            <w:r w:rsidRPr="007A1387">
              <w:rPr>
                <w:rFonts w:asciiTheme="minorHAnsi" w:eastAsia="Times New Roman" w:hAnsiTheme="minorHAnsi"/>
                <w:b/>
                <w:snapToGrid w:val="0"/>
                <w:sz w:val="20"/>
                <w:lang w:val="en-US" w:eastAsia="en-US"/>
              </w:rPr>
              <w:t>Meikle</w:t>
            </w:r>
            <w:proofErr w:type="spellEnd"/>
            <w:r w:rsidRPr="007A1387">
              <w:rPr>
                <w:rFonts w:asciiTheme="minorHAnsi" w:eastAsia="Times New Roman" w:hAnsiTheme="minorHAnsi"/>
                <w:b/>
                <w:snapToGrid w:val="0"/>
                <w:sz w:val="20"/>
                <w:lang w:val="en-US" w:eastAsia="en-US"/>
              </w:rPr>
              <w:t xml:space="preserve"> </w:t>
            </w:r>
            <w:r w:rsidRPr="007A1387">
              <w:rPr>
                <w:rFonts w:asciiTheme="minorHAnsi" w:eastAsia="Times New Roman" w:hAnsiTheme="minorHAnsi"/>
                <w:b/>
                <w:i/>
                <w:snapToGrid w:val="0"/>
                <w:sz w:val="20"/>
                <w:lang w:val="en-US" w:eastAsia="en-US"/>
              </w:rPr>
              <w:t>et al</w:t>
            </w:r>
            <w:r>
              <w:rPr>
                <w:rFonts w:asciiTheme="minorHAnsi" w:eastAsia="Times New Roman" w:hAnsiTheme="minorHAnsi"/>
                <w:b/>
                <w:snapToGrid w:val="0"/>
                <w:sz w:val="20"/>
                <w:lang w:val="en-US" w:eastAsia="en-US"/>
              </w:rPr>
              <w:t>., 2007</w:t>
            </w:r>
            <w:r w:rsidR="00DD3A0D">
              <w:rPr>
                <w:rFonts w:asciiTheme="minorHAnsi" w:eastAsia="Times New Roman" w:hAnsiTheme="minorHAnsi"/>
                <w:b/>
                <w:snapToGrid w:val="0"/>
                <w:sz w:val="20"/>
                <w:lang w:val="en-US" w:eastAsia="en-US"/>
              </w:rPr>
              <w:t>;</w:t>
            </w:r>
            <w:r w:rsidR="002709C3">
              <w:rPr>
                <w:rStyle w:val="FootnoteReference"/>
                <w:rFonts w:asciiTheme="minorHAnsi" w:eastAsia="Times New Roman" w:hAnsiTheme="minorHAnsi"/>
                <w:b/>
                <w:snapToGrid w:val="0"/>
                <w:sz w:val="20"/>
                <w:lang w:val="en-US" w:eastAsia="en-US"/>
              </w:rPr>
              <w:footnoteReference w:id="7"/>
            </w:r>
          </w:p>
          <w:p w14:paraId="1FDB2567" w14:textId="77777777" w:rsidR="006D4B5A" w:rsidRPr="007A1387" w:rsidRDefault="006D4B5A" w:rsidP="006D4B5A">
            <w:pPr>
              <w:spacing w:before="0" w:after="0" w:line="240" w:lineRule="auto"/>
              <w:rPr>
                <w:rFonts w:asciiTheme="minorHAnsi" w:eastAsia="Times New Roman" w:hAnsiTheme="minorHAnsi"/>
                <w:snapToGrid w:val="0"/>
                <w:sz w:val="20"/>
                <w:lang w:val="en-US" w:eastAsia="en-US"/>
              </w:rPr>
            </w:pPr>
            <w:r w:rsidRPr="007A1387">
              <w:rPr>
                <w:rFonts w:asciiTheme="minorHAnsi" w:eastAsia="Times New Roman" w:hAnsiTheme="minorHAnsi"/>
                <w:i/>
                <w:snapToGrid w:val="0"/>
                <w:sz w:val="20"/>
                <w:lang w:eastAsia="en-US"/>
              </w:rPr>
              <w:t xml:space="preserve">Mouse neuronal model of TSC - </w:t>
            </w:r>
            <w:proofErr w:type="gramStart"/>
            <w:r w:rsidRPr="007A1387">
              <w:rPr>
                <w:rFonts w:asciiTheme="minorHAnsi" w:eastAsia="Times New Roman" w:hAnsiTheme="minorHAnsi"/>
                <w:i/>
                <w:snapToGrid w:val="0"/>
                <w:sz w:val="20"/>
                <w:lang w:eastAsia="en-US"/>
              </w:rPr>
              <w:t>Tsc1</w:t>
            </w:r>
            <w:r w:rsidRPr="007A1387">
              <w:rPr>
                <w:rFonts w:asciiTheme="minorHAnsi" w:eastAsia="Times New Roman" w:hAnsiTheme="minorHAnsi"/>
                <w:i/>
                <w:snapToGrid w:val="0"/>
                <w:sz w:val="20"/>
                <w:vertAlign w:val="superscript"/>
                <w:lang w:eastAsia="en-US"/>
              </w:rPr>
              <w:t>Synapsin</w:t>
            </w:r>
            <w:r w:rsidRPr="007A1387">
              <w:rPr>
                <w:rFonts w:asciiTheme="minorHAnsi" w:eastAsia="Times New Roman" w:hAnsiTheme="minorHAnsi"/>
                <w:snapToGrid w:val="0"/>
                <w:sz w:val="20"/>
                <w:vertAlign w:val="superscript"/>
                <w:lang w:eastAsia="en-US"/>
              </w:rPr>
              <w:t xml:space="preserve"> </w:t>
            </w:r>
            <w:r w:rsidRPr="007A1387">
              <w:rPr>
                <w:rFonts w:asciiTheme="minorHAnsi" w:eastAsia="Times New Roman" w:hAnsiTheme="minorHAnsi"/>
                <w:snapToGrid w:val="0"/>
                <w:sz w:val="20"/>
                <w:lang w:eastAsia="en-US"/>
              </w:rPr>
              <w:t>.</w:t>
            </w:r>
            <w:proofErr w:type="gramEnd"/>
            <w:r w:rsidRPr="007A1387">
              <w:rPr>
                <w:rFonts w:asciiTheme="minorHAnsi" w:eastAsia="Times New Roman" w:hAnsiTheme="minorHAnsi"/>
                <w:snapToGrid w:val="0"/>
                <w:sz w:val="20"/>
                <w:lang w:eastAsia="en-US"/>
              </w:rPr>
              <w:t xml:space="preserve"> C</w:t>
            </w:r>
            <w:r w:rsidRPr="007A1387">
              <w:rPr>
                <w:rFonts w:asciiTheme="minorHAnsi" w:eastAsia="Times New Roman" w:hAnsiTheme="minorHAnsi"/>
                <w:i/>
                <w:snapToGrid w:val="0"/>
                <w:sz w:val="20"/>
                <w:lang w:eastAsia="en-US"/>
              </w:rPr>
              <w:t>onditional knockout</w:t>
            </w:r>
            <w:r w:rsidRPr="007A1387">
              <w:rPr>
                <w:rFonts w:asciiTheme="minorHAnsi" w:eastAsia="Times New Roman" w:hAnsiTheme="minorHAnsi"/>
                <w:i/>
                <w:snapToGrid w:val="0"/>
                <w:sz w:val="20"/>
                <w:vertAlign w:val="superscript"/>
                <w:lang w:eastAsia="en-US"/>
              </w:rPr>
              <w:t xml:space="preserve"> </w:t>
            </w:r>
            <w:r w:rsidRPr="007A1387">
              <w:rPr>
                <w:rFonts w:asciiTheme="minorHAnsi" w:eastAsia="Times New Roman" w:hAnsiTheme="minorHAnsi"/>
                <w:i/>
                <w:snapToGrid w:val="0"/>
                <w:sz w:val="20"/>
                <w:lang w:eastAsia="en-US"/>
              </w:rPr>
              <w:t>(CKO) mouse</w:t>
            </w:r>
            <w:r>
              <w:rPr>
                <w:rFonts w:asciiTheme="minorHAnsi" w:eastAsia="Times New Roman" w:hAnsiTheme="minorHAnsi"/>
                <w:snapToGrid w:val="0"/>
                <w:sz w:val="20"/>
                <w:lang w:eastAsia="en-US"/>
              </w:rPr>
              <w:t xml:space="preserve"> </w:t>
            </w:r>
            <w:r w:rsidRPr="007A1387">
              <w:rPr>
                <w:rFonts w:asciiTheme="minorHAnsi" w:eastAsia="Times New Roman" w:hAnsiTheme="minorHAnsi"/>
                <w:snapToGrid w:val="0"/>
                <w:sz w:val="20"/>
                <w:lang w:eastAsia="en-US"/>
              </w:rPr>
              <w:t xml:space="preserve">using synapsin-1 promoter to drive </w:t>
            </w:r>
            <w:proofErr w:type="spellStart"/>
            <w:r w:rsidRPr="007A1387">
              <w:rPr>
                <w:rFonts w:asciiTheme="minorHAnsi" w:eastAsia="Times New Roman" w:hAnsiTheme="minorHAnsi"/>
                <w:snapToGrid w:val="0"/>
                <w:sz w:val="20"/>
                <w:lang w:eastAsia="en-US"/>
              </w:rPr>
              <w:t>Cre</w:t>
            </w:r>
            <w:proofErr w:type="spellEnd"/>
            <w:r w:rsidRPr="007A1387">
              <w:rPr>
                <w:rFonts w:asciiTheme="minorHAnsi" w:eastAsia="Times New Roman" w:hAnsiTheme="minorHAnsi"/>
                <w:snapToGrid w:val="0"/>
                <w:sz w:val="20"/>
                <w:lang w:eastAsia="en-US"/>
              </w:rPr>
              <w:t xml:space="preserve"> recombinase and generate homozygous deletion of Tsc1 in most </w:t>
            </w:r>
            <w:proofErr w:type="spellStart"/>
            <w:r w:rsidRPr="007A1387">
              <w:rPr>
                <w:rFonts w:asciiTheme="minorHAnsi" w:eastAsia="Times New Roman" w:hAnsiTheme="minorHAnsi"/>
                <w:snapToGrid w:val="0"/>
                <w:sz w:val="20"/>
                <w:lang w:eastAsia="en-US"/>
              </w:rPr>
              <w:t>postmitotic</w:t>
            </w:r>
            <w:proofErr w:type="spellEnd"/>
            <w:r w:rsidRPr="007A1387">
              <w:rPr>
                <w:rFonts w:asciiTheme="minorHAnsi" w:eastAsia="Times New Roman" w:hAnsiTheme="minorHAnsi"/>
                <w:snapToGrid w:val="0"/>
                <w:sz w:val="20"/>
                <w:lang w:eastAsia="en-US"/>
              </w:rPr>
              <w:t xml:space="preserve"> neurons during cortical development</w:t>
            </w:r>
          </w:p>
        </w:tc>
        <w:tc>
          <w:tcPr>
            <w:tcW w:w="6946" w:type="dxa"/>
          </w:tcPr>
          <w:p w14:paraId="3536A1AE" w14:textId="77777777" w:rsidR="006D4B5A" w:rsidRDefault="006D4B5A" w:rsidP="006D4B5A">
            <w:pPr>
              <w:spacing w:before="0" w:line="240" w:lineRule="auto"/>
              <w:rPr>
                <w:rFonts w:asciiTheme="minorHAnsi" w:eastAsia="Times New Roman" w:hAnsiTheme="minorHAnsi"/>
                <w:snapToGrid w:val="0"/>
                <w:sz w:val="20"/>
                <w:lang w:eastAsia="en-US"/>
              </w:rPr>
            </w:pPr>
            <w:r w:rsidRPr="007A1387">
              <w:rPr>
                <w:rFonts w:asciiTheme="minorHAnsi" w:eastAsia="Times New Roman" w:hAnsiTheme="minorHAnsi"/>
                <w:snapToGrid w:val="0"/>
                <w:sz w:val="20"/>
                <w:lang w:eastAsia="en-US"/>
              </w:rPr>
              <w:t xml:space="preserve">Poor growth (delayed development) and premature death by 65 days of life. Mice showed </w:t>
            </w:r>
            <w:proofErr w:type="spellStart"/>
            <w:r w:rsidRPr="007A1387">
              <w:rPr>
                <w:rFonts w:asciiTheme="minorHAnsi" w:eastAsia="Times New Roman" w:hAnsiTheme="minorHAnsi"/>
                <w:snapToGrid w:val="0"/>
                <w:sz w:val="20"/>
                <w:lang w:eastAsia="en-US"/>
              </w:rPr>
              <w:t>neuropathologic</w:t>
            </w:r>
            <w:proofErr w:type="spellEnd"/>
            <w:r w:rsidRPr="007A1387">
              <w:rPr>
                <w:rFonts w:asciiTheme="minorHAnsi" w:eastAsia="Times New Roman" w:hAnsiTheme="minorHAnsi"/>
                <w:snapToGrid w:val="0"/>
                <w:sz w:val="20"/>
                <w:lang w:eastAsia="en-US"/>
              </w:rPr>
              <w:t xml:space="preserve"> abnormalities in many cortical and hippocampal neurons (ectopic, enlarged and dysmorphic neurons similar to dysmorphic neurons observed in TSC cortical tubers; increased levels of phosphorylated S6, a common marker of </w:t>
            </w:r>
            <w:proofErr w:type="spellStart"/>
            <w:r w:rsidRPr="007A1387">
              <w:rPr>
                <w:rFonts w:asciiTheme="minorHAnsi" w:eastAsia="Times New Roman" w:hAnsiTheme="minorHAnsi"/>
                <w:snapToGrid w:val="0"/>
                <w:sz w:val="20"/>
                <w:lang w:eastAsia="en-US"/>
              </w:rPr>
              <w:t>mTOR</w:t>
            </w:r>
            <w:proofErr w:type="spellEnd"/>
            <w:r w:rsidRPr="007A1387">
              <w:rPr>
                <w:rFonts w:asciiTheme="minorHAnsi" w:eastAsia="Times New Roman" w:hAnsiTheme="minorHAnsi"/>
                <w:snapToGrid w:val="0"/>
                <w:sz w:val="20"/>
                <w:lang w:eastAsia="en-US"/>
              </w:rPr>
              <w:t xml:space="preserve"> activation).</w:t>
            </w:r>
          </w:p>
          <w:p w14:paraId="0BE57212" w14:textId="77777777" w:rsidR="006D4B5A" w:rsidRDefault="006D4B5A" w:rsidP="006D4B5A">
            <w:pPr>
              <w:spacing w:before="0" w:line="240" w:lineRule="auto"/>
              <w:rPr>
                <w:rFonts w:asciiTheme="minorHAnsi" w:eastAsia="Times New Roman" w:hAnsiTheme="minorHAnsi"/>
                <w:snapToGrid w:val="0"/>
                <w:sz w:val="20"/>
                <w:lang w:eastAsia="en-US"/>
              </w:rPr>
            </w:pPr>
            <w:r w:rsidRPr="007A1387">
              <w:rPr>
                <w:rFonts w:asciiTheme="minorHAnsi" w:eastAsia="Times New Roman" w:hAnsiTheme="minorHAnsi"/>
                <w:snapToGrid w:val="0"/>
                <w:sz w:val="20"/>
                <w:lang w:eastAsia="en-US"/>
              </w:rPr>
              <w:t>Spontaneous seizures seen in a few mutants correlated with abnormal electroencephalographic activity</w:t>
            </w:r>
            <w:r>
              <w:rPr>
                <w:rFonts w:asciiTheme="minorHAnsi" w:eastAsia="Times New Roman" w:hAnsiTheme="minorHAnsi"/>
                <w:snapToGrid w:val="0"/>
                <w:sz w:val="20"/>
                <w:lang w:eastAsia="en-US"/>
              </w:rPr>
              <w:t>.</w:t>
            </w:r>
          </w:p>
          <w:p w14:paraId="7C55D88E" w14:textId="77777777" w:rsidR="006D4B5A" w:rsidRDefault="006D4B5A" w:rsidP="006D4B5A">
            <w:pPr>
              <w:spacing w:before="0" w:line="240" w:lineRule="auto"/>
              <w:rPr>
                <w:rFonts w:asciiTheme="minorHAnsi" w:eastAsia="Times New Roman" w:hAnsiTheme="minorHAnsi"/>
                <w:snapToGrid w:val="0"/>
                <w:sz w:val="20"/>
                <w:lang w:eastAsia="en-US"/>
              </w:rPr>
            </w:pPr>
            <w:r w:rsidRPr="007A1387">
              <w:rPr>
                <w:rFonts w:asciiTheme="minorHAnsi" w:eastAsia="Times New Roman" w:hAnsiTheme="minorHAnsi"/>
                <w:snapToGrid w:val="0"/>
                <w:sz w:val="20"/>
                <w:lang w:eastAsia="en-US"/>
              </w:rPr>
              <w:t xml:space="preserve">Handling-induced seizures </w:t>
            </w:r>
            <w:r>
              <w:rPr>
                <w:rFonts w:asciiTheme="minorHAnsi" w:eastAsia="Times New Roman" w:hAnsiTheme="minorHAnsi"/>
                <w:snapToGrid w:val="0"/>
                <w:sz w:val="20"/>
                <w:lang w:eastAsia="en-US"/>
              </w:rPr>
              <w:t>in a larger proportion of mice.</w:t>
            </w:r>
          </w:p>
          <w:p w14:paraId="0461AC63" w14:textId="77777777" w:rsidR="006D4B5A" w:rsidRDefault="006D4B5A" w:rsidP="006D4B5A">
            <w:pPr>
              <w:spacing w:before="0" w:line="240" w:lineRule="auto"/>
              <w:rPr>
                <w:rFonts w:asciiTheme="minorHAnsi" w:eastAsia="Times New Roman" w:hAnsiTheme="minorHAnsi"/>
                <w:snapToGrid w:val="0"/>
                <w:sz w:val="20"/>
                <w:lang w:eastAsia="en-US"/>
              </w:rPr>
            </w:pPr>
            <w:r w:rsidRPr="007A1387">
              <w:rPr>
                <w:rFonts w:asciiTheme="minorHAnsi" w:eastAsia="Times New Roman" w:hAnsiTheme="minorHAnsi"/>
                <w:snapToGrid w:val="0"/>
                <w:sz w:val="20"/>
                <w:lang w:eastAsia="en-US"/>
              </w:rPr>
              <w:t>Tsc1</w:t>
            </w:r>
            <w:r w:rsidRPr="007A1387">
              <w:rPr>
                <w:rFonts w:asciiTheme="minorHAnsi" w:eastAsia="Times New Roman" w:hAnsiTheme="minorHAnsi"/>
                <w:snapToGrid w:val="0"/>
                <w:sz w:val="20"/>
                <w:vertAlign w:val="superscript"/>
                <w:lang w:eastAsia="en-US"/>
              </w:rPr>
              <w:t>Synapsin</w:t>
            </w:r>
            <w:r w:rsidRPr="007A1387">
              <w:rPr>
                <w:rFonts w:asciiTheme="minorHAnsi" w:eastAsia="Times New Roman" w:hAnsiTheme="minorHAnsi"/>
                <w:snapToGrid w:val="0"/>
                <w:sz w:val="20"/>
                <w:lang w:eastAsia="en-US"/>
              </w:rPr>
              <w:t xml:space="preserve"> CKO mice also showed severe myelination defects and neuronal cell enlargement and dysplastic features (</w:t>
            </w:r>
            <w:r w:rsidR="00CE5C99">
              <w:rPr>
                <w:rFonts w:asciiTheme="minorHAnsi" w:eastAsia="Times New Roman" w:hAnsiTheme="minorHAnsi"/>
                <w:snapToGrid w:val="0"/>
                <w:sz w:val="20"/>
                <w:lang w:eastAsia="en-US"/>
              </w:rPr>
              <w:t xml:space="preserve">for example, </w:t>
            </w:r>
            <w:r w:rsidRPr="007A1387">
              <w:rPr>
                <w:rFonts w:asciiTheme="minorHAnsi" w:eastAsia="Times New Roman" w:hAnsiTheme="minorHAnsi"/>
                <w:snapToGrid w:val="0"/>
                <w:sz w:val="20"/>
                <w:lang w:eastAsia="en-US"/>
              </w:rPr>
              <w:t>accumulation of non</w:t>
            </w:r>
            <w:r w:rsidRPr="007A1387">
              <w:rPr>
                <w:rFonts w:asciiTheme="minorHAnsi" w:eastAsia="Times New Roman" w:hAnsiTheme="minorHAnsi"/>
                <w:snapToGrid w:val="0"/>
                <w:sz w:val="20"/>
                <w:lang w:eastAsia="en-US"/>
              </w:rPr>
              <w:noBreakHyphen/>
              <w:t xml:space="preserve">phosphorylated </w:t>
            </w:r>
            <w:proofErr w:type="spellStart"/>
            <w:r w:rsidRPr="007A1387">
              <w:rPr>
                <w:rFonts w:asciiTheme="minorHAnsi" w:eastAsia="Times New Roman" w:hAnsiTheme="minorHAnsi"/>
                <w:snapToGrid w:val="0"/>
                <w:sz w:val="20"/>
                <w:lang w:eastAsia="en-US"/>
              </w:rPr>
              <w:t>neurofilaments</w:t>
            </w:r>
            <w:proofErr w:type="spellEnd"/>
            <w:r w:rsidRPr="007A1387">
              <w:rPr>
                <w:rFonts w:asciiTheme="minorHAnsi" w:eastAsia="Times New Roman" w:hAnsiTheme="minorHAnsi"/>
                <w:snapToGrid w:val="0"/>
                <w:sz w:val="20"/>
                <w:lang w:eastAsia="en-US"/>
              </w:rPr>
              <w:t xml:space="preserve"> and abnormal dendrite orientation</w:t>
            </w:r>
            <w:r>
              <w:rPr>
                <w:rFonts w:asciiTheme="minorHAnsi" w:eastAsia="Times New Roman" w:hAnsiTheme="minorHAnsi"/>
                <w:snapToGrid w:val="0"/>
                <w:sz w:val="20"/>
                <w:lang w:eastAsia="en-US"/>
              </w:rPr>
              <w:t>).</w:t>
            </w:r>
          </w:p>
          <w:p w14:paraId="321EFB8D" w14:textId="77777777" w:rsidR="006D4B5A" w:rsidRPr="007A1387" w:rsidRDefault="006D4B5A" w:rsidP="006D4B5A">
            <w:pPr>
              <w:spacing w:before="0" w:line="240" w:lineRule="auto"/>
              <w:rPr>
                <w:rFonts w:asciiTheme="minorHAnsi" w:eastAsia="Times New Roman" w:hAnsiTheme="minorHAnsi"/>
                <w:snapToGrid w:val="0"/>
                <w:sz w:val="20"/>
                <w:lang w:val="en-US" w:eastAsia="en-US"/>
              </w:rPr>
            </w:pPr>
            <w:r w:rsidRPr="007A1387">
              <w:rPr>
                <w:rFonts w:asciiTheme="minorHAnsi" w:eastAsia="Times New Roman" w:hAnsiTheme="minorHAnsi"/>
                <w:i/>
                <w:snapToGrid w:val="0"/>
                <w:sz w:val="20"/>
                <w:lang w:val="en-US" w:eastAsia="en-US"/>
              </w:rPr>
              <w:t xml:space="preserve">Conclusion. </w:t>
            </w:r>
            <w:r w:rsidRPr="007A1387">
              <w:rPr>
                <w:rFonts w:asciiTheme="minorHAnsi" w:eastAsia="Times New Roman" w:hAnsiTheme="minorHAnsi"/>
                <w:snapToGrid w:val="0"/>
                <w:sz w:val="20"/>
                <w:lang w:val="en-US" w:eastAsia="en-US"/>
              </w:rPr>
              <w:t xml:space="preserve">Genetic alterations of </w:t>
            </w:r>
            <w:r w:rsidR="00CE5C99" w:rsidRPr="007A1387">
              <w:rPr>
                <w:rFonts w:asciiTheme="minorHAnsi" w:eastAsia="Times New Roman" w:hAnsiTheme="minorHAnsi"/>
                <w:snapToGrid w:val="0"/>
                <w:sz w:val="20"/>
                <w:lang w:val="en-US" w:eastAsia="en-US"/>
              </w:rPr>
              <w:t>TSC</w:t>
            </w:r>
            <w:r w:rsidRPr="007A1387">
              <w:rPr>
                <w:rFonts w:asciiTheme="minorHAnsi" w:eastAsia="Times New Roman" w:hAnsiTheme="minorHAnsi"/>
                <w:snapToGrid w:val="0"/>
                <w:sz w:val="20"/>
                <w:lang w:val="en-US" w:eastAsia="en-US"/>
              </w:rPr>
              <w:t xml:space="preserve"> genes resulted in hyper</w:t>
            </w:r>
            <w:r w:rsidRPr="007A1387">
              <w:rPr>
                <w:rFonts w:asciiTheme="minorHAnsi" w:eastAsia="Times New Roman" w:hAnsiTheme="minorHAnsi"/>
                <w:snapToGrid w:val="0"/>
                <w:sz w:val="20"/>
                <w:lang w:val="en-US" w:eastAsia="en-US"/>
              </w:rPr>
              <w:noBreakHyphen/>
              <w:t xml:space="preserve">activation of </w:t>
            </w:r>
            <w:proofErr w:type="spellStart"/>
            <w:r w:rsidRPr="007A1387">
              <w:rPr>
                <w:rFonts w:asciiTheme="minorHAnsi" w:eastAsia="Times New Roman" w:hAnsiTheme="minorHAnsi"/>
                <w:snapToGrid w:val="0"/>
                <w:sz w:val="20"/>
                <w:lang w:val="en-US" w:eastAsia="en-US"/>
              </w:rPr>
              <w:t>mTOR</w:t>
            </w:r>
            <w:proofErr w:type="spellEnd"/>
            <w:r w:rsidRPr="007A1387">
              <w:rPr>
                <w:rFonts w:asciiTheme="minorHAnsi" w:eastAsia="Times New Roman" w:hAnsiTheme="minorHAnsi"/>
                <w:snapToGrid w:val="0"/>
                <w:sz w:val="20"/>
                <w:lang w:val="en-US" w:eastAsia="en-US"/>
              </w:rPr>
              <w:t xml:space="preserve"> signaling, seizures and abnormalities including myelination and morphology.</w:t>
            </w:r>
          </w:p>
        </w:tc>
      </w:tr>
      <w:tr w:rsidR="006D4B5A" w:rsidRPr="007A1387" w14:paraId="0EC4A61A" w14:textId="77777777" w:rsidTr="006D4B5A">
        <w:tc>
          <w:tcPr>
            <w:tcW w:w="2518" w:type="dxa"/>
          </w:tcPr>
          <w:p w14:paraId="7F34A607" w14:textId="39A0FDA4" w:rsidR="006D4B5A" w:rsidRPr="00670801" w:rsidRDefault="006D4B5A" w:rsidP="002709C3">
            <w:pPr>
              <w:spacing w:before="0" w:after="0" w:line="240" w:lineRule="auto"/>
              <w:rPr>
                <w:rFonts w:asciiTheme="minorHAnsi" w:eastAsia="Times New Roman" w:hAnsiTheme="minorHAnsi"/>
                <w:b/>
                <w:snapToGrid w:val="0"/>
                <w:sz w:val="20"/>
                <w:lang w:val="fr-FR" w:eastAsia="en-US"/>
              </w:rPr>
            </w:pPr>
            <w:r w:rsidRPr="00670801">
              <w:rPr>
                <w:rFonts w:asciiTheme="minorHAnsi" w:eastAsia="Times New Roman" w:hAnsiTheme="minorHAnsi"/>
                <w:b/>
                <w:snapToGrid w:val="0"/>
                <w:sz w:val="20"/>
                <w:lang w:val="fr-FR" w:eastAsia="en-US"/>
              </w:rPr>
              <w:t xml:space="preserve">Moon </w:t>
            </w:r>
            <w:r w:rsidRPr="00670801">
              <w:rPr>
                <w:rFonts w:asciiTheme="minorHAnsi" w:eastAsia="Times New Roman" w:hAnsiTheme="minorHAnsi"/>
                <w:b/>
                <w:i/>
                <w:snapToGrid w:val="0"/>
                <w:sz w:val="20"/>
                <w:lang w:val="fr-FR" w:eastAsia="en-US"/>
              </w:rPr>
              <w:t>et al</w:t>
            </w:r>
            <w:r w:rsidRPr="00670801">
              <w:rPr>
                <w:rFonts w:asciiTheme="minorHAnsi" w:eastAsia="Times New Roman" w:hAnsiTheme="minorHAnsi"/>
                <w:b/>
                <w:snapToGrid w:val="0"/>
                <w:sz w:val="20"/>
                <w:lang w:val="fr-FR" w:eastAsia="en-US"/>
              </w:rPr>
              <w:t>., 2015</w:t>
            </w:r>
            <w:r w:rsidR="00DD3A0D">
              <w:rPr>
                <w:rFonts w:asciiTheme="minorHAnsi" w:eastAsia="Times New Roman" w:hAnsiTheme="minorHAnsi"/>
                <w:b/>
                <w:snapToGrid w:val="0"/>
                <w:sz w:val="20"/>
                <w:lang w:val="fr-FR" w:eastAsia="en-US"/>
              </w:rPr>
              <w:t>;</w:t>
            </w:r>
            <w:r w:rsidR="002709C3">
              <w:rPr>
                <w:rStyle w:val="FootnoteReference"/>
                <w:rFonts w:asciiTheme="minorHAnsi" w:eastAsia="Times New Roman" w:hAnsiTheme="minorHAnsi"/>
                <w:b/>
                <w:snapToGrid w:val="0"/>
                <w:sz w:val="20"/>
                <w:lang w:val="en-US" w:eastAsia="en-US"/>
              </w:rPr>
              <w:footnoteReference w:id="8"/>
            </w:r>
          </w:p>
          <w:p w14:paraId="21D2440B" w14:textId="77777777" w:rsidR="006D4B5A" w:rsidRPr="00670801" w:rsidRDefault="00CE5C99" w:rsidP="00CE5C99">
            <w:pPr>
              <w:spacing w:before="0" w:after="0" w:line="240" w:lineRule="auto"/>
              <w:rPr>
                <w:rFonts w:asciiTheme="minorHAnsi" w:eastAsia="Times New Roman" w:hAnsiTheme="minorHAnsi"/>
                <w:i/>
                <w:snapToGrid w:val="0"/>
                <w:sz w:val="20"/>
                <w:lang w:val="fr-FR" w:eastAsia="en-US"/>
              </w:rPr>
            </w:pPr>
            <w:proofErr w:type="spellStart"/>
            <w:r w:rsidRPr="00670801">
              <w:rPr>
                <w:rFonts w:asciiTheme="minorHAnsi" w:eastAsia="Times New Roman" w:hAnsiTheme="minorHAnsi"/>
                <w:i/>
                <w:snapToGrid w:val="0"/>
                <w:sz w:val="20"/>
                <w:lang w:val="fr-FR" w:eastAsia="en-US"/>
              </w:rPr>
              <w:t>Conditional</w:t>
            </w:r>
            <w:proofErr w:type="spellEnd"/>
            <w:r w:rsidRPr="00670801">
              <w:rPr>
                <w:rFonts w:asciiTheme="minorHAnsi" w:eastAsia="Times New Roman" w:hAnsiTheme="minorHAnsi"/>
                <w:i/>
                <w:snapToGrid w:val="0"/>
                <w:sz w:val="20"/>
                <w:lang w:val="fr-FR" w:eastAsia="en-US"/>
              </w:rPr>
              <w:t xml:space="preserve"> Tsc2 knockout </w:t>
            </w:r>
            <w:proofErr w:type="spellStart"/>
            <w:r w:rsidRPr="00670801">
              <w:rPr>
                <w:rFonts w:asciiTheme="minorHAnsi" w:eastAsia="Times New Roman" w:hAnsiTheme="minorHAnsi"/>
                <w:i/>
                <w:snapToGrid w:val="0"/>
                <w:sz w:val="20"/>
                <w:lang w:val="fr-FR" w:eastAsia="en-US"/>
              </w:rPr>
              <w:t>mice</w:t>
            </w:r>
            <w:proofErr w:type="spellEnd"/>
          </w:p>
          <w:p w14:paraId="1A892A3F" w14:textId="77777777" w:rsidR="006D4B5A" w:rsidRPr="007A1387" w:rsidRDefault="006D4B5A" w:rsidP="006D4B5A">
            <w:pPr>
              <w:spacing w:before="0" w:after="0" w:line="240" w:lineRule="auto"/>
              <w:rPr>
                <w:rFonts w:asciiTheme="minorHAnsi" w:eastAsia="Times New Roman" w:hAnsiTheme="minorHAnsi"/>
                <w:snapToGrid w:val="0"/>
                <w:sz w:val="20"/>
                <w:lang w:val="en-US" w:eastAsia="en-US"/>
              </w:rPr>
            </w:pPr>
            <w:r w:rsidRPr="007A1387">
              <w:rPr>
                <w:rFonts w:asciiTheme="minorHAnsi" w:eastAsia="Times New Roman" w:hAnsiTheme="minorHAnsi"/>
                <w:snapToGrid w:val="0"/>
                <w:sz w:val="20"/>
                <w:lang w:val="en-US" w:eastAsia="en-US"/>
              </w:rPr>
              <w:t>Tsc2flox/</w:t>
            </w:r>
            <w:proofErr w:type="spellStart"/>
            <w:r w:rsidRPr="007A1387">
              <w:rPr>
                <w:rFonts w:asciiTheme="minorHAnsi" w:eastAsia="Times New Roman" w:hAnsiTheme="minorHAnsi"/>
                <w:snapToGrid w:val="0"/>
                <w:sz w:val="20"/>
                <w:lang w:val="en-US" w:eastAsia="en-US"/>
              </w:rPr>
              <w:t>flox</w:t>
            </w:r>
            <w:proofErr w:type="spellEnd"/>
            <w:r w:rsidRPr="007A1387">
              <w:rPr>
                <w:rFonts w:asciiTheme="minorHAnsi" w:eastAsia="Times New Roman" w:hAnsiTheme="minorHAnsi"/>
                <w:snapToGrid w:val="0"/>
                <w:sz w:val="20"/>
                <w:lang w:val="en-US" w:eastAsia="en-US"/>
              </w:rPr>
              <w:t xml:space="preserve"> mice bred to Emx1-Cre or </w:t>
            </w:r>
            <w:proofErr w:type="spellStart"/>
            <w:r w:rsidRPr="007A1387">
              <w:rPr>
                <w:rFonts w:asciiTheme="minorHAnsi" w:eastAsia="Times New Roman" w:hAnsiTheme="minorHAnsi"/>
                <w:snapToGrid w:val="0"/>
                <w:sz w:val="20"/>
                <w:lang w:val="en-US" w:eastAsia="en-US"/>
              </w:rPr>
              <w:t>Nestin-Cre</w:t>
            </w:r>
            <w:proofErr w:type="spellEnd"/>
            <w:r w:rsidRPr="007A1387">
              <w:rPr>
                <w:rFonts w:asciiTheme="minorHAnsi" w:eastAsia="Times New Roman" w:hAnsiTheme="minorHAnsi"/>
                <w:snapToGrid w:val="0"/>
                <w:sz w:val="20"/>
                <w:lang w:val="en-US" w:eastAsia="en-US"/>
              </w:rPr>
              <w:t xml:space="preserve"> mice </w:t>
            </w:r>
          </w:p>
        </w:tc>
        <w:tc>
          <w:tcPr>
            <w:tcW w:w="6946" w:type="dxa"/>
          </w:tcPr>
          <w:p w14:paraId="1B267AF8" w14:textId="77777777" w:rsidR="00F50ABF" w:rsidRPr="00CE5C99" w:rsidRDefault="00CE5C99" w:rsidP="00CE5C99">
            <w:pPr>
              <w:rPr>
                <w:snapToGrid w:val="0"/>
                <w:sz w:val="20"/>
                <w:szCs w:val="20"/>
                <w:lang w:eastAsia="en-US"/>
              </w:rPr>
            </w:pPr>
            <w:r w:rsidRPr="00CE5C99">
              <w:rPr>
                <w:snapToGrid w:val="0"/>
                <w:sz w:val="20"/>
                <w:szCs w:val="20"/>
                <w:lang w:eastAsia="en-US"/>
              </w:rPr>
              <w:t>TSC2</w:t>
            </w:r>
            <w:r w:rsidR="006D4B5A" w:rsidRPr="00CE5C99">
              <w:rPr>
                <w:snapToGrid w:val="0"/>
                <w:sz w:val="20"/>
                <w:szCs w:val="20"/>
                <w:lang w:eastAsia="en-US"/>
              </w:rPr>
              <w:t xml:space="preserve"> deletion resulted in abnormal</w:t>
            </w:r>
            <w:r w:rsidRPr="00CE5C99">
              <w:rPr>
                <w:snapToGrid w:val="0"/>
                <w:sz w:val="20"/>
                <w:szCs w:val="20"/>
                <w:lang w:eastAsia="en-US"/>
              </w:rPr>
              <w:t xml:space="preserve"> leading process morphology of </w:t>
            </w:r>
            <w:r w:rsidR="006D4B5A" w:rsidRPr="00CE5C99">
              <w:rPr>
                <w:snapToGrid w:val="0"/>
                <w:sz w:val="20"/>
                <w:szCs w:val="20"/>
                <w:lang w:eastAsia="en-US"/>
              </w:rPr>
              <w:t xml:space="preserve">migrating neurons and migration defects of cortical neurons and Purkinje cells associated with impaired Reelin-Dab1 </w:t>
            </w:r>
            <w:r w:rsidRPr="00CE5C99">
              <w:rPr>
                <w:snapToGrid w:val="0"/>
                <w:sz w:val="20"/>
                <w:szCs w:val="20"/>
                <w:lang w:eastAsia="en-US"/>
              </w:rPr>
              <w:t>signalling</w:t>
            </w:r>
            <w:r w:rsidR="00F50ABF" w:rsidRPr="00CE5C99">
              <w:rPr>
                <w:snapToGrid w:val="0"/>
                <w:sz w:val="20"/>
                <w:szCs w:val="20"/>
                <w:lang w:eastAsia="en-US"/>
              </w:rPr>
              <w:t>.</w:t>
            </w:r>
          </w:p>
          <w:p w14:paraId="2E484BE5" w14:textId="77777777" w:rsidR="006D4B5A" w:rsidRPr="00CE5C99" w:rsidRDefault="006D4B5A" w:rsidP="00CE5C99">
            <w:pPr>
              <w:rPr>
                <w:snapToGrid w:val="0"/>
                <w:sz w:val="20"/>
                <w:szCs w:val="20"/>
                <w:lang w:eastAsia="en-US"/>
              </w:rPr>
            </w:pPr>
            <w:r w:rsidRPr="00CE5C99">
              <w:rPr>
                <w:snapToGrid w:val="0"/>
                <w:sz w:val="20"/>
                <w:szCs w:val="20"/>
                <w:lang w:eastAsia="en-US"/>
              </w:rPr>
              <w:t xml:space="preserve">The increased </w:t>
            </w:r>
            <w:proofErr w:type="spellStart"/>
            <w:r w:rsidRPr="00CE5C99">
              <w:rPr>
                <w:snapToGrid w:val="0"/>
                <w:sz w:val="20"/>
                <w:szCs w:val="20"/>
                <w:lang w:eastAsia="en-US"/>
              </w:rPr>
              <w:t>mTOR</w:t>
            </w:r>
            <w:proofErr w:type="spellEnd"/>
            <w:r w:rsidRPr="00CE5C99">
              <w:rPr>
                <w:snapToGrid w:val="0"/>
                <w:sz w:val="20"/>
                <w:szCs w:val="20"/>
                <w:lang w:eastAsia="en-US"/>
              </w:rPr>
              <w:t xml:space="preserve"> </w:t>
            </w:r>
            <w:r w:rsidR="00CE5C99" w:rsidRPr="00CE5C99">
              <w:rPr>
                <w:snapToGrid w:val="0"/>
                <w:sz w:val="20"/>
                <w:szCs w:val="20"/>
                <w:lang w:eastAsia="en-US"/>
              </w:rPr>
              <w:t>signalling</w:t>
            </w:r>
            <w:r w:rsidRPr="00CE5C99">
              <w:rPr>
                <w:snapToGrid w:val="0"/>
                <w:sz w:val="20"/>
                <w:szCs w:val="20"/>
                <w:lang w:eastAsia="en-US"/>
              </w:rPr>
              <w:t xml:space="preserve"> (which upregu</w:t>
            </w:r>
            <w:r w:rsidR="00CE5C99" w:rsidRPr="00CE5C99">
              <w:rPr>
                <w:snapToGrid w:val="0"/>
                <w:sz w:val="20"/>
                <w:szCs w:val="20"/>
                <w:lang w:eastAsia="en-US"/>
              </w:rPr>
              <w:t xml:space="preserve">lates the expression of Cul5, </w:t>
            </w:r>
            <w:proofErr w:type="gramStart"/>
            <w:r w:rsidR="00CE5C99" w:rsidRPr="00CE5C99">
              <w:rPr>
                <w:snapToGrid w:val="0"/>
                <w:sz w:val="20"/>
                <w:szCs w:val="20"/>
                <w:lang w:eastAsia="en-US"/>
              </w:rPr>
              <w:t>a</w:t>
            </w:r>
            <w:proofErr w:type="gramEnd"/>
            <w:r w:rsidR="00CE5C99" w:rsidRPr="00CE5C99">
              <w:rPr>
                <w:snapToGrid w:val="0"/>
                <w:sz w:val="20"/>
                <w:szCs w:val="20"/>
                <w:lang w:eastAsia="en-US"/>
              </w:rPr>
              <w:t xml:space="preserve"> </w:t>
            </w:r>
            <w:r w:rsidRPr="00CE5C99">
              <w:rPr>
                <w:snapToGrid w:val="0"/>
                <w:sz w:val="20"/>
                <w:szCs w:val="20"/>
                <w:lang w:eastAsia="en-US"/>
              </w:rPr>
              <w:t>ubiquitin ligase responsible for pDab1 degradation) suggests one possible mechanism for neuronal migration deficit in TSC.</w:t>
            </w:r>
          </w:p>
          <w:p w14:paraId="269454D4" w14:textId="77777777" w:rsidR="006D4B5A" w:rsidRDefault="006D4B5A" w:rsidP="002709C3">
            <w:pPr>
              <w:spacing w:before="0" w:line="240" w:lineRule="auto"/>
              <w:rPr>
                <w:rFonts w:asciiTheme="minorHAnsi" w:eastAsia="Times New Roman" w:hAnsiTheme="minorHAnsi"/>
                <w:snapToGrid w:val="0"/>
                <w:sz w:val="20"/>
                <w:lang w:val="en-US" w:eastAsia="en-US"/>
              </w:rPr>
            </w:pPr>
            <w:r w:rsidRPr="007A1387">
              <w:rPr>
                <w:rFonts w:asciiTheme="minorHAnsi" w:eastAsia="Times New Roman" w:hAnsiTheme="minorHAnsi"/>
                <w:snapToGrid w:val="0"/>
                <w:sz w:val="20"/>
                <w:lang w:val="en-US" w:eastAsia="en-US"/>
              </w:rPr>
              <w:t xml:space="preserve">Prenatal treatment with rapamycin (IP, at 0.3 mg/kg daily to pregnant females from embryonic day E13.5) rescues migration (restores normal </w:t>
            </w:r>
            <w:r w:rsidRPr="007A1387">
              <w:rPr>
                <w:rFonts w:asciiTheme="minorHAnsi" w:eastAsia="Times New Roman" w:hAnsiTheme="minorHAnsi"/>
                <w:snapToGrid w:val="0"/>
                <w:sz w:val="20"/>
                <w:lang w:val="en-US" w:eastAsia="en-US"/>
              </w:rPr>
              <w:lastRenderedPageBreak/>
              <w:t>leading processes and positioning of migrating neurons) and reduces expression of Dab1 and Cul5</w:t>
            </w:r>
            <w:r>
              <w:rPr>
                <w:rFonts w:asciiTheme="minorHAnsi" w:eastAsia="Times New Roman" w:hAnsiTheme="minorHAnsi"/>
                <w:snapToGrid w:val="0"/>
                <w:sz w:val="20"/>
                <w:lang w:val="en-US" w:eastAsia="en-US"/>
              </w:rPr>
              <w:t>.</w:t>
            </w:r>
          </w:p>
          <w:p w14:paraId="23870B2E" w14:textId="77777777" w:rsidR="006D4B5A" w:rsidRPr="007A1387" w:rsidRDefault="006D4B5A" w:rsidP="002709C3">
            <w:pPr>
              <w:spacing w:before="0" w:line="240" w:lineRule="auto"/>
              <w:rPr>
                <w:rFonts w:asciiTheme="minorHAnsi" w:eastAsia="Times New Roman" w:hAnsiTheme="minorHAnsi"/>
                <w:snapToGrid w:val="0"/>
                <w:sz w:val="20"/>
                <w:lang w:val="en-US" w:eastAsia="en-US"/>
              </w:rPr>
            </w:pPr>
            <w:r w:rsidRPr="007A1387">
              <w:rPr>
                <w:rFonts w:asciiTheme="minorHAnsi" w:eastAsia="Times New Roman" w:hAnsiTheme="minorHAnsi"/>
                <w:i/>
                <w:snapToGrid w:val="0"/>
                <w:sz w:val="20"/>
                <w:lang w:val="en-US" w:eastAsia="en-US"/>
              </w:rPr>
              <w:t xml:space="preserve">Conclusion. </w:t>
            </w:r>
            <w:r w:rsidRPr="007A1387">
              <w:rPr>
                <w:rFonts w:asciiTheme="minorHAnsi" w:eastAsia="Times New Roman" w:hAnsiTheme="minorHAnsi"/>
                <w:snapToGrid w:val="0"/>
                <w:sz w:val="20"/>
                <w:lang w:val="en-US" w:eastAsia="en-US"/>
              </w:rPr>
              <w:t>G</w:t>
            </w:r>
            <w:proofErr w:type="spellStart"/>
            <w:r w:rsidRPr="007A1387">
              <w:rPr>
                <w:rFonts w:eastAsia="Times New Roman"/>
                <w:snapToGrid w:val="0"/>
                <w:sz w:val="20"/>
                <w:lang w:eastAsia="en-US"/>
              </w:rPr>
              <w:t>enetic</w:t>
            </w:r>
            <w:proofErr w:type="spellEnd"/>
            <w:r w:rsidRPr="007A1387">
              <w:rPr>
                <w:rFonts w:eastAsia="Times New Roman"/>
                <w:snapToGrid w:val="0"/>
                <w:sz w:val="20"/>
                <w:lang w:eastAsia="en-US"/>
              </w:rPr>
              <w:t xml:space="preserve"> alterations of </w:t>
            </w:r>
            <w:r w:rsidR="00CE5C99" w:rsidRPr="007A1387">
              <w:rPr>
                <w:rFonts w:eastAsia="Times New Roman"/>
                <w:snapToGrid w:val="0"/>
                <w:sz w:val="20"/>
                <w:lang w:eastAsia="en-US"/>
              </w:rPr>
              <w:t xml:space="preserve">TSC </w:t>
            </w:r>
            <w:r w:rsidRPr="007A1387">
              <w:rPr>
                <w:rFonts w:eastAsia="Times New Roman"/>
                <w:snapToGrid w:val="0"/>
                <w:sz w:val="20"/>
                <w:lang w:eastAsia="en-US"/>
              </w:rPr>
              <w:t xml:space="preserve">genes, hyper-activation of </w:t>
            </w:r>
            <w:proofErr w:type="spellStart"/>
            <w:r w:rsidRPr="007A1387">
              <w:rPr>
                <w:rFonts w:eastAsia="Times New Roman"/>
                <w:snapToGrid w:val="0"/>
                <w:sz w:val="20"/>
                <w:lang w:eastAsia="en-US"/>
              </w:rPr>
              <w:t>mTOR</w:t>
            </w:r>
            <w:proofErr w:type="spellEnd"/>
            <w:r w:rsidRPr="007A1387">
              <w:rPr>
                <w:rFonts w:eastAsia="Times New Roman"/>
                <w:snapToGrid w:val="0"/>
                <w:sz w:val="20"/>
                <w:lang w:eastAsia="en-US"/>
              </w:rPr>
              <w:t xml:space="preserve"> </w:t>
            </w:r>
            <w:r w:rsidR="00CE5C99" w:rsidRPr="007A1387">
              <w:rPr>
                <w:rFonts w:eastAsia="Times New Roman"/>
                <w:snapToGrid w:val="0"/>
                <w:sz w:val="20"/>
                <w:lang w:eastAsia="en-US"/>
              </w:rPr>
              <w:t>signalling</w:t>
            </w:r>
            <w:r w:rsidRPr="007A1387">
              <w:rPr>
                <w:rFonts w:eastAsia="Times New Roman"/>
                <w:snapToGrid w:val="0"/>
                <w:sz w:val="20"/>
                <w:lang w:eastAsia="en-US"/>
              </w:rPr>
              <w:t xml:space="preserve"> in neurons and associated abnormalities </w:t>
            </w:r>
            <w:r w:rsidRPr="007A1387">
              <w:rPr>
                <w:rFonts w:asciiTheme="minorHAnsi" w:eastAsia="Times New Roman" w:hAnsiTheme="minorHAnsi"/>
                <w:snapToGrid w:val="0"/>
                <w:sz w:val="20"/>
                <w:lang w:val="en-US" w:eastAsia="en-US"/>
              </w:rPr>
              <w:t xml:space="preserve">may alter neuronal network function resulting in </w:t>
            </w:r>
            <w:proofErr w:type="spellStart"/>
            <w:r w:rsidRPr="007A1387">
              <w:rPr>
                <w:rFonts w:asciiTheme="minorHAnsi" w:eastAsia="Times New Roman" w:hAnsiTheme="minorHAnsi"/>
                <w:snapToGrid w:val="0"/>
                <w:sz w:val="20"/>
                <w:lang w:val="en-US" w:eastAsia="en-US"/>
              </w:rPr>
              <w:t>epileptogenesis</w:t>
            </w:r>
            <w:proofErr w:type="spellEnd"/>
            <w:r w:rsidRPr="007A1387">
              <w:rPr>
                <w:rFonts w:asciiTheme="minorHAnsi" w:eastAsia="Times New Roman" w:hAnsiTheme="minorHAnsi"/>
                <w:snapToGrid w:val="0"/>
                <w:sz w:val="20"/>
                <w:lang w:val="en-US" w:eastAsia="en-US"/>
              </w:rPr>
              <w:t>.</w:t>
            </w:r>
          </w:p>
        </w:tc>
      </w:tr>
      <w:tr w:rsidR="006D4B5A" w:rsidRPr="007A1387" w14:paraId="50EE2ABF" w14:textId="77777777" w:rsidTr="006D4B5A">
        <w:tc>
          <w:tcPr>
            <w:tcW w:w="2518" w:type="dxa"/>
          </w:tcPr>
          <w:p w14:paraId="2924E460" w14:textId="33850B66" w:rsidR="006D4B5A" w:rsidRPr="00CE5C99" w:rsidRDefault="006D4B5A" w:rsidP="00CE5C99">
            <w:pPr>
              <w:rPr>
                <w:b/>
                <w:snapToGrid w:val="0"/>
                <w:sz w:val="20"/>
                <w:szCs w:val="20"/>
                <w:lang w:eastAsia="en-US"/>
              </w:rPr>
            </w:pPr>
            <w:r w:rsidRPr="00CE5C99">
              <w:rPr>
                <w:b/>
                <w:snapToGrid w:val="0"/>
                <w:sz w:val="20"/>
                <w:szCs w:val="20"/>
                <w:lang w:eastAsia="en-US"/>
              </w:rPr>
              <w:lastRenderedPageBreak/>
              <w:t>Feliciano et al., 2011</w:t>
            </w:r>
            <w:r w:rsidR="00DD3A0D">
              <w:rPr>
                <w:b/>
                <w:snapToGrid w:val="0"/>
                <w:sz w:val="20"/>
                <w:szCs w:val="20"/>
                <w:lang w:eastAsia="en-US"/>
              </w:rPr>
              <w:t>;</w:t>
            </w:r>
            <w:r w:rsidR="002709C3" w:rsidRPr="00CE5C99">
              <w:rPr>
                <w:rStyle w:val="FootnoteReference"/>
                <w:rFonts w:asciiTheme="minorHAnsi" w:eastAsia="Times New Roman" w:hAnsiTheme="minorHAnsi"/>
                <w:b/>
                <w:snapToGrid w:val="0"/>
                <w:sz w:val="20"/>
                <w:szCs w:val="20"/>
                <w:lang w:eastAsia="en-US"/>
              </w:rPr>
              <w:footnoteReference w:id="9"/>
            </w:r>
            <w:r w:rsidRPr="00CE5C99">
              <w:rPr>
                <w:b/>
                <w:snapToGrid w:val="0"/>
                <w:sz w:val="20"/>
                <w:szCs w:val="20"/>
                <w:lang w:eastAsia="en-US"/>
              </w:rPr>
              <w:t xml:space="preserve"> </w:t>
            </w:r>
            <w:r w:rsidRPr="00CE5C99">
              <w:rPr>
                <w:i/>
                <w:snapToGrid w:val="0"/>
                <w:sz w:val="20"/>
                <w:szCs w:val="20"/>
                <w:lang w:eastAsia="en-US"/>
              </w:rPr>
              <w:t>Mouse- Tsc1 ablated</w:t>
            </w:r>
            <w:r w:rsidR="00F50ABF" w:rsidRPr="00CE5C99">
              <w:rPr>
                <w:i/>
                <w:snapToGrid w:val="0"/>
                <w:sz w:val="20"/>
                <w:szCs w:val="20"/>
                <w:lang w:eastAsia="en-US"/>
              </w:rPr>
              <w:t xml:space="preserve"> </w:t>
            </w:r>
            <w:r w:rsidRPr="00CE5C99">
              <w:rPr>
                <w:i/>
                <w:snapToGrid w:val="0"/>
                <w:sz w:val="20"/>
                <w:szCs w:val="20"/>
                <w:lang w:eastAsia="en-US"/>
              </w:rPr>
              <w:t>in discrete neuronal populations</w:t>
            </w:r>
          </w:p>
          <w:p w14:paraId="075A01CF" w14:textId="77777777" w:rsidR="006D4B5A" w:rsidRPr="007A1387" w:rsidRDefault="006D4B5A" w:rsidP="00CE5C99">
            <w:pPr>
              <w:rPr>
                <w:snapToGrid w:val="0"/>
                <w:lang w:val="en-US" w:eastAsia="en-US"/>
              </w:rPr>
            </w:pPr>
            <w:r w:rsidRPr="00CE5C99">
              <w:rPr>
                <w:snapToGrid w:val="0"/>
                <w:sz w:val="20"/>
                <w:szCs w:val="20"/>
                <w:lang w:eastAsia="en-US"/>
              </w:rPr>
              <w:t>TSC deletion in tuberous sclerosis tubers by in utero electroporation (2 plasmids electro-</w:t>
            </w:r>
            <w:proofErr w:type="spellStart"/>
            <w:r w:rsidRPr="00CE5C99">
              <w:rPr>
                <w:snapToGrid w:val="0"/>
                <w:sz w:val="20"/>
                <w:szCs w:val="20"/>
                <w:lang w:eastAsia="en-US"/>
              </w:rPr>
              <w:t>porated</w:t>
            </w:r>
            <w:proofErr w:type="spellEnd"/>
            <w:r w:rsidRPr="00CE5C99">
              <w:rPr>
                <w:snapToGrid w:val="0"/>
                <w:sz w:val="20"/>
                <w:szCs w:val="20"/>
                <w:lang w:eastAsia="en-US"/>
              </w:rPr>
              <w:t xml:space="preserve"> at E15</w:t>
            </w:r>
            <w:r w:rsidRPr="00CE5C99">
              <w:rPr>
                <w:snapToGrid w:val="0"/>
                <w:sz w:val="20"/>
                <w:szCs w:val="20"/>
                <w:lang w:eastAsia="en-US"/>
              </w:rPr>
              <w:noBreakHyphen/>
              <w:t xml:space="preserve">E16.5 following injection of DNA at E15 or E16) in embryos of mice </w:t>
            </w:r>
            <w:r w:rsidRPr="00CE5C99">
              <w:rPr>
                <w:snapToGrid w:val="0"/>
                <w:sz w:val="20"/>
                <w:szCs w:val="20"/>
                <w:lang w:val="en-US" w:eastAsia="en-US"/>
              </w:rPr>
              <w:t xml:space="preserve">heterozygous for a mutant Tsc1 allele </w:t>
            </w:r>
            <w:r w:rsidRPr="00CE5C99">
              <w:rPr>
                <w:snapToGrid w:val="0"/>
                <w:sz w:val="20"/>
                <w:szCs w:val="20"/>
                <w:lang w:eastAsia="en-US"/>
              </w:rPr>
              <w:t xml:space="preserve">to inactivate </w:t>
            </w:r>
            <w:r w:rsidRPr="00CE5C99">
              <w:rPr>
                <w:iCs/>
                <w:snapToGrid w:val="0"/>
                <w:sz w:val="20"/>
                <w:szCs w:val="20"/>
                <w:lang w:eastAsia="en-US"/>
              </w:rPr>
              <w:t xml:space="preserve">TSC1 </w:t>
            </w:r>
            <w:r w:rsidRPr="00CE5C99">
              <w:rPr>
                <w:snapToGrid w:val="0"/>
                <w:sz w:val="20"/>
                <w:szCs w:val="20"/>
                <w:lang w:eastAsia="en-US"/>
              </w:rPr>
              <w:t>in cortical neural progenitor cells</w:t>
            </w:r>
          </w:p>
        </w:tc>
        <w:tc>
          <w:tcPr>
            <w:tcW w:w="6946" w:type="dxa"/>
          </w:tcPr>
          <w:p w14:paraId="230407E4" w14:textId="77777777" w:rsidR="006D4B5A" w:rsidRDefault="006D4B5A" w:rsidP="002709C3">
            <w:pPr>
              <w:spacing w:after="0" w:line="240" w:lineRule="auto"/>
              <w:rPr>
                <w:rFonts w:eastAsia="Times New Roman"/>
                <w:snapToGrid w:val="0"/>
                <w:sz w:val="20"/>
                <w:lang w:eastAsia="en-US"/>
              </w:rPr>
            </w:pPr>
            <w:r w:rsidRPr="007A1387">
              <w:rPr>
                <w:rFonts w:eastAsia="Times New Roman"/>
                <w:snapToGrid w:val="0"/>
                <w:sz w:val="20"/>
                <w:lang w:eastAsia="en-US"/>
              </w:rPr>
              <w:t>Mice showed a reduced seizure threshold (</w:t>
            </w:r>
            <w:r w:rsidR="00CE5C99">
              <w:rPr>
                <w:rFonts w:eastAsia="Times New Roman"/>
                <w:snapToGrid w:val="0"/>
                <w:sz w:val="20"/>
                <w:lang w:eastAsia="en-US"/>
              </w:rPr>
              <w:t xml:space="preserve">that is , reduced seizure latency; approximately </w:t>
            </w:r>
            <w:r w:rsidRPr="007A1387">
              <w:rPr>
                <w:rFonts w:eastAsia="Times New Roman"/>
                <w:snapToGrid w:val="0"/>
                <w:sz w:val="20"/>
                <w:lang w:eastAsia="en-US"/>
              </w:rPr>
              <w:t>25%) in response to injections of the GABA</w:t>
            </w:r>
            <w:r w:rsidRPr="007A1387">
              <w:rPr>
                <w:rFonts w:eastAsia="Times New Roman"/>
                <w:snapToGrid w:val="0"/>
                <w:sz w:val="20"/>
                <w:vertAlign w:val="subscript"/>
                <w:lang w:eastAsia="en-US"/>
              </w:rPr>
              <w:t>A</w:t>
            </w:r>
            <w:r w:rsidRPr="007A1387">
              <w:rPr>
                <w:rFonts w:eastAsia="Times New Roman"/>
                <w:snapToGrid w:val="0"/>
                <w:sz w:val="20"/>
                <w:lang w:eastAsia="en-US"/>
              </w:rPr>
              <w:t xml:space="preserve"> receptor antagonist, </w:t>
            </w:r>
            <w:proofErr w:type="spellStart"/>
            <w:r w:rsidRPr="007A1387">
              <w:rPr>
                <w:rFonts w:eastAsia="Times New Roman"/>
                <w:snapToGrid w:val="0"/>
                <w:sz w:val="20"/>
                <w:lang w:eastAsia="en-US"/>
              </w:rPr>
              <w:t>pentylenetetrazole</w:t>
            </w:r>
            <w:proofErr w:type="spellEnd"/>
            <w:r w:rsidRPr="007A1387">
              <w:rPr>
                <w:rFonts w:eastAsia="Times New Roman"/>
                <w:snapToGrid w:val="0"/>
                <w:sz w:val="20"/>
                <w:lang w:eastAsia="en-US"/>
              </w:rPr>
              <w:t xml:space="preserve"> (albeit without spontaneous seizures) and brain </w:t>
            </w:r>
            <w:r w:rsidR="00CE5C99">
              <w:rPr>
                <w:rFonts w:eastAsia="Times New Roman"/>
                <w:snapToGrid w:val="0"/>
                <w:sz w:val="20"/>
                <w:lang w:eastAsia="en-US"/>
              </w:rPr>
              <w:t xml:space="preserve">lesions with discrete, cortical </w:t>
            </w:r>
            <w:r w:rsidRPr="007A1387">
              <w:rPr>
                <w:rFonts w:eastAsia="Times New Roman"/>
                <w:snapToGrid w:val="0"/>
                <w:sz w:val="20"/>
                <w:lang w:eastAsia="en-US"/>
              </w:rPr>
              <w:t>tuber-like lesions (</w:t>
            </w:r>
            <w:r w:rsidR="00CE5C99">
              <w:rPr>
                <w:rFonts w:eastAsia="Times New Roman"/>
                <w:snapToGrid w:val="0"/>
                <w:sz w:val="20"/>
                <w:lang w:eastAsia="en-US"/>
              </w:rPr>
              <w:t>that is</w:t>
            </w:r>
            <w:r w:rsidRPr="007A1387">
              <w:rPr>
                <w:rFonts w:eastAsia="Times New Roman"/>
                <w:snapToGrid w:val="0"/>
                <w:sz w:val="20"/>
                <w:lang w:eastAsia="en-US"/>
              </w:rPr>
              <w:t>, mice showed</w:t>
            </w:r>
            <w:r w:rsidR="00F50ABF">
              <w:rPr>
                <w:rFonts w:eastAsia="Times New Roman"/>
                <w:snapToGrid w:val="0"/>
                <w:sz w:val="20"/>
                <w:lang w:eastAsia="en-US"/>
              </w:rPr>
              <w:t xml:space="preserve"> </w:t>
            </w:r>
            <w:r w:rsidRPr="007A1387">
              <w:rPr>
                <w:rFonts w:eastAsia="Times New Roman"/>
                <w:snapToGrid w:val="0"/>
                <w:sz w:val="20"/>
                <w:lang w:val="en-US" w:eastAsia="en-US"/>
              </w:rPr>
              <w:t>white matter heterotopic nodules and discrete cortical tuber-like lesions containing cytomegalic and multinucleated neurons with abnormal dendritic trees resembling giant cells).</w:t>
            </w:r>
          </w:p>
          <w:p w14:paraId="6CAF7750" w14:textId="77777777" w:rsidR="00F50ABF" w:rsidRDefault="006D4B5A" w:rsidP="002709C3">
            <w:pPr>
              <w:spacing w:after="0" w:line="240" w:lineRule="auto"/>
              <w:rPr>
                <w:rFonts w:eastAsia="Times New Roman"/>
                <w:snapToGrid w:val="0"/>
                <w:sz w:val="20"/>
                <w:lang w:val="en-US" w:eastAsia="en-US"/>
              </w:rPr>
            </w:pPr>
            <w:r w:rsidRPr="007A1387">
              <w:rPr>
                <w:rFonts w:eastAsia="Times New Roman"/>
                <w:snapToGrid w:val="0"/>
                <w:sz w:val="20"/>
                <w:lang w:val="en-US" w:eastAsia="en-US"/>
              </w:rPr>
              <w:t xml:space="preserve">Knockout of </w:t>
            </w:r>
            <w:r w:rsidR="00CE5C99" w:rsidRPr="007A1387">
              <w:rPr>
                <w:rFonts w:eastAsia="Times New Roman"/>
                <w:snapToGrid w:val="0"/>
                <w:sz w:val="20"/>
                <w:lang w:val="en-US" w:eastAsia="en-US"/>
              </w:rPr>
              <w:t>TSC</w:t>
            </w:r>
            <w:r w:rsidRPr="007A1387">
              <w:rPr>
                <w:rFonts w:eastAsia="Times New Roman"/>
                <w:snapToGrid w:val="0"/>
                <w:sz w:val="20"/>
                <w:lang w:val="en-US" w:eastAsia="en-US"/>
              </w:rPr>
              <w:t xml:space="preserve">1 in single cells resulted in increased </w:t>
            </w:r>
            <w:proofErr w:type="spellStart"/>
            <w:r w:rsidRPr="007A1387">
              <w:rPr>
                <w:rFonts w:eastAsia="Times New Roman"/>
                <w:snapToGrid w:val="0"/>
                <w:sz w:val="20"/>
                <w:lang w:val="en-US" w:eastAsia="en-US"/>
              </w:rPr>
              <w:t>mTOR</w:t>
            </w:r>
            <w:proofErr w:type="spellEnd"/>
            <w:r w:rsidRPr="007A1387">
              <w:rPr>
                <w:rFonts w:eastAsia="Times New Roman"/>
                <w:snapToGrid w:val="0"/>
                <w:sz w:val="20"/>
                <w:lang w:val="en-US" w:eastAsia="en-US"/>
              </w:rPr>
              <w:t xml:space="preserve"> activity and increased soma size in the affected neurons.</w:t>
            </w:r>
            <w:r w:rsidR="00F50ABF">
              <w:rPr>
                <w:rFonts w:eastAsia="Times New Roman"/>
                <w:snapToGrid w:val="0"/>
                <w:sz w:val="20"/>
                <w:lang w:val="en-US" w:eastAsia="en-US"/>
              </w:rPr>
              <w:t xml:space="preserve"> </w:t>
            </w:r>
            <w:r w:rsidRPr="007A1387">
              <w:rPr>
                <w:rFonts w:eastAsia="Times New Roman"/>
                <w:snapToGrid w:val="0"/>
                <w:sz w:val="20"/>
                <w:lang w:val="en-US" w:eastAsia="en-US"/>
              </w:rPr>
              <w:t>Phospho-S6 immunoreactivity was not upregulated in T</w:t>
            </w:r>
            <w:r w:rsidR="00CE5C99" w:rsidRPr="007A1387">
              <w:rPr>
                <w:rFonts w:eastAsia="Times New Roman"/>
                <w:snapToGrid w:val="0"/>
                <w:sz w:val="20"/>
                <w:lang w:val="en-US" w:eastAsia="en-US"/>
              </w:rPr>
              <w:t>SC1</w:t>
            </w:r>
            <w:r w:rsidRPr="007A1387">
              <w:rPr>
                <w:rFonts w:eastAsia="Times New Roman"/>
                <w:snapToGrid w:val="0"/>
                <w:sz w:val="20"/>
                <w:lang w:val="en-US" w:eastAsia="en-US"/>
              </w:rPr>
              <w:t>-null astrocytes despite a lower seizure threshold</w:t>
            </w:r>
            <w:r w:rsidR="00F50ABF">
              <w:rPr>
                <w:rFonts w:eastAsia="Times New Roman"/>
                <w:snapToGrid w:val="0"/>
                <w:sz w:val="20"/>
                <w:lang w:val="en-US" w:eastAsia="en-US"/>
              </w:rPr>
              <w:t>.</w:t>
            </w:r>
          </w:p>
          <w:p w14:paraId="22812ED3" w14:textId="77777777" w:rsidR="006D4B5A" w:rsidRPr="007A1387" w:rsidRDefault="006D4B5A" w:rsidP="002709C3">
            <w:pPr>
              <w:spacing w:line="240" w:lineRule="auto"/>
              <w:rPr>
                <w:rFonts w:eastAsia="Times New Roman"/>
                <w:i/>
                <w:snapToGrid w:val="0"/>
                <w:sz w:val="20"/>
                <w:lang w:val="en-US" w:eastAsia="en-US"/>
              </w:rPr>
            </w:pPr>
            <w:r w:rsidRPr="007A1387">
              <w:rPr>
                <w:rFonts w:eastAsia="Times New Roman"/>
                <w:i/>
                <w:snapToGrid w:val="0"/>
                <w:sz w:val="20"/>
                <w:lang w:val="en-US" w:eastAsia="en-US"/>
              </w:rPr>
              <w:t xml:space="preserve">Conclusion. </w:t>
            </w:r>
            <w:r w:rsidRPr="007A1387">
              <w:rPr>
                <w:rFonts w:eastAsia="Times New Roman"/>
                <w:snapToGrid w:val="0"/>
                <w:sz w:val="20"/>
                <w:lang w:val="en-US" w:eastAsia="en-US"/>
              </w:rPr>
              <w:t xml:space="preserve">Tuberous sclerosis complex (TSC) is an autosomal dominant disorder characterized by mutations in </w:t>
            </w:r>
            <w:r w:rsidR="00CE5C99" w:rsidRPr="007A1387">
              <w:rPr>
                <w:rFonts w:eastAsia="Times New Roman"/>
                <w:snapToGrid w:val="0"/>
                <w:sz w:val="20"/>
                <w:lang w:val="en-US" w:eastAsia="en-US"/>
              </w:rPr>
              <w:t>TSC1</w:t>
            </w:r>
            <w:r w:rsidRPr="007A1387">
              <w:rPr>
                <w:rFonts w:eastAsia="Times New Roman"/>
                <w:snapToGrid w:val="0"/>
                <w:sz w:val="20"/>
                <w:lang w:val="en-US" w:eastAsia="en-US"/>
              </w:rPr>
              <w:t xml:space="preserve"> or T</w:t>
            </w:r>
            <w:r w:rsidR="00CE5C99" w:rsidRPr="007A1387">
              <w:rPr>
                <w:rFonts w:eastAsia="Times New Roman"/>
                <w:snapToGrid w:val="0"/>
                <w:sz w:val="20"/>
                <w:lang w:val="en-US" w:eastAsia="en-US"/>
              </w:rPr>
              <w:t>SC</w:t>
            </w:r>
            <w:r w:rsidRPr="007A1387">
              <w:rPr>
                <w:rFonts w:eastAsia="Times New Roman"/>
                <w:snapToGrid w:val="0"/>
                <w:sz w:val="20"/>
                <w:lang w:val="en-US" w:eastAsia="en-US"/>
              </w:rPr>
              <w:t xml:space="preserve">2 that lead to </w:t>
            </w:r>
            <w:proofErr w:type="spellStart"/>
            <w:r w:rsidRPr="007A1387">
              <w:rPr>
                <w:rFonts w:eastAsia="Times New Roman"/>
                <w:snapToGrid w:val="0"/>
                <w:sz w:val="20"/>
                <w:lang w:val="en-US" w:eastAsia="en-US"/>
              </w:rPr>
              <w:t>mTOR</w:t>
            </w:r>
            <w:proofErr w:type="spellEnd"/>
            <w:r w:rsidRPr="007A1387">
              <w:rPr>
                <w:rFonts w:eastAsia="Times New Roman"/>
                <w:snapToGrid w:val="0"/>
                <w:sz w:val="20"/>
                <w:lang w:val="en-US" w:eastAsia="en-US"/>
              </w:rPr>
              <w:t xml:space="preserve"> hyperactivity. The focal nature of </w:t>
            </w:r>
            <w:proofErr w:type="spellStart"/>
            <w:r w:rsidRPr="007A1387">
              <w:rPr>
                <w:rFonts w:eastAsia="Times New Roman"/>
                <w:snapToGrid w:val="0"/>
                <w:sz w:val="20"/>
                <w:lang w:val="en-US" w:eastAsia="en-US"/>
              </w:rPr>
              <w:t>biallelic</w:t>
            </w:r>
            <w:proofErr w:type="spellEnd"/>
            <w:r w:rsidRPr="007A1387">
              <w:rPr>
                <w:rFonts w:eastAsia="Times New Roman"/>
                <w:snapToGrid w:val="0"/>
                <w:sz w:val="20"/>
                <w:lang w:val="en-US" w:eastAsia="en-US"/>
              </w:rPr>
              <w:t xml:space="preserve"> TSC deletion in tuberous sclerosis tubers was replicated in mice using a ‘double-hit strategy’ to ablate</w:t>
            </w:r>
            <w:r w:rsidR="00F50ABF">
              <w:rPr>
                <w:rFonts w:eastAsia="Times New Roman"/>
                <w:snapToGrid w:val="0"/>
                <w:sz w:val="20"/>
                <w:lang w:val="en-US" w:eastAsia="en-US"/>
              </w:rPr>
              <w:t xml:space="preserve"> </w:t>
            </w:r>
            <w:r w:rsidRPr="007A1387">
              <w:rPr>
                <w:rFonts w:eastAsia="Times New Roman"/>
                <w:snapToGrid w:val="0"/>
                <w:sz w:val="20"/>
                <w:lang w:val="en-US" w:eastAsia="en-US"/>
              </w:rPr>
              <w:t>T</w:t>
            </w:r>
            <w:r w:rsidR="00CE5C99" w:rsidRPr="007A1387">
              <w:rPr>
                <w:rFonts w:eastAsia="Times New Roman"/>
                <w:snapToGrid w:val="0"/>
                <w:sz w:val="20"/>
                <w:lang w:val="en-US" w:eastAsia="en-US"/>
              </w:rPr>
              <w:t>SC1</w:t>
            </w:r>
            <w:r w:rsidR="00CE5C99">
              <w:rPr>
                <w:rFonts w:eastAsia="Times New Roman"/>
                <w:snapToGrid w:val="0"/>
                <w:sz w:val="20"/>
                <w:lang w:val="en-US" w:eastAsia="en-US"/>
              </w:rPr>
              <w:t xml:space="preserve"> in </w:t>
            </w:r>
            <w:r w:rsidRPr="007A1387">
              <w:rPr>
                <w:rFonts w:eastAsia="Times New Roman"/>
                <w:snapToGrid w:val="0"/>
                <w:sz w:val="20"/>
                <w:lang w:val="en-US" w:eastAsia="en-US"/>
              </w:rPr>
              <w:t xml:space="preserve">discrete neuronal populations resulting in cortical </w:t>
            </w:r>
            <w:proofErr w:type="spellStart"/>
            <w:r w:rsidRPr="007A1387">
              <w:rPr>
                <w:rFonts w:eastAsia="Times New Roman"/>
                <w:snapToGrid w:val="0"/>
                <w:sz w:val="20"/>
                <w:lang w:val="en-US" w:eastAsia="en-US"/>
              </w:rPr>
              <w:t>hyperexcitability</w:t>
            </w:r>
            <w:proofErr w:type="spellEnd"/>
            <w:r w:rsidRPr="007A1387">
              <w:rPr>
                <w:rFonts w:eastAsia="Times New Roman"/>
                <w:snapToGrid w:val="0"/>
                <w:sz w:val="20"/>
                <w:lang w:val="en-US" w:eastAsia="en-US"/>
              </w:rPr>
              <w:t>.</w:t>
            </w:r>
          </w:p>
        </w:tc>
      </w:tr>
      <w:tr w:rsidR="006D4B5A" w:rsidRPr="00377BBF" w14:paraId="1E446AD4" w14:textId="77777777" w:rsidTr="006D4B5A">
        <w:tc>
          <w:tcPr>
            <w:tcW w:w="2518" w:type="dxa"/>
          </w:tcPr>
          <w:p w14:paraId="5BEAAFE9" w14:textId="6315F869" w:rsidR="006D4B5A" w:rsidRPr="00F637F6" w:rsidRDefault="006D4B5A" w:rsidP="00F637F6">
            <w:pPr>
              <w:spacing w:before="0" w:after="0" w:line="240" w:lineRule="auto"/>
              <w:rPr>
                <w:rFonts w:asciiTheme="minorHAnsi" w:eastAsia="Times New Roman" w:hAnsiTheme="minorHAnsi"/>
                <w:b/>
                <w:snapToGrid w:val="0"/>
                <w:sz w:val="20"/>
                <w:lang w:eastAsia="en-US"/>
              </w:rPr>
            </w:pPr>
            <w:r w:rsidRPr="007A1387">
              <w:rPr>
                <w:rFonts w:asciiTheme="minorHAnsi" w:eastAsia="Times New Roman" w:hAnsiTheme="minorHAnsi"/>
                <w:b/>
                <w:snapToGrid w:val="0"/>
                <w:sz w:val="20"/>
                <w:lang w:eastAsia="en-US"/>
              </w:rPr>
              <w:t xml:space="preserve">Lim </w:t>
            </w:r>
            <w:r w:rsidRPr="007A1387">
              <w:rPr>
                <w:rFonts w:asciiTheme="minorHAnsi" w:eastAsia="Times New Roman" w:hAnsiTheme="minorHAnsi"/>
                <w:b/>
                <w:i/>
                <w:snapToGrid w:val="0"/>
                <w:sz w:val="20"/>
                <w:lang w:eastAsia="en-US"/>
              </w:rPr>
              <w:t>et al</w:t>
            </w:r>
            <w:r>
              <w:rPr>
                <w:rFonts w:asciiTheme="minorHAnsi" w:eastAsia="Times New Roman" w:hAnsiTheme="minorHAnsi"/>
                <w:b/>
                <w:snapToGrid w:val="0"/>
                <w:sz w:val="20"/>
                <w:lang w:eastAsia="en-US"/>
              </w:rPr>
              <w:t xml:space="preserve">., </w:t>
            </w:r>
            <w:r w:rsidRPr="007A1387">
              <w:rPr>
                <w:rFonts w:asciiTheme="minorHAnsi" w:eastAsia="Times New Roman" w:hAnsiTheme="minorHAnsi"/>
                <w:b/>
                <w:snapToGrid w:val="0"/>
                <w:sz w:val="20"/>
                <w:lang w:eastAsia="en-US"/>
              </w:rPr>
              <w:t>2015</w:t>
            </w:r>
            <w:r w:rsidR="00DD3A0D">
              <w:rPr>
                <w:rFonts w:asciiTheme="minorHAnsi" w:eastAsia="Times New Roman" w:hAnsiTheme="minorHAnsi"/>
                <w:b/>
                <w:snapToGrid w:val="0"/>
                <w:sz w:val="20"/>
                <w:lang w:eastAsia="en-US"/>
              </w:rPr>
              <w:t>;</w:t>
            </w:r>
            <w:r w:rsidR="002709C3">
              <w:rPr>
                <w:rStyle w:val="FootnoteReference"/>
                <w:rFonts w:asciiTheme="minorHAnsi" w:eastAsia="Times New Roman" w:hAnsiTheme="minorHAnsi"/>
                <w:b/>
                <w:snapToGrid w:val="0"/>
                <w:sz w:val="20"/>
                <w:lang w:eastAsia="en-US"/>
              </w:rPr>
              <w:footnoteReference w:id="10"/>
            </w:r>
            <w:r>
              <w:rPr>
                <w:rFonts w:asciiTheme="minorHAnsi" w:eastAsia="Times New Roman" w:hAnsiTheme="minorHAnsi"/>
                <w:b/>
                <w:snapToGrid w:val="0"/>
                <w:sz w:val="20"/>
                <w:lang w:eastAsia="en-US"/>
              </w:rPr>
              <w:t xml:space="preserve"> </w:t>
            </w:r>
            <w:r w:rsidRPr="007A1387">
              <w:rPr>
                <w:rFonts w:eastAsia="Times New Roman"/>
                <w:i/>
                <w:snapToGrid w:val="0"/>
                <w:sz w:val="20"/>
                <w:lang w:eastAsia="en-US"/>
              </w:rPr>
              <w:t xml:space="preserve">Introduction of </w:t>
            </w:r>
            <w:proofErr w:type="spellStart"/>
            <w:r w:rsidRPr="007A1387">
              <w:rPr>
                <w:rFonts w:eastAsia="Times New Roman"/>
                <w:i/>
                <w:snapToGrid w:val="0"/>
                <w:sz w:val="20"/>
                <w:lang w:eastAsia="en-US"/>
              </w:rPr>
              <w:t>mTOR</w:t>
            </w:r>
            <w:proofErr w:type="spellEnd"/>
            <w:r w:rsidRPr="007A1387">
              <w:rPr>
                <w:rFonts w:eastAsia="Times New Roman"/>
                <w:i/>
                <w:snapToGrid w:val="0"/>
                <w:sz w:val="20"/>
                <w:lang w:eastAsia="en-US"/>
              </w:rPr>
              <w:t xml:space="preserve"> mutations into mouse cerebral cortex </w:t>
            </w:r>
            <w:r w:rsidRPr="007A1387">
              <w:rPr>
                <w:rFonts w:eastAsia="Times New Roman"/>
                <w:snapToGrid w:val="0"/>
                <w:sz w:val="20"/>
                <w:lang w:eastAsia="en-US"/>
              </w:rPr>
              <w:t xml:space="preserve">Electroporation </w:t>
            </w:r>
            <w:r w:rsidRPr="007A1387">
              <w:rPr>
                <w:rFonts w:eastAsia="Times New Roman"/>
                <w:i/>
                <w:iCs/>
                <w:snapToGrid w:val="0"/>
                <w:sz w:val="20"/>
                <w:lang w:eastAsia="en-US"/>
              </w:rPr>
              <w:t>in utero</w:t>
            </w:r>
            <w:r w:rsidRPr="007A1387">
              <w:rPr>
                <w:rFonts w:eastAsia="Times New Roman"/>
                <w:iCs/>
                <w:snapToGrid w:val="0"/>
                <w:sz w:val="20"/>
                <w:lang w:eastAsia="en-US"/>
              </w:rPr>
              <w:t xml:space="preserve"> </w:t>
            </w:r>
            <w:r w:rsidR="00CE5C99">
              <w:rPr>
                <w:rFonts w:eastAsia="Times New Roman"/>
                <w:snapToGrid w:val="0"/>
                <w:sz w:val="20"/>
                <w:lang w:eastAsia="en-US"/>
              </w:rPr>
              <w:t xml:space="preserve">at E14following injection of 2 to </w:t>
            </w:r>
            <w:r w:rsidRPr="007A1387">
              <w:rPr>
                <w:rFonts w:eastAsia="Times New Roman"/>
                <w:snapToGrid w:val="0"/>
                <w:sz w:val="20"/>
                <w:lang w:eastAsia="en-US"/>
              </w:rPr>
              <w:t xml:space="preserve">3 mg of </w:t>
            </w:r>
            <w:proofErr w:type="spellStart"/>
            <w:r w:rsidRPr="007A1387">
              <w:rPr>
                <w:rFonts w:eastAsia="Times New Roman"/>
                <w:snapToGrid w:val="0"/>
                <w:sz w:val="20"/>
                <w:lang w:eastAsia="en-US"/>
              </w:rPr>
              <w:t>mTOR</w:t>
            </w:r>
            <w:proofErr w:type="spellEnd"/>
            <w:r w:rsidRPr="007A1387">
              <w:rPr>
                <w:rFonts w:eastAsia="Times New Roman"/>
                <w:snapToGrid w:val="0"/>
                <w:sz w:val="20"/>
                <w:lang w:eastAsia="en-US"/>
              </w:rPr>
              <w:t xml:space="preserve"> mutant plasmids in embryos of mice (</w:t>
            </w:r>
            <w:proofErr w:type="spellStart"/>
            <w:r w:rsidRPr="007A1387">
              <w:rPr>
                <w:rFonts w:eastAsia="Times New Roman"/>
                <w:snapToGrid w:val="0"/>
                <w:sz w:val="20"/>
                <w:lang w:eastAsia="en-US"/>
              </w:rPr>
              <w:t>pCIG-mTOR</w:t>
            </w:r>
            <w:proofErr w:type="spellEnd"/>
            <w:r w:rsidRPr="007A1387">
              <w:rPr>
                <w:rFonts w:eastAsia="Times New Roman"/>
                <w:snapToGrid w:val="0"/>
                <w:sz w:val="20"/>
                <w:lang w:eastAsia="en-US"/>
              </w:rPr>
              <w:t xml:space="preserve"> wild</w:t>
            </w:r>
            <w:r>
              <w:rPr>
                <w:rFonts w:eastAsia="Times New Roman"/>
                <w:snapToGrid w:val="0"/>
                <w:sz w:val="20"/>
                <w:lang w:eastAsia="en-US"/>
              </w:rPr>
              <w:t xml:space="preserve"> </w:t>
            </w:r>
            <w:r w:rsidR="00F637F6">
              <w:rPr>
                <w:rFonts w:eastAsia="Times New Roman"/>
                <w:snapToGrid w:val="0"/>
                <w:sz w:val="20"/>
                <w:lang w:eastAsia="en-US"/>
              </w:rPr>
              <w:t>type and p.Leu2427Pro)</w:t>
            </w:r>
          </w:p>
        </w:tc>
        <w:tc>
          <w:tcPr>
            <w:tcW w:w="6946" w:type="dxa"/>
          </w:tcPr>
          <w:p w14:paraId="556B6545" w14:textId="77777777" w:rsidR="006D4B5A" w:rsidRPr="00CE5C99" w:rsidRDefault="006D4B5A" w:rsidP="00CE5C99">
            <w:pPr>
              <w:rPr>
                <w:snapToGrid w:val="0"/>
                <w:sz w:val="20"/>
                <w:szCs w:val="20"/>
                <w:lang w:eastAsia="en-US"/>
              </w:rPr>
            </w:pPr>
            <w:r w:rsidRPr="00CE5C99">
              <w:rPr>
                <w:snapToGrid w:val="0"/>
                <w:sz w:val="20"/>
                <w:szCs w:val="20"/>
                <w:lang w:eastAsia="en-US"/>
              </w:rPr>
              <w:t>Mutations were based on ‘focal cortica</w:t>
            </w:r>
            <w:r w:rsidR="00CE5C99" w:rsidRPr="00CE5C99">
              <w:rPr>
                <w:snapToGrid w:val="0"/>
                <w:sz w:val="20"/>
                <w:szCs w:val="20"/>
                <w:lang w:eastAsia="en-US"/>
              </w:rPr>
              <w:t xml:space="preserve">l dysplasia type II’ (FCDII), a </w:t>
            </w:r>
            <w:r w:rsidRPr="00CE5C99">
              <w:rPr>
                <w:snapToGrid w:val="0"/>
                <w:sz w:val="20"/>
                <w:szCs w:val="20"/>
                <w:lang w:eastAsia="en-US"/>
              </w:rPr>
              <w:t xml:space="preserve">sporadic developmental malformation of the cerebral cortex characterized by dysmorphic neurons, </w:t>
            </w:r>
            <w:proofErr w:type="spellStart"/>
            <w:r w:rsidRPr="00CE5C99">
              <w:rPr>
                <w:snapToGrid w:val="0"/>
                <w:sz w:val="20"/>
                <w:szCs w:val="20"/>
                <w:lang w:eastAsia="en-US"/>
              </w:rPr>
              <w:t>dyslamination</w:t>
            </w:r>
            <w:proofErr w:type="spellEnd"/>
            <w:r w:rsidRPr="00CE5C99">
              <w:rPr>
                <w:snapToGrid w:val="0"/>
                <w:sz w:val="20"/>
                <w:szCs w:val="20"/>
                <w:lang w:eastAsia="en-US"/>
              </w:rPr>
              <w:t xml:space="preserve"> and medically refractory epilepsy.</w:t>
            </w:r>
          </w:p>
          <w:p w14:paraId="1418E9ED" w14:textId="77777777" w:rsidR="006D4B5A" w:rsidRPr="00CE5C99" w:rsidRDefault="006D4B5A" w:rsidP="00CE5C99">
            <w:pPr>
              <w:rPr>
                <w:snapToGrid w:val="0"/>
                <w:sz w:val="20"/>
                <w:szCs w:val="20"/>
                <w:lang w:eastAsia="en-US"/>
              </w:rPr>
            </w:pPr>
            <w:r w:rsidRPr="00CE5C99">
              <w:rPr>
                <w:snapToGrid w:val="0"/>
                <w:sz w:val="20"/>
                <w:szCs w:val="20"/>
                <w:lang w:eastAsia="en-US"/>
              </w:rPr>
              <w:t>FCD is considered to be caused by somatic mutations in affected regions.</w:t>
            </w:r>
          </w:p>
          <w:p w14:paraId="1AD2E51E" w14:textId="77777777" w:rsidR="006D4B5A" w:rsidRPr="00CE5C99" w:rsidRDefault="006D4B5A" w:rsidP="00CE5C99">
            <w:pPr>
              <w:rPr>
                <w:snapToGrid w:val="0"/>
                <w:sz w:val="20"/>
                <w:szCs w:val="20"/>
                <w:lang w:eastAsia="en-US"/>
              </w:rPr>
            </w:pPr>
            <w:r w:rsidRPr="00CE5C99">
              <w:rPr>
                <w:snapToGrid w:val="0"/>
                <w:sz w:val="20"/>
                <w:szCs w:val="20"/>
                <w:lang w:eastAsia="en-US"/>
              </w:rPr>
              <w:t xml:space="preserve">Focal cortical expression of mutant </w:t>
            </w:r>
            <w:proofErr w:type="spellStart"/>
            <w:r w:rsidRPr="00CE5C99">
              <w:rPr>
                <w:iCs/>
                <w:snapToGrid w:val="0"/>
                <w:sz w:val="20"/>
                <w:szCs w:val="20"/>
                <w:lang w:eastAsia="en-US"/>
              </w:rPr>
              <w:t>mTOR</w:t>
            </w:r>
            <w:proofErr w:type="spellEnd"/>
            <w:r w:rsidRPr="00CE5C99">
              <w:rPr>
                <w:iCs/>
                <w:snapToGrid w:val="0"/>
                <w:sz w:val="20"/>
                <w:szCs w:val="20"/>
                <w:lang w:eastAsia="en-US"/>
              </w:rPr>
              <w:t xml:space="preserve"> </w:t>
            </w:r>
            <w:r w:rsidRPr="00CE5C99">
              <w:rPr>
                <w:snapToGrid w:val="0"/>
                <w:sz w:val="20"/>
                <w:szCs w:val="20"/>
                <w:lang w:val="en-US" w:eastAsia="en-US"/>
              </w:rPr>
              <w:t xml:space="preserve">inducing the </w:t>
            </w:r>
            <w:proofErr w:type="spellStart"/>
            <w:r w:rsidRPr="00CE5C99">
              <w:rPr>
                <w:snapToGrid w:val="0"/>
                <w:sz w:val="20"/>
                <w:szCs w:val="20"/>
                <w:lang w:val="en-US" w:eastAsia="en-US"/>
              </w:rPr>
              <w:t>hyperactivation</w:t>
            </w:r>
            <w:proofErr w:type="spellEnd"/>
            <w:r w:rsidRPr="00CE5C99">
              <w:rPr>
                <w:snapToGrid w:val="0"/>
                <w:sz w:val="20"/>
                <w:szCs w:val="20"/>
                <w:lang w:val="en-US" w:eastAsia="en-US"/>
              </w:rPr>
              <w:t xml:space="preserve"> of </w:t>
            </w:r>
            <w:proofErr w:type="spellStart"/>
            <w:r w:rsidRPr="00CE5C99">
              <w:rPr>
                <w:snapToGrid w:val="0"/>
                <w:sz w:val="20"/>
                <w:szCs w:val="20"/>
                <w:lang w:val="en-US" w:eastAsia="en-US"/>
              </w:rPr>
              <w:t>mTOR</w:t>
            </w:r>
            <w:proofErr w:type="spellEnd"/>
            <w:r w:rsidRPr="00CE5C99">
              <w:rPr>
                <w:snapToGrid w:val="0"/>
                <w:sz w:val="20"/>
                <w:szCs w:val="20"/>
                <w:lang w:val="en-US" w:eastAsia="en-US"/>
              </w:rPr>
              <w:t xml:space="preserve"> kinase </w:t>
            </w:r>
            <w:r w:rsidRPr="00CE5C99">
              <w:rPr>
                <w:snapToGrid w:val="0"/>
                <w:sz w:val="20"/>
                <w:szCs w:val="20"/>
                <w:lang w:eastAsia="en-US"/>
              </w:rPr>
              <w:t xml:space="preserve">by </w:t>
            </w:r>
            <w:r w:rsidRPr="00CE5C99">
              <w:rPr>
                <w:iCs/>
                <w:snapToGrid w:val="0"/>
                <w:sz w:val="20"/>
                <w:szCs w:val="20"/>
                <w:lang w:eastAsia="en-US"/>
              </w:rPr>
              <w:t xml:space="preserve">in utero </w:t>
            </w:r>
            <w:r w:rsidRPr="00CE5C99">
              <w:rPr>
                <w:snapToGrid w:val="0"/>
                <w:sz w:val="20"/>
                <w:szCs w:val="20"/>
                <w:lang w:eastAsia="en-US"/>
              </w:rPr>
              <w:t>electroporation in mice resulted in disrupted neuronal migration, cytomegalic ne</w:t>
            </w:r>
            <w:r w:rsidR="00CE5C99" w:rsidRPr="00CE5C99">
              <w:rPr>
                <w:snapToGrid w:val="0"/>
                <w:sz w:val="20"/>
                <w:szCs w:val="20"/>
                <w:lang w:eastAsia="en-US"/>
              </w:rPr>
              <w:t xml:space="preserve">urons and spontaneous seizures </w:t>
            </w:r>
            <w:r w:rsidRPr="00CE5C99">
              <w:rPr>
                <w:snapToGrid w:val="0"/>
                <w:sz w:val="20"/>
                <w:szCs w:val="20"/>
                <w:lang w:eastAsia="en-US"/>
              </w:rPr>
              <w:t xml:space="preserve">(about 6 weeks after birth with </w:t>
            </w:r>
            <w:r w:rsidR="00CE5C99" w:rsidRPr="00CE5C99">
              <w:rPr>
                <w:snapToGrid w:val="0"/>
                <w:sz w:val="20"/>
                <w:szCs w:val="20"/>
                <w:lang w:eastAsia="en-US"/>
              </w:rPr>
              <w:t xml:space="preserve">approximately </w:t>
            </w:r>
            <w:r w:rsidRPr="00CE5C99">
              <w:rPr>
                <w:snapToGrid w:val="0"/>
                <w:sz w:val="20"/>
                <w:szCs w:val="20"/>
                <w:lang w:eastAsia="en-US"/>
              </w:rPr>
              <w:t xml:space="preserve">6 events per day). Seizures in mice and cytomegalic neurons were inhibited by treatment with the </w:t>
            </w:r>
            <w:proofErr w:type="spellStart"/>
            <w:r w:rsidRPr="00CE5C99">
              <w:rPr>
                <w:snapToGrid w:val="0"/>
                <w:sz w:val="20"/>
                <w:szCs w:val="20"/>
                <w:lang w:eastAsia="en-US"/>
              </w:rPr>
              <w:t>mTOR</w:t>
            </w:r>
            <w:proofErr w:type="spellEnd"/>
            <w:r w:rsidRPr="00CE5C99">
              <w:rPr>
                <w:snapToGrid w:val="0"/>
                <w:sz w:val="20"/>
                <w:szCs w:val="20"/>
                <w:lang w:eastAsia="en-US"/>
              </w:rPr>
              <w:t xml:space="preserve"> inhibitor rapamycin (daily IP injection protocol for 2 weeks at 10 mg/kg).</w:t>
            </w:r>
          </w:p>
          <w:p w14:paraId="27AC7655" w14:textId="77777777" w:rsidR="006D4B5A" w:rsidRPr="00FC14B8" w:rsidRDefault="006D4B5A" w:rsidP="00CE5C99">
            <w:pPr>
              <w:rPr>
                <w:i/>
                <w:snapToGrid w:val="0"/>
                <w:color w:val="004C4A" w:themeColor="accent4" w:themeShade="BF"/>
                <w:lang w:val="en-US" w:eastAsia="en-US"/>
              </w:rPr>
            </w:pPr>
            <w:r w:rsidRPr="00CE5C99">
              <w:rPr>
                <w:i/>
                <w:snapToGrid w:val="0"/>
                <w:sz w:val="20"/>
                <w:szCs w:val="20"/>
                <w:lang w:val="en-US" w:eastAsia="en-US"/>
              </w:rPr>
              <w:t xml:space="preserve">Conclusion. </w:t>
            </w:r>
            <w:proofErr w:type="spellStart"/>
            <w:r w:rsidRPr="00CE5C99">
              <w:rPr>
                <w:snapToGrid w:val="0"/>
                <w:sz w:val="20"/>
                <w:szCs w:val="20"/>
                <w:lang w:eastAsia="en-US"/>
              </w:rPr>
              <w:t>Hyperactivation</w:t>
            </w:r>
            <w:proofErr w:type="spellEnd"/>
            <w:r w:rsidRPr="00CE5C99">
              <w:rPr>
                <w:snapToGrid w:val="0"/>
                <w:sz w:val="20"/>
                <w:szCs w:val="20"/>
                <w:lang w:eastAsia="en-US"/>
              </w:rPr>
              <w:t xml:space="preserve"> of </w:t>
            </w:r>
            <w:proofErr w:type="spellStart"/>
            <w:r w:rsidRPr="00CE5C99">
              <w:rPr>
                <w:snapToGrid w:val="0"/>
                <w:sz w:val="20"/>
                <w:szCs w:val="20"/>
                <w:lang w:eastAsia="en-US"/>
              </w:rPr>
              <w:t>mTOR</w:t>
            </w:r>
            <w:proofErr w:type="spellEnd"/>
            <w:r w:rsidRPr="00CE5C99">
              <w:rPr>
                <w:snapToGrid w:val="0"/>
                <w:sz w:val="20"/>
                <w:szCs w:val="20"/>
                <w:lang w:eastAsia="en-US"/>
              </w:rPr>
              <w:t xml:space="preserve"> resulted in induction of epilepsy. Rapamycin (</w:t>
            </w:r>
            <w:proofErr w:type="spellStart"/>
            <w:r w:rsidRPr="00CE5C99">
              <w:rPr>
                <w:snapToGrid w:val="0"/>
                <w:sz w:val="20"/>
                <w:szCs w:val="20"/>
                <w:lang w:eastAsia="en-US"/>
              </w:rPr>
              <w:t>mTOR</w:t>
            </w:r>
            <w:proofErr w:type="spellEnd"/>
            <w:r w:rsidRPr="00CE5C99">
              <w:rPr>
                <w:snapToGrid w:val="0"/>
                <w:sz w:val="20"/>
                <w:szCs w:val="20"/>
                <w:lang w:eastAsia="en-US"/>
              </w:rPr>
              <w:t xml:space="preserve"> inhibitor) reduced seizure activity by </w:t>
            </w:r>
            <w:proofErr w:type="spellStart"/>
            <w:r w:rsidRPr="00CE5C99">
              <w:rPr>
                <w:snapToGrid w:val="0"/>
                <w:sz w:val="20"/>
                <w:szCs w:val="20"/>
                <w:lang w:eastAsia="en-US"/>
              </w:rPr>
              <w:t>mTOR</w:t>
            </w:r>
            <w:proofErr w:type="spellEnd"/>
            <w:r w:rsidRPr="00CE5C99">
              <w:rPr>
                <w:snapToGrid w:val="0"/>
                <w:sz w:val="20"/>
                <w:szCs w:val="20"/>
                <w:lang w:eastAsia="en-US"/>
              </w:rPr>
              <w:t xml:space="preserve"> inhibition.</w:t>
            </w:r>
          </w:p>
        </w:tc>
      </w:tr>
    </w:tbl>
    <w:p w14:paraId="41C31996" w14:textId="77777777" w:rsidR="004334C7" w:rsidRDefault="004334C7" w:rsidP="004334C7"/>
    <w:p w14:paraId="74B96FC6" w14:textId="77777777" w:rsidR="006D4B5A" w:rsidRDefault="000128D8" w:rsidP="00DD3A0D">
      <w:pPr>
        <w:pStyle w:val="TableTitle"/>
      </w:pPr>
      <w:r>
        <w:lastRenderedPageBreak/>
        <w:t>Table 3</w:t>
      </w:r>
      <w:r w:rsidR="006D4B5A">
        <w:t xml:space="preserve">: </w:t>
      </w:r>
      <w:r w:rsidR="006D4B5A" w:rsidRPr="000128D8">
        <w:rPr>
          <w:i/>
        </w:rPr>
        <w:t>In vivo</w:t>
      </w:r>
      <w:r w:rsidR="006D4B5A">
        <w:t xml:space="preserve"> studies</w:t>
      </w:r>
    </w:p>
    <w:tbl>
      <w:tblPr>
        <w:tblStyle w:val="TableTGAblue"/>
        <w:tblW w:w="9464" w:type="dxa"/>
        <w:tblLayout w:type="fixed"/>
        <w:tblLook w:val="0020" w:firstRow="1" w:lastRow="0" w:firstColumn="0" w:lastColumn="0" w:noHBand="0" w:noVBand="0"/>
      </w:tblPr>
      <w:tblGrid>
        <w:gridCol w:w="2660"/>
        <w:gridCol w:w="6804"/>
      </w:tblGrid>
      <w:tr w:rsidR="006D4B5A" w:rsidRPr="00377BBF" w14:paraId="293E9436" w14:textId="77777777" w:rsidTr="00216A1B">
        <w:trPr>
          <w:cnfStyle w:val="100000000000" w:firstRow="1" w:lastRow="0" w:firstColumn="0" w:lastColumn="0" w:oddVBand="0" w:evenVBand="0" w:oddHBand="0" w:evenHBand="0" w:firstRowFirstColumn="0" w:firstRowLastColumn="0" w:lastRowFirstColumn="0" w:lastRowLastColumn="0"/>
        </w:trPr>
        <w:tc>
          <w:tcPr>
            <w:tcW w:w="9464" w:type="dxa"/>
            <w:gridSpan w:val="2"/>
          </w:tcPr>
          <w:p w14:paraId="0901E86F" w14:textId="77777777" w:rsidR="006D4B5A" w:rsidRPr="00377BBF" w:rsidRDefault="006D4B5A" w:rsidP="00045CB2">
            <w:pPr>
              <w:spacing w:before="220" w:after="220" w:line="240" w:lineRule="auto"/>
              <w:jc w:val="center"/>
              <w:rPr>
                <w:rFonts w:asciiTheme="minorHAnsi" w:eastAsia="Times New Roman" w:hAnsiTheme="minorHAnsi"/>
                <w:snapToGrid w:val="0"/>
                <w:color w:val="004C4A" w:themeColor="accent4" w:themeShade="BF"/>
                <w:sz w:val="20"/>
                <w:lang w:val="en-US" w:eastAsia="en-US"/>
              </w:rPr>
            </w:pPr>
            <w:r w:rsidRPr="0087372B">
              <w:rPr>
                <w:rFonts w:asciiTheme="minorHAnsi" w:eastAsia="Times New Roman" w:hAnsiTheme="minorHAnsi"/>
                <w:snapToGrid w:val="0"/>
                <w:sz w:val="20"/>
                <w:lang w:val="en-US" w:eastAsia="en-US"/>
              </w:rPr>
              <w:t xml:space="preserve">Preclinical studies in models of </w:t>
            </w:r>
            <w:proofErr w:type="spellStart"/>
            <w:r w:rsidRPr="0087372B">
              <w:rPr>
                <w:rFonts w:asciiTheme="minorHAnsi" w:eastAsia="Times New Roman" w:hAnsiTheme="minorHAnsi"/>
                <w:snapToGrid w:val="0"/>
                <w:sz w:val="20"/>
                <w:lang w:val="en-US" w:eastAsia="en-US"/>
              </w:rPr>
              <w:t>mTOR</w:t>
            </w:r>
            <w:proofErr w:type="spellEnd"/>
            <w:r w:rsidRPr="0087372B">
              <w:rPr>
                <w:rFonts w:asciiTheme="minorHAnsi" w:eastAsia="Times New Roman" w:hAnsiTheme="minorHAnsi"/>
                <w:snapToGrid w:val="0"/>
                <w:sz w:val="20"/>
                <w:lang w:val="en-US" w:eastAsia="en-US"/>
              </w:rPr>
              <w:t xml:space="preserve"> dysregulation</w:t>
            </w:r>
          </w:p>
        </w:tc>
      </w:tr>
      <w:tr w:rsidR="006D4B5A" w:rsidRPr="00377BBF" w14:paraId="157D5EA7" w14:textId="77777777" w:rsidTr="00F637F6">
        <w:tc>
          <w:tcPr>
            <w:tcW w:w="2660" w:type="dxa"/>
          </w:tcPr>
          <w:p w14:paraId="60C8A3B2" w14:textId="77777777" w:rsidR="006D4B5A" w:rsidRPr="00377BBF" w:rsidRDefault="006D4B5A" w:rsidP="00D47C24">
            <w:pPr>
              <w:keepNext/>
              <w:spacing w:line="240" w:lineRule="auto"/>
              <w:rPr>
                <w:rFonts w:asciiTheme="minorHAnsi" w:eastAsia="Times New Roman" w:hAnsiTheme="minorHAnsi"/>
                <w:b/>
                <w:snapToGrid w:val="0"/>
                <w:color w:val="auto"/>
                <w:sz w:val="20"/>
                <w:szCs w:val="22"/>
                <w:lang w:val="en-US" w:eastAsia="en-US"/>
              </w:rPr>
            </w:pPr>
            <w:r>
              <w:rPr>
                <w:rFonts w:asciiTheme="minorHAnsi" w:eastAsia="Times New Roman" w:hAnsiTheme="minorHAnsi"/>
                <w:b/>
                <w:snapToGrid w:val="0"/>
                <w:sz w:val="20"/>
                <w:lang w:val="en-US" w:eastAsia="en-US"/>
              </w:rPr>
              <w:t xml:space="preserve">Publication and </w:t>
            </w:r>
            <w:r w:rsidRPr="00377BBF">
              <w:rPr>
                <w:rFonts w:asciiTheme="minorHAnsi" w:eastAsia="Times New Roman" w:hAnsiTheme="minorHAnsi"/>
                <w:b/>
                <w:snapToGrid w:val="0"/>
                <w:sz w:val="20"/>
                <w:lang w:val="en-US" w:eastAsia="en-US"/>
              </w:rPr>
              <w:t xml:space="preserve">Study </w:t>
            </w:r>
            <w:r>
              <w:rPr>
                <w:rFonts w:asciiTheme="minorHAnsi" w:eastAsia="Times New Roman" w:hAnsiTheme="minorHAnsi"/>
                <w:b/>
                <w:snapToGrid w:val="0"/>
                <w:sz w:val="20"/>
                <w:lang w:val="en-US" w:eastAsia="en-US"/>
              </w:rPr>
              <w:t>Details</w:t>
            </w:r>
          </w:p>
        </w:tc>
        <w:tc>
          <w:tcPr>
            <w:tcW w:w="6804" w:type="dxa"/>
          </w:tcPr>
          <w:p w14:paraId="0C3CD9D4" w14:textId="77777777" w:rsidR="006D4B5A" w:rsidRPr="00377BBF" w:rsidRDefault="006D4B5A" w:rsidP="00D47C24">
            <w:pPr>
              <w:keepNext/>
              <w:spacing w:line="240" w:lineRule="auto"/>
              <w:jc w:val="center"/>
              <w:rPr>
                <w:rFonts w:asciiTheme="minorHAnsi" w:eastAsia="Times New Roman" w:hAnsiTheme="minorHAnsi"/>
                <w:b/>
                <w:snapToGrid w:val="0"/>
                <w:color w:val="auto"/>
                <w:sz w:val="20"/>
                <w:szCs w:val="22"/>
                <w:lang w:val="en-US" w:eastAsia="en-US"/>
              </w:rPr>
            </w:pPr>
            <w:r w:rsidRPr="00377BBF">
              <w:rPr>
                <w:rFonts w:asciiTheme="minorHAnsi" w:eastAsia="Times New Roman" w:hAnsiTheme="minorHAnsi"/>
                <w:b/>
                <w:snapToGrid w:val="0"/>
                <w:sz w:val="20"/>
                <w:lang w:val="en-US" w:eastAsia="en-US"/>
              </w:rPr>
              <w:t>Results</w:t>
            </w:r>
          </w:p>
        </w:tc>
      </w:tr>
      <w:tr w:rsidR="00F637F6" w:rsidRPr="005D7752" w14:paraId="26D7E412" w14:textId="77777777" w:rsidTr="006E19BD">
        <w:tc>
          <w:tcPr>
            <w:tcW w:w="2660" w:type="dxa"/>
          </w:tcPr>
          <w:p w14:paraId="05A4EED5" w14:textId="63962BE7" w:rsidR="00F637F6" w:rsidRPr="00670801" w:rsidRDefault="00F637F6" w:rsidP="00D47C24">
            <w:pPr>
              <w:ind w:left="0" w:right="0"/>
              <w:rPr>
                <w:snapToGrid w:val="0"/>
                <w:color w:val="auto"/>
                <w:sz w:val="20"/>
                <w:szCs w:val="20"/>
                <w:lang w:val="fr-FR" w:eastAsia="en-US"/>
              </w:rPr>
            </w:pPr>
            <w:proofErr w:type="spellStart"/>
            <w:r w:rsidRPr="00670801">
              <w:rPr>
                <w:b/>
                <w:snapToGrid w:val="0"/>
                <w:sz w:val="20"/>
                <w:szCs w:val="20"/>
                <w:lang w:val="fr-FR" w:eastAsia="en-US"/>
              </w:rPr>
              <w:t>Uhlmann</w:t>
            </w:r>
            <w:proofErr w:type="spellEnd"/>
            <w:r w:rsidRPr="00670801">
              <w:rPr>
                <w:b/>
                <w:snapToGrid w:val="0"/>
                <w:sz w:val="20"/>
                <w:szCs w:val="20"/>
                <w:lang w:val="fr-FR" w:eastAsia="en-US"/>
              </w:rPr>
              <w:t xml:space="preserve"> </w:t>
            </w:r>
            <w:r w:rsidRPr="00670801">
              <w:rPr>
                <w:b/>
                <w:i/>
                <w:snapToGrid w:val="0"/>
                <w:sz w:val="20"/>
                <w:szCs w:val="20"/>
                <w:lang w:val="fr-FR" w:eastAsia="en-US"/>
              </w:rPr>
              <w:t>et al</w:t>
            </w:r>
            <w:r w:rsidRPr="00670801">
              <w:rPr>
                <w:b/>
                <w:snapToGrid w:val="0"/>
                <w:sz w:val="20"/>
                <w:szCs w:val="20"/>
                <w:lang w:val="fr-FR" w:eastAsia="en-US"/>
              </w:rPr>
              <w:t>., 2002</w:t>
            </w:r>
            <w:r w:rsidR="00DD3A0D">
              <w:rPr>
                <w:b/>
                <w:snapToGrid w:val="0"/>
                <w:sz w:val="20"/>
                <w:szCs w:val="20"/>
                <w:lang w:val="fr-FR" w:eastAsia="en-US"/>
              </w:rPr>
              <w:t>;</w:t>
            </w:r>
            <w:r w:rsidRPr="00CE5C99">
              <w:rPr>
                <w:rStyle w:val="FootnoteReference"/>
                <w:rFonts w:asciiTheme="minorHAnsi" w:eastAsia="Times New Roman" w:hAnsiTheme="minorHAnsi"/>
                <w:b/>
                <w:snapToGrid w:val="0"/>
                <w:sz w:val="20"/>
                <w:szCs w:val="20"/>
                <w:lang w:eastAsia="en-US"/>
              </w:rPr>
              <w:footnoteReference w:id="11"/>
            </w:r>
            <w:r w:rsidRPr="00670801">
              <w:rPr>
                <w:snapToGrid w:val="0"/>
                <w:sz w:val="20"/>
                <w:szCs w:val="20"/>
                <w:lang w:val="fr-FR" w:eastAsia="en-US"/>
              </w:rPr>
              <w:t xml:space="preserve"> </w:t>
            </w:r>
          </w:p>
          <w:p w14:paraId="236B23C4" w14:textId="77777777" w:rsidR="00F637F6" w:rsidRPr="00670801" w:rsidRDefault="00F637F6" w:rsidP="00D47C24">
            <w:pPr>
              <w:ind w:left="0" w:right="0"/>
              <w:rPr>
                <w:i/>
                <w:snapToGrid w:val="0"/>
                <w:color w:val="auto"/>
                <w:sz w:val="20"/>
                <w:szCs w:val="20"/>
                <w:lang w:val="fr-FR" w:eastAsia="en-US"/>
              </w:rPr>
            </w:pPr>
            <w:r w:rsidRPr="00670801">
              <w:rPr>
                <w:i/>
                <w:snapToGrid w:val="0"/>
                <w:sz w:val="20"/>
                <w:szCs w:val="20"/>
                <w:lang w:val="fr-FR" w:eastAsia="en-US"/>
              </w:rPr>
              <w:t xml:space="preserve">Tsc1 </w:t>
            </w:r>
            <w:r w:rsidRPr="00670801">
              <w:rPr>
                <w:i/>
                <w:snapToGrid w:val="0"/>
                <w:sz w:val="20"/>
                <w:szCs w:val="20"/>
                <w:vertAlign w:val="superscript"/>
                <w:lang w:val="fr-FR" w:eastAsia="en-US"/>
              </w:rPr>
              <w:t>GFAP</w:t>
            </w:r>
            <w:r w:rsidRPr="00670801">
              <w:rPr>
                <w:i/>
                <w:snapToGrid w:val="0"/>
                <w:sz w:val="20"/>
                <w:szCs w:val="20"/>
                <w:lang w:val="fr-FR" w:eastAsia="en-US"/>
              </w:rPr>
              <w:t xml:space="preserve"> </w:t>
            </w:r>
            <w:proofErr w:type="spellStart"/>
            <w:r w:rsidRPr="00670801">
              <w:rPr>
                <w:i/>
                <w:snapToGrid w:val="0"/>
                <w:sz w:val="20"/>
                <w:szCs w:val="20"/>
                <w:lang w:val="fr-FR" w:eastAsia="en-US"/>
              </w:rPr>
              <w:t>conditional</w:t>
            </w:r>
            <w:proofErr w:type="spellEnd"/>
            <w:r w:rsidRPr="00670801">
              <w:rPr>
                <w:i/>
                <w:snapToGrid w:val="0"/>
                <w:sz w:val="20"/>
                <w:szCs w:val="20"/>
                <w:lang w:val="fr-FR" w:eastAsia="en-US"/>
              </w:rPr>
              <w:t xml:space="preserve"> knockout (CKO) </w:t>
            </w:r>
            <w:proofErr w:type="spellStart"/>
            <w:r w:rsidRPr="00670801">
              <w:rPr>
                <w:i/>
                <w:snapToGrid w:val="0"/>
                <w:sz w:val="20"/>
                <w:szCs w:val="20"/>
                <w:lang w:val="fr-FR" w:eastAsia="en-US"/>
              </w:rPr>
              <w:t>mice</w:t>
            </w:r>
            <w:proofErr w:type="spellEnd"/>
          </w:p>
          <w:p w14:paraId="6047ED7E" w14:textId="77777777" w:rsidR="00F637F6" w:rsidRPr="00CE5C99" w:rsidRDefault="00F637F6" w:rsidP="00D47C24">
            <w:pPr>
              <w:ind w:left="0" w:right="0"/>
              <w:rPr>
                <w:snapToGrid w:val="0"/>
                <w:color w:val="auto"/>
                <w:sz w:val="20"/>
                <w:szCs w:val="20"/>
                <w:lang w:eastAsia="en-US"/>
              </w:rPr>
            </w:pPr>
            <w:r w:rsidRPr="00CE5C99">
              <w:rPr>
                <w:snapToGrid w:val="0"/>
                <w:sz w:val="20"/>
                <w:szCs w:val="20"/>
                <w:lang w:eastAsia="en-US"/>
              </w:rPr>
              <w:t xml:space="preserve">Homozygous CKO mice with deletion of the Tsc1 gene mediated by </w:t>
            </w:r>
            <w:proofErr w:type="spellStart"/>
            <w:r w:rsidRPr="00CE5C99">
              <w:rPr>
                <w:snapToGrid w:val="0"/>
                <w:sz w:val="20"/>
                <w:szCs w:val="20"/>
                <w:lang w:eastAsia="en-US"/>
              </w:rPr>
              <w:t>Cre</w:t>
            </w:r>
            <w:proofErr w:type="spellEnd"/>
            <w:r w:rsidRPr="00CE5C99">
              <w:rPr>
                <w:snapToGrid w:val="0"/>
                <w:sz w:val="20"/>
                <w:szCs w:val="20"/>
                <w:lang w:eastAsia="en-US"/>
              </w:rPr>
              <w:t> expression (Tsc1</w:t>
            </w:r>
            <w:r w:rsidRPr="00CE5C99">
              <w:rPr>
                <w:snapToGrid w:val="0"/>
                <w:sz w:val="20"/>
                <w:szCs w:val="20"/>
                <w:vertAlign w:val="superscript"/>
                <w:lang w:eastAsia="en-US"/>
              </w:rPr>
              <w:t>GFAP</w:t>
            </w:r>
            <w:r w:rsidRPr="00CE5C99">
              <w:rPr>
                <w:snapToGrid w:val="0"/>
                <w:sz w:val="20"/>
                <w:szCs w:val="20"/>
                <w:lang w:eastAsia="en-US"/>
              </w:rPr>
              <w:t>CKO) in astrocytes and a subset of neurons.</w:t>
            </w:r>
          </w:p>
          <w:p w14:paraId="426EEC11" w14:textId="77777777" w:rsidR="00F637F6" w:rsidRPr="00AB1D50" w:rsidRDefault="00F637F6" w:rsidP="00D47C24">
            <w:pPr>
              <w:ind w:left="0" w:right="0"/>
              <w:rPr>
                <w:snapToGrid w:val="0"/>
                <w:color w:val="auto"/>
                <w:szCs w:val="22"/>
                <w:lang w:val="en-US" w:eastAsia="en-US"/>
              </w:rPr>
            </w:pPr>
            <w:r w:rsidRPr="00CE5C99">
              <w:rPr>
                <w:snapToGrid w:val="0"/>
                <w:sz w:val="20"/>
                <w:szCs w:val="20"/>
                <w:lang w:eastAsia="en-US"/>
              </w:rPr>
              <w:t xml:space="preserve">Created by breeding mice with an insertion of </w:t>
            </w:r>
            <w:proofErr w:type="spellStart"/>
            <w:r w:rsidRPr="00CE5C99">
              <w:rPr>
                <w:snapToGrid w:val="0"/>
                <w:sz w:val="20"/>
                <w:szCs w:val="20"/>
                <w:lang w:eastAsia="en-US"/>
              </w:rPr>
              <w:t>LoxP</w:t>
            </w:r>
            <w:proofErr w:type="spellEnd"/>
            <w:r w:rsidRPr="00CE5C99">
              <w:rPr>
                <w:snapToGrid w:val="0"/>
                <w:sz w:val="20"/>
                <w:szCs w:val="20"/>
                <w:lang w:eastAsia="en-US"/>
              </w:rPr>
              <w:t xml:space="preserve"> sites flanking exons 17 and 18 of </w:t>
            </w:r>
            <w:r w:rsidR="00CE5C99" w:rsidRPr="00CE5C99">
              <w:rPr>
                <w:snapToGrid w:val="0"/>
                <w:sz w:val="20"/>
                <w:szCs w:val="20"/>
                <w:lang w:eastAsia="en-US"/>
              </w:rPr>
              <w:t xml:space="preserve">TSC1, and mice expressing </w:t>
            </w:r>
            <w:proofErr w:type="spellStart"/>
            <w:r w:rsidR="00CE5C99" w:rsidRPr="00CE5C99">
              <w:rPr>
                <w:snapToGrid w:val="0"/>
                <w:sz w:val="20"/>
                <w:szCs w:val="20"/>
                <w:lang w:eastAsia="en-US"/>
              </w:rPr>
              <w:t>Cre</w:t>
            </w:r>
            <w:proofErr w:type="spellEnd"/>
            <w:r w:rsidR="00CE5C99" w:rsidRPr="00CE5C99">
              <w:rPr>
                <w:snapToGrid w:val="0"/>
                <w:sz w:val="20"/>
                <w:szCs w:val="20"/>
                <w:lang w:eastAsia="en-US"/>
              </w:rPr>
              <w:t xml:space="preserve"> </w:t>
            </w:r>
            <w:r w:rsidRPr="00CE5C99">
              <w:rPr>
                <w:snapToGrid w:val="0"/>
                <w:sz w:val="20"/>
                <w:szCs w:val="20"/>
                <w:lang w:eastAsia="en-US"/>
              </w:rPr>
              <w:t xml:space="preserve">recombinase under the glial-fibrillary acidic protein promoter (GFAP) </w:t>
            </w:r>
          </w:p>
        </w:tc>
        <w:tc>
          <w:tcPr>
            <w:tcW w:w="6804" w:type="dxa"/>
          </w:tcPr>
          <w:p w14:paraId="3463143B" w14:textId="77777777" w:rsidR="00F50ABF" w:rsidRPr="00CE5C99" w:rsidRDefault="00F637F6" w:rsidP="00D47C24">
            <w:pPr>
              <w:ind w:left="0" w:right="0"/>
              <w:rPr>
                <w:snapToGrid w:val="0"/>
                <w:color w:val="auto"/>
                <w:sz w:val="20"/>
                <w:szCs w:val="20"/>
                <w:lang w:eastAsia="en-US"/>
              </w:rPr>
            </w:pPr>
            <w:r w:rsidRPr="00CE5C99">
              <w:rPr>
                <w:snapToGrid w:val="0"/>
                <w:sz w:val="20"/>
                <w:szCs w:val="20"/>
                <w:lang w:eastAsia="en-US"/>
              </w:rPr>
              <w:t xml:space="preserve">Pathological and behavioural alterations included </w:t>
            </w:r>
            <w:r w:rsidRPr="00CE5C99">
              <w:rPr>
                <w:snapToGrid w:val="0"/>
                <w:sz w:val="20"/>
                <w:szCs w:val="20"/>
                <w:lang w:val="en-US" w:eastAsia="en-US"/>
              </w:rPr>
              <w:t xml:space="preserve">numbers of astrocytes found in the cerebral neocortex and hippocampus (leading to abnormal neuronal organization in the hippocampus between 3 and 5 weeks of age); </w:t>
            </w:r>
            <w:r w:rsidRPr="00CE5C99">
              <w:rPr>
                <w:snapToGrid w:val="0"/>
                <w:sz w:val="20"/>
                <w:szCs w:val="20"/>
                <w:lang w:eastAsia="en-US"/>
              </w:rPr>
              <w:t xml:space="preserve">increased brain size, neuronal cell death, dramatic </w:t>
            </w:r>
            <w:proofErr w:type="spellStart"/>
            <w:r w:rsidRPr="00CE5C99">
              <w:rPr>
                <w:snapToGrid w:val="0"/>
                <w:sz w:val="20"/>
                <w:szCs w:val="20"/>
                <w:lang w:eastAsia="en-US"/>
              </w:rPr>
              <w:t>astrogliosis</w:t>
            </w:r>
            <w:proofErr w:type="spellEnd"/>
            <w:r w:rsidRPr="00CE5C99">
              <w:rPr>
                <w:snapToGrid w:val="0"/>
                <w:sz w:val="20"/>
                <w:szCs w:val="20"/>
                <w:lang w:eastAsia="en-US"/>
              </w:rPr>
              <w:t xml:space="preserve"> (hypertrophy and increased numbers/proliferation), but preserved lamination and preserved overall </w:t>
            </w:r>
            <w:proofErr w:type="spellStart"/>
            <w:r w:rsidRPr="00CE5C99">
              <w:rPr>
                <w:snapToGrid w:val="0"/>
                <w:sz w:val="20"/>
                <w:szCs w:val="20"/>
                <w:lang w:eastAsia="en-US"/>
              </w:rPr>
              <w:t>histoarchitecture</w:t>
            </w:r>
            <w:proofErr w:type="spellEnd"/>
            <w:r w:rsidRPr="00CE5C99">
              <w:rPr>
                <w:snapToGrid w:val="0"/>
                <w:sz w:val="20"/>
                <w:szCs w:val="20"/>
                <w:lang w:eastAsia="en-US"/>
              </w:rPr>
              <w:t xml:space="preserve"> of the brain</w:t>
            </w:r>
            <w:r w:rsidR="00F50ABF" w:rsidRPr="00CE5C99">
              <w:rPr>
                <w:snapToGrid w:val="0"/>
                <w:sz w:val="20"/>
                <w:szCs w:val="20"/>
                <w:lang w:eastAsia="en-US"/>
              </w:rPr>
              <w:t>.</w:t>
            </w:r>
          </w:p>
          <w:p w14:paraId="580BDCEB" w14:textId="77777777" w:rsidR="00F637F6" w:rsidRPr="00CE5C99" w:rsidRDefault="00F637F6" w:rsidP="00D47C24">
            <w:pPr>
              <w:ind w:left="0" w:right="0"/>
              <w:rPr>
                <w:snapToGrid w:val="0"/>
                <w:color w:val="auto"/>
                <w:sz w:val="20"/>
                <w:szCs w:val="20"/>
                <w:lang w:eastAsia="en-US"/>
              </w:rPr>
            </w:pPr>
            <w:r w:rsidRPr="00CE5C99">
              <w:rPr>
                <w:snapToGrid w:val="0"/>
                <w:sz w:val="20"/>
                <w:szCs w:val="20"/>
                <w:lang w:eastAsia="en-US"/>
              </w:rPr>
              <w:t xml:space="preserve">Progressive electroencephalographic seizures started </w:t>
            </w:r>
            <w:r w:rsidR="00CE5C99" w:rsidRPr="00CE5C99">
              <w:rPr>
                <w:snapToGrid w:val="0"/>
                <w:sz w:val="20"/>
                <w:szCs w:val="20"/>
                <w:lang w:eastAsia="en-US"/>
              </w:rPr>
              <w:t>at about</w:t>
            </w:r>
            <w:r w:rsidRPr="00CE5C99">
              <w:rPr>
                <w:snapToGrid w:val="0"/>
                <w:sz w:val="20"/>
                <w:szCs w:val="20"/>
                <w:lang w:eastAsia="en-US"/>
              </w:rPr>
              <w:t xml:space="preserve"> 1</w:t>
            </w:r>
            <w:r w:rsidR="00CE5C99" w:rsidRPr="00CE5C99">
              <w:rPr>
                <w:snapToGrid w:val="0"/>
                <w:sz w:val="20"/>
                <w:szCs w:val="20"/>
                <w:lang w:eastAsia="en-US"/>
              </w:rPr>
              <w:t xml:space="preserve"> to </w:t>
            </w:r>
            <w:r w:rsidRPr="00CE5C99">
              <w:rPr>
                <w:snapToGrid w:val="0"/>
                <w:sz w:val="20"/>
                <w:szCs w:val="20"/>
                <w:lang w:eastAsia="en-US"/>
              </w:rPr>
              <w:t>2 months of age and premature deaths started between 3 and 6 months of age. Tsc1</w:t>
            </w:r>
            <w:r w:rsidRPr="00CE5C99">
              <w:rPr>
                <w:snapToGrid w:val="0"/>
                <w:sz w:val="20"/>
                <w:szCs w:val="20"/>
                <w:vertAlign w:val="superscript"/>
                <w:lang w:eastAsia="en-US"/>
              </w:rPr>
              <w:t>GFAP</w:t>
            </w:r>
            <w:r w:rsidRPr="00CE5C99">
              <w:rPr>
                <w:snapToGrid w:val="0"/>
                <w:sz w:val="20"/>
                <w:szCs w:val="20"/>
                <w:lang w:eastAsia="en-US"/>
              </w:rPr>
              <w:t xml:space="preserve">CKO mice showed abnormalities in </w:t>
            </w:r>
            <w:proofErr w:type="spellStart"/>
            <w:r w:rsidRPr="00CE5C99">
              <w:rPr>
                <w:snapToGrid w:val="0"/>
                <w:sz w:val="20"/>
                <w:szCs w:val="20"/>
                <w:lang w:eastAsia="en-US"/>
              </w:rPr>
              <w:t>interictal</w:t>
            </w:r>
            <w:proofErr w:type="spellEnd"/>
            <w:r w:rsidRPr="00CE5C99">
              <w:rPr>
                <w:snapToGrid w:val="0"/>
                <w:sz w:val="20"/>
                <w:szCs w:val="20"/>
                <w:lang w:eastAsia="en-US"/>
              </w:rPr>
              <w:t xml:space="preserve"> (</w:t>
            </w:r>
            <w:r w:rsidR="00CE5C99" w:rsidRPr="00CE5C99">
              <w:rPr>
                <w:snapToGrid w:val="0"/>
                <w:sz w:val="20"/>
                <w:szCs w:val="20"/>
                <w:lang w:eastAsia="en-US"/>
              </w:rPr>
              <w:t>that is</w:t>
            </w:r>
            <w:r w:rsidRPr="00CE5C99">
              <w:rPr>
                <w:snapToGrid w:val="0"/>
                <w:sz w:val="20"/>
                <w:szCs w:val="20"/>
                <w:lang w:eastAsia="en-US"/>
              </w:rPr>
              <w:t>, period between seizures) EEG background and progressive encephalopathy also starting between 1 and 2 months of age.</w:t>
            </w:r>
          </w:p>
          <w:p w14:paraId="5A271A22" w14:textId="77777777" w:rsidR="00F637F6" w:rsidRPr="00CE5C99" w:rsidRDefault="00F637F6" w:rsidP="00D47C24">
            <w:pPr>
              <w:ind w:left="0" w:right="0"/>
              <w:rPr>
                <w:snapToGrid w:val="0"/>
                <w:color w:val="auto"/>
                <w:sz w:val="20"/>
                <w:szCs w:val="20"/>
                <w:lang w:val="en-US" w:eastAsia="en-US"/>
              </w:rPr>
            </w:pPr>
            <w:r w:rsidRPr="00CE5C99">
              <w:rPr>
                <w:i/>
                <w:snapToGrid w:val="0"/>
                <w:sz w:val="20"/>
                <w:szCs w:val="20"/>
                <w:lang w:val="en-US" w:eastAsia="en-US"/>
              </w:rPr>
              <w:t xml:space="preserve">Conclusion. </w:t>
            </w:r>
            <w:r w:rsidRPr="00CE5C99">
              <w:rPr>
                <w:snapToGrid w:val="0"/>
                <w:sz w:val="20"/>
                <w:szCs w:val="20"/>
                <w:lang w:val="en-US" w:eastAsia="en-US"/>
              </w:rPr>
              <w:t>Model considered one of the best characterized examples of TSC in terms of morphological, physiological, cellular and molecular changes.</w:t>
            </w:r>
          </w:p>
          <w:p w14:paraId="2922605F" w14:textId="77777777" w:rsidR="00F637F6" w:rsidRPr="007A1387" w:rsidRDefault="00F637F6" w:rsidP="00D47C24">
            <w:pPr>
              <w:ind w:left="0" w:right="0"/>
              <w:rPr>
                <w:snapToGrid w:val="0"/>
                <w:color w:val="auto"/>
                <w:szCs w:val="22"/>
                <w:lang w:val="en-US" w:eastAsia="en-US"/>
              </w:rPr>
            </w:pPr>
            <w:r w:rsidRPr="00CE5C99">
              <w:rPr>
                <w:snapToGrid w:val="0"/>
                <w:sz w:val="20"/>
                <w:szCs w:val="20"/>
                <w:lang w:val="en-US" w:eastAsia="en-US"/>
              </w:rPr>
              <w:t xml:space="preserve">Animals showed </w:t>
            </w:r>
            <w:r w:rsidRPr="00CE5C99">
              <w:rPr>
                <w:snapToGrid w:val="0"/>
                <w:sz w:val="20"/>
                <w:szCs w:val="20"/>
                <w:lang w:eastAsia="en-US"/>
              </w:rPr>
              <w:t>w</w:t>
            </w:r>
            <w:proofErr w:type="spellStart"/>
            <w:r w:rsidRPr="00CE5C99">
              <w:rPr>
                <w:snapToGrid w:val="0"/>
                <w:sz w:val="20"/>
                <w:szCs w:val="20"/>
                <w:lang w:val="en-US" w:eastAsia="en-US"/>
              </w:rPr>
              <w:t>ell</w:t>
            </w:r>
            <w:proofErr w:type="spellEnd"/>
            <w:r w:rsidRPr="00CE5C99">
              <w:rPr>
                <w:snapToGrid w:val="0"/>
                <w:sz w:val="20"/>
                <w:szCs w:val="20"/>
                <w:lang w:val="en-US" w:eastAsia="en-US"/>
              </w:rPr>
              <w:t xml:space="preserve"> documented spontaneous seizures that increase in frequency over time and a shortened lifespan.</w:t>
            </w:r>
          </w:p>
        </w:tc>
      </w:tr>
      <w:tr w:rsidR="00F637F6" w:rsidRPr="00377BBF" w14:paraId="51B55E24" w14:textId="77777777" w:rsidTr="006E19BD">
        <w:tc>
          <w:tcPr>
            <w:tcW w:w="2660" w:type="dxa"/>
          </w:tcPr>
          <w:p w14:paraId="43554BEC" w14:textId="318F3254" w:rsidR="00F637F6" w:rsidRPr="00CE5C99" w:rsidRDefault="00F637F6" w:rsidP="00CE5C99">
            <w:pPr>
              <w:rPr>
                <w:snapToGrid w:val="0"/>
                <w:sz w:val="20"/>
                <w:szCs w:val="20"/>
                <w:lang w:eastAsia="en-US"/>
              </w:rPr>
            </w:pPr>
            <w:proofErr w:type="spellStart"/>
            <w:r w:rsidRPr="00CE5C99">
              <w:rPr>
                <w:b/>
                <w:snapToGrid w:val="0"/>
                <w:sz w:val="20"/>
                <w:szCs w:val="20"/>
                <w:lang w:eastAsia="en-US"/>
              </w:rPr>
              <w:t>Erbayat</w:t>
            </w:r>
            <w:proofErr w:type="spellEnd"/>
            <w:r w:rsidRPr="00CE5C99">
              <w:rPr>
                <w:b/>
                <w:snapToGrid w:val="0"/>
                <w:sz w:val="20"/>
                <w:szCs w:val="20"/>
                <w:lang w:eastAsia="en-US"/>
              </w:rPr>
              <w:t xml:space="preserve">-Altay </w:t>
            </w:r>
            <w:r w:rsidRPr="00CE5C99">
              <w:rPr>
                <w:b/>
                <w:i/>
                <w:snapToGrid w:val="0"/>
                <w:sz w:val="20"/>
                <w:szCs w:val="20"/>
                <w:lang w:eastAsia="en-US"/>
              </w:rPr>
              <w:t>et al</w:t>
            </w:r>
            <w:r w:rsidRPr="00CE5C99">
              <w:rPr>
                <w:b/>
                <w:snapToGrid w:val="0"/>
                <w:sz w:val="20"/>
                <w:szCs w:val="20"/>
                <w:lang w:eastAsia="en-US"/>
              </w:rPr>
              <w:t>., 2007</w:t>
            </w:r>
            <w:r w:rsidR="00DD3A0D">
              <w:rPr>
                <w:b/>
                <w:snapToGrid w:val="0"/>
                <w:sz w:val="20"/>
                <w:szCs w:val="20"/>
                <w:lang w:eastAsia="en-US"/>
              </w:rPr>
              <w:t>;</w:t>
            </w:r>
            <w:r w:rsidRPr="00CE5C99">
              <w:rPr>
                <w:rStyle w:val="FootnoteReference"/>
                <w:rFonts w:asciiTheme="minorHAnsi" w:eastAsia="Times New Roman" w:hAnsiTheme="minorHAnsi"/>
                <w:b/>
                <w:snapToGrid w:val="0"/>
                <w:sz w:val="20"/>
                <w:szCs w:val="20"/>
                <w:lang w:eastAsia="en-US"/>
              </w:rPr>
              <w:footnoteReference w:id="12"/>
            </w:r>
          </w:p>
          <w:p w14:paraId="3A4E7E37" w14:textId="77777777" w:rsidR="00F637F6" w:rsidRPr="00F633BE" w:rsidRDefault="00F637F6" w:rsidP="00CE5C99">
            <w:pPr>
              <w:rPr>
                <w:snapToGrid w:val="0"/>
                <w:lang w:val="en-US" w:eastAsia="en-US"/>
              </w:rPr>
            </w:pPr>
            <w:r w:rsidRPr="00CE5C99">
              <w:rPr>
                <w:i/>
                <w:snapToGrid w:val="0"/>
                <w:sz w:val="20"/>
                <w:szCs w:val="20"/>
                <w:lang w:eastAsia="en-US"/>
              </w:rPr>
              <w:t xml:space="preserve">Tsc1 </w:t>
            </w:r>
            <w:r w:rsidRPr="00CE5C99">
              <w:rPr>
                <w:i/>
                <w:snapToGrid w:val="0"/>
                <w:sz w:val="20"/>
                <w:szCs w:val="20"/>
                <w:vertAlign w:val="superscript"/>
                <w:lang w:eastAsia="en-US"/>
              </w:rPr>
              <w:t>GFAP</w:t>
            </w:r>
            <w:r w:rsidR="00F50ABF" w:rsidRPr="00CE5C99">
              <w:rPr>
                <w:i/>
                <w:snapToGrid w:val="0"/>
                <w:sz w:val="20"/>
                <w:szCs w:val="20"/>
                <w:lang w:eastAsia="en-US"/>
              </w:rPr>
              <w:t xml:space="preserve"> </w:t>
            </w:r>
            <w:r w:rsidRPr="00CE5C99">
              <w:rPr>
                <w:i/>
                <w:snapToGrid w:val="0"/>
                <w:sz w:val="20"/>
                <w:szCs w:val="20"/>
                <w:lang w:eastAsia="en-US"/>
              </w:rPr>
              <w:t>conditional knockout (CKO) mice</w:t>
            </w:r>
          </w:p>
        </w:tc>
        <w:tc>
          <w:tcPr>
            <w:tcW w:w="6804" w:type="dxa"/>
          </w:tcPr>
          <w:p w14:paraId="704CE9E1" w14:textId="77777777" w:rsidR="00F637F6" w:rsidRPr="00216A1B" w:rsidRDefault="00F637F6" w:rsidP="00216A1B">
            <w:pPr>
              <w:spacing w:before="0" w:after="0" w:line="240" w:lineRule="auto"/>
              <w:rPr>
                <w:rFonts w:asciiTheme="minorHAnsi" w:eastAsia="Times New Roman" w:hAnsiTheme="minorHAnsi"/>
                <w:i/>
                <w:snapToGrid w:val="0"/>
                <w:sz w:val="20"/>
                <w:lang w:val="en-US" w:eastAsia="en-US"/>
              </w:rPr>
            </w:pPr>
            <w:r w:rsidRPr="00F633BE">
              <w:rPr>
                <w:rFonts w:asciiTheme="minorHAnsi" w:eastAsia="Times New Roman" w:hAnsiTheme="minorHAnsi"/>
                <w:snapToGrid w:val="0"/>
                <w:sz w:val="20"/>
                <w:lang w:eastAsia="en-US"/>
              </w:rPr>
              <w:t>In addition to seizures (</w:t>
            </w:r>
            <w:r>
              <w:rPr>
                <w:rFonts w:asciiTheme="minorHAnsi" w:eastAsia="Times New Roman" w:hAnsiTheme="minorHAnsi"/>
                <w:snapToGrid w:val="0"/>
                <w:sz w:val="20"/>
                <w:lang w:eastAsia="en-US"/>
              </w:rPr>
              <w:t xml:space="preserve">starting </w:t>
            </w:r>
            <w:r w:rsidR="00CE5C99">
              <w:rPr>
                <w:rFonts w:asciiTheme="minorHAnsi" w:eastAsia="Times New Roman" w:hAnsiTheme="minorHAnsi"/>
                <w:snapToGrid w:val="0"/>
                <w:sz w:val="20"/>
                <w:lang w:eastAsia="en-US"/>
              </w:rPr>
              <w:t xml:space="preserve">around 4 to </w:t>
            </w:r>
            <w:r w:rsidRPr="00F633BE">
              <w:rPr>
                <w:rFonts w:asciiTheme="minorHAnsi" w:eastAsia="Times New Roman" w:hAnsiTheme="minorHAnsi"/>
                <w:snapToGrid w:val="0"/>
                <w:sz w:val="20"/>
                <w:lang w:eastAsia="en-US"/>
              </w:rPr>
              <w:t>6 weeks of age), Tsc1</w:t>
            </w:r>
            <w:r w:rsidRPr="00F633BE">
              <w:rPr>
                <w:rFonts w:asciiTheme="minorHAnsi" w:eastAsia="Times New Roman" w:hAnsiTheme="minorHAnsi"/>
                <w:snapToGrid w:val="0"/>
                <w:sz w:val="20"/>
                <w:vertAlign w:val="superscript"/>
                <w:lang w:eastAsia="en-US"/>
              </w:rPr>
              <w:t>GFAP</w:t>
            </w:r>
            <w:r w:rsidRPr="00F633BE">
              <w:rPr>
                <w:rFonts w:asciiTheme="minorHAnsi" w:eastAsia="Times New Roman" w:hAnsiTheme="minorHAnsi"/>
                <w:snapToGrid w:val="0"/>
                <w:sz w:val="20"/>
                <w:lang w:eastAsia="en-US"/>
              </w:rPr>
              <w:t>CKO mice develop an encephalopathy</w:t>
            </w:r>
            <w:r>
              <w:rPr>
                <w:rFonts w:asciiTheme="minorHAnsi" w:eastAsia="Times New Roman" w:hAnsiTheme="minorHAnsi"/>
                <w:snapToGrid w:val="0"/>
                <w:sz w:val="20"/>
                <w:lang w:eastAsia="en-US"/>
              </w:rPr>
              <w:t xml:space="preserve"> </w:t>
            </w:r>
            <w:r w:rsidRPr="00F633BE">
              <w:rPr>
                <w:rFonts w:asciiTheme="minorHAnsi" w:eastAsia="Times New Roman" w:hAnsiTheme="minorHAnsi"/>
                <w:snapToGrid w:val="0"/>
                <w:sz w:val="20"/>
                <w:lang w:eastAsia="en-US"/>
              </w:rPr>
              <w:t xml:space="preserve">correlating with abnormalities in </w:t>
            </w:r>
            <w:proofErr w:type="spellStart"/>
            <w:r w:rsidRPr="00F633BE">
              <w:rPr>
                <w:rFonts w:asciiTheme="minorHAnsi" w:eastAsia="Times New Roman" w:hAnsiTheme="minorHAnsi"/>
                <w:snapToGrid w:val="0"/>
                <w:sz w:val="20"/>
                <w:lang w:eastAsia="en-US"/>
              </w:rPr>
              <w:t>interictal</w:t>
            </w:r>
            <w:proofErr w:type="spellEnd"/>
            <w:r w:rsidRPr="00F633BE">
              <w:rPr>
                <w:rFonts w:asciiTheme="minorHAnsi" w:eastAsia="Times New Roman" w:hAnsiTheme="minorHAnsi"/>
                <w:snapToGrid w:val="0"/>
                <w:sz w:val="20"/>
                <w:lang w:eastAsia="en-US"/>
              </w:rPr>
              <w:t xml:space="preserve"> EEG background. All mice died by 3 months</w:t>
            </w:r>
            <w:r>
              <w:rPr>
                <w:rFonts w:asciiTheme="minorHAnsi" w:eastAsia="Times New Roman" w:hAnsiTheme="minorHAnsi"/>
                <w:snapToGrid w:val="0"/>
                <w:sz w:val="20"/>
                <w:lang w:eastAsia="en-US"/>
              </w:rPr>
              <w:t>.</w:t>
            </w:r>
          </w:p>
        </w:tc>
      </w:tr>
      <w:tr w:rsidR="006D4B5A" w:rsidRPr="00377BBF" w14:paraId="75107BC1" w14:textId="77777777" w:rsidTr="00216A1B">
        <w:tc>
          <w:tcPr>
            <w:tcW w:w="2660" w:type="dxa"/>
          </w:tcPr>
          <w:p w14:paraId="35E9593B" w14:textId="7185B575" w:rsidR="006D4B5A" w:rsidRPr="00CE5C99" w:rsidRDefault="006D4B5A" w:rsidP="00CE5C99">
            <w:pPr>
              <w:rPr>
                <w:snapToGrid w:val="0"/>
                <w:sz w:val="20"/>
                <w:szCs w:val="20"/>
                <w:lang w:val="en-US" w:eastAsia="en-US"/>
              </w:rPr>
            </w:pPr>
            <w:r w:rsidRPr="00CE5C99">
              <w:rPr>
                <w:b/>
                <w:snapToGrid w:val="0"/>
                <w:sz w:val="20"/>
                <w:szCs w:val="20"/>
                <w:lang w:eastAsia="en-US"/>
              </w:rPr>
              <w:t xml:space="preserve">Zeng </w:t>
            </w:r>
            <w:r w:rsidRPr="00CE5C99">
              <w:rPr>
                <w:b/>
                <w:i/>
                <w:snapToGrid w:val="0"/>
                <w:sz w:val="20"/>
                <w:szCs w:val="20"/>
                <w:lang w:eastAsia="en-US"/>
              </w:rPr>
              <w:t>et al</w:t>
            </w:r>
            <w:r w:rsidRPr="00CE5C99">
              <w:rPr>
                <w:b/>
                <w:snapToGrid w:val="0"/>
                <w:sz w:val="20"/>
                <w:szCs w:val="20"/>
                <w:lang w:eastAsia="en-US"/>
              </w:rPr>
              <w:t>., 2008</w:t>
            </w:r>
            <w:r w:rsidR="00DD3A0D">
              <w:rPr>
                <w:b/>
                <w:snapToGrid w:val="0"/>
                <w:sz w:val="20"/>
                <w:szCs w:val="20"/>
                <w:lang w:eastAsia="en-US"/>
              </w:rPr>
              <w:t>;</w:t>
            </w:r>
            <w:r w:rsidR="00F637F6" w:rsidRPr="00CE5C99">
              <w:rPr>
                <w:rStyle w:val="FootnoteReference"/>
                <w:rFonts w:asciiTheme="minorHAnsi" w:eastAsia="Times New Roman" w:hAnsiTheme="minorHAnsi"/>
                <w:b/>
                <w:snapToGrid w:val="0"/>
                <w:sz w:val="20"/>
                <w:szCs w:val="20"/>
                <w:lang w:eastAsia="en-US"/>
              </w:rPr>
              <w:footnoteReference w:id="13"/>
            </w:r>
          </w:p>
          <w:p w14:paraId="5410F138" w14:textId="77777777" w:rsidR="006D4B5A" w:rsidRPr="00CE5C99" w:rsidRDefault="006D4B5A" w:rsidP="00CE5C99">
            <w:pPr>
              <w:rPr>
                <w:snapToGrid w:val="0"/>
                <w:sz w:val="20"/>
                <w:szCs w:val="20"/>
                <w:lang w:val="en-US" w:eastAsia="en-US"/>
              </w:rPr>
            </w:pPr>
            <w:r w:rsidRPr="00CE5C99">
              <w:rPr>
                <w:snapToGrid w:val="0"/>
                <w:sz w:val="20"/>
                <w:szCs w:val="20"/>
                <w:lang w:val="en-US" w:eastAsia="en-US"/>
              </w:rPr>
              <w:t xml:space="preserve">Effect of an </w:t>
            </w:r>
            <w:proofErr w:type="spellStart"/>
            <w:r w:rsidRPr="00CE5C99">
              <w:rPr>
                <w:snapToGrid w:val="0"/>
                <w:sz w:val="20"/>
                <w:szCs w:val="20"/>
                <w:lang w:val="en-US" w:eastAsia="en-US"/>
              </w:rPr>
              <w:t>mTOR</w:t>
            </w:r>
            <w:proofErr w:type="spellEnd"/>
            <w:r w:rsidRPr="00CE5C99">
              <w:rPr>
                <w:snapToGrid w:val="0"/>
                <w:sz w:val="20"/>
                <w:szCs w:val="20"/>
                <w:lang w:val="en-US" w:eastAsia="en-US"/>
              </w:rPr>
              <w:t xml:space="preserve"> inhibitor (rapamycin) to </w:t>
            </w:r>
            <w:r w:rsidRPr="00CE5C99">
              <w:rPr>
                <w:snapToGrid w:val="0"/>
                <w:sz w:val="20"/>
                <w:szCs w:val="20"/>
                <w:lang w:eastAsia="en-US"/>
              </w:rPr>
              <w:t>prevent or reverse s</w:t>
            </w:r>
            <w:proofErr w:type="spellStart"/>
            <w:r w:rsidRPr="00CE5C99">
              <w:rPr>
                <w:snapToGrid w:val="0"/>
                <w:sz w:val="20"/>
                <w:szCs w:val="20"/>
                <w:lang w:val="en-US" w:eastAsia="en-US"/>
              </w:rPr>
              <w:t>eizures</w:t>
            </w:r>
            <w:proofErr w:type="spellEnd"/>
          </w:p>
          <w:p w14:paraId="2902C172" w14:textId="77777777" w:rsidR="006D4B5A" w:rsidRPr="00216A1B" w:rsidRDefault="006D4B5A" w:rsidP="00CE5C99">
            <w:pPr>
              <w:rPr>
                <w:i/>
                <w:snapToGrid w:val="0"/>
                <w:lang w:eastAsia="en-US"/>
              </w:rPr>
            </w:pPr>
            <w:r w:rsidRPr="00CE5C99">
              <w:rPr>
                <w:i/>
                <w:snapToGrid w:val="0"/>
                <w:sz w:val="20"/>
                <w:szCs w:val="20"/>
                <w:lang w:eastAsia="en-US"/>
              </w:rPr>
              <w:t xml:space="preserve">Tsc1 </w:t>
            </w:r>
            <w:r w:rsidRPr="00CE5C99">
              <w:rPr>
                <w:i/>
                <w:snapToGrid w:val="0"/>
                <w:sz w:val="20"/>
                <w:szCs w:val="20"/>
                <w:vertAlign w:val="superscript"/>
                <w:lang w:eastAsia="en-US"/>
              </w:rPr>
              <w:t>GFAP</w:t>
            </w:r>
            <w:r w:rsidR="00F50ABF" w:rsidRPr="00CE5C99">
              <w:rPr>
                <w:i/>
                <w:snapToGrid w:val="0"/>
                <w:sz w:val="20"/>
                <w:szCs w:val="20"/>
                <w:lang w:eastAsia="en-US"/>
              </w:rPr>
              <w:t xml:space="preserve"> </w:t>
            </w:r>
            <w:r w:rsidRPr="00CE5C99">
              <w:rPr>
                <w:i/>
                <w:snapToGrid w:val="0"/>
                <w:sz w:val="20"/>
                <w:szCs w:val="20"/>
                <w:lang w:eastAsia="en-US"/>
              </w:rPr>
              <w:t>conditional knockout (CKO) mice</w:t>
            </w:r>
          </w:p>
        </w:tc>
        <w:tc>
          <w:tcPr>
            <w:tcW w:w="6804" w:type="dxa"/>
          </w:tcPr>
          <w:p w14:paraId="69C3EC8E" w14:textId="77777777" w:rsidR="006D4B5A" w:rsidRPr="00CE5C99" w:rsidRDefault="006D4B5A" w:rsidP="00CE5C99">
            <w:pPr>
              <w:rPr>
                <w:snapToGrid w:val="0"/>
                <w:sz w:val="20"/>
                <w:szCs w:val="20"/>
                <w:lang w:val="en-US" w:eastAsia="en-US"/>
              </w:rPr>
            </w:pPr>
            <w:r w:rsidRPr="00CE5C99">
              <w:rPr>
                <w:snapToGrid w:val="0"/>
                <w:sz w:val="20"/>
                <w:szCs w:val="20"/>
                <w:lang w:val="en-US" w:eastAsia="en-US"/>
              </w:rPr>
              <w:t xml:space="preserve">Activated </w:t>
            </w:r>
            <w:proofErr w:type="spellStart"/>
            <w:r w:rsidRPr="00CE5C99">
              <w:rPr>
                <w:snapToGrid w:val="0"/>
                <w:sz w:val="20"/>
                <w:szCs w:val="20"/>
                <w:lang w:val="en-US" w:eastAsia="en-US"/>
              </w:rPr>
              <w:t>mTOR</w:t>
            </w:r>
            <w:proofErr w:type="spellEnd"/>
            <w:r w:rsidRPr="00CE5C99">
              <w:rPr>
                <w:snapToGrid w:val="0"/>
                <w:sz w:val="20"/>
                <w:szCs w:val="20"/>
                <w:lang w:val="en-US" w:eastAsia="en-US"/>
              </w:rPr>
              <w:t xml:space="preserve"> activity was observed wi</w:t>
            </w:r>
            <w:r w:rsidR="00CE5C99">
              <w:rPr>
                <w:snapToGrid w:val="0"/>
                <w:sz w:val="20"/>
                <w:szCs w:val="20"/>
                <w:lang w:val="en-US" w:eastAsia="en-US"/>
              </w:rPr>
              <w:t xml:space="preserve">th increased pS6 levels (3 to 5 </w:t>
            </w:r>
            <w:r w:rsidRPr="00CE5C99">
              <w:rPr>
                <w:snapToGrid w:val="0"/>
                <w:sz w:val="20"/>
                <w:szCs w:val="20"/>
                <w:lang w:val="en-US" w:eastAsia="en-US"/>
              </w:rPr>
              <w:t>fold)</w:t>
            </w:r>
            <w:r w:rsidR="00F50ABF" w:rsidRPr="00CE5C99">
              <w:rPr>
                <w:snapToGrid w:val="0"/>
                <w:sz w:val="20"/>
                <w:szCs w:val="20"/>
                <w:lang w:val="en-US" w:eastAsia="en-US"/>
              </w:rPr>
              <w:t xml:space="preserve"> </w:t>
            </w:r>
            <w:r w:rsidRPr="00CE5C99">
              <w:rPr>
                <w:snapToGrid w:val="0"/>
                <w:sz w:val="20"/>
                <w:szCs w:val="20"/>
                <w:lang w:val="en-US" w:eastAsia="en-US"/>
              </w:rPr>
              <w:t xml:space="preserve">in the neocortex and hippocampus. In addition to </w:t>
            </w:r>
            <w:r w:rsidR="00CE5C99" w:rsidRPr="00CE5C99">
              <w:rPr>
                <w:snapToGrid w:val="0"/>
                <w:sz w:val="20"/>
                <w:szCs w:val="20"/>
                <w:lang w:val="en-US" w:eastAsia="en-US"/>
              </w:rPr>
              <w:t>well</w:t>
            </w:r>
            <w:r w:rsidRPr="00CE5C99">
              <w:rPr>
                <w:snapToGrid w:val="0"/>
                <w:sz w:val="20"/>
                <w:szCs w:val="20"/>
                <w:lang w:val="en-US" w:eastAsia="en-US"/>
              </w:rPr>
              <w:t xml:space="preserve"> documented spontaneous seizures, mice showed</w:t>
            </w:r>
            <w:r w:rsidR="00F50ABF" w:rsidRPr="00CE5C99">
              <w:rPr>
                <w:snapToGrid w:val="0"/>
                <w:sz w:val="20"/>
                <w:szCs w:val="20"/>
                <w:lang w:val="en-US" w:eastAsia="en-US"/>
              </w:rPr>
              <w:t xml:space="preserve"> </w:t>
            </w:r>
            <w:r w:rsidRPr="00CE5C99">
              <w:rPr>
                <w:snapToGrid w:val="0"/>
                <w:sz w:val="20"/>
                <w:szCs w:val="20"/>
                <w:lang w:val="en-US" w:eastAsia="en-US"/>
              </w:rPr>
              <w:t xml:space="preserve">a progressive encephalopathy and abnormalities in </w:t>
            </w:r>
            <w:proofErr w:type="spellStart"/>
            <w:r w:rsidRPr="00CE5C99">
              <w:rPr>
                <w:snapToGrid w:val="0"/>
                <w:sz w:val="20"/>
                <w:szCs w:val="20"/>
                <w:lang w:val="en-US" w:eastAsia="en-US"/>
              </w:rPr>
              <w:t>interictal</w:t>
            </w:r>
            <w:proofErr w:type="spellEnd"/>
            <w:r w:rsidRPr="00CE5C99">
              <w:rPr>
                <w:snapToGrid w:val="0"/>
                <w:sz w:val="20"/>
                <w:szCs w:val="20"/>
                <w:lang w:val="en-US" w:eastAsia="en-US"/>
              </w:rPr>
              <w:t xml:space="preserve"> EEG background, starting between 1 and 2 months of age. </w:t>
            </w:r>
            <w:r w:rsidRPr="00CE5C99">
              <w:rPr>
                <w:snapToGrid w:val="0"/>
                <w:sz w:val="20"/>
                <w:szCs w:val="20"/>
                <w:lang w:eastAsia="en-US"/>
              </w:rPr>
              <w:t>Increased numbers of astrocytes (</w:t>
            </w:r>
            <w:proofErr w:type="spellStart"/>
            <w:r w:rsidRPr="00CE5C99">
              <w:rPr>
                <w:snapToGrid w:val="0"/>
                <w:sz w:val="20"/>
                <w:szCs w:val="20"/>
                <w:lang w:eastAsia="en-US"/>
              </w:rPr>
              <w:t>astrogliosis</w:t>
            </w:r>
            <w:proofErr w:type="spellEnd"/>
            <w:r w:rsidRPr="00CE5C99">
              <w:rPr>
                <w:snapToGrid w:val="0"/>
                <w:sz w:val="20"/>
                <w:szCs w:val="20"/>
                <w:lang w:eastAsia="en-US"/>
              </w:rPr>
              <w:t xml:space="preserve">) were also found in the cerebral neocortex as well as the hippocampus. </w:t>
            </w:r>
            <w:r w:rsidRPr="00CE5C99">
              <w:rPr>
                <w:snapToGrid w:val="0"/>
                <w:sz w:val="20"/>
                <w:szCs w:val="20"/>
                <w:lang w:val="en-US" w:eastAsia="en-US"/>
              </w:rPr>
              <w:t>Animals showed and a shortened lifespan (</w:t>
            </w:r>
            <w:r w:rsidRPr="00CE5C99">
              <w:rPr>
                <w:snapToGrid w:val="0"/>
                <w:sz w:val="20"/>
                <w:szCs w:val="20"/>
                <w:lang w:eastAsia="en-US"/>
              </w:rPr>
              <w:t>all mice dead by 4 months</w:t>
            </w:r>
            <w:r w:rsidRPr="00CE5C99">
              <w:rPr>
                <w:snapToGrid w:val="0"/>
                <w:sz w:val="20"/>
                <w:szCs w:val="20"/>
                <w:lang w:val="en-US" w:eastAsia="en-US"/>
              </w:rPr>
              <w:t>).</w:t>
            </w:r>
          </w:p>
          <w:p w14:paraId="1C5701FE" w14:textId="77777777" w:rsidR="006D4B5A" w:rsidRPr="00CE5C99" w:rsidRDefault="006D4B5A" w:rsidP="00CE5C99">
            <w:pPr>
              <w:rPr>
                <w:snapToGrid w:val="0"/>
                <w:sz w:val="20"/>
                <w:szCs w:val="20"/>
                <w:lang w:val="en-US" w:eastAsia="en-US"/>
              </w:rPr>
            </w:pPr>
            <w:r w:rsidRPr="00CE5C99">
              <w:rPr>
                <w:snapToGrid w:val="0"/>
                <w:sz w:val="20"/>
                <w:szCs w:val="20"/>
                <w:lang w:val="en-US" w:eastAsia="en-US"/>
              </w:rPr>
              <w:t>Mice treated daily with rapamycin (3 mg/kg IP, 5 days/week) starting at postnatal day 14 (early treatment; 2 weeks prior to the onset of spontaneous seizures and continued for 15 weeks) did not develop seizures or histopathological alterations (</w:t>
            </w:r>
            <w:proofErr w:type="spellStart"/>
            <w:r w:rsidRPr="00CE5C99">
              <w:rPr>
                <w:snapToGrid w:val="0"/>
                <w:sz w:val="20"/>
                <w:szCs w:val="20"/>
                <w:lang w:val="en-US" w:eastAsia="en-US"/>
              </w:rPr>
              <w:t>astrogliosis</w:t>
            </w:r>
            <w:proofErr w:type="spellEnd"/>
            <w:r w:rsidRPr="00CE5C99">
              <w:rPr>
                <w:snapToGrid w:val="0"/>
                <w:sz w:val="20"/>
                <w:szCs w:val="20"/>
                <w:lang w:val="en-US" w:eastAsia="en-US"/>
              </w:rPr>
              <w:t xml:space="preserve">, hippocampal pyramidal cell dispersion, </w:t>
            </w:r>
            <w:r w:rsidRPr="00CE5C99">
              <w:rPr>
                <w:snapToGrid w:val="0"/>
                <w:sz w:val="20"/>
                <w:szCs w:val="20"/>
                <w:lang w:eastAsia="en-US"/>
              </w:rPr>
              <w:t>neuronal enlargement</w:t>
            </w:r>
            <w:r w:rsidRPr="00CE5C99">
              <w:rPr>
                <w:snapToGrid w:val="0"/>
                <w:sz w:val="20"/>
                <w:szCs w:val="20"/>
                <w:lang w:val="en-US" w:eastAsia="en-US"/>
              </w:rPr>
              <w:t xml:space="preserve"> were reduced and brain volume was decreased) and survived longer, compared to controls. Phosphorylation of S6 protein (downstream mediator of TOR path</w:t>
            </w:r>
            <w:r w:rsidR="00216A1B" w:rsidRPr="00CE5C99">
              <w:rPr>
                <w:snapToGrid w:val="0"/>
                <w:sz w:val="20"/>
                <w:szCs w:val="20"/>
                <w:lang w:val="en-US" w:eastAsia="en-US"/>
              </w:rPr>
              <w:t>way) was reduced by rapamycin.</w:t>
            </w:r>
          </w:p>
          <w:p w14:paraId="50F43128" w14:textId="77777777" w:rsidR="006D4B5A" w:rsidRPr="00CE5C99" w:rsidRDefault="006D4B5A" w:rsidP="00CE5C99">
            <w:pPr>
              <w:rPr>
                <w:snapToGrid w:val="0"/>
                <w:sz w:val="20"/>
                <w:szCs w:val="20"/>
                <w:lang w:val="en-US" w:eastAsia="en-US"/>
              </w:rPr>
            </w:pPr>
            <w:r w:rsidRPr="00CE5C99">
              <w:rPr>
                <w:snapToGrid w:val="0"/>
                <w:sz w:val="20"/>
                <w:szCs w:val="20"/>
                <w:lang w:val="en-US" w:eastAsia="en-US"/>
              </w:rPr>
              <w:t>Similarly, in mice that were dosed at 6 weeks after birth (corresponding to the onset of neurological abnormalities;</w:t>
            </w:r>
            <w:r w:rsidR="00CE5C99" w:rsidRPr="00CE5C99">
              <w:rPr>
                <w:snapToGrid w:val="0"/>
                <w:sz w:val="20"/>
                <w:szCs w:val="20"/>
                <w:lang w:val="en-US" w:eastAsia="en-US"/>
              </w:rPr>
              <w:t xml:space="preserve"> that is</w:t>
            </w:r>
            <w:r w:rsidRPr="00CE5C99">
              <w:rPr>
                <w:snapToGrid w:val="0"/>
                <w:sz w:val="20"/>
                <w:szCs w:val="20"/>
                <w:lang w:val="en-US" w:eastAsia="en-US"/>
              </w:rPr>
              <w:t xml:space="preserve">, late treatment), the frequency of seizures that had developed were also reduced. Treatment </w:t>
            </w:r>
            <w:r w:rsidRPr="00CE5C99">
              <w:rPr>
                <w:snapToGrid w:val="0"/>
                <w:sz w:val="20"/>
                <w:szCs w:val="20"/>
                <w:lang w:val="en-US" w:eastAsia="en-US"/>
              </w:rPr>
              <w:lastRenderedPageBreak/>
              <w:t>also partially reversed the histopathologic changes observed in astrocytes and hippocampal pyramidal cells (to a lesser extent when given earlier).</w:t>
            </w:r>
          </w:p>
          <w:p w14:paraId="430EBB1A" w14:textId="77777777" w:rsidR="006D4B5A" w:rsidRPr="00CE5C99" w:rsidRDefault="006D4B5A" w:rsidP="00CE5C99">
            <w:pPr>
              <w:rPr>
                <w:snapToGrid w:val="0"/>
                <w:sz w:val="20"/>
                <w:szCs w:val="20"/>
                <w:lang w:val="en-US" w:eastAsia="en-US"/>
              </w:rPr>
            </w:pPr>
            <w:r w:rsidRPr="00CE5C99">
              <w:rPr>
                <w:snapToGrid w:val="0"/>
                <w:sz w:val="20"/>
                <w:szCs w:val="20"/>
                <w:lang w:val="en-US" w:eastAsia="en-US"/>
              </w:rPr>
              <w:t>When rapamycin treatment was discontinued, there appeared to be a delayed re-emergence of the neurological phenotype and seizures, suggestive of a need for long-term, continued treatment.</w:t>
            </w:r>
          </w:p>
          <w:p w14:paraId="272C99AE" w14:textId="77777777" w:rsidR="006D4B5A" w:rsidRPr="00694A35" w:rsidRDefault="006D4B5A" w:rsidP="00CE5C99">
            <w:pPr>
              <w:rPr>
                <w:snapToGrid w:val="0"/>
                <w:lang w:val="en-US" w:eastAsia="en-US"/>
              </w:rPr>
            </w:pPr>
            <w:r w:rsidRPr="00CE5C99">
              <w:rPr>
                <w:i/>
                <w:snapToGrid w:val="0"/>
                <w:sz w:val="20"/>
                <w:szCs w:val="20"/>
                <w:lang w:val="en-US" w:eastAsia="en-US"/>
              </w:rPr>
              <w:t xml:space="preserve">Conclusion. </w:t>
            </w:r>
            <w:r w:rsidRPr="00CE5C99">
              <w:rPr>
                <w:snapToGrid w:val="0"/>
                <w:sz w:val="20"/>
                <w:szCs w:val="20"/>
                <w:lang w:val="en-US" w:eastAsia="en-US"/>
              </w:rPr>
              <w:t>Rapamycin prevente</w:t>
            </w:r>
            <w:r w:rsidR="00216A1B" w:rsidRPr="00CE5C99">
              <w:rPr>
                <w:snapToGrid w:val="0"/>
                <w:sz w:val="20"/>
                <w:szCs w:val="20"/>
                <w:lang w:val="en-US" w:eastAsia="en-US"/>
              </w:rPr>
              <w:t xml:space="preserve">d or reversed seizures and the </w:t>
            </w:r>
            <w:r w:rsidRPr="00CE5C99">
              <w:rPr>
                <w:snapToGrid w:val="0"/>
                <w:sz w:val="20"/>
                <w:szCs w:val="20"/>
                <w:lang w:val="en-US" w:eastAsia="en-US"/>
              </w:rPr>
              <w:t>underlying cellular and molecular brain abnormalities in</w:t>
            </w:r>
            <w:r w:rsidR="00F50ABF" w:rsidRPr="00CE5C99">
              <w:rPr>
                <w:snapToGrid w:val="0"/>
                <w:sz w:val="20"/>
                <w:szCs w:val="20"/>
                <w:lang w:val="en-US" w:eastAsia="en-US"/>
              </w:rPr>
              <w:t xml:space="preserve"> </w:t>
            </w:r>
            <w:r w:rsidRPr="00CE5C99">
              <w:rPr>
                <w:snapToGrid w:val="0"/>
                <w:sz w:val="20"/>
                <w:szCs w:val="20"/>
                <w:lang w:val="en-US" w:eastAsia="en-US"/>
              </w:rPr>
              <w:t xml:space="preserve">mice, indicating that the seizures and the underlying pathology are sensitive to </w:t>
            </w:r>
            <w:proofErr w:type="spellStart"/>
            <w:r w:rsidRPr="00CE5C99">
              <w:rPr>
                <w:snapToGrid w:val="0"/>
                <w:sz w:val="20"/>
                <w:szCs w:val="20"/>
                <w:lang w:val="en-US" w:eastAsia="en-US"/>
              </w:rPr>
              <w:t>mTOR</w:t>
            </w:r>
            <w:proofErr w:type="spellEnd"/>
            <w:r w:rsidRPr="00CE5C99">
              <w:rPr>
                <w:snapToGrid w:val="0"/>
                <w:sz w:val="20"/>
                <w:szCs w:val="20"/>
                <w:lang w:val="en-US" w:eastAsia="en-US"/>
              </w:rPr>
              <w:t xml:space="preserve"> inhibition.</w:t>
            </w:r>
          </w:p>
        </w:tc>
      </w:tr>
      <w:tr w:rsidR="006D4B5A" w:rsidRPr="00377BBF" w14:paraId="7BB4CEEF" w14:textId="77777777" w:rsidTr="00216A1B">
        <w:tc>
          <w:tcPr>
            <w:tcW w:w="2660" w:type="dxa"/>
          </w:tcPr>
          <w:p w14:paraId="14688943" w14:textId="131F1D5B" w:rsidR="006D4B5A" w:rsidRPr="00CE5C99" w:rsidRDefault="006D4B5A" w:rsidP="00CE5C99">
            <w:pPr>
              <w:rPr>
                <w:snapToGrid w:val="0"/>
                <w:sz w:val="20"/>
                <w:szCs w:val="20"/>
                <w:lang w:val="en-US" w:eastAsia="en-US"/>
              </w:rPr>
            </w:pPr>
            <w:proofErr w:type="spellStart"/>
            <w:r w:rsidRPr="00CE5C99">
              <w:rPr>
                <w:b/>
                <w:snapToGrid w:val="0"/>
                <w:sz w:val="20"/>
                <w:szCs w:val="20"/>
                <w:lang w:eastAsia="en-US"/>
              </w:rPr>
              <w:lastRenderedPageBreak/>
              <w:t>Meikle</w:t>
            </w:r>
            <w:proofErr w:type="spellEnd"/>
            <w:r w:rsidRPr="00CE5C99">
              <w:rPr>
                <w:b/>
                <w:snapToGrid w:val="0"/>
                <w:sz w:val="20"/>
                <w:szCs w:val="20"/>
                <w:lang w:eastAsia="en-US"/>
              </w:rPr>
              <w:t xml:space="preserve"> </w:t>
            </w:r>
            <w:r w:rsidRPr="00CE5C99">
              <w:rPr>
                <w:b/>
                <w:i/>
                <w:snapToGrid w:val="0"/>
                <w:sz w:val="20"/>
                <w:szCs w:val="20"/>
                <w:lang w:eastAsia="en-US"/>
              </w:rPr>
              <w:t>et al</w:t>
            </w:r>
            <w:r w:rsidRPr="00CE5C99">
              <w:rPr>
                <w:b/>
                <w:snapToGrid w:val="0"/>
                <w:sz w:val="20"/>
                <w:szCs w:val="20"/>
                <w:lang w:eastAsia="en-US"/>
              </w:rPr>
              <w:t>., 2008</w:t>
            </w:r>
            <w:r w:rsidR="00DD3A0D">
              <w:rPr>
                <w:b/>
                <w:snapToGrid w:val="0"/>
                <w:sz w:val="20"/>
                <w:szCs w:val="20"/>
                <w:lang w:eastAsia="en-US"/>
              </w:rPr>
              <w:t>;</w:t>
            </w:r>
            <w:r w:rsidR="00F637F6" w:rsidRPr="00CE5C99">
              <w:rPr>
                <w:rStyle w:val="FootnoteReference"/>
                <w:rFonts w:asciiTheme="minorHAnsi" w:eastAsia="Times New Roman" w:hAnsiTheme="minorHAnsi"/>
                <w:b/>
                <w:snapToGrid w:val="0"/>
                <w:sz w:val="20"/>
                <w:szCs w:val="20"/>
                <w:lang w:eastAsia="en-US"/>
              </w:rPr>
              <w:footnoteReference w:id="14"/>
            </w:r>
          </w:p>
          <w:p w14:paraId="0966836B" w14:textId="77777777" w:rsidR="006D4B5A" w:rsidRPr="00CE5C99" w:rsidRDefault="006D4B5A" w:rsidP="00CE5C99">
            <w:pPr>
              <w:rPr>
                <w:i/>
                <w:snapToGrid w:val="0"/>
                <w:sz w:val="20"/>
                <w:szCs w:val="20"/>
                <w:lang w:eastAsia="en-US"/>
              </w:rPr>
            </w:pPr>
            <w:r w:rsidRPr="00CE5C99">
              <w:rPr>
                <w:i/>
                <w:snapToGrid w:val="0"/>
                <w:sz w:val="20"/>
                <w:szCs w:val="20"/>
                <w:lang w:eastAsia="en-US"/>
              </w:rPr>
              <w:t>Tsc1</w:t>
            </w:r>
            <w:r w:rsidRPr="00CE5C99">
              <w:rPr>
                <w:i/>
                <w:snapToGrid w:val="0"/>
                <w:sz w:val="20"/>
                <w:szCs w:val="20"/>
                <w:vertAlign w:val="superscript"/>
                <w:lang w:eastAsia="en-US"/>
              </w:rPr>
              <w:t>Synapsin</w:t>
            </w:r>
            <w:r w:rsidR="00F50ABF" w:rsidRPr="00CE5C99">
              <w:rPr>
                <w:snapToGrid w:val="0"/>
                <w:sz w:val="20"/>
                <w:szCs w:val="20"/>
                <w:vertAlign w:val="superscript"/>
                <w:lang w:eastAsia="en-US"/>
              </w:rPr>
              <w:t xml:space="preserve"> </w:t>
            </w:r>
            <w:r w:rsidRPr="00CE5C99">
              <w:rPr>
                <w:i/>
                <w:snapToGrid w:val="0"/>
                <w:sz w:val="20"/>
                <w:szCs w:val="20"/>
                <w:lang w:eastAsia="en-US"/>
              </w:rPr>
              <w:t>conditional TSC1 knockout (CKO)</w:t>
            </w:r>
            <w:r w:rsidR="00F50ABF" w:rsidRPr="00CE5C99">
              <w:rPr>
                <w:i/>
                <w:snapToGrid w:val="0"/>
                <w:sz w:val="20"/>
                <w:szCs w:val="20"/>
                <w:lang w:eastAsia="en-US"/>
              </w:rPr>
              <w:t xml:space="preserve"> </w:t>
            </w:r>
            <w:r w:rsidRPr="00CE5C99">
              <w:rPr>
                <w:i/>
                <w:snapToGrid w:val="0"/>
                <w:sz w:val="20"/>
                <w:szCs w:val="20"/>
                <w:lang w:eastAsia="en-US"/>
              </w:rPr>
              <w:t>mouse</w:t>
            </w:r>
            <w:r w:rsidR="00F50ABF" w:rsidRPr="00CE5C99">
              <w:rPr>
                <w:i/>
                <w:snapToGrid w:val="0"/>
                <w:sz w:val="20"/>
                <w:szCs w:val="20"/>
                <w:lang w:eastAsia="en-US"/>
              </w:rPr>
              <w:t xml:space="preserve"> </w:t>
            </w:r>
            <w:r w:rsidRPr="00CE5C99">
              <w:rPr>
                <w:i/>
                <w:snapToGrid w:val="0"/>
                <w:sz w:val="20"/>
                <w:szCs w:val="20"/>
                <w:lang w:eastAsia="en-US"/>
              </w:rPr>
              <w:t>model of TSC.</w:t>
            </w:r>
          </w:p>
          <w:p w14:paraId="3CCC5C90" w14:textId="77777777" w:rsidR="006D4B5A" w:rsidRPr="00162787" w:rsidRDefault="006D4B5A" w:rsidP="00CE5C99">
            <w:pPr>
              <w:rPr>
                <w:snapToGrid w:val="0"/>
                <w:lang w:val="en-US" w:eastAsia="en-US"/>
              </w:rPr>
            </w:pPr>
            <w:r w:rsidRPr="00CE5C99">
              <w:rPr>
                <w:snapToGrid w:val="0"/>
                <w:sz w:val="20"/>
                <w:szCs w:val="20"/>
                <w:lang w:val="en-US" w:eastAsia="en-US"/>
              </w:rPr>
              <w:t xml:space="preserve">Effect of 2 </w:t>
            </w:r>
            <w:proofErr w:type="spellStart"/>
            <w:r w:rsidRPr="00CE5C99">
              <w:rPr>
                <w:snapToGrid w:val="0"/>
                <w:sz w:val="20"/>
                <w:szCs w:val="20"/>
                <w:lang w:val="en-US" w:eastAsia="en-US"/>
              </w:rPr>
              <w:t>mTOR</w:t>
            </w:r>
            <w:proofErr w:type="spellEnd"/>
            <w:r w:rsidRPr="00CE5C99">
              <w:rPr>
                <w:snapToGrid w:val="0"/>
                <w:sz w:val="20"/>
                <w:szCs w:val="20"/>
                <w:lang w:val="en-US" w:eastAsia="en-US"/>
              </w:rPr>
              <w:t xml:space="preserve"> inhibitors: rapamycin and RAD001 (</w:t>
            </w:r>
            <w:proofErr w:type="spellStart"/>
            <w:r w:rsidRPr="00CE5C99">
              <w:rPr>
                <w:snapToGrid w:val="0"/>
                <w:sz w:val="20"/>
                <w:szCs w:val="20"/>
                <w:lang w:val="en-US" w:eastAsia="en-US"/>
              </w:rPr>
              <w:t>everlolimus</w:t>
            </w:r>
            <w:proofErr w:type="spellEnd"/>
            <w:r w:rsidRPr="00CE5C99">
              <w:rPr>
                <w:snapToGrid w:val="0"/>
                <w:sz w:val="20"/>
                <w:szCs w:val="20"/>
                <w:lang w:val="en-US" w:eastAsia="en-US"/>
              </w:rPr>
              <w:t>) on molecular, clinical and histological abnormalities</w:t>
            </w:r>
            <w:r w:rsidRPr="00CE5C99">
              <w:rPr>
                <w:snapToGrid w:val="0"/>
                <w:sz w:val="20"/>
                <w:szCs w:val="20"/>
                <w:lang w:eastAsia="en-US"/>
              </w:rPr>
              <w:t xml:space="preserve"> Treatment for 23 days: started early on Postnatal Day 7 to Postn</w:t>
            </w:r>
            <w:r w:rsidR="00F637F6" w:rsidRPr="00CE5C99">
              <w:rPr>
                <w:snapToGrid w:val="0"/>
                <w:sz w:val="20"/>
                <w:szCs w:val="20"/>
                <w:lang w:eastAsia="en-US"/>
              </w:rPr>
              <w:t>atal Day 30 with:</w:t>
            </w:r>
            <w:r w:rsidR="00F50ABF" w:rsidRPr="00CE5C99">
              <w:rPr>
                <w:snapToGrid w:val="0"/>
                <w:sz w:val="20"/>
                <w:szCs w:val="20"/>
                <w:lang w:eastAsia="en-US"/>
              </w:rPr>
              <w:t xml:space="preserve"> </w:t>
            </w:r>
            <w:r w:rsidR="00F637F6" w:rsidRPr="00CE5C99">
              <w:rPr>
                <w:snapToGrid w:val="0"/>
                <w:sz w:val="20"/>
                <w:szCs w:val="20"/>
                <w:lang w:eastAsia="en-US"/>
              </w:rPr>
              <w:t>rapamycin</w:t>
            </w:r>
            <w:r w:rsidRPr="00CE5C99">
              <w:rPr>
                <w:snapToGrid w:val="0"/>
                <w:sz w:val="20"/>
                <w:szCs w:val="20"/>
                <w:lang w:eastAsia="en-US"/>
              </w:rPr>
              <w:t xml:space="preserve"> (</w:t>
            </w:r>
            <w:r w:rsidRPr="00CE5C99">
              <w:rPr>
                <w:snapToGrid w:val="0"/>
                <w:sz w:val="20"/>
                <w:szCs w:val="20"/>
                <w:lang w:val="en-US" w:eastAsia="en-US"/>
              </w:rPr>
              <w:t>6 mg/kg IP, every 2 days</w:t>
            </w:r>
            <w:r w:rsidR="00216A1B" w:rsidRPr="00CE5C99">
              <w:rPr>
                <w:snapToGrid w:val="0"/>
                <w:sz w:val="20"/>
                <w:szCs w:val="20"/>
                <w:lang w:eastAsia="en-US"/>
              </w:rPr>
              <w:t xml:space="preserve">)or </w:t>
            </w:r>
            <w:proofErr w:type="spellStart"/>
            <w:r w:rsidR="00216A1B" w:rsidRPr="00CE5C99">
              <w:rPr>
                <w:snapToGrid w:val="0"/>
                <w:sz w:val="20"/>
                <w:szCs w:val="20"/>
                <w:lang w:eastAsia="en-US"/>
              </w:rPr>
              <w:t>everlolimus</w:t>
            </w:r>
            <w:proofErr w:type="spellEnd"/>
            <w:r w:rsidR="00216A1B" w:rsidRPr="00CE5C99">
              <w:rPr>
                <w:snapToGrid w:val="0"/>
                <w:sz w:val="20"/>
                <w:szCs w:val="20"/>
                <w:lang w:eastAsia="en-US"/>
              </w:rPr>
              <w:t xml:space="preserve"> </w:t>
            </w:r>
            <w:r w:rsidRPr="00CE5C99">
              <w:rPr>
                <w:snapToGrid w:val="0"/>
                <w:sz w:val="20"/>
                <w:szCs w:val="20"/>
                <w:lang w:eastAsia="en-US"/>
              </w:rPr>
              <w:t>(</w:t>
            </w:r>
            <w:r w:rsidR="00CE5C99" w:rsidRPr="00CE5C99">
              <w:rPr>
                <w:snapToGrid w:val="0"/>
                <w:sz w:val="20"/>
                <w:szCs w:val="20"/>
                <w:lang w:val="en-US" w:eastAsia="en-US"/>
              </w:rPr>
              <w:t>3 or 6 </w:t>
            </w:r>
            <w:r w:rsidR="00216A1B" w:rsidRPr="00CE5C99">
              <w:rPr>
                <w:snapToGrid w:val="0"/>
                <w:sz w:val="20"/>
                <w:szCs w:val="20"/>
                <w:lang w:val="en-US" w:eastAsia="en-US"/>
              </w:rPr>
              <w:t>mg/kg IP,</w:t>
            </w:r>
            <w:r w:rsidRPr="00CE5C99">
              <w:rPr>
                <w:snapToGrid w:val="0"/>
                <w:sz w:val="20"/>
                <w:szCs w:val="20"/>
                <w:lang w:val="en-US" w:eastAsia="en-US"/>
              </w:rPr>
              <w:t xml:space="preserve"> every 2 days</w:t>
            </w:r>
            <w:r w:rsidRPr="00CE5C99">
              <w:rPr>
                <w:snapToGrid w:val="0"/>
                <w:sz w:val="20"/>
                <w:szCs w:val="20"/>
                <w:lang w:eastAsia="en-US"/>
              </w:rPr>
              <w:t>)</w:t>
            </w:r>
          </w:p>
        </w:tc>
        <w:tc>
          <w:tcPr>
            <w:tcW w:w="6804" w:type="dxa"/>
          </w:tcPr>
          <w:p w14:paraId="0707DF1A" w14:textId="77777777" w:rsidR="006D4B5A" w:rsidRPr="007A1387" w:rsidRDefault="006D4B5A" w:rsidP="002709C3">
            <w:pPr>
              <w:spacing w:after="0" w:line="240" w:lineRule="auto"/>
              <w:rPr>
                <w:rFonts w:asciiTheme="minorHAnsi" w:eastAsia="Times New Roman" w:hAnsiTheme="minorHAnsi"/>
                <w:snapToGrid w:val="0"/>
                <w:sz w:val="20"/>
                <w:lang w:val="en-US" w:eastAsia="en-US"/>
              </w:rPr>
            </w:pPr>
            <w:r w:rsidRPr="007A1387">
              <w:rPr>
                <w:rFonts w:asciiTheme="minorHAnsi" w:eastAsia="Times New Roman" w:hAnsiTheme="minorHAnsi"/>
                <w:snapToGrid w:val="0"/>
                <w:sz w:val="20"/>
                <w:lang w:eastAsia="en-US"/>
              </w:rPr>
              <w:t xml:space="preserve">Early </w:t>
            </w:r>
            <w:r w:rsidR="00CE5C99">
              <w:rPr>
                <w:rFonts w:asciiTheme="minorHAnsi" w:eastAsia="Times New Roman" w:hAnsiTheme="minorHAnsi"/>
                <w:snapToGrid w:val="0"/>
                <w:sz w:val="20"/>
                <w:lang w:eastAsia="en-US"/>
              </w:rPr>
              <w:t>(that is</w:t>
            </w:r>
            <w:r w:rsidRPr="007A1387">
              <w:rPr>
                <w:rFonts w:asciiTheme="minorHAnsi" w:eastAsia="Times New Roman" w:hAnsiTheme="minorHAnsi"/>
                <w:snapToGrid w:val="0"/>
                <w:sz w:val="20"/>
                <w:lang w:eastAsia="en-US"/>
              </w:rPr>
              <w:t xml:space="preserve">, postnatal treatment) with both </w:t>
            </w:r>
            <w:proofErr w:type="spellStart"/>
            <w:r w:rsidRPr="007A1387">
              <w:rPr>
                <w:rFonts w:asciiTheme="minorHAnsi" w:eastAsia="Times New Roman" w:hAnsiTheme="minorHAnsi"/>
                <w:snapToGrid w:val="0"/>
                <w:sz w:val="20"/>
                <w:lang w:val="en-US" w:eastAsia="en-US"/>
              </w:rPr>
              <w:t>mTOR</w:t>
            </w:r>
            <w:proofErr w:type="spellEnd"/>
            <w:r w:rsidRPr="007A1387">
              <w:rPr>
                <w:rFonts w:asciiTheme="minorHAnsi" w:eastAsia="Times New Roman" w:hAnsiTheme="minorHAnsi"/>
                <w:snapToGrid w:val="0"/>
                <w:sz w:val="20"/>
                <w:lang w:val="en-US" w:eastAsia="en-US"/>
              </w:rPr>
              <w:t xml:space="preserve"> inhibitor</w:t>
            </w:r>
            <w:r w:rsidRPr="007A1387">
              <w:rPr>
                <w:rFonts w:asciiTheme="minorHAnsi" w:eastAsia="Times New Roman" w:hAnsiTheme="minorHAnsi"/>
                <w:snapToGrid w:val="0"/>
                <w:sz w:val="20"/>
                <w:lang w:eastAsia="en-US"/>
              </w:rPr>
              <w:t xml:space="preserve"> agents resulted in the absence of spontaneous seizures. However, minimal experimental protocols or raw data were presented for</w:t>
            </w:r>
            <w:r w:rsidR="00F50ABF">
              <w:rPr>
                <w:rFonts w:asciiTheme="minorHAnsi" w:eastAsia="Times New Roman" w:hAnsiTheme="minorHAnsi"/>
                <w:snapToGrid w:val="0"/>
                <w:sz w:val="20"/>
                <w:lang w:eastAsia="en-US"/>
              </w:rPr>
              <w:t xml:space="preserve"> </w:t>
            </w:r>
            <w:r w:rsidRPr="007A1387">
              <w:rPr>
                <w:rFonts w:asciiTheme="minorHAnsi" w:eastAsia="Times New Roman" w:hAnsiTheme="minorHAnsi"/>
                <w:snapToGrid w:val="0"/>
                <w:sz w:val="20"/>
                <w:lang w:eastAsia="en-US"/>
              </w:rPr>
              <w:t xml:space="preserve">seizure monitoring. </w:t>
            </w:r>
            <w:r w:rsidRPr="007A1387">
              <w:rPr>
                <w:rFonts w:asciiTheme="minorHAnsi" w:eastAsia="Times New Roman" w:hAnsiTheme="minorHAnsi"/>
                <w:snapToGrid w:val="0"/>
                <w:sz w:val="20"/>
                <w:lang w:val="en-US" w:eastAsia="en-US"/>
              </w:rPr>
              <w:t xml:space="preserve">Rapamycin and </w:t>
            </w:r>
            <w:proofErr w:type="spellStart"/>
            <w:r w:rsidRPr="007A1387">
              <w:rPr>
                <w:rFonts w:asciiTheme="minorHAnsi" w:eastAsia="Times New Roman" w:hAnsiTheme="minorHAnsi"/>
                <w:snapToGrid w:val="0"/>
                <w:sz w:val="20"/>
                <w:lang w:val="en-US" w:eastAsia="en-US"/>
              </w:rPr>
              <w:t>everlolimus</w:t>
            </w:r>
            <w:proofErr w:type="spellEnd"/>
            <w:r w:rsidRPr="007A1387">
              <w:rPr>
                <w:rFonts w:asciiTheme="minorHAnsi" w:eastAsia="Times New Roman" w:hAnsiTheme="minorHAnsi"/>
                <w:snapToGrid w:val="0"/>
                <w:sz w:val="20"/>
                <w:lang w:val="en-US" w:eastAsia="en-US"/>
              </w:rPr>
              <w:t xml:space="preserve"> prolonged survival from </w:t>
            </w:r>
            <w:r w:rsidR="00CE5C99">
              <w:rPr>
                <w:rFonts w:asciiTheme="minorHAnsi" w:eastAsia="Times New Roman" w:hAnsiTheme="minorHAnsi"/>
                <w:snapToGrid w:val="0"/>
                <w:sz w:val="20"/>
                <w:lang w:val="en-US" w:eastAsia="en-US"/>
              </w:rPr>
              <w:t>around</w:t>
            </w:r>
            <w:r w:rsidRPr="007A1387">
              <w:rPr>
                <w:rFonts w:asciiTheme="minorHAnsi" w:eastAsia="Times New Roman" w:hAnsiTheme="minorHAnsi"/>
                <w:snapToGrid w:val="0"/>
                <w:sz w:val="20"/>
                <w:lang w:val="en-US" w:eastAsia="en-US"/>
              </w:rPr>
              <w:t xml:space="preserve"> 33 days to more than 100 days.</w:t>
            </w:r>
          </w:p>
          <w:p w14:paraId="5406934E" w14:textId="77777777" w:rsidR="006D4B5A" w:rsidRPr="007A1387" w:rsidRDefault="006D4B5A" w:rsidP="002709C3">
            <w:pPr>
              <w:spacing w:after="0" w:line="240" w:lineRule="auto"/>
              <w:rPr>
                <w:rFonts w:asciiTheme="minorHAnsi" w:eastAsia="Times New Roman" w:hAnsiTheme="minorHAnsi"/>
                <w:snapToGrid w:val="0"/>
                <w:sz w:val="20"/>
                <w:lang w:val="en-US" w:eastAsia="en-US"/>
              </w:rPr>
            </w:pPr>
            <w:r w:rsidRPr="007A1387">
              <w:rPr>
                <w:rFonts w:asciiTheme="minorHAnsi" w:eastAsia="Times New Roman" w:hAnsiTheme="minorHAnsi"/>
                <w:snapToGrid w:val="0"/>
                <w:sz w:val="20"/>
                <w:lang w:val="en-US" w:eastAsia="en-US"/>
              </w:rPr>
              <w:t xml:space="preserve">Rapamycin and </w:t>
            </w:r>
            <w:proofErr w:type="spellStart"/>
            <w:r w:rsidRPr="007A1387">
              <w:rPr>
                <w:rFonts w:asciiTheme="minorHAnsi" w:eastAsia="Times New Roman" w:hAnsiTheme="minorHAnsi"/>
                <w:snapToGrid w:val="0"/>
                <w:sz w:val="20"/>
                <w:lang w:val="en-US" w:eastAsia="en-US"/>
              </w:rPr>
              <w:t>everlolimus</w:t>
            </w:r>
            <w:proofErr w:type="spellEnd"/>
            <w:r w:rsidRPr="007A1387">
              <w:rPr>
                <w:rFonts w:asciiTheme="minorHAnsi" w:eastAsia="Times New Roman" w:hAnsiTheme="minorHAnsi"/>
                <w:snapToGrid w:val="0"/>
                <w:sz w:val="20"/>
                <w:lang w:val="en-US" w:eastAsia="en-US"/>
              </w:rPr>
              <w:t xml:space="preserve"> decreased pS6 levels in brain lysates and restored </w:t>
            </w:r>
            <w:proofErr w:type="spellStart"/>
            <w:r w:rsidRPr="007A1387">
              <w:rPr>
                <w:rFonts w:asciiTheme="minorHAnsi" w:eastAsia="Times New Roman" w:hAnsiTheme="minorHAnsi"/>
                <w:snapToGrid w:val="0"/>
                <w:sz w:val="20"/>
                <w:lang w:val="en-US" w:eastAsia="en-US"/>
              </w:rPr>
              <w:t>phospho-Akt</w:t>
            </w:r>
            <w:proofErr w:type="spellEnd"/>
            <w:r w:rsidRPr="007A1387">
              <w:rPr>
                <w:rFonts w:asciiTheme="minorHAnsi" w:eastAsia="Times New Roman" w:hAnsiTheme="minorHAnsi"/>
                <w:snapToGrid w:val="0"/>
                <w:sz w:val="20"/>
                <w:lang w:val="en-US" w:eastAsia="en-US"/>
              </w:rPr>
              <w:t xml:space="preserve"> and </w:t>
            </w:r>
            <w:proofErr w:type="spellStart"/>
            <w:r w:rsidRPr="007A1387">
              <w:rPr>
                <w:rFonts w:asciiTheme="minorHAnsi" w:eastAsia="Times New Roman" w:hAnsiTheme="minorHAnsi"/>
                <w:snapToGrid w:val="0"/>
                <w:sz w:val="20"/>
                <w:lang w:val="en-US" w:eastAsia="en-US"/>
              </w:rPr>
              <w:t>phospho</w:t>
            </w:r>
            <w:proofErr w:type="spellEnd"/>
            <w:r w:rsidRPr="007A1387">
              <w:rPr>
                <w:rFonts w:asciiTheme="minorHAnsi" w:eastAsia="Times New Roman" w:hAnsiTheme="minorHAnsi"/>
                <w:snapToGrid w:val="0"/>
                <w:sz w:val="20"/>
                <w:lang w:val="en-US" w:eastAsia="en-US"/>
              </w:rPr>
              <w:t xml:space="preserve">-glycogen synthase kinase 3 (pGSK3β) levels. The latter effect is consistent with restoration of </w:t>
            </w:r>
            <w:proofErr w:type="spellStart"/>
            <w:r w:rsidRPr="007A1387">
              <w:rPr>
                <w:rFonts w:asciiTheme="minorHAnsi" w:eastAsia="Times New Roman" w:hAnsiTheme="minorHAnsi"/>
                <w:snapToGrid w:val="0"/>
                <w:sz w:val="20"/>
                <w:lang w:val="en-US" w:eastAsia="en-US"/>
              </w:rPr>
              <w:t>Akt</w:t>
            </w:r>
            <w:proofErr w:type="spellEnd"/>
            <w:r w:rsidRPr="007A1387">
              <w:rPr>
                <w:rFonts w:asciiTheme="minorHAnsi" w:eastAsia="Times New Roman" w:hAnsiTheme="minorHAnsi"/>
                <w:snapToGrid w:val="0"/>
                <w:sz w:val="20"/>
                <w:lang w:val="en-US" w:eastAsia="en-US"/>
              </w:rPr>
              <w:t xml:space="preserve"> function after blocking mTORC1 signaling. Both showed brain penetration and tissue accumulation (higher in younger mice: higher at PND 10 cf. PND 30-45).</w:t>
            </w:r>
          </w:p>
          <w:p w14:paraId="1B4DED48" w14:textId="77777777" w:rsidR="006D4B5A" w:rsidRPr="007A1387" w:rsidRDefault="006D4B5A" w:rsidP="002709C3">
            <w:pPr>
              <w:spacing w:after="0" w:line="240" w:lineRule="auto"/>
              <w:rPr>
                <w:rFonts w:asciiTheme="minorHAnsi" w:eastAsia="Times New Roman" w:hAnsiTheme="minorHAnsi"/>
                <w:snapToGrid w:val="0"/>
                <w:sz w:val="20"/>
                <w:lang w:val="en-US" w:eastAsia="en-US"/>
              </w:rPr>
            </w:pPr>
            <w:r w:rsidRPr="007A1387">
              <w:rPr>
                <w:rFonts w:asciiTheme="minorHAnsi" w:eastAsia="Times New Roman" w:hAnsiTheme="minorHAnsi"/>
                <w:snapToGrid w:val="0"/>
                <w:sz w:val="20"/>
                <w:lang w:eastAsia="en-US"/>
              </w:rPr>
              <w:t xml:space="preserve">Due to similar effects on survival and ablation of seizures, effects of </w:t>
            </w:r>
            <w:proofErr w:type="spellStart"/>
            <w:r w:rsidRPr="007A1387">
              <w:rPr>
                <w:rFonts w:asciiTheme="minorHAnsi" w:eastAsia="Times New Roman" w:hAnsiTheme="minorHAnsi"/>
                <w:snapToGrid w:val="0"/>
                <w:sz w:val="20"/>
                <w:lang w:eastAsia="en-US"/>
              </w:rPr>
              <w:t>mTOR</w:t>
            </w:r>
            <w:proofErr w:type="spellEnd"/>
            <w:r w:rsidRPr="007A1387">
              <w:rPr>
                <w:rFonts w:asciiTheme="minorHAnsi" w:eastAsia="Times New Roman" w:hAnsiTheme="minorHAnsi"/>
                <w:snapToGrid w:val="0"/>
                <w:sz w:val="20"/>
                <w:lang w:eastAsia="en-US"/>
              </w:rPr>
              <w:t xml:space="preserve"> inhibition on cortical organization, dysplasia, cell size enlargement and myelination was only was only investigated with rapamycin treatment.</w:t>
            </w:r>
            <w:r w:rsidR="00F50ABF">
              <w:rPr>
                <w:rFonts w:asciiTheme="minorHAnsi" w:eastAsia="Times New Roman" w:hAnsiTheme="minorHAnsi"/>
                <w:snapToGrid w:val="0"/>
                <w:sz w:val="20"/>
                <w:lang w:eastAsia="en-US"/>
              </w:rPr>
              <w:t xml:space="preserve"> </w:t>
            </w:r>
            <w:r w:rsidRPr="007A1387">
              <w:rPr>
                <w:rFonts w:asciiTheme="minorHAnsi" w:eastAsia="Times New Roman" w:hAnsiTheme="minorHAnsi"/>
                <w:snapToGrid w:val="0"/>
                <w:sz w:val="20"/>
                <w:lang w:eastAsia="en-US"/>
              </w:rPr>
              <w:t>Histopathological changes such as neuronal hypertrophy (</w:t>
            </w:r>
            <w:r w:rsidRPr="007A1387">
              <w:rPr>
                <w:rFonts w:asciiTheme="minorHAnsi" w:eastAsia="Times New Roman" w:hAnsiTheme="minorHAnsi"/>
                <w:snapToGrid w:val="0"/>
                <w:sz w:val="20"/>
                <w:lang w:val="en-US" w:eastAsia="en-US"/>
              </w:rPr>
              <w:t>cell enlargement)</w:t>
            </w:r>
            <w:r w:rsidRPr="007A1387">
              <w:rPr>
                <w:rFonts w:asciiTheme="minorHAnsi" w:eastAsia="Times New Roman" w:hAnsiTheme="minorHAnsi"/>
                <w:snapToGrid w:val="0"/>
                <w:sz w:val="20"/>
                <w:lang w:eastAsia="en-US"/>
              </w:rPr>
              <w:t xml:space="preserve">, </w:t>
            </w:r>
            <w:proofErr w:type="spellStart"/>
            <w:r w:rsidRPr="007A1387">
              <w:rPr>
                <w:rFonts w:asciiTheme="minorHAnsi" w:eastAsia="Times New Roman" w:hAnsiTheme="minorHAnsi"/>
                <w:snapToGrid w:val="0"/>
                <w:sz w:val="20"/>
                <w:lang w:val="en-US" w:eastAsia="en-US"/>
              </w:rPr>
              <w:t>neurofilament</w:t>
            </w:r>
            <w:proofErr w:type="spellEnd"/>
            <w:r w:rsidRPr="007A1387">
              <w:rPr>
                <w:rFonts w:asciiTheme="minorHAnsi" w:eastAsia="Times New Roman" w:hAnsiTheme="minorHAnsi"/>
                <w:snapToGrid w:val="0"/>
                <w:sz w:val="20"/>
                <w:lang w:val="en-US" w:eastAsia="en-US"/>
              </w:rPr>
              <w:t xml:space="preserve"> abnormalities</w:t>
            </w:r>
            <w:r w:rsidRPr="007A1387">
              <w:rPr>
                <w:rFonts w:asciiTheme="minorHAnsi" w:eastAsia="Times New Roman" w:hAnsiTheme="minorHAnsi"/>
                <w:snapToGrid w:val="0"/>
                <w:sz w:val="20"/>
                <w:lang w:eastAsia="en-US"/>
              </w:rPr>
              <w:t xml:space="preserve"> and reduced myelination were prevented,</w:t>
            </w:r>
            <w:r w:rsidR="00F50ABF">
              <w:rPr>
                <w:rFonts w:asciiTheme="minorHAnsi" w:eastAsia="Times New Roman" w:hAnsiTheme="minorHAnsi"/>
                <w:snapToGrid w:val="0"/>
                <w:sz w:val="20"/>
                <w:lang w:eastAsia="en-US"/>
              </w:rPr>
              <w:t xml:space="preserve"> </w:t>
            </w:r>
            <w:r w:rsidRPr="007A1387">
              <w:rPr>
                <w:rFonts w:asciiTheme="minorHAnsi" w:eastAsia="Times New Roman" w:hAnsiTheme="minorHAnsi"/>
                <w:snapToGrid w:val="0"/>
                <w:sz w:val="20"/>
                <w:lang w:val="en-US" w:eastAsia="en-US"/>
              </w:rPr>
              <w:t>despite persistence of some neuronal structural abnormalities (abnormal orientation of apical dendrites in layer V of somatosensory cortex).</w:t>
            </w:r>
          </w:p>
          <w:p w14:paraId="1794A3BF" w14:textId="77777777" w:rsidR="006D4B5A" w:rsidRPr="007A1387" w:rsidRDefault="006D4B5A" w:rsidP="002709C3">
            <w:pPr>
              <w:spacing w:after="0" w:line="240" w:lineRule="auto"/>
              <w:rPr>
                <w:rFonts w:asciiTheme="minorHAnsi" w:eastAsia="Times New Roman" w:hAnsiTheme="minorHAnsi"/>
                <w:snapToGrid w:val="0"/>
                <w:sz w:val="20"/>
                <w:lang w:val="en-US" w:eastAsia="en-US"/>
              </w:rPr>
            </w:pPr>
            <w:r w:rsidRPr="007A1387">
              <w:rPr>
                <w:rFonts w:asciiTheme="minorHAnsi" w:eastAsia="Times New Roman" w:hAnsiTheme="minorHAnsi"/>
                <w:snapToGrid w:val="0"/>
                <w:sz w:val="20"/>
                <w:lang w:val="en-US" w:eastAsia="en-US"/>
              </w:rPr>
              <w:t xml:space="preserve">When rapamycin and/or </w:t>
            </w:r>
            <w:proofErr w:type="spellStart"/>
            <w:r w:rsidRPr="007A1387">
              <w:rPr>
                <w:rFonts w:asciiTheme="minorHAnsi" w:eastAsia="Times New Roman" w:hAnsiTheme="minorHAnsi"/>
                <w:snapToGrid w:val="0"/>
                <w:sz w:val="20"/>
                <w:lang w:val="en-US" w:eastAsia="en-US"/>
              </w:rPr>
              <w:t>everlolimus</w:t>
            </w:r>
            <w:proofErr w:type="spellEnd"/>
            <w:r w:rsidRPr="007A1387">
              <w:rPr>
                <w:rFonts w:asciiTheme="minorHAnsi" w:eastAsia="Times New Roman" w:hAnsiTheme="minorHAnsi"/>
                <w:snapToGrid w:val="0"/>
                <w:sz w:val="20"/>
                <w:lang w:val="en-US" w:eastAsia="en-US"/>
              </w:rPr>
              <w:t xml:space="preserve"> treatment were</w:t>
            </w:r>
            <w:r w:rsidR="00F50ABF">
              <w:rPr>
                <w:rFonts w:asciiTheme="minorHAnsi" w:eastAsia="Times New Roman" w:hAnsiTheme="minorHAnsi"/>
                <w:snapToGrid w:val="0"/>
                <w:sz w:val="20"/>
                <w:lang w:val="en-US" w:eastAsia="en-US"/>
              </w:rPr>
              <w:t xml:space="preserve"> </w:t>
            </w:r>
            <w:r w:rsidRPr="007A1387">
              <w:rPr>
                <w:rFonts w:asciiTheme="minorHAnsi" w:eastAsia="Times New Roman" w:hAnsiTheme="minorHAnsi"/>
                <w:snapToGrid w:val="0"/>
                <w:sz w:val="20"/>
                <w:lang w:val="en-US" w:eastAsia="en-US"/>
              </w:rPr>
              <w:t>discontinued, there was a delayed re-emergence of seizures and/or neurological phenotypes,</w:t>
            </w:r>
            <w:r w:rsidR="00F50ABF">
              <w:rPr>
                <w:rFonts w:asciiTheme="minorHAnsi" w:eastAsia="Times New Roman" w:hAnsiTheme="minorHAnsi"/>
                <w:snapToGrid w:val="0"/>
                <w:sz w:val="20"/>
                <w:lang w:val="en-US" w:eastAsia="en-US"/>
              </w:rPr>
              <w:t xml:space="preserve"> </w:t>
            </w:r>
            <w:r w:rsidRPr="007A1387">
              <w:rPr>
                <w:rFonts w:asciiTheme="minorHAnsi" w:eastAsia="Times New Roman" w:hAnsiTheme="minorHAnsi"/>
                <w:snapToGrid w:val="0"/>
                <w:sz w:val="20"/>
                <w:lang w:val="en-US" w:eastAsia="en-US"/>
              </w:rPr>
              <w:t xml:space="preserve">indicating </w:t>
            </w:r>
            <w:proofErr w:type="gramStart"/>
            <w:r w:rsidRPr="007A1387">
              <w:rPr>
                <w:rFonts w:asciiTheme="minorHAnsi" w:eastAsia="Times New Roman" w:hAnsiTheme="minorHAnsi"/>
                <w:snapToGrid w:val="0"/>
                <w:sz w:val="20"/>
                <w:lang w:val="en-US" w:eastAsia="en-US"/>
              </w:rPr>
              <w:t>the a</w:t>
            </w:r>
            <w:proofErr w:type="gramEnd"/>
            <w:r w:rsidRPr="007A1387">
              <w:rPr>
                <w:rFonts w:asciiTheme="minorHAnsi" w:eastAsia="Times New Roman" w:hAnsiTheme="minorHAnsi"/>
                <w:snapToGrid w:val="0"/>
                <w:sz w:val="20"/>
                <w:lang w:val="en-US" w:eastAsia="en-US"/>
              </w:rPr>
              <w:t xml:space="preserve"> need for long-term, continued treatment.</w:t>
            </w:r>
          </w:p>
          <w:p w14:paraId="3C5A9FE4" w14:textId="77777777" w:rsidR="006D4B5A" w:rsidRPr="007A1387" w:rsidRDefault="006D4B5A" w:rsidP="002709C3">
            <w:pPr>
              <w:spacing w:line="240" w:lineRule="auto"/>
              <w:rPr>
                <w:rFonts w:asciiTheme="minorHAnsi" w:eastAsia="Times New Roman" w:hAnsiTheme="minorHAnsi"/>
                <w:snapToGrid w:val="0"/>
                <w:sz w:val="20"/>
                <w:lang w:val="en-US" w:eastAsia="en-US"/>
              </w:rPr>
            </w:pPr>
            <w:r w:rsidRPr="007A1387">
              <w:rPr>
                <w:rFonts w:asciiTheme="minorHAnsi" w:eastAsia="Times New Roman" w:hAnsiTheme="minorHAnsi"/>
                <w:i/>
                <w:snapToGrid w:val="0"/>
                <w:sz w:val="20"/>
                <w:lang w:val="en-US" w:eastAsia="en-US"/>
              </w:rPr>
              <w:t xml:space="preserve">Conclusion. </w:t>
            </w:r>
            <w:r w:rsidRPr="007A1387">
              <w:rPr>
                <w:rFonts w:asciiTheme="minorHAnsi" w:eastAsia="Times New Roman" w:hAnsiTheme="minorHAnsi"/>
                <w:snapToGrid w:val="0"/>
                <w:sz w:val="20"/>
                <w:lang w:val="en-US" w:eastAsia="en-US"/>
              </w:rPr>
              <w:t xml:space="preserve">Early treatment of mice with the </w:t>
            </w:r>
            <w:proofErr w:type="spellStart"/>
            <w:r w:rsidRPr="007A1387">
              <w:rPr>
                <w:rFonts w:asciiTheme="minorHAnsi" w:eastAsia="Times New Roman" w:hAnsiTheme="minorHAnsi"/>
                <w:snapToGrid w:val="0"/>
                <w:sz w:val="20"/>
                <w:lang w:val="en-US" w:eastAsia="en-US"/>
              </w:rPr>
              <w:t>mTOR</w:t>
            </w:r>
            <w:proofErr w:type="spellEnd"/>
            <w:r w:rsidRPr="007A1387">
              <w:rPr>
                <w:rFonts w:asciiTheme="minorHAnsi" w:eastAsia="Times New Roman" w:hAnsiTheme="minorHAnsi"/>
                <w:snapToGrid w:val="0"/>
                <w:sz w:val="20"/>
                <w:lang w:val="en-US" w:eastAsia="en-US"/>
              </w:rPr>
              <w:t xml:space="preserve"> inhibitors </w:t>
            </w:r>
            <w:proofErr w:type="spellStart"/>
            <w:r w:rsidRPr="007A1387">
              <w:rPr>
                <w:rFonts w:asciiTheme="minorHAnsi" w:eastAsia="Times New Roman" w:hAnsiTheme="minorHAnsi"/>
                <w:snapToGrid w:val="0"/>
                <w:sz w:val="20"/>
                <w:lang w:val="en-US" w:eastAsia="en-US"/>
              </w:rPr>
              <w:t>everolimus</w:t>
            </w:r>
            <w:proofErr w:type="spellEnd"/>
            <w:r w:rsidRPr="007A1387">
              <w:rPr>
                <w:rFonts w:asciiTheme="minorHAnsi" w:eastAsia="Times New Roman" w:hAnsiTheme="minorHAnsi"/>
                <w:snapToGrid w:val="0"/>
                <w:sz w:val="20"/>
                <w:lang w:val="en-US" w:eastAsia="en-US"/>
              </w:rPr>
              <w:t xml:space="preserve"> and rapamycin abolished seizures and prolonged survival. In further studies only with rapamycin, there was a reversal of neuronal cell size defects and impaired myelination</w:t>
            </w:r>
            <w:r w:rsidR="00216A1B">
              <w:rPr>
                <w:rFonts w:asciiTheme="minorHAnsi" w:eastAsia="Times New Roman" w:hAnsiTheme="minorHAnsi"/>
                <w:snapToGrid w:val="0"/>
                <w:sz w:val="20"/>
                <w:lang w:val="en-US" w:eastAsia="en-US"/>
              </w:rPr>
              <w:t xml:space="preserve"> in</w:t>
            </w:r>
            <w:r w:rsidRPr="007A1387">
              <w:rPr>
                <w:rFonts w:asciiTheme="minorHAnsi" w:eastAsia="Times New Roman" w:hAnsiTheme="minorHAnsi"/>
                <w:snapToGrid w:val="0"/>
                <w:sz w:val="20"/>
                <w:lang w:eastAsia="en-US"/>
              </w:rPr>
              <w:t xml:space="preserve"> Tsc1</w:t>
            </w:r>
            <w:r w:rsidRPr="007A1387">
              <w:rPr>
                <w:rFonts w:asciiTheme="minorHAnsi" w:eastAsia="Times New Roman" w:hAnsiTheme="minorHAnsi"/>
                <w:snapToGrid w:val="0"/>
                <w:sz w:val="20"/>
                <w:vertAlign w:val="superscript"/>
                <w:lang w:eastAsia="en-US"/>
              </w:rPr>
              <w:t>Synapsi</w:t>
            </w:r>
            <w:r w:rsidRPr="007A1387">
              <w:rPr>
                <w:rFonts w:asciiTheme="minorHAnsi" w:eastAsia="Times New Roman" w:hAnsiTheme="minorHAnsi"/>
                <w:i/>
                <w:snapToGrid w:val="0"/>
                <w:sz w:val="20"/>
                <w:vertAlign w:val="superscript"/>
                <w:lang w:eastAsia="en-US"/>
              </w:rPr>
              <w:t>n</w:t>
            </w:r>
            <w:r w:rsidR="00F50ABF">
              <w:rPr>
                <w:rFonts w:asciiTheme="minorHAnsi" w:eastAsia="Times New Roman" w:hAnsiTheme="minorHAnsi"/>
                <w:snapToGrid w:val="0"/>
                <w:sz w:val="20"/>
                <w:vertAlign w:val="superscript"/>
                <w:lang w:eastAsia="en-US"/>
              </w:rPr>
              <w:t xml:space="preserve"> </w:t>
            </w:r>
            <w:r w:rsidRPr="007A1387">
              <w:rPr>
                <w:rFonts w:asciiTheme="minorHAnsi" w:eastAsia="Times New Roman" w:hAnsiTheme="minorHAnsi"/>
                <w:snapToGrid w:val="0"/>
                <w:sz w:val="20"/>
                <w:lang w:eastAsia="en-US"/>
              </w:rPr>
              <w:t xml:space="preserve">knockout mice. </w:t>
            </w:r>
          </w:p>
        </w:tc>
      </w:tr>
      <w:tr w:rsidR="006D4B5A" w:rsidRPr="00377BBF" w14:paraId="3B391BE2" w14:textId="77777777" w:rsidTr="00216A1B">
        <w:tc>
          <w:tcPr>
            <w:tcW w:w="2660" w:type="dxa"/>
          </w:tcPr>
          <w:p w14:paraId="6273903F" w14:textId="66688FC0" w:rsidR="006D4B5A" w:rsidRPr="00670801" w:rsidRDefault="006D4B5A" w:rsidP="002709C3">
            <w:pPr>
              <w:spacing w:before="0" w:after="0" w:line="240" w:lineRule="auto"/>
              <w:rPr>
                <w:rFonts w:asciiTheme="minorHAnsi" w:eastAsia="Times New Roman" w:hAnsiTheme="minorHAnsi"/>
                <w:b/>
                <w:snapToGrid w:val="0"/>
                <w:sz w:val="20"/>
                <w:lang w:val="fr-FR" w:eastAsia="en-US"/>
              </w:rPr>
            </w:pPr>
            <w:r w:rsidRPr="00670801">
              <w:rPr>
                <w:rFonts w:asciiTheme="minorHAnsi" w:eastAsia="Times New Roman" w:hAnsiTheme="minorHAnsi"/>
                <w:b/>
                <w:snapToGrid w:val="0"/>
                <w:sz w:val="20"/>
                <w:lang w:val="fr-FR" w:eastAsia="en-US"/>
              </w:rPr>
              <w:t xml:space="preserve">Carson </w:t>
            </w:r>
            <w:r w:rsidRPr="00670801">
              <w:rPr>
                <w:rFonts w:asciiTheme="minorHAnsi" w:eastAsia="Times New Roman" w:hAnsiTheme="minorHAnsi"/>
                <w:b/>
                <w:i/>
                <w:snapToGrid w:val="0"/>
                <w:sz w:val="20"/>
                <w:lang w:val="fr-FR" w:eastAsia="en-US"/>
              </w:rPr>
              <w:t>et al</w:t>
            </w:r>
            <w:r w:rsidR="00216A1B" w:rsidRPr="00670801">
              <w:rPr>
                <w:rFonts w:asciiTheme="minorHAnsi" w:eastAsia="Times New Roman" w:hAnsiTheme="minorHAnsi"/>
                <w:b/>
                <w:snapToGrid w:val="0"/>
                <w:sz w:val="20"/>
                <w:lang w:val="fr-FR" w:eastAsia="en-US"/>
              </w:rPr>
              <w:t>., 2012</w:t>
            </w:r>
            <w:r w:rsidR="00DD3A0D">
              <w:rPr>
                <w:rFonts w:asciiTheme="minorHAnsi" w:eastAsia="Times New Roman" w:hAnsiTheme="minorHAnsi"/>
                <w:b/>
                <w:snapToGrid w:val="0"/>
                <w:sz w:val="20"/>
                <w:lang w:val="fr-FR" w:eastAsia="en-US"/>
              </w:rPr>
              <w:t>;</w:t>
            </w:r>
            <w:r w:rsidR="00F637F6">
              <w:rPr>
                <w:rStyle w:val="FootnoteReference"/>
                <w:rFonts w:asciiTheme="minorHAnsi" w:eastAsia="Times New Roman" w:hAnsiTheme="minorHAnsi"/>
                <w:b/>
                <w:snapToGrid w:val="0"/>
                <w:sz w:val="20"/>
                <w:lang w:eastAsia="en-US"/>
              </w:rPr>
              <w:footnoteReference w:id="15"/>
            </w:r>
          </w:p>
          <w:p w14:paraId="0671B09C" w14:textId="77777777" w:rsidR="006D4B5A" w:rsidRPr="00670801" w:rsidRDefault="006D4B5A" w:rsidP="002709C3">
            <w:pPr>
              <w:spacing w:before="60" w:after="0" w:line="240" w:lineRule="auto"/>
              <w:rPr>
                <w:rFonts w:asciiTheme="minorHAnsi" w:eastAsia="Times New Roman" w:hAnsiTheme="minorHAnsi"/>
                <w:i/>
                <w:snapToGrid w:val="0"/>
                <w:sz w:val="20"/>
                <w:lang w:val="fr-FR" w:eastAsia="en-US"/>
              </w:rPr>
            </w:pPr>
            <w:r w:rsidRPr="00670801">
              <w:rPr>
                <w:rFonts w:asciiTheme="minorHAnsi" w:eastAsia="Times New Roman" w:hAnsiTheme="minorHAnsi"/>
                <w:i/>
                <w:snapToGrid w:val="0"/>
                <w:sz w:val="20"/>
                <w:lang w:val="fr-FR" w:eastAsia="en-US"/>
              </w:rPr>
              <w:t xml:space="preserve">Tsc1 </w:t>
            </w:r>
            <w:r w:rsidRPr="00670801">
              <w:rPr>
                <w:rFonts w:asciiTheme="minorHAnsi" w:eastAsia="Times New Roman" w:hAnsiTheme="minorHAnsi"/>
                <w:i/>
                <w:snapToGrid w:val="0"/>
                <w:sz w:val="20"/>
                <w:vertAlign w:val="superscript"/>
                <w:lang w:val="fr-FR" w:eastAsia="en-US"/>
              </w:rPr>
              <w:t>Emx1–</w:t>
            </w:r>
            <w:proofErr w:type="spellStart"/>
            <w:r w:rsidRPr="00670801">
              <w:rPr>
                <w:rFonts w:asciiTheme="minorHAnsi" w:eastAsia="Times New Roman" w:hAnsiTheme="minorHAnsi"/>
                <w:i/>
                <w:snapToGrid w:val="0"/>
                <w:sz w:val="20"/>
                <w:vertAlign w:val="superscript"/>
                <w:lang w:val="fr-FR" w:eastAsia="en-US"/>
              </w:rPr>
              <w:t>Cre</w:t>
            </w:r>
            <w:proofErr w:type="spellEnd"/>
            <w:r w:rsidRPr="00670801">
              <w:rPr>
                <w:rFonts w:asciiTheme="minorHAnsi" w:eastAsia="Times New Roman" w:hAnsiTheme="minorHAnsi"/>
                <w:b/>
                <w:i/>
                <w:snapToGrid w:val="0"/>
                <w:sz w:val="20"/>
                <w:vertAlign w:val="superscript"/>
                <w:lang w:val="fr-FR" w:eastAsia="en-US"/>
              </w:rPr>
              <w:t xml:space="preserve"> </w:t>
            </w:r>
            <w:proofErr w:type="spellStart"/>
            <w:r w:rsidRPr="00670801">
              <w:rPr>
                <w:rFonts w:asciiTheme="minorHAnsi" w:eastAsia="Times New Roman" w:hAnsiTheme="minorHAnsi"/>
                <w:i/>
                <w:snapToGrid w:val="0"/>
                <w:sz w:val="20"/>
                <w:lang w:val="fr-FR" w:eastAsia="en-US"/>
              </w:rPr>
              <w:t>conditional</w:t>
            </w:r>
            <w:proofErr w:type="spellEnd"/>
            <w:r w:rsidRPr="00670801">
              <w:rPr>
                <w:rFonts w:asciiTheme="minorHAnsi" w:eastAsia="Times New Roman" w:hAnsiTheme="minorHAnsi"/>
                <w:i/>
                <w:snapToGrid w:val="0"/>
                <w:sz w:val="20"/>
                <w:lang w:val="fr-FR" w:eastAsia="en-US"/>
              </w:rPr>
              <w:t xml:space="preserve"> knockout (CKO) </w:t>
            </w:r>
            <w:proofErr w:type="spellStart"/>
            <w:r w:rsidRPr="00670801">
              <w:rPr>
                <w:rFonts w:asciiTheme="minorHAnsi" w:eastAsia="Times New Roman" w:hAnsiTheme="minorHAnsi"/>
                <w:i/>
                <w:snapToGrid w:val="0"/>
                <w:sz w:val="20"/>
                <w:lang w:val="fr-FR" w:eastAsia="en-US"/>
              </w:rPr>
              <w:t>mice</w:t>
            </w:r>
            <w:proofErr w:type="spellEnd"/>
          </w:p>
          <w:p w14:paraId="5290FD7A" w14:textId="77777777" w:rsidR="006D4B5A" w:rsidRPr="009A57E8" w:rsidRDefault="006D4B5A" w:rsidP="002709C3">
            <w:pPr>
              <w:spacing w:before="60" w:after="0" w:line="240" w:lineRule="auto"/>
              <w:rPr>
                <w:rFonts w:asciiTheme="minorHAnsi" w:eastAsia="Times New Roman" w:hAnsiTheme="minorHAnsi"/>
                <w:snapToGrid w:val="0"/>
                <w:sz w:val="20"/>
                <w:lang w:eastAsia="en-US"/>
              </w:rPr>
            </w:pPr>
            <w:r w:rsidRPr="009A57E8">
              <w:rPr>
                <w:rFonts w:asciiTheme="minorHAnsi" w:eastAsia="Times New Roman" w:hAnsiTheme="minorHAnsi"/>
                <w:snapToGrid w:val="0"/>
                <w:sz w:val="20"/>
                <w:lang w:eastAsia="en-US"/>
              </w:rPr>
              <w:t xml:space="preserve">Mice are homozygous for the Tsc1 </w:t>
            </w:r>
            <w:proofErr w:type="spellStart"/>
            <w:r w:rsidRPr="009A57E8">
              <w:rPr>
                <w:rFonts w:asciiTheme="minorHAnsi" w:eastAsia="Times New Roman" w:hAnsiTheme="minorHAnsi"/>
                <w:snapToGrid w:val="0"/>
                <w:sz w:val="20"/>
                <w:lang w:eastAsia="en-US"/>
              </w:rPr>
              <w:t>floxed</w:t>
            </w:r>
            <w:proofErr w:type="spellEnd"/>
            <w:r w:rsidRPr="009A57E8">
              <w:rPr>
                <w:rFonts w:asciiTheme="minorHAnsi" w:eastAsia="Times New Roman" w:hAnsiTheme="minorHAnsi"/>
                <w:snapToGrid w:val="0"/>
                <w:sz w:val="20"/>
                <w:lang w:eastAsia="en-US"/>
              </w:rPr>
              <w:t xml:space="preserve"> allele and heterozygous for Emx1–</w:t>
            </w:r>
            <w:proofErr w:type="spellStart"/>
            <w:r w:rsidRPr="009A57E8">
              <w:rPr>
                <w:rFonts w:asciiTheme="minorHAnsi" w:eastAsia="Times New Roman" w:hAnsiTheme="minorHAnsi"/>
                <w:snapToGrid w:val="0"/>
                <w:sz w:val="20"/>
                <w:lang w:eastAsia="en-US"/>
              </w:rPr>
              <w:t>Cre</w:t>
            </w:r>
            <w:proofErr w:type="spellEnd"/>
            <w:r w:rsidRPr="009A57E8">
              <w:rPr>
                <w:rFonts w:asciiTheme="minorHAnsi" w:eastAsia="Times New Roman" w:hAnsiTheme="minorHAnsi"/>
                <w:snapToGrid w:val="0"/>
                <w:sz w:val="20"/>
                <w:lang w:eastAsia="en-US"/>
              </w:rPr>
              <w:t>.</w:t>
            </w:r>
          </w:p>
          <w:p w14:paraId="1F5922FD" w14:textId="77777777" w:rsidR="006D4B5A" w:rsidRPr="009A57E8" w:rsidRDefault="006D4B5A" w:rsidP="002709C3">
            <w:pPr>
              <w:spacing w:before="60" w:after="0" w:line="240" w:lineRule="auto"/>
              <w:rPr>
                <w:rFonts w:asciiTheme="minorHAnsi" w:eastAsia="Times New Roman" w:hAnsiTheme="minorHAnsi"/>
                <w:snapToGrid w:val="0"/>
                <w:sz w:val="20"/>
                <w:lang w:val="en-US" w:eastAsia="en-US"/>
              </w:rPr>
            </w:pPr>
            <w:r w:rsidRPr="009A57E8">
              <w:rPr>
                <w:rFonts w:asciiTheme="minorHAnsi" w:eastAsia="Times New Roman" w:hAnsiTheme="minorHAnsi"/>
                <w:snapToGrid w:val="0"/>
                <w:sz w:val="20"/>
                <w:lang w:eastAsia="en-US"/>
              </w:rPr>
              <w:t>Mice express</w:t>
            </w:r>
            <w:r>
              <w:rPr>
                <w:rFonts w:asciiTheme="minorHAnsi" w:eastAsia="Times New Roman" w:hAnsiTheme="minorHAnsi"/>
                <w:snapToGrid w:val="0"/>
                <w:sz w:val="20"/>
                <w:lang w:eastAsia="en-US"/>
              </w:rPr>
              <w:t xml:space="preserve"> </w:t>
            </w:r>
            <w:proofErr w:type="spellStart"/>
            <w:r w:rsidRPr="009A57E8">
              <w:rPr>
                <w:rFonts w:asciiTheme="minorHAnsi" w:eastAsia="Times New Roman" w:hAnsiTheme="minorHAnsi"/>
                <w:snapToGrid w:val="0"/>
                <w:sz w:val="20"/>
                <w:lang w:eastAsia="en-US"/>
              </w:rPr>
              <w:t>Cre</w:t>
            </w:r>
            <w:proofErr w:type="spellEnd"/>
            <w:r w:rsidR="00F50ABF">
              <w:rPr>
                <w:rFonts w:asciiTheme="minorHAnsi" w:eastAsia="Times New Roman" w:hAnsiTheme="minorHAnsi"/>
                <w:snapToGrid w:val="0"/>
                <w:sz w:val="20"/>
                <w:lang w:eastAsia="en-US"/>
              </w:rPr>
              <w:t xml:space="preserve"> </w:t>
            </w:r>
            <w:r w:rsidRPr="009A57E8">
              <w:rPr>
                <w:rFonts w:asciiTheme="minorHAnsi" w:eastAsia="Times New Roman" w:hAnsiTheme="minorHAnsi"/>
                <w:snapToGrid w:val="0"/>
                <w:sz w:val="20"/>
                <w:lang w:eastAsia="en-US"/>
              </w:rPr>
              <w:t xml:space="preserve">recombinase by E10.5 in </w:t>
            </w:r>
            <w:r w:rsidRPr="009A57E8">
              <w:rPr>
                <w:rFonts w:asciiTheme="minorHAnsi" w:eastAsia="Times New Roman" w:hAnsiTheme="minorHAnsi"/>
                <w:snapToGrid w:val="0"/>
                <w:sz w:val="20"/>
                <w:lang w:eastAsia="en-US"/>
              </w:rPr>
              <w:lastRenderedPageBreak/>
              <w:t xml:space="preserve">dorsal neural progenitor cells which give rise to almost all excitatory neurons of the cortex as well as astrocytes and a subset of oligodendrocytes </w:t>
            </w:r>
          </w:p>
        </w:tc>
        <w:tc>
          <w:tcPr>
            <w:tcW w:w="6804" w:type="dxa"/>
          </w:tcPr>
          <w:p w14:paraId="39A00C71" w14:textId="77777777" w:rsidR="006D4B5A" w:rsidRPr="007A1387" w:rsidRDefault="006D4B5A" w:rsidP="002709C3">
            <w:pPr>
              <w:spacing w:after="0" w:line="240" w:lineRule="auto"/>
              <w:rPr>
                <w:rFonts w:asciiTheme="minorHAnsi" w:eastAsia="Times New Roman" w:hAnsiTheme="minorHAnsi"/>
                <w:snapToGrid w:val="0"/>
                <w:sz w:val="20"/>
                <w:lang w:eastAsia="en-US"/>
              </w:rPr>
            </w:pPr>
            <w:r w:rsidRPr="007A1387">
              <w:rPr>
                <w:rFonts w:asciiTheme="minorHAnsi" w:eastAsia="Times New Roman" w:hAnsiTheme="minorHAnsi"/>
                <w:snapToGrid w:val="0"/>
                <w:sz w:val="20"/>
                <w:lang w:eastAsia="en-US"/>
              </w:rPr>
              <w:lastRenderedPageBreak/>
              <w:t xml:space="preserve">Spontaneous seizures were consistently observed in mutants by Day 13 and premature deaths seen by 25 days of age. Pathological changes of an increase in brain size, prominent large cells within the cerebral cortex with increased mTORC1 and decreased mTORC2 </w:t>
            </w:r>
            <w:r w:rsidR="00CE5C99" w:rsidRPr="007A1387">
              <w:rPr>
                <w:rFonts w:asciiTheme="minorHAnsi" w:eastAsia="Times New Roman" w:hAnsiTheme="minorHAnsi"/>
                <w:snapToGrid w:val="0"/>
                <w:sz w:val="20"/>
                <w:lang w:eastAsia="en-US"/>
              </w:rPr>
              <w:t>signalling</w:t>
            </w:r>
            <w:r w:rsidRPr="007A1387">
              <w:rPr>
                <w:rFonts w:asciiTheme="minorHAnsi" w:eastAsia="Times New Roman" w:hAnsiTheme="minorHAnsi"/>
                <w:snapToGrid w:val="0"/>
                <w:sz w:val="20"/>
                <w:lang w:eastAsia="en-US"/>
              </w:rPr>
              <w:t xml:space="preserve"> </w:t>
            </w:r>
            <w:r w:rsidR="00CE5C99">
              <w:rPr>
                <w:rFonts w:asciiTheme="minorHAnsi" w:eastAsia="Times New Roman" w:hAnsiTheme="minorHAnsi"/>
                <w:snapToGrid w:val="0"/>
                <w:sz w:val="20"/>
                <w:lang w:eastAsia="en-US"/>
              </w:rPr>
              <w:t>(that is</w:t>
            </w:r>
            <w:r w:rsidRPr="007A1387">
              <w:rPr>
                <w:rFonts w:asciiTheme="minorHAnsi" w:eastAsia="Times New Roman" w:hAnsiTheme="minorHAnsi"/>
                <w:snapToGrid w:val="0"/>
                <w:sz w:val="20"/>
                <w:lang w:eastAsia="en-US"/>
              </w:rPr>
              <w:t>, increased levels of phosphor</w:t>
            </w:r>
            <w:r w:rsidRPr="007A1387">
              <w:rPr>
                <w:rFonts w:asciiTheme="minorHAnsi" w:eastAsia="Times New Roman" w:hAnsiTheme="minorHAnsi"/>
                <w:snapToGrid w:val="0"/>
                <w:sz w:val="20"/>
                <w:lang w:eastAsia="en-US"/>
              </w:rPr>
              <w:noBreakHyphen/>
              <w:t xml:space="preserve">S6 and decreased </w:t>
            </w:r>
            <w:proofErr w:type="spellStart"/>
            <w:r w:rsidRPr="007A1387">
              <w:rPr>
                <w:rFonts w:asciiTheme="minorHAnsi" w:eastAsia="Times New Roman" w:hAnsiTheme="minorHAnsi"/>
                <w:snapToGrid w:val="0"/>
                <w:sz w:val="20"/>
                <w:lang w:eastAsia="en-US"/>
              </w:rPr>
              <w:t>phospho-Akt</w:t>
            </w:r>
            <w:proofErr w:type="spellEnd"/>
            <w:r w:rsidRPr="007A1387">
              <w:rPr>
                <w:rFonts w:asciiTheme="minorHAnsi" w:eastAsia="Times New Roman" w:hAnsiTheme="minorHAnsi"/>
                <w:snapToGrid w:val="0"/>
                <w:sz w:val="20"/>
                <w:lang w:eastAsia="en-US"/>
              </w:rPr>
              <w:t>, respectively), severe defects of cortical lamination, enlarged dysmorphic astrocytes and decreased myelination were observed. Postnatal rapamycin treatment (3 mg/kg, IP, 5 d</w:t>
            </w:r>
            <w:r w:rsidR="00CE5C99">
              <w:rPr>
                <w:rFonts w:asciiTheme="minorHAnsi" w:eastAsia="Times New Roman" w:hAnsiTheme="minorHAnsi"/>
                <w:snapToGrid w:val="0"/>
                <w:sz w:val="20"/>
                <w:lang w:eastAsia="en-US"/>
              </w:rPr>
              <w:t xml:space="preserve">ays a week) starting on Days 13 to </w:t>
            </w:r>
            <w:r w:rsidRPr="007A1387">
              <w:rPr>
                <w:rFonts w:asciiTheme="minorHAnsi" w:eastAsia="Times New Roman" w:hAnsiTheme="minorHAnsi"/>
                <w:snapToGrid w:val="0"/>
                <w:sz w:val="20"/>
                <w:lang w:eastAsia="en-US"/>
              </w:rPr>
              <w:t xml:space="preserve">15 completely abolished premature deaths, increased cortical </w:t>
            </w:r>
            <w:r w:rsidRPr="007A1387">
              <w:rPr>
                <w:rFonts w:asciiTheme="minorHAnsi" w:eastAsia="Times New Roman" w:hAnsiTheme="minorHAnsi"/>
                <w:snapToGrid w:val="0"/>
                <w:sz w:val="20"/>
                <w:lang w:eastAsia="en-US"/>
              </w:rPr>
              <w:lastRenderedPageBreak/>
              <w:t>myelination and largely reversed glia pathology (abnormalities of astrocytes) but not the extensive neuronal pathology (abnormal neuronal lamination).</w:t>
            </w:r>
          </w:p>
          <w:p w14:paraId="4C0A1E4C" w14:textId="77777777" w:rsidR="006D4B5A" w:rsidRPr="007A1387" w:rsidRDefault="006D4B5A" w:rsidP="002709C3">
            <w:pPr>
              <w:spacing w:before="60" w:after="0" w:line="240" w:lineRule="auto"/>
              <w:rPr>
                <w:rFonts w:asciiTheme="minorHAnsi" w:eastAsia="Times New Roman" w:hAnsiTheme="minorHAnsi"/>
                <w:snapToGrid w:val="0"/>
                <w:sz w:val="20"/>
                <w:lang w:val="en-US" w:eastAsia="en-US"/>
              </w:rPr>
            </w:pPr>
            <w:r w:rsidRPr="007A1387">
              <w:rPr>
                <w:rFonts w:asciiTheme="minorHAnsi" w:eastAsia="Times New Roman" w:hAnsiTheme="minorHAnsi"/>
                <w:i/>
                <w:snapToGrid w:val="0"/>
                <w:sz w:val="20"/>
                <w:lang w:val="en-US" w:eastAsia="en-US"/>
              </w:rPr>
              <w:t xml:space="preserve">Conclusion. </w:t>
            </w:r>
            <w:r w:rsidRPr="007A1387">
              <w:rPr>
                <w:rFonts w:asciiTheme="minorHAnsi" w:eastAsia="Times New Roman" w:hAnsiTheme="minorHAnsi"/>
                <w:snapToGrid w:val="0"/>
                <w:sz w:val="20"/>
                <w:lang w:eastAsia="en-US"/>
              </w:rPr>
              <w:t xml:space="preserve">Mutants showed a greatly shortened lifespan and extensive neuronal as well as glial cell histopathology. </w:t>
            </w:r>
            <w:r w:rsidRPr="007A1387">
              <w:rPr>
                <w:rFonts w:asciiTheme="minorHAnsi" w:eastAsia="Times New Roman" w:hAnsiTheme="minorHAnsi"/>
                <w:snapToGrid w:val="0"/>
                <w:sz w:val="20"/>
                <w:lang w:val="en-US" w:eastAsia="en-US"/>
              </w:rPr>
              <w:t>E</w:t>
            </w:r>
            <w:proofErr w:type="spellStart"/>
            <w:r w:rsidR="00CE5C99">
              <w:rPr>
                <w:rFonts w:asciiTheme="minorHAnsi" w:eastAsia="Times New Roman" w:hAnsiTheme="minorHAnsi"/>
                <w:snapToGrid w:val="0"/>
                <w:sz w:val="20"/>
                <w:lang w:eastAsia="en-US"/>
              </w:rPr>
              <w:t>arly</w:t>
            </w:r>
            <w:proofErr w:type="spellEnd"/>
            <w:r w:rsidR="00CE5C99">
              <w:rPr>
                <w:rFonts w:asciiTheme="minorHAnsi" w:eastAsia="Times New Roman" w:hAnsiTheme="minorHAnsi"/>
                <w:snapToGrid w:val="0"/>
                <w:sz w:val="20"/>
                <w:lang w:eastAsia="en-US"/>
              </w:rPr>
              <w:t xml:space="preserve"> </w:t>
            </w:r>
            <w:r w:rsidRPr="007A1387">
              <w:rPr>
                <w:rFonts w:asciiTheme="minorHAnsi" w:eastAsia="Times New Roman" w:hAnsiTheme="minorHAnsi"/>
                <w:snapToGrid w:val="0"/>
                <w:sz w:val="20"/>
                <w:lang w:eastAsia="en-US"/>
              </w:rPr>
              <w:t>treatment with rapamycin prevented early death and some neuronal pathology.</w:t>
            </w:r>
          </w:p>
        </w:tc>
      </w:tr>
      <w:tr w:rsidR="006D4B5A" w:rsidRPr="0007727C" w14:paraId="49A88C51" w14:textId="77777777" w:rsidTr="00216A1B">
        <w:tc>
          <w:tcPr>
            <w:tcW w:w="2660" w:type="dxa"/>
          </w:tcPr>
          <w:p w14:paraId="18EF7184" w14:textId="545FA9E4" w:rsidR="006D4B5A" w:rsidRPr="00CE5C99" w:rsidRDefault="006D4B5A" w:rsidP="00CE5C99">
            <w:pPr>
              <w:rPr>
                <w:snapToGrid w:val="0"/>
                <w:sz w:val="20"/>
                <w:szCs w:val="20"/>
                <w:lang w:val="en-US" w:eastAsia="en-US"/>
              </w:rPr>
            </w:pPr>
            <w:proofErr w:type="spellStart"/>
            <w:r w:rsidRPr="00CE5C99">
              <w:rPr>
                <w:b/>
                <w:snapToGrid w:val="0"/>
                <w:sz w:val="20"/>
                <w:szCs w:val="20"/>
                <w:lang w:val="en-US" w:eastAsia="en-US"/>
              </w:rPr>
              <w:lastRenderedPageBreak/>
              <w:t>Goto</w:t>
            </w:r>
            <w:proofErr w:type="spellEnd"/>
            <w:r w:rsidRPr="00CE5C99">
              <w:rPr>
                <w:b/>
                <w:snapToGrid w:val="0"/>
                <w:sz w:val="20"/>
                <w:szCs w:val="20"/>
                <w:lang w:val="en-US" w:eastAsia="en-US"/>
              </w:rPr>
              <w:t xml:space="preserve"> </w:t>
            </w:r>
            <w:r w:rsidRPr="00CE5C99">
              <w:rPr>
                <w:b/>
                <w:i/>
                <w:snapToGrid w:val="0"/>
                <w:sz w:val="20"/>
                <w:szCs w:val="20"/>
                <w:lang w:val="en-US" w:eastAsia="en-US"/>
              </w:rPr>
              <w:t>et al</w:t>
            </w:r>
            <w:r w:rsidRPr="00CE5C99">
              <w:rPr>
                <w:b/>
                <w:snapToGrid w:val="0"/>
                <w:sz w:val="20"/>
                <w:szCs w:val="20"/>
                <w:lang w:val="en-US" w:eastAsia="en-US"/>
              </w:rPr>
              <w:t>., 2011</w:t>
            </w:r>
            <w:r w:rsidR="00DD3A0D">
              <w:rPr>
                <w:b/>
                <w:snapToGrid w:val="0"/>
                <w:sz w:val="20"/>
                <w:szCs w:val="20"/>
                <w:lang w:val="en-US" w:eastAsia="en-US"/>
              </w:rPr>
              <w:t>;</w:t>
            </w:r>
            <w:r w:rsidR="00105AB5" w:rsidRPr="00CE5C99">
              <w:rPr>
                <w:rStyle w:val="FootnoteReference"/>
                <w:rFonts w:asciiTheme="minorHAnsi" w:eastAsia="Times New Roman" w:hAnsiTheme="minorHAnsi"/>
                <w:b/>
                <w:snapToGrid w:val="0"/>
                <w:sz w:val="20"/>
                <w:szCs w:val="20"/>
                <w:lang w:val="en-US" w:eastAsia="en-US"/>
              </w:rPr>
              <w:footnoteReference w:id="16"/>
            </w:r>
            <w:r w:rsidR="00105AB5" w:rsidRPr="00CE5C99">
              <w:rPr>
                <w:snapToGrid w:val="0"/>
                <w:sz w:val="20"/>
                <w:szCs w:val="20"/>
                <w:lang w:val="en-US" w:eastAsia="en-US"/>
              </w:rPr>
              <w:t xml:space="preserve"> </w:t>
            </w:r>
          </w:p>
          <w:p w14:paraId="34E28236" w14:textId="77777777" w:rsidR="006D4B5A" w:rsidRPr="0007727C" w:rsidRDefault="00216A1B" w:rsidP="00CE5C99">
            <w:pPr>
              <w:rPr>
                <w:snapToGrid w:val="0"/>
                <w:color w:val="004C4A" w:themeColor="accent4" w:themeShade="BF"/>
                <w:lang w:val="en-US" w:eastAsia="en-US"/>
              </w:rPr>
            </w:pPr>
            <w:r w:rsidRPr="00CE5C99">
              <w:rPr>
                <w:i/>
                <w:snapToGrid w:val="0"/>
                <w:sz w:val="20"/>
                <w:szCs w:val="20"/>
                <w:lang w:val="en-US" w:eastAsia="en-US"/>
              </w:rPr>
              <w:t xml:space="preserve">Tsc1CC </w:t>
            </w:r>
            <w:proofErr w:type="spellStart"/>
            <w:r w:rsidRPr="00CE5C99">
              <w:rPr>
                <w:i/>
                <w:snapToGrid w:val="0"/>
                <w:sz w:val="20"/>
                <w:szCs w:val="20"/>
                <w:lang w:val="en-US" w:eastAsia="en-US"/>
              </w:rPr>
              <w:t>NestinrtTA</w:t>
            </w:r>
            <w:proofErr w:type="spellEnd"/>
            <w:r w:rsidRPr="00CE5C99">
              <w:rPr>
                <w:i/>
                <w:snapToGrid w:val="0"/>
                <w:sz w:val="20"/>
                <w:szCs w:val="20"/>
                <w:lang w:val="en-US" w:eastAsia="en-US"/>
              </w:rPr>
              <w:t xml:space="preserve">+ </w:t>
            </w:r>
            <w:proofErr w:type="spellStart"/>
            <w:r w:rsidR="006D4B5A" w:rsidRPr="00CE5C99">
              <w:rPr>
                <w:i/>
                <w:snapToGrid w:val="0"/>
                <w:sz w:val="20"/>
                <w:szCs w:val="20"/>
                <w:lang w:val="en-US" w:eastAsia="en-US"/>
              </w:rPr>
              <w:t>TetOp-cre</w:t>
            </w:r>
            <w:proofErr w:type="spellEnd"/>
            <w:r w:rsidR="006D4B5A" w:rsidRPr="00CE5C99">
              <w:rPr>
                <w:i/>
                <w:snapToGrid w:val="0"/>
                <w:sz w:val="20"/>
                <w:szCs w:val="20"/>
                <w:lang w:val="en-US" w:eastAsia="en-US"/>
              </w:rPr>
              <w:t>+ model</w:t>
            </w:r>
            <w:r w:rsidR="006D4B5A" w:rsidRPr="00CE5C99">
              <w:rPr>
                <w:snapToGrid w:val="0"/>
                <w:sz w:val="20"/>
                <w:szCs w:val="20"/>
                <w:lang w:val="en-US" w:eastAsia="en-US"/>
              </w:rPr>
              <w:t xml:space="preserve"> (mosaic induction of loss of TSC1 in embryonic neural progenitor cells) by</w:t>
            </w:r>
            <w:r w:rsidR="00F50ABF" w:rsidRPr="00CE5C99">
              <w:rPr>
                <w:snapToGrid w:val="0"/>
                <w:sz w:val="20"/>
                <w:szCs w:val="20"/>
                <w:lang w:val="en-US" w:eastAsia="en-US"/>
              </w:rPr>
              <w:t xml:space="preserve"> </w:t>
            </w:r>
            <w:r w:rsidRPr="00CE5C99">
              <w:rPr>
                <w:snapToGrid w:val="0"/>
                <w:sz w:val="20"/>
                <w:szCs w:val="20"/>
                <w:lang w:val="en-US" w:eastAsia="en-US"/>
              </w:rPr>
              <w:t xml:space="preserve">doxycycline given on </w:t>
            </w:r>
            <w:r w:rsidR="006D4B5A" w:rsidRPr="00CE5C99">
              <w:rPr>
                <w:snapToGrid w:val="0"/>
                <w:sz w:val="20"/>
                <w:szCs w:val="20"/>
                <w:lang w:val="en-US" w:eastAsia="en-US"/>
              </w:rPr>
              <w:t>Days E8-16</w:t>
            </w:r>
          </w:p>
        </w:tc>
        <w:tc>
          <w:tcPr>
            <w:tcW w:w="6804" w:type="dxa"/>
          </w:tcPr>
          <w:p w14:paraId="70AA205D" w14:textId="77777777" w:rsidR="006D4B5A" w:rsidRPr="0007727C" w:rsidRDefault="006D4B5A" w:rsidP="00216A1B">
            <w:pPr>
              <w:autoSpaceDE w:val="0"/>
              <w:autoSpaceDN w:val="0"/>
              <w:spacing w:before="0" w:after="0" w:line="240" w:lineRule="auto"/>
              <w:rPr>
                <w:rFonts w:asciiTheme="minorHAnsi" w:eastAsia="Times New Roman" w:hAnsiTheme="minorHAnsi"/>
                <w:snapToGrid w:val="0"/>
                <w:color w:val="004C4A" w:themeColor="accent4" w:themeShade="BF"/>
                <w:sz w:val="20"/>
                <w:lang w:val="en-US" w:eastAsia="en-US"/>
              </w:rPr>
            </w:pPr>
            <w:r w:rsidRPr="0007727C">
              <w:rPr>
                <w:rFonts w:asciiTheme="minorHAnsi" w:eastAsiaTheme="minorHAnsi" w:hAnsiTheme="minorHAnsi" w:cs="AdvOT88ac8687"/>
                <w:sz w:val="20"/>
                <w:lang w:eastAsia="en-US"/>
              </w:rPr>
              <w:t>By Day 21, m</w:t>
            </w:r>
            <w:r w:rsidRPr="0007727C">
              <w:rPr>
                <w:rFonts w:asciiTheme="minorHAnsi" w:eastAsia="Times New Roman" w:hAnsiTheme="minorHAnsi"/>
                <w:snapToGrid w:val="0"/>
                <w:sz w:val="20"/>
                <w:lang w:val="en-US" w:eastAsia="en-US"/>
              </w:rPr>
              <w:t xml:space="preserve">ice exhibited spontaneous seizures </w:t>
            </w:r>
            <w:r>
              <w:rPr>
                <w:rFonts w:asciiTheme="minorHAnsi" w:eastAsia="Times New Roman" w:hAnsiTheme="minorHAnsi"/>
                <w:snapToGrid w:val="0"/>
                <w:sz w:val="20"/>
                <w:lang w:val="en-US" w:eastAsia="en-US"/>
              </w:rPr>
              <w:t>(</w:t>
            </w:r>
            <w:r w:rsidRPr="0007727C">
              <w:rPr>
                <w:rFonts w:asciiTheme="minorHAnsi" w:eastAsiaTheme="minorHAnsi" w:hAnsiTheme="minorHAnsi" w:cs="AdvOT88ac8687"/>
                <w:sz w:val="20"/>
                <w:lang w:eastAsia="en-US"/>
              </w:rPr>
              <w:t>and in response to physical stimulation</w:t>
            </w:r>
            <w:r>
              <w:rPr>
                <w:rFonts w:asciiTheme="minorHAnsi" w:eastAsiaTheme="minorHAnsi" w:hAnsiTheme="minorHAnsi" w:cs="AdvOT88ac8687"/>
                <w:sz w:val="20"/>
                <w:lang w:eastAsia="en-US"/>
              </w:rPr>
              <w:t xml:space="preserve"> such as </w:t>
            </w:r>
            <w:r w:rsidRPr="0007727C">
              <w:rPr>
                <w:rFonts w:asciiTheme="minorHAnsi" w:eastAsiaTheme="minorHAnsi" w:hAnsiTheme="minorHAnsi" w:cs="AdvOT88ac8687"/>
                <w:sz w:val="20"/>
                <w:lang w:eastAsia="en-US"/>
              </w:rPr>
              <w:t>handling and noise)</w:t>
            </w:r>
            <w:r w:rsidRPr="0007727C">
              <w:rPr>
                <w:rFonts w:asciiTheme="minorHAnsi" w:eastAsia="Times New Roman" w:hAnsiTheme="minorHAnsi"/>
                <w:snapToGrid w:val="0"/>
                <w:sz w:val="20"/>
                <w:lang w:val="en-US" w:eastAsia="en-US"/>
              </w:rPr>
              <w:t xml:space="preserve">, macrocephaly by Week 6, and premature death </w:t>
            </w:r>
            <w:r>
              <w:rPr>
                <w:rFonts w:asciiTheme="minorHAnsi" w:eastAsia="Times New Roman" w:hAnsiTheme="minorHAnsi"/>
                <w:snapToGrid w:val="0"/>
                <w:sz w:val="20"/>
                <w:lang w:val="en-US" w:eastAsia="en-US"/>
              </w:rPr>
              <w:t>(</w:t>
            </w:r>
            <w:r w:rsidRPr="0007727C">
              <w:rPr>
                <w:rFonts w:asciiTheme="minorHAnsi" w:eastAsia="Times New Roman" w:hAnsiTheme="minorHAnsi"/>
                <w:snapToGrid w:val="0"/>
                <w:sz w:val="20"/>
                <w:lang w:val="en-US" w:eastAsia="en-US"/>
              </w:rPr>
              <w:t>as early as in the first week</w:t>
            </w:r>
            <w:r>
              <w:rPr>
                <w:rFonts w:asciiTheme="minorHAnsi" w:eastAsia="Times New Roman" w:hAnsiTheme="minorHAnsi"/>
                <w:snapToGrid w:val="0"/>
                <w:sz w:val="20"/>
                <w:lang w:val="en-US" w:eastAsia="en-US"/>
              </w:rPr>
              <w:t>)</w:t>
            </w:r>
            <w:r w:rsidRPr="0007727C">
              <w:rPr>
                <w:rFonts w:asciiTheme="minorHAnsi" w:eastAsia="Times New Roman" w:hAnsiTheme="minorHAnsi"/>
                <w:snapToGrid w:val="0"/>
                <w:sz w:val="20"/>
                <w:lang w:val="en-US" w:eastAsia="en-US"/>
              </w:rPr>
              <w:t xml:space="preserve">. </w:t>
            </w:r>
            <w:r>
              <w:rPr>
                <w:rFonts w:asciiTheme="minorHAnsi" w:eastAsia="Times New Roman" w:hAnsiTheme="minorHAnsi"/>
                <w:snapToGrid w:val="0"/>
                <w:sz w:val="20"/>
                <w:lang w:val="en-US" w:eastAsia="en-US"/>
              </w:rPr>
              <w:t>H</w:t>
            </w:r>
            <w:r w:rsidRPr="000F1824">
              <w:rPr>
                <w:rFonts w:asciiTheme="minorHAnsi" w:eastAsia="Times New Roman" w:hAnsiTheme="minorHAnsi"/>
                <w:snapToGrid w:val="0"/>
                <w:sz w:val="20"/>
                <w:lang w:val="en-US" w:eastAsia="en-US"/>
              </w:rPr>
              <w:t>yper</w:t>
            </w:r>
            <w:r w:rsidR="00CE5C99">
              <w:rPr>
                <w:rFonts w:asciiTheme="minorHAnsi" w:eastAsia="Times New Roman" w:hAnsiTheme="minorHAnsi"/>
                <w:snapToGrid w:val="0"/>
                <w:sz w:val="20"/>
                <w:lang w:val="en-US" w:eastAsia="en-US"/>
              </w:rPr>
              <w:t xml:space="preserve"> </w:t>
            </w:r>
            <w:r w:rsidRPr="000F1824">
              <w:rPr>
                <w:rFonts w:asciiTheme="minorHAnsi" w:eastAsia="Times New Roman" w:hAnsiTheme="minorHAnsi"/>
                <w:snapToGrid w:val="0"/>
                <w:sz w:val="20"/>
                <w:lang w:val="en-US" w:eastAsia="en-US"/>
              </w:rPr>
              <w:t>activation of mTORC1 (</w:t>
            </w:r>
            <w:r>
              <w:rPr>
                <w:rFonts w:asciiTheme="minorHAnsi" w:eastAsia="Times New Roman" w:hAnsiTheme="minorHAnsi"/>
                <w:snapToGrid w:val="0"/>
                <w:sz w:val="20"/>
                <w:lang w:val="en-US" w:eastAsia="en-US"/>
              </w:rPr>
              <w:t xml:space="preserve">as </w:t>
            </w:r>
            <w:r w:rsidRPr="000F1824">
              <w:rPr>
                <w:rFonts w:asciiTheme="minorHAnsi" w:eastAsia="Times New Roman" w:hAnsiTheme="minorHAnsi"/>
                <w:snapToGrid w:val="0"/>
                <w:sz w:val="20"/>
                <w:lang w:val="en-US" w:eastAsia="en-US"/>
              </w:rPr>
              <w:t xml:space="preserve">assessed by pS6 expression) was prominent in both neurons and enlarged astrocytes. Postnatal rapamycin </w:t>
            </w:r>
            <w:r>
              <w:rPr>
                <w:rFonts w:asciiTheme="minorHAnsi" w:eastAsia="Times New Roman" w:hAnsiTheme="minorHAnsi"/>
                <w:snapToGrid w:val="0"/>
                <w:sz w:val="20"/>
                <w:lang w:val="en-US" w:eastAsia="en-US"/>
              </w:rPr>
              <w:t>dosing</w:t>
            </w:r>
            <w:r w:rsidRPr="000F1824">
              <w:rPr>
                <w:rFonts w:asciiTheme="minorHAnsi" w:eastAsia="Times New Roman" w:hAnsiTheme="minorHAnsi"/>
                <w:snapToGrid w:val="0"/>
                <w:sz w:val="20"/>
                <w:lang w:val="en-US" w:eastAsia="en-US"/>
              </w:rPr>
              <w:t xml:space="preserve"> </w:t>
            </w:r>
            <w:r w:rsidR="00CE5C99">
              <w:rPr>
                <w:rFonts w:asciiTheme="minorHAnsi" w:eastAsia="Times New Roman" w:hAnsiTheme="minorHAnsi"/>
                <w:snapToGrid w:val="0"/>
                <w:sz w:val="20"/>
                <w:lang w:eastAsia="en-US"/>
              </w:rPr>
              <w:t>(1 to 3 </w:t>
            </w:r>
            <w:r w:rsidRPr="000F1824">
              <w:rPr>
                <w:rFonts w:asciiTheme="minorHAnsi" w:eastAsia="Times New Roman" w:hAnsiTheme="minorHAnsi"/>
                <w:snapToGrid w:val="0"/>
                <w:sz w:val="20"/>
                <w:lang w:eastAsia="en-US"/>
              </w:rPr>
              <w:t>mg/kg, IP</w:t>
            </w:r>
            <w:r>
              <w:rPr>
                <w:rFonts w:asciiTheme="minorHAnsi" w:eastAsia="Times New Roman" w:hAnsiTheme="minorHAnsi"/>
                <w:snapToGrid w:val="0"/>
                <w:sz w:val="20"/>
                <w:lang w:eastAsia="en-US"/>
              </w:rPr>
              <w:t>;</w:t>
            </w:r>
            <w:r w:rsidR="00F50ABF">
              <w:rPr>
                <w:rFonts w:asciiTheme="minorHAnsi" w:eastAsia="Times New Roman" w:hAnsiTheme="minorHAnsi"/>
                <w:snapToGrid w:val="0"/>
                <w:sz w:val="20"/>
                <w:lang w:eastAsia="en-US"/>
              </w:rPr>
              <w:t xml:space="preserve"> </w:t>
            </w:r>
            <w:r w:rsidRPr="000F1824">
              <w:rPr>
                <w:rFonts w:asciiTheme="minorHAnsi" w:eastAsia="Times New Roman" w:hAnsiTheme="minorHAnsi"/>
                <w:snapToGrid w:val="0"/>
                <w:sz w:val="20"/>
                <w:lang w:eastAsia="en-US"/>
              </w:rPr>
              <w:t>5 days</w:t>
            </w:r>
            <w:r>
              <w:rPr>
                <w:rFonts w:asciiTheme="minorHAnsi" w:eastAsia="Times New Roman" w:hAnsiTheme="minorHAnsi"/>
                <w:snapToGrid w:val="0"/>
                <w:sz w:val="20"/>
                <w:lang w:eastAsia="en-US"/>
              </w:rPr>
              <w:t>/</w:t>
            </w:r>
            <w:r w:rsidRPr="000F1824">
              <w:rPr>
                <w:rFonts w:asciiTheme="minorHAnsi" w:eastAsia="Times New Roman" w:hAnsiTheme="minorHAnsi"/>
                <w:snapToGrid w:val="0"/>
                <w:sz w:val="20"/>
                <w:lang w:eastAsia="en-US"/>
              </w:rPr>
              <w:t>week) on Day 8 suppressed</w:t>
            </w:r>
            <w:r>
              <w:rPr>
                <w:rFonts w:asciiTheme="minorHAnsi" w:eastAsia="Times New Roman" w:hAnsiTheme="minorHAnsi"/>
                <w:snapToGrid w:val="0"/>
                <w:sz w:val="20"/>
                <w:lang w:eastAsia="en-US"/>
              </w:rPr>
              <w:t xml:space="preserve"> </w:t>
            </w:r>
            <w:r w:rsidRPr="000F1824">
              <w:rPr>
                <w:rFonts w:asciiTheme="minorHAnsi" w:eastAsia="Times New Roman" w:hAnsiTheme="minorHAnsi"/>
                <w:snapToGrid w:val="0"/>
                <w:sz w:val="20"/>
                <w:lang w:val="en-US" w:eastAsia="en-US"/>
              </w:rPr>
              <w:t>seizures and prolonged survival. Brain</w:t>
            </w:r>
            <w:r>
              <w:rPr>
                <w:rFonts w:asciiTheme="minorHAnsi" w:eastAsia="Times New Roman" w:hAnsiTheme="minorHAnsi"/>
                <w:snapToGrid w:val="0"/>
                <w:sz w:val="20"/>
                <w:lang w:val="en-US" w:eastAsia="en-US"/>
              </w:rPr>
              <w:t> </w:t>
            </w:r>
            <w:r w:rsidRPr="000F1824">
              <w:rPr>
                <w:rFonts w:asciiTheme="minorHAnsi" w:eastAsia="Times New Roman" w:hAnsiTheme="minorHAnsi"/>
                <w:snapToGrid w:val="0"/>
                <w:sz w:val="20"/>
                <w:lang w:val="en-US" w:eastAsia="en-US"/>
              </w:rPr>
              <w:t>enlargement and cortical cell enlargement were reversed by rapamycin.</w:t>
            </w:r>
            <w:r>
              <w:rPr>
                <w:rFonts w:asciiTheme="minorHAnsi" w:eastAsia="Times New Roman" w:hAnsiTheme="minorHAnsi"/>
                <w:snapToGrid w:val="0"/>
                <w:sz w:val="20"/>
                <w:lang w:val="en-US" w:eastAsia="en-US"/>
              </w:rPr>
              <w:t xml:space="preserve"> </w:t>
            </w:r>
            <w:r w:rsidRPr="000F1824">
              <w:rPr>
                <w:rFonts w:asciiTheme="minorHAnsi" w:eastAsia="Times New Roman" w:hAnsiTheme="minorHAnsi"/>
                <w:snapToGrid w:val="0"/>
                <w:sz w:val="20"/>
                <w:lang w:val="en-US" w:eastAsia="en-US"/>
              </w:rPr>
              <w:t>Similarly hyper</w:t>
            </w:r>
            <w:r w:rsidR="00CE5C99">
              <w:rPr>
                <w:rFonts w:asciiTheme="minorHAnsi" w:eastAsia="Times New Roman" w:hAnsiTheme="minorHAnsi"/>
                <w:snapToGrid w:val="0"/>
                <w:sz w:val="20"/>
                <w:lang w:val="en-US" w:eastAsia="en-US"/>
              </w:rPr>
              <w:t xml:space="preserve"> </w:t>
            </w:r>
            <w:r w:rsidRPr="000F1824">
              <w:rPr>
                <w:rFonts w:asciiTheme="minorHAnsi" w:eastAsia="Times New Roman" w:hAnsiTheme="minorHAnsi"/>
                <w:snapToGrid w:val="0"/>
                <w:sz w:val="20"/>
                <w:lang w:val="en-US" w:eastAsia="en-US"/>
              </w:rPr>
              <w:t xml:space="preserve">activation of mTORC1 (as measured by downstream phospho-S6 levels) and decreased </w:t>
            </w:r>
            <w:proofErr w:type="spellStart"/>
            <w:r w:rsidRPr="000F1824">
              <w:rPr>
                <w:rFonts w:asciiTheme="minorHAnsi" w:eastAsia="Times New Roman" w:hAnsiTheme="minorHAnsi"/>
                <w:snapToGrid w:val="0"/>
                <w:sz w:val="20"/>
                <w:lang w:val="en-US" w:eastAsia="en-US"/>
              </w:rPr>
              <w:t>astrogliosis</w:t>
            </w:r>
            <w:proofErr w:type="spellEnd"/>
            <w:r w:rsidRPr="000F1824">
              <w:rPr>
                <w:rFonts w:asciiTheme="minorHAnsi" w:eastAsia="Times New Roman" w:hAnsiTheme="minorHAnsi"/>
                <w:snapToGrid w:val="0"/>
                <w:sz w:val="20"/>
                <w:lang w:val="en-US" w:eastAsia="en-US"/>
              </w:rPr>
              <w:t xml:space="preserve"> (as measured by GFAP levels) were also reversed by treatment. </w:t>
            </w:r>
            <w:r w:rsidR="00216A1B">
              <w:rPr>
                <w:rFonts w:asciiTheme="minorHAnsi" w:eastAsia="Times New Roman" w:hAnsiTheme="minorHAnsi"/>
                <w:snapToGrid w:val="0"/>
                <w:sz w:val="20"/>
                <w:lang w:val="en-US" w:eastAsia="en-US"/>
              </w:rPr>
              <w:t xml:space="preserve">As with </w:t>
            </w:r>
            <w:r w:rsidRPr="000F1824">
              <w:rPr>
                <w:rFonts w:asciiTheme="minorHAnsi" w:eastAsia="Times New Roman" w:hAnsiTheme="minorHAnsi"/>
                <w:snapToGrid w:val="0"/>
                <w:sz w:val="20"/>
                <w:lang w:val="en-US" w:eastAsia="en-US"/>
              </w:rPr>
              <w:t>Tsc1</w:t>
            </w:r>
            <w:r w:rsidRPr="000F1824">
              <w:rPr>
                <w:rFonts w:asciiTheme="minorHAnsi" w:eastAsia="Times New Roman" w:hAnsiTheme="minorHAnsi"/>
                <w:snapToGrid w:val="0"/>
                <w:sz w:val="20"/>
                <w:vertAlign w:val="superscript"/>
                <w:lang w:val="en-US" w:eastAsia="en-US"/>
              </w:rPr>
              <w:t>GFAP</w:t>
            </w:r>
            <w:r w:rsidRPr="000F1824">
              <w:rPr>
                <w:rFonts w:asciiTheme="minorHAnsi" w:eastAsia="Times New Roman" w:hAnsiTheme="minorHAnsi"/>
                <w:snapToGrid w:val="0"/>
                <w:sz w:val="20"/>
                <w:lang w:val="en-US" w:eastAsia="en-US"/>
              </w:rPr>
              <w:t xml:space="preserve"> CKO mice, when rapamycin treatment was withdrawn, the mutant animals developed neurological symptoms and died (within 2 weeks of drug withdrawal)</w:t>
            </w:r>
            <w:proofErr w:type="gramStart"/>
            <w:r w:rsidRPr="000F1824">
              <w:rPr>
                <w:rFonts w:asciiTheme="minorHAnsi" w:eastAsia="Times New Roman" w:hAnsiTheme="minorHAnsi"/>
                <w:snapToGrid w:val="0"/>
                <w:sz w:val="20"/>
                <w:lang w:val="en-US" w:eastAsia="en-US"/>
              </w:rPr>
              <w:t>,</w:t>
            </w:r>
            <w:proofErr w:type="gramEnd"/>
            <w:r w:rsidRPr="000F1824">
              <w:rPr>
                <w:rFonts w:asciiTheme="minorHAnsi" w:eastAsia="Times New Roman" w:hAnsiTheme="minorHAnsi"/>
                <w:snapToGrid w:val="0"/>
                <w:sz w:val="20"/>
                <w:lang w:val="en-US" w:eastAsia="en-US"/>
              </w:rPr>
              <w:t xml:space="preserve"> suggesting continued rapamycin treatment is required.</w:t>
            </w:r>
          </w:p>
        </w:tc>
      </w:tr>
      <w:tr w:rsidR="006D4B5A" w:rsidRPr="00377BBF" w14:paraId="3E8B6633" w14:textId="77777777" w:rsidTr="00216A1B">
        <w:tc>
          <w:tcPr>
            <w:tcW w:w="2660" w:type="dxa"/>
          </w:tcPr>
          <w:p w14:paraId="621BD511" w14:textId="51296A21" w:rsidR="006D4B5A" w:rsidRPr="00CE5C99" w:rsidRDefault="006D4B5A" w:rsidP="00CE5C99">
            <w:pPr>
              <w:rPr>
                <w:snapToGrid w:val="0"/>
                <w:sz w:val="20"/>
                <w:szCs w:val="20"/>
                <w:lang w:eastAsia="en-US"/>
              </w:rPr>
            </w:pPr>
            <w:r w:rsidRPr="00CE5C99">
              <w:rPr>
                <w:b/>
                <w:snapToGrid w:val="0"/>
                <w:sz w:val="20"/>
                <w:szCs w:val="20"/>
                <w:lang w:eastAsia="en-US"/>
              </w:rPr>
              <w:t xml:space="preserve">Wong </w:t>
            </w:r>
            <w:r w:rsidRPr="00CE5C99">
              <w:rPr>
                <w:b/>
                <w:i/>
                <w:snapToGrid w:val="0"/>
                <w:sz w:val="20"/>
                <w:szCs w:val="20"/>
                <w:lang w:eastAsia="en-US"/>
              </w:rPr>
              <w:t>et al</w:t>
            </w:r>
            <w:r w:rsidRPr="00CE5C99">
              <w:rPr>
                <w:b/>
                <w:snapToGrid w:val="0"/>
                <w:sz w:val="20"/>
                <w:szCs w:val="20"/>
                <w:lang w:eastAsia="en-US"/>
              </w:rPr>
              <w:t>., 2003</w:t>
            </w:r>
            <w:r w:rsidR="00DD3A0D">
              <w:rPr>
                <w:b/>
                <w:snapToGrid w:val="0"/>
                <w:sz w:val="20"/>
                <w:szCs w:val="20"/>
                <w:lang w:eastAsia="en-US"/>
              </w:rPr>
              <w:t>;</w:t>
            </w:r>
            <w:r w:rsidR="00105AB5" w:rsidRPr="00CE5C99">
              <w:rPr>
                <w:rStyle w:val="FootnoteReference"/>
                <w:rFonts w:asciiTheme="minorHAnsi" w:eastAsia="Times New Roman" w:hAnsiTheme="minorHAnsi"/>
                <w:b/>
                <w:snapToGrid w:val="0"/>
                <w:sz w:val="20"/>
                <w:szCs w:val="20"/>
                <w:lang w:eastAsia="en-US"/>
              </w:rPr>
              <w:footnoteReference w:id="17"/>
            </w:r>
          </w:p>
          <w:p w14:paraId="60C9DE9E" w14:textId="77777777" w:rsidR="006D4B5A" w:rsidRPr="00CE5C99" w:rsidRDefault="006D4B5A" w:rsidP="00CE5C99">
            <w:pPr>
              <w:rPr>
                <w:i/>
                <w:snapToGrid w:val="0"/>
                <w:sz w:val="20"/>
                <w:szCs w:val="20"/>
                <w:lang w:eastAsia="en-US"/>
              </w:rPr>
            </w:pPr>
            <w:r w:rsidRPr="00CE5C99">
              <w:rPr>
                <w:i/>
                <w:snapToGrid w:val="0"/>
                <w:sz w:val="20"/>
                <w:szCs w:val="20"/>
                <w:lang w:eastAsia="en-US"/>
              </w:rPr>
              <w:t xml:space="preserve">Tsc1 </w:t>
            </w:r>
            <w:r w:rsidRPr="00CE5C99">
              <w:rPr>
                <w:i/>
                <w:snapToGrid w:val="0"/>
                <w:sz w:val="20"/>
                <w:szCs w:val="20"/>
                <w:vertAlign w:val="superscript"/>
                <w:lang w:eastAsia="en-US"/>
              </w:rPr>
              <w:t>GFAP</w:t>
            </w:r>
            <w:r w:rsidR="00F50ABF" w:rsidRPr="00CE5C99">
              <w:rPr>
                <w:i/>
                <w:snapToGrid w:val="0"/>
                <w:sz w:val="20"/>
                <w:szCs w:val="20"/>
                <w:lang w:eastAsia="en-US"/>
              </w:rPr>
              <w:t xml:space="preserve"> </w:t>
            </w:r>
            <w:r w:rsidRPr="00CE5C99">
              <w:rPr>
                <w:i/>
                <w:snapToGrid w:val="0"/>
                <w:sz w:val="20"/>
                <w:szCs w:val="20"/>
                <w:lang w:eastAsia="en-US"/>
              </w:rPr>
              <w:t>conditional knockout (CKO) mice</w:t>
            </w:r>
          </w:p>
          <w:p w14:paraId="3B6E2D63" w14:textId="77777777" w:rsidR="006D4B5A" w:rsidRPr="003B1D97" w:rsidRDefault="006D4B5A" w:rsidP="00CE5C99">
            <w:pPr>
              <w:rPr>
                <w:snapToGrid w:val="0"/>
                <w:lang w:val="en-US" w:eastAsia="en-US"/>
              </w:rPr>
            </w:pPr>
            <w:r w:rsidRPr="00CE5C99">
              <w:rPr>
                <w:snapToGrid w:val="0"/>
                <w:sz w:val="20"/>
                <w:szCs w:val="20"/>
                <w:lang w:eastAsia="en-US"/>
              </w:rPr>
              <w:t xml:space="preserve">Homozygous CKO mice with deletion of the Tsc1 gene mediated by </w:t>
            </w:r>
            <w:proofErr w:type="spellStart"/>
            <w:r w:rsidRPr="00CE5C99">
              <w:rPr>
                <w:snapToGrid w:val="0"/>
                <w:sz w:val="20"/>
                <w:szCs w:val="20"/>
                <w:lang w:eastAsia="en-US"/>
              </w:rPr>
              <w:t>Cre</w:t>
            </w:r>
            <w:proofErr w:type="spellEnd"/>
            <w:r w:rsidRPr="00CE5C99">
              <w:rPr>
                <w:snapToGrid w:val="0"/>
                <w:sz w:val="20"/>
                <w:szCs w:val="20"/>
                <w:lang w:eastAsia="en-US"/>
              </w:rPr>
              <w:t> expression (Tsc1</w:t>
            </w:r>
            <w:r w:rsidRPr="00CE5C99">
              <w:rPr>
                <w:snapToGrid w:val="0"/>
                <w:sz w:val="20"/>
                <w:szCs w:val="20"/>
                <w:vertAlign w:val="superscript"/>
                <w:lang w:eastAsia="en-US"/>
              </w:rPr>
              <w:t>GFAP</w:t>
            </w:r>
            <w:r w:rsidRPr="00CE5C99">
              <w:rPr>
                <w:snapToGrid w:val="0"/>
                <w:sz w:val="20"/>
                <w:szCs w:val="20"/>
                <w:lang w:eastAsia="en-US"/>
              </w:rPr>
              <w:t>CKO)</w:t>
            </w:r>
          </w:p>
        </w:tc>
        <w:tc>
          <w:tcPr>
            <w:tcW w:w="6804" w:type="dxa"/>
          </w:tcPr>
          <w:p w14:paraId="0CD00E94" w14:textId="77777777" w:rsidR="006D4B5A" w:rsidRPr="003B1D97" w:rsidRDefault="006D4B5A" w:rsidP="002709C3">
            <w:pPr>
              <w:spacing w:line="240" w:lineRule="auto"/>
              <w:rPr>
                <w:rFonts w:asciiTheme="minorHAnsi" w:eastAsia="Times New Roman" w:hAnsiTheme="minorHAnsi"/>
                <w:snapToGrid w:val="0"/>
                <w:sz w:val="20"/>
                <w:lang w:eastAsia="en-US"/>
              </w:rPr>
            </w:pPr>
            <w:r w:rsidRPr="003B1D97">
              <w:rPr>
                <w:rFonts w:asciiTheme="minorHAnsi" w:eastAsia="Times New Roman" w:hAnsiTheme="minorHAnsi"/>
                <w:snapToGrid w:val="0"/>
                <w:sz w:val="20"/>
                <w:lang w:eastAsia="en-US"/>
              </w:rPr>
              <w:t xml:space="preserve">Cellular alterations in these mice included reduced expression of the astrocyte-specific glutamate transporters, Glt-1 and GLAST (transporters involved in clearance from synaptic </w:t>
            </w:r>
            <w:r w:rsidRPr="007A1387">
              <w:rPr>
                <w:rFonts w:asciiTheme="minorHAnsi" w:eastAsia="Times New Roman" w:hAnsiTheme="minorHAnsi"/>
                <w:snapToGrid w:val="0"/>
                <w:sz w:val="20"/>
                <w:lang w:eastAsia="en-US"/>
              </w:rPr>
              <w:t>cleft) and likely contributing to increased levels of extracellular glutamate, excitotoxicity and decreased</w:t>
            </w:r>
            <w:r w:rsidRPr="003B1D97">
              <w:rPr>
                <w:rFonts w:asciiTheme="minorHAnsi" w:eastAsia="Times New Roman" w:hAnsiTheme="minorHAnsi"/>
                <w:snapToGrid w:val="0"/>
                <w:sz w:val="20"/>
                <w:lang w:eastAsia="en-US"/>
              </w:rPr>
              <w:t xml:space="preserve"> seizure threshold. Electrophysiology studies showed a</w:t>
            </w:r>
            <w:r w:rsidR="00F50ABF">
              <w:rPr>
                <w:rFonts w:asciiTheme="minorHAnsi" w:eastAsia="Times New Roman" w:hAnsiTheme="minorHAnsi"/>
                <w:snapToGrid w:val="0"/>
                <w:sz w:val="20"/>
                <w:lang w:eastAsia="en-US"/>
              </w:rPr>
              <w:t xml:space="preserve"> </w:t>
            </w:r>
            <w:r w:rsidRPr="003B1D97">
              <w:rPr>
                <w:rFonts w:asciiTheme="minorHAnsi" w:eastAsia="Times New Roman" w:hAnsiTheme="minorHAnsi"/>
                <w:snapToGrid w:val="0"/>
                <w:sz w:val="20"/>
                <w:lang w:eastAsia="en-US"/>
              </w:rPr>
              <w:t>decrease in glutamate transport currents in astrocytes in hippocampal slices and cultures.</w:t>
            </w:r>
          </w:p>
          <w:p w14:paraId="24CBEE8D" w14:textId="77777777" w:rsidR="006D4B5A" w:rsidRPr="003B1D97" w:rsidRDefault="006D4B5A" w:rsidP="002709C3">
            <w:pPr>
              <w:spacing w:line="240" w:lineRule="auto"/>
              <w:rPr>
                <w:rFonts w:asciiTheme="minorHAnsi" w:eastAsia="Times New Roman" w:hAnsiTheme="minorHAnsi"/>
                <w:snapToGrid w:val="0"/>
                <w:sz w:val="20"/>
                <w:lang w:val="en-US" w:eastAsia="en-US"/>
              </w:rPr>
            </w:pPr>
            <w:r w:rsidRPr="003B1D97">
              <w:rPr>
                <w:rFonts w:asciiTheme="minorHAnsi" w:eastAsia="Times New Roman" w:hAnsiTheme="minorHAnsi"/>
                <w:i/>
                <w:snapToGrid w:val="0"/>
                <w:sz w:val="20"/>
                <w:lang w:val="en-US" w:eastAsia="en-US"/>
              </w:rPr>
              <w:t xml:space="preserve">Conclusion. </w:t>
            </w:r>
            <w:r w:rsidRPr="003B1D97">
              <w:rPr>
                <w:rFonts w:asciiTheme="minorHAnsi" w:eastAsia="Times New Roman" w:hAnsiTheme="minorHAnsi"/>
                <w:snapToGrid w:val="0"/>
                <w:sz w:val="20"/>
                <w:lang w:val="en-US" w:eastAsia="en-US"/>
              </w:rPr>
              <w:t xml:space="preserve">It is not clear if </w:t>
            </w:r>
            <w:r>
              <w:rPr>
                <w:rFonts w:asciiTheme="minorHAnsi" w:eastAsia="Times New Roman" w:hAnsiTheme="minorHAnsi"/>
                <w:snapToGrid w:val="0"/>
                <w:sz w:val="20"/>
                <w:lang w:val="en-US" w:eastAsia="en-US"/>
              </w:rPr>
              <w:t xml:space="preserve">the findings are </w:t>
            </w:r>
            <w:r w:rsidRPr="003B1D97">
              <w:rPr>
                <w:rFonts w:asciiTheme="minorHAnsi" w:eastAsia="Times New Roman" w:hAnsiTheme="minorHAnsi"/>
                <w:snapToGrid w:val="0"/>
                <w:sz w:val="20"/>
                <w:lang w:val="en-US" w:eastAsia="en-US"/>
              </w:rPr>
              <w:t>a cause or effect of seizure activity.</w:t>
            </w:r>
          </w:p>
        </w:tc>
      </w:tr>
      <w:tr w:rsidR="006D4B5A" w:rsidRPr="00377BBF" w14:paraId="3D917082" w14:textId="77777777" w:rsidTr="00216A1B">
        <w:trPr>
          <w:trHeight w:val="567"/>
        </w:trPr>
        <w:tc>
          <w:tcPr>
            <w:tcW w:w="2660" w:type="dxa"/>
          </w:tcPr>
          <w:p w14:paraId="04DC773E" w14:textId="241D7342" w:rsidR="006D4B5A" w:rsidRPr="00670801" w:rsidRDefault="006D4B5A" w:rsidP="00CE5C99">
            <w:pPr>
              <w:rPr>
                <w:snapToGrid w:val="0"/>
                <w:sz w:val="20"/>
                <w:szCs w:val="20"/>
                <w:lang w:val="fr-FR" w:eastAsia="en-US"/>
              </w:rPr>
            </w:pPr>
            <w:proofErr w:type="spellStart"/>
            <w:r w:rsidRPr="00670801">
              <w:rPr>
                <w:b/>
                <w:snapToGrid w:val="0"/>
                <w:sz w:val="20"/>
                <w:szCs w:val="20"/>
                <w:lang w:val="fr-FR" w:eastAsia="en-US"/>
              </w:rPr>
              <w:t>Zeng</w:t>
            </w:r>
            <w:proofErr w:type="spellEnd"/>
            <w:r w:rsidRPr="00670801">
              <w:rPr>
                <w:b/>
                <w:snapToGrid w:val="0"/>
                <w:sz w:val="20"/>
                <w:szCs w:val="20"/>
                <w:lang w:val="fr-FR" w:eastAsia="en-US"/>
              </w:rPr>
              <w:t xml:space="preserve"> </w:t>
            </w:r>
            <w:r w:rsidRPr="00670801">
              <w:rPr>
                <w:b/>
                <w:i/>
                <w:snapToGrid w:val="0"/>
                <w:sz w:val="20"/>
                <w:szCs w:val="20"/>
                <w:lang w:val="fr-FR" w:eastAsia="en-US"/>
              </w:rPr>
              <w:t>et al</w:t>
            </w:r>
            <w:r w:rsidRPr="00670801">
              <w:rPr>
                <w:b/>
                <w:snapToGrid w:val="0"/>
                <w:sz w:val="20"/>
                <w:szCs w:val="20"/>
                <w:lang w:val="fr-FR" w:eastAsia="en-US"/>
              </w:rPr>
              <w:t>., 2011</w:t>
            </w:r>
            <w:r w:rsidR="00DD3A0D">
              <w:rPr>
                <w:b/>
                <w:snapToGrid w:val="0"/>
                <w:sz w:val="20"/>
                <w:szCs w:val="20"/>
                <w:lang w:val="fr-FR" w:eastAsia="en-US"/>
              </w:rPr>
              <w:t>;</w:t>
            </w:r>
            <w:r w:rsidR="00105AB5" w:rsidRPr="00CE5C99">
              <w:rPr>
                <w:rStyle w:val="FootnoteReference"/>
                <w:rFonts w:asciiTheme="minorHAnsi" w:eastAsia="Times New Roman" w:hAnsiTheme="minorHAnsi"/>
                <w:b/>
                <w:snapToGrid w:val="0"/>
                <w:sz w:val="20"/>
                <w:szCs w:val="20"/>
                <w:lang w:eastAsia="en-US"/>
              </w:rPr>
              <w:footnoteReference w:id="18"/>
            </w:r>
          </w:p>
          <w:p w14:paraId="18D7284B" w14:textId="77777777" w:rsidR="006D4B5A" w:rsidRPr="00670801" w:rsidRDefault="006D4B5A" w:rsidP="00CE5C99">
            <w:pPr>
              <w:rPr>
                <w:i/>
                <w:snapToGrid w:val="0"/>
                <w:sz w:val="20"/>
                <w:szCs w:val="20"/>
                <w:lang w:val="fr-FR" w:eastAsia="en-US"/>
              </w:rPr>
            </w:pPr>
            <w:r w:rsidRPr="00670801">
              <w:rPr>
                <w:i/>
                <w:snapToGrid w:val="0"/>
                <w:sz w:val="20"/>
                <w:szCs w:val="20"/>
                <w:lang w:val="fr-FR" w:eastAsia="en-US"/>
              </w:rPr>
              <w:t xml:space="preserve">Tsc2 </w:t>
            </w:r>
            <w:r w:rsidRPr="00670801">
              <w:rPr>
                <w:i/>
                <w:snapToGrid w:val="0"/>
                <w:sz w:val="20"/>
                <w:szCs w:val="20"/>
                <w:vertAlign w:val="superscript"/>
                <w:lang w:val="fr-FR" w:eastAsia="en-US"/>
              </w:rPr>
              <w:t>GFAP</w:t>
            </w:r>
            <w:r w:rsidR="00F50ABF" w:rsidRPr="00670801">
              <w:rPr>
                <w:i/>
                <w:snapToGrid w:val="0"/>
                <w:sz w:val="20"/>
                <w:szCs w:val="20"/>
                <w:lang w:val="fr-FR" w:eastAsia="en-US"/>
              </w:rPr>
              <w:t xml:space="preserve"> </w:t>
            </w:r>
            <w:proofErr w:type="spellStart"/>
            <w:r w:rsidRPr="00670801">
              <w:rPr>
                <w:i/>
                <w:snapToGrid w:val="0"/>
                <w:sz w:val="20"/>
                <w:szCs w:val="20"/>
                <w:lang w:val="fr-FR" w:eastAsia="en-US"/>
              </w:rPr>
              <w:t>conditional</w:t>
            </w:r>
            <w:proofErr w:type="spellEnd"/>
            <w:r w:rsidRPr="00670801">
              <w:rPr>
                <w:i/>
                <w:snapToGrid w:val="0"/>
                <w:sz w:val="20"/>
                <w:szCs w:val="20"/>
                <w:lang w:val="fr-FR" w:eastAsia="en-US"/>
              </w:rPr>
              <w:t xml:space="preserve"> knockout (CKO) </w:t>
            </w:r>
            <w:proofErr w:type="spellStart"/>
            <w:r w:rsidRPr="00670801">
              <w:rPr>
                <w:i/>
                <w:snapToGrid w:val="0"/>
                <w:sz w:val="20"/>
                <w:szCs w:val="20"/>
                <w:lang w:val="fr-FR" w:eastAsia="en-US"/>
              </w:rPr>
              <w:t>mice</w:t>
            </w:r>
            <w:proofErr w:type="spellEnd"/>
          </w:p>
          <w:p w14:paraId="11318384" w14:textId="77777777" w:rsidR="006D4B5A" w:rsidRPr="00377BBF" w:rsidRDefault="006D4B5A" w:rsidP="00CE5C99">
            <w:pPr>
              <w:rPr>
                <w:snapToGrid w:val="0"/>
                <w:color w:val="004C4A" w:themeColor="accent4" w:themeShade="BF"/>
                <w:highlight w:val="yellow"/>
                <w:lang w:val="en-US" w:eastAsia="en-US"/>
              </w:rPr>
            </w:pPr>
            <w:r w:rsidRPr="00CE5C99">
              <w:rPr>
                <w:snapToGrid w:val="0"/>
                <w:sz w:val="20"/>
                <w:szCs w:val="20"/>
                <w:lang w:val="en-US" w:eastAsia="en-US"/>
              </w:rPr>
              <w:t>Comparison of neurological phenotypes with</w:t>
            </w:r>
            <w:r w:rsidR="00F50ABF" w:rsidRPr="00CE5C99">
              <w:rPr>
                <w:snapToGrid w:val="0"/>
                <w:sz w:val="20"/>
                <w:szCs w:val="20"/>
                <w:lang w:val="en-US" w:eastAsia="en-US"/>
              </w:rPr>
              <w:t xml:space="preserve"> </w:t>
            </w:r>
            <w:r w:rsidRPr="00CE5C99">
              <w:rPr>
                <w:snapToGrid w:val="0"/>
                <w:sz w:val="20"/>
                <w:szCs w:val="20"/>
                <w:lang w:val="en-US" w:eastAsia="en-US"/>
              </w:rPr>
              <w:t>Tsc1</w:t>
            </w:r>
            <w:r w:rsidRPr="00CE5C99">
              <w:rPr>
                <w:snapToGrid w:val="0"/>
                <w:sz w:val="20"/>
                <w:szCs w:val="20"/>
                <w:vertAlign w:val="superscript"/>
                <w:lang w:val="en-US" w:eastAsia="en-US"/>
              </w:rPr>
              <w:t>GFAP</w:t>
            </w:r>
            <w:r w:rsidR="00216A1B" w:rsidRPr="00CE5C99">
              <w:rPr>
                <w:snapToGrid w:val="0"/>
                <w:sz w:val="20"/>
                <w:szCs w:val="20"/>
                <w:lang w:val="en-US" w:eastAsia="en-US"/>
              </w:rPr>
              <w:t xml:space="preserve">CKO mice </w:t>
            </w:r>
            <w:r w:rsidRPr="00CE5C99">
              <w:rPr>
                <w:snapToGrid w:val="0"/>
                <w:sz w:val="20"/>
                <w:szCs w:val="20"/>
                <w:lang w:val="en-US" w:eastAsia="en-US"/>
              </w:rPr>
              <w:t xml:space="preserve">described above by </w:t>
            </w:r>
            <w:proofErr w:type="spellStart"/>
            <w:r w:rsidRPr="00CE5C99">
              <w:rPr>
                <w:snapToGrid w:val="0"/>
                <w:sz w:val="20"/>
                <w:szCs w:val="20"/>
                <w:lang w:val="en-US" w:eastAsia="en-US"/>
              </w:rPr>
              <w:t>Uhlmann</w:t>
            </w:r>
            <w:proofErr w:type="spellEnd"/>
            <w:r w:rsidRPr="00CE5C99">
              <w:rPr>
                <w:snapToGrid w:val="0"/>
                <w:sz w:val="20"/>
                <w:szCs w:val="20"/>
                <w:lang w:val="en-US" w:eastAsia="en-US"/>
              </w:rPr>
              <w:t xml:space="preserve"> et al 2002.</w:t>
            </w:r>
          </w:p>
        </w:tc>
        <w:tc>
          <w:tcPr>
            <w:tcW w:w="6804" w:type="dxa"/>
          </w:tcPr>
          <w:p w14:paraId="338F1042" w14:textId="77777777" w:rsidR="006D4B5A" w:rsidRDefault="006D4B5A" w:rsidP="002709C3">
            <w:pPr>
              <w:spacing w:before="60" w:after="0" w:line="240" w:lineRule="auto"/>
              <w:rPr>
                <w:rFonts w:asciiTheme="minorHAnsi" w:eastAsia="Times New Roman" w:hAnsiTheme="minorHAnsi"/>
                <w:snapToGrid w:val="0"/>
                <w:sz w:val="20"/>
                <w:lang w:val="en-US" w:eastAsia="en-US"/>
              </w:rPr>
            </w:pPr>
            <w:r w:rsidRPr="00AD22B4">
              <w:rPr>
                <w:rFonts w:asciiTheme="minorHAnsi" w:eastAsia="Times New Roman" w:hAnsiTheme="minorHAnsi"/>
                <w:snapToGrid w:val="0"/>
                <w:sz w:val="20"/>
                <w:lang w:val="en-US" w:eastAsia="en-US"/>
              </w:rPr>
              <w:t>Tsc2</w:t>
            </w:r>
            <w:r w:rsidRPr="00AD22B4">
              <w:rPr>
                <w:rFonts w:asciiTheme="minorHAnsi" w:eastAsia="Times New Roman" w:hAnsiTheme="minorHAnsi"/>
                <w:snapToGrid w:val="0"/>
                <w:sz w:val="20"/>
                <w:vertAlign w:val="superscript"/>
                <w:lang w:val="en-US" w:eastAsia="en-US"/>
              </w:rPr>
              <w:t>GFAP</w:t>
            </w:r>
            <w:r w:rsidRPr="00AD22B4">
              <w:rPr>
                <w:rFonts w:asciiTheme="minorHAnsi" w:eastAsia="Times New Roman" w:hAnsiTheme="minorHAnsi"/>
                <w:snapToGrid w:val="0"/>
                <w:sz w:val="20"/>
                <w:lang w:val="en-US" w:eastAsia="en-US"/>
              </w:rPr>
              <w:t xml:space="preserve">CKO mice also showed increased pS6 expression (in brain), displayed seizures, early death, progressive </w:t>
            </w:r>
            <w:proofErr w:type="spellStart"/>
            <w:r w:rsidRPr="00AD22B4">
              <w:rPr>
                <w:rFonts w:asciiTheme="minorHAnsi" w:eastAsia="Times New Roman" w:hAnsiTheme="minorHAnsi"/>
                <w:snapToGrid w:val="0"/>
                <w:sz w:val="20"/>
                <w:lang w:val="en-US" w:eastAsia="en-US"/>
              </w:rPr>
              <w:t>megencephaly</w:t>
            </w:r>
            <w:proofErr w:type="spellEnd"/>
            <w:r w:rsidRPr="00AD22B4">
              <w:rPr>
                <w:rFonts w:asciiTheme="minorHAnsi" w:eastAsia="Times New Roman" w:hAnsiTheme="minorHAnsi"/>
                <w:snapToGrid w:val="0"/>
                <w:sz w:val="20"/>
                <w:lang w:val="en-US" w:eastAsia="en-US"/>
              </w:rPr>
              <w:t>, diffuse glial proliferation, and dispersion of hippocampal pyramidal cells</w:t>
            </w:r>
            <w:r>
              <w:rPr>
                <w:rFonts w:asciiTheme="minorHAnsi" w:eastAsia="Times New Roman" w:hAnsiTheme="minorHAnsi"/>
                <w:snapToGrid w:val="0"/>
                <w:sz w:val="20"/>
                <w:lang w:val="en-US" w:eastAsia="en-US"/>
              </w:rPr>
              <w:t xml:space="preserve"> (these</w:t>
            </w:r>
            <w:r w:rsidRPr="00AD22B4">
              <w:rPr>
                <w:rFonts w:asciiTheme="minorHAnsi" w:eastAsia="Times New Roman" w:hAnsiTheme="minorHAnsi"/>
                <w:snapToGrid w:val="0"/>
                <w:sz w:val="20"/>
                <w:lang w:val="en-US" w:eastAsia="en-US"/>
              </w:rPr>
              <w:t xml:space="preserve"> mutants showed earlier onset and greater occurrence of seizures</w:t>
            </w:r>
            <w:r>
              <w:rPr>
                <w:rFonts w:asciiTheme="minorHAnsi" w:eastAsia="Times New Roman" w:hAnsiTheme="minorHAnsi"/>
                <w:snapToGrid w:val="0"/>
                <w:sz w:val="20"/>
                <w:lang w:val="en-US" w:eastAsia="en-US"/>
              </w:rPr>
              <w:t xml:space="preserve">, death occurred earlier </w:t>
            </w:r>
            <w:r w:rsidRPr="00AD22B4">
              <w:rPr>
                <w:rFonts w:asciiTheme="minorHAnsi" w:eastAsia="Times New Roman" w:hAnsiTheme="minorHAnsi"/>
                <w:snapToGrid w:val="0"/>
                <w:sz w:val="20"/>
                <w:lang w:val="en-US" w:eastAsia="en-US"/>
              </w:rPr>
              <w:t xml:space="preserve">and more severe </w:t>
            </w:r>
            <w:proofErr w:type="spellStart"/>
            <w:r w:rsidRPr="00AD22B4">
              <w:rPr>
                <w:rFonts w:asciiTheme="minorHAnsi" w:eastAsia="Times New Roman" w:hAnsiTheme="minorHAnsi"/>
                <w:snapToGrid w:val="0"/>
                <w:sz w:val="20"/>
                <w:lang w:val="en-US" w:eastAsia="en-US"/>
              </w:rPr>
              <w:t>histolopathology</w:t>
            </w:r>
            <w:proofErr w:type="spellEnd"/>
            <w:r>
              <w:rPr>
                <w:rFonts w:asciiTheme="minorHAnsi" w:eastAsia="Times New Roman" w:hAnsiTheme="minorHAnsi"/>
                <w:snapToGrid w:val="0"/>
                <w:sz w:val="20"/>
                <w:lang w:val="en-US" w:eastAsia="en-US"/>
              </w:rPr>
              <w:t xml:space="preserve"> </w:t>
            </w:r>
            <w:r w:rsidRPr="00AD22B4">
              <w:rPr>
                <w:rFonts w:asciiTheme="minorHAnsi" w:eastAsia="Times New Roman" w:hAnsiTheme="minorHAnsi"/>
                <w:snapToGrid w:val="0"/>
                <w:sz w:val="20"/>
                <w:lang w:val="en-US" w:eastAsia="en-US"/>
              </w:rPr>
              <w:t>in brain</w:t>
            </w:r>
            <w:r>
              <w:rPr>
                <w:rFonts w:asciiTheme="minorHAnsi" w:eastAsia="Times New Roman" w:hAnsiTheme="minorHAnsi"/>
                <w:snapToGrid w:val="0"/>
                <w:sz w:val="20"/>
                <w:lang w:val="en-US" w:eastAsia="en-US"/>
              </w:rPr>
              <w:t xml:space="preserve"> than</w:t>
            </w:r>
            <w:r>
              <w:t xml:space="preserve"> </w:t>
            </w:r>
            <w:r w:rsidRPr="00DB487A">
              <w:rPr>
                <w:rFonts w:asciiTheme="minorHAnsi" w:eastAsia="Times New Roman" w:hAnsiTheme="minorHAnsi"/>
                <w:snapToGrid w:val="0"/>
                <w:sz w:val="20"/>
                <w:lang w:val="en-US" w:eastAsia="en-US"/>
              </w:rPr>
              <w:t>Tsc1GFAPCKO mice</w:t>
            </w:r>
            <w:r>
              <w:rPr>
                <w:rFonts w:asciiTheme="minorHAnsi" w:eastAsia="Times New Roman" w:hAnsiTheme="minorHAnsi"/>
                <w:snapToGrid w:val="0"/>
                <w:sz w:val="20"/>
                <w:lang w:val="en-US" w:eastAsia="en-US"/>
              </w:rPr>
              <w:t>)</w:t>
            </w:r>
            <w:r w:rsidR="00216A1B">
              <w:rPr>
                <w:rFonts w:asciiTheme="minorHAnsi" w:eastAsia="Times New Roman" w:hAnsiTheme="minorHAnsi"/>
                <w:snapToGrid w:val="0"/>
                <w:sz w:val="20"/>
                <w:lang w:val="en-US" w:eastAsia="en-US"/>
              </w:rPr>
              <w:t>.</w:t>
            </w:r>
          </w:p>
          <w:p w14:paraId="126F7B63" w14:textId="77777777" w:rsidR="00F50ABF" w:rsidRDefault="006D4B5A" w:rsidP="002709C3">
            <w:pPr>
              <w:spacing w:before="60" w:after="0" w:line="240" w:lineRule="auto"/>
              <w:rPr>
                <w:rFonts w:asciiTheme="minorHAnsi" w:eastAsia="Times New Roman" w:hAnsiTheme="minorHAnsi"/>
                <w:snapToGrid w:val="0"/>
                <w:sz w:val="20"/>
                <w:lang w:val="en-US" w:eastAsia="en-US"/>
              </w:rPr>
            </w:pPr>
            <w:r w:rsidRPr="00AD22B4">
              <w:rPr>
                <w:rFonts w:asciiTheme="minorHAnsi" w:eastAsia="Times New Roman" w:hAnsiTheme="minorHAnsi"/>
                <w:snapToGrid w:val="0"/>
                <w:sz w:val="20"/>
                <w:lang w:val="en-US" w:eastAsia="en-US"/>
              </w:rPr>
              <w:t xml:space="preserve">A comparison of </w:t>
            </w:r>
            <w:proofErr w:type="spellStart"/>
            <w:r w:rsidRPr="00AD22B4">
              <w:rPr>
                <w:rFonts w:asciiTheme="minorHAnsi" w:eastAsia="Times New Roman" w:hAnsiTheme="minorHAnsi"/>
                <w:snapToGrid w:val="0"/>
                <w:sz w:val="20"/>
                <w:lang w:val="en-US" w:eastAsia="en-US"/>
              </w:rPr>
              <w:t>mTOR</w:t>
            </w:r>
            <w:proofErr w:type="spellEnd"/>
            <w:r w:rsidRPr="00AD22B4">
              <w:rPr>
                <w:rFonts w:asciiTheme="minorHAnsi" w:eastAsia="Times New Roman" w:hAnsiTheme="minorHAnsi"/>
                <w:snapToGrid w:val="0"/>
                <w:sz w:val="20"/>
                <w:lang w:val="en-US" w:eastAsia="en-US"/>
              </w:rPr>
              <w:t xml:space="preserve"> activation between the two mutants indicated pS6 expression was significantly greater in this model</w:t>
            </w:r>
            <w:r>
              <w:rPr>
                <w:rFonts w:asciiTheme="minorHAnsi" w:eastAsia="Times New Roman" w:hAnsiTheme="minorHAnsi"/>
                <w:snapToGrid w:val="0"/>
                <w:sz w:val="20"/>
                <w:lang w:val="en-US" w:eastAsia="en-US"/>
              </w:rPr>
              <w:t xml:space="preserve"> </w:t>
            </w:r>
            <w:r w:rsidRPr="00AD22B4">
              <w:rPr>
                <w:rFonts w:asciiTheme="minorHAnsi" w:eastAsia="Times New Roman" w:hAnsiTheme="minorHAnsi"/>
                <w:snapToGrid w:val="0"/>
                <w:sz w:val="20"/>
                <w:lang w:val="en-US" w:eastAsia="en-US"/>
              </w:rPr>
              <w:t>(1.45-fold at 3 weeks of age</w:t>
            </w:r>
            <w:r>
              <w:rPr>
                <w:rFonts w:asciiTheme="minorHAnsi" w:eastAsia="Times New Roman" w:hAnsiTheme="minorHAnsi"/>
                <w:snapToGrid w:val="0"/>
                <w:sz w:val="20"/>
                <w:lang w:val="en-US" w:eastAsia="en-US"/>
              </w:rPr>
              <w:t>;</w:t>
            </w:r>
            <w:r w:rsidRPr="00AD22B4">
              <w:rPr>
                <w:rFonts w:asciiTheme="minorHAnsi" w:eastAsia="Times New Roman" w:hAnsiTheme="minorHAnsi"/>
                <w:snapToGrid w:val="0"/>
                <w:sz w:val="20"/>
                <w:lang w:val="en-US" w:eastAsia="en-US"/>
              </w:rPr>
              <w:t xml:space="preserve"> p</w:t>
            </w:r>
            <w:r w:rsidR="00F50ABF">
              <w:rPr>
                <w:rFonts w:asciiTheme="minorHAnsi" w:eastAsia="Times New Roman" w:hAnsiTheme="minorHAnsi"/>
                <w:snapToGrid w:val="0"/>
                <w:sz w:val="20"/>
                <w:lang w:val="en-US" w:eastAsia="en-US"/>
              </w:rPr>
              <w:t xml:space="preserve">&lt; </w:t>
            </w:r>
            <w:r w:rsidRPr="00AD22B4">
              <w:rPr>
                <w:rFonts w:asciiTheme="minorHAnsi" w:eastAsia="Times New Roman" w:hAnsiTheme="minorHAnsi"/>
                <w:snapToGrid w:val="0"/>
                <w:sz w:val="20"/>
                <w:lang w:val="en-US" w:eastAsia="en-US"/>
              </w:rPr>
              <w:t>0.05) possibly explaining more severe histopathological findings</w:t>
            </w:r>
            <w:r w:rsidR="00F50ABF">
              <w:rPr>
                <w:rFonts w:asciiTheme="minorHAnsi" w:eastAsia="Times New Roman" w:hAnsiTheme="minorHAnsi"/>
                <w:snapToGrid w:val="0"/>
                <w:sz w:val="20"/>
                <w:lang w:val="en-US" w:eastAsia="en-US"/>
              </w:rPr>
              <w:t>.</w:t>
            </w:r>
          </w:p>
          <w:p w14:paraId="59DD3C69" w14:textId="77777777" w:rsidR="006D4B5A" w:rsidRDefault="006D4B5A" w:rsidP="002709C3">
            <w:pPr>
              <w:spacing w:before="60" w:after="0" w:line="240" w:lineRule="auto"/>
              <w:rPr>
                <w:rFonts w:asciiTheme="minorHAnsi" w:eastAsia="Times New Roman" w:hAnsiTheme="minorHAnsi"/>
                <w:snapToGrid w:val="0"/>
                <w:sz w:val="20"/>
                <w:lang w:val="en-US" w:eastAsia="en-US"/>
              </w:rPr>
            </w:pPr>
            <w:r w:rsidRPr="00AD22B4">
              <w:rPr>
                <w:rFonts w:asciiTheme="minorHAnsi" w:eastAsia="Times New Roman" w:hAnsiTheme="minorHAnsi"/>
                <w:snapToGrid w:val="0"/>
                <w:sz w:val="20"/>
                <w:lang w:val="en-US" w:eastAsia="en-US"/>
              </w:rPr>
              <w:t>As in Tsc1</w:t>
            </w:r>
            <w:r w:rsidR="00CE5C99">
              <w:rPr>
                <w:rFonts w:asciiTheme="minorHAnsi" w:eastAsia="Times New Roman" w:hAnsiTheme="minorHAnsi"/>
                <w:snapToGrid w:val="0"/>
                <w:sz w:val="20"/>
                <w:vertAlign w:val="superscript"/>
                <w:lang w:val="en-US" w:eastAsia="en-US"/>
              </w:rPr>
              <w:t>GFAP</w:t>
            </w:r>
            <w:r w:rsidRPr="00AD22B4">
              <w:rPr>
                <w:rFonts w:asciiTheme="minorHAnsi" w:eastAsia="Times New Roman" w:hAnsiTheme="minorHAnsi"/>
                <w:snapToGrid w:val="0"/>
                <w:sz w:val="20"/>
                <w:lang w:val="en-US" w:eastAsia="en-US"/>
              </w:rPr>
              <w:t xml:space="preserve">CKO mice (see </w:t>
            </w:r>
            <w:r w:rsidRPr="009522FB">
              <w:rPr>
                <w:rFonts w:asciiTheme="minorHAnsi" w:eastAsia="Times New Roman" w:hAnsiTheme="minorHAnsi"/>
                <w:snapToGrid w:val="0"/>
                <w:sz w:val="20"/>
                <w:lang w:eastAsia="en-US"/>
              </w:rPr>
              <w:t>Wong et al., 2003 above)</w:t>
            </w:r>
            <w:r w:rsidRPr="009522FB">
              <w:rPr>
                <w:rFonts w:asciiTheme="minorHAnsi" w:eastAsia="Times New Roman" w:hAnsiTheme="minorHAnsi"/>
                <w:snapToGrid w:val="0"/>
                <w:sz w:val="20"/>
                <w:lang w:val="en-US" w:eastAsia="en-US"/>
              </w:rPr>
              <w:t>,</w:t>
            </w:r>
            <w:r w:rsidRPr="00AD22B4">
              <w:rPr>
                <w:rFonts w:asciiTheme="minorHAnsi" w:eastAsia="Times New Roman" w:hAnsiTheme="minorHAnsi"/>
                <w:snapToGrid w:val="0"/>
                <w:sz w:val="20"/>
                <w:lang w:val="en-US" w:eastAsia="en-US"/>
              </w:rPr>
              <w:t xml:space="preserve"> reduced astrocyte glutamate transporter Glt-1 expression </w:t>
            </w:r>
            <w:r>
              <w:rPr>
                <w:rFonts w:asciiTheme="minorHAnsi" w:eastAsia="Times New Roman" w:hAnsiTheme="minorHAnsi"/>
                <w:snapToGrid w:val="0"/>
                <w:sz w:val="20"/>
                <w:lang w:val="en-US" w:eastAsia="en-US"/>
              </w:rPr>
              <w:t xml:space="preserve">was </w:t>
            </w:r>
            <w:r w:rsidRPr="00AD22B4">
              <w:rPr>
                <w:rFonts w:asciiTheme="minorHAnsi" w:eastAsia="Times New Roman" w:hAnsiTheme="minorHAnsi"/>
                <w:snapToGrid w:val="0"/>
                <w:sz w:val="20"/>
                <w:lang w:val="en-US" w:eastAsia="en-US"/>
              </w:rPr>
              <w:t xml:space="preserve">observed, but </w:t>
            </w:r>
            <w:r>
              <w:rPr>
                <w:rFonts w:asciiTheme="minorHAnsi" w:eastAsia="Times New Roman" w:hAnsiTheme="minorHAnsi"/>
                <w:snapToGrid w:val="0"/>
                <w:sz w:val="20"/>
                <w:lang w:val="en-US" w:eastAsia="en-US"/>
              </w:rPr>
              <w:t xml:space="preserve">this was </w:t>
            </w:r>
            <w:r w:rsidRPr="00AD22B4">
              <w:rPr>
                <w:rFonts w:asciiTheme="minorHAnsi" w:eastAsia="Times New Roman" w:hAnsiTheme="minorHAnsi"/>
                <w:snapToGrid w:val="0"/>
                <w:sz w:val="20"/>
                <w:lang w:val="en-US" w:eastAsia="en-US"/>
              </w:rPr>
              <w:t>not significantly different between the two models.</w:t>
            </w:r>
          </w:p>
          <w:p w14:paraId="176371DF" w14:textId="77777777" w:rsidR="006D4B5A" w:rsidRDefault="006D4B5A" w:rsidP="002709C3">
            <w:pPr>
              <w:spacing w:before="60" w:after="0" w:line="240" w:lineRule="auto"/>
              <w:rPr>
                <w:rFonts w:asciiTheme="minorHAnsi" w:eastAsia="Times New Roman" w:hAnsiTheme="minorHAnsi"/>
                <w:snapToGrid w:val="0"/>
                <w:sz w:val="20"/>
                <w:lang w:val="en-US" w:eastAsia="en-US"/>
              </w:rPr>
            </w:pPr>
            <w:r w:rsidRPr="00AD22B4">
              <w:rPr>
                <w:rFonts w:asciiTheme="minorHAnsi" w:eastAsia="Times New Roman" w:hAnsiTheme="minorHAnsi"/>
                <w:snapToGrid w:val="0"/>
                <w:sz w:val="20"/>
                <w:lang w:val="en-US" w:eastAsia="en-US"/>
              </w:rPr>
              <w:t xml:space="preserve">Rapamycin (3 mg/kg/day, 5 days/week, </w:t>
            </w:r>
            <w:r>
              <w:rPr>
                <w:rFonts w:asciiTheme="minorHAnsi" w:eastAsia="Times New Roman" w:hAnsiTheme="minorHAnsi"/>
                <w:snapToGrid w:val="0"/>
                <w:sz w:val="20"/>
                <w:lang w:val="en-US" w:eastAsia="en-US"/>
              </w:rPr>
              <w:t>route not specified</w:t>
            </w:r>
            <w:r w:rsidRPr="00AD22B4">
              <w:rPr>
                <w:rFonts w:asciiTheme="minorHAnsi" w:eastAsia="Times New Roman" w:hAnsiTheme="minorHAnsi"/>
                <w:snapToGrid w:val="0"/>
                <w:sz w:val="20"/>
                <w:lang w:val="en-US" w:eastAsia="en-US"/>
              </w:rPr>
              <w:t xml:space="preserve">) </w:t>
            </w:r>
            <w:r>
              <w:rPr>
                <w:rFonts w:asciiTheme="minorHAnsi" w:eastAsia="Times New Roman" w:hAnsiTheme="minorHAnsi"/>
                <w:snapToGrid w:val="0"/>
                <w:sz w:val="20"/>
                <w:lang w:val="en-US" w:eastAsia="en-US"/>
              </w:rPr>
              <w:t xml:space="preserve">given </w:t>
            </w:r>
            <w:r w:rsidRPr="00AD22B4">
              <w:rPr>
                <w:rFonts w:asciiTheme="minorHAnsi" w:eastAsia="Times New Roman" w:hAnsiTheme="minorHAnsi"/>
                <w:snapToGrid w:val="0"/>
                <w:sz w:val="20"/>
                <w:lang w:val="en-US" w:eastAsia="en-US"/>
              </w:rPr>
              <w:t>at 2</w:t>
            </w:r>
            <w:r>
              <w:rPr>
                <w:rFonts w:asciiTheme="minorHAnsi" w:eastAsia="Times New Roman" w:hAnsiTheme="minorHAnsi"/>
                <w:snapToGrid w:val="0"/>
                <w:sz w:val="20"/>
                <w:lang w:val="en-US" w:eastAsia="en-US"/>
              </w:rPr>
              <w:t> </w:t>
            </w:r>
            <w:r w:rsidRPr="00AD22B4">
              <w:rPr>
                <w:rFonts w:asciiTheme="minorHAnsi" w:eastAsia="Times New Roman" w:hAnsiTheme="minorHAnsi"/>
                <w:snapToGrid w:val="0"/>
                <w:sz w:val="20"/>
                <w:lang w:val="en-US" w:eastAsia="en-US"/>
              </w:rPr>
              <w:t>weeks of age produced inhibition of seizure number and frequency</w:t>
            </w:r>
            <w:r>
              <w:rPr>
                <w:rFonts w:asciiTheme="minorHAnsi" w:eastAsia="Times New Roman" w:hAnsiTheme="minorHAnsi"/>
                <w:snapToGrid w:val="0"/>
                <w:sz w:val="20"/>
                <w:lang w:val="en-US" w:eastAsia="en-US"/>
              </w:rPr>
              <w:t xml:space="preserve"> </w:t>
            </w:r>
            <w:r w:rsidRPr="00AD22B4">
              <w:rPr>
                <w:rFonts w:asciiTheme="minorHAnsi" w:eastAsia="Times New Roman" w:hAnsiTheme="minorHAnsi"/>
                <w:snapToGrid w:val="0"/>
                <w:sz w:val="20"/>
                <w:lang w:val="en-US" w:eastAsia="en-US"/>
              </w:rPr>
              <w:t>(by</w:t>
            </w:r>
            <w:r>
              <w:rPr>
                <w:rFonts w:asciiTheme="minorHAnsi" w:eastAsia="Times New Roman" w:hAnsiTheme="minorHAnsi"/>
                <w:snapToGrid w:val="0"/>
                <w:sz w:val="20"/>
                <w:lang w:val="en-US" w:eastAsia="en-US"/>
              </w:rPr>
              <w:t> 3 </w:t>
            </w:r>
            <w:r w:rsidRPr="00AD22B4">
              <w:rPr>
                <w:rFonts w:asciiTheme="minorHAnsi" w:eastAsia="Times New Roman" w:hAnsiTheme="minorHAnsi"/>
                <w:snapToGrid w:val="0"/>
                <w:sz w:val="20"/>
                <w:lang w:val="en-US" w:eastAsia="en-US"/>
              </w:rPr>
              <w:t xml:space="preserve">weeks of age), prolonged survival, decreased </w:t>
            </w:r>
            <w:proofErr w:type="spellStart"/>
            <w:r w:rsidRPr="00AD22B4">
              <w:rPr>
                <w:rFonts w:asciiTheme="minorHAnsi" w:eastAsia="Times New Roman" w:hAnsiTheme="minorHAnsi"/>
                <w:snapToGrid w:val="0"/>
                <w:sz w:val="20"/>
                <w:lang w:val="en-US" w:eastAsia="en-US"/>
              </w:rPr>
              <w:t>megencephaly</w:t>
            </w:r>
            <w:proofErr w:type="spellEnd"/>
            <w:r w:rsidRPr="00AD22B4">
              <w:rPr>
                <w:rFonts w:asciiTheme="minorHAnsi" w:eastAsia="Times New Roman" w:hAnsiTheme="minorHAnsi"/>
                <w:snapToGrid w:val="0"/>
                <w:sz w:val="20"/>
                <w:lang w:val="en-US" w:eastAsia="en-US"/>
              </w:rPr>
              <w:t xml:space="preserve"> and</w:t>
            </w:r>
            <w:r>
              <w:rPr>
                <w:rFonts w:asciiTheme="minorHAnsi" w:eastAsia="Times New Roman" w:hAnsiTheme="minorHAnsi"/>
                <w:snapToGrid w:val="0"/>
                <w:sz w:val="20"/>
                <w:lang w:val="en-US" w:eastAsia="en-US"/>
              </w:rPr>
              <w:t xml:space="preserve"> </w:t>
            </w:r>
            <w:r w:rsidRPr="00AD22B4">
              <w:rPr>
                <w:rFonts w:asciiTheme="minorHAnsi" w:eastAsia="Times New Roman" w:hAnsiTheme="minorHAnsi"/>
                <w:snapToGrid w:val="0"/>
                <w:sz w:val="20"/>
                <w:lang w:val="en-US" w:eastAsia="en-US"/>
              </w:rPr>
              <w:t>number/</w:t>
            </w:r>
            <w:r>
              <w:rPr>
                <w:rFonts w:asciiTheme="minorHAnsi" w:eastAsia="Times New Roman" w:hAnsiTheme="minorHAnsi"/>
                <w:snapToGrid w:val="0"/>
                <w:sz w:val="20"/>
                <w:lang w:val="en-US" w:eastAsia="en-US"/>
              </w:rPr>
              <w:t xml:space="preserve"> </w:t>
            </w:r>
            <w:r w:rsidRPr="00AD22B4">
              <w:rPr>
                <w:rFonts w:asciiTheme="minorHAnsi" w:eastAsia="Times New Roman" w:hAnsiTheme="minorHAnsi"/>
                <w:snapToGrid w:val="0"/>
                <w:sz w:val="20"/>
                <w:lang w:val="en-US" w:eastAsia="en-US"/>
              </w:rPr>
              <w:t xml:space="preserve">proliferation of astrocytes and reduced dispersion of the </w:t>
            </w:r>
            <w:r w:rsidRPr="00AD22B4">
              <w:rPr>
                <w:rFonts w:asciiTheme="minorHAnsi" w:eastAsia="Times New Roman" w:hAnsiTheme="minorHAnsi"/>
                <w:snapToGrid w:val="0"/>
                <w:sz w:val="20"/>
                <w:lang w:val="en-US" w:eastAsia="en-US"/>
              </w:rPr>
              <w:lastRenderedPageBreak/>
              <w:t xml:space="preserve">pyramidal cell layer in hippocampus. </w:t>
            </w:r>
            <w:r>
              <w:rPr>
                <w:rFonts w:asciiTheme="minorHAnsi" w:eastAsia="Times New Roman" w:hAnsiTheme="minorHAnsi"/>
                <w:snapToGrid w:val="0"/>
                <w:sz w:val="20"/>
                <w:lang w:val="en-US" w:eastAsia="en-US"/>
              </w:rPr>
              <w:t xml:space="preserve">The </w:t>
            </w:r>
            <w:r w:rsidRPr="00AD22B4">
              <w:rPr>
                <w:rFonts w:asciiTheme="minorHAnsi" w:eastAsia="Times New Roman" w:hAnsiTheme="minorHAnsi"/>
                <w:snapToGrid w:val="0"/>
                <w:sz w:val="20"/>
                <w:lang w:val="en-US" w:eastAsia="en-US"/>
              </w:rPr>
              <w:t xml:space="preserve">increase </w:t>
            </w:r>
            <w:r>
              <w:rPr>
                <w:rFonts w:asciiTheme="minorHAnsi" w:eastAsia="Times New Roman" w:hAnsiTheme="minorHAnsi"/>
                <w:snapToGrid w:val="0"/>
                <w:sz w:val="20"/>
                <w:lang w:val="en-US" w:eastAsia="en-US"/>
              </w:rPr>
              <w:t xml:space="preserve">in </w:t>
            </w:r>
            <w:r w:rsidRPr="00AD22B4">
              <w:rPr>
                <w:rFonts w:asciiTheme="minorHAnsi" w:eastAsia="Times New Roman" w:hAnsiTheme="minorHAnsi"/>
                <w:snapToGrid w:val="0"/>
                <w:sz w:val="20"/>
                <w:lang w:val="en-US" w:eastAsia="en-US"/>
              </w:rPr>
              <w:t>pS6 in Tsc2</w:t>
            </w:r>
            <w:r w:rsidRPr="00AD22B4">
              <w:rPr>
                <w:rFonts w:asciiTheme="minorHAnsi" w:eastAsia="Times New Roman" w:hAnsiTheme="minorHAnsi"/>
                <w:snapToGrid w:val="0"/>
                <w:sz w:val="20"/>
                <w:vertAlign w:val="superscript"/>
                <w:lang w:val="en-US" w:eastAsia="en-US"/>
              </w:rPr>
              <w:t>GFAP</w:t>
            </w:r>
            <w:r w:rsidRPr="00AD22B4">
              <w:rPr>
                <w:rFonts w:asciiTheme="minorHAnsi" w:eastAsia="Times New Roman" w:hAnsiTheme="minorHAnsi"/>
                <w:snapToGrid w:val="0"/>
                <w:sz w:val="20"/>
                <w:lang w:val="en-US" w:eastAsia="en-US"/>
              </w:rPr>
              <w:t xml:space="preserve">CKO mice </w:t>
            </w:r>
            <w:r>
              <w:rPr>
                <w:rFonts w:asciiTheme="minorHAnsi" w:eastAsia="Times New Roman" w:hAnsiTheme="minorHAnsi"/>
                <w:snapToGrid w:val="0"/>
                <w:sz w:val="20"/>
                <w:lang w:val="en-US" w:eastAsia="en-US"/>
              </w:rPr>
              <w:t xml:space="preserve">was also </w:t>
            </w:r>
            <w:r w:rsidRPr="00AD22B4">
              <w:rPr>
                <w:rFonts w:asciiTheme="minorHAnsi" w:eastAsia="Times New Roman" w:hAnsiTheme="minorHAnsi"/>
                <w:snapToGrid w:val="0"/>
                <w:sz w:val="20"/>
                <w:lang w:val="en-US" w:eastAsia="en-US"/>
              </w:rPr>
              <w:t>inhibited</w:t>
            </w:r>
            <w:r>
              <w:rPr>
                <w:rFonts w:asciiTheme="minorHAnsi" w:eastAsia="Times New Roman" w:hAnsiTheme="minorHAnsi"/>
                <w:snapToGrid w:val="0"/>
                <w:sz w:val="20"/>
                <w:lang w:val="en-US" w:eastAsia="en-US"/>
              </w:rPr>
              <w:t xml:space="preserve"> </w:t>
            </w:r>
            <w:r w:rsidRPr="00AD22B4">
              <w:rPr>
                <w:rFonts w:asciiTheme="minorHAnsi" w:eastAsia="Times New Roman" w:hAnsiTheme="minorHAnsi"/>
                <w:snapToGrid w:val="0"/>
                <w:sz w:val="20"/>
                <w:lang w:val="en-US" w:eastAsia="en-US"/>
              </w:rPr>
              <w:t>as in Tsc1</w:t>
            </w:r>
            <w:r w:rsidRPr="00AD22B4">
              <w:rPr>
                <w:rFonts w:asciiTheme="minorHAnsi" w:eastAsia="Times New Roman" w:hAnsiTheme="minorHAnsi"/>
                <w:snapToGrid w:val="0"/>
                <w:sz w:val="20"/>
                <w:vertAlign w:val="superscript"/>
                <w:lang w:val="en-US" w:eastAsia="en-US"/>
              </w:rPr>
              <w:t>GFAP</w:t>
            </w:r>
            <w:r w:rsidRPr="00AD22B4">
              <w:rPr>
                <w:rFonts w:asciiTheme="minorHAnsi" w:eastAsia="Times New Roman" w:hAnsiTheme="minorHAnsi"/>
                <w:snapToGrid w:val="0"/>
                <w:sz w:val="20"/>
                <w:lang w:val="en-US" w:eastAsia="en-US"/>
              </w:rPr>
              <w:t>CKO mice (described above by Zeng et al. 2008).</w:t>
            </w:r>
          </w:p>
          <w:p w14:paraId="6B87388D" w14:textId="7505744E" w:rsidR="006D4B5A" w:rsidRPr="00377BBF" w:rsidRDefault="006D4B5A" w:rsidP="00DD3A0D">
            <w:pPr>
              <w:spacing w:before="60" w:after="0" w:line="240" w:lineRule="auto"/>
              <w:rPr>
                <w:rFonts w:asciiTheme="minorHAnsi" w:eastAsia="Times New Roman" w:hAnsiTheme="minorHAnsi"/>
                <w:snapToGrid w:val="0"/>
                <w:color w:val="004C4A" w:themeColor="accent4" w:themeShade="BF"/>
                <w:sz w:val="20"/>
                <w:lang w:val="en-US" w:eastAsia="en-US"/>
              </w:rPr>
            </w:pPr>
            <w:r w:rsidRPr="00AD22B4">
              <w:rPr>
                <w:rFonts w:asciiTheme="minorHAnsi" w:eastAsia="Times New Roman" w:hAnsiTheme="minorHAnsi"/>
                <w:i/>
                <w:snapToGrid w:val="0"/>
                <w:sz w:val="20"/>
                <w:lang w:val="en-US" w:eastAsia="en-US"/>
              </w:rPr>
              <w:t>Conclusion</w:t>
            </w:r>
            <w:r w:rsidRPr="00AD22B4">
              <w:rPr>
                <w:rFonts w:asciiTheme="minorHAnsi" w:eastAsia="Times New Roman" w:hAnsiTheme="minorHAnsi"/>
                <w:snapToGrid w:val="0"/>
                <w:sz w:val="20"/>
                <w:lang w:val="en-US" w:eastAsia="en-US"/>
              </w:rPr>
              <w:t>.</w:t>
            </w:r>
            <w:r w:rsidRPr="00AD22B4">
              <w:t xml:space="preserve"> </w:t>
            </w:r>
            <w:r w:rsidRPr="00AD22B4">
              <w:rPr>
                <w:rFonts w:asciiTheme="minorHAnsi" w:eastAsia="Times New Roman" w:hAnsiTheme="minorHAnsi"/>
                <w:snapToGrid w:val="0"/>
                <w:sz w:val="20"/>
                <w:lang w:val="en-US" w:eastAsia="en-US"/>
              </w:rPr>
              <w:t>Similar to Tsc1</w:t>
            </w:r>
            <w:r w:rsidRPr="00AD22B4">
              <w:rPr>
                <w:rFonts w:asciiTheme="minorHAnsi" w:eastAsia="Times New Roman" w:hAnsiTheme="minorHAnsi"/>
                <w:snapToGrid w:val="0"/>
                <w:sz w:val="20"/>
                <w:vertAlign w:val="superscript"/>
                <w:lang w:val="en-US" w:eastAsia="en-US"/>
              </w:rPr>
              <w:t>GFAP</w:t>
            </w:r>
            <w:r w:rsidRPr="00AD22B4">
              <w:rPr>
                <w:rFonts w:asciiTheme="minorHAnsi" w:eastAsia="Times New Roman" w:hAnsiTheme="minorHAnsi"/>
                <w:snapToGrid w:val="0"/>
                <w:sz w:val="20"/>
                <w:lang w:val="en-US" w:eastAsia="en-US"/>
              </w:rPr>
              <w:t>CKO mice, Tsc2</w:t>
            </w:r>
            <w:r w:rsidRPr="00AD22B4">
              <w:rPr>
                <w:rFonts w:asciiTheme="minorHAnsi" w:eastAsia="Times New Roman" w:hAnsiTheme="minorHAnsi"/>
                <w:snapToGrid w:val="0"/>
                <w:sz w:val="20"/>
                <w:vertAlign w:val="superscript"/>
                <w:lang w:val="en-US" w:eastAsia="en-US"/>
              </w:rPr>
              <w:t>GFAP</w:t>
            </w:r>
            <w:r w:rsidRPr="00AD22B4">
              <w:rPr>
                <w:rFonts w:asciiTheme="minorHAnsi" w:eastAsia="Times New Roman" w:hAnsiTheme="minorHAnsi"/>
                <w:snapToGrid w:val="0"/>
                <w:sz w:val="20"/>
                <w:lang w:val="en-US" w:eastAsia="en-US"/>
              </w:rPr>
              <w:t xml:space="preserve">CKO mice exhibited epilepsy, premature death </w:t>
            </w:r>
            <w:proofErr w:type="spellStart"/>
            <w:r w:rsidRPr="00AD22B4">
              <w:rPr>
                <w:rFonts w:asciiTheme="minorHAnsi" w:eastAsia="Times New Roman" w:hAnsiTheme="minorHAnsi"/>
                <w:snapToGrid w:val="0"/>
                <w:sz w:val="20"/>
                <w:lang w:val="en-US" w:eastAsia="en-US"/>
              </w:rPr>
              <w:t>megencephaly</w:t>
            </w:r>
            <w:proofErr w:type="spellEnd"/>
            <w:r w:rsidRPr="00AD22B4">
              <w:rPr>
                <w:rFonts w:asciiTheme="minorHAnsi" w:eastAsia="Times New Roman" w:hAnsiTheme="minorHAnsi"/>
                <w:snapToGrid w:val="0"/>
                <w:sz w:val="20"/>
                <w:lang w:val="en-US" w:eastAsia="en-US"/>
              </w:rPr>
              <w:t xml:space="preserve"> and altered histopathologic phenotypes. Seizures of greater severity may be related to the degree to which Tsc1 and Tsc2 inactivation causes abnormal </w:t>
            </w:r>
            <w:proofErr w:type="spellStart"/>
            <w:r w:rsidRPr="00AD22B4">
              <w:rPr>
                <w:rFonts w:asciiTheme="minorHAnsi" w:eastAsia="Times New Roman" w:hAnsiTheme="minorHAnsi"/>
                <w:snapToGrid w:val="0"/>
                <w:sz w:val="20"/>
                <w:lang w:val="en-US" w:eastAsia="en-US"/>
              </w:rPr>
              <w:t>mTOR</w:t>
            </w:r>
            <w:proofErr w:type="spellEnd"/>
            <w:r w:rsidRPr="00AD22B4">
              <w:rPr>
                <w:rFonts w:asciiTheme="minorHAnsi" w:eastAsia="Times New Roman" w:hAnsiTheme="minorHAnsi"/>
                <w:snapToGrid w:val="0"/>
                <w:sz w:val="20"/>
                <w:lang w:val="en-US" w:eastAsia="en-US"/>
              </w:rPr>
              <w:t xml:space="preserve"> activation.</w:t>
            </w:r>
          </w:p>
        </w:tc>
      </w:tr>
      <w:tr w:rsidR="00216A1B" w:rsidRPr="00377BBF" w14:paraId="3FC2510C" w14:textId="77777777" w:rsidTr="002709C3">
        <w:tc>
          <w:tcPr>
            <w:tcW w:w="2660" w:type="dxa"/>
          </w:tcPr>
          <w:p w14:paraId="0F960BAA" w14:textId="18DB7B87" w:rsidR="00216A1B" w:rsidRPr="00CE5C99" w:rsidRDefault="00216A1B" w:rsidP="00CE5C99">
            <w:pPr>
              <w:rPr>
                <w:snapToGrid w:val="0"/>
                <w:sz w:val="20"/>
                <w:szCs w:val="20"/>
                <w:lang w:eastAsia="en-US"/>
              </w:rPr>
            </w:pPr>
            <w:r w:rsidRPr="00CE5C99">
              <w:rPr>
                <w:b/>
                <w:snapToGrid w:val="0"/>
                <w:sz w:val="20"/>
                <w:szCs w:val="20"/>
                <w:lang w:eastAsia="en-US"/>
              </w:rPr>
              <w:lastRenderedPageBreak/>
              <w:t xml:space="preserve">Hartman </w:t>
            </w:r>
            <w:r w:rsidRPr="00CE5C99">
              <w:rPr>
                <w:b/>
                <w:i/>
                <w:snapToGrid w:val="0"/>
                <w:sz w:val="20"/>
                <w:szCs w:val="20"/>
                <w:lang w:eastAsia="en-US"/>
              </w:rPr>
              <w:t>et al</w:t>
            </w:r>
            <w:r w:rsidRPr="00CE5C99">
              <w:rPr>
                <w:b/>
                <w:snapToGrid w:val="0"/>
                <w:sz w:val="20"/>
                <w:szCs w:val="20"/>
                <w:lang w:eastAsia="en-US"/>
              </w:rPr>
              <w:t>., 2012</w:t>
            </w:r>
            <w:r w:rsidR="00DD3A0D">
              <w:rPr>
                <w:b/>
                <w:snapToGrid w:val="0"/>
                <w:sz w:val="20"/>
                <w:szCs w:val="20"/>
                <w:lang w:eastAsia="en-US"/>
              </w:rPr>
              <w:t>;</w:t>
            </w:r>
            <w:r w:rsidR="00105AB5" w:rsidRPr="00CE5C99">
              <w:rPr>
                <w:rStyle w:val="FootnoteReference"/>
                <w:rFonts w:asciiTheme="minorHAnsi" w:eastAsia="Times New Roman" w:hAnsiTheme="minorHAnsi"/>
                <w:b/>
                <w:snapToGrid w:val="0"/>
                <w:sz w:val="20"/>
                <w:szCs w:val="20"/>
                <w:lang w:eastAsia="en-US"/>
              </w:rPr>
              <w:footnoteReference w:id="19"/>
            </w:r>
          </w:p>
          <w:p w14:paraId="0A4A2378" w14:textId="77777777" w:rsidR="00216A1B" w:rsidRPr="00D13AB3" w:rsidRDefault="00216A1B" w:rsidP="00CE5C99">
            <w:pPr>
              <w:rPr>
                <w:snapToGrid w:val="0"/>
                <w:highlight w:val="yellow"/>
                <w:lang w:val="en-US" w:eastAsia="en-US"/>
              </w:rPr>
            </w:pPr>
            <w:r w:rsidRPr="00CE5C99">
              <w:rPr>
                <w:snapToGrid w:val="0"/>
                <w:sz w:val="20"/>
                <w:szCs w:val="20"/>
                <w:lang w:eastAsia="en-US"/>
              </w:rPr>
              <w:t>NIH Swiss mice (wild type)</w:t>
            </w:r>
          </w:p>
        </w:tc>
        <w:tc>
          <w:tcPr>
            <w:tcW w:w="6804" w:type="dxa"/>
          </w:tcPr>
          <w:p w14:paraId="593F7A99" w14:textId="77777777" w:rsidR="00F50ABF" w:rsidRDefault="00216A1B" w:rsidP="002709C3">
            <w:pPr>
              <w:spacing w:before="0" w:after="0" w:line="240" w:lineRule="auto"/>
              <w:rPr>
                <w:rFonts w:asciiTheme="minorHAnsi" w:eastAsia="Times New Roman" w:hAnsiTheme="minorHAnsi"/>
                <w:snapToGrid w:val="0"/>
                <w:sz w:val="20"/>
                <w:lang w:val="en-US" w:eastAsia="en-US"/>
              </w:rPr>
            </w:pPr>
            <w:proofErr w:type="gramStart"/>
            <w:r w:rsidRPr="00D13AB3">
              <w:rPr>
                <w:rFonts w:asciiTheme="minorHAnsi" w:eastAsia="Times New Roman" w:hAnsiTheme="minorHAnsi"/>
                <w:snapToGrid w:val="0"/>
                <w:sz w:val="20"/>
                <w:lang w:eastAsia="en-US"/>
              </w:rPr>
              <w:t>pS6</w:t>
            </w:r>
            <w:proofErr w:type="gramEnd"/>
            <w:r w:rsidRPr="00D13AB3">
              <w:rPr>
                <w:rFonts w:asciiTheme="minorHAnsi" w:eastAsia="Times New Roman" w:hAnsiTheme="minorHAnsi"/>
                <w:snapToGrid w:val="0"/>
                <w:sz w:val="20"/>
                <w:lang w:eastAsia="en-US"/>
              </w:rPr>
              <w:t xml:space="preserve"> was dramatically suppressed at 3 h</w:t>
            </w:r>
            <w:r w:rsidR="00CE5C99">
              <w:rPr>
                <w:rFonts w:asciiTheme="minorHAnsi" w:eastAsia="Times New Roman" w:hAnsiTheme="minorHAnsi"/>
                <w:snapToGrid w:val="0"/>
                <w:sz w:val="20"/>
                <w:lang w:eastAsia="en-US"/>
              </w:rPr>
              <w:t>ours</w:t>
            </w:r>
            <w:r w:rsidRPr="00D13AB3">
              <w:rPr>
                <w:rFonts w:asciiTheme="minorHAnsi" w:eastAsia="Times New Roman" w:hAnsiTheme="minorHAnsi"/>
                <w:snapToGrid w:val="0"/>
                <w:sz w:val="20"/>
                <w:lang w:eastAsia="en-US"/>
              </w:rPr>
              <w:t xml:space="preserve"> and 6 h</w:t>
            </w:r>
            <w:r w:rsidR="00CE5C99">
              <w:rPr>
                <w:rFonts w:asciiTheme="minorHAnsi" w:eastAsia="Times New Roman" w:hAnsiTheme="minorHAnsi"/>
                <w:snapToGrid w:val="0"/>
                <w:sz w:val="20"/>
                <w:lang w:eastAsia="en-US"/>
              </w:rPr>
              <w:t>ours</w:t>
            </w:r>
            <w:r w:rsidRPr="00D13AB3">
              <w:rPr>
                <w:rFonts w:asciiTheme="minorHAnsi" w:eastAsia="Times New Roman" w:hAnsiTheme="minorHAnsi"/>
                <w:snapToGrid w:val="0"/>
                <w:sz w:val="20"/>
                <w:lang w:eastAsia="en-US"/>
              </w:rPr>
              <w:t xml:space="preserve"> after a single dose of rapamycin (4.5 mg/kg, IP)</w:t>
            </w:r>
            <w:r>
              <w:rPr>
                <w:rFonts w:asciiTheme="minorHAnsi" w:eastAsia="Times New Roman" w:hAnsiTheme="minorHAnsi"/>
                <w:snapToGrid w:val="0"/>
                <w:sz w:val="20"/>
                <w:lang w:eastAsia="en-US"/>
              </w:rPr>
              <w:t xml:space="preserve"> in</w:t>
            </w:r>
            <w:r w:rsidR="00F50ABF">
              <w:rPr>
                <w:rFonts w:asciiTheme="minorHAnsi" w:eastAsia="Times New Roman" w:hAnsiTheme="minorHAnsi"/>
                <w:snapToGrid w:val="0"/>
                <w:sz w:val="20"/>
                <w:lang w:eastAsia="en-US"/>
              </w:rPr>
              <w:t xml:space="preserve"> </w:t>
            </w:r>
            <w:r w:rsidRPr="00D13AB3">
              <w:rPr>
                <w:rFonts w:asciiTheme="minorHAnsi" w:eastAsia="Times New Roman" w:hAnsiTheme="minorHAnsi"/>
                <w:snapToGrid w:val="0"/>
                <w:sz w:val="20"/>
                <w:lang w:eastAsia="en-US"/>
              </w:rPr>
              <w:t>both cortex and hippocampus.</w:t>
            </w:r>
            <w:r>
              <w:rPr>
                <w:rFonts w:asciiTheme="minorHAnsi" w:eastAsia="Times New Roman" w:hAnsiTheme="minorHAnsi"/>
                <w:snapToGrid w:val="0"/>
                <w:sz w:val="20"/>
                <w:lang w:val="en-US" w:eastAsia="en-US"/>
              </w:rPr>
              <w:br/>
            </w:r>
            <w:r w:rsidRPr="00D13AB3">
              <w:rPr>
                <w:rFonts w:asciiTheme="minorHAnsi" w:eastAsia="Times New Roman" w:hAnsiTheme="minorHAnsi"/>
                <w:snapToGrid w:val="0"/>
                <w:sz w:val="20"/>
                <w:lang w:val="en-US" w:eastAsia="en-US"/>
              </w:rPr>
              <w:t xml:space="preserve">The only test where acute rapamycin treatment (within 6 h of a single dose of 4.5 mg/kg, IP) protected against seizures </w:t>
            </w:r>
            <w:r w:rsidRPr="00D13AB3">
              <w:rPr>
                <w:rFonts w:asciiTheme="minorHAnsi" w:eastAsia="Times New Roman" w:hAnsiTheme="minorHAnsi"/>
                <w:snapToGrid w:val="0"/>
                <w:sz w:val="20"/>
                <w:lang w:eastAsia="en-US"/>
              </w:rPr>
              <w:t>(slight effect only</w:t>
            </w:r>
            <w:r>
              <w:rPr>
                <w:rFonts w:asciiTheme="minorHAnsi" w:eastAsia="Times New Roman" w:hAnsiTheme="minorHAnsi"/>
                <w:snapToGrid w:val="0"/>
                <w:sz w:val="20"/>
                <w:lang w:eastAsia="en-US"/>
              </w:rPr>
              <w:t>,</w:t>
            </w:r>
            <w:r w:rsidRPr="00D13AB3">
              <w:rPr>
                <w:rFonts w:asciiTheme="minorHAnsi" w:eastAsia="Times New Roman" w:hAnsiTheme="minorHAnsi"/>
                <w:snapToGrid w:val="0"/>
                <w:sz w:val="20"/>
                <w:lang w:eastAsia="en-US"/>
              </w:rPr>
              <w:t xml:space="preserve"> based on</w:t>
            </w:r>
            <w:r w:rsidR="00F50ABF">
              <w:rPr>
                <w:rFonts w:asciiTheme="minorHAnsi" w:eastAsia="Times New Roman" w:hAnsiTheme="minorHAnsi"/>
                <w:snapToGrid w:val="0"/>
                <w:sz w:val="20"/>
                <w:lang w:eastAsia="en-US"/>
              </w:rPr>
              <w:t xml:space="preserve"> </w:t>
            </w:r>
            <w:r>
              <w:rPr>
                <w:rFonts w:asciiTheme="minorHAnsi" w:eastAsia="Times New Roman" w:hAnsiTheme="minorHAnsi"/>
                <w:snapToGrid w:val="0"/>
                <w:sz w:val="20"/>
                <w:lang w:eastAsia="en-US"/>
              </w:rPr>
              <w:t>number</w:t>
            </w:r>
            <w:r w:rsidRPr="00D13AB3">
              <w:rPr>
                <w:rFonts w:asciiTheme="minorHAnsi" w:eastAsia="Times New Roman" w:hAnsiTheme="minorHAnsi"/>
                <w:snapToGrid w:val="0"/>
                <w:sz w:val="20"/>
                <w:lang w:eastAsia="en-US"/>
              </w:rPr>
              <w:t> </w:t>
            </w:r>
            <w:r>
              <w:rPr>
                <w:rFonts w:asciiTheme="minorHAnsi" w:eastAsia="Times New Roman" w:hAnsiTheme="minorHAnsi"/>
                <w:snapToGrid w:val="0"/>
                <w:sz w:val="20"/>
                <w:lang w:eastAsia="en-US"/>
              </w:rPr>
              <w:t xml:space="preserve">of </w:t>
            </w:r>
            <w:r w:rsidRPr="00D13AB3">
              <w:rPr>
                <w:rFonts w:asciiTheme="minorHAnsi" w:eastAsia="Times New Roman" w:hAnsiTheme="minorHAnsi"/>
                <w:snapToGrid w:val="0"/>
                <w:sz w:val="20"/>
                <w:lang w:eastAsia="en-US"/>
              </w:rPr>
              <w:t xml:space="preserve">animals, seizure THLE scores, </w:t>
            </w:r>
            <w:proofErr w:type="gramStart"/>
            <w:r w:rsidRPr="00D13AB3">
              <w:rPr>
                <w:rFonts w:asciiTheme="minorHAnsi" w:eastAsia="Times New Roman" w:hAnsiTheme="minorHAnsi"/>
                <w:snapToGrid w:val="0"/>
                <w:sz w:val="20"/>
                <w:lang w:eastAsia="en-US"/>
              </w:rPr>
              <w:t>seizure</w:t>
            </w:r>
            <w:proofErr w:type="gramEnd"/>
            <w:r w:rsidRPr="00D13AB3">
              <w:rPr>
                <w:rFonts w:asciiTheme="minorHAnsi" w:eastAsia="Times New Roman" w:hAnsiTheme="minorHAnsi"/>
                <w:snapToGrid w:val="0"/>
                <w:sz w:val="20"/>
                <w:lang w:eastAsia="en-US"/>
              </w:rPr>
              <w:t xml:space="preserve"> duration) </w:t>
            </w:r>
            <w:r w:rsidRPr="00D13AB3">
              <w:rPr>
                <w:rFonts w:asciiTheme="minorHAnsi" w:eastAsia="Times New Roman" w:hAnsiTheme="minorHAnsi"/>
                <w:snapToGrid w:val="0"/>
                <w:sz w:val="20"/>
                <w:lang w:val="en-US" w:eastAsia="en-US"/>
              </w:rPr>
              <w:t xml:space="preserve">was in the maximal electroshock threshold (MES-T) against tonic </w:t>
            </w:r>
            <w:proofErr w:type="spellStart"/>
            <w:r w:rsidRPr="00D13AB3">
              <w:rPr>
                <w:rFonts w:asciiTheme="minorHAnsi" w:eastAsia="Times New Roman" w:hAnsiTheme="minorHAnsi"/>
                <w:snapToGrid w:val="0"/>
                <w:sz w:val="20"/>
                <w:lang w:val="en-US" w:eastAsia="en-US"/>
              </w:rPr>
              <w:t>hind</w:t>
            </w:r>
            <w:r w:rsidR="00CE5C99">
              <w:rPr>
                <w:rFonts w:asciiTheme="minorHAnsi" w:eastAsia="Times New Roman" w:hAnsiTheme="minorHAnsi"/>
                <w:snapToGrid w:val="0"/>
                <w:sz w:val="20"/>
                <w:lang w:val="en-US" w:eastAsia="en-US"/>
              </w:rPr>
              <w:t>limb</w:t>
            </w:r>
            <w:proofErr w:type="spellEnd"/>
            <w:r w:rsidR="00CE5C99">
              <w:rPr>
                <w:rFonts w:asciiTheme="minorHAnsi" w:eastAsia="Times New Roman" w:hAnsiTheme="minorHAnsi"/>
                <w:snapToGrid w:val="0"/>
                <w:sz w:val="20"/>
                <w:lang w:val="en-US" w:eastAsia="en-US"/>
              </w:rPr>
              <w:t xml:space="preserve"> extensions. Rapamycin (4.5 to </w:t>
            </w:r>
            <w:r w:rsidRPr="00D13AB3">
              <w:rPr>
                <w:rFonts w:asciiTheme="minorHAnsi" w:eastAsia="Times New Roman" w:hAnsiTheme="minorHAnsi"/>
                <w:snapToGrid w:val="0"/>
                <w:sz w:val="20"/>
                <w:lang w:val="en-US" w:eastAsia="en-US"/>
              </w:rPr>
              <w:t xml:space="preserve">6.0 mg/kg, </w:t>
            </w:r>
            <w:proofErr w:type="gramStart"/>
            <w:r w:rsidRPr="00D13AB3">
              <w:rPr>
                <w:rFonts w:asciiTheme="minorHAnsi" w:eastAsia="Times New Roman" w:hAnsiTheme="minorHAnsi"/>
                <w:snapToGrid w:val="0"/>
                <w:sz w:val="20"/>
                <w:lang w:val="en-US" w:eastAsia="en-US"/>
              </w:rPr>
              <w:t>IP).did not acutely reduce</w:t>
            </w:r>
            <w:proofErr w:type="gramEnd"/>
            <w:r w:rsidRPr="00D13AB3">
              <w:rPr>
                <w:rFonts w:asciiTheme="minorHAnsi" w:eastAsia="Times New Roman" w:hAnsiTheme="minorHAnsi"/>
                <w:snapToGrid w:val="0"/>
                <w:sz w:val="20"/>
                <w:lang w:val="en-US" w:eastAsia="en-US"/>
              </w:rPr>
              <w:t xml:space="preserve"> seizure severity induced by </w:t>
            </w:r>
            <w:proofErr w:type="spellStart"/>
            <w:r w:rsidRPr="00D13AB3">
              <w:rPr>
                <w:rFonts w:asciiTheme="minorHAnsi" w:eastAsia="Times New Roman" w:hAnsiTheme="minorHAnsi"/>
                <w:snapToGrid w:val="0"/>
                <w:sz w:val="20"/>
                <w:lang w:val="en-US" w:eastAsia="en-US"/>
              </w:rPr>
              <w:t>kainic</w:t>
            </w:r>
            <w:proofErr w:type="spellEnd"/>
            <w:r w:rsidRPr="00D13AB3">
              <w:rPr>
                <w:rFonts w:asciiTheme="minorHAnsi" w:eastAsia="Times New Roman" w:hAnsiTheme="minorHAnsi"/>
                <w:snapToGrid w:val="0"/>
                <w:sz w:val="20"/>
                <w:lang w:val="en-US" w:eastAsia="en-US"/>
              </w:rPr>
              <w:t xml:space="preserve"> acid (glutamatergic agonist), </w:t>
            </w:r>
            <w:proofErr w:type="spellStart"/>
            <w:r w:rsidRPr="00D13AB3">
              <w:rPr>
                <w:rFonts w:asciiTheme="minorHAnsi" w:eastAsia="Times New Roman" w:hAnsiTheme="minorHAnsi"/>
                <w:snapToGrid w:val="0"/>
                <w:sz w:val="20"/>
                <w:lang w:val="en-US" w:eastAsia="en-US"/>
              </w:rPr>
              <w:t>pentylenetetrazol</w:t>
            </w:r>
            <w:proofErr w:type="spellEnd"/>
            <w:r>
              <w:rPr>
                <w:rFonts w:asciiTheme="minorHAnsi" w:eastAsia="Times New Roman" w:hAnsiTheme="minorHAnsi"/>
                <w:snapToGrid w:val="0"/>
                <w:sz w:val="20"/>
                <w:lang w:val="en-US" w:eastAsia="en-US"/>
              </w:rPr>
              <w:t xml:space="preserve"> </w:t>
            </w:r>
            <w:r w:rsidRPr="00D13AB3">
              <w:rPr>
                <w:rFonts w:asciiTheme="minorHAnsi" w:eastAsia="Times New Roman" w:hAnsiTheme="minorHAnsi"/>
                <w:snapToGrid w:val="0"/>
                <w:sz w:val="20"/>
                <w:lang w:val="en-US" w:eastAsia="en-US"/>
              </w:rPr>
              <w:t>(GABAergic</w:t>
            </w:r>
            <w:r>
              <w:rPr>
                <w:rFonts w:asciiTheme="minorHAnsi" w:eastAsia="Times New Roman" w:hAnsiTheme="minorHAnsi"/>
                <w:snapToGrid w:val="0"/>
                <w:sz w:val="20"/>
                <w:lang w:val="en-US" w:eastAsia="en-US"/>
              </w:rPr>
              <w:t xml:space="preserve"> </w:t>
            </w:r>
            <w:r w:rsidRPr="00D13AB3">
              <w:rPr>
                <w:rFonts w:asciiTheme="minorHAnsi" w:eastAsia="Times New Roman" w:hAnsiTheme="minorHAnsi"/>
                <w:snapToGrid w:val="0"/>
                <w:sz w:val="20"/>
                <w:lang w:val="en-US" w:eastAsia="en-US"/>
              </w:rPr>
              <w:t>antagonist) or</w:t>
            </w:r>
            <w:r w:rsidR="00F50ABF">
              <w:rPr>
                <w:rFonts w:asciiTheme="minorHAnsi" w:eastAsia="Times New Roman" w:hAnsiTheme="minorHAnsi"/>
                <w:snapToGrid w:val="0"/>
                <w:sz w:val="20"/>
                <w:lang w:val="en-US" w:eastAsia="en-US"/>
              </w:rPr>
              <w:t xml:space="preserve"> </w:t>
            </w:r>
            <w:r w:rsidRPr="00D13AB3">
              <w:rPr>
                <w:rFonts w:asciiTheme="minorHAnsi" w:eastAsia="Times New Roman" w:hAnsiTheme="minorHAnsi"/>
                <w:snapToGrid w:val="0"/>
                <w:sz w:val="20"/>
                <w:lang w:val="en-US" w:eastAsia="en-US"/>
              </w:rPr>
              <w:t>6 Hz corneal electrical stimulation</w:t>
            </w:r>
            <w:r w:rsidR="00F50ABF">
              <w:rPr>
                <w:rFonts w:asciiTheme="minorHAnsi" w:eastAsia="Times New Roman" w:hAnsiTheme="minorHAnsi"/>
                <w:snapToGrid w:val="0"/>
                <w:sz w:val="20"/>
                <w:lang w:val="en-US" w:eastAsia="en-US"/>
              </w:rPr>
              <w:t>.</w:t>
            </w:r>
          </w:p>
          <w:p w14:paraId="734F2EC6" w14:textId="77777777" w:rsidR="00216A1B" w:rsidRPr="00D13AB3" w:rsidRDefault="00216A1B" w:rsidP="002709C3">
            <w:pPr>
              <w:spacing w:line="240" w:lineRule="auto"/>
              <w:rPr>
                <w:rFonts w:asciiTheme="minorHAnsi" w:eastAsia="Times New Roman" w:hAnsiTheme="minorHAnsi"/>
                <w:snapToGrid w:val="0"/>
                <w:sz w:val="20"/>
                <w:lang w:val="en-US" w:eastAsia="en-US"/>
              </w:rPr>
            </w:pPr>
            <w:r w:rsidRPr="00D13AB3">
              <w:rPr>
                <w:rFonts w:asciiTheme="minorHAnsi" w:eastAsia="Times New Roman" w:hAnsiTheme="minorHAnsi"/>
                <w:i/>
                <w:snapToGrid w:val="0"/>
                <w:sz w:val="20"/>
                <w:lang w:val="en-US" w:eastAsia="en-US"/>
              </w:rPr>
              <w:t xml:space="preserve">Conclusion. </w:t>
            </w:r>
            <w:r w:rsidRPr="00D13AB3">
              <w:rPr>
                <w:rFonts w:asciiTheme="minorHAnsi" w:eastAsia="Times New Roman" w:hAnsiTheme="minorHAnsi"/>
                <w:snapToGrid w:val="0"/>
                <w:sz w:val="20"/>
                <w:lang w:val="en-US" w:eastAsia="en-US"/>
              </w:rPr>
              <w:t xml:space="preserve">Limited </w:t>
            </w:r>
            <w:proofErr w:type="spellStart"/>
            <w:r w:rsidRPr="00D13AB3">
              <w:rPr>
                <w:rFonts w:asciiTheme="minorHAnsi" w:eastAsia="Times New Roman" w:hAnsiTheme="minorHAnsi"/>
                <w:snapToGrid w:val="0"/>
                <w:sz w:val="20"/>
                <w:lang w:val="en-US" w:eastAsia="en-US"/>
              </w:rPr>
              <w:t>antiseizure</w:t>
            </w:r>
            <w:proofErr w:type="spellEnd"/>
            <w:r w:rsidRPr="00D13AB3">
              <w:rPr>
                <w:rFonts w:asciiTheme="minorHAnsi" w:eastAsia="Times New Roman" w:hAnsiTheme="minorHAnsi"/>
                <w:snapToGrid w:val="0"/>
                <w:sz w:val="20"/>
                <w:lang w:val="en-US" w:eastAsia="en-US"/>
              </w:rPr>
              <w:t xml:space="preserve"> effect of rapamycin observed under acute dosing conditions in wild type animals.</w:t>
            </w:r>
          </w:p>
        </w:tc>
      </w:tr>
      <w:tr w:rsidR="006D4B5A" w:rsidRPr="00377BBF" w14:paraId="04CE9A88" w14:textId="77777777" w:rsidTr="00216A1B">
        <w:tc>
          <w:tcPr>
            <w:tcW w:w="2660" w:type="dxa"/>
          </w:tcPr>
          <w:p w14:paraId="1CAC2196" w14:textId="5BA4FE2B" w:rsidR="006D4B5A" w:rsidRPr="007A1387" w:rsidRDefault="006D4B5A" w:rsidP="002709C3">
            <w:pPr>
              <w:spacing w:line="240" w:lineRule="auto"/>
              <w:rPr>
                <w:rFonts w:asciiTheme="minorHAnsi" w:eastAsia="Times New Roman" w:hAnsiTheme="minorHAnsi"/>
                <w:b/>
                <w:snapToGrid w:val="0"/>
                <w:sz w:val="20"/>
                <w:lang w:eastAsia="en-US"/>
              </w:rPr>
            </w:pPr>
            <w:r w:rsidRPr="007A1387">
              <w:rPr>
                <w:rFonts w:asciiTheme="minorHAnsi" w:eastAsia="Times New Roman" w:hAnsiTheme="minorHAnsi"/>
                <w:b/>
                <w:snapToGrid w:val="0"/>
                <w:sz w:val="20"/>
                <w:lang w:eastAsia="en-US"/>
              </w:rPr>
              <w:t xml:space="preserve">Way </w:t>
            </w:r>
            <w:r w:rsidRPr="007A1387">
              <w:rPr>
                <w:rFonts w:asciiTheme="minorHAnsi" w:eastAsia="Times New Roman" w:hAnsiTheme="minorHAnsi"/>
                <w:b/>
                <w:i/>
                <w:snapToGrid w:val="0"/>
                <w:sz w:val="20"/>
                <w:lang w:eastAsia="en-US"/>
              </w:rPr>
              <w:t>et al</w:t>
            </w:r>
            <w:r w:rsidR="00216A1B">
              <w:rPr>
                <w:rFonts w:asciiTheme="minorHAnsi" w:eastAsia="Times New Roman" w:hAnsiTheme="minorHAnsi"/>
                <w:b/>
                <w:snapToGrid w:val="0"/>
                <w:sz w:val="20"/>
                <w:lang w:eastAsia="en-US"/>
              </w:rPr>
              <w:t xml:space="preserve">., </w:t>
            </w:r>
            <w:r w:rsidRPr="007A1387">
              <w:rPr>
                <w:rFonts w:asciiTheme="minorHAnsi" w:eastAsia="Times New Roman" w:hAnsiTheme="minorHAnsi"/>
                <w:b/>
                <w:snapToGrid w:val="0"/>
                <w:sz w:val="20"/>
                <w:lang w:eastAsia="en-US"/>
              </w:rPr>
              <w:t>2009</w:t>
            </w:r>
            <w:r w:rsidR="00DD3A0D">
              <w:rPr>
                <w:rFonts w:asciiTheme="minorHAnsi" w:eastAsia="Times New Roman" w:hAnsiTheme="minorHAnsi"/>
                <w:b/>
                <w:snapToGrid w:val="0"/>
                <w:sz w:val="20"/>
                <w:lang w:eastAsia="en-US"/>
              </w:rPr>
              <w:t>;</w:t>
            </w:r>
            <w:r w:rsidR="001222AB">
              <w:rPr>
                <w:rStyle w:val="FootnoteReference"/>
                <w:rFonts w:asciiTheme="minorHAnsi" w:eastAsia="Times New Roman" w:hAnsiTheme="minorHAnsi"/>
                <w:b/>
                <w:snapToGrid w:val="0"/>
                <w:sz w:val="20"/>
                <w:lang w:eastAsia="en-US"/>
              </w:rPr>
              <w:footnoteReference w:id="20"/>
            </w:r>
          </w:p>
          <w:p w14:paraId="1291445F" w14:textId="77777777" w:rsidR="006D4B5A" w:rsidRPr="00216A1B" w:rsidRDefault="006D4B5A" w:rsidP="00216A1B">
            <w:pPr>
              <w:spacing w:before="0" w:after="0" w:line="240" w:lineRule="auto"/>
              <w:rPr>
                <w:rFonts w:asciiTheme="minorHAnsi" w:eastAsiaTheme="minorHAnsi" w:hAnsiTheme="minorHAnsi" w:cs="AdvPS6EC5"/>
                <w:i/>
                <w:sz w:val="20"/>
                <w:lang w:eastAsia="en-US"/>
              </w:rPr>
            </w:pPr>
            <w:r w:rsidRPr="007A1387">
              <w:rPr>
                <w:rFonts w:asciiTheme="minorHAnsi" w:eastAsiaTheme="minorHAnsi" w:hAnsiTheme="minorHAnsi" w:cs="AdvPS6EC5"/>
                <w:i/>
                <w:sz w:val="20"/>
                <w:lang w:eastAsia="en-US"/>
              </w:rPr>
              <w:t>Conditional knockout (CKO)</w:t>
            </w:r>
            <w:r w:rsidR="00F50ABF">
              <w:rPr>
                <w:rFonts w:asciiTheme="minorHAnsi" w:eastAsiaTheme="minorHAnsi" w:hAnsiTheme="minorHAnsi" w:cs="AdvPS6EC5"/>
                <w:i/>
                <w:sz w:val="20"/>
                <w:lang w:eastAsia="en-US"/>
              </w:rPr>
              <w:t xml:space="preserve"> </w:t>
            </w:r>
            <w:r w:rsidRPr="007A1387">
              <w:rPr>
                <w:rFonts w:asciiTheme="minorHAnsi" w:eastAsiaTheme="minorHAnsi" w:hAnsiTheme="minorHAnsi" w:cs="AdvPS6EC5"/>
                <w:i/>
                <w:sz w:val="20"/>
                <w:lang w:eastAsia="en-US"/>
              </w:rPr>
              <w:t>mouse model of TSC2</w:t>
            </w:r>
            <w:r w:rsidR="00216A1B">
              <w:rPr>
                <w:rFonts w:asciiTheme="minorHAnsi" w:eastAsiaTheme="minorHAnsi" w:hAnsiTheme="minorHAnsi" w:cs="AdvPS6EC5"/>
                <w:i/>
                <w:sz w:val="20"/>
                <w:lang w:eastAsia="en-US"/>
              </w:rPr>
              <w:t xml:space="preserve"> </w:t>
            </w:r>
            <w:r w:rsidRPr="007A1387">
              <w:rPr>
                <w:rFonts w:asciiTheme="minorHAnsi" w:eastAsia="Times New Roman" w:hAnsiTheme="minorHAnsi"/>
                <w:snapToGrid w:val="0"/>
                <w:sz w:val="20"/>
                <w:lang w:eastAsia="en-US"/>
              </w:rPr>
              <w:t xml:space="preserve">Homozygous deletion of </w:t>
            </w:r>
            <w:r w:rsidRPr="007A1387">
              <w:rPr>
                <w:rFonts w:asciiTheme="minorHAnsi" w:eastAsia="Times New Roman" w:hAnsiTheme="minorHAnsi"/>
                <w:i/>
                <w:iCs/>
                <w:snapToGrid w:val="0"/>
                <w:sz w:val="20"/>
                <w:lang w:eastAsia="en-US"/>
              </w:rPr>
              <w:t xml:space="preserve">TSC2 </w:t>
            </w:r>
            <w:r w:rsidR="00216A1B">
              <w:rPr>
                <w:rFonts w:asciiTheme="minorHAnsi" w:eastAsia="Times New Roman" w:hAnsiTheme="minorHAnsi"/>
                <w:snapToGrid w:val="0"/>
                <w:sz w:val="20"/>
                <w:lang w:eastAsia="en-US"/>
              </w:rPr>
              <w:t xml:space="preserve">in radial glial </w:t>
            </w:r>
            <w:r w:rsidRPr="007A1387">
              <w:rPr>
                <w:rFonts w:asciiTheme="minorHAnsi" w:eastAsia="Times New Roman" w:hAnsiTheme="minorHAnsi"/>
                <w:snapToGrid w:val="0"/>
                <w:sz w:val="20"/>
                <w:lang w:eastAsia="en-US"/>
              </w:rPr>
              <w:t xml:space="preserve">(and their neuronal and glial progeny; </w:t>
            </w:r>
            <w:proofErr w:type="spellStart"/>
            <w:r w:rsidRPr="007A1387">
              <w:rPr>
                <w:rFonts w:asciiTheme="minorHAnsi" w:eastAsia="Times New Roman" w:hAnsiTheme="minorHAnsi"/>
                <w:snapToGrid w:val="0"/>
                <w:sz w:val="20"/>
                <w:lang w:eastAsia="en-US"/>
              </w:rPr>
              <w:t>hGFAP</w:t>
            </w:r>
            <w:proofErr w:type="spellEnd"/>
            <w:r w:rsidRPr="007A1387">
              <w:rPr>
                <w:rFonts w:asciiTheme="minorHAnsi" w:eastAsia="Times New Roman" w:hAnsiTheme="minorHAnsi"/>
                <w:snapToGrid w:val="0"/>
                <w:sz w:val="20"/>
                <w:lang w:eastAsia="en-US"/>
              </w:rPr>
              <w:t xml:space="preserve"> promoter to drive </w:t>
            </w:r>
            <w:proofErr w:type="spellStart"/>
            <w:r w:rsidRPr="007A1387">
              <w:rPr>
                <w:rFonts w:asciiTheme="minorHAnsi" w:eastAsia="Times New Roman" w:hAnsiTheme="minorHAnsi"/>
                <w:snapToGrid w:val="0"/>
                <w:sz w:val="20"/>
                <w:lang w:eastAsia="en-US"/>
              </w:rPr>
              <w:t>Cre</w:t>
            </w:r>
            <w:proofErr w:type="spellEnd"/>
            <w:r w:rsidRPr="007A1387">
              <w:rPr>
                <w:rFonts w:asciiTheme="minorHAnsi" w:eastAsia="Times New Roman" w:hAnsiTheme="minorHAnsi"/>
                <w:snapToGrid w:val="0"/>
                <w:sz w:val="20"/>
                <w:lang w:eastAsia="en-US"/>
              </w:rPr>
              <w:t> recombinase)</w:t>
            </w:r>
          </w:p>
        </w:tc>
        <w:tc>
          <w:tcPr>
            <w:tcW w:w="6804" w:type="dxa"/>
          </w:tcPr>
          <w:p w14:paraId="69F8B1EC" w14:textId="77777777" w:rsidR="006D4B5A" w:rsidRPr="007A1387" w:rsidRDefault="00CE5C99" w:rsidP="002709C3">
            <w:pPr>
              <w:spacing w:after="0" w:line="240" w:lineRule="auto"/>
              <w:rPr>
                <w:rFonts w:asciiTheme="minorHAnsi" w:eastAsia="Times New Roman" w:hAnsiTheme="minorHAnsi"/>
                <w:snapToGrid w:val="0"/>
                <w:sz w:val="20"/>
                <w:lang w:val="en-US" w:eastAsia="en-US"/>
              </w:rPr>
            </w:pPr>
            <w:r w:rsidRPr="007A1387">
              <w:rPr>
                <w:rFonts w:asciiTheme="minorHAnsi" w:eastAsia="Times New Roman" w:hAnsiTheme="minorHAnsi"/>
                <w:snapToGrid w:val="0"/>
                <w:sz w:val="20"/>
                <w:lang w:eastAsia="en-US"/>
              </w:rPr>
              <w:t>TSC2</w:t>
            </w:r>
            <w:r w:rsidR="006D4B5A" w:rsidRPr="007A1387">
              <w:rPr>
                <w:rFonts w:asciiTheme="minorHAnsi" w:eastAsia="Times New Roman" w:hAnsiTheme="minorHAnsi"/>
                <w:snapToGrid w:val="0"/>
                <w:sz w:val="20"/>
                <w:lang w:eastAsia="en-US"/>
              </w:rPr>
              <w:t xml:space="preserve"> gene deleted from radial glial progenitor cells in the developing cerebral cortex and hippocampus. Seizure</w:t>
            </w:r>
            <w:r>
              <w:rPr>
                <w:rFonts w:asciiTheme="minorHAnsi" w:eastAsia="Times New Roman" w:hAnsiTheme="minorHAnsi"/>
                <w:snapToGrid w:val="0"/>
                <w:sz w:val="20"/>
                <w:lang w:eastAsia="en-US"/>
              </w:rPr>
              <w:t xml:space="preserve">s and early postnatal death </w:t>
            </w:r>
            <w:r>
              <w:rPr>
                <w:rFonts w:asciiTheme="minorHAnsi" w:eastAsia="Times New Roman" w:hAnsiTheme="minorHAnsi"/>
                <w:snapToGrid w:val="0"/>
                <w:sz w:val="20"/>
                <w:lang w:eastAsia="en-US"/>
              </w:rPr>
              <w:br/>
              <w:t xml:space="preserve">(3 to </w:t>
            </w:r>
            <w:r w:rsidR="006D4B5A" w:rsidRPr="007A1387">
              <w:rPr>
                <w:rFonts w:asciiTheme="minorHAnsi" w:eastAsia="Times New Roman" w:hAnsiTheme="minorHAnsi"/>
                <w:snapToGrid w:val="0"/>
                <w:sz w:val="20"/>
                <w:lang w:eastAsia="en-US"/>
              </w:rPr>
              <w:t>4 weeks) observed in mice. Mutants presented with brain enlargement, ectopic cells, myelination deficits and widespread neuropathological features throughout the entire cerebral cortex, such as c</w:t>
            </w:r>
            <w:r>
              <w:rPr>
                <w:rFonts w:asciiTheme="minorHAnsi" w:eastAsia="Times New Roman" w:hAnsiTheme="minorHAnsi"/>
                <w:snapToGrid w:val="0"/>
                <w:sz w:val="20"/>
                <w:lang w:eastAsia="en-US"/>
              </w:rPr>
              <w:t xml:space="preserve">ortical thickening and enlarged </w:t>
            </w:r>
            <w:r w:rsidR="006D4B5A" w:rsidRPr="007A1387">
              <w:rPr>
                <w:rFonts w:asciiTheme="minorHAnsi" w:eastAsia="Times New Roman" w:hAnsiTheme="minorHAnsi"/>
                <w:snapToGrid w:val="0"/>
                <w:sz w:val="20"/>
                <w:lang w:eastAsia="en-US"/>
              </w:rPr>
              <w:t xml:space="preserve">cells, </w:t>
            </w:r>
            <w:proofErr w:type="spellStart"/>
            <w:r w:rsidR="006D4B5A" w:rsidRPr="007A1387">
              <w:rPr>
                <w:rFonts w:asciiTheme="minorHAnsi" w:eastAsia="Times New Roman" w:hAnsiTheme="minorHAnsi"/>
                <w:snapToGrid w:val="0"/>
                <w:sz w:val="20"/>
                <w:lang w:eastAsia="en-US"/>
              </w:rPr>
              <w:t>astrogliosis</w:t>
            </w:r>
            <w:proofErr w:type="spellEnd"/>
            <w:r w:rsidR="006D4B5A" w:rsidRPr="007A1387">
              <w:rPr>
                <w:rFonts w:asciiTheme="minorHAnsi" w:eastAsia="Times New Roman" w:hAnsiTheme="minorHAnsi"/>
                <w:snapToGrid w:val="0"/>
                <w:sz w:val="20"/>
                <w:lang w:eastAsia="en-US"/>
              </w:rPr>
              <w:t xml:space="preserve"> and lamination defects (features associated with cortical tubers). </w:t>
            </w:r>
            <w:proofErr w:type="spellStart"/>
            <w:proofErr w:type="gramStart"/>
            <w:r w:rsidR="006D4B5A" w:rsidRPr="007A1387">
              <w:rPr>
                <w:rFonts w:asciiTheme="minorHAnsi" w:eastAsia="Times New Roman" w:hAnsiTheme="minorHAnsi"/>
                <w:snapToGrid w:val="0"/>
                <w:sz w:val="20"/>
                <w:lang w:eastAsia="en-US"/>
              </w:rPr>
              <w:t>mTOR</w:t>
            </w:r>
            <w:proofErr w:type="spellEnd"/>
            <w:proofErr w:type="gramEnd"/>
            <w:r w:rsidR="006D4B5A" w:rsidRPr="007A1387">
              <w:rPr>
                <w:rFonts w:asciiTheme="minorHAnsi" w:eastAsia="Times New Roman" w:hAnsiTheme="minorHAnsi"/>
                <w:snapToGrid w:val="0"/>
                <w:sz w:val="20"/>
                <w:lang w:eastAsia="en-US"/>
              </w:rPr>
              <w:t xml:space="preserve"> activation was demonstrated by increased pS6 levels in brain lysates and tissue sections.</w:t>
            </w:r>
          </w:p>
        </w:tc>
      </w:tr>
      <w:tr w:rsidR="006D4B5A" w:rsidRPr="00377BBF" w14:paraId="52D457DB" w14:textId="77777777" w:rsidTr="00216A1B">
        <w:tc>
          <w:tcPr>
            <w:tcW w:w="2660" w:type="dxa"/>
          </w:tcPr>
          <w:p w14:paraId="050B0730" w14:textId="63B79D5F" w:rsidR="006D4B5A" w:rsidRPr="00CE5C99" w:rsidRDefault="006D4B5A" w:rsidP="00CE5C99">
            <w:pPr>
              <w:rPr>
                <w:snapToGrid w:val="0"/>
                <w:sz w:val="20"/>
                <w:szCs w:val="20"/>
                <w:lang w:eastAsia="en-US"/>
              </w:rPr>
            </w:pPr>
            <w:r w:rsidRPr="00CE5C99">
              <w:rPr>
                <w:b/>
                <w:snapToGrid w:val="0"/>
                <w:sz w:val="20"/>
                <w:szCs w:val="20"/>
                <w:lang w:eastAsia="en-US"/>
              </w:rPr>
              <w:t xml:space="preserve">Way </w:t>
            </w:r>
            <w:r w:rsidRPr="00CE5C99">
              <w:rPr>
                <w:b/>
                <w:i/>
                <w:snapToGrid w:val="0"/>
                <w:sz w:val="20"/>
                <w:szCs w:val="20"/>
                <w:lang w:eastAsia="en-US"/>
              </w:rPr>
              <w:t>et al</w:t>
            </w:r>
            <w:r w:rsidR="00216A1B" w:rsidRPr="00CE5C99">
              <w:rPr>
                <w:b/>
                <w:snapToGrid w:val="0"/>
                <w:sz w:val="20"/>
                <w:szCs w:val="20"/>
                <w:lang w:eastAsia="en-US"/>
              </w:rPr>
              <w:t xml:space="preserve">., </w:t>
            </w:r>
            <w:r w:rsidRPr="00CE5C99">
              <w:rPr>
                <w:b/>
                <w:snapToGrid w:val="0"/>
                <w:sz w:val="20"/>
                <w:szCs w:val="20"/>
                <w:lang w:eastAsia="en-US"/>
              </w:rPr>
              <w:t>2012</w:t>
            </w:r>
            <w:r w:rsidR="00DD3A0D">
              <w:rPr>
                <w:b/>
                <w:snapToGrid w:val="0"/>
                <w:sz w:val="20"/>
                <w:szCs w:val="20"/>
                <w:lang w:eastAsia="en-US"/>
              </w:rPr>
              <w:t>;</w:t>
            </w:r>
            <w:r w:rsidR="001222AB" w:rsidRPr="00CE5C99">
              <w:rPr>
                <w:rStyle w:val="FootnoteReference"/>
                <w:rFonts w:asciiTheme="minorHAnsi" w:eastAsia="Times New Roman" w:hAnsiTheme="minorHAnsi"/>
                <w:b/>
                <w:snapToGrid w:val="0"/>
                <w:sz w:val="20"/>
                <w:szCs w:val="20"/>
                <w:lang w:eastAsia="en-US"/>
              </w:rPr>
              <w:footnoteReference w:id="21"/>
            </w:r>
          </w:p>
          <w:p w14:paraId="131F5D42" w14:textId="77777777" w:rsidR="006D4B5A" w:rsidRPr="00CE5C99" w:rsidRDefault="00105AB5" w:rsidP="00CE5C99">
            <w:pPr>
              <w:rPr>
                <w:rFonts w:eastAsiaTheme="minorHAnsi" w:cs="AdvPS6EC5"/>
                <w:i/>
                <w:sz w:val="20"/>
                <w:szCs w:val="20"/>
                <w:lang w:eastAsia="en-US"/>
              </w:rPr>
            </w:pPr>
            <w:r w:rsidRPr="00CE5C99">
              <w:rPr>
                <w:rFonts w:eastAsiaTheme="minorHAnsi" w:cs="AdvPS6EC5"/>
                <w:i/>
                <w:sz w:val="20"/>
                <w:szCs w:val="20"/>
                <w:lang w:eastAsia="en-US"/>
              </w:rPr>
              <w:t xml:space="preserve">Tsc2-hGFAP </w:t>
            </w:r>
            <w:r w:rsidR="00216A1B" w:rsidRPr="00CE5C99">
              <w:rPr>
                <w:rFonts w:eastAsiaTheme="minorHAnsi" w:cs="AdvPS6EC5"/>
                <w:i/>
                <w:sz w:val="20"/>
                <w:szCs w:val="20"/>
                <w:lang w:eastAsia="en-US"/>
              </w:rPr>
              <w:t xml:space="preserve">neuroglial mouse </w:t>
            </w:r>
            <w:r w:rsidR="006D4B5A" w:rsidRPr="00CE5C99">
              <w:rPr>
                <w:rFonts w:eastAsiaTheme="minorHAnsi" w:cs="AdvPS6EC5"/>
                <w:i/>
                <w:sz w:val="20"/>
                <w:szCs w:val="20"/>
                <w:lang w:eastAsia="en-US"/>
              </w:rPr>
              <w:t>model of TSC</w:t>
            </w:r>
          </w:p>
          <w:p w14:paraId="354975E2" w14:textId="77777777" w:rsidR="006D4B5A" w:rsidRPr="00216A1B" w:rsidRDefault="006D4B5A" w:rsidP="00CE5C99">
            <w:pPr>
              <w:rPr>
                <w:rFonts w:eastAsiaTheme="minorHAnsi" w:cs="AdvPS7B6C"/>
                <w:color w:val="231F20"/>
                <w:lang w:eastAsia="en-US"/>
              </w:rPr>
            </w:pPr>
            <w:r w:rsidRPr="00CE5C99">
              <w:rPr>
                <w:rFonts w:eastAsiaTheme="minorHAnsi" w:cs="AdvPS7B6C"/>
                <w:color w:val="231F20"/>
                <w:sz w:val="20"/>
                <w:szCs w:val="20"/>
                <w:lang w:eastAsia="en-US"/>
              </w:rPr>
              <w:t xml:space="preserve">Loss of Tsc2 in radial glial progenitor cells results in </w:t>
            </w:r>
            <w:r w:rsidR="00216A1B" w:rsidRPr="00CE5C99">
              <w:rPr>
                <w:rFonts w:eastAsiaTheme="minorHAnsi" w:cs="AdvPS7B6C"/>
                <w:color w:val="231F20"/>
                <w:sz w:val="20"/>
                <w:szCs w:val="20"/>
                <w:lang w:eastAsia="en-US"/>
              </w:rPr>
              <w:t xml:space="preserve">brain manifestations </w:t>
            </w:r>
            <w:r w:rsidRPr="00CE5C99">
              <w:rPr>
                <w:rFonts w:eastAsiaTheme="minorHAnsi" w:cs="AdvPS7B6C"/>
                <w:color w:val="231F20"/>
                <w:sz w:val="20"/>
                <w:szCs w:val="20"/>
                <w:lang w:eastAsia="en-US"/>
              </w:rPr>
              <w:t>of TSC.</w:t>
            </w:r>
          </w:p>
        </w:tc>
        <w:tc>
          <w:tcPr>
            <w:tcW w:w="6804" w:type="dxa"/>
          </w:tcPr>
          <w:p w14:paraId="5E3C2ED3" w14:textId="77777777" w:rsidR="00216A1B" w:rsidRPr="00CE5C99" w:rsidRDefault="00CE5C99" w:rsidP="00CE5C99">
            <w:pPr>
              <w:rPr>
                <w:rFonts w:asciiTheme="minorHAnsi" w:eastAsia="Times New Roman" w:hAnsiTheme="minorHAnsi"/>
                <w:snapToGrid w:val="0"/>
                <w:color w:val="004C4A" w:themeColor="accent4" w:themeShade="BF"/>
                <w:sz w:val="20"/>
                <w:szCs w:val="20"/>
                <w:lang w:val="en-US" w:eastAsia="en-US"/>
              </w:rPr>
            </w:pPr>
            <w:r w:rsidRPr="00CE5C99">
              <w:rPr>
                <w:sz w:val="20"/>
                <w:szCs w:val="20"/>
                <w:lang w:eastAsia="en-US"/>
              </w:rPr>
              <w:t>TSC2</w:t>
            </w:r>
            <w:r w:rsidR="006D4B5A" w:rsidRPr="00CE5C99">
              <w:rPr>
                <w:sz w:val="20"/>
                <w:szCs w:val="20"/>
                <w:lang w:eastAsia="en-US"/>
              </w:rPr>
              <w:t xml:space="preserve">-hGFAP animals typically show cortical and cellular hypertrophy, heterotopias, defects in lamination and myelination, </w:t>
            </w:r>
            <w:proofErr w:type="spellStart"/>
            <w:r w:rsidR="006D4B5A" w:rsidRPr="00CE5C99">
              <w:rPr>
                <w:sz w:val="20"/>
                <w:szCs w:val="20"/>
                <w:lang w:eastAsia="en-US"/>
              </w:rPr>
              <w:t>astrogliosis</w:t>
            </w:r>
            <w:proofErr w:type="spellEnd"/>
            <w:r w:rsidR="006D4B5A" w:rsidRPr="00CE5C99">
              <w:rPr>
                <w:sz w:val="20"/>
                <w:szCs w:val="20"/>
                <w:lang w:eastAsia="en-US"/>
              </w:rPr>
              <w:t xml:space="preserve"> and die at about one month of age.</w:t>
            </w:r>
            <w:r w:rsidR="006D4B5A" w:rsidRPr="00CE5C99">
              <w:rPr>
                <w:rFonts w:eastAsia="Times New Roman"/>
                <w:snapToGrid w:val="0"/>
                <w:color w:val="004C4A" w:themeColor="accent4" w:themeShade="BF"/>
                <w:sz w:val="20"/>
                <w:szCs w:val="20"/>
                <w:lang w:val="en-US" w:eastAsia="en-US"/>
              </w:rPr>
              <w:t xml:space="preserve"> </w:t>
            </w:r>
            <w:r w:rsidR="006D4B5A" w:rsidRPr="00CE5C99">
              <w:rPr>
                <w:sz w:val="20"/>
                <w:szCs w:val="20"/>
                <w:lang w:eastAsia="en-US"/>
              </w:rPr>
              <w:t xml:space="preserve">Extended pre- and post-natal rapamycin treatment (0.1 mg/kg </w:t>
            </w:r>
            <w:r w:rsidRPr="00CE5C99">
              <w:rPr>
                <w:sz w:val="20"/>
                <w:szCs w:val="20"/>
                <w:lang w:eastAsia="en-US"/>
              </w:rPr>
              <w:t>intra peritoneal (</w:t>
            </w:r>
            <w:r w:rsidR="006D4B5A" w:rsidRPr="00CE5C99">
              <w:rPr>
                <w:sz w:val="20"/>
                <w:szCs w:val="20"/>
                <w:lang w:eastAsia="en-US"/>
              </w:rPr>
              <w:t>IP</w:t>
            </w:r>
            <w:r w:rsidRPr="00CE5C99">
              <w:rPr>
                <w:sz w:val="20"/>
                <w:szCs w:val="20"/>
                <w:lang w:eastAsia="en-US"/>
              </w:rPr>
              <w:t>)</w:t>
            </w:r>
            <w:r w:rsidR="006D4B5A" w:rsidRPr="00CE5C99">
              <w:rPr>
                <w:sz w:val="20"/>
                <w:szCs w:val="20"/>
                <w:lang w:eastAsia="en-US"/>
              </w:rPr>
              <w:t>, daily) almost completely prevented/reversed neuronal and glial pathologies (and improved health, weight gain and longevity), while prenatal or postnatal treatment alone yielded less complete but significant improvements in brain histology.</w:t>
            </w:r>
          </w:p>
          <w:p w14:paraId="45DD38AE" w14:textId="77777777" w:rsidR="006D4B5A" w:rsidRPr="00216A1B" w:rsidRDefault="006D4B5A" w:rsidP="00CE5C99">
            <w:pPr>
              <w:rPr>
                <w:rFonts w:eastAsia="Times New Roman"/>
                <w:snapToGrid w:val="0"/>
                <w:color w:val="004C4A" w:themeColor="accent4" w:themeShade="BF"/>
                <w:lang w:val="en-US" w:eastAsia="en-US"/>
              </w:rPr>
            </w:pPr>
            <w:r w:rsidRPr="00CE5C99">
              <w:rPr>
                <w:rFonts w:asciiTheme="minorHAnsi" w:eastAsia="Times New Roman" w:hAnsiTheme="minorHAnsi"/>
                <w:i/>
                <w:snapToGrid w:val="0"/>
                <w:sz w:val="20"/>
                <w:szCs w:val="20"/>
                <w:lang w:val="en-US" w:eastAsia="en-US"/>
              </w:rPr>
              <w:t>Conclusion</w:t>
            </w:r>
            <w:r w:rsidRPr="00CE5C99">
              <w:rPr>
                <w:rFonts w:asciiTheme="minorHAnsi" w:eastAsia="Times New Roman" w:hAnsiTheme="minorHAnsi"/>
                <w:snapToGrid w:val="0"/>
                <w:sz w:val="20"/>
                <w:szCs w:val="20"/>
                <w:lang w:val="en-US" w:eastAsia="en-US"/>
              </w:rPr>
              <w:t xml:space="preserve">. The </w:t>
            </w:r>
            <w:proofErr w:type="spellStart"/>
            <w:r w:rsidRPr="00CE5C99">
              <w:rPr>
                <w:rFonts w:asciiTheme="minorHAnsi" w:eastAsia="Times New Roman" w:hAnsiTheme="minorHAnsi"/>
                <w:snapToGrid w:val="0"/>
                <w:sz w:val="20"/>
                <w:szCs w:val="20"/>
                <w:lang w:val="en-US" w:eastAsia="en-US"/>
              </w:rPr>
              <w:t>mTOR</w:t>
            </w:r>
            <w:proofErr w:type="spellEnd"/>
            <w:r w:rsidRPr="00CE5C99">
              <w:rPr>
                <w:rFonts w:asciiTheme="minorHAnsi" w:eastAsia="Times New Roman" w:hAnsiTheme="minorHAnsi"/>
                <w:snapToGrid w:val="0"/>
                <w:sz w:val="20"/>
                <w:szCs w:val="20"/>
                <w:lang w:val="en-US" w:eastAsia="en-US"/>
              </w:rPr>
              <w:t xml:space="preserve"> inhibitor rapamycin prevented early death and altered histopathologic phenotypes such as </w:t>
            </w:r>
            <w:proofErr w:type="spellStart"/>
            <w:r w:rsidRPr="00CE5C99">
              <w:rPr>
                <w:rFonts w:asciiTheme="minorHAnsi" w:eastAsia="Times New Roman" w:hAnsiTheme="minorHAnsi"/>
                <w:snapToGrid w:val="0"/>
                <w:sz w:val="20"/>
                <w:szCs w:val="20"/>
                <w:lang w:val="en-US" w:eastAsia="en-US"/>
              </w:rPr>
              <w:t>astrogliosis</w:t>
            </w:r>
            <w:proofErr w:type="spellEnd"/>
            <w:r w:rsidRPr="00CE5C99">
              <w:rPr>
                <w:rFonts w:asciiTheme="minorHAnsi" w:eastAsia="Times New Roman" w:hAnsiTheme="minorHAnsi"/>
                <w:snapToGrid w:val="0"/>
                <w:sz w:val="20"/>
                <w:szCs w:val="20"/>
                <w:lang w:val="en-US" w:eastAsia="en-US"/>
              </w:rPr>
              <w:t>.</w:t>
            </w:r>
          </w:p>
        </w:tc>
      </w:tr>
      <w:tr w:rsidR="006D4B5A" w:rsidRPr="00134EFF" w14:paraId="1208272D" w14:textId="77777777" w:rsidTr="00216A1B">
        <w:tc>
          <w:tcPr>
            <w:tcW w:w="2660" w:type="dxa"/>
          </w:tcPr>
          <w:p w14:paraId="373B54EF" w14:textId="161D38FB" w:rsidR="006D4B5A" w:rsidRPr="00CE5C99" w:rsidRDefault="006D4B5A" w:rsidP="00CE5C99">
            <w:pPr>
              <w:rPr>
                <w:snapToGrid w:val="0"/>
                <w:sz w:val="20"/>
                <w:szCs w:val="20"/>
                <w:lang w:eastAsia="en-US"/>
              </w:rPr>
            </w:pPr>
            <w:r w:rsidRPr="00CE5C99">
              <w:rPr>
                <w:b/>
                <w:snapToGrid w:val="0"/>
                <w:sz w:val="20"/>
                <w:szCs w:val="20"/>
                <w:lang w:eastAsia="en-US"/>
              </w:rPr>
              <w:t xml:space="preserve">Zeng </w:t>
            </w:r>
            <w:r w:rsidRPr="00CE5C99">
              <w:rPr>
                <w:b/>
                <w:i/>
                <w:snapToGrid w:val="0"/>
                <w:sz w:val="20"/>
                <w:szCs w:val="20"/>
                <w:lang w:eastAsia="en-US"/>
              </w:rPr>
              <w:t>et al</w:t>
            </w:r>
            <w:r w:rsidRPr="00CE5C99">
              <w:rPr>
                <w:b/>
                <w:snapToGrid w:val="0"/>
                <w:sz w:val="20"/>
                <w:szCs w:val="20"/>
                <w:lang w:eastAsia="en-US"/>
              </w:rPr>
              <w:t>., 2009</w:t>
            </w:r>
            <w:r w:rsidR="00DD3A0D">
              <w:rPr>
                <w:b/>
                <w:snapToGrid w:val="0"/>
                <w:sz w:val="20"/>
                <w:szCs w:val="20"/>
                <w:lang w:eastAsia="en-US"/>
              </w:rPr>
              <w:t>;</w:t>
            </w:r>
            <w:r w:rsidR="001222AB" w:rsidRPr="00CE5C99">
              <w:rPr>
                <w:rStyle w:val="FootnoteReference"/>
                <w:rFonts w:asciiTheme="minorHAnsi" w:eastAsia="Times New Roman" w:hAnsiTheme="minorHAnsi"/>
                <w:b/>
                <w:snapToGrid w:val="0"/>
                <w:sz w:val="20"/>
                <w:szCs w:val="20"/>
                <w:lang w:eastAsia="en-US"/>
              </w:rPr>
              <w:footnoteReference w:id="22"/>
            </w:r>
          </w:p>
          <w:p w14:paraId="7A362FA2" w14:textId="77777777" w:rsidR="006D4B5A" w:rsidRPr="00CE5C99" w:rsidRDefault="006D4B5A" w:rsidP="00CE5C99">
            <w:pPr>
              <w:rPr>
                <w:i/>
                <w:snapToGrid w:val="0"/>
                <w:sz w:val="20"/>
                <w:szCs w:val="20"/>
                <w:lang w:eastAsia="en-US"/>
              </w:rPr>
            </w:pPr>
            <w:r w:rsidRPr="00CE5C99">
              <w:rPr>
                <w:i/>
                <w:snapToGrid w:val="0"/>
                <w:sz w:val="20"/>
                <w:szCs w:val="20"/>
                <w:lang w:eastAsia="en-US"/>
              </w:rPr>
              <w:t xml:space="preserve">Rat model of </w:t>
            </w:r>
            <w:r w:rsidR="00216A1B" w:rsidRPr="00CE5C99">
              <w:rPr>
                <w:i/>
                <w:snapToGrid w:val="0"/>
                <w:sz w:val="20"/>
                <w:szCs w:val="20"/>
                <w:lang w:eastAsia="en-US"/>
              </w:rPr>
              <w:t xml:space="preserve">temporal </w:t>
            </w:r>
            <w:r w:rsidR="00216A1B" w:rsidRPr="00CE5C99">
              <w:rPr>
                <w:i/>
                <w:snapToGrid w:val="0"/>
                <w:sz w:val="20"/>
                <w:szCs w:val="20"/>
                <w:lang w:eastAsia="en-US"/>
              </w:rPr>
              <w:lastRenderedPageBreak/>
              <w:t xml:space="preserve">lobe epilepsy initiated </w:t>
            </w:r>
            <w:r w:rsidRPr="00CE5C99">
              <w:rPr>
                <w:i/>
                <w:snapToGrid w:val="0"/>
                <w:sz w:val="20"/>
                <w:szCs w:val="20"/>
                <w:lang w:eastAsia="en-US"/>
              </w:rPr>
              <w:t>by status epilepticus</w:t>
            </w:r>
          </w:p>
          <w:p w14:paraId="0BCE5FC0" w14:textId="77777777" w:rsidR="006D4B5A" w:rsidRPr="005978E6" w:rsidRDefault="00216A1B" w:rsidP="00CE5C99">
            <w:pPr>
              <w:rPr>
                <w:snapToGrid w:val="0"/>
                <w:color w:val="004C4A" w:themeColor="accent4" w:themeShade="BF"/>
                <w:lang w:val="en-US" w:eastAsia="en-US"/>
              </w:rPr>
            </w:pPr>
            <w:r w:rsidRPr="00CE5C99">
              <w:rPr>
                <w:snapToGrid w:val="0"/>
                <w:sz w:val="20"/>
                <w:szCs w:val="20"/>
                <w:lang w:val="en-US" w:eastAsia="en-US"/>
              </w:rPr>
              <w:t xml:space="preserve">Acute effects of rapamycin </w:t>
            </w:r>
            <w:r w:rsidR="006D4B5A" w:rsidRPr="00CE5C99">
              <w:rPr>
                <w:snapToGrid w:val="0"/>
                <w:sz w:val="20"/>
                <w:szCs w:val="20"/>
                <w:lang w:val="en-US" w:eastAsia="en-US"/>
              </w:rPr>
              <w:t xml:space="preserve">on the </w:t>
            </w:r>
            <w:proofErr w:type="spellStart"/>
            <w:r w:rsidR="006D4B5A" w:rsidRPr="00CE5C99">
              <w:rPr>
                <w:snapToGrid w:val="0"/>
                <w:sz w:val="20"/>
                <w:szCs w:val="20"/>
                <w:lang w:val="en-US" w:eastAsia="en-US"/>
              </w:rPr>
              <w:t>mTOR</w:t>
            </w:r>
            <w:proofErr w:type="spellEnd"/>
            <w:r w:rsidR="006D4B5A" w:rsidRPr="00CE5C99">
              <w:rPr>
                <w:snapToGrid w:val="0"/>
                <w:sz w:val="20"/>
                <w:szCs w:val="20"/>
                <w:lang w:val="en-US" w:eastAsia="en-US"/>
              </w:rPr>
              <w:t xml:space="preserve"> pathway and</w:t>
            </w:r>
            <w:r w:rsidR="00F50ABF" w:rsidRPr="00CE5C99">
              <w:rPr>
                <w:snapToGrid w:val="0"/>
                <w:sz w:val="20"/>
                <w:szCs w:val="20"/>
                <w:lang w:val="en-US" w:eastAsia="en-US"/>
              </w:rPr>
              <w:t xml:space="preserve"> </w:t>
            </w:r>
            <w:proofErr w:type="spellStart"/>
            <w:r w:rsidR="006D4B5A" w:rsidRPr="00CE5C99">
              <w:rPr>
                <w:snapToGrid w:val="0"/>
                <w:sz w:val="20"/>
                <w:szCs w:val="20"/>
                <w:lang w:val="en-US" w:eastAsia="en-US"/>
              </w:rPr>
              <w:t>kainic</w:t>
            </w:r>
            <w:proofErr w:type="spellEnd"/>
            <w:r w:rsidR="006D4B5A" w:rsidRPr="00CE5C99">
              <w:rPr>
                <w:snapToGrid w:val="0"/>
                <w:sz w:val="20"/>
                <w:szCs w:val="20"/>
                <w:lang w:val="en-US" w:eastAsia="en-US"/>
              </w:rPr>
              <w:t xml:space="preserve"> acid induced seizures</w:t>
            </w:r>
          </w:p>
        </w:tc>
        <w:tc>
          <w:tcPr>
            <w:tcW w:w="6804" w:type="dxa"/>
          </w:tcPr>
          <w:p w14:paraId="073C1302" w14:textId="77777777" w:rsidR="00216A1B" w:rsidRPr="00CE5C99" w:rsidRDefault="006D4B5A" w:rsidP="00CE5C99">
            <w:pPr>
              <w:rPr>
                <w:snapToGrid w:val="0"/>
                <w:sz w:val="20"/>
                <w:szCs w:val="20"/>
                <w:lang w:val="en-US" w:eastAsia="en-US"/>
              </w:rPr>
            </w:pPr>
            <w:r w:rsidRPr="00CE5C99">
              <w:rPr>
                <w:snapToGrid w:val="0"/>
                <w:sz w:val="20"/>
                <w:szCs w:val="20"/>
                <w:lang w:val="en-US" w:eastAsia="en-US"/>
              </w:rPr>
              <w:lastRenderedPageBreak/>
              <w:t xml:space="preserve">Whilst rapamycin pretreatment (6 mg/kg) produced an acute decrease in S6 phosphorylation, rapamycin did not acutely decrease </w:t>
            </w:r>
            <w:proofErr w:type="spellStart"/>
            <w:r w:rsidRPr="00CE5C99">
              <w:rPr>
                <w:snapToGrid w:val="0"/>
                <w:sz w:val="20"/>
                <w:szCs w:val="20"/>
                <w:lang w:val="en-US" w:eastAsia="en-US"/>
              </w:rPr>
              <w:t>kainic</w:t>
            </w:r>
            <w:proofErr w:type="spellEnd"/>
            <w:r w:rsidRPr="00CE5C99">
              <w:rPr>
                <w:snapToGrid w:val="0"/>
                <w:sz w:val="20"/>
                <w:szCs w:val="20"/>
                <w:lang w:val="en-US" w:eastAsia="en-US"/>
              </w:rPr>
              <w:t xml:space="preserve"> acid (glutamatergic agonist) induced seizures (se</w:t>
            </w:r>
            <w:r w:rsidR="00216A1B" w:rsidRPr="00CE5C99">
              <w:rPr>
                <w:snapToGrid w:val="0"/>
                <w:sz w:val="20"/>
                <w:szCs w:val="20"/>
                <w:lang w:val="en-US" w:eastAsia="en-US"/>
              </w:rPr>
              <w:t xml:space="preserve">verity, latency and </w:t>
            </w:r>
            <w:r w:rsidR="00216A1B" w:rsidRPr="00CE5C99">
              <w:rPr>
                <w:snapToGrid w:val="0"/>
                <w:sz w:val="20"/>
                <w:szCs w:val="20"/>
                <w:lang w:val="en-US" w:eastAsia="en-US"/>
              </w:rPr>
              <w:lastRenderedPageBreak/>
              <w:t>duration).</w:t>
            </w:r>
          </w:p>
          <w:p w14:paraId="26B1E76E" w14:textId="77777777" w:rsidR="006D4B5A" w:rsidRPr="00216A1B" w:rsidRDefault="006D4B5A" w:rsidP="00CE5C99">
            <w:pPr>
              <w:rPr>
                <w:snapToGrid w:val="0"/>
                <w:lang w:val="en-US" w:eastAsia="en-US"/>
              </w:rPr>
            </w:pPr>
            <w:r w:rsidRPr="00CE5C99">
              <w:rPr>
                <w:i/>
                <w:snapToGrid w:val="0"/>
                <w:sz w:val="20"/>
                <w:szCs w:val="20"/>
                <w:lang w:val="en-US" w:eastAsia="en-US"/>
              </w:rPr>
              <w:t xml:space="preserve">Conclusion. </w:t>
            </w:r>
            <w:r w:rsidRPr="00CE5C99">
              <w:rPr>
                <w:snapToGrid w:val="0"/>
                <w:sz w:val="20"/>
                <w:szCs w:val="20"/>
                <w:lang w:val="en-US" w:eastAsia="en-US"/>
              </w:rPr>
              <w:t xml:space="preserve">Rapamycin shows limited </w:t>
            </w:r>
            <w:proofErr w:type="spellStart"/>
            <w:r w:rsidRPr="00CE5C99">
              <w:rPr>
                <w:snapToGrid w:val="0"/>
                <w:sz w:val="20"/>
                <w:szCs w:val="20"/>
                <w:lang w:val="en-US" w:eastAsia="en-US"/>
              </w:rPr>
              <w:t>antiseizure</w:t>
            </w:r>
            <w:proofErr w:type="spellEnd"/>
            <w:r w:rsidRPr="00CE5C99">
              <w:rPr>
                <w:snapToGrid w:val="0"/>
                <w:sz w:val="20"/>
                <w:szCs w:val="20"/>
                <w:lang w:val="en-US" w:eastAsia="en-US"/>
              </w:rPr>
              <w:t xml:space="preserve"> effect under acute dosing conditions in these (wild type) animals, suggesting that it does not acutely alter neuronal and synaptic activity and pr</w:t>
            </w:r>
            <w:r w:rsidR="0014640B">
              <w:rPr>
                <w:snapToGrid w:val="0"/>
                <w:sz w:val="20"/>
                <w:szCs w:val="20"/>
                <w:lang w:val="en-US" w:eastAsia="en-US"/>
              </w:rPr>
              <w:t>otect against seizures acutely.</w:t>
            </w:r>
          </w:p>
        </w:tc>
      </w:tr>
    </w:tbl>
    <w:p w14:paraId="1E08503A" w14:textId="77777777" w:rsidR="00216A1B" w:rsidRDefault="000128D8" w:rsidP="00216A1B">
      <w:pPr>
        <w:pStyle w:val="TableTitle"/>
      </w:pPr>
      <w:r>
        <w:lastRenderedPageBreak/>
        <w:t>Table 4</w:t>
      </w:r>
      <w:r w:rsidR="00216A1B">
        <w:t>: S6K1 phosphorylation of the oestrogen receptor</w:t>
      </w:r>
    </w:p>
    <w:tbl>
      <w:tblPr>
        <w:tblStyle w:val="TableTGAblue"/>
        <w:tblW w:w="9464" w:type="dxa"/>
        <w:tblLayout w:type="fixed"/>
        <w:tblLook w:val="0020" w:firstRow="1" w:lastRow="0" w:firstColumn="0" w:lastColumn="0" w:noHBand="0" w:noVBand="0"/>
      </w:tblPr>
      <w:tblGrid>
        <w:gridCol w:w="2518"/>
        <w:gridCol w:w="6946"/>
      </w:tblGrid>
      <w:tr w:rsidR="00216A1B" w:rsidRPr="001222AB" w14:paraId="7E4F1CC9" w14:textId="77777777" w:rsidTr="00D917CC">
        <w:trPr>
          <w:cnfStyle w:val="100000000000" w:firstRow="1" w:lastRow="0" w:firstColumn="0" w:lastColumn="0" w:oddVBand="0" w:evenVBand="0" w:oddHBand="0" w:evenHBand="0" w:firstRowFirstColumn="0" w:firstRowLastColumn="0" w:lastRowFirstColumn="0" w:lastRowLastColumn="0"/>
        </w:trPr>
        <w:tc>
          <w:tcPr>
            <w:tcW w:w="2518" w:type="dxa"/>
          </w:tcPr>
          <w:p w14:paraId="3FFA8242" w14:textId="77777777" w:rsidR="00216A1B" w:rsidRPr="001222AB" w:rsidRDefault="00216A1B" w:rsidP="00D917CC">
            <w:pPr>
              <w:rPr>
                <w:sz w:val="20"/>
                <w:szCs w:val="20"/>
              </w:rPr>
            </w:pPr>
            <w:r w:rsidRPr="001222AB">
              <w:rPr>
                <w:sz w:val="20"/>
                <w:szCs w:val="20"/>
              </w:rPr>
              <w:t>Publication and Study Details</w:t>
            </w:r>
          </w:p>
        </w:tc>
        <w:tc>
          <w:tcPr>
            <w:tcW w:w="6946" w:type="dxa"/>
          </w:tcPr>
          <w:p w14:paraId="0863F8DE" w14:textId="77777777" w:rsidR="00216A1B" w:rsidRPr="001222AB" w:rsidRDefault="00216A1B" w:rsidP="00D917CC">
            <w:pPr>
              <w:rPr>
                <w:sz w:val="20"/>
                <w:szCs w:val="20"/>
              </w:rPr>
            </w:pPr>
            <w:r w:rsidRPr="001222AB">
              <w:rPr>
                <w:sz w:val="20"/>
                <w:szCs w:val="20"/>
              </w:rPr>
              <w:t>Results</w:t>
            </w:r>
          </w:p>
        </w:tc>
      </w:tr>
      <w:tr w:rsidR="00216A1B" w:rsidRPr="001222AB" w14:paraId="65EE20A7" w14:textId="77777777" w:rsidTr="00D917CC">
        <w:tc>
          <w:tcPr>
            <w:tcW w:w="2518" w:type="dxa"/>
          </w:tcPr>
          <w:p w14:paraId="3C103771" w14:textId="4B25DD1F" w:rsidR="00216A1B" w:rsidRPr="001222AB" w:rsidRDefault="00216A1B" w:rsidP="00D917CC">
            <w:pPr>
              <w:rPr>
                <w:b/>
                <w:sz w:val="20"/>
                <w:szCs w:val="20"/>
              </w:rPr>
            </w:pPr>
            <w:proofErr w:type="spellStart"/>
            <w:r w:rsidRPr="001222AB">
              <w:rPr>
                <w:b/>
                <w:sz w:val="20"/>
                <w:szCs w:val="20"/>
              </w:rPr>
              <w:t>Holz</w:t>
            </w:r>
            <w:proofErr w:type="spellEnd"/>
            <w:r w:rsidRPr="001222AB">
              <w:rPr>
                <w:b/>
                <w:sz w:val="20"/>
                <w:szCs w:val="20"/>
              </w:rPr>
              <w:t xml:space="preserve"> 2012</w:t>
            </w:r>
            <w:r w:rsidR="00DD3A0D">
              <w:rPr>
                <w:b/>
                <w:sz w:val="20"/>
                <w:szCs w:val="20"/>
              </w:rPr>
              <w:t>;</w:t>
            </w:r>
            <w:r w:rsidR="001222AB">
              <w:rPr>
                <w:rStyle w:val="FootnoteReference"/>
                <w:b/>
                <w:sz w:val="20"/>
                <w:szCs w:val="20"/>
              </w:rPr>
              <w:footnoteReference w:id="23"/>
            </w:r>
          </w:p>
          <w:p w14:paraId="552BBD98" w14:textId="77777777" w:rsidR="00216A1B" w:rsidRPr="001222AB" w:rsidRDefault="00216A1B" w:rsidP="00D917CC">
            <w:pPr>
              <w:rPr>
                <w:sz w:val="20"/>
                <w:szCs w:val="20"/>
              </w:rPr>
            </w:pPr>
            <w:r w:rsidRPr="001222AB">
              <w:rPr>
                <w:sz w:val="20"/>
                <w:szCs w:val="20"/>
              </w:rPr>
              <w:t>The role of S6K1 in oestrogen receptor (ER)</w:t>
            </w:r>
            <w:r w:rsidRPr="001222AB">
              <w:rPr>
                <w:sz w:val="20"/>
                <w:szCs w:val="20"/>
              </w:rPr>
              <w:noBreakHyphen/>
              <w:t>positive breast cancer</w:t>
            </w:r>
          </w:p>
        </w:tc>
        <w:tc>
          <w:tcPr>
            <w:tcW w:w="6946" w:type="dxa"/>
          </w:tcPr>
          <w:p w14:paraId="0A155E5E" w14:textId="77777777" w:rsidR="00216A1B" w:rsidRPr="001222AB" w:rsidRDefault="00216A1B" w:rsidP="00D917CC">
            <w:pPr>
              <w:rPr>
                <w:sz w:val="20"/>
                <w:szCs w:val="20"/>
              </w:rPr>
            </w:pPr>
            <w:r w:rsidRPr="001222AB">
              <w:rPr>
                <w:sz w:val="20"/>
                <w:szCs w:val="20"/>
              </w:rPr>
              <w:t xml:space="preserve">40S ribosomal S6 kinase 1 (S6K1) is a serine/threonine protein kinase </w:t>
            </w:r>
          </w:p>
          <w:p w14:paraId="70D1F012" w14:textId="77777777" w:rsidR="00216A1B" w:rsidRPr="001222AB" w:rsidRDefault="001222AB" w:rsidP="001222AB">
            <w:pPr>
              <w:rPr>
                <w:sz w:val="20"/>
                <w:szCs w:val="20"/>
              </w:rPr>
            </w:pPr>
            <w:r>
              <w:rPr>
                <w:sz w:val="20"/>
                <w:szCs w:val="20"/>
              </w:rPr>
              <w:t xml:space="preserve">S6K1: </w:t>
            </w:r>
            <w:r w:rsidR="00216A1B" w:rsidRPr="001222AB">
              <w:rPr>
                <w:sz w:val="20"/>
                <w:szCs w:val="20"/>
              </w:rPr>
              <w:t>principal kinase effector downstream of mTORC1</w:t>
            </w:r>
          </w:p>
          <w:p w14:paraId="40F3DE05" w14:textId="77777777" w:rsidR="00216A1B" w:rsidRPr="001222AB" w:rsidRDefault="00216A1B" w:rsidP="00D917CC">
            <w:pPr>
              <w:rPr>
                <w:sz w:val="20"/>
                <w:szCs w:val="20"/>
              </w:rPr>
            </w:pPr>
            <w:r w:rsidRPr="001222AB">
              <w:rPr>
                <w:sz w:val="20"/>
                <w:szCs w:val="20"/>
              </w:rPr>
              <w:t xml:space="preserve">sensitive to numerous signalling inputs, including growth factors, amino acids, energy levels and hypoxia </w:t>
            </w:r>
          </w:p>
          <w:p w14:paraId="66994CD7" w14:textId="77777777" w:rsidR="00216A1B" w:rsidRPr="001222AB" w:rsidRDefault="00216A1B" w:rsidP="00D917CC">
            <w:pPr>
              <w:rPr>
                <w:sz w:val="20"/>
                <w:szCs w:val="20"/>
              </w:rPr>
            </w:pPr>
            <w:r w:rsidRPr="001222AB">
              <w:rPr>
                <w:sz w:val="20"/>
                <w:szCs w:val="20"/>
              </w:rPr>
              <w:t xml:space="preserve">therefore influences oncogenic processes, cell growth, proliferation, survival, apoptosis and cell migration/ invasion </w:t>
            </w:r>
          </w:p>
          <w:p w14:paraId="2225CAF2" w14:textId="77777777" w:rsidR="00216A1B" w:rsidRPr="001222AB" w:rsidRDefault="00216A1B" w:rsidP="00D917CC">
            <w:pPr>
              <w:rPr>
                <w:sz w:val="20"/>
                <w:szCs w:val="20"/>
              </w:rPr>
            </w:pPr>
            <w:r w:rsidRPr="001222AB">
              <w:rPr>
                <w:sz w:val="20"/>
                <w:szCs w:val="20"/>
              </w:rPr>
              <w:t>S6K1 directly p</w:t>
            </w:r>
            <w:r w:rsidR="00CE5C99">
              <w:rPr>
                <w:sz w:val="20"/>
                <w:szCs w:val="20"/>
              </w:rPr>
              <w:t xml:space="preserve">hosphorylates and activates ERα </w:t>
            </w:r>
            <w:r w:rsidRPr="001222AB">
              <w:rPr>
                <w:sz w:val="20"/>
                <w:szCs w:val="20"/>
              </w:rPr>
              <w:t>(</w:t>
            </w:r>
            <w:r w:rsidR="00CE5C99">
              <w:rPr>
                <w:sz w:val="20"/>
                <w:szCs w:val="20"/>
              </w:rPr>
              <w:t>that is</w:t>
            </w:r>
            <w:r w:rsidRPr="001222AB">
              <w:rPr>
                <w:sz w:val="20"/>
                <w:szCs w:val="20"/>
              </w:rPr>
              <w:t xml:space="preserve">, directly phosphorylating ERα on Ser167 resulting in ERα activation and </w:t>
            </w:r>
            <w:r w:rsidR="0014640B">
              <w:rPr>
                <w:sz w:val="20"/>
                <w:szCs w:val="20"/>
              </w:rPr>
              <w:t>increased</w:t>
            </w:r>
            <w:r w:rsidRPr="001222AB">
              <w:rPr>
                <w:sz w:val="20"/>
                <w:szCs w:val="20"/>
              </w:rPr>
              <w:t xml:space="preserve"> S6K1 expression by a positive feedback loop)</w:t>
            </w:r>
          </w:p>
          <w:p w14:paraId="1EE75C8A" w14:textId="77777777" w:rsidR="00216A1B" w:rsidRPr="001222AB" w:rsidRDefault="00216A1B" w:rsidP="00D917CC">
            <w:pPr>
              <w:rPr>
                <w:sz w:val="20"/>
                <w:szCs w:val="20"/>
              </w:rPr>
            </w:pPr>
            <w:r w:rsidRPr="001222AB">
              <w:rPr>
                <w:sz w:val="20"/>
                <w:szCs w:val="20"/>
              </w:rPr>
              <w:t xml:space="preserve">Phosphorylation of Ser167 is sensitive to growth factor stimuli and is mediated primarily by S6K1 (p90Rsk, </w:t>
            </w:r>
            <w:proofErr w:type="spellStart"/>
            <w:r w:rsidRPr="001222AB">
              <w:rPr>
                <w:sz w:val="20"/>
                <w:szCs w:val="20"/>
              </w:rPr>
              <w:t>Akt</w:t>
            </w:r>
            <w:proofErr w:type="spellEnd"/>
            <w:r w:rsidRPr="001222AB">
              <w:rPr>
                <w:sz w:val="20"/>
                <w:szCs w:val="20"/>
              </w:rPr>
              <w:t xml:space="preserve"> may play role)</w:t>
            </w:r>
          </w:p>
          <w:p w14:paraId="2CD5DD92" w14:textId="77777777" w:rsidR="00216A1B" w:rsidRPr="001222AB" w:rsidRDefault="00216A1B" w:rsidP="00D917CC">
            <w:pPr>
              <w:rPr>
                <w:sz w:val="20"/>
                <w:szCs w:val="20"/>
              </w:rPr>
            </w:pPr>
            <w:r w:rsidRPr="001222AB">
              <w:rPr>
                <w:sz w:val="20"/>
                <w:szCs w:val="20"/>
              </w:rPr>
              <w:t xml:space="preserve">S6K1 expression is </w:t>
            </w:r>
            <w:proofErr w:type="spellStart"/>
            <w:r w:rsidRPr="001222AB">
              <w:rPr>
                <w:sz w:val="20"/>
                <w:szCs w:val="20"/>
              </w:rPr>
              <w:t>oestrogenically</w:t>
            </w:r>
            <w:proofErr w:type="spellEnd"/>
            <w:r w:rsidRPr="001222AB">
              <w:rPr>
                <w:sz w:val="20"/>
                <w:szCs w:val="20"/>
              </w:rPr>
              <w:t xml:space="preserve"> regulated</w:t>
            </w:r>
          </w:p>
          <w:p w14:paraId="23A1EFCD" w14:textId="77777777" w:rsidR="00216A1B" w:rsidRPr="001222AB" w:rsidRDefault="00216A1B" w:rsidP="00D917CC">
            <w:pPr>
              <w:rPr>
                <w:sz w:val="20"/>
                <w:szCs w:val="20"/>
              </w:rPr>
            </w:pPr>
            <w:r w:rsidRPr="001222AB">
              <w:rPr>
                <w:sz w:val="20"/>
                <w:szCs w:val="20"/>
              </w:rPr>
              <w:t>S6K1 expression is regulated in human breast cancer cell lines and murine mammary epithelia by oestrogen/ERα involving transcription factor GATA-3</w:t>
            </w:r>
          </w:p>
          <w:p w14:paraId="16794313" w14:textId="77777777" w:rsidR="00216A1B" w:rsidRPr="001222AB" w:rsidRDefault="00216A1B" w:rsidP="001222AB">
            <w:pPr>
              <w:rPr>
                <w:sz w:val="20"/>
                <w:szCs w:val="20"/>
              </w:rPr>
            </w:pPr>
            <w:r w:rsidRPr="001222AB">
              <w:rPr>
                <w:sz w:val="20"/>
                <w:szCs w:val="20"/>
              </w:rPr>
              <w:t xml:space="preserve">Endocrine resistance associated with ligand-independent activation of ERα </w:t>
            </w:r>
            <w:r w:rsidR="0014640B" w:rsidRPr="001222AB">
              <w:rPr>
                <w:sz w:val="20"/>
                <w:szCs w:val="20"/>
              </w:rPr>
              <w:t>signalling</w:t>
            </w:r>
            <w:r w:rsidRPr="001222AB">
              <w:rPr>
                <w:sz w:val="20"/>
                <w:szCs w:val="20"/>
              </w:rPr>
              <w:t xml:space="preserve"> due to </w:t>
            </w:r>
            <w:r w:rsidR="0014640B" w:rsidRPr="001222AB">
              <w:rPr>
                <w:sz w:val="20"/>
                <w:szCs w:val="20"/>
              </w:rPr>
              <w:t>hyper activa</w:t>
            </w:r>
            <w:r w:rsidR="0014640B">
              <w:rPr>
                <w:sz w:val="20"/>
                <w:szCs w:val="20"/>
              </w:rPr>
              <w:t>tion</w:t>
            </w:r>
            <w:r w:rsidR="001222AB">
              <w:rPr>
                <w:sz w:val="20"/>
                <w:szCs w:val="20"/>
              </w:rPr>
              <w:t xml:space="preserve"> of mTORC1 </w:t>
            </w:r>
            <w:r w:rsidR="0014640B">
              <w:rPr>
                <w:sz w:val="20"/>
                <w:szCs w:val="20"/>
              </w:rPr>
              <w:t>signalling</w:t>
            </w:r>
            <w:r w:rsidR="001222AB">
              <w:rPr>
                <w:sz w:val="20"/>
                <w:szCs w:val="20"/>
              </w:rPr>
              <w:t xml:space="preserve"> pathway</w:t>
            </w:r>
          </w:p>
          <w:p w14:paraId="450EDAD6" w14:textId="77777777" w:rsidR="00216A1B" w:rsidRPr="001222AB" w:rsidRDefault="00216A1B" w:rsidP="001222AB">
            <w:pPr>
              <w:rPr>
                <w:sz w:val="20"/>
                <w:szCs w:val="20"/>
              </w:rPr>
            </w:pPr>
            <w:r w:rsidRPr="001222AB">
              <w:rPr>
                <w:sz w:val="20"/>
                <w:szCs w:val="20"/>
              </w:rPr>
              <w:t xml:space="preserve">Conclusion. S6K1 directly phosphorylates ERα leading to ligand independent activation. Thus, </w:t>
            </w:r>
            <w:proofErr w:type="spellStart"/>
            <w:r w:rsidRPr="001222AB">
              <w:rPr>
                <w:sz w:val="20"/>
                <w:szCs w:val="20"/>
              </w:rPr>
              <w:t>hyperactivation</w:t>
            </w:r>
            <w:proofErr w:type="spellEnd"/>
            <w:r w:rsidRPr="001222AB">
              <w:rPr>
                <w:sz w:val="20"/>
                <w:szCs w:val="20"/>
              </w:rPr>
              <w:t xml:space="preserve"> of mTORC1/S6K1 </w:t>
            </w:r>
            <w:r w:rsidR="0014640B" w:rsidRPr="001222AB">
              <w:rPr>
                <w:sz w:val="20"/>
                <w:szCs w:val="20"/>
              </w:rPr>
              <w:t>signalling</w:t>
            </w:r>
            <w:r w:rsidRPr="001222AB">
              <w:rPr>
                <w:sz w:val="20"/>
                <w:szCs w:val="20"/>
              </w:rPr>
              <w:t xml:space="preserve"> is relevant to ER-positive status in </w:t>
            </w:r>
            <w:r w:rsidR="001222AB">
              <w:rPr>
                <w:sz w:val="20"/>
                <w:szCs w:val="20"/>
              </w:rPr>
              <w:t>breast cancer.</w:t>
            </w:r>
          </w:p>
        </w:tc>
      </w:tr>
    </w:tbl>
    <w:p w14:paraId="4E12BD61" w14:textId="77777777" w:rsidR="001222AB" w:rsidRDefault="001222AB" w:rsidP="001222AB">
      <w:pPr>
        <w:pStyle w:val="Heading5"/>
        <w:rPr>
          <w:snapToGrid w:val="0"/>
        </w:rPr>
      </w:pPr>
      <w:r w:rsidRPr="00FD0E47">
        <w:rPr>
          <w:snapToGrid w:val="0"/>
          <w:lang w:val="en-US"/>
        </w:rPr>
        <w:t>Preclinical studies in models</w:t>
      </w:r>
      <w:r w:rsidRPr="00FD0E47">
        <w:rPr>
          <w:snapToGrid w:val="0"/>
        </w:rPr>
        <w:t xml:space="preserve"> of </w:t>
      </w:r>
      <w:proofErr w:type="spellStart"/>
      <w:r w:rsidRPr="00FD0E47">
        <w:rPr>
          <w:snapToGrid w:val="0"/>
        </w:rPr>
        <w:t>angiomyolipoma</w:t>
      </w:r>
      <w:proofErr w:type="spellEnd"/>
      <w:r w:rsidRPr="00FD0E47">
        <w:rPr>
          <w:snapToGrid w:val="0"/>
        </w:rPr>
        <w:t xml:space="preserve"> (AML)</w:t>
      </w:r>
    </w:p>
    <w:p w14:paraId="3FF80FF9" w14:textId="77777777" w:rsidR="001222AB" w:rsidRDefault="000128D8" w:rsidP="0044301B">
      <w:pPr>
        <w:pStyle w:val="TableTitle"/>
      </w:pPr>
      <w:r>
        <w:t>Table 5</w:t>
      </w:r>
      <w:r w:rsidR="001222AB">
        <w:t>:</w:t>
      </w:r>
      <w:r w:rsidR="001222AB" w:rsidRPr="001222AB">
        <w:rPr>
          <w:snapToGrid w:val="0"/>
          <w:lang w:val="en-US"/>
        </w:rPr>
        <w:t xml:space="preserve"> </w:t>
      </w:r>
      <w:r w:rsidR="001222AB" w:rsidRPr="00FD0E47">
        <w:rPr>
          <w:snapToGrid w:val="0"/>
          <w:lang w:val="en-US"/>
        </w:rPr>
        <w:t>Preclinical studies in models</w:t>
      </w:r>
      <w:r w:rsidR="001222AB" w:rsidRPr="00FD0E47">
        <w:rPr>
          <w:snapToGrid w:val="0"/>
        </w:rPr>
        <w:t xml:space="preserve"> of </w:t>
      </w:r>
      <w:proofErr w:type="spellStart"/>
      <w:r w:rsidR="001222AB" w:rsidRPr="00FD0E47">
        <w:rPr>
          <w:snapToGrid w:val="0"/>
        </w:rPr>
        <w:t>angiomyolipoma</w:t>
      </w:r>
      <w:proofErr w:type="spellEnd"/>
      <w:r w:rsidR="001222AB" w:rsidRPr="00FD0E47">
        <w:rPr>
          <w:snapToGrid w:val="0"/>
        </w:rPr>
        <w:t xml:space="preserve"> (</w:t>
      </w:r>
      <w:r w:rsidR="001222AB" w:rsidRPr="0044301B">
        <w:t>AML</w:t>
      </w:r>
      <w:r w:rsidR="001222AB">
        <w:rPr>
          <w:snapToGrid w:val="0"/>
        </w:rPr>
        <w:t>)</w:t>
      </w:r>
    </w:p>
    <w:tbl>
      <w:tblPr>
        <w:tblStyle w:val="TableTGAblue"/>
        <w:tblW w:w="8613" w:type="dxa"/>
        <w:tblLayout w:type="fixed"/>
        <w:tblLook w:val="0020" w:firstRow="1" w:lastRow="0" w:firstColumn="0" w:lastColumn="0" w:noHBand="0" w:noVBand="0"/>
      </w:tblPr>
      <w:tblGrid>
        <w:gridCol w:w="4219"/>
        <w:gridCol w:w="4394"/>
      </w:tblGrid>
      <w:tr w:rsidR="001222AB" w:rsidRPr="001222AB" w14:paraId="6F716288" w14:textId="77777777" w:rsidTr="00D47C24">
        <w:trPr>
          <w:cnfStyle w:val="100000000000" w:firstRow="1" w:lastRow="0" w:firstColumn="0" w:lastColumn="0" w:oddVBand="0" w:evenVBand="0" w:oddHBand="0" w:evenHBand="0" w:firstRowFirstColumn="0" w:firstRowLastColumn="0" w:lastRowFirstColumn="0" w:lastRowLastColumn="0"/>
        </w:trPr>
        <w:tc>
          <w:tcPr>
            <w:tcW w:w="4219" w:type="dxa"/>
          </w:tcPr>
          <w:p w14:paraId="2A89A637" w14:textId="77777777" w:rsidR="001222AB" w:rsidRPr="001222AB" w:rsidRDefault="001222AB" w:rsidP="001222AB">
            <w:pPr>
              <w:rPr>
                <w:sz w:val="20"/>
                <w:szCs w:val="20"/>
              </w:rPr>
            </w:pPr>
            <w:r w:rsidRPr="001222AB">
              <w:rPr>
                <w:sz w:val="20"/>
                <w:szCs w:val="20"/>
              </w:rPr>
              <w:t>Publication and Study Details</w:t>
            </w:r>
          </w:p>
        </w:tc>
        <w:tc>
          <w:tcPr>
            <w:tcW w:w="4394" w:type="dxa"/>
          </w:tcPr>
          <w:p w14:paraId="7DBA4EE3" w14:textId="77777777" w:rsidR="001222AB" w:rsidRPr="001222AB" w:rsidRDefault="001222AB" w:rsidP="001222AB">
            <w:pPr>
              <w:rPr>
                <w:sz w:val="20"/>
                <w:szCs w:val="20"/>
              </w:rPr>
            </w:pPr>
            <w:r w:rsidRPr="001222AB">
              <w:rPr>
                <w:sz w:val="20"/>
                <w:szCs w:val="20"/>
              </w:rPr>
              <w:t>Results</w:t>
            </w:r>
          </w:p>
        </w:tc>
      </w:tr>
      <w:tr w:rsidR="001222AB" w:rsidRPr="001222AB" w14:paraId="6A0C2D41" w14:textId="77777777" w:rsidTr="00D47C24">
        <w:tc>
          <w:tcPr>
            <w:tcW w:w="4219" w:type="dxa"/>
          </w:tcPr>
          <w:p w14:paraId="6BDDF636" w14:textId="4FBE6FE2" w:rsidR="001222AB" w:rsidRPr="001222AB" w:rsidRDefault="001222AB" w:rsidP="001222AB">
            <w:pPr>
              <w:rPr>
                <w:b/>
                <w:sz w:val="20"/>
                <w:szCs w:val="20"/>
              </w:rPr>
            </w:pPr>
            <w:proofErr w:type="spellStart"/>
            <w:r w:rsidRPr="001222AB">
              <w:rPr>
                <w:b/>
                <w:sz w:val="20"/>
                <w:szCs w:val="20"/>
              </w:rPr>
              <w:t>Woodrum</w:t>
            </w:r>
            <w:proofErr w:type="spellEnd"/>
            <w:r w:rsidRPr="001222AB">
              <w:rPr>
                <w:b/>
                <w:sz w:val="20"/>
                <w:szCs w:val="20"/>
              </w:rPr>
              <w:t xml:space="preserve"> et al., 2010</w:t>
            </w:r>
            <w:r w:rsidR="00045CB2">
              <w:rPr>
                <w:b/>
                <w:sz w:val="20"/>
                <w:szCs w:val="20"/>
              </w:rPr>
              <w:t>;</w:t>
            </w:r>
            <w:r w:rsidR="00FF595A">
              <w:rPr>
                <w:rStyle w:val="FootnoteReference"/>
                <w:b/>
                <w:sz w:val="20"/>
                <w:szCs w:val="20"/>
              </w:rPr>
              <w:footnoteReference w:id="24"/>
            </w:r>
          </w:p>
          <w:p w14:paraId="3D3B6ABB" w14:textId="77777777" w:rsidR="001222AB" w:rsidRPr="001222AB" w:rsidRDefault="001222AB" w:rsidP="001222AB">
            <w:pPr>
              <w:rPr>
                <w:i/>
                <w:sz w:val="20"/>
                <w:szCs w:val="20"/>
              </w:rPr>
            </w:pPr>
            <w:r w:rsidRPr="001222AB">
              <w:rPr>
                <w:i/>
                <w:sz w:val="20"/>
                <w:szCs w:val="20"/>
              </w:rPr>
              <w:t>Spontaneous AJ mouse</w:t>
            </w:r>
            <w:r w:rsidR="00F50ABF">
              <w:rPr>
                <w:i/>
                <w:sz w:val="20"/>
                <w:szCs w:val="20"/>
              </w:rPr>
              <w:t xml:space="preserve"> </w:t>
            </w:r>
            <w:r w:rsidRPr="001222AB">
              <w:rPr>
                <w:i/>
                <w:sz w:val="20"/>
                <w:szCs w:val="20"/>
              </w:rPr>
              <w:t xml:space="preserve">(TSC2+/-) kidney tumour </w:t>
            </w:r>
            <w:proofErr w:type="spellStart"/>
            <w:r w:rsidRPr="001222AB">
              <w:rPr>
                <w:i/>
                <w:sz w:val="20"/>
                <w:szCs w:val="20"/>
              </w:rPr>
              <w:t>angiomyolipoma</w:t>
            </w:r>
            <w:proofErr w:type="spellEnd"/>
            <w:r w:rsidRPr="001222AB">
              <w:rPr>
                <w:i/>
                <w:sz w:val="20"/>
                <w:szCs w:val="20"/>
              </w:rPr>
              <w:t xml:space="preserve"> progression </w:t>
            </w:r>
          </w:p>
          <w:p w14:paraId="2B7A5E2D" w14:textId="77777777" w:rsidR="001222AB" w:rsidRPr="001222AB" w:rsidRDefault="001222AB" w:rsidP="001222AB">
            <w:pPr>
              <w:rPr>
                <w:i/>
                <w:sz w:val="20"/>
                <w:szCs w:val="20"/>
              </w:rPr>
            </w:pPr>
            <w:r w:rsidRPr="001222AB">
              <w:rPr>
                <w:i/>
                <w:sz w:val="20"/>
                <w:szCs w:val="20"/>
              </w:rPr>
              <w:t>Comparison of</w:t>
            </w:r>
            <w:r w:rsidR="00F50ABF">
              <w:rPr>
                <w:i/>
                <w:sz w:val="20"/>
                <w:szCs w:val="20"/>
              </w:rPr>
              <w:t xml:space="preserve"> </w:t>
            </w:r>
            <w:r w:rsidRPr="001222AB">
              <w:rPr>
                <w:i/>
                <w:sz w:val="20"/>
                <w:szCs w:val="20"/>
              </w:rPr>
              <w:t xml:space="preserve">3 rapamycin treatment </w:t>
            </w:r>
            <w:r w:rsidRPr="001222AB">
              <w:rPr>
                <w:i/>
                <w:sz w:val="20"/>
                <w:szCs w:val="20"/>
              </w:rPr>
              <w:lastRenderedPageBreak/>
              <w:t>schedules</w:t>
            </w:r>
          </w:p>
          <w:p w14:paraId="107BC0D0" w14:textId="77777777" w:rsidR="001222AB" w:rsidRPr="001222AB" w:rsidRDefault="00F50ABF" w:rsidP="001222AB">
            <w:pPr>
              <w:rPr>
                <w:sz w:val="20"/>
                <w:szCs w:val="20"/>
              </w:rPr>
            </w:pPr>
            <w:r>
              <w:rPr>
                <w:sz w:val="20"/>
                <w:szCs w:val="20"/>
              </w:rPr>
              <w:t xml:space="preserve">n = </w:t>
            </w:r>
            <w:r w:rsidR="001222AB" w:rsidRPr="001222AB">
              <w:rPr>
                <w:sz w:val="20"/>
                <w:szCs w:val="20"/>
              </w:rPr>
              <w:t>4/group (3</w:t>
            </w:r>
            <w:r w:rsidR="0014640B">
              <w:rPr>
                <w:sz w:val="20"/>
                <w:szCs w:val="20"/>
              </w:rPr>
              <w:t xml:space="preserve"> to </w:t>
            </w:r>
            <w:r w:rsidR="001222AB" w:rsidRPr="001222AB">
              <w:rPr>
                <w:sz w:val="20"/>
                <w:szCs w:val="20"/>
              </w:rPr>
              <w:t>9 months of age)</w:t>
            </w:r>
          </w:p>
          <w:p w14:paraId="76A0A494" w14:textId="77777777" w:rsidR="001222AB" w:rsidRPr="001222AB" w:rsidRDefault="001222AB" w:rsidP="001222AB">
            <w:pPr>
              <w:rPr>
                <w:sz w:val="20"/>
                <w:szCs w:val="20"/>
              </w:rPr>
            </w:pPr>
            <w:r w:rsidRPr="001222AB">
              <w:rPr>
                <w:sz w:val="20"/>
                <w:szCs w:val="20"/>
              </w:rPr>
              <w:t>All animals started treatment at 9 months of age and sacrificed 12 weeks later</w:t>
            </w:r>
          </w:p>
          <w:p w14:paraId="0BD6CABD" w14:textId="77777777" w:rsidR="001222AB" w:rsidRPr="001222AB" w:rsidRDefault="0014640B" w:rsidP="001222AB">
            <w:pPr>
              <w:rPr>
                <w:sz w:val="20"/>
                <w:szCs w:val="20"/>
              </w:rPr>
            </w:pPr>
            <w:r>
              <w:rPr>
                <w:sz w:val="20"/>
                <w:szCs w:val="20"/>
              </w:rPr>
              <w:t>Dosing route: IP</w:t>
            </w:r>
          </w:p>
          <w:p w14:paraId="4A2C69A2" w14:textId="77777777" w:rsidR="001222AB" w:rsidRPr="001222AB" w:rsidRDefault="001222AB" w:rsidP="001222AB">
            <w:pPr>
              <w:rPr>
                <w:sz w:val="20"/>
                <w:szCs w:val="20"/>
              </w:rPr>
            </w:pPr>
            <w:r w:rsidRPr="001222AB">
              <w:rPr>
                <w:sz w:val="20"/>
                <w:szCs w:val="20"/>
              </w:rPr>
              <w:t>Dose: 8</w:t>
            </w:r>
            <w:r w:rsidR="00F50ABF">
              <w:rPr>
                <w:sz w:val="20"/>
                <w:szCs w:val="20"/>
              </w:rPr>
              <w:t xml:space="preserve"> </w:t>
            </w:r>
            <w:r w:rsidRPr="001222AB">
              <w:rPr>
                <w:sz w:val="20"/>
                <w:szCs w:val="20"/>
              </w:rPr>
              <w:t>mg/kg</w:t>
            </w:r>
          </w:p>
          <w:p w14:paraId="24DD55CD" w14:textId="77777777" w:rsidR="001222AB" w:rsidRPr="001222AB" w:rsidRDefault="0014640B" w:rsidP="001222AB">
            <w:pPr>
              <w:rPr>
                <w:sz w:val="20"/>
                <w:szCs w:val="20"/>
              </w:rPr>
            </w:pPr>
            <w:r>
              <w:rPr>
                <w:sz w:val="20"/>
                <w:szCs w:val="20"/>
              </w:rPr>
              <w:t xml:space="preserve">Dosing duration: 4  to </w:t>
            </w:r>
            <w:r w:rsidR="001222AB" w:rsidRPr="001222AB">
              <w:rPr>
                <w:sz w:val="20"/>
                <w:szCs w:val="20"/>
              </w:rPr>
              <w:t>12 weeks</w:t>
            </w:r>
          </w:p>
          <w:p w14:paraId="5A316D2B" w14:textId="77777777" w:rsidR="001222AB" w:rsidRPr="001222AB" w:rsidRDefault="00F50ABF" w:rsidP="001222AB">
            <w:pPr>
              <w:rPr>
                <w:sz w:val="20"/>
                <w:szCs w:val="20"/>
              </w:rPr>
            </w:pPr>
            <w:r>
              <w:rPr>
                <w:sz w:val="20"/>
                <w:szCs w:val="20"/>
              </w:rPr>
              <w:t>(</w:t>
            </w:r>
            <w:r w:rsidR="001222AB" w:rsidRPr="001222AB">
              <w:rPr>
                <w:sz w:val="20"/>
                <w:szCs w:val="20"/>
              </w:rPr>
              <w:t>Tumour volume, body weight</w:t>
            </w:r>
            <w:r>
              <w:rPr>
                <w:sz w:val="20"/>
                <w:szCs w:val="20"/>
              </w:rPr>
              <w:t>)</w:t>
            </w:r>
          </w:p>
        </w:tc>
        <w:tc>
          <w:tcPr>
            <w:tcW w:w="4394" w:type="dxa"/>
          </w:tcPr>
          <w:p w14:paraId="3535E057" w14:textId="77777777" w:rsidR="001222AB" w:rsidRPr="001222AB" w:rsidRDefault="001222AB" w:rsidP="001222AB">
            <w:pPr>
              <w:pStyle w:val="ListBullet"/>
              <w:rPr>
                <w:sz w:val="20"/>
                <w:szCs w:val="20"/>
              </w:rPr>
            </w:pPr>
            <w:r w:rsidRPr="001222AB">
              <w:rPr>
                <w:sz w:val="20"/>
                <w:szCs w:val="20"/>
              </w:rPr>
              <w:lastRenderedPageBreak/>
              <w:t xml:space="preserve">Severity of kidney </w:t>
            </w:r>
            <w:proofErr w:type="spellStart"/>
            <w:r w:rsidRPr="001222AB">
              <w:rPr>
                <w:sz w:val="20"/>
                <w:szCs w:val="20"/>
              </w:rPr>
              <w:t>angiomyolipomas</w:t>
            </w:r>
            <w:proofErr w:type="spellEnd"/>
            <w:r w:rsidRPr="001222AB">
              <w:rPr>
                <w:sz w:val="20"/>
                <w:szCs w:val="20"/>
              </w:rPr>
              <w:t xml:space="preserve"> </w:t>
            </w:r>
            <w:r w:rsidR="0014640B">
              <w:rPr>
                <w:sz w:val="20"/>
                <w:szCs w:val="20"/>
              </w:rPr>
              <w:t>increasing</w:t>
            </w:r>
            <w:r w:rsidRPr="001222AB">
              <w:rPr>
                <w:sz w:val="20"/>
                <w:szCs w:val="20"/>
              </w:rPr>
              <w:t xml:space="preserve"> with age</w:t>
            </w:r>
          </w:p>
          <w:p w14:paraId="6EEC3BA6" w14:textId="77777777" w:rsidR="001222AB" w:rsidRPr="001222AB" w:rsidRDefault="001222AB" w:rsidP="001222AB">
            <w:pPr>
              <w:pStyle w:val="ListBullet"/>
              <w:rPr>
                <w:sz w:val="20"/>
                <w:szCs w:val="20"/>
              </w:rPr>
            </w:pPr>
            <w:r w:rsidRPr="001222AB">
              <w:rPr>
                <w:sz w:val="20"/>
                <w:szCs w:val="20"/>
              </w:rPr>
              <w:t>Rapamycin treatment schedules (8 mg/kg, IP):</w:t>
            </w:r>
          </w:p>
          <w:p w14:paraId="77B94B88" w14:textId="77777777" w:rsidR="001222AB" w:rsidRPr="001222AB" w:rsidRDefault="001222AB" w:rsidP="001222AB">
            <w:pPr>
              <w:pStyle w:val="ListBullet2"/>
              <w:rPr>
                <w:sz w:val="20"/>
                <w:szCs w:val="20"/>
              </w:rPr>
            </w:pPr>
            <w:r w:rsidRPr="001222AB">
              <w:rPr>
                <w:sz w:val="20"/>
                <w:szCs w:val="20"/>
              </w:rPr>
              <w:t xml:space="preserve">daily for 4 weeks: 66% ↓ in tumour </w:t>
            </w:r>
            <w:r w:rsidRPr="001222AB">
              <w:rPr>
                <w:sz w:val="20"/>
                <w:szCs w:val="20"/>
              </w:rPr>
              <w:lastRenderedPageBreak/>
              <w:t xml:space="preserve">burden </w:t>
            </w:r>
          </w:p>
          <w:p w14:paraId="1A93A6E8" w14:textId="77777777" w:rsidR="001222AB" w:rsidRPr="001222AB" w:rsidRDefault="001222AB" w:rsidP="001222AB">
            <w:pPr>
              <w:pStyle w:val="ListBullet2"/>
              <w:rPr>
                <w:sz w:val="20"/>
                <w:szCs w:val="20"/>
              </w:rPr>
            </w:pPr>
            <w:r w:rsidRPr="001222AB">
              <w:rPr>
                <w:sz w:val="20"/>
                <w:szCs w:val="20"/>
              </w:rPr>
              <w:t xml:space="preserve">daily for 4 weeks followed by weekly for 8 weeks: 82% </w:t>
            </w:r>
            <w:r w:rsidR="0014640B">
              <w:rPr>
                <w:sz w:val="20"/>
                <w:szCs w:val="20"/>
              </w:rPr>
              <w:t>decreasing</w:t>
            </w:r>
          </w:p>
          <w:p w14:paraId="2D76C78F" w14:textId="1B78F90B" w:rsidR="001222AB" w:rsidRPr="001222AB" w:rsidRDefault="001222AB" w:rsidP="001222AB">
            <w:pPr>
              <w:pStyle w:val="ListBullet2"/>
              <w:rPr>
                <w:sz w:val="20"/>
                <w:szCs w:val="20"/>
              </w:rPr>
            </w:pPr>
            <w:r w:rsidRPr="001222AB">
              <w:rPr>
                <w:sz w:val="20"/>
                <w:szCs w:val="20"/>
              </w:rPr>
              <w:t>weekly for 12 weeks: 81%</w:t>
            </w:r>
            <w:r w:rsidR="003E424C">
              <w:rPr>
                <w:sz w:val="20"/>
                <w:szCs w:val="20"/>
              </w:rPr>
              <w:t xml:space="preserve"> ↓</w:t>
            </w:r>
          </w:p>
          <w:p w14:paraId="40D2720B" w14:textId="77777777" w:rsidR="001222AB" w:rsidRPr="001222AB" w:rsidRDefault="001222AB" w:rsidP="001222AB">
            <w:pPr>
              <w:rPr>
                <w:sz w:val="20"/>
                <w:szCs w:val="20"/>
              </w:rPr>
            </w:pPr>
            <w:r w:rsidRPr="001222AB">
              <w:rPr>
                <w:sz w:val="20"/>
                <w:szCs w:val="20"/>
              </w:rPr>
              <w:t xml:space="preserve">Duration of rapamycin treatment is of greater importance than dose frequency of administration </w:t>
            </w:r>
          </w:p>
          <w:p w14:paraId="646DF991" w14:textId="77777777" w:rsidR="001222AB" w:rsidRPr="001222AB" w:rsidRDefault="001222AB" w:rsidP="001222AB">
            <w:pPr>
              <w:rPr>
                <w:sz w:val="20"/>
                <w:szCs w:val="20"/>
              </w:rPr>
            </w:pPr>
            <w:r w:rsidRPr="001222AB">
              <w:rPr>
                <w:i/>
                <w:sz w:val="20"/>
                <w:szCs w:val="20"/>
              </w:rPr>
              <w:t>Conclusion.</w:t>
            </w:r>
            <w:r w:rsidR="00F50ABF">
              <w:rPr>
                <w:sz w:val="20"/>
                <w:szCs w:val="20"/>
              </w:rPr>
              <w:t xml:space="preserve"> </w:t>
            </w:r>
            <w:r w:rsidRPr="001222AB">
              <w:rPr>
                <w:sz w:val="20"/>
                <w:szCs w:val="20"/>
              </w:rPr>
              <w:t>Duration of rapamycin treatment is of greater importance cf.</w:t>
            </w:r>
            <w:r w:rsidR="00F50ABF">
              <w:rPr>
                <w:sz w:val="20"/>
                <w:szCs w:val="20"/>
              </w:rPr>
              <w:t xml:space="preserve"> </w:t>
            </w:r>
            <w:r w:rsidRPr="001222AB">
              <w:rPr>
                <w:sz w:val="20"/>
                <w:szCs w:val="20"/>
              </w:rPr>
              <w:t>dose frequency.</w:t>
            </w:r>
          </w:p>
        </w:tc>
      </w:tr>
      <w:tr w:rsidR="001222AB" w:rsidRPr="001222AB" w14:paraId="5E46C4C9" w14:textId="77777777" w:rsidTr="00D47C24">
        <w:tc>
          <w:tcPr>
            <w:tcW w:w="4219" w:type="dxa"/>
          </w:tcPr>
          <w:p w14:paraId="703100EF" w14:textId="77777777" w:rsidR="001222AB" w:rsidRPr="001222AB" w:rsidRDefault="001222AB" w:rsidP="001222AB">
            <w:pPr>
              <w:rPr>
                <w:sz w:val="20"/>
                <w:szCs w:val="20"/>
              </w:rPr>
            </w:pPr>
            <w:proofErr w:type="spellStart"/>
            <w:r w:rsidRPr="001222AB">
              <w:rPr>
                <w:b/>
                <w:sz w:val="20"/>
                <w:szCs w:val="20"/>
              </w:rPr>
              <w:lastRenderedPageBreak/>
              <w:t>Kenerson</w:t>
            </w:r>
            <w:proofErr w:type="spellEnd"/>
            <w:r w:rsidRPr="001222AB">
              <w:rPr>
                <w:b/>
                <w:sz w:val="20"/>
                <w:szCs w:val="20"/>
              </w:rPr>
              <w:t xml:space="preserve"> et al., 2007</w:t>
            </w:r>
            <w:r w:rsidR="00FF595A">
              <w:rPr>
                <w:rStyle w:val="FootnoteReference"/>
                <w:b/>
                <w:sz w:val="20"/>
                <w:szCs w:val="20"/>
              </w:rPr>
              <w:footnoteReference w:id="25"/>
            </w:r>
            <w:r w:rsidRPr="001222AB">
              <w:rPr>
                <w:sz w:val="20"/>
                <w:szCs w:val="20"/>
              </w:rPr>
              <w:t>;</w:t>
            </w:r>
          </w:p>
          <w:p w14:paraId="22FDC75D" w14:textId="77777777" w:rsidR="001222AB" w:rsidRPr="00FF595A" w:rsidRDefault="001222AB" w:rsidP="00FF595A">
            <w:pPr>
              <w:rPr>
                <w:i/>
                <w:sz w:val="20"/>
                <w:szCs w:val="20"/>
              </w:rPr>
            </w:pPr>
            <w:proofErr w:type="spellStart"/>
            <w:r w:rsidRPr="001222AB">
              <w:rPr>
                <w:i/>
                <w:sz w:val="20"/>
                <w:szCs w:val="20"/>
              </w:rPr>
              <w:t>Angiomyolipoma</w:t>
            </w:r>
            <w:proofErr w:type="spellEnd"/>
            <w:r w:rsidRPr="001222AB">
              <w:rPr>
                <w:i/>
                <w:sz w:val="20"/>
                <w:szCs w:val="20"/>
              </w:rPr>
              <w:t xml:space="preserve"> (AML) perivascular epithelioid cell tumours linked with TSC 1/2 mutations display sustained activation of </w:t>
            </w:r>
            <w:proofErr w:type="spellStart"/>
            <w:r w:rsidRPr="001222AB">
              <w:rPr>
                <w:i/>
                <w:sz w:val="20"/>
                <w:szCs w:val="20"/>
              </w:rPr>
              <w:t>mTOR</w:t>
            </w:r>
            <w:proofErr w:type="spellEnd"/>
            <w:r w:rsidRPr="001222AB">
              <w:rPr>
                <w:i/>
                <w:sz w:val="20"/>
                <w:szCs w:val="20"/>
              </w:rPr>
              <w:t xml:space="preserve"> signalling </w:t>
            </w:r>
          </w:p>
          <w:p w14:paraId="7CD5FC0B" w14:textId="77777777" w:rsidR="001222AB" w:rsidRPr="001222AB" w:rsidRDefault="001222AB" w:rsidP="00FF595A">
            <w:pPr>
              <w:rPr>
                <w:sz w:val="20"/>
                <w:szCs w:val="20"/>
              </w:rPr>
            </w:pPr>
            <w:r w:rsidRPr="001222AB">
              <w:rPr>
                <w:sz w:val="20"/>
                <w:szCs w:val="20"/>
              </w:rPr>
              <w:t>Human kidney AML samples</w:t>
            </w:r>
          </w:p>
          <w:p w14:paraId="38333A37" w14:textId="77777777" w:rsidR="001222AB" w:rsidRPr="001222AB" w:rsidRDefault="00F50ABF" w:rsidP="001222AB">
            <w:pPr>
              <w:rPr>
                <w:sz w:val="20"/>
                <w:szCs w:val="20"/>
              </w:rPr>
            </w:pPr>
            <w:r>
              <w:rPr>
                <w:sz w:val="20"/>
                <w:szCs w:val="20"/>
              </w:rPr>
              <w:t>(</w:t>
            </w:r>
            <w:r w:rsidR="001222AB" w:rsidRPr="001222AB">
              <w:rPr>
                <w:sz w:val="20"/>
                <w:szCs w:val="20"/>
              </w:rPr>
              <w:t>Immunohistochemical, biochemical analyses</w:t>
            </w:r>
            <w:r>
              <w:rPr>
                <w:sz w:val="20"/>
                <w:szCs w:val="20"/>
              </w:rPr>
              <w:t>)</w:t>
            </w:r>
            <w:r w:rsidR="001222AB" w:rsidRPr="001222AB">
              <w:rPr>
                <w:sz w:val="20"/>
                <w:szCs w:val="20"/>
              </w:rPr>
              <w:t xml:space="preserve"> </w:t>
            </w:r>
          </w:p>
        </w:tc>
        <w:tc>
          <w:tcPr>
            <w:tcW w:w="4394" w:type="dxa"/>
          </w:tcPr>
          <w:p w14:paraId="204D3283" w14:textId="77777777" w:rsidR="001222AB" w:rsidRPr="0044301B" w:rsidRDefault="001222AB" w:rsidP="0044301B">
            <w:pPr>
              <w:pStyle w:val="ListBullet"/>
              <w:rPr>
                <w:sz w:val="20"/>
                <w:szCs w:val="20"/>
              </w:rPr>
            </w:pPr>
            <w:proofErr w:type="spellStart"/>
            <w:r w:rsidRPr="0044301B">
              <w:rPr>
                <w:sz w:val="20"/>
                <w:szCs w:val="20"/>
              </w:rPr>
              <w:t>Angiomyolipoma</w:t>
            </w:r>
            <w:proofErr w:type="spellEnd"/>
            <w:r w:rsidRPr="0044301B">
              <w:rPr>
                <w:sz w:val="20"/>
                <w:szCs w:val="20"/>
              </w:rPr>
              <w:t xml:space="preserve"> (AML) also known as perivascular epithelioid cell tumours (</w:t>
            </w:r>
            <w:proofErr w:type="spellStart"/>
            <w:r w:rsidRPr="0044301B">
              <w:rPr>
                <w:sz w:val="20"/>
                <w:szCs w:val="20"/>
              </w:rPr>
              <w:t>PEComas</w:t>
            </w:r>
            <w:proofErr w:type="spellEnd"/>
            <w:r w:rsidRPr="0044301B">
              <w:rPr>
                <w:sz w:val="20"/>
                <w:szCs w:val="20"/>
              </w:rPr>
              <w:t>)</w:t>
            </w:r>
          </w:p>
          <w:p w14:paraId="4C979FF5" w14:textId="77777777" w:rsidR="001222AB" w:rsidRPr="00FF595A" w:rsidRDefault="001222AB" w:rsidP="00FF595A">
            <w:pPr>
              <w:pStyle w:val="ListBullet"/>
              <w:rPr>
                <w:sz w:val="20"/>
                <w:szCs w:val="20"/>
              </w:rPr>
            </w:pPr>
            <w:r w:rsidRPr="00FF595A">
              <w:rPr>
                <w:sz w:val="20"/>
                <w:szCs w:val="20"/>
              </w:rPr>
              <w:t>Clonal in nature &amp; association with tuberous sclerosis</w:t>
            </w:r>
          </w:p>
          <w:p w14:paraId="6FE06812" w14:textId="77777777" w:rsidR="001222AB" w:rsidRPr="00FF595A" w:rsidRDefault="001222AB" w:rsidP="00FF595A">
            <w:pPr>
              <w:pStyle w:val="ListBullet"/>
              <w:rPr>
                <w:sz w:val="20"/>
                <w:szCs w:val="20"/>
              </w:rPr>
            </w:pPr>
            <w:r w:rsidRPr="00FF595A">
              <w:rPr>
                <w:sz w:val="20"/>
                <w:szCs w:val="20"/>
              </w:rPr>
              <w:t>Genetic analyses ind</w:t>
            </w:r>
            <w:r w:rsidR="0014640B">
              <w:rPr>
                <w:sz w:val="20"/>
                <w:szCs w:val="20"/>
              </w:rPr>
              <w:t xml:space="preserve">icate allelic imbalance at TSC2 </w:t>
            </w:r>
            <w:r w:rsidRPr="00FF595A">
              <w:rPr>
                <w:sz w:val="20"/>
                <w:szCs w:val="20"/>
              </w:rPr>
              <w:t>locus on 16p13</w:t>
            </w:r>
          </w:p>
          <w:p w14:paraId="0F05743A" w14:textId="77777777" w:rsidR="00F50ABF" w:rsidRDefault="001222AB" w:rsidP="00FF595A">
            <w:pPr>
              <w:pStyle w:val="ListBullet"/>
              <w:rPr>
                <w:sz w:val="20"/>
                <w:szCs w:val="20"/>
              </w:rPr>
            </w:pPr>
            <w:r w:rsidRPr="00FF595A">
              <w:rPr>
                <w:sz w:val="20"/>
                <w:szCs w:val="20"/>
              </w:rPr>
              <w:t xml:space="preserve">Findings in 15 of 15 non-TSC AMLs of </w:t>
            </w:r>
            <w:r w:rsidR="0014640B">
              <w:rPr>
                <w:sz w:val="20"/>
                <w:szCs w:val="20"/>
              </w:rPr>
              <w:t>increase</w:t>
            </w:r>
            <w:r w:rsidRPr="00FF595A">
              <w:rPr>
                <w:sz w:val="20"/>
                <w:szCs w:val="20"/>
              </w:rPr>
              <w:t xml:space="preserve"> levels of phospho-p70S6K (marker of </w:t>
            </w:r>
            <w:proofErr w:type="spellStart"/>
            <w:r w:rsidRPr="00FF595A">
              <w:rPr>
                <w:sz w:val="20"/>
                <w:szCs w:val="20"/>
              </w:rPr>
              <w:t>mTOR</w:t>
            </w:r>
            <w:proofErr w:type="spellEnd"/>
            <w:r w:rsidRPr="00FF595A">
              <w:rPr>
                <w:sz w:val="20"/>
                <w:szCs w:val="20"/>
              </w:rPr>
              <w:t xml:space="preserve"> activity), with associated </w:t>
            </w:r>
            <w:r w:rsidR="0014640B">
              <w:rPr>
                <w:sz w:val="20"/>
                <w:szCs w:val="20"/>
              </w:rPr>
              <w:t>decrease</w:t>
            </w:r>
            <w:r w:rsidRPr="00FF595A">
              <w:rPr>
                <w:sz w:val="20"/>
                <w:szCs w:val="20"/>
              </w:rPr>
              <w:t xml:space="preserve"> </w:t>
            </w:r>
            <w:proofErr w:type="spellStart"/>
            <w:r w:rsidRPr="00FF595A">
              <w:rPr>
                <w:sz w:val="20"/>
                <w:szCs w:val="20"/>
              </w:rPr>
              <w:t>phospho</w:t>
            </w:r>
            <w:proofErr w:type="spellEnd"/>
            <w:r w:rsidRPr="00FF595A">
              <w:rPr>
                <w:sz w:val="20"/>
                <w:szCs w:val="20"/>
              </w:rPr>
              <w:t>-AKT expression (</w:t>
            </w:r>
            <w:r w:rsidR="00CE5C99">
              <w:rPr>
                <w:sz w:val="20"/>
                <w:szCs w:val="20"/>
              </w:rPr>
              <w:t>that is</w:t>
            </w:r>
            <w:r w:rsidRPr="00FF595A">
              <w:rPr>
                <w:sz w:val="20"/>
                <w:szCs w:val="20"/>
              </w:rPr>
              <w:t>, consistent with disruption of TSC1/2 function)</w:t>
            </w:r>
            <w:r w:rsidR="00F50ABF">
              <w:rPr>
                <w:sz w:val="20"/>
                <w:szCs w:val="20"/>
              </w:rPr>
              <w:t>.</w:t>
            </w:r>
          </w:p>
          <w:p w14:paraId="5F4887F2" w14:textId="77777777" w:rsidR="001222AB" w:rsidRPr="00FF595A" w:rsidRDefault="001222AB" w:rsidP="00FF595A">
            <w:pPr>
              <w:pStyle w:val="ListBullet"/>
              <w:rPr>
                <w:sz w:val="20"/>
                <w:szCs w:val="20"/>
              </w:rPr>
            </w:pPr>
            <w:r w:rsidRPr="00FF595A">
              <w:rPr>
                <w:sz w:val="20"/>
                <w:szCs w:val="20"/>
              </w:rPr>
              <w:t xml:space="preserve">Western blot analysis confirmed </w:t>
            </w:r>
            <w:proofErr w:type="spellStart"/>
            <w:r w:rsidRPr="00FF595A">
              <w:rPr>
                <w:sz w:val="20"/>
                <w:szCs w:val="20"/>
              </w:rPr>
              <w:t>mTOR</w:t>
            </w:r>
            <w:proofErr w:type="spellEnd"/>
            <w:r w:rsidRPr="00FF595A">
              <w:rPr>
                <w:sz w:val="20"/>
                <w:szCs w:val="20"/>
              </w:rPr>
              <w:t xml:space="preserve"> activation with the loss of TSC2 (and not TSC1) in sporadic AMLs </w:t>
            </w:r>
          </w:p>
          <w:p w14:paraId="7C943590" w14:textId="77777777" w:rsidR="001222AB" w:rsidRPr="00FF595A" w:rsidRDefault="0014640B" w:rsidP="00FF595A">
            <w:pPr>
              <w:pStyle w:val="ListBullet"/>
              <w:rPr>
                <w:sz w:val="20"/>
                <w:szCs w:val="20"/>
              </w:rPr>
            </w:pPr>
            <w:proofErr w:type="gramStart"/>
            <w:r>
              <w:rPr>
                <w:sz w:val="20"/>
                <w:szCs w:val="20"/>
              </w:rPr>
              <w:t>increase</w:t>
            </w:r>
            <w:proofErr w:type="gramEnd"/>
            <w:r w:rsidR="001222AB" w:rsidRPr="00FF595A">
              <w:rPr>
                <w:sz w:val="20"/>
                <w:szCs w:val="20"/>
              </w:rPr>
              <w:t xml:space="preserve"> Phospho-p70S6K and </w:t>
            </w:r>
            <w:r>
              <w:rPr>
                <w:sz w:val="20"/>
                <w:szCs w:val="20"/>
              </w:rPr>
              <w:t>decrease</w:t>
            </w:r>
            <w:r w:rsidR="001222AB" w:rsidRPr="00FF595A">
              <w:rPr>
                <w:sz w:val="20"/>
                <w:szCs w:val="20"/>
              </w:rPr>
              <w:t xml:space="preserve"> </w:t>
            </w:r>
            <w:proofErr w:type="spellStart"/>
            <w:r w:rsidR="001222AB" w:rsidRPr="00FF595A">
              <w:rPr>
                <w:sz w:val="20"/>
                <w:szCs w:val="20"/>
              </w:rPr>
              <w:t>phospho</w:t>
            </w:r>
            <w:proofErr w:type="spellEnd"/>
            <w:r w:rsidR="001222AB" w:rsidRPr="00FF595A">
              <w:rPr>
                <w:sz w:val="20"/>
                <w:szCs w:val="20"/>
              </w:rPr>
              <w:t xml:space="preserve">-AKT expression detected in 14 of 15 cases of </w:t>
            </w:r>
            <w:proofErr w:type="spellStart"/>
            <w:r w:rsidR="001222AB" w:rsidRPr="00FF595A">
              <w:rPr>
                <w:sz w:val="20"/>
                <w:szCs w:val="20"/>
              </w:rPr>
              <w:t>extrarenal</w:t>
            </w:r>
            <w:proofErr w:type="spellEnd"/>
            <w:r w:rsidR="001222AB" w:rsidRPr="00FF595A">
              <w:rPr>
                <w:sz w:val="20"/>
                <w:szCs w:val="20"/>
              </w:rPr>
              <w:t xml:space="preserve"> </w:t>
            </w:r>
            <w:proofErr w:type="spellStart"/>
            <w:r w:rsidR="001222AB" w:rsidRPr="00FF595A">
              <w:rPr>
                <w:sz w:val="20"/>
                <w:szCs w:val="20"/>
              </w:rPr>
              <w:t>PE</w:t>
            </w:r>
            <w:r w:rsidR="00FF595A" w:rsidRPr="00FF595A">
              <w:rPr>
                <w:sz w:val="20"/>
                <w:szCs w:val="20"/>
              </w:rPr>
              <w:t>Comas</w:t>
            </w:r>
            <w:proofErr w:type="spellEnd"/>
            <w:r w:rsidR="00FF595A" w:rsidRPr="00FF595A">
              <w:rPr>
                <w:sz w:val="20"/>
                <w:szCs w:val="20"/>
              </w:rPr>
              <w:t>.</w:t>
            </w:r>
          </w:p>
          <w:p w14:paraId="5CD7CFAB" w14:textId="77777777" w:rsidR="001222AB" w:rsidRPr="00FF595A" w:rsidRDefault="001222AB" w:rsidP="00FF595A">
            <w:r w:rsidRPr="00FF595A">
              <w:rPr>
                <w:i/>
                <w:sz w:val="20"/>
                <w:szCs w:val="20"/>
              </w:rPr>
              <w:t>Conclusion</w:t>
            </w:r>
            <w:r w:rsidRPr="00FF595A">
              <w:rPr>
                <w:sz w:val="20"/>
                <w:szCs w:val="20"/>
              </w:rPr>
              <w:t xml:space="preserve">. </w:t>
            </w:r>
            <w:proofErr w:type="spellStart"/>
            <w:proofErr w:type="gramStart"/>
            <w:r w:rsidRPr="00FF595A">
              <w:rPr>
                <w:sz w:val="20"/>
                <w:szCs w:val="20"/>
              </w:rPr>
              <w:t>mTOR</w:t>
            </w:r>
            <w:proofErr w:type="spellEnd"/>
            <w:proofErr w:type="gramEnd"/>
            <w:r w:rsidRPr="00FF595A">
              <w:rPr>
                <w:sz w:val="20"/>
                <w:szCs w:val="20"/>
              </w:rPr>
              <w:t xml:space="preserve"> activation is common to sporadic, no</w:t>
            </w:r>
            <w:r w:rsidR="0014640B">
              <w:rPr>
                <w:sz w:val="20"/>
                <w:szCs w:val="20"/>
              </w:rPr>
              <w:t>n</w:t>
            </w:r>
            <w:r w:rsidR="0014640B">
              <w:rPr>
                <w:sz w:val="20"/>
                <w:szCs w:val="20"/>
              </w:rPr>
              <w:noBreakHyphen/>
              <w:t xml:space="preserve">TSC-related AMLs and </w:t>
            </w:r>
            <w:proofErr w:type="spellStart"/>
            <w:r w:rsidR="0014640B">
              <w:rPr>
                <w:sz w:val="20"/>
                <w:szCs w:val="20"/>
              </w:rPr>
              <w:t>PEComas</w:t>
            </w:r>
            <w:proofErr w:type="spellEnd"/>
            <w:r w:rsidR="0014640B">
              <w:rPr>
                <w:sz w:val="20"/>
                <w:szCs w:val="20"/>
              </w:rPr>
              <w:t>.</w:t>
            </w:r>
          </w:p>
        </w:tc>
      </w:tr>
      <w:tr w:rsidR="001222AB" w:rsidRPr="001222AB" w14:paraId="0F1350BC" w14:textId="77777777" w:rsidTr="00D47C24">
        <w:tc>
          <w:tcPr>
            <w:tcW w:w="4219" w:type="dxa"/>
          </w:tcPr>
          <w:p w14:paraId="5BF841E9" w14:textId="77777777" w:rsidR="001222AB" w:rsidRPr="00FF595A" w:rsidRDefault="001222AB" w:rsidP="00FF595A">
            <w:pPr>
              <w:rPr>
                <w:b/>
                <w:sz w:val="20"/>
                <w:szCs w:val="20"/>
              </w:rPr>
            </w:pPr>
            <w:r w:rsidRPr="00FF595A">
              <w:rPr>
                <w:b/>
                <w:sz w:val="20"/>
                <w:szCs w:val="20"/>
              </w:rPr>
              <w:t>El-Hashemite et al., 2003</w:t>
            </w:r>
            <w:r w:rsidR="00FF595A">
              <w:rPr>
                <w:rStyle w:val="FootnoteReference"/>
                <w:b/>
                <w:sz w:val="20"/>
                <w:szCs w:val="20"/>
              </w:rPr>
              <w:footnoteReference w:id="26"/>
            </w:r>
          </w:p>
          <w:p w14:paraId="5E058140" w14:textId="77777777" w:rsidR="001222AB" w:rsidRPr="001222AB" w:rsidRDefault="001222AB" w:rsidP="00FF595A">
            <w:pPr>
              <w:rPr>
                <w:sz w:val="20"/>
                <w:szCs w:val="20"/>
              </w:rPr>
            </w:pPr>
            <w:r w:rsidRPr="001222AB">
              <w:rPr>
                <w:sz w:val="20"/>
                <w:szCs w:val="20"/>
              </w:rPr>
              <w:t xml:space="preserve">Mutation in TSC2 and activation of </w:t>
            </w:r>
            <w:proofErr w:type="spellStart"/>
            <w:r w:rsidRPr="001222AB">
              <w:rPr>
                <w:sz w:val="20"/>
                <w:szCs w:val="20"/>
              </w:rPr>
              <w:t>mTOR</w:t>
            </w:r>
            <w:proofErr w:type="spellEnd"/>
            <w:r w:rsidRPr="001222AB">
              <w:rPr>
                <w:sz w:val="20"/>
                <w:szCs w:val="20"/>
              </w:rPr>
              <w:t xml:space="preserve"> signalling in renal </w:t>
            </w:r>
            <w:proofErr w:type="spellStart"/>
            <w:r w:rsidRPr="001222AB">
              <w:rPr>
                <w:sz w:val="20"/>
                <w:szCs w:val="20"/>
              </w:rPr>
              <w:t>angiomyolipoma</w:t>
            </w:r>
            <w:proofErr w:type="spellEnd"/>
            <w:r w:rsidRPr="001222AB">
              <w:rPr>
                <w:sz w:val="20"/>
                <w:szCs w:val="20"/>
              </w:rPr>
              <w:t xml:space="preserve"> (AML)</w:t>
            </w:r>
          </w:p>
          <w:p w14:paraId="143C6CE3" w14:textId="77777777" w:rsidR="001222AB" w:rsidRPr="001222AB" w:rsidRDefault="001222AB" w:rsidP="00FF595A">
            <w:pPr>
              <w:rPr>
                <w:sz w:val="20"/>
                <w:szCs w:val="20"/>
              </w:rPr>
            </w:pPr>
            <w:r w:rsidRPr="001222AB">
              <w:rPr>
                <w:sz w:val="20"/>
                <w:szCs w:val="20"/>
              </w:rPr>
              <w:t>Human kidney AML samples</w:t>
            </w:r>
          </w:p>
          <w:p w14:paraId="6D2A04DF" w14:textId="77777777" w:rsidR="001222AB" w:rsidRPr="001222AB" w:rsidRDefault="001222AB" w:rsidP="00FF595A">
            <w:pPr>
              <w:rPr>
                <w:sz w:val="20"/>
                <w:szCs w:val="20"/>
              </w:rPr>
            </w:pPr>
            <w:r w:rsidRPr="001222AB">
              <w:rPr>
                <w:sz w:val="20"/>
                <w:szCs w:val="20"/>
              </w:rPr>
              <w:t>5 tuberous sclerosis patients, with germline mutations in TSC2 (n = 4) and/or loss of heterozygosity for TSC2 in tumours (n</w:t>
            </w:r>
            <w:r w:rsidR="00FF595A">
              <w:rPr>
                <w:sz w:val="20"/>
                <w:szCs w:val="20"/>
              </w:rPr>
              <w:t xml:space="preserve"> = 2). </w:t>
            </w:r>
            <w:r w:rsidRPr="001222AB">
              <w:rPr>
                <w:sz w:val="20"/>
                <w:szCs w:val="20"/>
              </w:rPr>
              <w:t xml:space="preserve">Strong expression of phospho-S6 (Ser235/236) in smooth muscle cells of </w:t>
            </w:r>
            <w:proofErr w:type="spellStart"/>
            <w:r w:rsidRPr="001222AB">
              <w:rPr>
                <w:sz w:val="20"/>
                <w:szCs w:val="20"/>
              </w:rPr>
              <w:t>angiomyolipoma</w:t>
            </w:r>
            <w:proofErr w:type="spellEnd"/>
          </w:p>
          <w:p w14:paraId="0009D900" w14:textId="77777777" w:rsidR="001222AB" w:rsidRPr="001222AB" w:rsidRDefault="001222AB" w:rsidP="00FF595A">
            <w:pPr>
              <w:rPr>
                <w:sz w:val="20"/>
                <w:szCs w:val="20"/>
              </w:rPr>
            </w:pPr>
            <w:r w:rsidRPr="001222AB">
              <w:rPr>
                <w:sz w:val="20"/>
                <w:szCs w:val="20"/>
              </w:rPr>
              <w:t xml:space="preserve">Investigations of phosphorylation of p70 </w:t>
            </w:r>
            <w:r w:rsidRPr="001222AB">
              <w:rPr>
                <w:sz w:val="20"/>
                <w:szCs w:val="20"/>
              </w:rPr>
              <w:lastRenderedPageBreak/>
              <w:t xml:space="preserve">S6 kinase and ribosomal S6 protein occurring in </w:t>
            </w:r>
            <w:proofErr w:type="spellStart"/>
            <w:r w:rsidRPr="001222AB">
              <w:rPr>
                <w:sz w:val="20"/>
                <w:szCs w:val="20"/>
              </w:rPr>
              <w:t>angiomyolipomas</w:t>
            </w:r>
            <w:proofErr w:type="spellEnd"/>
            <w:r w:rsidR="00F50ABF">
              <w:rPr>
                <w:sz w:val="20"/>
                <w:szCs w:val="20"/>
              </w:rPr>
              <w:t xml:space="preserve"> </w:t>
            </w:r>
            <w:r w:rsidRPr="001222AB">
              <w:rPr>
                <w:sz w:val="20"/>
                <w:szCs w:val="20"/>
              </w:rPr>
              <w:t>in tuberous sclerosis.</w:t>
            </w:r>
          </w:p>
          <w:p w14:paraId="14D67D64" w14:textId="77777777" w:rsidR="001222AB" w:rsidRPr="001222AB" w:rsidRDefault="00F50ABF" w:rsidP="00FF595A">
            <w:pPr>
              <w:rPr>
                <w:sz w:val="20"/>
                <w:szCs w:val="20"/>
              </w:rPr>
            </w:pPr>
            <w:r>
              <w:rPr>
                <w:sz w:val="20"/>
                <w:szCs w:val="20"/>
              </w:rPr>
              <w:t>(</w:t>
            </w:r>
            <w:r w:rsidR="001222AB" w:rsidRPr="001222AB">
              <w:rPr>
                <w:sz w:val="20"/>
                <w:szCs w:val="20"/>
              </w:rPr>
              <w:t>Immunoblotting, immunohistochemical analysis</w:t>
            </w:r>
            <w:r>
              <w:rPr>
                <w:sz w:val="20"/>
                <w:szCs w:val="20"/>
              </w:rPr>
              <w:t>)</w:t>
            </w:r>
          </w:p>
        </w:tc>
        <w:tc>
          <w:tcPr>
            <w:tcW w:w="4394" w:type="dxa"/>
          </w:tcPr>
          <w:p w14:paraId="03951523" w14:textId="77777777" w:rsidR="001222AB" w:rsidRPr="00FF595A" w:rsidRDefault="001222AB" w:rsidP="00FF595A">
            <w:pPr>
              <w:pStyle w:val="ListBullet"/>
              <w:rPr>
                <w:sz w:val="20"/>
                <w:szCs w:val="20"/>
              </w:rPr>
            </w:pPr>
            <w:r w:rsidRPr="00FF595A">
              <w:rPr>
                <w:sz w:val="20"/>
                <w:szCs w:val="20"/>
              </w:rPr>
              <w:lastRenderedPageBreak/>
              <w:t xml:space="preserve">In all samples, S6K and </w:t>
            </w:r>
            <w:proofErr w:type="spellStart"/>
            <w:r w:rsidRPr="00FF595A">
              <w:rPr>
                <w:sz w:val="20"/>
                <w:szCs w:val="20"/>
              </w:rPr>
              <w:t>hamartin</w:t>
            </w:r>
            <w:proofErr w:type="spellEnd"/>
            <w:r w:rsidRPr="00FF595A">
              <w:rPr>
                <w:sz w:val="20"/>
                <w:szCs w:val="20"/>
              </w:rPr>
              <w:t xml:space="preserve"> (encoded by TSC1) was expressed</w:t>
            </w:r>
          </w:p>
          <w:p w14:paraId="09589C81" w14:textId="77777777" w:rsidR="001222AB" w:rsidRPr="00FF595A" w:rsidRDefault="001222AB" w:rsidP="00FF595A">
            <w:pPr>
              <w:pStyle w:val="ListBullet"/>
              <w:rPr>
                <w:sz w:val="20"/>
                <w:szCs w:val="20"/>
              </w:rPr>
            </w:pPr>
            <w:proofErr w:type="spellStart"/>
            <w:r w:rsidRPr="00FF595A">
              <w:rPr>
                <w:sz w:val="20"/>
                <w:szCs w:val="20"/>
              </w:rPr>
              <w:t>Tuberin</w:t>
            </w:r>
            <w:proofErr w:type="spellEnd"/>
            <w:r w:rsidRPr="00FF595A">
              <w:rPr>
                <w:sz w:val="20"/>
                <w:szCs w:val="20"/>
              </w:rPr>
              <w:t xml:space="preserve"> (TSC2) was weak or absent in </w:t>
            </w:r>
            <w:proofErr w:type="spellStart"/>
            <w:r w:rsidRPr="00FF595A">
              <w:rPr>
                <w:sz w:val="20"/>
                <w:szCs w:val="20"/>
              </w:rPr>
              <w:t>angiomyolipomas</w:t>
            </w:r>
            <w:proofErr w:type="spellEnd"/>
            <w:r w:rsidRPr="00FF595A">
              <w:rPr>
                <w:sz w:val="20"/>
                <w:szCs w:val="20"/>
              </w:rPr>
              <w:t>, but present in healthy kidney</w:t>
            </w:r>
          </w:p>
          <w:p w14:paraId="2778B868" w14:textId="77777777" w:rsidR="001222AB" w:rsidRPr="00FF595A" w:rsidRDefault="001222AB" w:rsidP="00FF595A">
            <w:pPr>
              <w:pStyle w:val="ListBullet"/>
              <w:rPr>
                <w:sz w:val="20"/>
                <w:szCs w:val="20"/>
              </w:rPr>
            </w:pPr>
            <w:r w:rsidRPr="00FF595A">
              <w:rPr>
                <w:sz w:val="20"/>
                <w:szCs w:val="20"/>
              </w:rPr>
              <w:t xml:space="preserve">Phosphorylated p70 S6 kinase and p56 observed in </w:t>
            </w:r>
            <w:proofErr w:type="spellStart"/>
            <w:r w:rsidRPr="00FF595A">
              <w:rPr>
                <w:sz w:val="20"/>
                <w:szCs w:val="20"/>
              </w:rPr>
              <w:t>angiomyolipomas</w:t>
            </w:r>
            <w:proofErr w:type="spellEnd"/>
            <w:r w:rsidRPr="00FF595A">
              <w:rPr>
                <w:sz w:val="20"/>
                <w:szCs w:val="20"/>
              </w:rPr>
              <w:t xml:space="preserve"> only </w:t>
            </w:r>
          </w:p>
          <w:p w14:paraId="5D473043" w14:textId="77777777" w:rsidR="001222AB" w:rsidRPr="001222AB" w:rsidRDefault="001222AB" w:rsidP="001222AB">
            <w:pPr>
              <w:rPr>
                <w:sz w:val="20"/>
                <w:szCs w:val="20"/>
              </w:rPr>
            </w:pPr>
            <w:r w:rsidRPr="00FF595A">
              <w:rPr>
                <w:i/>
                <w:sz w:val="20"/>
                <w:szCs w:val="20"/>
              </w:rPr>
              <w:t>Conclusion</w:t>
            </w:r>
            <w:r w:rsidR="00FF595A">
              <w:rPr>
                <w:sz w:val="20"/>
                <w:szCs w:val="20"/>
              </w:rPr>
              <w:t xml:space="preserve">. </w:t>
            </w:r>
            <w:r w:rsidRPr="001222AB">
              <w:rPr>
                <w:sz w:val="20"/>
                <w:szCs w:val="20"/>
              </w:rPr>
              <w:t>Activation of a mammalian target of rapamycin metabolic pathway (</w:t>
            </w:r>
            <w:proofErr w:type="spellStart"/>
            <w:r w:rsidRPr="001222AB">
              <w:rPr>
                <w:sz w:val="20"/>
                <w:szCs w:val="20"/>
              </w:rPr>
              <w:t>mTOR</w:t>
            </w:r>
            <w:proofErr w:type="spellEnd"/>
            <w:r w:rsidRPr="001222AB">
              <w:rPr>
                <w:sz w:val="20"/>
                <w:szCs w:val="20"/>
              </w:rPr>
              <w:t xml:space="preserve">) contributes to the growth of </w:t>
            </w:r>
            <w:proofErr w:type="spellStart"/>
            <w:r w:rsidRPr="001222AB">
              <w:rPr>
                <w:sz w:val="20"/>
                <w:szCs w:val="20"/>
              </w:rPr>
              <w:t>angiomyolipomas</w:t>
            </w:r>
            <w:proofErr w:type="spellEnd"/>
            <w:r w:rsidRPr="001222AB">
              <w:rPr>
                <w:sz w:val="20"/>
                <w:szCs w:val="20"/>
              </w:rPr>
              <w:t xml:space="preserve"> (AMLs)</w:t>
            </w:r>
          </w:p>
        </w:tc>
      </w:tr>
    </w:tbl>
    <w:p w14:paraId="54D29405" w14:textId="77777777" w:rsidR="008E7846" w:rsidRDefault="008E7846" w:rsidP="003E424C">
      <w:pPr>
        <w:pStyle w:val="Heading3"/>
      </w:pPr>
      <w:bookmarkStart w:id="39" w:name="_Toc247691515"/>
      <w:bookmarkStart w:id="40" w:name="_Toc314842499"/>
      <w:bookmarkStart w:id="41" w:name="_Toc1555405"/>
      <w:r>
        <w:lastRenderedPageBreak/>
        <w:t xml:space="preserve">Nonclinical summary and </w:t>
      </w:r>
      <w:r w:rsidRPr="003E424C">
        <w:t>conclusions</w:t>
      </w:r>
      <w:bookmarkEnd w:id="39"/>
      <w:bookmarkEnd w:id="40"/>
      <w:bookmarkEnd w:id="41"/>
    </w:p>
    <w:p w14:paraId="2D85673F" w14:textId="77777777" w:rsidR="00F50ABF" w:rsidRDefault="00FF595A" w:rsidP="003E424C">
      <w:r w:rsidRPr="00FF595A">
        <w:t xml:space="preserve">The proposed changes to the draft PI require nonclinical evaluation. No new animal data with everolimus were submitted. In support of the proposed changes to the PI, </w:t>
      </w:r>
      <w:r w:rsidR="0014640B">
        <w:t xml:space="preserve">the nonclinical dossier </w:t>
      </w:r>
      <w:r w:rsidRPr="00FF595A">
        <w:t xml:space="preserve">comprised </w:t>
      </w:r>
      <w:r w:rsidR="0014640B">
        <w:t xml:space="preserve">115 literature publications. Of </w:t>
      </w:r>
      <w:r w:rsidRPr="00FF595A">
        <w:t>these, 20 were considered to be of particular relevance to this application</w:t>
      </w:r>
      <w:r w:rsidR="00F50ABF">
        <w:t>.</w:t>
      </w:r>
    </w:p>
    <w:p w14:paraId="71D6B726" w14:textId="71DB3014" w:rsidR="00FF595A" w:rsidRPr="00FF595A" w:rsidRDefault="00FF595A" w:rsidP="003E424C">
      <w:r w:rsidRPr="00FF595A">
        <w:t>The revised and/or new ‘Mechanism of Action’</w:t>
      </w:r>
      <w:r w:rsidR="00F50ABF">
        <w:t xml:space="preserve"> </w:t>
      </w:r>
      <w:r w:rsidRPr="00FF595A">
        <w:t>nonc</w:t>
      </w:r>
      <w:r w:rsidR="0014640B">
        <w:t xml:space="preserve">linical statements in the draft PI were </w:t>
      </w:r>
      <w:r w:rsidRPr="00FF595A">
        <w:t>either supported by data reviewed in earlier evaluation reports</w:t>
      </w:r>
      <w:r w:rsidR="00F50ABF">
        <w:t xml:space="preserve"> </w:t>
      </w:r>
      <w:r w:rsidRPr="00FF595A">
        <w:t xml:space="preserve">and/or were supported by newly submitted published data. Details of the studies which were evaluated to support the Mechanism of Action (Pharmacodynamics) section of the PI are included </w:t>
      </w:r>
      <w:r>
        <w:t>above.</w:t>
      </w:r>
    </w:p>
    <w:p w14:paraId="553D0FC9" w14:textId="77777777" w:rsidR="00FF595A" w:rsidRPr="00FF595A" w:rsidRDefault="00FF595A" w:rsidP="003E424C">
      <w:r w:rsidRPr="00FF595A">
        <w:t xml:space="preserve">The nonclinical statements in </w:t>
      </w:r>
      <w:r>
        <w:t>the proposed PI are acceptable.</w:t>
      </w:r>
    </w:p>
    <w:p w14:paraId="229369EA" w14:textId="77777777" w:rsidR="00FF595A" w:rsidRPr="00FF595A" w:rsidRDefault="00FF595A" w:rsidP="003E424C">
      <w:r w:rsidRPr="00FF595A">
        <w:t>There are no nonclinical objections to the proposed extension of indications.</w:t>
      </w:r>
    </w:p>
    <w:p w14:paraId="0C52EBF6" w14:textId="77777777" w:rsidR="008E7846" w:rsidRPr="00254787" w:rsidRDefault="008E7846" w:rsidP="003E424C">
      <w:pPr>
        <w:pStyle w:val="Heading2"/>
      </w:pPr>
      <w:bookmarkStart w:id="42" w:name="_Toc196046462"/>
      <w:bookmarkStart w:id="43" w:name="_Toc247691516"/>
      <w:bookmarkStart w:id="44" w:name="_Toc314842500"/>
      <w:bookmarkStart w:id="45" w:name="_Toc163441353"/>
      <w:bookmarkStart w:id="46" w:name="_Toc163441348"/>
      <w:bookmarkStart w:id="47" w:name="_Toc1555406"/>
      <w:r>
        <w:t xml:space="preserve">V. </w:t>
      </w:r>
      <w:r w:rsidRPr="00254787">
        <w:t>Clinical</w:t>
      </w:r>
      <w:bookmarkEnd w:id="42"/>
      <w:r>
        <w:t xml:space="preserve"> </w:t>
      </w:r>
      <w:r w:rsidR="003A7F6C">
        <w:t>f</w:t>
      </w:r>
      <w:r>
        <w:t>indings</w:t>
      </w:r>
      <w:bookmarkEnd w:id="43"/>
      <w:bookmarkEnd w:id="44"/>
      <w:bookmarkEnd w:id="47"/>
    </w:p>
    <w:p w14:paraId="6432E773" w14:textId="77777777" w:rsidR="008E7846" w:rsidRDefault="008E7846" w:rsidP="008E7846">
      <w:pPr>
        <w:pStyle w:val="Heading3"/>
      </w:pPr>
      <w:bookmarkStart w:id="48" w:name="_Toc196046463"/>
      <w:bookmarkStart w:id="49" w:name="_Toc247691517"/>
      <w:bookmarkStart w:id="50" w:name="_Toc314842501"/>
      <w:bookmarkStart w:id="51" w:name="_Toc1555407"/>
      <w:r w:rsidRPr="00254787">
        <w:t>Introduction</w:t>
      </w:r>
      <w:bookmarkEnd w:id="48"/>
      <w:bookmarkEnd w:id="49"/>
      <w:bookmarkEnd w:id="50"/>
      <w:bookmarkEnd w:id="51"/>
    </w:p>
    <w:p w14:paraId="0FE611A1" w14:textId="0BF0AC94" w:rsidR="003E50AD" w:rsidRDefault="003E50AD" w:rsidP="003E424C">
      <w:r w:rsidRPr="001840CA">
        <w:t>Everolimus was initially developed for the prophylaxis of organ transplant rejection. It was first registered in Australia in 2009 for treatment of advanced renal cell carcinoma.</w:t>
      </w:r>
      <w:r>
        <w:t xml:space="preserve"> </w:t>
      </w:r>
      <w:r w:rsidRPr="001840CA">
        <w:t xml:space="preserve">Everolimus has multiple indications with the most recent extension for the treatment of progressive, unresectable or metastatic, </w:t>
      </w:r>
      <w:r w:rsidR="00F50ABF">
        <w:t>well differentiated</w:t>
      </w:r>
      <w:r w:rsidRPr="001840CA">
        <w:t>, non-functional neuroendocrine tumours (NET) of gastrointestinal or lung origin. That submission (</w:t>
      </w:r>
      <w:r w:rsidR="00045CB2">
        <w:t>Submission </w:t>
      </w:r>
      <w:r w:rsidRPr="001840CA">
        <w:t>PM-2015-03569-1-4) was approved on 13 January 2017</w:t>
      </w:r>
      <w:r>
        <w:t>.</w:t>
      </w:r>
    </w:p>
    <w:p w14:paraId="083F01B8" w14:textId="77777777" w:rsidR="003E50AD" w:rsidRPr="001840CA" w:rsidRDefault="003E50AD" w:rsidP="003E424C">
      <w:r w:rsidRPr="001840CA">
        <w:t>Of particular note for paediatric use:</w:t>
      </w:r>
    </w:p>
    <w:p w14:paraId="7431941B" w14:textId="77777777" w:rsidR="003E50AD" w:rsidRPr="003E424C" w:rsidRDefault="003E50AD" w:rsidP="003E424C">
      <w:pPr>
        <w:pStyle w:val="ListBullet"/>
      </w:pPr>
      <w:r w:rsidRPr="003E50AD">
        <w:t xml:space="preserve">Everolimus is not recommended for use in </w:t>
      </w:r>
      <w:r w:rsidRPr="003E424C">
        <w:t>paediatric cancer patients.</w:t>
      </w:r>
    </w:p>
    <w:p w14:paraId="2D0BCCB7" w14:textId="00D05FE3" w:rsidR="003E50AD" w:rsidRPr="003E424C" w:rsidRDefault="003E50AD" w:rsidP="003E424C">
      <w:pPr>
        <w:pStyle w:val="ListBullet"/>
      </w:pPr>
      <w:proofErr w:type="spellStart"/>
      <w:r w:rsidRPr="003E424C">
        <w:t>Everolimus</w:t>
      </w:r>
      <w:proofErr w:type="spellEnd"/>
      <w:r w:rsidRPr="003E424C">
        <w:t xml:space="preserve"> is not recommended for use in paediatric patients with TSC who have renal </w:t>
      </w:r>
      <w:proofErr w:type="spellStart"/>
      <w:r w:rsidRPr="003E424C">
        <w:t>angiomyolipoma</w:t>
      </w:r>
      <w:proofErr w:type="spellEnd"/>
      <w:r w:rsidRPr="003E424C">
        <w:t xml:space="preserve"> in the absence of </w:t>
      </w:r>
      <w:proofErr w:type="spellStart"/>
      <w:r w:rsidR="00045CB2" w:rsidRPr="003E424C">
        <w:t>subependymal</w:t>
      </w:r>
      <w:proofErr w:type="spellEnd"/>
      <w:r w:rsidR="00635084" w:rsidRPr="003E424C">
        <w:t xml:space="preserve"> giant</w:t>
      </w:r>
      <w:r w:rsidR="00045CB2" w:rsidRPr="003E424C">
        <w:t xml:space="preserve"> cell astrocytoma </w:t>
      </w:r>
      <w:r w:rsidR="0014640B" w:rsidRPr="003E424C">
        <w:t>(</w:t>
      </w:r>
      <w:r w:rsidRPr="003E424C">
        <w:t>SEGA</w:t>
      </w:r>
      <w:r w:rsidR="0014640B" w:rsidRPr="003E424C">
        <w:t>)</w:t>
      </w:r>
      <w:r w:rsidRPr="003E424C">
        <w:t>.</w:t>
      </w:r>
    </w:p>
    <w:p w14:paraId="38B95A87" w14:textId="29D37A01" w:rsidR="003E50AD" w:rsidRPr="003E50AD" w:rsidRDefault="003E50AD" w:rsidP="003E424C">
      <w:pPr>
        <w:pStyle w:val="ListBullet"/>
      </w:pPr>
      <w:proofErr w:type="spellStart"/>
      <w:r w:rsidRPr="003E424C">
        <w:t>Everolimus</w:t>
      </w:r>
      <w:proofErr w:type="spellEnd"/>
      <w:r w:rsidRPr="003E424C">
        <w:t xml:space="preserve"> has not been studied in p</w:t>
      </w:r>
      <w:r w:rsidR="00045CB2" w:rsidRPr="003E424C">
        <w:t>a</w:t>
      </w:r>
      <w:r w:rsidRPr="003E424C">
        <w:t xml:space="preserve">ediatric patients </w:t>
      </w:r>
      <w:r w:rsidR="00F50ABF" w:rsidRPr="003E424C">
        <w:t xml:space="preserve">&lt; </w:t>
      </w:r>
      <w:r w:rsidRPr="003E424C">
        <w:t>1 year</w:t>
      </w:r>
      <w:r w:rsidRPr="003E50AD">
        <w:t xml:space="preserve"> of age with TSC who have </w:t>
      </w:r>
      <w:r w:rsidR="0014640B">
        <w:t>SEGA</w:t>
      </w:r>
      <w:r w:rsidRPr="003E50AD">
        <w:t>.</w:t>
      </w:r>
    </w:p>
    <w:p w14:paraId="39D2C2E9" w14:textId="77777777" w:rsidR="003E50AD" w:rsidRPr="003E50AD" w:rsidRDefault="003E50AD" w:rsidP="003E50AD">
      <w:pPr>
        <w:pStyle w:val="ListBullet"/>
      </w:pPr>
      <w:r w:rsidRPr="003E50AD">
        <w:t xml:space="preserve">Dosing recommendations for paediatric patients with TSC who have SEGA are consistent with those for the corresponding adult population with the exception of those patients with hepatic impairment. Everolimus is not recommended for patients </w:t>
      </w:r>
      <w:r w:rsidR="00F50ABF">
        <w:t xml:space="preserve">&lt; </w:t>
      </w:r>
      <w:r w:rsidRPr="003E50AD">
        <w:t>18 years of age with TSC who have SEGA and hepatic impairment.</w:t>
      </w:r>
    </w:p>
    <w:p w14:paraId="658C44A0" w14:textId="77777777" w:rsidR="003E50AD" w:rsidRDefault="003E50AD" w:rsidP="003E424C">
      <w:r w:rsidRPr="001840CA">
        <w:t>This submission represents that first proposed use of everolimus for a non-oncology indication.</w:t>
      </w:r>
      <w:r>
        <w:t xml:space="preserve"> </w:t>
      </w:r>
      <w:r w:rsidRPr="001840CA">
        <w:t>Additionally it is proposed for use in a paediatric population</w:t>
      </w:r>
      <w:r>
        <w:t>.</w:t>
      </w:r>
    </w:p>
    <w:p w14:paraId="5131A21D" w14:textId="77777777" w:rsidR="003E50AD" w:rsidRPr="003E50AD" w:rsidRDefault="003E50AD" w:rsidP="003E424C">
      <w:r w:rsidRPr="001840CA">
        <w:t xml:space="preserve">About 85% of children and adolescents with TSC have neurological manifestations including epilepsy, cognitive impairment and behavioural problems, whereas a subset of affected adults have no signs of cerebral manifestations and have a normal mental status. </w:t>
      </w:r>
      <w:r w:rsidRPr="001840CA">
        <w:lastRenderedPageBreak/>
        <w:t xml:space="preserve">Brain lesions mainly consist of cortical tubers, </w:t>
      </w:r>
      <w:proofErr w:type="spellStart"/>
      <w:r w:rsidRPr="001840CA">
        <w:t>subependymal</w:t>
      </w:r>
      <w:proofErr w:type="spellEnd"/>
      <w:r w:rsidRPr="001840CA">
        <w:t xml:space="preserve"> nodules and </w:t>
      </w:r>
      <w:proofErr w:type="spellStart"/>
      <w:r w:rsidRPr="001840CA">
        <w:t>subependymal</w:t>
      </w:r>
      <w:proofErr w:type="spellEnd"/>
      <w:r w:rsidRPr="001840CA">
        <w:t xml:space="preserve"> giant-cell </w:t>
      </w:r>
      <w:proofErr w:type="spellStart"/>
      <w:r w:rsidRPr="001840CA">
        <w:t>astrocytomas</w:t>
      </w:r>
      <w:proofErr w:type="spellEnd"/>
      <w:r w:rsidRPr="001840CA">
        <w:t>, whose growth is a fearful complication.</w:t>
      </w:r>
      <w:r w:rsidRPr="007300EE">
        <w:rPr>
          <w:vertAlign w:val="superscript"/>
        </w:rPr>
        <w:footnoteReference w:id="27"/>
      </w:r>
    </w:p>
    <w:p w14:paraId="78251344" w14:textId="77777777" w:rsidR="00605AD4" w:rsidRDefault="00605AD4" w:rsidP="003E424C">
      <w:pPr>
        <w:pStyle w:val="Heading4"/>
      </w:pPr>
      <w:bookmarkStart w:id="52" w:name="_Toc196046464"/>
      <w:bookmarkStart w:id="53" w:name="_Toc247691518"/>
      <w:bookmarkStart w:id="54" w:name="_Toc314842502"/>
      <w:r w:rsidRPr="003E424C">
        <w:t>Clinical</w:t>
      </w:r>
      <w:r w:rsidRPr="00605AD4">
        <w:t xml:space="preserve"> </w:t>
      </w:r>
      <w:r w:rsidR="00EF59DC">
        <w:t>r</w:t>
      </w:r>
      <w:r w:rsidRPr="00605AD4">
        <w:t>ationale</w:t>
      </w:r>
    </w:p>
    <w:p w14:paraId="416104A6" w14:textId="77777777" w:rsidR="003E50AD" w:rsidRDefault="003E50AD" w:rsidP="003E424C">
      <w:pPr>
        <w:pStyle w:val="Heading5"/>
      </w:pPr>
      <w:r w:rsidRPr="00621E82">
        <w:t xml:space="preserve">Information on the condition being </w:t>
      </w:r>
      <w:r w:rsidRPr="003E424C">
        <w:t>treated</w:t>
      </w:r>
    </w:p>
    <w:p w14:paraId="41FC3257" w14:textId="77777777" w:rsidR="003E50AD" w:rsidRPr="001840CA" w:rsidRDefault="003E50AD" w:rsidP="003E424C">
      <w:r w:rsidRPr="001840CA">
        <w:t xml:space="preserve">Tuberous sclerosis complex has a prevalence approaching 1 in 6000 live births. It is an autosomal dominant genetic condition involving the </w:t>
      </w:r>
      <w:r w:rsidR="0014640B">
        <w:t>TSC1</w:t>
      </w:r>
      <w:r w:rsidRPr="001840CA">
        <w:t xml:space="preserve"> and/or the </w:t>
      </w:r>
      <w:r w:rsidR="0014640B">
        <w:t>TSC2 gene</w:t>
      </w:r>
      <w:r w:rsidRPr="001840CA">
        <w:t>, mutations of which are found in 80% to 85% of patients.</w:t>
      </w:r>
    </w:p>
    <w:p w14:paraId="03240BE0" w14:textId="77777777" w:rsidR="003E50AD" w:rsidRPr="001840CA" w:rsidRDefault="003E50AD" w:rsidP="003E424C">
      <w:r w:rsidRPr="001840CA">
        <w:t xml:space="preserve">Products from these two genes form a tumour suppressor complex. When either TSC1 or TSC2 are deficient, mammalian target of rapamycin complex 1 (mTORC1) is upregulated leading to abnormal cellular growth, proliferation, and protein synthesis. </w:t>
      </w:r>
      <w:proofErr w:type="gramStart"/>
      <w:r w:rsidRPr="001840CA">
        <w:t>This results</w:t>
      </w:r>
      <w:proofErr w:type="gramEnd"/>
      <w:r w:rsidRPr="001840CA">
        <w:t xml:space="preserve"> in a variety of benign tumours, or hamartomas, in multiple organ systems: lesions in the kidney, brain, skin, lung, heart, and eye.</w:t>
      </w:r>
    </w:p>
    <w:p w14:paraId="18E842CE" w14:textId="54FB46A1" w:rsidR="003E50AD" w:rsidRPr="001840CA" w:rsidRDefault="003E50AD" w:rsidP="003E424C">
      <w:r w:rsidRPr="001840CA">
        <w:t xml:space="preserve">Up to 20% of hamartomas in the brain (usually </w:t>
      </w:r>
      <w:proofErr w:type="spellStart"/>
      <w:r w:rsidRPr="001840CA">
        <w:t>subependymal</w:t>
      </w:r>
      <w:proofErr w:type="spellEnd"/>
      <w:r w:rsidRPr="001840CA">
        <w:t xml:space="preserve"> nodules) demonstrate progressive growth becoming </w:t>
      </w:r>
      <w:proofErr w:type="spellStart"/>
      <w:r w:rsidRPr="001840CA">
        <w:t>subependymal</w:t>
      </w:r>
      <w:proofErr w:type="spellEnd"/>
      <w:r w:rsidRPr="001840CA">
        <w:t xml:space="preserve"> giant-cell </w:t>
      </w:r>
      <w:proofErr w:type="spellStart"/>
      <w:r w:rsidRPr="001840CA">
        <w:t>astrocytomas</w:t>
      </w:r>
      <w:proofErr w:type="spellEnd"/>
      <w:r w:rsidRPr="001840CA">
        <w:t xml:space="preserve"> (SEGA). As they enlarge, symptoms of increased intracranial pressure, new neurologic deficits, or deterioration of seizure control may be observed.</w:t>
      </w:r>
    </w:p>
    <w:p w14:paraId="215795AF" w14:textId="77777777" w:rsidR="003E50AD" w:rsidRPr="001840CA" w:rsidRDefault="0014640B" w:rsidP="003E424C">
      <w:r>
        <w:t xml:space="preserve">Development can occur of early onset epilepsy and other neuro </w:t>
      </w:r>
      <w:r w:rsidR="003E50AD" w:rsidRPr="001840CA">
        <w:t>psychiatric problems such as developmental delay, mental retardation, and autism.</w:t>
      </w:r>
    </w:p>
    <w:p w14:paraId="38161193" w14:textId="77777777" w:rsidR="003E50AD" w:rsidRPr="001840CA" w:rsidRDefault="003E50AD" w:rsidP="003E424C">
      <w:r w:rsidRPr="001840CA">
        <w:t xml:space="preserve">In patients with TSC, the mechanisms causing epilepsy are not entirely understood; dysregulation of development and maintenance of cortical structure and function because of </w:t>
      </w:r>
      <w:proofErr w:type="spellStart"/>
      <w:r w:rsidRPr="001840CA">
        <w:t>mTOR</w:t>
      </w:r>
      <w:proofErr w:type="spellEnd"/>
      <w:r w:rsidRPr="001840CA">
        <w:t xml:space="preserve"> dependent processes may play a role in the development of epilepsy and neuropsychiatric disorders.</w:t>
      </w:r>
    </w:p>
    <w:p w14:paraId="41ACF451" w14:textId="77777777" w:rsidR="003E50AD" w:rsidRPr="001840CA" w:rsidRDefault="003E50AD" w:rsidP="003E424C">
      <w:pPr>
        <w:pStyle w:val="Heading6"/>
      </w:pPr>
      <w:r w:rsidRPr="003E424C">
        <w:t>Seizures</w:t>
      </w:r>
    </w:p>
    <w:p w14:paraId="23259EF2" w14:textId="77777777" w:rsidR="003E50AD" w:rsidRPr="001840CA" w:rsidRDefault="003E50AD" w:rsidP="003E424C">
      <w:r w:rsidRPr="001840CA">
        <w:t>Up to 90% of individuals with TSC are affected by a variety of seizure types of epilepsy, typically occurring in the first year of life (with 82% before 3 years of age); however, up to 12% of adult patients with TSC develop epilepsy as adults.</w:t>
      </w:r>
    </w:p>
    <w:p w14:paraId="754F6362" w14:textId="77777777" w:rsidR="003E50AD" w:rsidRDefault="003E50AD" w:rsidP="003E424C">
      <w:r w:rsidRPr="001840CA">
        <w:t>Patients with seizure onset before the age of 4 years, particularly when the seizures are frequent or refractory, have a substantially increased risk of subsequent mental retardation or autism</w:t>
      </w:r>
      <w:r>
        <w:t>.</w:t>
      </w:r>
    </w:p>
    <w:p w14:paraId="01A48CA8" w14:textId="77777777" w:rsidR="003E50AD" w:rsidRDefault="003E50AD" w:rsidP="003E424C">
      <w:pPr>
        <w:pStyle w:val="Heading6"/>
      </w:pPr>
      <w:bookmarkStart w:id="55" w:name="_Toc513018258"/>
      <w:r w:rsidRPr="00621E82">
        <w:t xml:space="preserve">Current </w:t>
      </w:r>
      <w:r w:rsidRPr="003E424C">
        <w:t>treatment</w:t>
      </w:r>
      <w:r w:rsidRPr="00621E82">
        <w:t xml:space="preserve"> options and clinical rationale</w:t>
      </w:r>
      <w:bookmarkEnd w:id="55"/>
    </w:p>
    <w:p w14:paraId="20B4CBCB" w14:textId="77777777" w:rsidR="003E50AD" w:rsidRPr="001840CA" w:rsidRDefault="003E50AD" w:rsidP="003E424C">
      <w:r w:rsidRPr="001840CA">
        <w:t>SEGA are seen more frequently in childhood and adolescence; however, they have been reported in patients in their 30s and 40s. Historically, surgical resection has been used as standard of care to treat patients with TSC with SEGA. Despite its chances for success, a con</w:t>
      </w:r>
      <w:r w:rsidR="0014640B">
        <w:t>siderable level of risk of peri and post-</w:t>
      </w:r>
      <w:r w:rsidR="0014640B" w:rsidRPr="001840CA">
        <w:t>operative</w:t>
      </w:r>
      <w:r w:rsidRPr="001840CA">
        <w:t xml:space="preserve"> complications exists for such patients.</w:t>
      </w:r>
    </w:p>
    <w:p w14:paraId="52FAFE84" w14:textId="77777777" w:rsidR="003E50AD" w:rsidRPr="001840CA" w:rsidRDefault="003E50AD" w:rsidP="003E424C">
      <w:r w:rsidRPr="001840CA">
        <w:t>Seizures in patients with TSC may be controlled by medication such as antiepileptic drugs (AEDs) or methods such as epilepsy surgery, vagal nerve stimulator or ketogenic diet</w:t>
      </w:r>
      <w:r w:rsidR="0014640B">
        <w:t xml:space="preserve">. </w:t>
      </w:r>
      <w:r w:rsidRPr="001840CA">
        <w:t>However seizures associated with TSC are poorly controlled by AEDs or epilepsy surgery, vagal nerve stimulation (VNS) or ketogenic diet and up to 60% of patients with TSC associated epilepsy fail to demonstrate improvement in seizure frequency with available therapies.</w:t>
      </w:r>
    </w:p>
    <w:p w14:paraId="0202F625" w14:textId="77777777" w:rsidR="003E50AD" w:rsidRDefault="003E50AD" w:rsidP="00F115F2">
      <w:pPr>
        <w:pStyle w:val="Heading6"/>
      </w:pPr>
      <w:bookmarkStart w:id="56" w:name="_Toc513018259"/>
      <w:r w:rsidRPr="00621E82">
        <w:t>Clinical rationale</w:t>
      </w:r>
      <w:bookmarkEnd w:id="56"/>
    </w:p>
    <w:p w14:paraId="46A99FB0" w14:textId="77777777" w:rsidR="00500337" w:rsidRPr="00500337" w:rsidRDefault="003E50AD" w:rsidP="003E424C">
      <w:r w:rsidRPr="001840CA">
        <w:t>Pre-clinical results established th</w:t>
      </w:r>
      <w:r w:rsidR="0014640B">
        <w:t xml:space="preserve">e critical role of </w:t>
      </w:r>
      <w:proofErr w:type="spellStart"/>
      <w:r w:rsidR="0014640B">
        <w:t>mTOR</w:t>
      </w:r>
      <w:proofErr w:type="spellEnd"/>
      <w:r w:rsidR="0014640B">
        <w:t xml:space="preserve"> in TSC </w:t>
      </w:r>
      <w:r w:rsidRPr="001840CA">
        <w:t xml:space="preserve">related seizures and underlying </w:t>
      </w:r>
      <w:proofErr w:type="spellStart"/>
      <w:r w:rsidRPr="001840CA">
        <w:t>epileptogenesis</w:t>
      </w:r>
      <w:proofErr w:type="spellEnd"/>
      <w:r w:rsidRPr="001840CA">
        <w:t xml:space="preserve"> mechanisms and suggested inhibiting </w:t>
      </w:r>
      <w:proofErr w:type="spellStart"/>
      <w:r w:rsidRPr="001840CA">
        <w:t>mTOR</w:t>
      </w:r>
      <w:proofErr w:type="spellEnd"/>
      <w:r w:rsidRPr="001840CA">
        <w:t xml:space="preserve"> is a promising </w:t>
      </w:r>
      <w:r w:rsidRPr="001840CA">
        <w:lastRenderedPageBreak/>
        <w:t>mechanism</w:t>
      </w:r>
      <w:r w:rsidR="0014640B">
        <w:t xml:space="preserve"> </w:t>
      </w:r>
      <w:r w:rsidRPr="001840CA">
        <w:t xml:space="preserve">based seizure reduction and </w:t>
      </w:r>
      <w:proofErr w:type="spellStart"/>
      <w:r w:rsidRPr="001840CA">
        <w:t>antiepileptogenic</w:t>
      </w:r>
      <w:proofErr w:type="spellEnd"/>
      <w:r w:rsidRPr="001840CA">
        <w:t xml:space="preserve"> therapy for treating TSC related epilepsy. On the basis of these pre-clinical results and preliminary clinical efficacy data, Novartis initiated a </w:t>
      </w:r>
      <w:r w:rsidR="00656D98">
        <w:t>Phase III</w:t>
      </w:r>
      <w:r w:rsidRPr="001840CA">
        <w:t xml:space="preserve"> study to investigate the safety and efficacy of everolimus in patients with TSC and refractory seizures.</w:t>
      </w:r>
    </w:p>
    <w:p w14:paraId="74601042" w14:textId="77777777" w:rsidR="00605AD4" w:rsidRDefault="00605AD4" w:rsidP="003E424C">
      <w:pPr>
        <w:pStyle w:val="Heading4"/>
      </w:pPr>
      <w:r w:rsidRPr="003E424C">
        <w:t>Guidance</w:t>
      </w:r>
    </w:p>
    <w:p w14:paraId="245CA558" w14:textId="30FC5174" w:rsidR="00F115F2" w:rsidRPr="003E424C" w:rsidRDefault="00F115F2" w:rsidP="003E424C">
      <w:pPr>
        <w:pStyle w:val="ListBullet"/>
      </w:pPr>
      <w:r w:rsidRPr="007911BD">
        <w:t>CHMP/EWP/566/98 Rev.2/</w:t>
      </w:r>
      <w:proofErr w:type="spellStart"/>
      <w:r w:rsidRPr="007911BD">
        <w:t>Corr</w:t>
      </w:r>
      <w:proofErr w:type="spellEnd"/>
      <w:r w:rsidRPr="007911BD">
        <w:t xml:space="preserve"> Guideline on Clinical Investigation of Medicinal Products in the Treatment of Epileptic Disorders </w:t>
      </w:r>
      <w:r w:rsidRPr="003E424C">
        <w:t>Effective: 17 December 2010.</w:t>
      </w:r>
    </w:p>
    <w:p w14:paraId="113FF411" w14:textId="77777777" w:rsidR="00F115F2" w:rsidRPr="003E424C" w:rsidRDefault="00F115F2" w:rsidP="003E424C">
      <w:pPr>
        <w:pStyle w:val="ListBullet"/>
      </w:pPr>
      <w:r w:rsidRPr="003E424C">
        <w:t>CPMP/EWP/2330/99 Points to Consider on Application with 1. Meta-Analyses; 2. One Pivotal Study Effective: 27 March 2002 TGA annotation: Sponsors are reminded that they should submit all available new safety data that are relevant to the intended treatment population.</w:t>
      </w:r>
    </w:p>
    <w:p w14:paraId="5D82F482" w14:textId="77777777" w:rsidR="00F115F2" w:rsidRPr="003E424C" w:rsidRDefault="00F115F2" w:rsidP="003E424C">
      <w:pPr>
        <w:pStyle w:val="ListBullet"/>
      </w:pPr>
      <w:r w:rsidRPr="003E424C">
        <w:t>CPMP/EWP/908/99 Points to Consider on Multiplicity Issues in Clinical Trials.</w:t>
      </w:r>
    </w:p>
    <w:p w14:paraId="03EB123F" w14:textId="77777777" w:rsidR="00F115F2" w:rsidRPr="003E424C" w:rsidRDefault="00F115F2" w:rsidP="003E424C">
      <w:pPr>
        <w:pStyle w:val="ListBullet"/>
      </w:pPr>
      <w:r w:rsidRPr="003E424C">
        <w:t>CPMP/ICH/375/95 ICH Topic E 1 Note for Guidance on Population Exposure: The Extent of Population Exposure to Assess Clinical Safety.</w:t>
      </w:r>
    </w:p>
    <w:p w14:paraId="6C27A764" w14:textId="77777777" w:rsidR="00500337" w:rsidRPr="00500337" w:rsidRDefault="0014640B" w:rsidP="003E424C">
      <w:pPr>
        <w:pStyle w:val="ListBullet"/>
      </w:pPr>
      <w:r w:rsidRPr="003E424C">
        <w:t xml:space="preserve">CPMP/ICH/377/95; </w:t>
      </w:r>
      <w:r w:rsidR="00F115F2" w:rsidRPr="003E424C">
        <w:t>Note for Guidance on Clinical Safety Data Management Definitions and Sta</w:t>
      </w:r>
      <w:r w:rsidRPr="003E424C">
        <w:t>ndards for Expedited Reporting.</w:t>
      </w:r>
      <w:r w:rsidR="00F115F2" w:rsidRPr="003E424C">
        <w:t xml:space="preserve"> Annotated with TGA Comments</w:t>
      </w:r>
      <w:r w:rsidR="00F115F2">
        <w:t>.</w:t>
      </w:r>
    </w:p>
    <w:p w14:paraId="484DA37C" w14:textId="77777777" w:rsidR="00605AD4" w:rsidRDefault="00605AD4" w:rsidP="003E424C">
      <w:pPr>
        <w:pStyle w:val="Heading4"/>
      </w:pPr>
      <w:r w:rsidRPr="00605AD4">
        <w:t>Contents of the clinical dossier</w:t>
      </w:r>
    </w:p>
    <w:p w14:paraId="6585A522" w14:textId="77777777" w:rsidR="00F115F2" w:rsidRPr="007911BD" w:rsidRDefault="00F115F2" w:rsidP="003E424C">
      <w:r w:rsidRPr="007911BD">
        <w:t>The submission contained the following clinical information:</w:t>
      </w:r>
    </w:p>
    <w:p w14:paraId="531D086E" w14:textId="77777777" w:rsidR="00F115F2" w:rsidRPr="007911BD" w:rsidRDefault="00F115F2" w:rsidP="00F115F2">
      <w:pPr>
        <w:pStyle w:val="ListBullet"/>
      </w:pPr>
      <w:r w:rsidRPr="007911BD">
        <w:t xml:space="preserve">Comparative BA and Bioequivalence (BE) </w:t>
      </w:r>
      <w:r w:rsidR="0014640B" w:rsidRPr="007911BD">
        <w:t>study r</w:t>
      </w:r>
      <w:r w:rsidRPr="007911BD">
        <w:t>eports</w:t>
      </w:r>
    </w:p>
    <w:p w14:paraId="1BD94033" w14:textId="46D16D0D" w:rsidR="00F115F2" w:rsidRPr="007911BD" w:rsidRDefault="00F115F2" w:rsidP="003E424C">
      <w:pPr>
        <w:pStyle w:val="ListBullet2"/>
      </w:pPr>
      <w:r>
        <w:t>Study</w:t>
      </w:r>
      <w:r w:rsidRPr="007911BD">
        <w:t xml:space="preserve"> X2111: A </w:t>
      </w:r>
      <w:r w:rsidR="00045CB2" w:rsidRPr="007911BD">
        <w:t>randomi</w:t>
      </w:r>
      <w:r w:rsidR="00045CB2">
        <w:t>s</w:t>
      </w:r>
      <w:r w:rsidR="00045CB2" w:rsidRPr="007911BD">
        <w:t>ed</w:t>
      </w:r>
      <w:r w:rsidRPr="007911BD">
        <w:t xml:space="preserve">, </w:t>
      </w:r>
      <w:r>
        <w:t>open label</w:t>
      </w:r>
      <w:r w:rsidRPr="007911BD">
        <w:t xml:space="preserve">, </w:t>
      </w:r>
      <w:r>
        <w:t>two way</w:t>
      </w:r>
      <w:r w:rsidRPr="007911BD">
        <w:t xml:space="preserve"> crossover </w:t>
      </w:r>
      <w:proofErr w:type="gramStart"/>
      <w:r w:rsidRPr="007911BD">
        <w:t>study</w:t>
      </w:r>
      <w:proofErr w:type="gramEnd"/>
      <w:r w:rsidRPr="007911BD">
        <w:t xml:space="preserve"> investigating the </w:t>
      </w:r>
      <w:r w:rsidRPr="003E424C">
        <w:t>bioequivalence</w:t>
      </w:r>
      <w:r>
        <w:t xml:space="preserve"> of </w:t>
      </w:r>
      <w:proofErr w:type="spellStart"/>
      <w:r>
        <w:t>everolimus</w:t>
      </w:r>
      <w:proofErr w:type="spellEnd"/>
      <w:r>
        <w:t xml:space="preserve"> (RAD001) 2 x 5 </w:t>
      </w:r>
      <w:r w:rsidRPr="007911BD">
        <w:t xml:space="preserve">mg dispersible </w:t>
      </w:r>
      <w:r>
        <w:t xml:space="preserve">tablets in suspension and 5 x 2 </w:t>
      </w:r>
      <w:r w:rsidRPr="007911BD">
        <w:t xml:space="preserve">mg dispersible tablets in suspension, in healthy male </w:t>
      </w:r>
      <w:r w:rsidR="0014640B">
        <w:t>subjects.</w:t>
      </w:r>
    </w:p>
    <w:p w14:paraId="7880AF01" w14:textId="77777777" w:rsidR="00F115F2" w:rsidRPr="007911BD" w:rsidRDefault="00F115F2" w:rsidP="00F115F2">
      <w:pPr>
        <w:pStyle w:val="ListBullet"/>
      </w:pPr>
      <w:r w:rsidRPr="007911BD">
        <w:t xml:space="preserve">Pharmacokinetic </w:t>
      </w:r>
      <w:r w:rsidR="0014640B" w:rsidRPr="007911BD">
        <w:t>study reports</w:t>
      </w:r>
    </w:p>
    <w:p w14:paraId="7BC6A854" w14:textId="6B515380" w:rsidR="00F115F2" w:rsidRPr="007911BD" w:rsidRDefault="00F115F2" w:rsidP="00F115F2">
      <w:pPr>
        <w:pStyle w:val="ListBullet2"/>
      </w:pPr>
      <w:r>
        <w:t>Study</w:t>
      </w:r>
      <w:r w:rsidRPr="007911BD">
        <w:t xml:space="preserve"> M2301: M2301 PK Expert Report </w:t>
      </w:r>
      <w:proofErr w:type="gramStart"/>
      <w:r w:rsidRPr="007911BD">
        <w:t>A</w:t>
      </w:r>
      <w:proofErr w:type="gramEnd"/>
      <w:r w:rsidRPr="007911BD">
        <w:t xml:space="preserve"> </w:t>
      </w:r>
      <w:r w:rsidR="00045CB2" w:rsidRPr="007911BD">
        <w:t>randomi</w:t>
      </w:r>
      <w:r w:rsidR="00045CB2">
        <w:t>s</w:t>
      </w:r>
      <w:r w:rsidR="00045CB2" w:rsidRPr="007911BD">
        <w:t>ed</w:t>
      </w:r>
      <w:r w:rsidRPr="007911BD">
        <w:t xml:space="preserve">, </w:t>
      </w:r>
      <w:r>
        <w:t>double blind</w:t>
      </w:r>
      <w:r w:rsidRPr="007911BD">
        <w:t xml:space="preserve">, </w:t>
      </w:r>
      <w:r>
        <w:t>placebo controlled</w:t>
      </w:r>
      <w:r w:rsidRPr="007911BD">
        <w:t xml:space="preserve"> study of everolimus in the treatment of patients with </w:t>
      </w:r>
      <w:proofErr w:type="spellStart"/>
      <w:r w:rsidRPr="007911BD">
        <w:t>subependymal</w:t>
      </w:r>
      <w:proofErr w:type="spellEnd"/>
      <w:r w:rsidRPr="007911BD">
        <w:t xml:space="preserve"> giant cell </w:t>
      </w:r>
      <w:proofErr w:type="spellStart"/>
      <w:r w:rsidRPr="007911BD">
        <w:t>astrocytomas</w:t>
      </w:r>
      <w:proofErr w:type="spellEnd"/>
      <w:r w:rsidRPr="007911BD">
        <w:t xml:space="preserve"> (SEGA) associated with tuberous sclerosis complex (TSC)</w:t>
      </w:r>
      <w:r w:rsidR="0014640B">
        <w:t>.</w:t>
      </w:r>
    </w:p>
    <w:p w14:paraId="0F349F2C" w14:textId="77777777" w:rsidR="00F115F2" w:rsidRPr="007911BD" w:rsidRDefault="00F115F2" w:rsidP="00F115F2">
      <w:pPr>
        <w:pStyle w:val="ListBullet"/>
      </w:pPr>
      <w:r w:rsidRPr="007911BD">
        <w:t>Population pharmacokinetic analyses.</w:t>
      </w:r>
    </w:p>
    <w:p w14:paraId="70CB09D0" w14:textId="77777777" w:rsidR="00F115F2" w:rsidRPr="007911BD" w:rsidRDefault="00F115F2" w:rsidP="00F115F2">
      <w:pPr>
        <w:pStyle w:val="ListBullet2"/>
      </w:pPr>
      <w:r>
        <w:t>Study</w:t>
      </w:r>
      <w:r w:rsidRPr="007911BD">
        <w:t xml:space="preserve"> M2301: Population pharmacokinetics of everolimus in the treatment of patients with </w:t>
      </w:r>
      <w:proofErr w:type="spellStart"/>
      <w:r w:rsidRPr="007911BD">
        <w:t>subependymal</w:t>
      </w:r>
      <w:proofErr w:type="spellEnd"/>
      <w:r w:rsidRPr="007911BD">
        <w:t xml:space="preserve"> giant cell </w:t>
      </w:r>
      <w:proofErr w:type="spellStart"/>
      <w:r w:rsidRPr="007911BD">
        <w:t>astrocytomas</w:t>
      </w:r>
      <w:proofErr w:type="spellEnd"/>
      <w:r w:rsidRPr="007911BD">
        <w:t xml:space="preserve"> associated with tuberous sclerosis complex 5 year update (Modelling Report)</w:t>
      </w:r>
      <w:r w:rsidR="0014640B">
        <w:t>.</w:t>
      </w:r>
    </w:p>
    <w:p w14:paraId="38445E8F" w14:textId="77777777" w:rsidR="00F115F2" w:rsidRPr="007911BD" w:rsidRDefault="00F115F2" w:rsidP="00F115F2">
      <w:pPr>
        <w:pStyle w:val="ListBullet"/>
      </w:pPr>
      <w:r w:rsidRPr="007911BD">
        <w:t>Efficacy/safety studies.</w:t>
      </w:r>
    </w:p>
    <w:p w14:paraId="31EC604D" w14:textId="29FD5627" w:rsidR="00F115F2" w:rsidRPr="007911BD" w:rsidRDefault="00F115F2" w:rsidP="00F115F2">
      <w:pPr>
        <w:pStyle w:val="ListBullet2"/>
      </w:pPr>
      <w:r>
        <w:t>Study</w:t>
      </w:r>
      <w:r w:rsidRPr="007911BD">
        <w:t xml:space="preserve"> M2304: Parts 1 2 </w:t>
      </w:r>
      <w:r>
        <w:t xml:space="preserve">and 3; A three </w:t>
      </w:r>
      <w:r w:rsidRPr="007911BD">
        <w:t xml:space="preserve">arm, </w:t>
      </w:r>
      <w:r w:rsidR="00045CB2" w:rsidRPr="007911BD">
        <w:t>randomi</w:t>
      </w:r>
      <w:r w:rsidR="00045CB2">
        <w:t>s</w:t>
      </w:r>
      <w:r w:rsidR="00045CB2" w:rsidRPr="007911BD">
        <w:t>ed</w:t>
      </w:r>
      <w:r w:rsidRPr="007911BD">
        <w:t xml:space="preserve">, </w:t>
      </w:r>
      <w:r>
        <w:t>double blind</w:t>
      </w:r>
      <w:r w:rsidRPr="007911BD">
        <w:t xml:space="preserve">, </w:t>
      </w:r>
      <w:r>
        <w:t>placebo controlled</w:t>
      </w:r>
      <w:r w:rsidRPr="007911BD">
        <w:t xml:space="preserve"> study of the ef</w:t>
      </w:r>
      <w:r>
        <w:t xml:space="preserve">ficacy and safety of two trough </w:t>
      </w:r>
      <w:r w:rsidRPr="007911BD">
        <w:t xml:space="preserve">ranges of everolimus as adjunctive therapy in patients with tuberous sclerosis complex (TSC) who have refractory </w:t>
      </w:r>
      <w:r>
        <w:t>partial onset</w:t>
      </w:r>
      <w:r w:rsidRPr="007911BD">
        <w:t xml:space="preserve"> seizures.</w:t>
      </w:r>
    </w:p>
    <w:p w14:paraId="54374755" w14:textId="6FB0C14F" w:rsidR="00500337" w:rsidRPr="00500337" w:rsidRDefault="00F115F2" w:rsidP="003E424C">
      <w:r w:rsidRPr="007911BD">
        <w:t>The submission also contained</w:t>
      </w:r>
      <w:r>
        <w:t>:</w:t>
      </w:r>
      <w:r w:rsidRPr="007911BD">
        <w:t xml:space="preserve"> Clinical Overview, Summary of Clinical Pharmacology Studi</w:t>
      </w:r>
      <w:r w:rsidR="00C50702">
        <w:t>es Summary of Clinical Efficacy;</w:t>
      </w:r>
      <w:r w:rsidRPr="007911BD">
        <w:t xml:space="preserve"> Summary of Clinical Safety Synopses of Individual Studies and literature references.</w:t>
      </w:r>
    </w:p>
    <w:p w14:paraId="67B86E27" w14:textId="77777777" w:rsidR="00605AD4" w:rsidRDefault="00605AD4" w:rsidP="003E424C">
      <w:pPr>
        <w:pStyle w:val="Heading4"/>
      </w:pPr>
      <w:r w:rsidRPr="003E424C">
        <w:t>Paediatric</w:t>
      </w:r>
      <w:r w:rsidRPr="00605AD4">
        <w:t xml:space="preserve"> data</w:t>
      </w:r>
    </w:p>
    <w:p w14:paraId="2966CC0D" w14:textId="77777777" w:rsidR="00500337" w:rsidRPr="00500337" w:rsidRDefault="00F115F2" w:rsidP="003E424C">
      <w:r w:rsidRPr="007911BD">
        <w:t>The EMA approved deferral to the Paediatric Investigation Plan (PIP) was to be completed by March 2020.</w:t>
      </w:r>
    </w:p>
    <w:p w14:paraId="67AEC831" w14:textId="77777777" w:rsidR="00605AD4" w:rsidRDefault="00605AD4" w:rsidP="003E424C">
      <w:pPr>
        <w:pStyle w:val="Heading4"/>
      </w:pPr>
      <w:r w:rsidRPr="00605AD4">
        <w:lastRenderedPageBreak/>
        <w:t xml:space="preserve">Good </w:t>
      </w:r>
      <w:r w:rsidRPr="003E424C">
        <w:t>clinical</w:t>
      </w:r>
      <w:r w:rsidRPr="00605AD4">
        <w:t xml:space="preserve"> practice</w:t>
      </w:r>
    </w:p>
    <w:p w14:paraId="3742E5DB" w14:textId="77777777" w:rsidR="00500337" w:rsidRPr="00500337" w:rsidRDefault="00F115F2" w:rsidP="003E424C">
      <w:pPr>
        <w:rPr>
          <w:lang w:eastAsia="ja-JP"/>
        </w:rPr>
      </w:pPr>
      <w:r w:rsidRPr="00EF00A6">
        <w:rPr>
          <w:lang w:eastAsia="ja-JP"/>
        </w:rPr>
        <w:t>All studies were conducted in full compliance with</w:t>
      </w:r>
      <w:r>
        <w:rPr>
          <w:lang w:eastAsia="ja-JP"/>
        </w:rPr>
        <w:t xml:space="preserve"> current Good Clinical Practice</w:t>
      </w:r>
      <w:r w:rsidRPr="00EF00A6">
        <w:rPr>
          <w:lang w:eastAsia="ja-JP"/>
        </w:rPr>
        <w:t>.</w:t>
      </w:r>
    </w:p>
    <w:p w14:paraId="1C78C52C" w14:textId="77777777" w:rsidR="00F115F2" w:rsidRPr="00F115F2" w:rsidRDefault="008E7846" w:rsidP="003E424C">
      <w:pPr>
        <w:pStyle w:val="Heading3"/>
      </w:pPr>
      <w:bookmarkStart w:id="57" w:name="_Toc1555408"/>
      <w:r w:rsidRPr="003E424C">
        <w:t>Pharmacokinetics</w:t>
      </w:r>
      <w:bookmarkEnd w:id="45"/>
      <w:bookmarkEnd w:id="52"/>
      <w:bookmarkEnd w:id="53"/>
      <w:bookmarkEnd w:id="54"/>
      <w:bookmarkEnd w:id="57"/>
    </w:p>
    <w:p w14:paraId="6030EED1" w14:textId="77777777" w:rsidR="00605AD4" w:rsidRDefault="00605AD4" w:rsidP="003E424C">
      <w:pPr>
        <w:pStyle w:val="Heading4"/>
      </w:pPr>
      <w:r>
        <w:t>Studies</w:t>
      </w:r>
      <w:r w:rsidR="00500337">
        <w:t xml:space="preserve"> providing </w:t>
      </w:r>
      <w:r w:rsidR="00500337" w:rsidRPr="003E424C">
        <w:t>pharmacokinetic</w:t>
      </w:r>
      <w:r w:rsidR="00500337">
        <w:t xml:space="preserve"> data</w:t>
      </w:r>
    </w:p>
    <w:p w14:paraId="5046ACDB" w14:textId="60F8166A" w:rsidR="00F115F2" w:rsidRPr="007911BD" w:rsidRDefault="00F115F2" w:rsidP="003E424C">
      <w:r w:rsidRPr="007911BD">
        <w:t xml:space="preserve">New clinical pharmacology information from three studies, including data in patients with refractory TSC seizures from the pivotal </w:t>
      </w:r>
      <w:r>
        <w:t>Phase III</w:t>
      </w:r>
      <w:r w:rsidRPr="007911BD">
        <w:t xml:space="preserve"> </w:t>
      </w:r>
      <w:r w:rsidR="00045CB2">
        <w:t>S</w:t>
      </w:r>
      <w:r w:rsidR="00045CB2" w:rsidRPr="007911BD">
        <w:t xml:space="preserve">tudy </w:t>
      </w:r>
      <w:r w:rsidRPr="007911BD">
        <w:t xml:space="preserve">M2304 and the </w:t>
      </w:r>
      <w:r>
        <w:t>5 year</w:t>
      </w:r>
      <w:r w:rsidRPr="007911BD">
        <w:t xml:space="preserve"> updated data in patients with TSC who have SEGA from previously reported studies (Study</w:t>
      </w:r>
      <w:r w:rsidR="00045CB2">
        <w:t> </w:t>
      </w:r>
      <w:r w:rsidRPr="007911BD">
        <w:t>C2485 and Study M2301).</w:t>
      </w:r>
    </w:p>
    <w:p w14:paraId="42621ABC" w14:textId="77777777" w:rsidR="00F115F2" w:rsidRPr="007911BD" w:rsidRDefault="00F115F2" w:rsidP="003E424C">
      <w:pPr>
        <w:pStyle w:val="Tabletitle0"/>
      </w:pPr>
      <w:r w:rsidRPr="007911BD">
        <w:t xml:space="preserve">Table </w:t>
      </w:r>
      <w:r w:rsidR="000128D8">
        <w:t>6</w:t>
      </w:r>
      <w:r>
        <w:t>:</w:t>
      </w:r>
      <w:r w:rsidRPr="007911BD">
        <w:t xml:space="preserve"> Submitted pharmacokinetic studies</w:t>
      </w:r>
    </w:p>
    <w:tbl>
      <w:tblPr>
        <w:tblStyle w:val="TableTGAblue"/>
        <w:tblW w:w="8330" w:type="dxa"/>
        <w:tblLayout w:type="fixed"/>
        <w:tblLook w:val="04A0" w:firstRow="1" w:lastRow="0" w:firstColumn="1" w:lastColumn="0" w:noHBand="0" w:noVBand="1"/>
      </w:tblPr>
      <w:tblGrid>
        <w:gridCol w:w="2660"/>
        <w:gridCol w:w="2977"/>
        <w:gridCol w:w="1701"/>
        <w:gridCol w:w="992"/>
      </w:tblGrid>
      <w:tr w:rsidR="00F115F2" w:rsidRPr="00636AF3" w14:paraId="48FB4240" w14:textId="77777777" w:rsidTr="00307F94">
        <w:trPr>
          <w:cnfStyle w:val="100000000000" w:firstRow="1" w:lastRow="0" w:firstColumn="0" w:lastColumn="0" w:oddVBand="0" w:evenVBand="0" w:oddHBand="0" w:evenHBand="0" w:firstRowFirstColumn="0" w:firstRowLastColumn="0" w:lastRowFirstColumn="0" w:lastRowLastColumn="0"/>
        </w:trPr>
        <w:tc>
          <w:tcPr>
            <w:tcW w:w="2660" w:type="dxa"/>
          </w:tcPr>
          <w:p w14:paraId="48A87B95" w14:textId="77777777" w:rsidR="00F115F2" w:rsidRPr="00636AF3" w:rsidRDefault="00F115F2" w:rsidP="00212CE9">
            <w:pPr>
              <w:spacing w:line="240" w:lineRule="auto"/>
              <w:ind w:left="0" w:right="0"/>
              <w:rPr>
                <w:sz w:val="20"/>
                <w:szCs w:val="20"/>
              </w:rPr>
            </w:pPr>
            <w:r w:rsidRPr="00636AF3">
              <w:rPr>
                <w:sz w:val="20"/>
                <w:szCs w:val="20"/>
              </w:rPr>
              <w:t>PK topic</w:t>
            </w:r>
          </w:p>
        </w:tc>
        <w:tc>
          <w:tcPr>
            <w:tcW w:w="2977" w:type="dxa"/>
          </w:tcPr>
          <w:p w14:paraId="0299E271" w14:textId="77777777" w:rsidR="00F115F2" w:rsidRPr="00636AF3" w:rsidRDefault="00F115F2" w:rsidP="00212CE9">
            <w:pPr>
              <w:spacing w:line="240" w:lineRule="auto"/>
              <w:ind w:left="0" w:right="0"/>
              <w:rPr>
                <w:sz w:val="20"/>
                <w:szCs w:val="20"/>
              </w:rPr>
            </w:pPr>
            <w:r w:rsidRPr="00636AF3">
              <w:rPr>
                <w:sz w:val="20"/>
                <w:szCs w:val="20"/>
              </w:rPr>
              <w:t>Subtopic</w:t>
            </w:r>
          </w:p>
        </w:tc>
        <w:tc>
          <w:tcPr>
            <w:tcW w:w="1701" w:type="dxa"/>
            <w:vAlign w:val="center"/>
          </w:tcPr>
          <w:p w14:paraId="6490BE53" w14:textId="77777777" w:rsidR="00F115F2" w:rsidRPr="00636AF3" w:rsidRDefault="00F115F2" w:rsidP="00212CE9">
            <w:pPr>
              <w:spacing w:line="240" w:lineRule="auto"/>
              <w:ind w:left="0" w:right="0"/>
              <w:rPr>
                <w:sz w:val="20"/>
                <w:szCs w:val="20"/>
              </w:rPr>
            </w:pPr>
            <w:r w:rsidRPr="00636AF3">
              <w:rPr>
                <w:sz w:val="20"/>
                <w:szCs w:val="20"/>
              </w:rPr>
              <w:t>Study ID</w:t>
            </w:r>
          </w:p>
        </w:tc>
        <w:tc>
          <w:tcPr>
            <w:tcW w:w="992" w:type="dxa"/>
          </w:tcPr>
          <w:p w14:paraId="1FE2559E" w14:textId="77777777" w:rsidR="00F115F2" w:rsidRPr="00636AF3" w:rsidRDefault="00F115F2" w:rsidP="00212CE9">
            <w:pPr>
              <w:spacing w:line="240" w:lineRule="auto"/>
              <w:ind w:left="0" w:right="0"/>
              <w:rPr>
                <w:sz w:val="20"/>
                <w:szCs w:val="20"/>
              </w:rPr>
            </w:pPr>
            <w:r w:rsidRPr="00636AF3">
              <w:rPr>
                <w:sz w:val="20"/>
                <w:szCs w:val="20"/>
              </w:rPr>
              <w:t>*</w:t>
            </w:r>
          </w:p>
        </w:tc>
      </w:tr>
      <w:tr w:rsidR="00F115F2" w:rsidRPr="00636AF3" w14:paraId="0297BFEA" w14:textId="77777777" w:rsidTr="00307F94">
        <w:tc>
          <w:tcPr>
            <w:tcW w:w="2660" w:type="dxa"/>
          </w:tcPr>
          <w:p w14:paraId="6A295F66" w14:textId="77777777" w:rsidR="00F115F2" w:rsidRPr="00636AF3" w:rsidRDefault="00F115F2" w:rsidP="00212CE9">
            <w:pPr>
              <w:spacing w:line="240" w:lineRule="auto"/>
              <w:ind w:left="0" w:right="0"/>
              <w:rPr>
                <w:sz w:val="20"/>
                <w:szCs w:val="20"/>
              </w:rPr>
            </w:pPr>
            <w:r w:rsidRPr="00636AF3">
              <w:rPr>
                <w:sz w:val="20"/>
                <w:szCs w:val="20"/>
              </w:rPr>
              <w:t>PK in healthy adults</w:t>
            </w:r>
          </w:p>
        </w:tc>
        <w:tc>
          <w:tcPr>
            <w:tcW w:w="2977" w:type="dxa"/>
          </w:tcPr>
          <w:p w14:paraId="503DB734" w14:textId="77777777" w:rsidR="00F115F2" w:rsidRPr="00636AF3" w:rsidRDefault="00F115F2" w:rsidP="00212CE9">
            <w:pPr>
              <w:spacing w:line="240" w:lineRule="auto"/>
              <w:ind w:left="0" w:right="0"/>
              <w:rPr>
                <w:sz w:val="20"/>
                <w:szCs w:val="20"/>
              </w:rPr>
            </w:pPr>
            <w:r w:rsidRPr="00636AF3">
              <w:rPr>
                <w:sz w:val="20"/>
                <w:szCs w:val="20"/>
              </w:rPr>
              <w:t>Bioequivalence; Single dose</w:t>
            </w:r>
          </w:p>
        </w:tc>
        <w:tc>
          <w:tcPr>
            <w:tcW w:w="1701" w:type="dxa"/>
            <w:vAlign w:val="center"/>
          </w:tcPr>
          <w:p w14:paraId="6AAA15FD" w14:textId="77777777" w:rsidR="00F115F2" w:rsidRPr="00636AF3" w:rsidRDefault="00F115F2" w:rsidP="00212CE9">
            <w:pPr>
              <w:spacing w:line="240" w:lineRule="auto"/>
              <w:ind w:left="0" w:right="0"/>
              <w:rPr>
                <w:sz w:val="20"/>
                <w:szCs w:val="20"/>
              </w:rPr>
            </w:pPr>
            <w:r w:rsidRPr="00636AF3">
              <w:rPr>
                <w:sz w:val="20"/>
                <w:szCs w:val="20"/>
              </w:rPr>
              <w:t>X2111</w:t>
            </w:r>
          </w:p>
        </w:tc>
        <w:tc>
          <w:tcPr>
            <w:tcW w:w="992" w:type="dxa"/>
          </w:tcPr>
          <w:p w14:paraId="1A1A6B6C" w14:textId="77777777" w:rsidR="00F115F2" w:rsidRPr="00636AF3" w:rsidRDefault="00F115F2" w:rsidP="00212CE9">
            <w:pPr>
              <w:spacing w:line="240" w:lineRule="auto"/>
              <w:ind w:left="0" w:right="0"/>
              <w:rPr>
                <w:sz w:val="20"/>
                <w:szCs w:val="20"/>
              </w:rPr>
            </w:pPr>
            <w:r w:rsidRPr="00636AF3">
              <w:rPr>
                <w:sz w:val="20"/>
                <w:szCs w:val="20"/>
              </w:rPr>
              <w:t>*</w:t>
            </w:r>
          </w:p>
        </w:tc>
      </w:tr>
      <w:tr w:rsidR="00F115F2" w:rsidRPr="00636AF3" w14:paraId="0AAAA92E" w14:textId="77777777" w:rsidTr="00307F94">
        <w:tc>
          <w:tcPr>
            <w:tcW w:w="2660" w:type="dxa"/>
          </w:tcPr>
          <w:p w14:paraId="12AA37E5" w14:textId="77777777" w:rsidR="00F115F2" w:rsidRPr="00636AF3" w:rsidRDefault="00F115F2" w:rsidP="00212CE9">
            <w:pPr>
              <w:spacing w:line="240" w:lineRule="auto"/>
              <w:ind w:left="0" w:right="0"/>
              <w:rPr>
                <w:sz w:val="20"/>
                <w:szCs w:val="20"/>
              </w:rPr>
            </w:pPr>
            <w:r w:rsidRPr="00636AF3">
              <w:rPr>
                <w:sz w:val="20"/>
                <w:szCs w:val="20"/>
              </w:rPr>
              <w:t>Population PK analyses</w:t>
            </w:r>
          </w:p>
        </w:tc>
        <w:tc>
          <w:tcPr>
            <w:tcW w:w="2977" w:type="dxa"/>
          </w:tcPr>
          <w:p w14:paraId="272F1567" w14:textId="77777777" w:rsidR="00F115F2" w:rsidRPr="00636AF3" w:rsidRDefault="00F115F2" w:rsidP="00212CE9">
            <w:pPr>
              <w:spacing w:line="240" w:lineRule="auto"/>
              <w:ind w:left="0" w:right="0"/>
              <w:rPr>
                <w:sz w:val="20"/>
                <w:szCs w:val="20"/>
              </w:rPr>
            </w:pPr>
            <w:r w:rsidRPr="00636AF3">
              <w:rPr>
                <w:sz w:val="20"/>
                <w:szCs w:val="20"/>
              </w:rPr>
              <w:t>Target population§</w:t>
            </w:r>
          </w:p>
        </w:tc>
        <w:tc>
          <w:tcPr>
            <w:tcW w:w="1701" w:type="dxa"/>
            <w:vAlign w:val="center"/>
          </w:tcPr>
          <w:p w14:paraId="5454C64A" w14:textId="77777777" w:rsidR="00F115F2" w:rsidRPr="00636AF3" w:rsidRDefault="00F115F2" w:rsidP="00212CE9">
            <w:pPr>
              <w:spacing w:line="240" w:lineRule="auto"/>
              <w:ind w:left="0" w:right="0"/>
              <w:rPr>
                <w:sz w:val="20"/>
                <w:szCs w:val="20"/>
              </w:rPr>
            </w:pPr>
            <w:r w:rsidRPr="00636AF3">
              <w:rPr>
                <w:sz w:val="20"/>
                <w:szCs w:val="20"/>
              </w:rPr>
              <w:t>M2301</w:t>
            </w:r>
          </w:p>
        </w:tc>
        <w:tc>
          <w:tcPr>
            <w:tcW w:w="992" w:type="dxa"/>
          </w:tcPr>
          <w:p w14:paraId="5347F5B9" w14:textId="77777777" w:rsidR="00F115F2" w:rsidRPr="00636AF3" w:rsidRDefault="00F115F2" w:rsidP="00212CE9">
            <w:pPr>
              <w:spacing w:line="240" w:lineRule="auto"/>
              <w:ind w:left="0" w:right="0"/>
              <w:rPr>
                <w:sz w:val="20"/>
                <w:szCs w:val="20"/>
              </w:rPr>
            </w:pPr>
            <w:r w:rsidRPr="00636AF3">
              <w:rPr>
                <w:sz w:val="20"/>
                <w:szCs w:val="20"/>
              </w:rPr>
              <w:t>*</w:t>
            </w:r>
          </w:p>
        </w:tc>
      </w:tr>
      <w:tr w:rsidR="00F115F2" w:rsidRPr="00636AF3" w14:paraId="6ECD87BA" w14:textId="77777777" w:rsidTr="00307F94">
        <w:tc>
          <w:tcPr>
            <w:tcW w:w="2660" w:type="dxa"/>
          </w:tcPr>
          <w:p w14:paraId="5028FD90" w14:textId="77777777" w:rsidR="00F115F2" w:rsidRPr="00636AF3" w:rsidRDefault="00F115F2" w:rsidP="00212CE9">
            <w:pPr>
              <w:spacing w:line="240" w:lineRule="auto"/>
              <w:ind w:left="0" w:right="0"/>
              <w:rPr>
                <w:sz w:val="20"/>
                <w:szCs w:val="20"/>
              </w:rPr>
            </w:pPr>
            <w:r w:rsidRPr="00636AF3">
              <w:rPr>
                <w:sz w:val="20"/>
                <w:szCs w:val="20"/>
              </w:rPr>
              <w:t>PK interactions</w:t>
            </w:r>
          </w:p>
        </w:tc>
        <w:tc>
          <w:tcPr>
            <w:tcW w:w="2977" w:type="dxa"/>
          </w:tcPr>
          <w:p w14:paraId="4F944B76" w14:textId="77777777" w:rsidR="00F115F2" w:rsidRPr="00636AF3" w:rsidRDefault="00F115F2" w:rsidP="00212CE9">
            <w:pPr>
              <w:spacing w:line="240" w:lineRule="auto"/>
              <w:ind w:left="0" w:right="0"/>
              <w:rPr>
                <w:sz w:val="20"/>
                <w:szCs w:val="20"/>
              </w:rPr>
            </w:pPr>
            <w:r w:rsidRPr="00636AF3">
              <w:rPr>
                <w:sz w:val="20"/>
                <w:szCs w:val="20"/>
              </w:rPr>
              <w:t>Antiepileptic drugs</w:t>
            </w:r>
          </w:p>
        </w:tc>
        <w:tc>
          <w:tcPr>
            <w:tcW w:w="1701" w:type="dxa"/>
            <w:vAlign w:val="center"/>
          </w:tcPr>
          <w:p w14:paraId="071FD905" w14:textId="71340F11" w:rsidR="00F115F2" w:rsidRPr="00636AF3" w:rsidRDefault="00F115F2" w:rsidP="00397D6D">
            <w:pPr>
              <w:spacing w:line="240" w:lineRule="auto"/>
              <w:ind w:left="0" w:right="0"/>
              <w:rPr>
                <w:sz w:val="20"/>
                <w:szCs w:val="20"/>
              </w:rPr>
            </w:pPr>
            <w:r w:rsidRPr="00636AF3">
              <w:rPr>
                <w:sz w:val="20"/>
                <w:szCs w:val="20"/>
              </w:rPr>
              <w:t>M230</w:t>
            </w:r>
            <w:r w:rsidR="00397D6D">
              <w:rPr>
                <w:sz w:val="20"/>
                <w:szCs w:val="20"/>
              </w:rPr>
              <w:t>4</w:t>
            </w:r>
          </w:p>
        </w:tc>
        <w:tc>
          <w:tcPr>
            <w:tcW w:w="992" w:type="dxa"/>
          </w:tcPr>
          <w:p w14:paraId="6BD53E8D" w14:textId="77777777" w:rsidR="00F115F2" w:rsidRPr="00636AF3" w:rsidRDefault="00F115F2" w:rsidP="00212CE9">
            <w:pPr>
              <w:spacing w:line="240" w:lineRule="auto"/>
              <w:ind w:left="0" w:right="0"/>
              <w:rPr>
                <w:sz w:val="20"/>
                <w:szCs w:val="20"/>
              </w:rPr>
            </w:pPr>
          </w:p>
        </w:tc>
      </w:tr>
    </w:tbl>
    <w:p w14:paraId="5DDCE8F9" w14:textId="77777777" w:rsidR="00F115F2" w:rsidRPr="00F115F2" w:rsidRDefault="00F115F2" w:rsidP="003E424C">
      <w:pPr>
        <w:pStyle w:val="TableDescription"/>
      </w:pPr>
      <w:r w:rsidRPr="009B2E39">
        <w:t xml:space="preserve">* </w:t>
      </w:r>
      <w:r w:rsidRPr="003E424C">
        <w:t>Indicates</w:t>
      </w:r>
      <w:r w:rsidRPr="009B2E39">
        <w:t xml:space="preserve"> the primary PK aim of the study.</w:t>
      </w:r>
      <w:r>
        <w:t xml:space="preserve"> §</w:t>
      </w:r>
      <w:r w:rsidRPr="009B2E39">
        <w:t xml:space="preserve"> Subjects who would be eligible to receive the drug if approved for the proposed indication.</w:t>
      </w:r>
    </w:p>
    <w:p w14:paraId="7EE282C7" w14:textId="77777777" w:rsidR="00F115F2" w:rsidRPr="00F115F2" w:rsidRDefault="00F115F2" w:rsidP="003E424C">
      <w:pPr>
        <w:pStyle w:val="Heading5"/>
      </w:pPr>
      <w:r w:rsidRPr="00F115F2">
        <w:t xml:space="preserve">PopPK analysis Study </w:t>
      </w:r>
      <w:r w:rsidR="00591847">
        <w:t>M</w:t>
      </w:r>
      <w:r w:rsidRPr="00F115F2">
        <w:t>2301</w:t>
      </w:r>
    </w:p>
    <w:p w14:paraId="52C002D4" w14:textId="7532E573" w:rsidR="00F115F2" w:rsidRPr="00CE2A37" w:rsidRDefault="00F115F2" w:rsidP="003E424C">
      <w:r w:rsidRPr="00CE2A37">
        <w:t>Population pharmacokinetics</w:t>
      </w:r>
      <w:r w:rsidR="00307F94">
        <w:t xml:space="preserve"> (</w:t>
      </w:r>
      <w:r w:rsidR="00307F94" w:rsidRPr="00CE2A37">
        <w:t>PopPK</w:t>
      </w:r>
      <w:r w:rsidR="00307F94">
        <w:t>)</w:t>
      </w:r>
      <w:r w:rsidRPr="00CE2A37">
        <w:t xml:space="preserve"> of everolimus in the treatment of patients with sub</w:t>
      </w:r>
      <w:r w:rsidR="00045CB2">
        <w:noBreakHyphen/>
      </w:r>
      <w:r w:rsidRPr="00CE2A37">
        <w:t xml:space="preserve">ependymal giant cell </w:t>
      </w:r>
      <w:r w:rsidR="0014640B" w:rsidRPr="00CE2A37">
        <w:t>astrocytoma</w:t>
      </w:r>
      <w:r w:rsidR="0014640B">
        <w:t xml:space="preserve"> (</w:t>
      </w:r>
      <w:r w:rsidR="0014640B" w:rsidRPr="00CE2A37">
        <w:t>SEGA</w:t>
      </w:r>
      <w:r w:rsidR="0014640B">
        <w:t>)</w:t>
      </w:r>
      <w:r w:rsidRPr="00CE2A37">
        <w:t xml:space="preserve"> associated w</w:t>
      </w:r>
      <w:r>
        <w:t xml:space="preserve">ith </w:t>
      </w:r>
      <w:r w:rsidR="0014640B">
        <w:t>TSC</w:t>
      </w:r>
      <w:r>
        <w:t>;</w:t>
      </w:r>
      <w:r w:rsidRPr="00CE2A37">
        <w:t xml:space="preserve"> 5 year update</w:t>
      </w:r>
      <w:r>
        <w:t>.</w:t>
      </w:r>
    </w:p>
    <w:p w14:paraId="2B3966A5" w14:textId="04867850" w:rsidR="00F115F2" w:rsidRPr="00CE2A37" w:rsidRDefault="00F115F2" w:rsidP="003E424C">
      <w:r w:rsidRPr="00CE2A37">
        <w:t>This was a 5 year update of the previous mode</w:t>
      </w:r>
      <w:r>
        <w:t xml:space="preserve">l based </w:t>
      </w:r>
      <w:r w:rsidR="0014640B">
        <w:t>on 3 year data up to 11 January </w:t>
      </w:r>
      <w:r w:rsidRPr="00CE2A37">
        <w:t xml:space="preserve">2013. Study M2301 consisted of a double blind </w:t>
      </w:r>
      <w:r w:rsidR="00B4358E" w:rsidRPr="00CE2A37">
        <w:t>randomi</w:t>
      </w:r>
      <w:r w:rsidR="00B4358E">
        <w:t>s</w:t>
      </w:r>
      <w:r w:rsidR="00B4358E" w:rsidRPr="00CE2A37">
        <w:t xml:space="preserve">ed </w:t>
      </w:r>
      <w:r w:rsidRPr="00CE2A37">
        <w:t xml:space="preserve">phase and an extension phase, in which treatment was expected to run 4 years after the last patient was </w:t>
      </w:r>
      <w:r w:rsidR="00045CB2" w:rsidRPr="00CE2A37">
        <w:t>randomi</w:t>
      </w:r>
      <w:r w:rsidR="00045CB2">
        <w:t>s</w:t>
      </w:r>
      <w:r w:rsidR="00045CB2" w:rsidRPr="00CE2A37">
        <w:t>ed</w:t>
      </w:r>
      <w:r w:rsidRPr="00CE2A37">
        <w:t xml:space="preserve">. Patients were allowed to crossover from placebo to everolimus at SEGA progression or after the unblinding of the investigator on </w:t>
      </w:r>
      <w:r>
        <w:t>13</w:t>
      </w:r>
      <w:r w:rsidR="00B4358E">
        <w:t> </w:t>
      </w:r>
      <w:r>
        <w:t>May</w:t>
      </w:r>
      <w:r w:rsidR="00B4358E">
        <w:t> </w:t>
      </w:r>
      <w:r w:rsidRPr="00CE2A37">
        <w:t>2011.</w:t>
      </w:r>
    </w:p>
    <w:p w14:paraId="5423836F" w14:textId="7BB00D6B" w:rsidR="00F115F2" w:rsidRPr="00CE2A37" w:rsidRDefault="00F115F2" w:rsidP="003E424C">
      <w:r w:rsidRPr="00CE2A37">
        <w:t xml:space="preserve">The analysis population included 111 patients who ranged from age 1.0 to 27.4 years at the start of everolimus. This included the 78 patients in the previous analysis </w:t>
      </w:r>
      <w:r w:rsidR="008912C7" w:rsidRPr="00CE2A37">
        <w:t>randomi</w:t>
      </w:r>
      <w:r w:rsidR="008912C7">
        <w:t>s</w:t>
      </w:r>
      <w:r w:rsidR="008912C7" w:rsidRPr="00CE2A37">
        <w:t xml:space="preserve">ed </w:t>
      </w:r>
      <w:r w:rsidRPr="00CE2A37">
        <w:t xml:space="preserve">to everolimus plus 33 new patients </w:t>
      </w:r>
      <w:r w:rsidR="004C3923" w:rsidRPr="00CE2A37">
        <w:t>randomi</w:t>
      </w:r>
      <w:r w:rsidR="004C3923">
        <w:t>s</w:t>
      </w:r>
      <w:r w:rsidR="004C3923" w:rsidRPr="00CE2A37">
        <w:t xml:space="preserve">ed </w:t>
      </w:r>
      <w:r w:rsidRPr="00CE2A37">
        <w:t xml:space="preserve">to placebo </w:t>
      </w:r>
      <w:proofErr w:type="gramStart"/>
      <w:r w:rsidRPr="00CE2A37">
        <w:t>who</w:t>
      </w:r>
      <w:proofErr w:type="gramEnd"/>
      <w:r w:rsidRPr="00CE2A37">
        <w:t xml:space="preserve"> switched to everolimus and contributed </w:t>
      </w:r>
      <w:r w:rsidR="00307F94">
        <w:t>pharmacokinetic</w:t>
      </w:r>
      <w:r w:rsidR="00307F94" w:rsidRPr="00CE2A37">
        <w:t xml:space="preserve"> </w:t>
      </w:r>
      <w:r w:rsidR="00307F94">
        <w:t>(</w:t>
      </w:r>
      <w:r w:rsidRPr="00CE2A37">
        <w:t>PK</w:t>
      </w:r>
      <w:r w:rsidR="00307F94">
        <w:t>)</w:t>
      </w:r>
      <w:r w:rsidRPr="00CE2A37">
        <w:t xml:space="preserve"> samples. They contributed 2</w:t>
      </w:r>
      <w:r w:rsidR="00307F94">
        <w:t>,</w:t>
      </w:r>
      <w:r w:rsidRPr="00CE2A37">
        <w:t>580 everolimus blood concentrations to the PopPK analysis.</w:t>
      </w:r>
    </w:p>
    <w:p w14:paraId="71761BB4" w14:textId="0E325FBD" w:rsidR="00F115F2" w:rsidRDefault="00F115F2" w:rsidP="003E424C">
      <w:r w:rsidRPr="00CE2A37">
        <w:t>The previous PopPK model (based on data cut-off</w:t>
      </w:r>
      <w:r>
        <w:t xml:space="preserve"> date 11 January 2013) was a two compartment model with first </w:t>
      </w:r>
      <w:r w:rsidRPr="00CE2A37">
        <w:t>order input (rate constant KA), apparent clearances (CL/F and Q/F</w:t>
      </w:r>
      <w:r w:rsidR="008912C7">
        <w:t>;</w:t>
      </w:r>
      <w:r w:rsidR="00307F94">
        <w:rPr>
          <w:rStyle w:val="FootnoteReference"/>
        </w:rPr>
        <w:footnoteReference w:id="28"/>
      </w:r>
      <w:r w:rsidRPr="00CE2A37">
        <w:t xml:space="preserve"> and apparent volumes (V2/F and V3/F</w:t>
      </w:r>
      <w:r w:rsidR="008912C7">
        <w:t>).</w:t>
      </w:r>
      <w:r w:rsidR="00307F94">
        <w:rPr>
          <w:rStyle w:val="FootnoteReference"/>
        </w:rPr>
        <w:footnoteReference w:id="29"/>
      </w:r>
      <w:r w:rsidRPr="00CE2A37">
        <w:t xml:space="preserve"> The typical values of some of the PK parameters depended on body surface area (BSA, </w:t>
      </w:r>
      <w:r w:rsidR="00FC69C3" w:rsidRPr="00F50805">
        <w:t>m</w:t>
      </w:r>
      <w:r w:rsidR="00FC69C3" w:rsidRPr="00FC69C3">
        <w:rPr>
          <w:vertAlign w:val="superscript"/>
        </w:rPr>
        <w:t>2</w:t>
      </w:r>
      <w:r w:rsidRPr="00CE2A37">
        <w:t>) and an indicator for the presence or absence of CYP3A4</w:t>
      </w:r>
      <w:r w:rsidR="008912C7">
        <w:t>;</w:t>
      </w:r>
      <w:r w:rsidR="00307F94">
        <w:rPr>
          <w:rStyle w:val="FootnoteReference"/>
        </w:rPr>
        <w:footnoteReference w:id="30"/>
      </w:r>
      <w:r w:rsidRPr="00CE2A37">
        <w:t xml:space="preserve"> or </w:t>
      </w:r>
      <w:r w:rsidR="00307F94">
        <w:t>P-glycoprotein (</w:t>
      </w:r>
      <w:proofErr w:type="spellStart"/>
      <w:r w:rsidRPr="00CE2A37">
        <w:t>PgP</w:t>
      </w:r>
      <w:proofErr w:type="spellEnd"/>
      <w:r w:rsidR="00307F94">
        <w:t>)</w:t>
      </w:r>
      <w:r w:rsidRPr="00CE2A37">
        <w:t xml:space="preserve"> inducers</w:t>
      </w:r>
      <w:r>
        <w:t>.</w:t>
      </w:r>
    </w:p>
    <w:p w14:paraId="5B11B52F" w14:textId="77777777" w:rsidR="00F115F2" w:rsidRPr="00CE2A37" w:rsidRDefault="00F115F2" w:rsidP="003E424C">
      <w:r w:rsidRPr="00CE2A37">
        <w:t xml:space="preserve">The previous PK model parameter estimates were updated with the </w:t>
      </w:r>
      <w:r>
        <w:t>5 year</w:t>
      </w:r>
      <w:r w:rsidRPr="00CE2A37">
        <w:t xml:space="preserve"> data set and then compared with those existing from the </w:t>
      </w:r>
      <w:r>
        <w:t>3 year</w:t>
      </w:r>
      <w:r w:rsidRPr="00CE2A37">
        <w:t xml:space="preserve"> data.</w:t>
      </w:r>
    </w:p>
    <w:p w14:paraId="5160C263" w14:textId="77777777" w:rsidR="00F115F2" w:rsidRPr="00CE2A37" w:rsidRDefault="00F115F2" w:rsidP="003E424C">
      <w:r w:rsidRPr="00CE2A37">
        <w:lastRenderedPageBreak/>
        <w:t xml:space="preserve">Since the use of additional covariates showed larger % error in predictions of trough levels, the </w:t>
      </w:r>
      <w:r>
        <w:t>5 year</w:t>
      </w:r>
      <w:r w:rsidRPr="00CE2A37">
        <w:t xml:space="preserve"> model with no additional covariates (to those of the existing </w:t>
      </w:r>
      <w:r>
        <w:t>3 year</w:t>
      </w:r>
      <w:r w:rsidRPr="00CE2A37">
        <w:t xml:space="preserve"> model) was adopted.</w:t>
      </w:r>
    </w:p>
    <w:p w14:paraId="080E228A" w14:textId="77777777" w:rsidR="00F115F2" w:rsidRPr="00CE2A37" w:rsidRDefault="00F115F2" w:rsidP="003E424C">
      <w:r w:rsidRPr="00CE2A37">
        <w:t xml:space="preserve">Typical </w:t>
      </w:r>
      <w:r>
        <w:t>steady state</w:t>
      </w:r>
      <w:r w:rsidRPr="00CE2A37">
        <w:t xml:space="preserve"> trough level was predicted to be near the m</w:t>
      </w:r>
      <w:r>
        <w:t xml:space="preserve">idpoint of the target range </w:t>
      </w:r>
      <w:proofErr w:type="gramStart"/>
      <w:r>
        <w:t xml:space="preserve">of 5 to </w:t>
      </w:r>
      <w:r w:rsidRPr="00CE2A37">
        <w:t>15</w:t>
      </w:r>
      <w:r>
        <w:t xml:space="preserve"> </w:t>
      </w:r>
      <w:r w:rsidRPr="00CE2A37">
        <w:t>ng/mL</w:t>
      </w:r>
      <w:proofErr w:type="gramEnd"/>
      <w:r w:rsidRPr="00CE2A37">
        <w:t xml:space="preserve"> for an adult on a 4.5 mg/</w:t>
      </w:r>
      <w:r w:rsidR="00FC69C3" w:rsidRPr="00F50805">
        <w:t>m</w:t>
      </w:r>
      <w:r w:rsidR="00FC69C3" w:rsidRPr="00FC69C3">
        <w:rPr>
          <w:vertAlign w:val="superscript"/>
        </w:rPr>
        <w:t>2</w:t>
      </w:r>
      <w:r w:rsidRPr="00CE2A37">
        <w:t xml:space="preserve"> dose with absence of CYP3A4 or </w:t>
      </w:r>
      <w:proofErr w:type="spellStart"/>
      <w:r w:rsidRPr="00CE2A37">
        <w:t>PgP</w:t>
      </w:r>
      <w:proofErr w:type="spellEnd"/>
      <w:r w:rsidRPr="00CE2A37">
        <w:t xml:space="preserve"> enzyme inducers. The presence of inducer was associated with numerically greater decrease in trough levels for adults compared to children. Typical </w:t>
      </w:r>
      <w:r>
        <w:t>steady state</w:t>
      </w:r>
      <w:r w:rsidRPr="00CE2A37">
        <w:t xml:space="preserve"> trough levels are predicted to be near the lower limit of the target range for a child or anyone with presence of CYP3A4 or </w:t>
      </w:r>
      <w:proofErr w:type="spellStart"/>
      <w:r w:rsidRPr="00CE2A37">
        <w:t>PgP</w:t>
      </w:r>
      <w:proofErr w:type="spellEnd"/>
      <w:r w:rsidRPr="00CE2A37">
        <w:t xml:space="preserve"> enzyme inducers.</w:t>
      </w:r>
    </w:p>
    <w:p w14:paraId="214FC20E" w14:textId="3D8F8C82" w:rsidR="00F115F2" w:rsidRPr="00CE2A37" w:rsidRDefault="00F115F2" w:rsidP="00F115F2">
      <w:r w:rsidRPr="00CE2A37">
        <w:t>Thus: Children or anyone with presence of inducers may need a dose increase from 4.5</w:t>
      </w:r>
      <w:r w:rsidR="008912C7">
        <w:t> </w:t>
      </w:r>
      <w:r>
        <w:t>mg</w:t>
      </w:r>
      <w:r w:rsidRPr="00CE2A37">
        <w:t>/</w:t>
      </w:r>
      <w:r w:rsidR="00FC69C3" w:rsidRPr="00F50805">
        <w:t>m</w:t>
      </w:r>
      <w:r w:rsidR="00FC69C3" w:rsidRPr="00FC69C3">
        <w:rPr>
          <w:vertAlign w:val="superscript"/>
        </w:rPr>
        <w:t>2</w:t>
      </w:r>
      <w:r w:rsidRPr="00CE2A37">
        <w:t xml:space="preserve"> to maintain </w:t>
      </w:r>
      <w:r>
        <w:t>steady state</w:t>
      </w:r>
      <w:r w:rsidRPr="00CE2A37">
        <w:t xml:space="preserve"> trough levels within the target range</w:t>
      </w:r>
    </w:p>
    <w:p w14:paraId="0BD4563A" w14:textId="1631D6C7" w:rsidR="00F115F2" w:rsidRPr="00CE2A37" w:rsidRDefault="00F115F2" w:rsidP="003E424C">
      <w:r w:rsidRPr="00CE2A37">
        <w:t xml:space="preserve">Steady state </w:t>
      </w:r>
      <w:r w:rsidR="00307F94" w:rsidRPr="00307F94">
        <w:t>P-glycoprotein; enzyme involved in drug metabolism</w:t>
      </w:r>
      <w:r w:rsidRPr="00CE2A37">
        <w:t xml:space="preserve"> based on a higher starting dose was simulated for children </w:t>
      </w:r>
      <w:r>
        <w:t>1 year</w:t>
      </w:r>
      <w:r w:rsidRPr="00CE2A37">
        <w:t xml:space="preserve"> to less than </w:t>
      </w:r>
      <w:r>
        <w:t>3 years</w:t>
      </w:r>
      <w:r w:rsidRPr="00CE2A37">
        <w:t xml:space="preserve"> to deliver typical initial steady state </w:t>
      </w:r>
      <w:proofErr w:type="spellStart"/>
      <w:r w:rsidR="00F50ABF" w:rsidRPr="00C9173F">
        <w:t>C</w:t>
      </w:r>
      <w:r w:rsidR="00F50ABF" w:rsidRPr="00F50ABF">
        <w:rPr>
          <w:vertAlign w:val="subscript"/>
        </w:rPr>
        <w:t>min</w:t>
      </w:r>
      <w:proofErr w:type="spellEnd"/>
      <w:r w:rsidR="008912C7">
        <w:t>;</w:t>
      </w:r>
      <w:r w:rsidR="00656D98">
        <w:rPr>
          <w:rStyle w:val="FootnoteReference"/>
        </w:rPr>
        <w:footnoteReference w:id="31"/>
      </w:r>
      <w:r w:rsidRPr="00CE2A37">
        <w:t xml:space="preserve"> higher than </w:t>
      </w:r>
      <w:r>
        <w:t>5 ng</w:t>
      </w:r>
      <w:r w:rsidRPr="00CE2A37">
        <w:t xml:space="preserve">/mL across the BSA range observed in the trial at time of first everolimus dose (0.42 </w:t>
      </w:r>
      <w:r w:rsidR="00FC69C3" w:rsidRPr="00F50805">
        <w:t>m</w:t>
      </w:r>
      <w:r w:rsidR="00FC69C3" w:rsidRPr="00FC69C3">
        <w:rPr>
          <w:vertAlign w:val="superscript"/>
        </w:rPr>
        <w:t>2</w:t>
      </w:r>
      <w:r w:rsidRPr="00CE2A37">
        <w:t xml:space="preserve"> to 0.74</w:t>
      </w:r>
      <w:r w:rsidR="00FC69C3" w:rsidRPr="00F50805">
        <w:t>m</w:t>
      </w:r>
      <w:r w:rsidR="00FC69C3" w:rsidRPr="00FC69C3">
        <w:rPr>
          <w:vertAlign w:val="superscript"/>
        </w:rPr>
        <w:t>2</w:t>
      </w:r>
      <w:r w:rsidRPr="00CE2A37">
        <w:t>). A higher starting dose of 7</w:t>
      </w:r>
      <w:r>
        <w:t xml:space="preserve"> mg</w:t>
      </w:r>
      <w:r w:rsidRPr="00CE2A37">
        <w:t>/</w:t>
      </w:r>
      <w:r w:rsidR="00FC69C3" w:rsidRPr="00F50805">
        <w:t>m</w:t>
      </w:r>
      <w:r w:rsidR="00FC69C3" w:rsidRPr="00FC69C3">
        <w:rPr>
          <w:vertAlign w:val="superscript"/>
        </w:rPr>
        <w:t>2</w:t>
      </w:r>
      <w:r w:rsidRPr="00CE2A37">
        <w:t xml:space="preserve"> based on the dispersible tablet or the regular tablet i</w:t>
      </w:r>
      <w:r>
        <w:t xml:space="preserve">s suggested for children 1 to </w:t>
      </w:r>
      <w:r w:rsidR="00F50ABF">
        <w:t xml:space="preserve">&lt; </w:t>
      </w:r>
      <w:r>
        <w:t>3 years</w:t>
      </w:r>
      <w:r w:rsidRPr="00CE2A37">
        <w:t xml:space="preserve"> to help minimize blood draws in these youngest children by reducing the number of dose titrations to attain the </w:t>
      </w:r>
      <w:proofErr w:type="spellStart"/>
      <w:r w:rsidR="00F50ABF" w:rsidRPr="00C9173F">
        <w:t>C</w:t>
      </w:r>
      <w:r w:rsidR="00F50ABF" w:rsidRPr="00F50ABF">
        <w:rPr>
          <w:vertAlign w:val="subscript"/>
        </w:rPr>
        <w:t>min</w:t>
      </w:r>
      <w:proofErr w:type="spellEnd"/>
      <w:r w:rsidRPr="00CE2A37">
        <w:t xml:space="preserve"> within the target range </w:t>
      </w:r>
      <w:proofErr w:type="gramStart"/>
      <w:r w:rsidRPr="00CE2A37">
        <w:t>of 5 to 1</w:t>
      </w:r>
      <w:r>
        <w:t>5 ng</w:t>
      </w:r>
      <w:r w:rsidRPr="00CE2A37">
        <w:t>/</w:t>
      </w:r>
      <w:proofErr w:type="spellStart"/>
      <w:r w:rsidRPr="00CE2A37">
        <w:t>mL</w:t>
      </w:r>
      <w:proofErr w:type="gramEnd"/>
      <w:r w:rsidRPr="00CE2A37">
        <w:t>.</w:t>
      </w:r>
      <w:proofErr w:type="spellEnd"/>
      <w:r>
        <w:t xml:space="preserve"> </w:t>
      </w:r>
      <w:r w:rsidRPr="007300EE">
        <w:t>See Figure</w:t>
      </w:r>
      <w:r w:rsidR="00F23035">
        <w:t xml:space="preserve"> 2</w:t>
      </w:r>
      <w:r w:rsidRPr="00CE2A37">
        <w:t>.</w:t>
      </w:r>
    </w:p>
    <w:p w14:paraId="6BFC98F4" w14:textId="77777777" w:rsidR="00F115F2" w:rsidRPr="00CE2A37" w:rsidRDefault="00F115F2" w:rsidP="00F115F2">
      <w:pPr>
        <w:pStyle w:val="FigureTitle"/>
      </w:pPr>
      <w:r w:rsidRPr="00CE2A37">
        <w:t xml:space="preserve">Figure </w:t>
      </w:r>
      <w:r w:rsidR="00F23035">
        <w:t>2</w:t>
      </w:r>
      <w:r>
        <w:t>:</w:t>
      </w:r>
      <w:r w:rsidRPr="00CE2A37">
        <w:t xml:space="preserve"> Typical </w:t>
      </w:r>
      <w:r>
        <w:t>steady state</w:t>
      </w:r>
      <w:r w:rsidRPr="00CE2A37">
        <w:t xml:space="preserve"> concentration time profiles by BSA and absence/presence of inducer based on a dose of 4.5</w:t>
      </w:r>
      <w:r>
        <w:t xml:space="preserve"> mg</w:t>
      </w:r>
      <w:r w:rsidRPr="00CE2A37">
        <w:t>/</w:t>
      </w:r>
      <w:r w:rsidR="00FC69C3" w:rsidRPr="00F50805">
        <w:t>m</w:t>
      </w:r>
      <w:r w:rsidR="00FC69C3" w:rsidRPr="00FC69C3">
        <w:rPr>
          <w:vertAlign w:val="superscript"/>
        </w:rPr>
        <w:t>2</w:t>
      </w:r>
    </w:p>
    <w:p w14:paraId="5484B716" w14:textId="77777777" w:rsidR="00500337" w:rsidRDefault="00F115F2" w:rsidP="00500337">
      <w:r>
        <w:rPr>
          <w:noProof/>
          <w:lang w:eastAsia="en-AU"/>
        </w:rPr>
        <w:drawing>
          <wp:inline distT="0" distB="0" distL="0" distR="0" wp14:anchorId="68617000" wp14:editId="7D12B0B9">
            <wp:extent cx="5400040" cy="3668681"/>
            <wp:effectExtent l="0" t="0" r="0" b="8255"/>
            <wp:docPr id="17" name="Picture 17" descr="Figure 2: Typical steady state concentration time profiles by BSA and absence/presence of inducer based on a dose of 4.5 mg/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3668681"/>
                    </a:xfrm>
                    <a:prstGeom prst="rect">
                      <a:avLst/>
                    </a:prstGeom>
                  </pic:spPr>
                </pic:pic>
              </a:graphicData>
            </a:graphic>
          </wp:inline>
        </w:drawing>
      </w:r>
    </w:p>
    <w:p w14:paraId="027096F2" w14:textId="17F684C3" w:rsidR="002A3917" w:rsidRPr="002A3917" w:rsidRDefault="002A3917" w:rsidP="003E424C">
      <w:pPr>
        <w:pStyle w:val="Heading4"/>
      </w:pPr>
      <w:r w:rsidRPr="003E424C">
        <w:lastRenderedPageBreak/>
        <w:t>Pharmacokinetic</w:t>
      </w:r>
      <w:r w:rsidRPr="002A3917">
        <w:t xml:space="preserve"> interactions</w:t>
      </w:r>
      <w:r w:rsidR="003D05D9">
        <w:t xml:space="preserve"> Study M2304</w:t>
      </w:r>
    </w:p>
    <w:p w14:paraId="345B6E1F" w14:textId="77777777" w:rsidR="002A3917" w:rsidRPr="00CE2A37" w:rsidRDefault="002A3917" w:rsidP="003E424C">
      <w:pPr>
        <w:pStyle w:val="Tabletitle0"/>
      </w:pPr>
      <w:bookmarkStart w:id="58" w:name="_Toc477255785"/>
      <w:r w:rsidRPr="00CE2A37">
        <w:t xml:space="preserve">Table </w:t>
      </w:r>
      <w:r w:rsidR="000128D8">
        <w:t>7</w:t>
      </w:r>
      <w:r>
        <w:t>:</w:t>
      </w:r>
      <w:r w:rsidRPr="00CE2A37">
        <w:t xml:space="preserve"> </w:t>
      </w:r>
      <w:r w:rsidRPr="003E424C">
        <w:t>Concomitant</w:t>
      </w:r>
      <w:r>
        <w:t xml:space="preserve"> antiepileptic therapy; </w:t>
      </w:r>
      <w:r w:rsidRPr="00CE2A37">
        <w:t>Study M2304 Core phase (Safety Set)</w:t>
      </w:r>
      <w:bookmarkEnd w:id="58"/>
    </w:p>
    <w:p w14:paraId="329C7B8C" w14:textId="77777777" w:rsidR="002A3917" w:rsidRDefault="002A3917" w:rsidP="00500337">
      <w:r>
        <w:rPr>
          <w:noProof/>
          <w:lang w:eastAsia="en-AU"/>
        </w:rPr>
        <w:drawing>
          <wp:inline distT="0" distB="0" distL="0" distR="0" wp14:anchorId="5112ABA8" wp14:editId="54502F03">
            <wp:extent cx="5400040" cy="4036184"/>
            <wp:effectExtent l="0" t="0" r="0" b="2540"/>
            <wp:docPr id="18" name="Picture 18" descr="Table 7: Concomitant antiepileptic therapy; Study M2304 Core phas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4036184"/>
                    </a:xfrm>
                    <a:prstGeom prst="rect">
                      <a:avLst/>
                    </a:prstGeom>
                  </pic:spPr>
                </pic:pic>
              </a:graphicData>
            </a:graphic>
          </wp:inline>
        </w:drawing>
      </w:r>
    </w:p>
    <w:p w14:paraId="383C8400" w14:textId="470E2F91" w:rsidR="002A3917" w:rsidRPr="00CE2A37" w:rsidRDefault="002A3917" w:rsidP="002A3917">
      <w:r w:rsidRPr="00CE2A37">
        <w:t xml:space="preserve">In Study </w:t>
      </w:r>
      <w:r w:rsidR="00591847">
        <w:t>M2304</w:t>
      </w:r>
      <w:r w:rsidRPr="00CE2A37">
        <w:t xml:space="preserve"> the concentration levels of 12 commonly prescribed AEDs were assessed:</w:t>
      </w:r>
    </w:p>
    <w:p w14:paraId="04A0BB30" w14:textId="77777777" w:rsidR="002A3917" w:rsidRPr="002A3917" w:rsidRDefault="002A3917" w:rsidP="002A3917">
      <w:pPr>
        <w:pStyle w:val="ListBullet"/>
      </w:pPr>
      <w:r w:rsidRPr="002A3917">
        <w:t xml:space="preserve">Inducers of CYP3A4: carbamazepine, oxcarbazepine, phenobarbital, phenytoin, primidone, </w:t>
      </w:r>
      <w:proofErr w:type="spellStart"/>
      <w:r w:rsidRPr="002A3917">
        <w:t>clobazam</w:t>
      </w:r>
      <w:proofErr w:type="spellEnd"/>
      <w:r w:rsidRPr="002A3917">
        <w:t xml:space="preserve">, </w:t>
      </w:r>
      <w:proofErr w:type="spellStart"/>
      <w:r w:rsidRPr="002A3917">
        <w:t>topiramate</w:t>
      </w:r>
      <w:proofErr w:type="spellEnd"/>
    </w:p>
    <w:p w14:paraId="2539C2FB" w14:textId="77777777" w:rsidR="002A3917" w:rsidRPr="002A3917" w:rsidRDefault="002A3917" w:rsidP="002A3917">
      <w:pPr>
        <w:pStyle w:val="ListBullet"/>
      </w:pPr>
      <w:r w:rsidRPr="002A3917">
        <w:t>Substrates of CYP3A4:</w:t>
      </w:r>
      <w:r w:rsidR="00591847">
        <w:t xml:space="preserve"> </w:t>
      </w:r>
      <w:r w:rsidRPr="002A3917">
        <w:t xml:space="preserve">clonazepam, diazepam, </w:t>
      </w:r>
      <w:proofErr w:type="spellStart"/>
      <w:r w:rsidRPr="002A3917">
        <w:t>felbamate</w:t>
      </w:r>
      <w:proofErr w:type="spellEnd"/>
      <w:r w:rsidRPr="002A3917">
        <w:t xml:space="preserve">, </w:t>
      </w:r>
      <w:proofErr w:type="spellStart"/>
      <w:r w:rsidRPr="002A3917">
        <w:t>zonisamide</w:t>
      </w:r>
      <w:proofErr w:type="spellEnd"/>
    </w:p>
    <w:p w14:paraId="33F9E6E9" w14:textId="77777777" w:rsidR="002A3917" w:rsidRPr="002A3917" w:rsidRDefault="002A3917" w:rsidP="002A3917">
      <w:pPr>
        <w:pStyle w:val="ListBullet"/>
      </w:pPr>
      <w:r w:rsidRPr="002A3917">
        <w:t xml:space="preserve">Not substrate or inducer of CYP3A4: </w:t>
      </w:r>
      <w:proofErr w:type="spellStart"/>
      <w:r w:rsidRPr="002A3917">
        <w:t>valproic</w:t>
      </w:r>
      <w:proofErr w:type="spellEnd"/>
      <w:r w:rsidRPr="002A3917">
        <w:t xml:space="preserve"> acid.</w:t>
      </w:r>
    </w:p>
    <w:p w14:paraId="151C3650" w14:textId="77777777" w:rsidR="002A3917" w:rsidRPr="00CE2A37" w:rsidRDefault="002A3917" w:rsidP="002A3917">
      <w:r w:rsidRPr="00CE2A37">
        <w:t>The impact of everolimus on the exposure of the AEDs was assessed via linear mixed models to compare the exposure of the AEDs before and after the administration of everolimus.</w:t>
      </w:r>
    </w:p>
    <w:p w14:paraId="765C6158" w14:textId="0643AD70" w:rsidR="002A3917" w:rsidRPr="00CE2A37" w:rsidRDefault="002A3917" w:rsidP="002A3917">
      <w:r w:rsidRPr="00CE2A37">
        <w:t>Separately for each AED, a linear mix</w:t>
      </w:r>
      <w:r>
        <w:t xml:space="preserve">ed model was fitted to the log </w:t>
      </w:r>
      <w:r w:rsidRPr="00CE2A37">
        <w:t xml:space="preserve">transformed concentrations, and included period (before and after everolimus administration) as a fixed effect and patient as a random effect. Geometric mean ratios of the concentrations with and without everolimus (as reference) and the 90% </w:t>
      </w:r>
      <w:r w:rsidR="00656D98">
        <w:t>confidence intervals</w:t>
      </w:r>
      <w:r w:rsidR="00656D98" w:rsidRPr="00CE2A37">
        <w:t xml:space="preserve"> </w:t>
      </w:r>
      <w:r w:rsidR="00656D98">
        <w:t>(</w:t>
      </w:r>
      <w:r w:rsidRPr="00CE2A37">
        <w:t>C</w:t>
      </w:r>
      <w:r w:rsidR="009E2FE8">
        <w:t>I</w:t>
      </w:r>
      <w:r w:rsidRPr="00CE2A37">
        <w:t>s</w:t>
      </w:r>
      <w:r w:rsidR="00656D98">
        <w:t>)</w:t>
      </w:r>
      <w:r w:rsidRPr="00CE2A37">
        <w:t xml:space="preserve"> were calculated from the model.</w:t>
      </w:r>
    </w:p>
    <w:p w14:paraId="510F5558" w14:textId="6D615A68" w:rsidR="002A3917" w:rsidRPr="00CE2A37" w:rsidRDefault="002A3917" w:rsidP="003E424C">
      <w:r w:rsidRPr="00CE2A37">
        <w:t>The above analyses were repeated considering patients exposed to only one of the 12</w:t>
      </w:r>
      <w:r w:rsidR="008912C7">
        <w:t> </w:t>
      </w:r>
      <w:r w:rsidRPr="00CE2A37">
        <w:t>AEDs of interest to investigate any pote</w:t>
      </w:r>
      <w:r>
        <w:t xml:space="preserve">ntial confounding effect. Model </w:t>
      </w:r>
      <w:r w:rsidRPr="00CE2A37">
        <w:t>based analysis was performed on those AEDs taken by a minimum of 6 patients with valid concentrations for both everolimus and the corresponding AED.</w:t>
      </w:r>
    </w:p>
    <w:p w14:paraId="5449EBDB" w14:textId="77777777" w:rsidR="002A3917" w:rsidRPr="00CE2A37" w:rsidRDefault="002A3917" w:rsidP="003E424C">
      <w:pPr>
        <w:pStyle w:val="Heading6"/>
      </w:pPr>
      <w:r w:rsidRPr="00CE2A37">
        <w:t>Resu</w:t>
      </w:r>
      <w:r>
        <w:t xml:space="preserve">lts of </w:t>
      </w:r>
      <w:r w:rsidRPr="003E424C">
        <w:t>the</w:t>
      </w:r>
      <w:r>
        <w:t xml:space="preserve"> statistical analysis</w:t>
      </w:r>
    </w:p>
    <w:p w14:paraId="32EA1710" w14:textId="77777777" w:rsidR="002A3917" w:rsidRPr="00CE2A37" w:rsidRDefault="002A3917" w:rsidP="002A3917">
      <w:r w:rsidRPr="00CE2A37">
        <w:t>Treatment with everolimus was associated with minor increases in the concentrations of:</w:t>
      </w:r>
    </w:p>
    <w:p w14:paraId="598386DF" w14:textId="415DD597" w:rsidR="002A3917" w:rsidRPr="002A3917" w:rsidRDefault="002A3917" w:rsidP="002A3917">
      <w:pPr>
        <w:pStyle w:val="ListBullet"/>
      </w:pPr>
      <w:r w:rsidRPr="002A3917">
        <w:t>Carbamazepine (geometric mean ratio of AED concentrations was 1.108 (90%</w:t>
      </w:r>
      <w:r w:rsidR="008912C7">
        <w:t> </w:t>
      </w:r>
      <w:r w:rsidRPr="002A3917">
        <w:t>CI:</w:t>
      </w:r>
      <w:r w:rsidR="008912C7">
        <w:t> </w:t>
      </w:r>
      <w:r w:rsidR="007F5462">
        <w:t>1.016, 1.208)</w:t>
      </w:r>
    </w:p>
    <w:p w14:paraId="25D9EC7C" w14:textId="77777777" w:rsidR="002A3917" w:rsidRPr="002A3917" w:rsidRDefault="002A3917" w:rsidP="002A3917">
      <w:pPr>
        <w:pStyle w:val="ListBullet"/>
      </w:pPr>
      <w:proofErr w:type="spellStart"/>
      <w:r w:rsidRPr="002A3917">
        <w:lastRenderedPageBreak/>
        <w:t>Clobazam</w:t>
      </w:r>
      <w:proofErr w:type="spellEnd"/>
      <w:r w:rsidRPr="002A3917">
        <w:t xml:space="preserve"> (geometric mean ratio 1.093 (90% CI: 1.037, 1.153))</w:t>
      </w:r>
    </w:p>
    <w:p w14:paraId="345211DC" w14:textId="10499FD2" w:rsidR="002A3917" w:rsidRPr="002A3917" w:rsidRDefault="002A3917" w:rsidP="002A3917">
      <w:pPr>
        <w:pStyle w:val="ListBullet"/>
      </w:pPr>
      <w:r w:rsidRPr="002A3917">
        <w:t xml:space="preserve">Metabolite of </w:t>
      </w:r>
      <w:proofErr w:type="spellStart"/>
      <w:r w:rsidRPr="002A3917">
        <w:t>clobazam</w:t>
      </w:r>
      <w:proofErr w:type="spellEnd"/>
      <w:r w:rsidRPr="002A3917">
        <w:t xml:space="preserve"> (N-</w:t>
      </w:r>
      <w:proofErr w:type="spellStart"/>
      <w:r w:rsidRPr="002A3917">
        <w:t>desmethylclobazam</w:t>
      </w:r>
      <w:proofErr w:type="spellEnd"/>
      <w:r w:rsidRPr="002A3917">
        <w:t>) (geometric mean ratio 1.071 (90%</w:t>
      </w:r>
      <w:r w:rsidR="008912C7">
        <w:t> </w:t>
      </w:r>
      <w:r w:rsidRPr="002A3917">
        <w:t>CI:</w:t>
      </w:r>
      <w:r w:rsidR="008912C7">
        <w:t> </w:t>
      </w:r>
      <w:r w:rsidRPr="002A3917">
        <w:t>1.017, 1.127)).</w:t>
      </w:r>
    </w:p>
    <w:p w14:paraId="4B840355" w14:textId="77777777" w:rsidR="002A3917" w:rsidRPr="00CE2A37" w:rsidRDefault="002A3917" w:rsidP="002A3917">
      <w:r w:rsidRPr="00CE2A37">
        <w:t>‘The increases in the pre-dose concentrations of these AEDs may not be clinically significant although dose adjustment for carbamazepine, a drug with a narrow therapeutic index, may be considered. Everolimus had no impact on the other AEDs evaluated in the study.’</w:t>
      </w:r>
    </w:p>
    <w:p w14:paraId="2280A8A0" w14:textId="736FE16E" w:rsidR="002A3917" w:rsidRPr="00CE2A37" w:rsidRDefault="002A3917" w:rsidP="003E424C">
      <w:pPr>
        <w:pStyle w:val="Tabletitle0"/>
      </w:pPr>
      <w:r w:rsidRPr="00CE2A37">
        <w:t xml:space="preserve">Table </w:t>
      </w:r>
      <w:r w:rsidR="000128D8">
        <w:t>8</w:t>
      </w:r>
      <w:r>
        <w:t>:</w:t>
      </w:r>
      <w:r w:rsidRPr="00CE2A37">
        <w:t xml:space="preserve"> Impact of </w:t>
      </w:r>
      <w:proofErr w:type="spellStart"/>
      <w:r w:rsidRPr="003E424C">
        <w:t>everolimus</w:t>
      </w:r>
      <w:proofErr w:type="spellEnd"/>
      <w:r>
        <w:t xml:space="preserve"> on AED concentrations;</w:t>
      </w:r>
      <w:r w:rsidRPr="00CE2A37">
        <w:t xml:space="preserve"> </w:t>
      </w:r>
      <w:r w:rsidR="009E2FE8" w:rsidRPr="00CE2A37">
        <w:t xml:space="preserve">Study M2304 Core phase </w:t>
      </w:r>
      <w:r w:rsidRPr="00CE2A37">
        <w:t>Safety Set (Confirmed PK Sample Set)</w:t>
      </w:r>
    </w:p>
    <w:p w14:paraId="3CD1C64F" w14:textId="77777777" w:rsidR="002A3917" w:rsidRPr="00500337" w:rsidRDefault="002A3917" w:rsidP="003E424C">
      <w:r>
        <w:rPr>
          <w:noProof/>
          <w:lang w:eastAsia="en-AU"/>
        </w:rPr>
        <w:drawing>
          <wp:inline distT="0" distB="0" distL="0" distR="0" wp14:anchorId="23285DE8" wp14:editId="5EA7629F">
            <wp:extent cx="5400040" cy="2539057"/>
            <wp:effectExtent l="0" t="0" r="0" b="0"/>
            <wp:docPr id="19" name="Picture 19" descr="Table 8: Impact of everolimus on AED concentrations; Safety Set (Confirmed PK Sampl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2539057"/>
                    </a:xfrm>
                    <a:prstGeom prst="rect">
                      <a:avLst/>
                    </a:prstGeom>
                  </pic:spPr>
                </pic:pic>
              </a:graphicData>
            </a:graphic>
          </wp:inline>
        </w:drawing>
      </w:r>
    </w:p>
    <w:p w14:paraId="56B1A9C7" w14:textId="77777777" w:rsidR="008E7846" w:rsidRDefault="008E7846" w:rsidP="008E7846">
      <w:pPr>
        <w:pStyle w:val="Heading3"/>
      </w:pPr>
      <w:bookmarkStart w:id="59" w:name="_Toc196046481"/>
      <w:bookmarkStart w:id="60" w:name="_Toc247691520"/>
      <w:bookmarkStart w:id="61" w:name="_Toc314842503"/>
      <w:bookmarkStart w:id="62" w:name="_Toc1555409"/>
      <w:r w:rsidRPr="00254787">
        <w:t>Pharmacodynamics</w:t>
      </w:r>
      <w:bookmarkEnd w:id="46"/>
      <w:bookmarkEnd w:id="59"/>
      <w:bookmarkEnd w:id="60"/>
      <w:bookmarkEnd w:id="61"/>
      <w:bookmarkEnd w:id="62"/>
    </w:p>
    <w:p w14:paraId="78CB1267" w14:textId="77777777" w:rsidR="002A3917" w:rsidRPr="008276E7" w:rsidRDefault="002A3917" w:rsidP="002A3917">
      <w:pPr>
        <w:pStyle w:val="Heading4"/>
      </w:pPr>
      <w:bookmarkStart w:id="63" w:name="_Ref475608805"/>
      <w:bookmarkStart w:id="64" w:name="_Toc477255755"/>
      <w:r>
        <w:t xml:space="preserve">Exposure </w:t>
      </w:r>
      <w:r w:rsidRPr="008276E7">
        <w:t>efficacy relationship</w:t>
      </w:r>
      <w:bookmarkEnd w:id="63"/>
      <w:bookmarkEnd w:id="64"/>
    </w:p>
    <w:p w14:paraId="218DF4D4" w14:textId="77777777" w:rsidR="002A3917" w:rsidRPr="008276E7" w:rsidRDefault="002A3917" w:rsidP="002A3917">
      <w:r w:rsidRPr="008276E7">
        <w:t xml:space="preserve">In </w:t>
      </w:r>
      <w:r w:rsidR="00656D98">
        <w:t>Study</w:t>
      </w:r>
      <w:r w:rsidRPr="008276E7">
        <w:t xml:space="preserve"> M2304, the relationship between everolimus exposure and the two primary efficacy endpoints of response rate and percentage change from Baseline in seizure frequency was investigated. No significant difference in response rate or seizure frequency reduction in relation to </w:t>
      </w:r>
      <w:proofErr w:type="spellStart"/>
      <w:r w:rsidR="00F50ABF" w:rsidRPr="00C9173F">
        <w:t>C</w:t>
      </w:r>
      <w:r w:rsidR="00F50ABF" w:rsidRPr="00F50ABF">
        <w:rPr>
          <w:vertAlign w:val="subscript"/>
        </w:rPr>
        <w:t>min</w:t>
      </w:r>
      <w:proofErr w:type="spellEnd"/>
      <w:r w:rsidRPr="008276E7">
        <w:t xml:space="preserve"> level was shown.</w:t>
      </w:r>
    </w:p>
    <w:p w14:paraId="5DF622C9" w14:textId="34C75062" w:rsidR="002A3917" w:rsidRPr="008276E7" w:rsidRDefault="002A3917" w:rsidP="003E424C">
      <w:pPr>
        <w:pStyle w:val="Tabletitle0"/>
      </w:pPr>
      <w:bookmarkStart w:id="65" w:name="_Toc477255787"/>
      <w:r w:rsidRPr="008276E7">
        <w:t xml:space="preserve">Table </w:t>
      </w:r>
      <w:r w:rsidR="000128D8">
        <w:t>9</w:t>
      </w:r>
      <w:r>
        <w:t>:</w:t>
      </w:r>
      <w:r w:rsidRPr="008276E7">
        <w:t xml:space="preserve"> Response rate and </w:t>
      </w:r>
      <w:r w:rsidRPr="003E424C">
        <w:t>percentage</w:t>
      </w:r>
      <w:r w:rsidRPr="008276E7">
        <w:t xml:space="preserve"> reduction from Baseline in seizure frequency by </w:t>
      </w:r>
      <w:r>
        <w:t>TN-</w:t>
      </w:r>
      <w:proofErr w:type="spellStart"/>
      <w:r w:rsidR="00F50ABF" w:rsidRPr="00C9173F">
        <w:t>C</w:t>
      </w:r>
      <w:r w:rsidR="00F50ABF" w:rsidRPr="00F50ABF">
        <w:rPr>
          <w:vertAlign w:val="subscript"/>
        </w:rPr>
        <w:t>min</w:t>
      </w:r>
      <w:proofErr w:type="spellEnd"/>
      <w:r>
        <w:t>;</w:t>
      </w:r>
      <w:r w:rsidRPr="008276E7">
        <w:t xml:space="preserve"> </w:t>
      </w:r>
      <w:r w:rsidR="0074423B" w:rsidRPr="00CE2A37">
        <w:t xml:space="preserve">Study M2304 Core phase </w:t>
      </w:r>
      <w:r w:rsidRPr="008276E7">
        <w:t>Safety Set (Confirmed PK Sample Set)</w:t>
      </w:r>
      <w:bookmarkEnd w:id="65"/>
    </w:p>
    <w:p w14:paraId="46A15495" w14:textId="77777777" w:rsidR="00500337" w:rsidRDefault="002A3917" w:rsidP="00500337">
      <w:r>
        <w:rPr>
          <w:noProof/>
          <w:lang w:eastAsia="en-AU"/>
        </w:rPr>
        <w:drawing>
          <wp:inline distT="0" distB="0" distL="0" distR="0" wp14:anchorId="567F69B1" wp14:editId="710695C5">
            <wp:extent cx="5400040" cy="1550781"/>
            <wp:effectExtent l="0" t="0" r="0" b="0"/>
            <wp:docPr id="20" name="Picture 20" descr="Table 9: Response rate and percentage reduction from Baseline in seizure frequency by TN-Cmin; Safety Set (Confirmed PK Sampl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1550781"/>
                    </a:xfrm>
                    <a:prstGeom prst="rect">
                      <a:avLst/>
                    </a:prstGeom>
                  </pic:spPr>
                </pic:pic>
              </a:graphicData>
            </a:graphic>
          </wp:inline>
        </w:drawing>
      </w:r>
    </w:p>
    <w:p w14:paraId="3636B09F" w14:textId="317D688B" w:rsidR="002A3917" w:rsidRPr="008276E7" w:rsidRDefault="002A3917" w:rsidP="002A3917">
      <w:r w:rsidRPr="008276E7">
        <w:t xml:space="preserve">For response rate, logistic regression was used to model the probability of response. The model included terms for </w:t>
      </w:r>
      <w:r>
        <w:t xml:space="preserve">time </w:t>
      </w:r>
      <w:r w:rsidR="004C3923">
        <w:t>normalised</w:t>
      </w:r>
      <w:r w:rsidR="004C3923" w:rsidRPr="008276E7">
        <w:t xml:space="preserve"> </w:t>
      </w:r>
      <w:proofErr w:type="spellStart"/>
      <w:r w:rsidR="00F50ABF" w:rsidRPr="00C9173F">
        <w:t>C</w:t>
      </w:r>
      <w:r w:rsidR="00F50ABF" w:rsidRPr="00F50ABF">
        <w:rPr>
          <w:vertAlign w:val="subscript"/>
        </w:rPr>
        <w:t>min</w:t>
      </w:r>
      <w:proofErr w:type="spellEnd"/>
      <w:r>
        <w:t xml:space="preserve"> (log</w:t>
      </w:r>
      <w:r w:rsidR="0048028E">
        <w:t>-</w:t>
      </w:r>
      <w:r w:rsidRPr="008276E7">
        <w:t xml:space="preserve">transformed) in the Maintenance period of the Core phase (defined as from Study Day 43 until the last day of study </w:t>
      </w:r>
      <w:r w:rsidRPr="008276E7">
        <w:lastRenderedPageBreak/>
        <w:t>medication in the Core phase), and Baseline seizure frequency. The model was stratified by age subgroup and adjusted for additional risk factors if appropriate.</w:t>
      </w:r>
    </w:p>
    <w:p w14:paraId="6B228B17" w14:textId="3320798F" w:rsidR="002A3917" w:rsidRPr="008276E7" w:rsidRDefault="002A3917" w:rsidP="002A3917">
      <w:r w:rsidRPr="008276E7">
        <w:t xml:space="preserve">The conditional logistic regression analysis for the probability of seizure response </w:t>
      </w:r>
      <w:r>
        <w:t>versus</w:t>
      </w:r>
      <w:r w:rsidRPr="008276E7">
        <w:t xml:space="preserve"> time </w:t>
      </w:r>
      <w:r w:rsidR="004C3923" w:rsidRPr="008276E7">
        <w:t>normali</w:t>
      </w:r>
      <w:r w:rsidR="004C3923">
        <w:t>s</w:t>
      </w:r>
      <w:r w:rsidR="004C3923" w:rsidRPr="008276E7">
        <w:t xml:space="preserve">ed </w:t>
      </w:r>
      <w:proofErr w:type="spellStart"/>
      <w:r w:rsidR="00F50ABF" w:rsidRPr="00C9173F">
        <w:t>C</w:t>
      </w:r>
      <w:r w:rsidR="00F50ABF" w:rsidRPr="00F50ABF">
        <w:rPr>
          <w:vertAlign w:val="subscript"/>
        </w:rPr>
        <w:t>min</w:t>
      </w:r>
      <w:proofErr w:type="spellEnd"/>
      <w:r w:rsidRPr="008276E7">
        <w:t xml:space="preserve"> (TN-</w:t>
      </w:r>
      <w:proofErr w:type="spellStart"/>
      <w:r w:rsidR="00F50ABF" w:rsidRPr="00C9173F">
        <w:t>C</w:t>
      </w:r>
      <w:r w:rsidR="00F50ABF" w:rsidRPr="00F50ABF">
        <w:rPr>
          <w:vertAlign w:val="subscript"/>
        </w:rPr>
        <w:t>min</w:t>
      </w:r>
      <w:proofErr w:type="spellEnd"/>
      <w:r w:rsidRPr="008276E7">
        <w:t>) stratified by age subgroup indicated that a 2</w:t>
      </w:r>
      <w:r>
        <w:t xml:space="preserve"> fold</w:t>
      </w:r>
      <w:r w:rsidRPr="008276E7">
        <w:t xml:space="preserve"> increase in TN-</w:t>
      </w:r>
      <w:proofErr w:type="spellStart"/>
      <w:r w:rsidR="00F50ABF" w:rsidRPr="00C9173F">
        <w:t>C</w:t>
      </w:r>
      <w:r w:rsidR="00F50ABF" w:rsidRPr="00F50ABF">
        <w:rPr>
          <w:vertAlign w:val="subscript"/>
        </w:rPr>
        <w:t>min</w:t>
      </w:r>
      <w:proofErr w:type="spellEnd"/>
      <w:r w:rsidRPr="008276E7">
        <w:t xml:space="preserve"> was associated with a 2.17</w:t>
      </w:r>
      <w:r>
        <w:t xml:space="preserve"> fold</w:t>
      </w:r>
      <w:r w:rsidRPr="008276E7">
        <w:t xml:space="preserve"> increase (95% CI: 1.339, 3.524) in the odds for a response. In addition to TN-</w:t>
      </w:r>
      <w:proofErr w:type="spellStart"/>
      <w:r w:rsidR="00F50ABF" w:rsidRPr="00C9173F">
        <w:t>C</w:t>
      </w:r>
      <w:r w:rsidR="00F50ABF" w:rsidRPr="00F50ABF">
        <w:rPr>
          <w:vertAlign w:val="subscript"/>
        </w:rPr>
        <w:t>min</w:t>
      </w:r>
      <w:proofErr w:type="spellEnd"/>
      <w:r w:rsidRPr="008276E7">
        <w:t xml:space="preserve">, baseline seizure frequency was also a significant factor in the seizure response with an </w:t>
      </w:r>
      <w:r w:rsidR="00656D98" w:rsidRPr="008276E7">
        <w:t xml:space="preserve">odds ratio </w:t>
      </w:r>
      <w:r w:rsidRPr="008276E7">
        <w:t xml:space="preserve">of 0.978 </w:t>
      </w:r>
      <w:r>
        <w:t>(</w:t>
      </w:r>
      <w:r w:rsidRPr="008276E7">
        <w:t>95% CI: 0.959, 0.998</w:t>
      </w:r>
      <w:r>
        <w:t>)</w:t>
      </w:r>
      <w:r w:rsidRPr="008276E7">
        <w:t>.</w:t>
      </w:r>
    </w:p>
    <w:p w14:paraId="273EEE90" w14:textId="1035B1DB" w:rsidR="002A3917" w:rsidRPr="008276E7" w:rsidRDefault="002A3917" w:rsidP="002A3917">
      <w:pPr>
        <w:pStyle w:val="Tabletitle0"/>
      </w:pPr>
      <w:bookmarkStart w:id="66" w:name="_Toc477255788"/>
      <w:r w:rsidRPr="008276E7">
        <w:t xml:space="preserve">Table </w:t>
      </w:r>
      <w:r w:rsidR="000128D8">
        <w:t>10</w:t>
      </w:r>
      <w:r>
        <w:t>:</w:t>
      </w:r>
      <w:r w:rsidRPr="008276E7">
        <w:t xml:space="preserve"> Relationship for a 2</w:t>
      </w:r>
      <w:r>
        <w:t xml:space="preserve"> fold</w:t>
      </w:r>
      <w:r w:rsidRPr="008276E7">
        <w:t xml:space="preserve"> increase in everolimus exposure, between response rate and </w:t>
      </w:r>
      <w:r>
        <w:t xml:space="preserve">time </w:t>
      </w:r>
      <w:r w:rsidR="004C3923">
        <w:t>normalised</w:t>
      </w:r>
      <w:r w:rsidR="004C3923" w:rsidRPr="008276E7">
        <w:t xml:space="preserve"> </w:t>
      </w:r>
      <w:r w:rsidRPr="008276E7">
        <w:t>everolimus concentration at trough (TN</w:t>
      </w:r>
      <w:r>
        <w:t>-</w:t>
      </w:r>
      <w:proofErr w:type="spellStart"/>
      <w:r w:rsidR="00F50ABF" w:rsidRPr="00C9173F">
        <w:t>C</w:t>
      </w:r>
      <w:r w:rsidR="00F50ABF" w:rsidRPr="00F50ABF">
        <w:rPr>
          <w:vertAlign w:val="subscript"/>
        </w:rPr>
        <w:t>min</w:t>
      </w:r>
      <w:proofErr w:type="spellEnd"/>
      <w:r w:rsidRPr="008276E7">
        <w:t xml:space="preserve">) </w:t>
      </w:r>
      <w:r w:rsidR="00CD6BDC" w:rsidRPr="00CE2A37">
        <w:t xml:space="preserve">Study M2304 Core phase </w:t>
      </w:r>
      <w:r w:rsidR="00610FCD">
        <w:t>Safety set (</w:t>
      </w:r>
      <w:r w:rsidRPr="008276E7">
        <w:t>Confirmed PK Sample Set*</w:t>
      </w:r>
      <w:bookmarkEnd w:id="66"/>
      <w:r w:rsidR="00610FCD">
        <w:t>)</w:t>
      </w:r>
    </w:p>
    <w:p w14:paraId="3452D1DF" w14:textId="77777777" w:rsidR="002A3917" w:rsidRDefault="002A3917" w:rsidP="00500337">
      <w:r>
        <w:rPr>
          <w:noProof/>
          <w:lang w:eastAsia="en-AU"/>
        </w:rPr>
        <w:drawing>
          <wp:inline distT="0" distB="0" distL="0" distR="0" wp14:anchorId="24ACAB0B" wp14:editId="0F2A7DDF">
            <wp:extent cx="5400040" cy="1563473"/>
            <wp:effectExtent l="0" t="0" r="0" b="0"/>
            <wp:docPr id="23" name="Picture 23" descr="Table 10: Relationship for a 2 fold increase in everolimus exposure, between response rate and time normalized everolimus concentration at trough (TN-Cmin) Confirmed PK Sampl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1563473"/>
                    </a:xfrm>
                    <a:prstGeom prst="rect">
                      <a:avLst/>
                    </a:prstGeom>
                  </pic:spPr>
                </pic:pic>
              </a:graphicData>
            </a:graphic>
          </wp:inline>
        </w:drawing>
      </w:r>
    </w:p>
    <w:p w14:paraId="684A1D65" w14:textId="77777777" w:rsidR="002A3917" w:rsidRPr="005177A3" w:rsidRDefault="002A3917" w:rsidP="003E424C">
      <w:r w:rsidRPr="005177A3">
        <w:t>A linear regression model was used to characterize the</w:t>
      </w:r>
      <w:r>
        <w:t xml:space="preserve"> impact of exposure on the post</w:t>
      </w:r>
      <w:r w:rsidRPr="005177A3">
        <w:t xml:space="preserve"> Baseline average weekly seizure frequency. The model includes Baseline seizure frequency and </w:t>
      </w:r>
      <w:r>
        <w:t>TN-</w:t>
      </w:r>
      <w:proofErr w:type="spellStart"/>
      <w:r w:rsidR="00F50ABF" w:rsidRPr="00C9173F">
        <w:t>C</w:t>
      </w:r>
      <w:r w:rsidR="00F50ABF" w:rsidRPr="00F50ABF">
        <w:rPr>
          <w:vertAlign w:val="subscript"/>
        </w:rPr>
        <w:t>min</w:t>
      </w:r>
      <w:proofErr w:type="spellEnd"/>
      <w:r w:rsidRPr="005177A3">
        <w:t xml:space="preserve"> in the Maintenance period of the Core phase, both in log scale as covariates. Moreover, an additional linear mixed model with repeated measure</w:t>
      </w:r>
      <w:r>
        <w:t xml:space="preserve">ments was used to link the post </w:t>
      </w:r>
      <w:r w:rsidRPr="005177A3">
        <w:t xml:space="preserve">Baseline average weekly seizure frequency to the </w:t>
      </w:r>
      <w:r>
        <w:t>TN-</w:t>
      </w:r>
      <w:proofErr w:type="spellStart"/>
      <w:r w:rsidR="00F50ABF" w:rsidRPr="00C9173F">
        <w:t>C</w:t>
      </w:r>
      <w:r w:rsidR="00F50ABF" w:rsidRPr="00F50ABF">
        <w:rPr>
          <w:vertAlign w:val="subscript"/>
        </w:rPr>
        <w:t>min</w:t>
      </w:r>
      <w:proofErr w:type="spellEnd"/>
      <w:r w:rsidRPr="005177A3">
        <w:t xml:space="preserve"> in defined time intervals during the Core phase. The model was adjusted by the Baseline seizure frequency. The linear regression model predicting the log of absolute seizure frequency during the Maintenance period of the Core phase indicated that for a 2</w:t>
      </w:r>
      <w:r>
        <w:t xml:space="preserve"> fold</w:t>
      </w:r>
      <w:r w:rsidR="00656D98">
        <w:t xml:space="preserve"> increase in TN</w:t>
      </w:r>
      <w:r w:rsidR="00656D98">
        <w:noBreakHyphen/>
      </w:r>
      <w:proofErr w:type="spellStart"/>
      <w:r w:rsidR="00F50ABF" w:rsidRPr="00C9173F">
        <w:t>C</w:t>
      </w:r>
      <w:r w:rsidR="00F50ABF" w:rsidRPr="00F50ABF">
        <w:rPr>
          <w:vertAlign w:val="subscript"/>
        </w:rPr>
        <w:t>min</w:t>
      </w:r>
      <w:proofErr w:type="spellEnd"/>
      <w:r w:rsidRPr="005177A3">
        <w:t xml:space="preserve"> there was a statistically significant 28% reduction (95% CI: 12%, 42%) in seizure frequency. Baseline seizure frequency and TN</w:t>
      </w:r>
      <w:r>
        <w:t>-</w:t>
      </w:r>
      <w:proofErr w:type="spellStart"/>
      <w:r w:rsidR="00F50ABF" w:rsidRPr="00C9173F">
        <w:t>C</w:t>
      </w:r>
      <w:r w:rsidR="00F50ABF" w:rsidRPr="00F50ABF">
        <w:rPr>
          <w:vertAlign w:val="subscript"/>
        </w:rPr>
        <w:t>min</w:t>
      </w:r>
      <w:proofErr w:type="spellEnd"/>
      <w:r w:rsidRPr="005177A3">
        <w:t xml:space="preserve"> were both significant factors.</w:t>
      </w:r>
    </w:p>
    <w:p w14:paraId="7E568D2B" w14:textId="2572110F" w:rsidR="002A3917" w:rsidRPr="005177A3" w:rsidRDefault="002A3917" w:rsidP="003E424C">
      <w:pPr>
        <w:pStyle w:val="Tabletitle0"/>
      </w:pPr>
      <w:bookmarkStart w:id="67" w:name="_Toc477255789"/>
      <w:r w:rsidRPr="005177A3">
        <w:t xml:space="preserve">Table </w:t>
      </w:r>
      <w:r w:rsidR="000128D8">
        <w:t>11</w:t>
      </w:r>
      <w:r>
        <w:t>:</w:t>
      </w:r>
      <w:r w:rsidRPr="005177A3">
        <w:t xml:space="preserve"> Relationship between % reduction from </w:t>
      </w:r>
      <w:r w:rsidRPr="003E424C">
        <w:t>baseline</w:t>
      </w:r>
      <w:r w:rsidRPr="005177A3">
        <w:t xml:space="preserve"> in seizure frequency and </w:t>
      </w:r>
      <w:r>
        <w:t xml:space="preserve">time </w:t>
      </w:r>
      <w:r w:rsidR="004C3923">
        <w:t>normalised</w:t>
      </w:r>
      <w:r w:rsidR="004C3923" w:rsidRPr="005177A3">
        <w:t xml:space="preserve"> </w:t>
      </w:r>
      <w:r w:rsidRPr="005177A3">
        <w:t>everolimus conc</w:t>
      </w:r>
      <w:r>
        <w:t>entration at trough</w:t>
      </w:r>
      <w:r w:rsidR="00610FCD">
        <w:t xml:space="preserve">; </w:t>
      </w:r>
      <w:r w:rsidR="00610FCD" w:rsidRPr="00CE2A37">
        <w:t xml:space="preserve">Study M2304 Core phase </w:t>
      </w:r>
      <w:r>
        <w:t>Safety Set</w:t>
      </w:r>
      <w:r w:rsidRPr="005177A3">
        <w:t xml:space="preserve"> </w:t>
      </w:r>
      <w:r w:rsidR="00610FCD">
        <w:t>(</w:t>
      </w:r>
      <w:r w:rsidRPr="005177A3">
        <w:t>Confirmed PK Sample Set</w:t>
      </w:r>
      <w:bookmarkEnd w:id="67"/>
      <w:r w:rsidR="00610FCD">
        <w:t>)</w:t>
      </w:r>
    </w:p>
    <w:p w14:paraId="5972B6E3" w14:textId="77777777" w:rsidR="002A3917" w:rsidRDefault="002A3917" w:rsidP="00500337">
      <w:r>
        <w:rPr>
          <w:noProof/>
          <w:lang w:eastAsia="en-AU"/>
        </w:rPr>
        <w:drawing>
          <wp:inline distT="0" distB="0" distL="0" distR="0" wp14:anchorId="6C2B8251" wp14:editId="4F93FCA0">
            <wp:extent cx="5400040" cy="2469826"/>
            <wp:effectExtent l="0" t="0" r="0" b="6985"/>
            <wp:docPr id="24" name="Picture 24" descr="Table 11: Relationship between % reduction from baseline in seizure frequency and time normalized everolimus concentration at trough Safety Set; Confirmed PK Sample S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2469826"/>
                    </a:xfrm>
                    <a:prstGeom prst="rect">
                      <a:avLst/>
                    </a:prstGeom>
                  </pic:spPr>
                </pic:pic>
              </a:graphicData>
            </a:graphic>
          </wp:inline>
        </w:drawing>
      </w:r>
    </w:p>
    <w:p w14:paraId="20DEFD81" w14:textId="77777777" w:rsidR="002A3917" w:rsidRPr="005177A3" w:rsidRDefault="002A3917" w:rsidP="003E424C">
      <w:pPr>
        <w:pStyle w:val="Heading4"/>
      </w:pPr>
      <w:bookmarkStart w:id="68" w:name="_Toc477255756"/>
      <w:r w:rsidRPr="005177A3">
        <w:lastRenderedPageBreak/>
        <w:t xml:space="preserve">Minimum efficacious </w:t>
      </w:r>
      <w:r w:rsidRPr="003E424C">
        <w:t>concentration</w:t>
      </w:r>
      <w:bookmarkEnd w:id="68"/>
    </w:p>
    <w:p w14:paraId="25B00BF1" w14:textId="77777777" w:rsidR="002A3917" w:rsidRPr="005177A3" w:rsidRDefault="002A3917" w:rsidP="002A3917">
      <w:r w:rsidRPr="005177A3">
        <w:t>To find the lowest exposure (as TN-</w:t>
      </w:r>
      <w:proofErr w:type="spellStart"/>
      <w:r w:rsidR="00F50ABF" w:rsidRPr="00C9173F">
        <w:t>C</w:t>
      </w:r>
      <w:r w:rsidR="00F50ABF" w:rsidRPr="00F50ABF">
        <w:rPr>
          <w:vertAlign w:val="subscript"/>
        </w:rPr>
        <w:t>min</w:t>
      </w:r>
      <w:proofErr w:type="spellEnd"/>
      <w:r w:rsidRPr="005177A3">
        <w:t>) for which the 95% CIs of predicted change from baseline seizure frequency are not overlapping between everolimus and placebo, first a multiplicative linear regression model of seizure frequency predicted by TN-</w:t>
      </w:r>
      <w:proofErr w:type="spellStart"/>
      <w:r w:rsidR="00F50ABF" w:rsidRPr="00C9173F">
        <w:t>C</w:t>
      </w:r>
      <w:r w:rsidR="00F50ABF" w:rsidRPr="00F50ABF">
        <w:rPr>
          <w:vertAlign w:val="subscript"/>
        </w:rPr>
        <w:t>min</w:t>
      </w:r>
      <w:proofErr w:type="spellEnd"/>
      <w:r w:rsidRPr="005177A3">
        <w:t xml:space="preserve"> was fit on everolimus data from the Maintenance phase of the Core phase.</w:t>
      </w:r>
    </w:p>
    <w:p w14:paraId="6DC6DA5D" w14:textId="77777777" w:rsidR="002A3917" w:rsidRPr="005177A3" w:rsidRDefault="002A3917" w:rsidP="002A3917">
      <w:r w:rsidRPr="005177A3">
        <w:t>Predictions were made for the adjusted ‘log fold change in seizure frequency from baseline’ across the observed range of TN-</w:t>
      </w:r>
      <w:proofErr w:type="spellStart"/>
      <w:r w:rsidR="00F50ABF" w:rsidRPr="00C9173F">
        <w:t>C</w:t>
      </w:r>
      <w:r w:rsidR="00F50ABF" w:rsidRPr="00F50ABF">
        <w:rPr>
          <w:vertAlign w:val="subscript"/>
        </w:rPr>
        <w:t>min</w:t>
      </w:r>
      <w:proofErr w:type="spellEnd"/>
      <w:r w:rsidRPr="005177A3">
        <w:t xml:space="preserve"> values during the Core phase.</w:t>
      </w:r>
    </w:p>
    <w:p w14:paraId="00B41C5F" w14:textId="77777777" w:rsidR="002A3917" w:rsidRPr="005177A3" w:rsidRDefault="002A3917" w:rsidP="002A3917">
      <w:r w:rsidRPr="005177A3">
        <w:t>The ‘log fold change in seizure frequency from baseline’ and its 95% CIs were computed for both everolimus and placebo across the range of observed TN-</w:t>
      </w:r>
      <w:proofErr w:type="spellStart"/>
      <w:r w:rsidR="00F50ABF" w:rsidRPr="00C9173F">
        <w:t>C</w:t>
      </w:r>
      <w:r w:rsidR="00F50ABF" w:rsidRPr="00F50ABF">
        <w:rPr>
          <w:vertAlign w:val="subscript"/>
        </w:rPr>
        <w:t>min</w:t>
      </w:r>
      <w:proofErr w:type="spellEnd"/>
      <w:r w:rsidRPr="005177A3">
        <w:t xml:space="preserve"> values. The lowest TN-</w:t>
      </w:r>
      <w:proofErr w:type="spellStart"/>
      <w:r w:rsidR="00F50ABF" w:rsidRPr="00C9173F">
        <w:t>C</w:t>
      </w:r>
      <w:r w:rsidR="00F50ABF" w:rsidRPr="00F50ABF">
        <w:rPr>
          <w:vertAlign w:val="subscript"/>
        </w:rPr>
        <w:t>min</w:t>
      </w:r>
      <w:proofErr w:type="spellEnd"/>
      <w:r w:rsidRPr="005177A3">
        <w:t xml:space="preserve"> for which these CIs were not overlapping was then determined and considered as an estimate of the minimum efficacious concentration.</w:t>
      </w:r>
    </w:p>
    <w:p w14:paraId="18B12249" w14:textId="77777777" w:rsidR="002A3917" w:rsidRPr="00502ACD" w:rsidRDefault="002A3917" w:rsidP="002A3917">
      <w:pPr>
        <w:pStyle w:val="FigureTitle"/>
        <w:tabs>
          <w:tab w:val="left" w:pos="1276"/>
        </w:tabs>
      </w:pPr>
      <w:bookmarkStart w:id="69" w:name="_Toc477255848"/>
      <w:r w:rsidRPr="00502ACD">
        <w:t xml:space="preserve">Figure </w:t>
      </w:r>
      <w:r w:rsidR="00F23035">
        <w:t>3</w:t>
      </w:r>
      <w:r>
        <w:t>:</w:t>
      </w:r>
      <w:r w:rsidRPr="00502ACD">
        <w:t xml:space="preserve"> Relationship between percent reduction from baseline in seizure frequency and </w:t>
      </w:r>
      <w:r>
        <w:t>TN-</w:t>
      </w:r>
      <w:proofErr w:type="spellStart"/>
      <w:r w:rsidR="00F50ABF" w:rsidRPr="00C9173F">
        <w:t>C</w:t>
      </w:r>
      <w:r w:rsidR="00F50ABF" w:rsidRPr="00F50ABF">
        <w:rPr>
          <w:vertAlign w:val="subscript"/>
        </w:rPr>
        <w:t>min</w:t>
      </w:r>
      <w:proofErr w:type="spellEnd"/>
      <w:r w:rsidRPr="00502ACD">
        <w:t xml:space="preserve"> during Maintenance period of the Core phase Study M2304</w:t>
      </w:r>
      <w:bookmarkEnd w:id="69"/>
    </w:p>
    <w:p w14:paraId="5E7CFFB8" w14:textId="77777777" w:rsidR="002A3917" w:rsidRDefault="002A3917" w:rsidP="00500337">
      <w:r>
        <w:rPr>
          <w:noProof/>
          <w:lang w:eastAsia="en-AU"/>
        </w:rPr>
        <w:drawing>
          <wp:inline distT="0" distB="0" distL="0" distR="0" wp14:anchorId="3551ACA3" wp14:editId="1958CAED">
            <wp:extent cx="5400040" cy="3253870"/>
            <wp:effectExtent l="0" t="0" r="0" b="3810"/>
            <wp:docPr id="25" name="Picture 25" descr="Figure 3: Relationship between percent reduction from baseline in seizure frequency and TN-Cmin during Maintenance period of the Core phase Study M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3253870"/>
                    </a:xfrm>
                    <a:prstGeom prst="rect">
                      <a:avLst/>
                    </a:prstGeom>
                  </pic:spPr>
                </pic:pic>
              </a:graphicData>
            </a:graphic>
          </wp:inline>
        </w:drawing>
      </w:r>
    </w:p>
    <w:p w14:paraId="7C6B19D5" w14:textId="77777777" w:rsidR="002A3917" w:rsidRDefault="002A3917" w:rsidP="002A3917">
      <w:pPr>
        <w:pStyle w:val="Tabletitle0"/>
      </w:pPr>
      <w:bookmarkStart w:id="70" w:name="_Toc477255790"/>
      <w:r w:rsidRPr="00502ACD">
        <w:t xml:space="preserve">Table </w:t>
      </w:r>
      <w:r w:rsidR="000128D8">
        <w:t>12</w:t>
      </w:r>
      <w:r>
        <w:t>:</w:t>
      </w:r>
      <w:r w:rsidRPr="00502ACD">
        <w:t xml:space="preserve"> Baseline adjusted change of seizure frequency by </w:t>
      </w:r>
      <w:r>
        <w:t>TN-</w:t>
      </w:r>
      <w:proofErr w:type="spellStart"/>
      <w:r w:rsidR="00F50ABF" w:rsidRPr="00C9173F">
        <w:t>C</w:t>
      </w:r>
      <w:r w:rsidR="00F50ABF" w:rsidRPr="00F50ABF">
        <w:rPr>
          <w:vertAlign w:val="subscript"/>
        </w:rPr>
        <w:t>min</w:t>
      </w:r>
      <w:proofErr w:type="spellEnd"/>
      <w:r w:rsidRPr="00502ACD">
        <w:t xml:space="preserve"> during the Maintenance phase of the Core phase</w:t>
      </w:r>
      <w:bookmarkEnd w:id="70"/>
    </w:p>
    <w:p w14:paraId="33CAFCC3" w14:textId="77777777" w:rsidR="00500337" w:rsidRPr="00500337" w:rsidRDefault="00F11F96" w:rsidP="00500337">
      <w:r>
        <w:rPr>
          <w:noProof/>
          <w:lang w:eastAsia="en-AU"/>
        </w:rPr>
        <w:drawing>
          <wp:inline distT="0" distB="0" distL="0" distR="0" wp14:anchorId="7E6D942D" wp14:editId="4CDA7763">
            <wp:extent cx="4991100" cy="1171575"/>
            <wp:effectExtent l="0" t="0" r="0" b="9525"/>
            <wp:docPr id="26" name="Picture 26" descr="Table 12: Baseline adjusted change of seizure frequency by TN-Cmin during the Maintenance phase of the Cor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91100" cy="1171575"/>
                    </a:xfrm>
                    <a:prstGeom prst="rect">
                      <a:avLst/>
                    </a:prstGeom>
                  </pic:spPr>
                </pic:pic>
              </a:graphicData>
            </a:graphic>
          </wp:inline>
        </w:drawing>
      </w:r>
    </w:p>
    <w:p w14:paraId="0D4F8C66" w14:textId="77777777" w:rsidR="008E7846" w:rsidRDefault="00605AD4" w:rsidP="003E424C">
      <w:pPr>
        <w:pStyle w:val="Heading3"/>
      </w:pPr>
      <w:bookmarkStart w:id="71" w:name="_Toc1555410"/>
      <w:r>
        <w:t xml:space="preserve">Dosage </w:t>
      </w:r>
      <w:r w:rsidRPr="003E424C">
        <w:t>selection</w:t>
      </w:r>
      <w:r>
        <w:t xml:space="preserve"> for the pivotal studies</w:t>
      </w:r>
      <w:bookmarkEnd w:id="71"/>
    </w:p>
    <w:p w14:paraId="3FC9EA70" w14:textId="77777777" w:rsidR="00F11F96" w:rsidRPr="00502ACD" w:rsidRDefault="00F11F96" w:rsidP="00F11F96">
      <w:r w:rsidRPr="00502ACD">
        <w:t xml:space="preserve">The PI proposed target </w:t>
      </w:r>
      <w:proofErr w:type="spellStart"/>
      <w:r w:rsidR="00F50ABF" w:rsidRPr="00C9173F">
        <w:t>C</w:t>
      </w:r>
      <w:r w:rsidR="00F50ABF" w:rsidRPr="00F50ABF">
        <w:rPr>
          <w:vertAlign w:val="subscript"/>
        </w:rPr>
        <w:t>min</w:t>
      </w:r>
      <w:proofErr w:type="spellEnd"/>
      <w:r w:rsidRPr="00502ACD">
        <w:t xml:space="preserve"> exposure range is </w:t>
      </w:r>
      <w:proofErr w:type="gramStart"/>
      <w:r w:rsidRPr="00502ACD">
        <w:t>5 to 1</w:t>
      </w:r>
      <w:r>
        <w:t>5 ng</w:t>
      </w:r>
      <w:r w:rsidRPr="00502ACD">
        <w:t>/mL</w:t>
      </w:r>
      <w:proofErr w:type="gramEnd"/>
      <w:r w:rsidRPr="00502ACD">
        <w:t xml:space="preserve"> and it is based on data of seizure response and overall safety observable across this range.</w:t>
      </w:r>
    </w:p>
    <w:p w14:paraId="4033AC2B" w14:textId="77777777" w:rsidR="00F11F96" w:rsidRDefault="00F11F96" w:rsidP="00F11F96">
      <w:r w:rsidRPr="00502ACD">
        <w:t>Starting dose was derived from the patient’s age and concomitant use of CYP3A4/</w:t>
      </w:r>
      <w:r>
        <w:t xml:space="preserve"> P</w:t>
      </w:r>
      <w:r>
        <w:noBreakHyphen/>
      </w:r>
      <w:r w:rsidRPr="00502ACD">
        <w:t>glycoprotein (</w:t>
      </w:r>
      <w:proofErr w:type="spellStart"/>
      <w:r w:rsidRPr="00502ACD">
        <w:t>PgP</w:t>
      </w:r>
      <w:proofErr w:type="spellEnd"/>
      <w:r w:rsidRPr="00502ACD">
        <w:t>) inducers</w:t>
      </w:r>
      <w:r>
        <w:t>.</w:t>
      </w:r>
    </w:p>
    <w:p w14:paraId="1960D387" w14:textId="77777777" w:rsidR="00F11F96" w:rsidRPr="00502ACD" w:rsidRDefault="00F11F96" w:rsidP="00F11F96">
      <w:r w:rsidRPr="00502ACD">
        <w:lastRenderedPageBreak/>
        <w:t>It was based on the patients’ body surface area (BSA) and on previously submitted results in Study C2485 and Study M2301 involving largely paediatric, TSC patients with SEGA lesions.</w:t>
      </w:r>
    </w:p>
    <w:p w14:paraId="329F96B8" w14:textId="77777777" w:rsidR="00F11F96" w:rsidRDefault="00F11F96" w:rsidP="00F11F96">
      <w:pPr>
        <w:pStyle w:val="TableTitle"/>
      </w:pPr>
      <w:r w:rsidRPr="00502ACD">
        <w:t xml:space="preserve">Table </w:t>
      </w:r>
      <w:r w:rsidR="000128D8">
        <w:t>13</w:t>
      </w:r>
      <w:r>
        <w:t>:</w:t>
      </w:r>
      <w:r w:rsidRPr="00502ACD">
        <w:t xml:space="preserve"> Study M2304 Starting dose</w:t>
      </w:r>
    </w:p>
    <w:p w14:paraId="2F65DEEC" w14:textId="77777777" w:rsidR="00F11F96" w:rsidRPr="00F11F96" w:rsidRDefault="00F11F96" w:rsidP="00F11F96">
      <w:r>
        <w:rPr>
          <w:noProof/>
          <w:lang w:eastAsia="en-AU"/>
        </w:rPr>
        <w:drawing>
          <wp:inline distT="0" distB="0" distL="0" distR="0" wp14:anchorId="7422E050" wp14:editId="7904449C">
            <wp:extent cx="5400040" cy="816352"/>
            <wp:effectExtent l="0" t="0" r="0" b="3175"/>
            <wp:docPr id="27" name="Picture 27" descr="Table 13: Study M2304 Starting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816352"/>
                    </a:xfrm>
                    <a:prstGeom prst="rect">
                      <a:avLst/>
                    </a:prstGeom>
                  </pic:spPr>
                </pic:pic>
              </a:graphicData>
            </a:graphic>
          </wp:inline>
        </w:drawing>
      </w:r>
    </w:p>
    <w:p w14:paraId="7225C18C" w14:textId="77777777" w:rsidR="008E7846" w:rsidRPr="00254787" w:rsidRDefault="008E7846" w:rsidP="008E7846">
      <w:pPr>
        <w:pStyle w:val="Heading3"/>
      </w:pPr>
      <w:bookmarkStart w:id="72" w:name="_Toc163441372"/>
      <w:bookmarkStart w:id="73" w:name="_Toc196046485"/>
      <w:bookmarkStart w:id="74" w:name="_Toc247691521"/>
      <w:bookmarkStart w:id="75" w:name="_Toc314842504"/>
      <w:bookmarkStart w:id="76" w:name="_Toc1555411"/>
      <w:r w:rsidRPr="00254787">
        <w:t>Efficacy</w:t>
      </w:r>
      <w:bookmarkEnd w:id="72"/>
      <w:bookmarkEnd w:id="73"/>
      <w:bookmarkEnd w:id="74"/>
      <w:bookmarkEnd w:id="75"/>
      <w:bookmarkEnd w:id="76"/>
    </w:p>
    <w:p w14:paraId="2D7F1272" w14:textId="77777777" w:rsidR="00605AD4" w:rsidRDefault="00605AD4" w:rsidP="00605AD4">
      <w:pPr>
        <w:pStyle w:val="Heading4"/>
      </w:pPr>
      <w:bookmarkStart w:id="77" w:name="_Toc184439992"/>
      <w:bookmarkStart w:id="78" w:name="_Toc184440279"/>
      <w:bookmarkStart w:id="79" w:name="_Toc184444657"/>
      <w:bookmarkStart w:id="80" w:name="_Toc196046487"/>
      <w:r>
        <w:t>Studies providing efficacy data</w:t>
      </w:r>
    </w:p>
    <w:p w14:paraId="7EF3592E" w14:textId="77777777" w:rsidR="00F11F96" w:rsidRPr="00502ACD" w:rsidRDefault="00F11F96" w:rsidP="00F11F96">
      <w:pPr>
        <w:pStyle w:val="Heading5"/>
      </w:pPr>
      <w:r w:rsidRPr="00502ACD">
        <w:t>Study M2304</w:t>
      </w:r>
    </w:p>
    <w:p w14:paraId="58B13BA3" w14:textId="77777777" w:rsidR="00F11F96" w:rsidRPr="00502ACD" w:rsidRDefault="00656D98" w:rsidP="003E424C">
      <w:r>
        <w:t>An i</w:t>
      </w:r>
      <w:r w:rsidR="00F11F96" w:rsidRPr="00502ACD">
        <w:t xml:space="preserve">nterim Clinical Study Report </w:t>
      </w:r>
      <w:r>
        <w:t xml:space="preserve">(CSR) </w:t>
      </w:r>
      <w:r w:rsidR="00F11F96" w:rsidRPr="00502ACD">
        <w:t>was submitted.</w:t>
      </w:r>
    </w:p>
    <w:p w14:paraId="2249B4DB" w14:textId="240531E9" w:rsidR="00F11F96" w:rsidRPr="00502ACD" w:rsidRDefault="00F11F96" w:rsidP="003E424C">
      <w:r w:rsidRPr="00502ACD">
        <w:t xml:space="preserve">This interim CSR </w:t>
      </w:r>
      <w:r w:rsidR="008912C7" w:rsidRPr="00502ACD">
        <w:t>summari</w:t>
      </w:r>
      <w:r w:rsidR="008912C7">
        <w:t>s</w:t>
      </w:r>
      <w:r w:rsidR="008912C7" w:rsidRPr="00502ACD">
        <w:t xml:space="preserve">es </w:t>
      </w:r>
      <w:r w:rsidRPr="00502ACD">
        <w:t>all patient data during the Baseline and Core phases as well as partial E</w:t>
      </w:r>
      <w:r>
        <w:t xml:space="preserve">xtension phase data, as of the 2 October </w:t>
      </w:r>
      <w:r w:rsidRPr="00502ACD">
        <w:t>2015 data cut-off date.</w:t>
      </w:r>
    </w:p>
    <w:p w14:paraId="00AC0AD5" w14:textId="3B42DCB7" w:rsidR="00F11F96" w:rsidRPr="00502ACD" w:rsidRDefault="00F11F96" w:rsidP="003E424C">
      <w:bookmarkStart w:id="81" w:name="_Ref243301615"/>
      <w:bookmarkStart w:id="82" w:name="_Ref271040927"/>
      <w:bookmarkStart w:id="83" w:name="_Ref271040932"/>
      <w:bookmarkStart w:id="84" w:name="_Toc272414653"/>
      <w:bookmarkStart w:id="85" w:name="_Toc290888501"/>
      <w:bookmarkStart w:id="86" w:name="_Toc416353717"/>
      <w:r w:rsidRPr="00502ACD">
        <w:t xml:space="preserve">Study </w:t>
      </w:r>
      <w:bookmarkEnd w:id="81"/>
      <w:bookmarkEnd w:id="82"/>
      <w:bookmarkEnd w:id="83"/>
      <w:bookmarkEnd w:id="84"/>
      <w:bookmarkEnd w:id="85"/>
      <w:bookmarkEnd w:id="86"/>
      <w:r w:rsidRPr="00502ACD">
        <w:t>M2304</w:t>
      </w:r>
      <w:r w:rsidR="008912C7">
        <w:t xml:space="preserve"> was</w:t>
      </w:r>
      <w:r w:rsidRPr="00502ACD">
        <w:t xml:space="preserve"> </w:t>
      </w:r>
      <w:r w:rsidR="008912C7">
        <w:t>a</w:t>
      </w:r>
      <w:r w:rsidR="008912C7" w:rsidRPr="00502ACD">
        <w:t xml:space="preserve"> </w:t>
      </w:r>
      <w:r>
        <w:t>three arm</w:t>
      </w:r>
      <w:r w:rsidRPr="00502ACD">
        <w:t xml:space="preserve">, </w:t>
      </w:r>
      <w:r w:rsidR="008912C7" w:rsidRPr="00502ACD">
        <w:t>randomi</w:t>
      </w:r>
      <w:r w:rsidR="008912C7">
        <w:t>s</w:t>
      </w:r>
      <w:r w:rsidR="008912C7" w:rsidRPr="00502ACD">
        <w:t>ed</w:t>
      </w:r>
      <w:r w:rsidRPr="00502ACD">
        <w:t xml:space="preserve">, </w:t>
      </w:r>
      <w:r>
        <w:t>double blind</w:t>
      </w:r>
      <w:r w:rsidRPr="00502ACD">
        <w:t xml:space="preserve">, </w:t>
      </w:r>
      <w:r>
        <w:t>placebo controlled</w:t>
      </w:r>
      <w:r w:rsidRPr="00502ACD">
        <w:t xml:space="preserve"> study of the ef</w:t>
      </w:r>
      <w:r>
        <w:t xml:space="preserve">ficacy and safety of two trough </w:t>
      </w:r>
      <w:r w:rsidRPr="00502ACD">
        <w:t xml:space="preserve">ranges of everolimus as adjunctive therapy in patients with tuberous sclerosis complex (TSC) who have refractory </w:t>
      </w:r>
      <w:r>
        <w:t>partial onset</w:t>
      </w:r>
      <w:r w:rsidRPr="00502ACD">
        <w:t xml:space="preserve"> seizures</w:t>
      </w:r>
    </w:p>
    <w:p w14:paraId="6328359D" w14:textId="77777777" w:rsidR="00500337" w:rsidRPr="00500337" w:rsidRDefault="00F11F96" w:rsidP="003E424C">
      <w:r>
        <w:t>For the full details of the evaluation of efficacy please see Attachment 2.</w:t>
      </w:r>
    </w:p>
    <w:p w14:paraId="189DB6A2" w14:textId="77777777" w:rsidR="008E7846" w:rsidRDefault="00605AD4" w:rsidP="00605AD4">
      <w:pPr>
        <w:pStyle w:val="Heading4"/>
      </w:pPr>
      <w:r>
        <w:t>Evaluator’s conclusions on efficacy</w:t>
      </w:r>
    </w:p>
    <w:p w14:paraId="757427AF" w14:textId="77777777" w:rsidR="00F11F96" w:rsidRPr="00B868D4" w:rsidRDefault="00F11F96" w:rsidP="00F11F96">
      <w:r w:rsidRPr="00B868D4">
        <w:t xml:space="preserve">The response rate in the Primary endpoint was 15.1% (95% CI: 9.2, 22.8) for the placebo arm, 28.2% (95% CI: 20.3, 37.3) for the </w:t>
      </w:r>
      <w:proofErr w:type="spellStart"/>
      <w:r w:rsidR="00F50ABF" w:rsidRPr="00C9173F">
        <w:t>C</w:t>
      </w:r>
      <w:r w:rsidR="00F50ABF" w:rsidRPr="00F50ABF">
        <w:rPr>
          <w:vertAlign w:val="subscript"/>
        </w:rPr>
        <w:t>min</w:t>
      </w:r>
      <w:proofErr w:type="spellEnd"/>
      <w:r w:rsidRPr="00B868D4">
        <w:t xml:space="preserve"> 3 to </w:t>
      </w:r>
      <w:r>
        <w:t>7 ng</w:t>
      </w:r>
      <w:r w:rsidRPr="00B868D4">
        <w:t xml:space="preserve">/mL arm and 40.0% (95% CI: 31.5, 49.0) for the </w:t>
      </w:r>
      <w:proofErr w:type="spellStart"/>
      <w:r w:rsidR="00F50ABF" w:rsidRPr="00C9173F">
        <w:t>C</w:t>
      </w:r>
      <w:r w:rsidR="00F50ABF" w:rsidRPr="00F50ABF">
        <w:rPr>
          <w:vertAlign w:val="subscript"/>
        </w:rPr>
        <w:t>min</w:t>
      </w:r>
      <w:proofErr w:type="spellEnd"/>
      <w:r w:rsidRPr="00B868D4">
        <w:t xml:space="preserve"> 9 to 1</w:t>
      </w:r>
      <w:r>
        <w:t>5 ng</w:t>
      </w:r>
      <w:r w:rsidRPr="00B868D4">
        <w:t xml:space="preserve">/mL arm. The 95%CIs for placebo and the 3 to </w:t>
      </w:r>
      <w:r>
        <w:t>7 ng</w:t>
      </w:r>
      <w:r w:rsidRPr="00B868D4">
        <w:t xml:space="preserve">/mL arm overlap. However the </w:t>
      </w:r>
      <w:r w:rsidR="00656D98">
        <w:t>o</w:t>
      </w:r>
      <w:r w:rsidRPr="00B868D4">
        <w:t>dds ratio 95%C</w:t>
      </w:r>
      <w:r w:rsidR="00656D98" w:rsidRPr="00B868D4">
        <w:t>i</w:t>
      </w:r>
      <w:r w:rsidRPr="00B868D4">
        <w:t>s</w:t>
      </w:r>
      <w:r w:rsidR="00656D98">
        <w:t>,</w:t>
      </w:r>
      <w:r w:rsidRPr="00B868D4">
        <w:t xml:space="preserve"> do not include 1.0.</w:t>
      </w:r>
    </w:p>
    <w:p w14:paraId="042365AE" w14:textId="77777777" w:rsidR="00F11F96" w:rsidRPr="00B868D4" w:rsidRDefault="00F11F96" w:rsidP="00F11F96">
      <w:r w:rsidRPr="00B868D4">
        <w:t>A similar result was se</w:t>
      </w:r>
      <w:r>
        <w:t>en for the supporting endpoint:</w:t>
      </w:r>
    </w:p>
    <w:p w14:paraId="5D00767D" w14:textId="77777777" w:rsidR="00F11F96" w:rsidRPr="00B868D4" w:rsidRDefault="00F11F96" w:rsidP="003E424C">
      <w:pPr>
        <w:ind w:left="567"/>
      </w:pPr>
      <w:r w:rsidRPr="00B868D4">
        <w:t>The median percent reduction in weekly seizure frequency was 29.3% (95% CI: 18.8, 41.9) and 39.6% (95% CI: 35.0, 48.7) for the everolimus low trough range and high trough range arms, respectively, compared with 14.9% (95% CI: 0.1, 21.7) for the placebo arm, thus although the high trough range results are clearly superior to those of placebo, the 95% CIs for the low trough range and placebo overlap. However the 95% CIs for the difference from placebo are all above 0.</w:t>
      </w:r>
    </w:p>
    <w:p w14:paraId="75CE6EAD" w14:textId="77777777" w:rsidR="00F11F96" w:rsidRPr="00B868D4" w:rsidRDefault="00F11F96" w:rsidP="00F11F96">
      <w:proofErr w:type="gramStart"/>
      <w:r w:rsidRPr="00B868D4">
        <w:t>The CPMP/EWP/2330/99 Points to Consider on Application with 1.</w:t>
      </w:r>
      <w:proofErr w:type="gramEnd"/>
      <w:r w:rsidRPr="00B868D4">
        <w:t xml:space="preserve"> </w:t>
      </w:r>
      <w:proofErr w:type="gramStart"/>
      <w:r w:rsidRPr="00B868D4">
        <w:t>Meta-Analyses; 2.</w:t>
      </w:r>
      <w:proofErr w:type="gramEnd"/>
      <w:r w:rsidRPr="00B868D4">
        <w:t xml:space="preserve"> One Pivotal Study </w:t>
      </w:r>
      <w:r w:rsidR="00656D98">
        <w:t>states</w:t>
      </w:r>
      <w:r w:rsidRPr="00B868D4">
        <w:t>:</w:t>
      </w:r>
    </w:p>
    <w:p w14:paraId="0B78D7D0" w14:textId="77777777" w:rsidR="00F11F96" w:rsidRPr="00D47C24" w:rsidRDefault="00F11F96" w:rsidP="003E424C">
      <w:pPr>
        <w:ind w:left="567"/>
        <w:rPr>
          <w:i/>
        </w:rPr>
      </w:pPr>
      <w:r w:rsidRPr="00D47C24">
        <w:rPr>
          <w:i/>
        </w:rPr>
        <w:t>Prerequisites for one pivotal study applications</w:t>
      </w:r>
      <w:r w:rsidR="00656D98" w:rsidRPr="00D47C24">
        <w:rPr>
          <w:i/>
        </w:rPr>
        <w:t>:</w:t>
      </w:r>
    </w:p>
    <w:p w14:paraId="35FC0EDF" w14:textId="77777777" w:rsidR="00F11F96" w:rsidRPr="00D47C24" w:rsidRDefault="00F11F96" w:rsidP="003E424C">
      <w:pPr>
        <w:ind w:left="567"/>
        <w:rPr>
          <w:i/>
        </w:rPr>
      </w:pPr>
      <w:proofErr w:type="gramStart"/>
      <w:r w:rsidRPr="00D47C24">
        <w:rPr>
          <w:i/>
        </w:rPr>
        <w:t>The degree of statistical significance.</w:t>
      </w:r>
      <w:proofErr w:type="gramEnd"/>
      <w:r w:rsidRPr="00D47C24">
        <w:rPr>
          <w:i/>
        </w:rPr>
        <w:t xml:space="preserve"> Statistical evidence considerably stronger than p </w:t>
      </w:r>
      <w:r w:rsidR="00F50ABF" w:rsidRPr="00D47C24">
        <w:rPr>
          <w:i/>
        </w:rPr>
        <w:t xml:space="preserve">&lt; </w:t>
      </w:r>
      <w:r w:rsidRPr="00D47C24">
        <w:rPr>
          <w:i/>
        </w:rPr>
        <w:t xml:space="preserve">0.05 is usually required, accompanied by precise estimates of treatment effects that is narrow confidence intervals. Tile required degree of significance will depend on factors such as the therapeutic indication, the primary endpoint, </w:t>
      </w:r>
      <w:proofErr w:type="gramStart"/>
      <w:r w:rsidRPr="00D47C24">
        <w:rPr>
          <w:i/>
        </w:rPr>
        <w:t>the</w:t>
      </w:r>
      <w:proofErr w:type="gramEnd"/>
      <w:r w:rsidRPr="00D47C24">
        <w:rPr>
          <w:i/>
        </w:rPr>
        <w:t xml:space="preserve"> amount of supportive data and whether the alternative analyses demonstrating consistency are pre-specified.</w:t>
      </w:r>
    </w:p>
    <w:p w14:paraId="21D33F5B" w14:textId="77777777" w:rsidR="00F11F96" w:rsidRDefault="00F11F96" w:rsidP="00F11F96">
      <w:r w:rsidRPr="00B868D4">
        <w:t xml:space="preserve">The proposed dosage is to maintain </w:t>
      </w:r>
      <w:proofErr w:type="spellStart"/>
      <w:r w:rsidR="00F50ABF" w:rsidRPr="00C9173F">
        <w:t>C</w:t>
      </w:r>
      <w:r w:rsidR="00F50ABF" w:rsidRPr="00F50ABF">
        <w:rPr>
          <w:vertAlign w:val="subscript"/>
        </w:rPr>
        <w:t>min</w:t>
      </w:r>
      <w:proofErr w:type="spellEnd"/>
      <w:r w:rsidRPr="00B868D4">
        <w:t xml:space="preserve"> </w:t>
      </w:r>
      <w:proofErr w:type="gramStart"/>
      <w:r w:rsidRPr="00B868D4">
        <w:t>at 5 to 1</w:t>
      </w:r>
      <w:r>
        <w:t>5 ng</w:t>
      </w:r>
      <w:r w:rsidRPr="00B868D4">
        <w:t>/</w:t>
      </w:r>
      <w:proofErr w:type="spellStart"/>
      <w:r w:rsidRPr="00B868D4">
        <w:t>mL</w:t>
      </w:r>
      <w:proofErr w:type="gramEnd"/>
      <w:r>
        <w:t>.</w:t>
      </w:r>
      <w:proofErr w:type="spellEnd"/>
    </w:p>
    <w:p w14:paraId="40323E54" w14:textId="77777777" w:rsidR="00F11F96" w:rsidRDefault="00F11F96" w:rsidP="00F11F96">
      <w:r w:rsidRPr="00B868D4">
        <w:t xml:space="preserve">Then lower end of the range for </w:t>
      </w:r>
      <w:proofErr w:type="spellStart"/>
      <w:r w:rsidR="00F50ABF" w:rsidRPr="00C9173F">
        <w:t>C</w:t>
      </w:r>
      <w:r w:rsidR="00F50ABF" w:rsidRPr="00F50ABF">
        <w:rPr>
          <w:vertAlign w:val="subscript"/>
        </w:rPr>
        <w:t>min</w:t>
      </w:r>
      <w:proofErr w:type="spellEnd"/>
      <w:r w:rsidRPr="00B868D4">
        <w:t xml:space="preserve"> of the clearly significant result was 9ng/</w:t>
      </w:r>
      <w:proofErr w:type="spellStart"/>
      <w:r w:rsidRPr="00B868D4">
        <w:t>mL.</w:t>
      </w:r>
      <w:proofErr w:type="spellEnd"/>
    </w:p>
    <w:p w14:paraId="628E062A" w14:textId="77777777" w:rsidR="00F11F96" w:rsidRDefault="00F11F96" w:rsidP="00F11F96">
      <w:r w:rsidRPr="00B868D4">
        <w:lastRenderedPageBreak/>
        <w:t xml:space="preserve">The recommended target </w:t>
      </w:r>
      <w:proofErr w:type="spellStart"/>
      <w:r w:rsidR="00F50ABF" w:rsidRPr="00C9173F">
        <w:t>C</w:t>
      </w:r>
      <w:r w:rsidR="00F50ABF" w:rsidRPr="00F50ABF">
        <w:rPr>
          <w:vertAlign w:val="subscript"/>
        </w:rPr>
        <w:t>min</w:t>
      </w:r>
      <w:proofErr w:type="spellEnd"/>
      <w:r w:rsidRPr="00B868D4">
        <w:t xml:space="preserve"> range is </w:t>
      </w:r>
      <w:proofErr w:type="gramStart"/>
      <w:r w:rsidRPr="00B868D4">
        <w:t>5 to 1</w:t>
      </w:r>
      <w:r>
        <w:t>5 ng</w:t>
      </w:r>
      <w:r w:rsidRPr="00B868D4">
        <w:t>/mL</w:t>
      </w:r>
      <w:proofErr w:type="gramEnd"/>
      <w:r w:rsidRPr="00B868D4">
        <w:t xml:space="preserve"> based on the following considerations:</w:t>
      </w:r>
    </w:p>
    <w:p w14:paraId="7D8F5770" w14:textId="77777777" w:rsidR="00F11F96" w:rsidRPr="00D47C24" w:rsidRDefault="00F11F96" w:rsidP="003E424C">
      <w:pPr>
        <w:ind w:left="567"/>
        <w:rPr>
          <w:i/>
        </w:rPr>
      </w:pPr>
      <w:proofErr w:type="gramStart"/>
      <w:r w:rsidRPr="00D47C24">
        <w:rPr>
          <w:i/>
        </w:rPr>
        <w:t xml:space="preserve">The time normalized </w:t>
      </w:r>
      <w:proofErr w:type="spellStart"/>
      <w:r w:rsidR="00F50ABF" w:rsidRPr="00D47C24">
        <w:rPr>
          <w:i/>
        </w:rPr>
        <w:t>C</w:t>
      </w:r>
      <w:r w:rsidR="00F50ABF" w:rsidRPr="00D47C24">
        <w:rPr>
          <w:i/>
          <w:vertAlign w:val="subscript"/>
        </w:rPr>
        <w:t>min</w:t>
      </w:r>
      <w:proofErr w:type="spellEnd"/>
      <w:r w:rsidRPr="00D47C24">
        <w:rPr>
          <w:i/>
        </w:rPr>
        <w:t xml:space="preserve"> of 5.3ng/mL is the threshold concentration above which the 95% confidence interval of predicted change from baseline seizure frequency is not overlapping with the 95% confidence interval of predicted change from baseline SF of placebo patients.</w:t>
      </w:r>
      <w:proofErr w:type="gramEnd"/>
      <w:r w:rsidRPr="00D47C24">
        <w:rPr>
          <w:i/>
        </w:rPr>
        <w:t xml:space="preserve"> This indicates a lower bound of the therapeutic range.</w:t>
      </w:r>
    </w:p>
    <w:p w14:paraId="7F1A7040" w14:textId="77777777" w:rsidR="00F11F96" w:rsidRPr="00B868D4" w:rsidRDefault="00F11F96" w:rsidP="00F11F96">
      <w:r w:rsidRPr="00B868D4">
        <w:t xml:space="preserve">The modelling of efficacy to </w:t>
      </w:r>
      <w:proofErr w:type="spellStart"/>
      <w:r w:rsidR="00F50ABF" w:rsidRPr="00C9173F">
        <w:t>C</w:t>
      </w:r>
      <w:r w:rsidR="00F50ABF" w:rsidRPr="00F50ABF">
        <w:rPr>
          <w:vertAlign w:val="subscript"/>
        </w:rPr>
        <w:t>min</w:t>
      </w:r>
      <w:proofErr w:type="spellEnd"/>
      <w:r w:rsidRPr="00B868D4">
        <w:t xml:space="preserve"> shows a relationship between </w:t>
      </w:r>
      <w:proofErr w:type="spellStart"/>
      <w:r w:rsidR="00F50ABF" w:rsidRPr="00C9173F">
        <w:t>C</w:t>
      </w:r>
      <w:r w:rsidR="00F50ABF" w:rsidRPr="00F50ABF">
        <w:rPr>
          <w:vertAlign w:val="subscript"/>
        </w:rPr>
        <w:t>min</w:t>
      </w:r>
      <w:proofErr w:type="spellEnd"/>
      <w:r w:rsidRPr="00B868D4">
        <w:t xml:space="preserve"> time normalised and a response.</w:t>
      </w:r>
    </w:p>
    <w:p w14:paraId="34513E2A" w14:textId="77777777" w:rsidR="00500337" w:rsidRPr="00500337" w:rsidRDefault="00F11F96" w:rsidP="00500337">
      <w:r w:rsidRPr="00B868D4">
        <w:t xml:space="preserve">For those subjects who would currently be eligible for everolimus treatment due to concurrent TSC-related conditions </w:t>
      </w:r>
      <w:r>
        <w:t>that is</w:t>
      </w:r>
      <w:r w:rsidRPr="00B868D4">
        <w:t xml:space="preserve"> SEGA and renal </w:t>
      </w:r>
      <w:proofErr w:type="spellStart"/>
      <w:r w:rsidRPr="00B868D4">
        <w:t>angiomyolipoma</w:t>
      </w:r>
      <w:proofErr w:type="spellEnd"/>
      <w:r w:rsidRPr="00B868D4">
        <w:t>, the 95% CIs for all 3 treatment groups overlapped, the numbers were small</w:t>
      </w:r>
      <w:r>
        <w:t>.</w:t>
      </w:r>
    </w:p>
    <w:p w14:paraId="2BCA8EED" w14:textId="77777777" w:rsidR="008E7846" w:rsidRPr="002E238E" w:rsidRDefault="008E7846" w:rsidP="004E3296">
      <w:pPr>
        <w:pStyle w:val="Heading3"/>
      </w:pPr>
      <w:bookmarkStart w:id="87" w:name="_Toc163441378"/>
      <w:bookmarkStart w:id="88" w:name="_Toc196046495"/>
      <w:bookmarkStart w:id="89" w:name="_Toc247691522"/>
      <w:bookmarkStart w:id="90" w:name="_Toc314842505"/>
      <w:bookmarkStart w:id="91" w:name="_Toc1555412"/>
      <w:bookmarkEnd w:id="77"/>
      <w:bookmarkEnd w:id="78"/>
      <w:bookmarkEnd w:id="79"/>
      <w:bookmarkEnd w:id="80"/>
      <w:r w:rsidRPr="004E3296">
        <w:t>Safety</w:t>
      </w:r>
      <w:bookmarkEnd w:id="87"/>
      <w:bookmarkEnd w:id="88"/>
      <w:bookmarkEnd w:id="89"/>
      <w:bookmarkEnd w:id="90"/>
      <w:bookmarkEnd w:id="91"/>
    </w:p>
    <w:p w14:paraId="14D9E062" w14:textId="77777777" w:rsidR="00605AD4" w:rsidRDefault="00605AD4" w:rsidP="004E3296">
      <w:pPr>
        <w:pStyle w:val="Heading4"/>
      </w:pPr>
      <w:bookmarkStart w:id="92" w:name="_Toc247691524"/>
      <w:bookmarkStart w:id="93" w:name="_Toc314842508"/>
      <w:bookmarkStart w:id="94" w:name="_Toc196046504"/>
      <w:bookmarkStart w:id="95" w:name="_Toc163441390"/>
      <w:r w:rsidRPr="00605AD4">
        <w:t xml:space="preserve">Studies providing safety </w:t>
      </w:r>
      <w:r w:rsidRPr="004E3296">
        <w:t>data</w:t>
      </w:r>
    </w:p>
    <w:p w14:paraId="0581D19E" w14:textId="77777777" w:rsidR="00F11F96" w:rsidRPr="00745F37" w:rsidRDefault="00F11F96" w:rsidP="004E3296">
      <w:r w:rsidRPr="00745F37">
        <w:t>The Summary of Clinical Safety is based on safety data from Study M2304 and three other studies that evaluated multi-year everolimus</w:t>
      </w:r>
      <w:r w:rsidR="00656D98">
        <w:t xml:space="preserve"> exposure in patients with TSC;</w:t>
      </w:r>
      <w:r w:rsidRPr="00745F37">
        <w:t xml:space="preserve"> completed Studies C2485, M2301, and M2302 (</w:t>
      </w:r>
      <w:r w:rsidR="00656D98">
        <w:t xml:space="preserve">n </w:t>
      </w:r>
      <w:r w:rsidRPr="00745F37">
        <w:t>=</w:t>
      </w:r>
      <w:r w:rsidR="00656D98">
        <w:t xml:space="preserve"> </w:t>
      </w:r>
      <w:r w:rsidRPr="00745F37">
        <w:t>251).</w:t>
      </w:r>
    </w:p>
    <w:p w14:paraId="60534ED9" w14:textId="46750848" w:rsidR="00F11F96" w:rsidRPr="00745F37" w:rsidRDefault="00F11F96" w:rsidP="004E3296">
      <w:r w:rsidRPr="00745F37">
        <w:t>The sponsor graded AEs severity in accordance with the National Cancer Institute’s (NCI) Common Terminol</w:t>
      </w:r>
      <w:r w:rsidR="007F5462">
        <w:t>ogy Criteria for Adverse Events:</w:t>
      </w:r>
      <w:r w:rsidRPr="00745F37">
        <w:rPr>
          <w:vertAlign w:val="superscript"/>
        </w:rPr>
        <w:footnoteReference w:id="32"/>
      </w:r>
    </w:p>
    <w:p w14:paraId="7704BA5D" w14:textId="77777777" w:rsidR="00F11F96" w:rsidRPr="00F11F96" w:rsidRDefault="00F11F96" w:rsidP="00F11F96">
      <w:pPr>
        <w:pStyle w:val="ListBullet"/>
      </w:pPr>
      <w:r w:rsidRPr="00F11F96">
        <w:t>Grade 1 Mild AE</w:t>
      </w:r>
    </w:p>
    <w:p w14:paraId="0B6E7255" w14:textId="77777777" w:rsidR="00F11F96" w:rsidRPr="00F11F96" w:rsidRDefault="00F11F96" w:rsidP="00F11F96">
      <w:pPr>
        <w:pStyle w:val="ListBullet"/>
      </w:pPr>
      <w:r w:rsidRPr="00F11F96">
        <w:t>Grade 2 Moderate AE</w:t>
      </w:r>
    </w:p>
    <w:p w14:paraId="2724D3C3" w14:textId="77777777" w:rsidR="00F11F96" w:rsidRPr="00F11F96" w:rsidRDefault="00F11F96" w:rsidP="00F11F96">
      <w:pPr>
        <w:pStyle w:val="ListBullet"/>
      </w:pPr>
      <w:r w:rsidRPr="00F11F96">
        <w:t>Grade 3 Severe AE</w:t>
      </w:r>
    </w:p>
    <w:p w14:paraId="4ADCB21C" w14:textId="77777777" w:rsidR="00F11F96" w:rsidRPr="00F11F96" w:rsidRDefault="00F11F96" w:rsidP="00F11F96">
      <w:pPr>
        <w:pStyle w:val="ListBullet"/>
      </w:pPr>
      <w:r w:rsidRPr="00F11F96">
        <w:t>Grade 4 Life-threatening or disabling AE</w:t>
      </w:r>
    </w:p>
    <w:p w14:paraId="0FA9C6F3" w14:textId="77777777" w:rsidR="00F11F96" w:rsidRPr="00F11F96" w:rsidRDefault="00F11F96" w:rsidP="00F11F96">
      <w:pPr>
        <w:pStyle w:val="ListBullet"/>
      </w:pPr>
      <w:r w:rsidRPr="00F11F96">
        <w:t>Grade 5 Death related to AE</w:t>
      </w:r>
      <w:r w:rsidR="00656D98">
        <w:t>.</w:t>
      </w:r>
    </w:p>
    <w:p w14:paraId="7F420588" w14:textId="77777777" w:rsidR="00605AD4" w:rsidRDefault="00605AD4" w:rsidP="00605AD4">
      <w:pPr>
        <w:pStyle w:val="Heading4"/>
      </w:pPr>
      <w:r w:rsidRPr="00605AD4">
        <w:t>Patient exposure</w:t>
      </w:r>
    </w:p>
    <w:p w14:paraId="22DB2785" w14:textId="77777777" w:rsidR="00F11F96" w:rsidRPr="00745F37" w:rsidRDefault="00F11F96" w:rsidP="00F11F96">
      <w:pPr>
        <w:pStyle w:val="Tabletitle0"/>
      </w:pPr>
      <w:bookmarkStart w:id="96" w:name="_Toc477255804"/>
      <w:r w:rsidRPr="00745F37">
        <w:t xml:space="preserve">Table </w:t>
      </w:r>
      <w:r w:rsidR="000128D8">
        <w:t>14</w:t>
      </w:r>
      <w:r>
        <w:t>:</w:t>
      </w:r>
      <w:r w:rsidRPr="00745F37">
        <w:t xml:space="preserve"> Study sizes safety database</w:t>
      </w:r>
      <w:bookmarkEnd w:id="96"/>
    </w:p>
    <w:p w14:paraId="4C87EF8F" w14:textId="77777777" w:rsidR="00500337" w:rsidRDefault="00F11F96" w:rsidP="00500337">
      <w:r>
        <w:rPr>
          <w:noProof/>
          <w:lang w:eastAsia="en-AU"/>
        </w:rPr>
        <w:drawing>
          <wp:inline distT="0" distB="0" distL="0" distR="0" wp14:anchorId="33C91613" wp14:editId="4460A50D">
            <wp:extent cx="3152851" cy="2155993"/>
            <wp:effectExtent l="0" t="0" r="0" b="0"/>
            <wp:docPr id="28" name="Picture 28" descr="Table 14: Study sizes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54336" cy="2157008"/>
                    </a:xfrm>
                    <a:prstGeom prst="rect">
                      <a:avLst/>
                    </a:prstGeom>
                  </pic:spPr>
                </pic:pic>
              </a:graphicData>
            </a:graphic>
          </wp:inline>
        </w:drawing>
      </w:r>
    </w:p>
    <w:p w14:paraId="15FE1D6A" w14:textId="576D065A" w:rsidR="00F11F96" w:rsidRDefault="000128D8" w:rsidP="00F11F96">
      <w:pPr>
        <w:pStyle w:val="Tabletitle0"/>
      </w:pPr>
      <w:bookmarkStart w:id="97" w:name="_Toc477255805"/>
      <w:r>
        <w:lastRenderedPageBreak/>
        <w:t>Table 15</w:t>
      </w:r>
      <w:r w:rsidR="00F11F96">
        <w:t xml:space="preserve">: Duration of exposure to everolimus; TSC pooled studies including </w:t>
      </w:r>
      <w:r w:rsidR="00E134E1">
        <w:t>Study </w:t>
      </w:r>
      <w:r w:rsidR="00F11F96">
        <w:t>M2304 (Long-term Evaluation Safety Set)</w:t>
      </w:r>
      <w:bookmarkEnd w:id="97"/>
    </w:p>
    <w:p w14:paraId="50BB2487" w14:textId="77777777" w:rsidR="00F11F96" w:rsidRDefault="00F11F96" w:rsidP="00500337">
      <w:r>
        <w:rPr>
          <w:noProof/>
          <w:lang w:eastAsia="en-AU"/>
        </w:rPr>
        <w:drawing>
          <wp:inline distT="0" distB="0" distL="0" distR="0" wp14:anchorId="4AA8CEDF" wp14:editId="4915111C">
            <wp:extent cx="3043123" cy="3237825"/>
            <wp:effectExtent l="0" t="0" r="5080" b="1270"/>
            <wp:docPr id="29" name="Picture 29" descr="Table 15: Duration of exposure to everolimus; TSC pooled studies including M2304 (Long-term Evaluation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45780" cy="3240652"/>
                    </a:xfrm>
                    <a:prstGeom prst="rect">
                      <a:avLst/>
                    </a:prstGeom>
                  </pic:spPr>
                </pic:pic>
              </a:graphicData>
            </a:graphic>
          </wp:inline>
        </w:drawing>
      </w:r>
    </w:p>
    <w:p w14:paraId="367531A6" w14:textId="42CE3DB8" w:rsidR="00F11F96" w:rsidRDefault="000128D8" w:rsidP="00F11F96">
      <w:pPr>
        <w:pStyle w:val="Tabletitle0"/>
      </w:pPr>
      <w:bookmarkStart w:id="98" w:name="_Toc477255806"/>
      <w:r>
        <w:t>Table 16</w:t>
      </w:r>
      <w:r w:rsidR="00F11F96">
        <w:t>: Cumulative dose and dose intensity of study drug; Study M2304 Core phase (Safety Set)</w:t>
      </w:r>
      <w:bookmarkEnd w:id="98"/>
    </w:p>
    <w:p w14:paraId="48FE88A4" w14:textId="77777777" w:rsidR="00F11F96" w:rsidRDefault="001A5CA4" w:rsidP="00500337">
      <w:r>
        <w:rPr>
          <w:noProof/>
          <w:lang w:eastAsia="en-AU"/>
        </w:rPr>
        <w:drawing>
          <wp:inline distT="0" distB="0" distL="0" distR="0" wp14:anchorId="483E3FAE" wp14:editId="3F3959C9">
            <wp:extent cx="4988966" cy="1955078"/>
            <wp:effectExtent l="0" t="0" r="2540" b="7620"/>
            <wp:docPr id="31" name="Picture 31" descr="Table 16: Cumulative dose and dose intensity of study drug; Study M2304 Core phas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93867" cy="1956999"/>
                    </a:xfrm>
                    <a:prstGeom prst="rect">
                      <a:avLst/>
                    </a:prstGeom>
                  </pic:spPr>
                </pic:pic>
              </a:graphicData>
            </a:graphic>
          </wp:inline>
        </w:drawing>
      </w:r>
    </w:p>
    <w:p w14:paraId="67CCE586" w14:textId="58210356" w:rsidR="001A5CA4" w:rsidRDefault="000128D8" w:rsidP="00A958D9">
      <w:pPr>
        <w:pStyle w:val="Tabletitle0"/>
      </w:pPr>
      <w:bookmarkStart w:id="99" w:name="_Toc477255807"/>
      <w:r>
        <w:t>Table 17</w:t>
      </w:r>
      <w:r w:rsidR="001A5CA4">
        <w:t>: Cumulative dose and dose intensity of study drug; Study M2304 Core and Extension phase</w:t>
      </w:r>
      <w:r w:rsidR="00F43DAB">
        <w:t>s</w:t>
      </w:r>
      <w:r w:rsidR="001A5CA4">
        <w:t xml:space="preserve"> (Long-term Evaluation Safety Set)</w:t>
      </w:r>
      <w:bookmarkEnd w:id="99"/>
    </w:p>
    <w:p w14:paraId="3A8E3FBD" w14:textId="77777777" w:rsidR="001A5CA4" w:rsidRPr="001A5CA4" w:rsidRDefault="001A5CA4" w:rsidP="001A5CA4">
      <w:r>
        <w:rPr>
          <w:noProof/>
          <w:lang w:eastAsia="en-AU"/>
        </w:rPr>
        <w:drawing>
          <wp:inline distT="0" distB="0" distL="0" distR="0" wp14:anchorId="6D7E577F" wp14:editId="22EF92B5">
            <wp:extent cx="5400040" cy="2127131"/>
            <wp:effectExtent l="0" t="0" r="0" b="6985"/>
            <wp:docPr id="32" name="Picture 32" descr="Table 17: Cumulative dose and dose intensity of study drug; Study M2304 Core and Extension phase (Long-term Evaluation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2127131"/>
                    </a:xfrm>
                    <a:prstGeom prst="rect">
                      <a:avLst/>
                    </a:prstGeom>
                  </pic:spPr>
                </pic:pic>
              </a:graphicData>
            </a:graphic>
          </wp:inline>
        </w:drawing>
      </w:r>
    </w:p>
    <w:p w14:paraId="7E300B60" w14:textId="77777777" w:rsidR="001A5CA4" w:rsidRDefault="001A5CA4" w:rsidP="001A5CA4">
      <w:pPr>
        <w:pStyle w:val="Tabletitle0"/>
      </w:pPr>
      <w:bookmarkStart w:id="100" w:name="_Toc477255808"/>
      <w:r>
        <w:lastRenderedPageBreak/>
        <w:t>Tabl</w:t>
      </w:r>
      <w:r w:rsidR="000128D8">
        <w:t>e 18</w:t>
      </w:r>
      <w:r>
        <w:t>:</w:t>
      </w:r>
      <w:r>
        <w:rPr>
          <w:noProof/>
        </w:rPr>
        <w:t xml:space="preserve"> </w:t>
      </w:r>
      <w:r w:rsidRPr="00445D0F">
        <w:t>Everolimus concentration at trough (</w:t>
      </w:r>
      <w:proofErr w:type="spellStart"/>
      <w:r w:rsidR="00F50ABF" w:rsidRPr="00C9173F">
        <w:t>C</w:t>
      </w:r>
      <w:r w:rsidR="00F50ABF" w:rsidRPr="00F50ABF">
        <w:rPr>
          <w:vertAlign w:val="subscript"/>
        </w:rPr>
        <w:t>min</w:t>
      </w:r>
      <w:proofErr w:type="spellEnd"/>
      <w:r w:rsidRPr="00445D0F">
        <w:t>) by tim</w:t>
      </w:r>
      <w:r>
        <w:t>e window;</w:t>
      </w:r>
      <w:r w:rsidRPr="00445D0F">
        <w:t xml:space="preserve"> Study</w:t>
      </w:r>
      <w:r>
        <w:t xml:space="preserve"> M2304 Core phase (Safety Set;</w:t>
      </w:r>
      <w:r w:rsidRPr="00445D0F">
        <w:t xml:space="preserve"> Confirmed PK Sample Set)</w:t>
      </w:r>
      <w:bookmarkEnd w:id="100"/>
    </w:p>
    <w:p w14:paraId="14315A4A" w14:textId="77777777" w:rsidR="001A5CA4" w:rsidRPr="001A5CA4" w:rsidRDefault="001A5CA4" w:rsidP="001A5CA4">
      <w:r>
        <w:rPr>
          <w:noProof/>
          <w:lang w:eastAsia="en-AU"/>
        </w:rPr>
        <w:drawing>
          <wp:inline distT="0" distB="0" distL="0" distR="0" wp14:anchorId="5BDBEF10" wp14:editId="1F6F1354">
            <wp:extent cx="5400040" cy="3169062"/>
            <wp:effectExtent l="0" t="0" r="0" b="0"/>
            <wp:docPr id="33" name="Picture 33" descr="Table 18: Everolimus concentration at trough (Cmin) by time window; Study M2304 Core phase (Safety Set; Confirmed PK Sampl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3169062"/>
                    </a:xfrm>
                    <a:prstGeom prst="rect">
                      <a:avLst/>
                    </a:prstGeom>
                  </pic:spPr>
                </pic:pic>
              </a:graphicData>
            </a:graphic>
          </wp:inline>
        </w:drawing>
      </w:r>
    </w:p>
    <w:p w14:paraId="44617876" w14:textId="77777777" w:rsidR="001A5CA4" w:rsidRPr="001A5CA4" w:rsidRDefault="001A5CA4" w:rsidP="004E3296">
      <w:r>
        <w:t>For the full details of the evaluation of safety aspects please see Attachment 2.</w:t>
      </w:r>
    </w:p>
    <w:p w14:paraId="6A572DD1" w14:textId="77777777" w:rsidR="00605AD4" w:rsidRDefault="00605AD4" w:rsidP="004E3296">
      <w:pPr>
        <w:pStyle w:val="Heading4"/>
      </w:pPr>
      <w:r w:rsidRPr="00605AD4">
        <w:t xml:space="preserve">Safety issues with the potential for major </w:t>
      </w:r>
      <w:r w:rsidRPr="004E3296">
        <w:t>regulatory</w:t>
      </w:r>
      <w:r w:rsidRPr="00605AD4">
        <w:t xml:space="preserve"> impact</w:t>
      </w:r>
    </w:p>
    <w:p w14:paraId="2D859ACC" w14:textId="77777777" w:rsidR="001A5CA4" w:rsidRPr="00670801" w:rsidRDefault="001A5CA4" w:rsidP="003808F8">
      <w:pPr>
        <w:pStyle w:val="Heading5"/>
        <w:rPr>
          <w:lang w:val="fr-FR"/>
        </w:rPr>
      </w:pPr>
      <w:r w:rsidRPr="00670801">
        <w:rPr>
          <w:lang w:val="fr-FR"/>
        </w:rPr>
        <w:t>Infections</w:t>
      </w:r>
    </w:p>
    <w:p w14:paraId="5D4BDB8F" w14:textId="77777777" w:rsidR="00104ABB" w:rsidRPr="001064B8" w:rsidRDefault="00104ABB" w:rsidP="00104ABB">
      <w:pPr>
        <w:pStyle w:val="Heading6"/>
      </w:pPr>
      <w:r w:rsidRPr="001064B8">
        <w:t>Study M2304 Core phase</w:t>
      </w:r>
    </w:p>
    <w:p w14:paraId="79903EDA" w14:textId="2F438515" w:rsidR="001A5CA4" w:rsidRPr="001064B8" w:rsidRDefault="001A5CA4" w:rsidP="004E3296">
      <w:r w:rsidRPr="00A958D9">
        <w:rPr>
          <w:lang w:val="en-US"/>
        </w:rPr>
        <w:t xml:space="preserve">Everolimus possesses immunosuppressive properties. </w:t>
      </w:r>
      <w:r w:rsidRPr="001064B8">
        <w:t xml:space="preserve">In 54.7% and 64.6% of patients in the everolimus LT and HT treatment </w:t>
      </w:r>
      <w:r w:rsidR="000D7C2B">
        <w:rPr>
          <w:rStyle w:val="FootnoteReference"/>
        </w:rPr>
        <w:footnoteReference w:id="33"/>
      </w:r>
      <w:r w:rsidRPr="001064B8">
        <w:t>groups and 45.4% in the placebo group infections were diagnosed, especially upper respiratory infections (</w:t>
      </w:r>
      <w:r>
        <w:t>for example</w:t>
      </w:r>
      <w:r w:rsidRPr="001064B8">
        <w:t xml:space="preserve"> nasopharyngitis, upper respiratory tract infection). SAEs of infections were seen in 6.0% of patients in the everolimus LT group, </w:t>
      </w:r>
      <w:r w:rsidR="00C46313">
        <w:t>6.9</w:t>
      </w:r>
      <w:r w:rsidRPr="001064B8">
        <w:t>% in the HT group,</w:t>
      </w:r>
      <w:r w:rsidR="00220787">
        <w:t xml:space="preserve"> respectively relative to placebo,</w:t>
      </w:r>
      <w:r w:rsidRPr="001064B8">
        <w:t xml:space="preserve"> most commonly pneumonia but also including gastroenteritis and urinary tract infection. In the placebo group </w:t>
      </w:r>
      <w:r w:rsidR="00004BD1">
        <w:t>0</w:t>
      </w:r>
      <w:r w:rsidRPr="001064B8">
        <w:t>% had infections. Single cases of pneumonia in the everolimus HT group and viral respiratory tract infection in the placebo group led to treatment discontinuation.</w:t>
      </w:r>
    </w:p>
    <w:p w14:paraId="2DC81A9F" w14:textId="77777777" w:rsidR="001A5CA4" w:rsidRPr="001064B8" w:rsidRDefault="001A5CA4" w:rsidP="003808F8">
      <w:pPr>
        <w:pStyle w:val="Heading5"/>
      </w:pPr>
      <w:r w:rsidRPr="001064B8">
        <w:t>Non-infectious pneumonitis</w:t>
      </w:r>
    </w:p>
    <w:p w14:paraId="16DDD9D1" w14:textId="77777777" w:rsidR="00104ABB" w:rsidRPr="001064B8" w:rsidRDefault="00104ABB" w:rsidP="00104ABB">
      <w:pPr>
        <w:pStyle w:val="Heading6"/>
      </w:pPr>
      <w:r w:rsidRPr="001064B8">
        <w:t>Study M2304 Core phase</w:t>
      </w:r>
    </w:p>
    <w:p w14:paraId="70B20F1D" w14:textId="77777777" w:rsidR="001A5CA4" w:rsidRPr="001064B8" w:rsidRDefault="001A5CA4" w:rsidP="001A5CA4">
      <w:r>
        <w:t>One case of G</w:t>
      </w:r>
      <w:r w:rsidRPr="001064B8">
        <w:t>rade 2 non-infectious pneumonitis was reported in the everolimus HT treatment group.</w:t>
      </w:r>
    </w:p>
    <w:p w14:paraId="79FAC511" w14:textId="52D8EFAE" w:rsidR="001A5CA4" w:rsidRPr="001064B8" w:rsidRDefault="00C50702" w:rsidP="003808F8">
      <w:pPr>
        <w:pStyle w:val="Heading5"/>
      </w:pPr>
      <w:r>
        <w:t>Stomatitis</w:t>
      </w:r>
    </w:p>
    <w:p w14:paraId="24670EFE" w14:textId="77777777" w:rsidR="001A5CA4" w:rsidRPr="001064B8" w:rsidRDefault="001A5CA4" w:rsidP="003808F8">
      <w:pPr>
        <w:pStyle w:val="Heading6"/>
      </w:pPr>
      <w:r w:rsidRPr="001064B8">
        <w:t>Study M2304 Core phase</w:t>
      </w:r>
    </w:p>
    <w:p w14:paraId="20B6FCD1" w14:textId="77777777" w:rsidR="001A5CA4" w:rsidRPr="001064B8" w:rsidRDefault="001A5CA4" w:rsidP="001A5CA4">
      <w:r>
        <w:t>Stomatitis related</w:t>
      </w:r>
      <w:r w:rsidRPr="001064B8">
        <w:t xml:space="preserve"> events were more frequently reported in the everolimus treatment groups than with placebo (54.7%, 63.8%, and 9.2% in the everolimus LT, HT, and placebo groups, respectively). The most common AEs reported included:</w:t>
      </w:r>
    </w:p>
    <w:p w14:paraId="270DAFE6" w14:textId="77777777" w:rsidR="001A5CA4" w:rsidRPr="001064B8" w:rsidRDefault="001A5CA4" w:rsidP="004E3296">
      <w:pPr>
        <w:pStyle w:val="ListBullet"/>
        <w:numPr>
          <w:ilvl w:val="0"/>
          <w:numId w:val="0"/>
        </w:numPr>
        <w:ind w:left="567"/>
      </w:pPr>
      <w:r w:rsidRPr="001064B8">
        <w:t>Stomatitis (28.2%, 30.8%, and 3.4% in the everolimus LT, HT, and placebo groups,</w:t>
      </w:r>
    </w:p>
    <w:p w14:paraId="5321D974" w14:textId="77777777" w:rsidR="001A5CA4" w:rsidRPr="001064B8" w:rsidRDefault="001A5CA4" w:rsidP="004E3296">
      <w:pPr>
        <w:pStyle w:val="ListBullet"/>
        <w:numPr>
          <w:ilvl w:val="0"/>
          <w:numId w:val="0"/>
        </w:numPr>
        <w:ind w:left="567"/>
      </w:pPr>
      <w:r w:rsidRPr="001064B8">
        <w:lastRenderedPageBreak/>
        <w:t>Mouth ulceration (23.9%, 21.5%, and 4.2%)</w:t>
      </w:r>
    </w:p>
    <w:p w14:paraId="54A01B3E" w14:textId="77777777" w:rsidR="001A5CA4" w:rsidRPr="001064B8" w:rsidRDefault="001A5CA4" w:rsidP="004E3296">
      <w:pPr>
        <w:pStyle w:val="ListBullet"/>
        <w:numPr>
          <w:ilvl w:val="0"/>
          <w:numId w:val="0"/>
        </w:numPr>
        <w:ind w:left="567"/>
      </w:pPr>
      <w:proofErr w:type="spellStart"/>
      <w:r w:rsidRPr="001064B8">
        <w:t>Aphthous</w:t>
      </w:r>
      <w:proofErr w:type="spellEnd"/>
      <w:r w:rsidRPr="001064B8">
        <w:t xml:space="preserve"> ulcer (4.3%, 14.6%, and 1.7%).</w:t>
      </w:r>
    </w:p>
    <w:p w14:paraId="1D420D24" w14:textId="77777777" w:rsidR="001A5CA4" w:rsidRPr="001064B8" w:rsidRDefault="001A5CA4" w:rsidP="001A5CA4">
      <w:r w:rsidRPr="001064B8">
        <w:t xml:space="preserve">Most cases were </w:t>
      </w:r>
      <w:r w:rsidR="00FC69C3">
        <w:t>Grade</w:t>
      </w:r>
      <w:r w:rsidRPr="001064B8">
        <w:t xml:space="preserve"> 1 or 2, and were suspected to be drug related in the majority of cases. Grade 3 events were reported in 3.4% and 3.8% of patients in the everolimus LT and HT groups, respectively. No </w:t>
      </w:r>
      <w:r w:rsidR="00FC69C3">
        <w:t>Grade</w:t>
      </w:r>
      <w:r w:rsidRPr="001064B8">
        <w:t xml:space="preserve"> 4 events were reported. These events tend</w:t>
      </w:r>
      <w:r>
        <w:t xml:space="preserve">ed to appear within the first 2 to </w:t>
      </w:r>
      <w:r w:rsidRPr="001064B8">
        <w:t>3 weeks of treatment.</w:t>
      </w:r>
    </w:p>
    <w:p w14:paraId="09FEDBF9" w14:textId="77777777" w:rsidR="001A5CA4" w:rsidRPr="001064B8" w:rsidRDefault="001A5CA4" w:rsidP="003808F8">
      <w:pPr>
        <w:pStyle w:val="Heading5"/>
      </w:pPr>
      <w:r w:rsidRPr="001064B8">
        <w:t>Hypersensitivity (anaphylactic reaction)</w:t>
      </w:r>
    </w:p>
    <w:p w14:paraId="4F80FE82" w14:textId="77777777" w:rsidR="00104ABB" w:rsidRPr="001064B8" w:rsidRDefault="00104ABB" w:rsidP="00104ABB">
      <w:pPr>
        <w:pStyle w:val="Heading6"/>
      </w:pPr>
      <w:r w:rsidRPr="001064B8">
        <w:t>Study M2304 Core phase</w:t>
      </w:r>
    </w:p>
    <w:p w14:paraId="11499449" w14:textId="77777777" w:rsidR="001A5CA4" w:rsidRPr="001064B8" w:rsidRDefault="001A5CA4" w:rsidP="001A5CA4">
      <w:r w:rsidRPr="001064B8">
        <w:t>Across the three treatment groups (13.7% and 15.4% of patients in the everolimus LT and HT treatment groups compared with 6.7% in the placebo group) had hypersensitivity-related events.</w:t>
      </w:r>
    </w:p>
    <w:p w14:paraId="4ECA6A2B" w14:textId="77777777" w:rsidR="001A5CA4" w:rsidRPr="001064B8" w:rsidRDefault="001A5CA4" w:rsidP="001A5CA4">
      <w:r w:rsidRPr="001064B8">
        <w:t xml:space="preserve">One patient (0.9%) in the everolimus LT treatment group reported </w:t>
      </w:r>
      <w:r w:rsidR="00FC69C3">
        <w:t>Grade</w:t>
      </w:r>
      <w:r w:rsidRPr="001064B8">
        <w:t xml:space="preserve"> 3 urticaria requiring dose adjustment while a further three patients (one (0.9%) in everolimus LT group and 2 (1.5%) in everolimus HT group) experienced cases of </w:t>
      </w:r>
      <w:r w:rsidR="00FC69C3">
        <w:t>Grade</w:t>
      </w:r>
      <w:r w:rsidRPr="001064B8">
        <w:t xml:space="preserve"> 1/2 rash that necessitated dose adjustment. There were no cases of severe hypersensitivity or anaphylaxis.</w:t>
      </w:r>
    </w:p>
    <w:p w14:paraId="4657CF8F" w14:textId="77777777" w:rsidR="001A5CA4" w:rsidRPr="001064B8" w:rsidRDefault="001A5CA4" w:rsidP="001A5CA4">
      <w:r w:rsidRPr="001064B8">
        <w:t xml:space="preserve">One case of pharyngeal oedema in the everolimus LT treatment group was </w:t>
      </w:r>
      <w:r w:rsidR="00FC69C3">
        <w:t>Grade</w:t>
      </w:r>
      <w:r w:rsidRPr="001064B8">
        <w:t xml:space="preserve"> 2 in intensity.</w:t>
      </w:r>
    </w:p>
    <w:p w14:paraId="31C275EB" w14:textId="77777777" w:rsidR="001A5CA4" w:rsidRPr="001064B8" w:rsidRDefault="001A5CA4" w:rsidP="003808F8">
      <w:pPr>
        <w:pStyle w:val="Heading5"/>
      </w:pPr>
      <w:r w:rsidRPr="001064B8">
        <w:t>Hepatic toxicity</w:t>
      </w:r>
    </w:p>
    <w:p w14:paraId="0C329177" w14:textId="77777777" w:rsidR="001A5CA4" w:rsidRPr="001064B8" w:rsidRDefault="001A5CA4" w:rsidP="001A5CA4">
      <w:r w:rsidRPr="001064B8">
        <w:t xml:space="preserve">The </w:t>
      </w:r>
      <w:r w:rsidR="000D7C2B">
        <w:t>CSR</w:t>
      </w:r>
      <w:r w:rsidRPr="001064B8">
        <w:t xml:space="preserve"> did not have a separate section on this. The Summary of Clinical Safety had known risks with everolimus therapy that require close monitoring and evaluation include: and safety in patients with hepatic impairment.</w:t>
      </w:r>
    </w:p>
    <w:p w14:paraId="0B033496" w14:textId="77777777" w:rsidR="001A5CA4" w:rsidRPr="001064B8" w:rsidRDefault="001A5CA4" w:rsidP="000D7C2B">
      <w:bookmarkStart w:id="101" w:name="Marker"/>
      <w:bookmarkEnd w:id="101"/>
      <w:r w:rsidRPr="001064B8">
        <w:t>The sponsor has proposed multiple hepatic impairment insertions in relation to which the sp</w:t>
      </w:r>
      <w:r w:rsidR="000D7C2B">
        <w:t>onsor has consistently referred.</w:t>
      </w:r>
    </w:p>
    <w:p w14:paraId="1505145E" w14:textId="2B9DC241" w:rsidR="001A5CA4" w:rsidRPr="001064B8" w:rsidRDefault="001A5CA4" w:rsidP="001A5CA4">
      <w:r w:rsidRPr="001064B8">
        <w:t xml:space="preserve">In reviewing the </w:t>
      </w:r>
      <w:r>
        <w:t xml:space="preserve">summary results of the trial 23 to </w:t>
      </w:r>
      <w:r w:rsidRPr="001064B8">
        <w:t xml:space="preserve">25% had abnormal liver </w:t>
      </w:r>
      <w:r w:rsidRPr="00A77964">
        <w:t>enzymes (</w:t>
      </w:r>
      <w:r w:rsidR="00B81269">
        <w:t>see </w:t>
      </w:r>
      <w:r w:rsidRPr="00A77964">
        <w:t>Table 41</w:t>
      </w:r>
      <w:r w:rsidR="00FC69C3">
        <w:t>, Attachment 2</w:t>
      </w:r>
      <w:r w:rsidRPr="00A77964">
        <w:t>)</w:t>
      </w:r>
      <w:r w:rsidRPr="001064B8">
        <w:t xml:space="preserve"> (2 at least were </w:t>
      </w:r>
      <w:r w:rsidR="00FC69C3">
        <w:t>Grade</w:t>
      </w:r>
      <w:r w:rsidRPr="001064B8">
        <w:t>3/</w:t>
      </w:r>
      <w:r w:rsidRPr="00A77964">
        <w:t>4 (</w:t>
      </w:r>
      <w:r w:rsidR="00B81269">
        <w:t xml:space="preserve">see </w:t>
      </w:r>
      <w:r w:rsidRPr="00A77964">
        <w:t>Table 42</w:t>
      </w:r>
      <w:r w:rsidR="00FC69C3">
        <w:t>, Attachment 2</w:t>
      </w:r>
      <w:r w:rsidRPr="00A77964">
        <w:t>)).</w:t>
      </w:r>
      <w:r w:rsidRPr="001064B8">
        <w:t xml:space="preserve"> One</w:t>
      </w:r>
      <w:r w:rsidR="00B81269">
        <w:t> </w:t>
      </w:r>
      <w:r w:rsidR="000D7C2B">
        <w:t>adverse drug reaction</w:t>
      </w:r>
      <w:r w:rsidR="000D7C2B" w:rsidRPr="001064B8">
        <w:t xml:space="preserve"> </w:t>
      </w:r>
      <w:r w:rsidR="000D7C2B">
        <w:t>(</w:t>
      </w:r>
      <w:r w:rsidRPr="001064B8">
        <w:t>ADR</w:t>
      </w:r>
      <w:r w:rsidR="000D7C2B">
        <w:t>)</w:t>
      </w:r>
      <w:r w:rsidRPr="001064B8">
        <w:t xml:space="preserve"> of raised enzyme was reported (also 1 on placebo) </w:t>
      </w:r>
      <w:r w:rsidRPr="000D7C2B">
        <w:t xml:space="preserve">raised </w:t>
      </w:r>
      <w:r w:rsidR="000D7C2B">
        <w:t>a</w:t>
      </w:r>
      <w:r w:rsidR="000D7C2B" w:rsidRPr="000D7C2B">
        <w:t>lanine aminotransferase</w:t>
      </w:r>
      <w:r w:rsidR="000D7C2B" w:rsidRPr="001064B8">
        <w:t xml:space="preserve"> </w:t>
      </w:r>
      <w:r w:rsidR="000D7C2B">
        <w:t>(</w:t>
      </w:r>
      <w:r w:rsidRPr="001064B8">
        <w:t>ALT</w:t>
      </w:r>
      <w:r w:rsidR="000D7C2B">
        <w:t>)</w:t>
      </w:r>
      <w:r w:rsidRPr="001064B8">
        <w:t xml:space="preserve">. Due to raised </w:t>
      </w:r>
      <w:r w:rsidR="00B81269">
        <w:t>a</w:t>
      </w:r>
      <w:r w:rsidR="00B81269" w:rsidRPr="001064B8">
        <w:t xml:space="preserve">lkaline </w:t>
      </w:r>
      <w:r w:rsidRPr="001064B8">
        <w:t xml:space="preserve">phosphatase there was 1 discontinuation </w:t>
      </w:r>
      <w:r>
        <w:t>(Table 38</w:t>
      </w:r>
      <w:r w:rsidR="00FC69C3">
        <w:t>, Attachment 2</w:t>
      </w:r>
      <w:r>
        <w:t>)</w:t>
      </w:r>
      <w:r w:rsidRPr="001064B8">
        <w:t xml:space="preserve">, and 1 interruption or adjustment to dose </w:t>
      </w:r>
      <w:r>
        <w:t>(</w:t>
      </w:r>
      <w:r w:rsidR="00B81269">
        <w:t>see </w:t>
      </w:r>
      <w:r>
        <w:t>Table 39</w:t>
      </w:r>
      <w:r w:rsidR="00FC69C3">
        <w:t>, Attachment 2</w:t>
      </w:r>
      <w:r>
        <w:t>)</w:t>
      </w:r>
      <w:r w:rsidRPr="001064B8">
        <w:t>.</w:t>
      </w:r>
    </w:p>
    <w:p w14:paraId="7EEB24A0" w14:textId="77777777" w:rsidR="001A5CA4" w:rsidRPr="001064B8" w:rsidRDefault="001A5CA4" w:rsidP="003808F8">
      <w:pPr>
        <w:pStyle w:val="Heading5"/>
      </w:pPr>
      <w:r w:rsidRPr="001064B8">
        <w:t>Renal toxicities</w:t>
      </w:r>
    </w:p>
    <w:p w14:paraId="1D70958E" w14:textId="77777777" w:rsidR="00104ABB" w:rsidRPr="001064B8" w:rsidRDefault="00104ABB" w:rsidP="00104ABB">
      <w:pPr>
        <w:pStyle w:val="Heading6"/>
      </w:pPr>
      <w:r w:rsidRPr="001064B8">
        <w:t>Study M2304 Core phase</w:t>
      </w:r>
    </w:p>
    <w:p w14:paraId="1DE8FD19" w14:textId="77777777" w:rsidR="001A5CA4" w:rsidRPr="001064B8" w:rsidRDefault="001A5CA4" w:rsidP="001A5CA4">
      <w:r w:rsidRPr="001064B8">
        <w:t xml:space="preserve">Renal toxicities were reported 0.9% </w:t>
      </w:r>
      <w:r>
        <w:t>versus</w:t>
      </w:r>
      <w:r w:rsidRPr="001064B8">
        <w:t xml:space="preserve"> 3.8% </w:t>
      </w:r>
      <w:r>
        <w:t>versus</w:t>
      </w:r>
      <w:r w:rsidRPr="001064B8">
        <w:t xml:space="preserve"> 2.5% for the everolimus LT, HT, and placebo treatment groups, respectively, with 1 patient from the everolimus HT group experiencing a </w:t>
      </w:r>
      <w:r w:rsidR="00FC69C3">
        <w:t>Grade</w:t>
      </w:r>
      <w:r w:rsidRPr="001064B8">
        <w:t xml:space="preserve"> 3 elevation in blood creatinine (no action was taken and this event resolved after 23days).</w:t>
      </w:r>
    </w:p>
    <w:p w14:paraId="0E425C03" w14:textId="77777777" w:rsidR="001A5CA4" w:rsidRPr="001064B8" w:rsidRDefault="001A5CA4" w:rsidP="003808F8">
      <w:pPr>
        <w:pStyle w:val="Heading5"/>
      </w:pPr>
      <w:r w:rsidRPr="001064B8">
        <w:t>Effects of everolimus on brain growth and development, particularly in patients under 3 years of age</w:t>
      </w:r>
    </w:p>
    <w:p w14:paraId="336F7263" w14:textId="77777777" w:rsidR="00104ABB" w:rsidRPr="001064B8" w:rsidRDefault="00104ABB" w:rsidP="00104ABB">
      <w:pPr>
        <w:pStyle w:val="Heading6"/>
      </w:pPr>
      <w:r w:rsidRPr="001064B8">
        <w:t>Study M2304 Core phase</w:t>
      </w:r>
    </w:p>
    <w:p w14:paraId="22D08DD9" w14:textId="77777777" w:rsidR="001A5CA4" w:rsidRPr="001064B8" w:rsidRDefault="001A5CA4" w:rsidP="001A5CA4">
      <w:r w:rsidRPr="001064B8">
        <w:t>Five patients in the everolimus treatment groups (four</w:t>
      </w:r>
      <w:r w:rsidR="00FC69C3">
        <w:t>,</w:t>
      </w:r>
      <w:r w:rsidRPr="001064B8">
        <w:t xml:space="preserve"> </w:t>
      </w:r>
      <w:r>
        <w:t>(</w:t>
      </w:r>
      <w:r w:rsidRPr="001064B8">
        <w:t>50.0%</w:t>
      </w:r>
      <w:r>
        <w:t>)</w:t>
      </w:r>
      <w:r w:rsidRPr="001064B8">
        <w:t xml:space="preserve"> in the LT and one patient </w:t>
      </w:r>
      <w:r>
        <w:t>(</w:t>
      </w:r>
      <w:r w:rsidRPr="001064B8">
        <w:t>14.3%</w:t>
      </w:r>
      <w:r>
        <w:t>)</w:t>
      </w:r>
      <w:r w:rsidRPr="001064B8">
        <w:t xml:space="preserve"> in the HT group) experienced events. A single case (12.5%) of </w:t>
      </w:r>
      <w:r w:rsidR="00FC69C3">
        <w:t>Grade</w:t>
      </w:r>
      <w:r w:rsidRPr="001064B8">
        <w:t xml:space="preserve"> 4 status </w:t>
      </w:r>
      <w:r w:rsidR="00FC69C3">
        <w:t xml:space="preserve">epilepticus was reported in a 2 year </w:t>
      </w:r>
      <w:r w:rsidRPr="001064B8">
        <w:t>old patient in the everolimus LT group, which resolved after 16 days.</w:t>
      </w:r>
    </w:p>
    <w:p w14:paraId="35DE7E7F" w14:textId="77777777" w:rsidR="001A5CA4" w:rsidRPr="001064B8" w:rsidRDefault="001A5CA4" w:rsidP="001A5CA4">
      <w:pPr>
        <w:pStyle w:val="Tabletitle0"/>
      </w:pPr>
      <w:bookmarkStart w:id="102" w:name="_Toc477255822"/>
      <w:r w:rsidRPr="001064B8">
        <w:lastRenderedPageBreak/>
        <w:t xml:space="preserve">Table </w:t>
      </w:r>
      <w:r w:rsidR="000128D8">
        <w:t>19</w:t>
      </w:r>
      <w:r>
        <w:t>:</w:t>
      </w:r>
      <w:r w:rsidRPr="001064B8">
        <w:t xml:space="preserve"> Clinical impact of effects of everolimus on brain growth and development, particularly in </w:t>
      </w:r>
      <w:r>
        <w:t xml:space="preserve">patients under 3 years of age; </w:t>
      </w:r>
      <w:r w:rsidRPr="001064B8">
        <w:t>Study M2304 Core phase (Safety Set)</w:t>
      </w:r>
      <w:bookmarkEnd w:id="102"/>
    </w:p>
    <w:p w14:paraId="33A79E9C" w14:textId="77777777" w:rsidR="00500337" w:rsidRDefault="003808F8" w:rsidP="00500337">
      <w:r>
        <w:rPr>
          <w:noProof/>
          <w:lang w:eastAsia="en-AU"/>
        </w:rPr>
        <w:drawing>
          <wp:inline distT="0" distB="0" distL="0" distR="0" wp14:anchorId="0345412E" wp14:editId="12E23604">
            <wp:extent cx="5400040" cy="4509264"/>
            <wp:effectExtent l="0" t="0" r="0" b="5715"/>
            <wp:docPr id="35" name="Picture 35" descr="Table 19: Clinical impact of effects of everolimus on brain growth and development, particularly in patients under 3 years of age; Study M2304 Core phas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4509264"/>
                    </a:xfrm>
                    <a:prstGeom prst="rect">
                      <a:avLst/>
                    </a:prstGeom>
                  </pic:spPr>
                </pic:pic>
              </a:graphicData>
            </a:graphic>
          </wp:inline>
        </w:drawing>
      </w:r>
    </w:p>
    <w:p w14:paraId="407CA3A8" w14:textId="7051874E" w:rsidR="003808F8" w:rsidRPr="001064B8" w:rsidRDefault="003808F8" w:rsidP="003808F8">
      <w:pPr>
        <w:pStyle w:val="Heading5"/>
      </w:pPr>
      <w:r w:rsidRPr="001064B8">
        <w:t>Female fertility (including secondary amenorrhea) i</w:t>
      </w:r>
      <w:r w:rsidR="00C50702">
        <w:t>n female patients aged 10 to 55 </w:t>
      </w:r>
      <w:r w:rsidRPr="001064B8">
        <w:t>years</w:t>
      </w:r>
    </w:p>
    <w:p w14:paraId="771F154E" w14:textId="77777777" w:rsidR="00104ABB" w:rsidRPr="001064B8" w:rsidRDefault="00104ABB" w:rsidP="00104ABB">
      <w:pPr>
        <w:pStyle w:val="Heading6"/>
      </w:pPr>
      <w:r w:rsidRPr="001064B8">
        <w:t>Study M2304 Core phase</w:t>
      </w:r>
    </w:p>
    <w:p w14:paraId="089F4DD5" w14:textId="77777777" w:rsidR="003808F8" w:rsidRPr="001064B8" w:rsidRDefault="003808F8" w:rsidP="003808F8">
      <w:r w:rsidRPr="001064B8">
        <w:t>The incidence of events related to female fertility (irregular menstruation and amenorrhoea) was similar across the three treatment groups.</w:t>
      </w:r>
    </w:p>
    <w:p w14:paraId="6279AA23" w14:textId="77777777" w:rsidR="003808F8" w:rsidRPr="001064B8" w:rsidRDefault="003808F8" w:rsidP="003808F8">
      <w:pPr>
        <w:pStyle w:val="Heading5"/>
      </w:pPr>
      <w:r w:rsidRPr="001064B8">
        <w:t>Haemorrhages</w:t>
      </w:r>
    </w:p>
    <w:p w14:paraId="3540115D" w14:textId="77777777" w:rsidR="00104ABB" w:rsidRPr="001064B8" w:rsidRDefault="00104ABB" w:rsidP="00104ABB">
      <w:pPr>
        <w:pStyle w:val="Heading6"/>
      </w:pPr>
      <w:r w:rsidRPr="001064B8">
        <w:t>Study M2304 Core phase</w:t>
      </w:r>
    </w:p>
    <w:p w14:paraId="7080DEAC" w14:textId="77777777" w:rsidR="003808F8" w:rsidRPr="001064B8" w:rsidRDefault="003808F8" w:rsidP="003808F8">
      <w:r w:rsidRPr="001064B8">
        <w:t xml:space="preserve">The incidence of haemorrhage was higher in the everolimus treatment groups (6.0% and 11.5% for LT and HT groups, respectively) compared to the placebo group (3.4%). About 50% of the </w:t>
      </w:r>
      <w:r w:rsidR="00FC69C3">
        <w:t>Grade</w:t>
      </w:r>
      <w:r w:rsidRPr="001064B8">
        <w:t xml:space="preserve"> 1/2 haemorrhage cases reported among the patients treated with everolimus were described as epistaxis. There was a single case (0.9%) of menorrhagia in t</w:t>
      </w:r>
      <w:r>
        <w:t xml:space="preserve">he everolimus LT group (in a 44 year </w:t>
      </w:r>
      <w:r w:rsidRPr="001064B8">
        <w:t>old patient) that fulfilled the criteria for an SA</w:t>
      </w:r>
      <w:r>
        <w:t>E; this event resolved after 26 </w:t>
      </w:r>
      <w:r w:rsidRPr="001064B8">
        <w:t>days.</w:t>
      </w:r>
    </w:p>
    <w:p w14:paraId="1AEB6426" w14:textId="77777777" w:rsidR="003808F8" w:rsidRPr="001064B8" w:rsidRDefault="003808F8" w:rsidP="003808F8">
      <w:pPr>
        <w:pStyle w:val="Heading5"/>
      </w:pPr>
      <w:r w:rsidRPr="001064B8">
        <w:t>Haematology and haematological toxicity</w:t>
      </w:r>
    </w:p>
    <w:p w14:paraId="4D826CDF" w14:textId="77777777" w:rsidR="00BB08C3" w:rsidRPr="001064B8" w:rsidRDefault="00BB08C3" w:rsidP="00BB08C3">
      <w:pPr>
        <w:pStyle w:val="Heading6"/>
      </w:pPr>
      <w:r w:rsidRPr="001064B8">
        <w:t>Study M2304 Core phase</w:t>
      </w:r>
    </w:p>
    <w:p w14:paraId="536DBC6D" w14:textId="77777777" w:rsidR="003808F8" w:rsidRPr="001064B8" w:rsidRDefault="003808F8" w:rsidP="003808F8">
      <w:r w:rsidRPr="001064B8">
        <w:t>Haematology abnormalities that were more frequently reported in the everolimus treatment groups (with differences of ≥ 10% relative to placebo) included:</w:t>
      </w:r>
    </w:p>
    <w:p w14:paraId="33E28B66" w14:textId="77777777" w:rsidR="003808F8" w:rsidRPr="001064B8" w:rsidRDefault="003808F8" w:rsidP="004E3296">
      <w:pPr>
        <w:pStyle w:val="ListBullet"/>
        <w:numPr>
          <w:ilvl w:val="0"/>
          <w:numId w:val="0"/>
        </w:numPr>
        <w:ind w:left="567"/>
      </w:pPr>
      <w:r w:rsidRPr="001064B8">
        <w:t>Absolute neutrophils (hypo) (difference +2.1% and +14.2% for the everolimus LT and HT treatment groups, respectively)</w:t>
      </w:r>
    </w:p>
    <w:p w14:paraId="150A8DD1" w14:textId="77777777" w:rsidR="003808F8" w:rsidRPr="001064B8" w:rsidRDefault="003808F8" w:rsidP="004E3296">
      <w:pPr>
        <w:pStyle w:val="ListBullet"/>
        <w:numPr>
          <w:ilvl w:val="0"/>
          <w:numId w:val="0"/>
        </w:numPr>
        <w:ind w:left="567"/>
      </w:pPr>
      <w:r w:rsidRPr="001064B8">
        <w:lastRenderedPageBreak/>
        <w:t>Absolute lymphocytes (hyper) (difference +15.6% and +1.7%).</w:t>
      </w:r>
    </w:p>
    <w:p w14:paraId="50EF4286" w14:textId="77777777" w:rsidR="003808F8" w:rsidRPr="001064B8" w:rsidRDefault="003808F8" w:rsidP="003808F8">
      <w:r w:rsidRPr="001064B8">
        <w:t xml:space="preserve">All </w:t>
      </w:r>
      <w:r w:rsidR="00FC69C3">
        <w:t>Grade</w:t>
      </w:r>
      <w:r w:rsidRPr="001064B8">
        <w:t xml:space="preserve"> 3/4 cases resolved prior to the data cut-off date.</w:t>
      </w:r>
    </w:p>
    <w:p w14:paraId="05D7DFFB" w14:textId="77777777" w:rsidR="003808F8" w:rsidRPr="001064B8" w:rsidRDefault="003808F8" w:rsidP="003808F8">
      <w:pPr>
        <w:pStyle w:val="Heading6"/>
      </w:pPr>
      <w:proofErr w:type="spellStart"/>
      <w:r w:rsidRPr="001064B8">
        <w:t>Cytopaenia</w:t>
      </w:r>
      <w:proofErr w:type="spellEnd"/>
    </w:p>
    <w:p w14:paraId="45B856BB" w14:textId="5E31F846" w:rsidR="003808F8" w:rsidRPr="001064B8" w:rsidRDefault="003808F8" w:rsidP="003808F8">
      <w:r w:rsidRPr="001064B8">
        <w:t xml:space="preserve">The incidence of </w:t>
      </w:r>
      <w:proofErr w:type="spellStart"/>
      <w:r w:rsidR="00B81269">
        <w:t>c</w:t>
      </w:r>
      <w:r w:rsidR="00B81269" w:rsidRPr="001064B8">
        <w:t>ytopaenia</w:t>
      </w:r>
      <w:proofErr w:type="spellEnd"/>
      <w:r w:rsidR="00B81269" w:rsidRPr="001064B8">
        <w:t xml:space="preserve"> </w:t>
      </w:r>
      <w:r w:rsidRPr="001064B8">
        <w:t>was similar across the three treatment groups (7.7%, 7.7%, and 7.6% for the everolimus LT, HT, and placebo treatment groups, respectively). The majority of the AEs in this category were neutropaenia, anaemia, and decreased neutrophil count.</w:t>
      </w:r>
    </w:p>
    <w:p w14:paraId="4BE426C3" w14:textId="77777777" w:rsidR="003808F8" w:rsidRPr="001064B8" w:rsidRDefault="003808F8" w:rsidP="003808F8">
      <w:pPr>
        <w:pStyle w:val="Heading5"/>
      </w:pPr>
      <w:r w:rsidRPr="001064B8">
        <w:t>Other laboratory tests</w:t>
      </w:r>
    </w:p>
    <w:p w14:paraId="0AAFF716" w14:textId="3E0E8C44" w:rsidR="003808F8" w:rsidRDefault="003808F8" w:rsidP="003808F8">
      <w:r w:rsidRPr="001064B8">
        <w:t>There were a higher incidence of Grade3/4 abnormal values fo</w:t>
      </w:r>
      <w:r>
        <w:t xml:space="preserve">r </w:t>
      </w:r>
      <w:r w:rsidR="00FC69C3">
        <w:t>p</w:t>
      </w:r>
      <w:r>
        <w:t>otassium (hyper) (3.1% Study </w:t>
      </w:r>
      <w:r w:rsidRPr="001064B8">
        <w:t xml:space="preserve">M2304 All patients </w:t>
      </w:r>
      <w:r>
        <w:t>versus</w:t>
      </w:r>
      <w:r w:rsidRPr="001064B8">
        <w:t xml:space="preserve"> 0.8% TSC Pool without M2304) and </w:t>
      </w:r>
      <w:r w:rsidR="00FC69C3">
        <w:t>s</w:t>
      </w:r>
      <w:r w:rsidRPr="001064B8">
        <w:t xml:space="preserve">odium (hyper) (4.2% </w:t>
      </w:r>
      <w:r>
        <w:t>versus</w:t>
      </w:r>
      <w:r w:rsidRPr="001064B8">
        <w:t xml:space="preserve"> 1.6%)</w:t>
      </w:r>
      <w:r>
        <w:t>.</w:t>
      </w:r>
    </w:p>
    <w:p w14:paraId="1BA6BE38" w14:textId="77777777" w:rsidR="003808F8" w:rsidRPr="001064B8" w:rsidRDefault="003808F8" w:rsidP="003808F8">
      <w:r w:rsidRPr="001064B8">
        <w:t xml:space="preserve">Among all abnormal clinical chemistry values in Study M2304 All patients results most had a similar or higher incidence than in the TSC Pool without M2304, except the liver enzymes, </w:t>
      </w:r>
      <w:r w:rsidR="00FC69C3">
        <w:t>p</w:t>
      </w:r>
      <w:r w:rsidRPr="001064B8">
        <w:t xml:space="preserve">hosphate (inorganic phosphorus) (hypo), </w:t>
      </w:r>
      <w:r w:rsidR="00FC69C3">
        <w:t>g</w:t>
      </w:r>
      <w:r w:rsidRPr="001064B8">
        <w:t xml:space="preserve">lucose (fasting) (hypo), </w:t>
      </w:r>
      <w:r w:rsidR="00FC69C3">
        <w:t>s</w:t>
      </w:r>
      <w:r w:rsidRPr="001064B8">
        <w:t xml:space="preserve">odium (hypo) and </w:t>
      </w:r>
      <w:r w:rsidR="00FC69C3">
        <w:t>potassium (hypo)</w:t>
      </w:r>
      <w:r w:rsidRPr="001064B8">
        <w:t xml:space="preserve"> </w:t>
      </w:r>
      <w:r w:rsidR="00FC69C3">
        <w:t>m</w:t>
      </w:r>
      <w:r w:rsidRPr="001064B8">
        <w:t xml:space="preserve">agnesium (hyper) (40.9% Study M2304 All patients </w:t>
      </w:r>
      <w:r>
        <w:t>versus</w:t>
      </w:r>
      <w:r w:rsidRPr="001064B8">
        <w:t xml:space="preserve"> 3.6% TSC Pool without M2304) and </w:t>
      </w:r>
      <w:r w:rsidR="00FC69C3">
        <w:t>c</w:t>
      </w:r>
      <w:r w:rsidRPr="001064B8">
        <w:t xml:space="preserve">reatinine (hyper) (30.3% </w:t>
      </w:r>
      <w:r>
        <w:t>versus</w:t>
      </w:r>
      <w:r w:rsidRPr="001064B8">
        <w:t xml:space="preserve"> 12.0%) showed considerable differences.</w:t>
      </w:r>
    </w:p>
    <w:p w14:paraId="66DC18CC" w14:textId="419F8E6B" w:rsidR="003808F8" w:rsidRDefault="003808F8" w:rsidP="003808F8">
      <w:pPr>
        <w:pStyle w:val="Tabletitle0"/>
      </w:pPr>
      <w:bookmarkStart w:id="103" w:name="_Ref476808224"/>
      <w:bookmarkStart w:id="104" w:name="_Toc477255823"/>
      <w:r>
        <w:lastRenderedPageBreak/>
        <w:t>Table</w:t>
      </w:r>
      <w:bookmarkEnd w:id="103"/>
      <w:r>
        <w:t xml:space="preserve"> </w:t>
      </w:r>
      <w:r w:rsidR="000128D8">
        <w:t>20</w:t>
      </w:r>
      <w:r>
        <w:t xml:space="preserve">: Abnormal </w:t>
      </w:r>
      <w:r w:rsidR="00B81269">
        <w:t>clinical c</w:t>
      </w:r>
      <w:r>
        <w:t xml:space="preserve">hemistry </w:t>
      </w:r>
      <w:r w:rsidR="00B81269">
        <w:t>values</w:t>
      </w:r>
      <w:r>
        <w:t>; Study M2304 Core and Extension phase and TSC pooled studies excluding Study M2304</w:t>
      </w:r>
      <w:bookmarkEnd w:id="104"/>
    </w:p>
    <w:p w14:paraId="17EC4A16" w14:textId="02C0AA62" w:rsidR="003808F8" w:rsidRDefault="003808F8" w:rsidP="00500337">
      <w:r>
        <w:rPr>
          <w:noProof/>
          <w:lang w:eastAsia="en-AU"/>
        </w:rPr>
        <w:drawing>
          <wp:inline distT="0" distB="0" distL="0" distR="0" wp14:anchorId="0B3EE2B1" wp14:editId="068B635E">
            <wp:extent cx="5400040" cy="7538311"/>
            <wp:effectExtent l="0" t="0" r="0" b="5715"/>
            <wp:docPr id="36" name="Picture 36" descr="Table 20: Abnormal Clinical Chemistry Values; Study M2304 Core and Extension phase and TSC pooled studies excluding Study M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7538311"/>
                    </a:xfrm>
                    <a:prstGeom prst="rect">
                      <a:avLst/>
                    </a:prstGeom>
                  </pic:spPr>
                </pic:pic>
              </a:graphicData>
            </a:graphic>
          </wp:inline>
        </w:drawing>
      </w:r>
    </w:p>
    <w:p w14:paraId="5EE2E31D" w14:textId="77777777" w:rsidR="003808F8" w:rsidRPr="001064B8" w:rsidRDefault="003808F8" w:rsidP="003808F8">
      <w:pPr>
        <w:pStyle w:val="Heading5"/>
      </w:pPr>
      <w:r w:rsidRPr="001064B8">
        <w:lastRenderedPageBreak/>
        <w:t>Dyslipidaemia in paediatric population</w:t>
      </w:r>
    </w:p>
    <w:p w14:paraId="6162758B" w14:textId="77777777" w:rsidR="00BB08C3" w:rsidRPr="001064B8" w:rsidRDefault="00BB08C3" w:rsidP="00BB08C3">
      <w:pPr>
        <w:pStyle w:val="Heading6"/>
      </w:pPr>
      <w:r w:rsidRPr="001064B8">
        <w:t>Study M2304 Core phase</w:t>
      </w:r>
    </w:p>
    <w:p w14:paraId="412FC76C" w14:textId="77777777" w:rsidR="003808F8" w:rsidRPr="001064B8" w:rsidRDefault="003808F8" w:rsidP="003808F8">
      <w:r w:rsidRPr="001064B8">
        <w:t>Dyslipidaemi</w:t>
      </w:r>
      <w:r>
        <w:t xml:space="preserve">a </w:t>
      </w:r>
      <w:r w:rsidRPr="001064B8">
        <w:t xml:space="preserve">related events occurred in 12.5% and 17.8% of paediatric patients in the everolimus LT and HT treatment groups compared with a 5.2% in the placebo group. Most cases were </w:t>
      </w:r>
      <w:r w:rsidR="00FC69C3">
        <w:t>Grade</w:t>
      </w:r>
      <w:r w:rsidRPr="001064B8">
        <w:t xml:space="preserve"> 1 or 2, and were suspected to be drug related in the majority of cases.</w:t>
      </w:r>
    </w:p>
    <w:p w14:paraId="610245AF" w14:textId="77777777" w:rsidR="003808F8" w:rsidRDefault="003808F8" w:rsidP="003808F8">
      <w:pPr>
        <w:pStyle w:val="Tabletitle0"/>
      </w:pPr>
      <w:bookmarkStart w:id="105" w:name="_Toc477255825"/>
      <w:r w:rsidRPr="001064B8">
        <w:t xml:space="preserve">Table </w:t>
      </w:r>
      <w:r w:rsidR="000128D8">
        <w:t>21</w:t>
      </w:r>
      <w:r>
        <w:t>:</w:t>
      </w:r>
      <w:r w:rsidRPr="001064B8">
        <w:t xml:space="preserve"> Clinical impact of dyslipid</w:t>
      </w:r>
      <w:r>
        <w:t>aemia in paediatric population;</w:t>
      </w:r>
      <w:r w:rsidRPr="001064B8">
        <w:t xml:space="preserve"> Study M2304 Core phase (Safety Set)</w:t>
      </w:r>
      <w:bookmarkEnd w:id="105"/>
    </w:p>
    <w:p w14:paraId="2F384768" w14:textId="77777777" w:rsidR="003808F8" w:rsidRDefault="003808F8" w:rsidP="003808F8">
      <w:r>
        <w:rPr>
          <w:noProof/>
          <w:lang w:eastAsia="en-AU"/>
        </w:rPr>
        <w:drawing>
          <wp:inline distT="0" distB="0" distL="0" distR="0" wp14:anchorId="2C6FB011" wp14:editId="53C24861">
            <wp:extent cx="5400040" cy="5391963"/>
            <wp:effectExtent l="0" t="0" r="0" b="0"/>
            <wp:docPr id="38" name="Picture 38" descr="Table 21: Clinical impact of dyslipidaemia in paediatric population; Study M2304 Core phas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5391963"/>
                    </a:xfrm>
                    <a:prstGeom prst="rect">
                      <a:avLst/>
                    </a:prstGeom>
                  </pic:spPr>
                </pic:pic>
              </a:graphicData>
            </a:graphic>
          </wp:inline>
        </w:drawing>
      </w:r>
    </w:p>
    <w:p w14:paraId="1D182BC9" w14:textId="77777777" w:rsidR="00377263" w:rsidRPr="00355435" w:rsidRDefault="00377263" w:rsidP="00377263">
      <w:pPr>
        <w:pStyle w:val="Heading5"/>
      </w:pPr>
      <w:r w:rsidRPr="00355435">
        <w:t>Hyperglycaemia/new-onset diabetes mellitus</w:t>
      </w:r>
    </w:p>
    <w:p w14:paraId="5D1BE2D0" w14:textId="77777777" w:rsidR="00BB08C3" w:rsidRPr="001064B8" w:rsidRDefault="00BB08C3" w:rsidP="00BB08C3">
      <w:pPr>
        <w:pStyle w:val="Heading6"/>
      </w:pPr>
      <w:r w:rsidRPr="001064B8">
        <w:t>Study M2304 Core phase</w:t>
      </w:r>
    </w:p>
    <w:p w14:paraId="4354910A" w14:textId="77777777" w:rsidR="00377263" w:rsidRPr="00355435" w:rsidRDefault="00377263" w:rsidP="00377263">
      <w:r w:rsidRPr="00355435">
        <w:t xml:space="preserve">One case of </w:t>
      </w:r>
      <w:r w:rsidR="00FC69C3">
        <w:t>Grade</w:t>
      </w:r>
      <w:r w:rsidRPr="00355435">
        <w:t xml:space="preserve"> 1 hyperglycaemia was reported in a patient in the everolimus LT t</w:t>
      </w:r>
      <w:r w:rsidR="00FC69C3">
        <w:t xml:space="preserve">reatment group. No cases of new </w:t>
      </w:r>
      <w:r w:rsidRPr="00355435">
        <w:t>onset diabetes mellitus were reported across the three treatment groups.</w:t>
      </w:r>
    </w:p>
    <w:p w14:paraId="1E4D105D" w14:textId="77777777" w:rsidR="00377263" w:rsidRPr="00355435" w:rsidRDefault="00377263" w:rsidP="00377263">
      <w:pPr>
        <w:pStyle w:val="Heading5"/>
      </w:pPr>
      <w:bookmarkStart w:id="106" w:name="_Toc272414676"/>
      <w:bookmarkStart w:id="107" w:name="_Toc290888540"/>
      <w:bookmarkStart w:id="108" w:name="_Toc416353755"/>
      <w:bookmarkStart w:id="109" w:name="_Toc421005298"/>
      <w:bookmarkStart w:id="110" w:name="_Toc432079175"/>
      <w:bookmarkStart w:id="111" w:name="_Toc432080748"/>
      <w:r w:rsidRPr="00355435">
        <w:lastRenderedPageBreak/>
        <w:t>Vital signs</w:t>
      </w:r>
      <w:bookmarkEnd w:id="106"/>
      <w:bookmarkEnd w:id="107"/>
      <w:bookmarkEnd w:id="108"/>
      <w:bookmarkEnd w:id="109"/>
      <w:r w:rsidRPr="00355435">
        <w:t xml:space="preserve"> and clinical examination findings</w:t>
      </w:r>
      <w:bookmarkEnd w:id="110"/>
      <w:bookmarkEnd w:id="111"/>
    </w:p>
    <w:p w14:paraId="7289CDD3" w14:textId="77777777" w:rsidR="00BB08C3" w:rsidRPr="001064B8" w:rsidRDefault="00BB08C3" w:rsidP="00BB08C3">
      <w:pPr>
        <w:pStyle w:val="Heading6"/>
      </w:pPr>
      <w:r w:rsidRPr="001064B8">
        <w:t>Study M2304 Core phase</w:t>
      </w:r>
    </w:p>
    <w:p w14:paraId="0D799090" w14:textId="77777777" w:rsidR="00377263" w:rsidRPr="00355435" w:rsidRDefault="00FC69C3" w:rsidP="00377263">
      <w:pPr>
        <w:pStyle w:val="Heading6"/>
      </w:pPr>
      <w:r>
        <w:t>Growth;</w:t>
      </w:r>
      <w:r w:rsidR="00377263" w:rsidRPr="00355435">
        <w:t xml:space="preserve"> height and weight</w:t>
      </w:r>
    </w:p>
    <w:p w14:paraId="0BAB9073" w14:textId="007E21D0" w:rsidR="00377263" w:rsidRPr="00355435" w:rsidRDefault="00377263" w:rsidP="00377263">
      <w:r w:rsidRPr="00355435">
        <w:t xml:space="preserve">Standard deviation scores (SDS) for height, height velocity, body mass index, and weight velocity in patients aged </w:t>
      </w:r>
      <w:r w:rsidR="00F50ABF">
        <w:t xml:space="preserve">&lt; </w:t>
      </w:r>
      <w:r w:rsidRPr="00355435">
        <w:t xml:space="preserve">18 years at study initiation were comparable both prior to and after starting treatment with everolimus. Based on N = 96 at week 72, 29 at 96 and 1 at 120 weeks the proportions of patients with SDS values </w:t>
      </w:r>
      <w:r w:rsidR="00F50ABF">
        <w:t xml:space="preserve">&lt; </w:t>
      </w:r>
      <w:r w:rsidRPr="00355435">
        <w:t xml:space="preserve">5th percentile or </w:t>
      </w:r>
      <w:r w:rsidR="00F50ABF">
        <w:t xml:space="preserve">&gt; </w:t>
      </w:r>
      <w:r w:rsidRPr="00355435">
        <w:t xml:space="preserve">95th percentile on height, height velocity, body mass index, and weight velocity did not increase significantly after </w:t>
      </w:r>
      <w:r w:rsidR="00FC69C3">
        <w:t>the start of everolimus therapy</w:t>
      </w:r>
      <w:r>
        <w:t xml:space="preserve"> (</w:t>
      </w:r>
      <w:r w:rsidR="00B81269">
        <w:t xml:space="preserve">see </w:t>
      </w:r>
      <w:r>
        <w:t>Table 44, Attachment 2)</w:t>
      </w:r>
      <w:r w:rsidR="00FC69C3">
        <w:t>.</w:t>
      </w:r>
    </w:p>
    <w:p w14:paraId="4FD13EBA" w14:textId="77777777" w:rsidR="00377263" w:rsidRPr="00355435" w:rsidRDefault="00377263" w:rsidP="00377263">
      <w:pPr>
        <w:pStyle w:val="Heading6"/>
      </w:pPr>
      <w:r>
        <w:t>Puberty</w:t>
      </w:r>
    </w:p>
    <w:p w14:paraId="29605331" w14:textId="77777777" w:rsidR="00377263" w:rsidRPr="00355435" w:rsidRDefault="00377263" w:rsidP="00377263">
      <w:r w:rsidRPr="00355435">
        <w:t>Overall, considering the patients at risk of delayed puberty at start date of everolimus, puberty appeared to be delayed for three patients (two females and one male). However, following a detailed medical review of these cases, there was no indication of delayed puberty for the two females.</w:t>
      </w:r>
    </w:p>
    <w:p w14:paraId="6F644EAC" w14:textId="77777777" w:rsidR="00377263" w:rsidRPr="00355435" w:rsidRDefault="00377263" w:rsidP="00377263">
      <w:pPr>
        <w:pStyle w:val="Heading6"/>
      </w:pPr>
      <w:r w:rsidRPr="00355435">
        <w:t>Neuropsychological data</w:t>
      </w:r>
    </w:p>
    <w:p w14:paraId="762B0E73" w14:textId="77777777" w:rsidR="00377263" w:rsidRPr="003808F8" w:rsidRDefault="00377263" w:rsidP="003808F8">
      <w:r w:rsidRPr="00355435">
        <w:t xml:space="preserve">The sponsor attempted to collect information using the Vineland-II Adaptive Behaviour Composite Score and the Wechsler Nonverbal Composite </w:t>
      </w:r>
      <w:proofErr w:type="gramStart"/>
      <w:r w:rsidRPr="00355435">
        <w:t>Score,</w:t>
      </w:r>
      <w:proofErr w:type="gramEnd"/>
      <w:r w:rsidRPr="00355435">
        <w:t xml:space="preserve"> however most groups had data for less than 50% of subjects at Baseline, with</w:t>
      </w:r>
      <w:r>
        <w:t xml:space="preserve"> even less at end of Core phase</w:t>
      </w:r>
      <w:r w:rsidRPr="00355435">
        <w:t>.</w:t>
      </w:r>
    </w:p>
    <w:p w14:paraId="6CD63641" w14:textId="34552C6C" w:rsidR="00605AD4" w:rsidRDefault="00605AD4" w:rsidP="00605AD4">
      <w:pPr>
        <w:pStyle w:val="Heading4"/>
      </w:pPr>
      <w:r w:rsidRPr="00605AD4">
        <w:t>Post</w:t>
      </w:r>
      <w:r w:rsidR="00C50702">
        <w:t>-</w:t>
      </w:r>
      <w:r w:rsidRPr="00605AD4">
        <w:t>marketing data</w:t>
      </w:r>
    </w:p>
    <w:p w14:paraId="70EC4BC7" w14:textId="77777777" w:rsidR="00377263" w:rsidRPr="00C266AE" w:rsidRDefault="00377263" w:rsidP="00377263">
      <w:r w:rsidRPr="00C266AE">
        <w:t>At the time of the Summary of Clinical Safety the total worldwide cumulative market</w:t>
      </w:r>
      <w:r w:rsidR="00FC69C3">
        <w:t xml:space="preserve"> exposure to everolimus in the o</w:t>
      </w:r>
      <w:r w:rsidRPr="00C266AE">
        <w:t xml:space="preserve">ncology and TSC settings combined through </w:t>
      </w:r>
      <w:r>
        <w:t>31 March 2015</w:t>
      </w:r>
      <w:r w:rsidRPr="00C266AE">
        <w:t xml:space="preserve"> was estimated to be 84</w:t>
      </w:r>
      <w:r w:rsidR="00FC69C3">
        <w:t>,</w:t>
      </w:r>
      <w:r w:rsidRPr="00C266AE">
        <w:t>021 patient-treatment-years.</w:t>
      </w:r>
    </w:p>
    <w:p w14:paraId="34240E59" w14:textId="77777777" w:rsidR="00500337" w:rsidRPr="00500337" w:rsidRDefault="00377263" w:rsidP="00500337">
      <w:r w:rsidRPr="00C266AE">
        <w:t xml:space="preserve">The total cumulative worldwide patient exposure (until </w:t>
      </w:r>
      <w:r>
        <w:t>31 March 2015</w:t>
      </w:r>
      <w:r w:rsidRPr="00C266AE">
        <w:t>) based on the worldwide sales of tablets sold per defined daily dose, has been estimated at 79</w:t>
      </w:r>
      <w:r w:rsidR="00FC69C3">
        <w:t>,</w:t>
      </w:r>
      <w:r w:rsidRPr="00C266AE">
        <w:t xml:space="preserve">056 patient-treatment years for the </w:t>
      </w:r>
      <w:r w:rsidR="00FC69C3">
        <w:t>o</w:t>
      </w:r>
      <w:r w:rsidRPr="00C266AE">
        <w:t xml:space="preserve">ncology setting </w:t>
      </w:r>
      <w:r>
        <w:t xml:space="preserve">(Oncology PSUR 9; 18 May </w:t>
      </w:r>
      <w:r w:rsidRPr="00C266AE">
        <w:t>2015</w:t>
      </w:r>
      <w:r>
        <w:t>)</w:t>
      </w:r>
      <w:r w:rsidRPr="00C266AE">
        <w:t xml:space="preserve"> and 4</w:t>
      </w:r>
      <w:r w:rsidR="00FC69C3">
        <w:t>,</w:t>
      </w:r>
      <w:r w:rsidRPr="00C266AE">
        <w:t xml:space="preserve">965 patient-treatment years for the TSC setting </w:t>
      </w:r>
      <w:r>
        <w:t xml:space="preserve">(TSC PSUR 7; 19 May </w:t>
      </w:r>
      <w:r w:rsidRPr="00C266AE">
        <w:t>2015</w:t>
      </w:r>
      <w:r>
        <w:t>)</w:t>
      </w:r>
      <w:r w:rsidRPr="00C266AE">
        <w:t>.</w:t>
      </w:r>
    </w:p>
    <w:p w14:paraId="66474C50" w14:textId="77777777" w:rsidR="00605AD4" w:rsidRPr="00605AD4" w:rsidRDefault="00605AD4" w:rsidP="00605AD4">
      <w:pPr>
        <w:pStyle w:val="Heading4"/>
      </w:pPr>
      <w:r w:rsidRPr="00605AD4">
        <w:t>Evaluator’s conclusions on safety</w:t>
      </w:r>
    </w:p>
    <w:p w14:paraId="58478D0D" w14:textId="77777777" w:rsidR="00377263" w:rsidRPr="00C266AE" w:rsidRDefault="00377263" w:rsidP="00377263">
      <w:r w:rsidRPr="00C266AE">
        <w:t>Comparing previous experience with Study M2304:</w:t>
      </w:r>
    </w:p>
    <w:p w14:paraId="4BFB0C74" w14:textId="77777777" w:rsidR="00377263" w:rsidRPr="00377263" w:rsidRDefault="00377263" w:rsidP="00377263">
      <w:pPr>
        <w:pStyle w:val="ListBullet"/>
      </w:pPr>
      <w:r w:rsidRPr="00377263">
        <w:t>Under 6 Months, the overall incidence of emerging AEs was higher in the previous Pool versus Study M2304 (87.6% versus 74.5%), as were the incidences of stomatitis (+11.9%) and hypercholesterolemia (+9.5%). Other events were reported with a similar frequency between the two datasets.</w:t>
      </w:r>
    </w:p>
    <w:p w14:paraId="7919AB15" w14:textId="77777777" w:rsidR="00377263" w:rsidRPr="00377263" w:rsidRDefault="00377263" w:rsidP="00377263">
      <w:pPr>
        <w:pStyle w:val="ListBullet"/>
      </w:pPr>
      <w:r w:rsidRPr="00377263">
        <w:t>Between Months 6 to 12, the overall incidence of emerging AEs was higher in the previous Pool versus Study M2304 (53.1% versus 37.8%). The incidence of specific AEs was in general similar.</w:t>
      </w:r>
    </w:p>
    <w:p w14:paraId="68C548E0" w14:textId="77777777" w:rsidR="00377263" w:rsidRPr="00377263" w:rsidRDefault="00377263" w:rsidP="00377263">
      <w:pPr>
        <w:pStyle w:val="ListBullet"/>
      </w:pPr>
      <w:r w:rsidRPr="00377263">
        <w:t>Between Months 12 to 24 the overall incidence of emerging AEs was higher in the previous Pool versus Study M2304 (67.5% versus 33.9%). Stomatitis (7.9%) and mouth ulceration (5.0%) were both reported more frequently in the previous Pool.</w:t>
      </w:r>
    </w:p>
    <w:p w14:paraId="7389AA24" w14:textId="77777777" w:rsidR="00377263" w:rsidRPr="00C266AE" w:rsidRDefault="00377263" w:rsidP="00377263">
      <w:r w:rsidRPr="00C266AE">
        <w:t>There were some differences from the previous experience, the sponsor’s explanation for these related to the difference in age composition with 2 of the earlier trials confined to adults.</w:t>
      </w:r>
    </w:p>
    <w:p w14:paraId="03510F15" w14:textId="77777777" w:rsidR="00605AD4" w:rsidRPr="00605AD4" w:rsidRDefault="00377263" w:rsidP="00605AD4">
      <w:r w:rsidRPr="00C266AE">
        <w:t>There appeared to be no major difference from the previous safety experience of everolimus in TSC patients.</w:t>
      </w:r>
    </w:p>
    <w:p w14:paraId="57BC5099" w14:textId="0DAD91D1" w:rsidR="00605AD4" w:rsidRPr="00605AD4" w:rsidRDefault="00605AD4" w:rsidP="004E3296">
      <w:pPr>
        <w:pStyle w:val="Heading3"/>
        <w:rPr>
          <w:rFonts w:eastAsia="Cambria"/>
        </w:rPr>
      </w:pPr>
      <w:bookmarkStart w:id="112" w:name="_Toc1555413"/>
      <w:r w:rsidRPr="00605AD4">
        <w:rPr>
          <w:rFonts w:eastAsia="Cambria"/>
        </w:rPr>
        <w:lastRenderedPageBreak/>
        <w:t xml:space="preserve">First </w:t>
      </w:r>
      <w:r w:rsidR="004E3296">
        <w:rPr>
          <w:rFonts w:eastAsia="Cambria"/>
        </w:rPr>
        <w:t>r</w:t>
      </w:r>
      <w:r w:rsidRPr="00605AD4">
        <w:rPr>
          <w:rFonts w:eastAsia="Cambria"/>
        </w:rPr>
        <w:t xml:space="preserve">ound </w:t>
      </w:r>
      <w:r w:rsidR="004E3296" w:rsidRPr="004E3296">
        <w:rPr>
          <w:rFonts w:eastAsia="Cambria"/>
        </w:rPr>
        <w:t>b</w:t>
      </w:r>
      <w:r w:rsidRPr="004E3296">
        <w:rPr>
          <w:rFonts w:eastAsia="Cambria"/>
        </w:rPr>
        <w:t>enefit</w:t>
      </w:r>
      <w:r w:rsidRPr="00605AD4">
        <w:rPr>
          <w:rFonts w:eastAsia="Cambria"/>
        </w:rPr>
        <w:t>-</w:t>
      </w:r>
      <w:r w:rsidR="004E3296">
        <w:rPr>
          <w:rFonts w:eastAsia="Cambria"/>
        </w:rPr>
        <w:t>r</w:t>
      </w:r>
      <w:r w:rsidRPr="00605AD4">
        <w:rPr>
          <w:rFonts w:eastAsia="Cambria"/>
        </w:rPr>
        <w:t xml:space="preserve">isk </w:t>
      </w:r>
      <w:r w:rsidR="004E3296">
        <w:rPr>
          <w:rFonts w:eastAsia="Cambria"/>
        </w:rPr>
        <w:t>a</w:t>
      </w:r>
      <w:r w:rsidRPr="00605AD4">
        <w:rPr>
          <w:rFonts w:eastAsia="Cambria"/>
        </w:rPr>
        <w:t>ssessment</w:t>
      </w:r>
      <w:bookmarkEnd w:id="112"/>
    </w:p>
    <w:p w14:paraId="6E6CF1B9" w14:textId="77777777" w:rsidR="00605AD4" w:rsidRDefault="00605AD4" w:rsidP="004E3296">
      <w:pPr>
        <w:pStyle w:val="Heading4"/>
      </w:pPr>
      <w:r w:rsidRPr="00605AD4">
        <w:t xml:space="preserve">First round assessment of </w:t>
      </w:r>
      <w:r w:rsidRPr="004E3296">
        <w:t>benefits</w:t>
      </w:r>
    </w:p>
    <w:p w14:paraId="01E3E52F" w14:textId="083D8F9C" w:rsidR="00B81269" w:rsidRPr="00B81269" w:rsidRDefault="00B81269" w:rsidP="00547EAE">
      <w:r>
        <w:t>Table 22, shown below, summarises the assessment of benefits at the first round.</w:t>
      </w:r>
    </w:p>
    <w:p w14:paraId="64822584" w14:textId="77777777" w:rsidR="00377263" w:rsidRPr="00C266AE" w:rsidRDefault="000128D8" w:rsidP="00377263">
      <w:pPr>
        <w:pStyle w:val="Tabletitle0"/>
        <w:rPr>
          <w:lang w:eastAsia="ja-JP"/>
        </w:rPr>
      </w:pPr>
      <w:r>
        <w:rPr>
          <w:lang w:eastAsia="ja-JP"/>
        </w:rPr>
        <w:t>Table 22</w:t>
      </w:r>
      <w:r w:rsidR="00377263">
        <w:rPr>
          <w:lang w:eastAsia="ja-JP"/>
        </w:rPr>
        <w:t>: First round assessment of benefits</w:t>
      </w:r>
    </w:p>
    <w:tbl>
      <w:tblPr>
        <w:tblStyle w:val="TableGrid"/>
        <w:tblW w:w="0" w:type="auto"/>
        <w:tblInd w:w="108" w:type="dxa"/>
        <w:tblLook w:val="04A0" w:firstRow="1" w:lastRow="0" w:firstColumn="1" w:lastColumn="0" w:noHBand="0" w:noVBand="1"/>
      </w:tblPr>
      <w:tblGrid>
        <w:gridCol w:w="4417"/>
        <w:gridCol w:w="4195"/>
      </w:tblGrid>
      <w:tr w:rsidR="00377263" w:rsidRPr="00C37A1D" w14:paraId="60681AC9" w14:textId="77777777" w:rsidTr="00377263">
        <w:trPr>
          <w:tblHeader/>
        </w:trPr>
        <w:tc>
          <w:tcPr>
            <w:tcW w:w="4417" w:type="dxa"/>
            <w:shd w:val="clear" w:color="auto" w:fill="00517D" w:themeFill="accent3" w:themeFillShade="BF"/>
          </w:tcPr>
          <w:p w14:paraId="6FE61496" w14:textId="77777777" w:rsidR="00377263" w:rsidRPr="0013182D" w:rsidRDefault="00377263" w:rsidP="00212CE9">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Benefits</w:t>
            </w:r>
          </w:p>
        </w:tc>
        <w:tc>
          <w:tcPr>
            <w:tcW w:w="4195" w:type="dxa"/>
            <w:shd w:val="clear" w:color="auto" w:fill="00517D" w:themeFill="accent3" w:themeFillShade="BF"/>
          </w:tcPr>
          <w:p w14:paraId="68B0C450" w14:textId="77777777" w:rsidR="00377263" w:rsidRPr="0013182D" w:rsidRDefault="00377263" w:rsidP="00212CE9">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377263" w:rsidRPr="00C37A1D" w14:paraId="4A09E98C" w14:textId="77777777" w:rsidTr="00377263">
        <w:tc>
          <w:tcPr>
            <w:tcW w:w="4417" w:type="dxa"/>
          </w:tcPr>
          <w:p w14:paraId="14D8762D" w14:textId="77777777" w:rsidR="00377263" w:rsidRDefault="00377263" w:rsidP="00212CE9">
            <w:pPr>
              <w:rPr>
                <w:lang w:eastAsia="ja-JP"/>
              </w:rPr>
            </w:pPr>
            <w:r>
              <w:rPr>
                <w:lang w:eastAsia="ja-JP"/>
              </w:rPr>
              <w:t>Up to 60% of patients with TSC associated epilepsy fail to demonstrate improvement in seizure frequency with available therapies.</w:t>
            </w:r>
          </w:p>
          <w:p w14:paraId="4F3A5811" w14:textId="77777777" w:rsidR="00377263" w:rsidRPr="00C266AE" w:rsidRDefault="00377263" w:rsidP="00212CE9">
            <w:pPr>
              <w:rPr>
                <w:lang w:eastAsia="ja-JP"/>
              </w:rPr>
            </w:pPr>
            <w:r>
              <w:rPr>
                <w:lang w:eastAsia="ja-JP"/>
              </w:rPr>
              <w:t xml:space="preserve">The response rate in the Primary endpoint was 15.1% for the placebo arm, 28.2% for the </w:t>
            </w:r>
            <w:proofErr w:type="spellStart"/>
            <w:r w:rsidR="00F50ABF" w:rsidRPr="00C9173F">
              <w:t>C</w:t>
            </w:r>
            <w:r w:rsidR="00F50ABF" w:rsidRPr="00F50ABF">
              <w:rPr>
                <w:vertAlign w:val="subscript"/>
              </w:rPr>
              <w:t>min</w:t>
            </w:r>
            <w:proofErr w:type="spellEnd"/>
            <w:r>
              <w:t xml:space="preserve"> 3 to 7 ng/mL arm </w:t>
            </w:r>
            <w:r>
              <w:rPr>
                <w:lang w:eastAsia="ja-JP"/>
              </w:rPr>
              <w:t xml:space="preserve">and 40.0% for the </w:t>
            </w:r>
            <w:proofErr w:type="spellStart"/>
            <w:r w:rsidR="00F50ABF" w:rsidRPr="00C9173F">
              <w:t>C</w:t>
            </w:r>
            <w:r w:rsidR="00F50ABF" w:rsidRPr="00F50ABF">
              <w:rPr>
                <w:vertAlign w:val="subscript"/>
              </w:rPr>
              <w:t>min</w:t>
            </w:r>
            <w:proofErr w:type="spellEnd"/>
            <w:r>
              <w:rPr>
                <w:lang w:eastAsia="ja-JP"/>
              </w:rPr>
              <w:t xml:space="preserve"> 9 to 15 ng/mL arm.</w:t>
            </w:r>
          </w:p>
        </w:tc>
        <w:tc>
          <w:tcPr>
            <w:tcW w:w="4195" w:type="dxa"/>
          </w:tcPr>
          <w:p w14:paraId="0C51551A" w14:textId="77777777" w:rsidR="00377263" w:rsidRDefault="00377263" w:rsidP="00212CE9">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lang w:eastAsia="ja-JP"/>
              </w:rPr>
            </w:pPr>
            <w:r>
              <w:rPr>
                <w:lang w:eastAsia="ja-JP"/>
              </w:rPr>
              <w:t xml:space="preserve">The 95% CIs for the </w:t>
            </w:r>
            <w:proofErr w:type="spellStart"/>
            <w:r w:rsidR="00F50ABF" w:rsidRPr="00C9173F">
              <w:t>C</w:t>
            </w:r>
            <w:r w:rsidR="00F50ABF" w:rsidRPr="00F50ABF">
              <w:rPr>
                <w:vertAlign w:val="subscript"/>
              </w:rPr>
              <w:t>min</w:t>
            </w:r>
            <w:proofErr w:type="spellEnd"/>
            <w:r>
              <w:rPr>
                <w:lang w:eastAsia="ja-JP"/>
              </w:rPr>
              <w:t xml:space="preserve"> 9 to 15 ng/mL arm and placebo clearly separate.</w:t>
            </w:r>
          </w:p>
          <w:p w14:paraId="273A8084" w14:textId="77777777" w:rsidR="00377263" w:rsidRPr="00BF1BA9" w:rsidRDefault="00377263" w:rsidP="00212CE9">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2"/>
                <w:szCs w:val="22"/>
              </w:rPr>
            </w:pPr>
            <w:r>
              <w:rPr>
                <w:lang w:eastAsia="ja-JP"/>
              </w:rPr>
              <w:t xml:space="preserve">The 95%CIs for placebo and the </w:t>
            </w:r>
            <w:r>
              <w:t>3 to 7 ng/mL arm</w:t>
            </w:r>
            <w:r>
              <w:rPr>
                <w:lang w:eastAsia="ja-JP"/>
              </w:rPr>
              <w:t xml:space="preserve"> overlap. However the Odds ratio 95%CIs </w:t>
            </w:r>
            <w:proofErr w:type="gramStart"/>
            <w:r>
              <w:rPr>
                <w:lang w:eastAsia="ja-JP"/>
              </w:rPr>
              <w:t>do</w:t>
            </w:r>
            <w:proofErr w:type="gramEnd"/>
            <w:r>
              <w:rPr>
                <w:lang w:eastAsia="ja-JP"/>
              </w:rPr>
              <w:t xml:space="preserve"> not include 1.0.</w:t>
            </w:r>
          </w:p>
          <w:p w14:paraId="0A611907" w14:textId="77777777" w:rsidR="00377263" w:rsidRPr="00C266AE" w:rsidRDefault="00377263" w:rsidP="00212CE9">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2"/>
                <w:szCs w:val="22"/>
              </w:rPr>
            </w:pPr>
            <w:r>
              <w:rPr>
                <w:rFonts w:asciiTheme="minorHAnsi" w:hAnsiTheme="minorHAnsi" w:cstheme="minorHAnsi"/>
                <w:sz w:val="22"/>
                <w:szCs w:val="22"/>
              </w:rPr>
              <w:t xml:space="preserve">By modelling the sponsor ascertained the lowest </w:t>
            </w:r>
            <w:proofErr w:type="spellStart"/>
            <w:r w:rsidR="00F50ABF" w:rsidRPr="00C9173F">
              <w:t>C</w:t>
            </w:r>
            <w:r w:rsidR="00F50ABF" w:rsidRPr="00F50ABF">
              <w:rPr>
                <w:vertAlign w:val="subscript"/>
              </w:rPr>
              <w:t>min</w:t>
            </w:r>
            <w:proofErr w:type="spellEnd"/>
            <w:r>
              <w:rPr>
                <w:rFonts w:asciiTheme="minorHAnsi" w:hAnsiTheme="minorHAnsi" w:cstheme="minorHAnsi"/>
                <w:sz w:val="22"/>
                <w:szCs w:val="22"/>
              </w:rPr>
              <w:t xml:space="preserve"> at which the 95% CIs were still separated from placebo.</w:t>
            </w:r>
          </w:p>
        </w:tc>
      </w:tr>
    </w:tbl>
    <w:p w14:paraId="48E9D4D7" w14:textId="77777777" w:rsidR="00605AD4" w:rsidRDefault="00605AD4" w:rsidP="00605AD4">
      <w:pPr>
        <w:pStyle w:val="Heading4"/>
      </w:pPr>
      <w:r w:rsidRPr="00605AD4">
        <w:t>First round assessment of risks</w:t>
      </w:r>
    </w:p>
    <w:p w14:paraId="3584C676" w14:textId="6C4B520D" w:rsidR="00B81269" w:rsidRPr="00B81269" w:rsidRDefault="00B81269" w:rsidP="00547EAE">
      <w:r>
        <w:t>Table 23, shown below, summarises the assessment of risks at the first round.</w:t>
      </w:r>
    </w:p>
    <w:p w14:paraId="4D972455" w14:textId="77777777" w:rsidR="00377263" w:rsidRDefault="000128D8" w:rsidP="00377263">
      <w:pPr>
        <w:pStyle w:val="Tabletitle0"/>
        <w:rPr>
          <w:lang w:eastAsia="ja-JP"/>
        </w:rPr>
      </w:pPr>
      <w:r>
        <w:rPr>
          <w:lang w:eastAsia="ja-JP"/>
        </w:rPr>
        <w:t>Table 23</w:t>
      </w:r>
      <w:r w:rsidR="00377263">
        <w:rPr>
          <w:lang w:eastAsia="ja-JP"/>
        </w:rPr>
        <w:t xml:space="preserve">: </w:t>
      </w:r>
      <w:r w:rsidR="00377263" w:rsidRPr="00C266AE">
        <w:t>First round assessment of risks</w:t>
      </w:r>
    </w:p>
    <w:tbl>
      <w:tblPr>
        <w:tblStyle w:val="TableGrid"/>
        <w:tblW w:w="0" w:type="auto"/>
        <w:tblInd w:w="108" w:type="dxa"/>
        <w:tblLook w:val="04A0" w:firstRow="1" w:lastRow="0" w:firstColumn="1" w:lastColumn="0" w:noHBand="0" w:noVBand="1"/>
      </w:tblPr>
      <w:tblGrid>
        <w:gridCol w:w="4306"/>
        <w:gridCol w:w="4306"/>
      </w:tblGrid>
      <w:tr w:rsidR="00377263" w:rsidRPr="00C37A1D" w14:paraId="4AF7E042" w14:textId="77777777" w:rsidTr="00212CE9">
        <w:trPr>
          <w:tblHeader/>
        </w:trPr>
        <w:tc>
          <w:tcPr>
            <w:tcW w:w="4395" w:type="dxa"/>
            <w:shd w:val="clear" w:color="auto" w:fill="006DA7" w:themeFill="accent3"/>
          </w:tcPr>
          <w:p w14:paraId="3A599DC2" w14:textId="77777777" w:rsidR="00377263" w:rsidRPr="0013182D" w:rsidRDefault="00377263" w:rsidP="00212CE9">
            <w:pPr>
              <w:keepNext/>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Risks</w:t>
            </w:r>
          </w:p>
        </w:tc>
        <w:tc>
          <w:tcPr>
            <w:tcW w:w="4394" w:type="dxa"/>
            <w:shd w:val="clear" w:color="auto" w:fill="006DA7" w:themeFill="accent3"/>
          </w:tcPr>
          <w:p w14:paraId="1B05DCE4" w14:textId="77777777" w:rsidR="00377263" w:rsidRPr="0013182D" w:rsidRDefault="00377263" w:rsidP="00212CE9">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377263" w:rsidRPr="00A96332" w14:paraId="69621ACD" w14:textId="77777777" w:rsidTr="00212CE9">
        <w:tc>
          <w:tcPr>
            <w:tcW w:w="4395" w:type="dxa"/>
          </w:tcPr>
          <w:p w14:paraId="22631E1E" w14:textId="77777777" w:rsidR="00377263" w:rsidRDefault="00377263" w:rsidP="00212CE9">
            <w:pPr>
              <w:rPr>
                <w:rFonts w:asciiTheme="minorHAnsi" w:hAnsiTheme="minorHAnsi" w:cstheme="minorHAnsi"/>
                <w:sz w:val="22"/>
                <w:szCs w:val="22"/>
              </w:rPr>
            </w:pPr>
            <w:r>
              <w:rPr>
                <w:rFonts w:asciiTheme="minorHAnsi" w:hAnsiTheme="minorHAnsi" w:cstheme="minorHAnsi"/>
                <w:sz w:val="22"/>
                <w:szCs w:val="22"/>
              </w:rPr>
              <w:t>Exposure is increased from previously recommended for TSC.</w:t>
            </w:r>
          </w:p>
          <w:p w14:paraId="4F872C14" w14:textId="77777777" w:rsidR="00377263" w:rsidRPr="00A96332" w:rsidRDefault="00377263" w:rsidP="00377263">
            <w:pPr>
              <w:rPr>
                <w:rFonts w:asciiTheme="minorHAnsi" w:hAnsiTheme="minorHAnsi" w:cstheme="minorHAnsi"/>
                <w:sz w:val="22"/>
                <w:szCs w:val="22"/>
              </w:rPr>
            </w:pPr>
            <w:r w:rsidRPr="00A96332">
              <w:rPr>
                <w:rFonts w:asciiTheme="minorHAnsi" w:hAnsiTheme="minorHAnsi" w:cstheme="minorHAnsi"/>
                <w:sz w:val="22"/>
                <w:szCs w:val="22"/>
              </w:rPr>
              <w:t>The exact mechanism of action is unclear</w:t>
            </w:r>
            <w:r>
              <w:rPr>
                <w:rFonts w:asciiTheme="minorHAnsi" w:hAnsiTheme="minorHAnsi" w:cstheme="minorHAnsi"/>
                <w:sz w:val="22"/>
                <w:szCs w:val="22"/>
              </w:rPr>
              <w:t>.</w:t>
            </w:r>
          </w:p>
        </w:tc>
        <w:tc>
          <w:tcPr>
            <w:tcW w:w="4394" w:type="dxa"/>
          </w:tcPr>
          <w:p w14:paraId="0FB2EA8A" w14:textId="77777777" w:rsidR="00377263" w:rsidRDefault="00377263" w:rsidP="00212CE9">
            <w:pPr>
              <w:rPr>
                <w:rFonts w:asciiTheme="minorHAnsi" w:hAnsiTheme="minorHAnsi" w:cstheme="minorHAnsi"/>
                <w:sz w:val="22"/>
                <w:szCs w:val="22"/>
              </w:rPr>
            </w:pPr>
            <w:r w:rsidRPr="00A96332">
              <w:rPr>
                <w:rFonts w:asciiTheme="minorHAnsi" w:hAnsiTheme="minorHAnsi" w:cstheme="minorHAnsi"/>
                <w:sz w:val="22"/>
                <w:szCs w:val="22"/>
              </w:rPr>
              <w:t>There are no major changes in adverse reactions from those already reported in other TSC trials</w:t>
            </w:r>
            <w:r>
              <w:rPr>
                <w:rFonts w:asciiTheme="minorHAnsi" w:hAnsiTheme="minorHAnsi" w:cstheme="minorHAnsi"/>
                <w:sz w:val="22"/>
                <w:szCs w:val="22"/>
              </w:rPr>
              <w:t>.</w:t>
            </w:r>
          </w:p>
          <w:p w14:paraId="5DDC597E" w14:textId="7B52C93C" w:rsidR="00377263" w:rsidRPr="007871D6" w:rsidRDefault="00377263" w:rsidP="00212CE9">
            <w:pPr>
              <w:rPr>
                <w:rFonts w:asciiTheme="minorHAnsi" w:hAnsiTheme="minorHAnsi" w:cstheme="minorHAnsi"/>
                <w:sz w:val="22"/>
                <w:szCs w:val="22"/>
              </w:rPr>
            </w:pPr>
            <w:r>
              <w:rPr>
                <w:rFonts w:asciiTheme="minorHAnsi" w:hAnsiTheme="minorHAnsi" w:cstheme="minorHAnsi"/>
                <w:sz w:val="22"/>
                <w:szCs w:val="22"/>
              </w:rPr>
              <w:t>R</w:t>
            </w:r>
            <w:r w:rsidRPr="00A96332">
              <w:rPr>
                <w:rFonts w:asciiTheme="minorHAnsi" w:hAnsiTheme="minorHAnsi" w:cstheme="minorHAnsi"/>
                <w:sz w:val="22"/>
                <w:szCs w:val="22"/>
              </w:rPr>
              <w:t>egr</w:t>
            </w:r>
            <w:r>
              <w:rPr>
                <w:rFonts w:asciiTheme="minorHAnsi" w:hAnsiTheme="minorHAnsi" w:cstheme="minorHAnsi"/>
                <w:sz w:val="22"/>
                <w:szCs w:val="22"/>
              </w:rPr>
              <w:t xml:space="preserve">ession analyses of </w:t>
            </w:r>
            <w:r w:rsidRPr="00A96332">
              <w:rPr>
                <w:rFonts w:asciiTheme="minorHAnsi" w:hAnsiTheme="minorHAnsi" w:cstheme="minorHAnsi"/>
                <w:sz w:val="22"/>
                <w:szCs w:val="22"/>
              </w:rPr>
              <w:t xml:space="preserve">the time to first event of stomatitis and infections and infestations </w:t>
            </w:r>
            <w:r>
              <w:rPr>
                <w:rFonts w:asciiTheme="minorHAnsi" w:hAnsiTheme="minorHAnsi" w:cstheme="minorHAnsi"/>
                <w:sz w:val="22"/>
                <w:szCs w:val="22"/>
              </w:rPr>
              <w:t>versus</w:t>
            </w:r>
            <w:r w:rsidRPr="00A96332">
              <w:rPr>
                <w:rFonts w:asciiTheme="minorHAnsi" w:hAnsiTheme="minorHAnsi" w:cstheme="minorHAnsi"/>
                <w:sz w:val="22"/>
                <w:szCs w:val="22"/>
              </w:rPr>
              <w:t xml:space="preserve"> TN-</w:t>
            </w:r>
            <w:proofErr w:type="spellStart"/>
            <w:r w:rsidR="00F50ABF" w:rsidRPr="00C9173F">
              <w:t>C</w:t>
            </w:r>
            <w:r w:rsidR="00F50ABF" w:rsidRPr="00F50ABF">
              <w:rPr>
                <w:vertAlign w:val="subscript"/>
              </w:rPr>
              <w:t>min</w:t>
            </w:r>
            <w:proofErr w:type="spellEnd"/>
            <w:r w:rsidRPr="00A96332">
              <w:rPr>
                <w:rFonts w:asciiTheme="minorHAnsi" w:hAnsiTheme="minorHAnsi" w:cstheme="minorHAnsi"/>
                <w:sz w:val="22"/>
                <w:szCs w:val="22"/>
                <w:vertAlign w:val="subscript"/>
              </w:rPr>
              <w:t xml:space="preserve"> </w:t>
            </w:r>
            <w:r>
              <w:rPr>
                <w:rFonts w:asciiTheme="minorHAnsi" w:hAnsiTheme="minorHAnsi" w:cstheme="minorHAnsi"/>
                <w:sz w:val="22"/>
                <w:szCs w:val="22"/>
              </w:rPr>
              <w:t xml:space="preserve">indicated </w:t>
            </w:r>
            <w:r w:rsidRPr="00A96332">
              <w:rPr>
                <w:rFonts w:asciiTheme="minorHAnsi" w:hAnsiTheme="minorHAnsi" w:cstheme="minorHAnsi"/>
                <w:sz w:val="22"/>
                <w:szCs w:val="22"/>
              </w:rPr>
              <w:t>that 2</w:t>
            </w:r>
            <w:r w:rsidR="00B81269">
              <w:rPr>
                <w:rFonts w:asciiTheme="minorHAnsi" w:hAnsiTheme="minorHAnsi" w:cstheme="minorHAnsi"/>
                <w:sz w:val="22"/>
                <w:szCs w:val="22"/>
              </w:rPr>
              <w:t> </w:t>
            </w:r>
            <w:r>
              <w:rPr>
                <w:rFonts w:asciiTheme="minorHAnsi" w:hAnsiTheme="minorHAnsi" w:cstheme="minorHAnsi"/>
                <w:sz w:val="22"/>
                <w:szCs w:val="22"/>
              </w:rPr>
              <w:t>fold</w:t>
            </w:r>
            <w:r w:rsidRPr="00A96332">
              <w:rPr>
                <w:rFonts w:asciiTheme="minorHAnsi" w:hAnsiTheme="minorHAnsi" w:cstheme="minorHAnsi"/>
                <w:sz w:val="22"/>
                <w:szCs w:val="22"/>
              </w:rPr>
              <w:t xml:space="preserve"> increases in TN-</w:t>
            </w:r>
            <w:proofErr w:type="spellStart"/>
            <w:r w:rsidR="00F50ABF" w:rsidRPr="00C9173F">
              <w:t>C</w:t>
            </w:r>
            <w:r w:rsidR="00F50ABF" w:rsidRPr="00F50ABF">
              <w:rPr>
                <w:vertAlign w:val="subscript"/>
              </w:rPr>
              <w:t>min</w:t>
            </w:r>
            <w:proofErr w:type="spellEnd"/>
            <w:r w:rsidRPr="00A96332">
              <w:rPr>
                <w:rFonts w:asciiTheme="minorHAnsi" w:hAnsiTheme="minorHAnsi" w:cstheme="minorHAnsi"/>
                <w:sz w:val="22"/>
                <w:szCs w:val="22"/>
                <w:vertAlign w:val="subscript"/>
              </w:rPr>
              <w:t xml:space="preserve"> </w:t>
            </w:r>
            <w:r w:rsidRPr="00A96332">
              <w:rPr>
                <w:rFonts w:asciiTheme="minorHAnsi" w:hAnsiTheme="minorHAnsi" w:cstheme="minorHAnsi"/>
                <w:sz w:val="22"/>
                <w:szCs w:val="22"/>
              </w:rPr>
              <w:t>were not associated with statistically significant increases in</w:t>
            </w:r>
            <w:r>
              <w:rPr>
                <w:rFonts w:asciiTheme="minorHAnsi" w:hAnsiTheme="minorHAnsi" w:cstheme="minorHAnsi"/>
                <w:sz w:val="22"/>
                <w:szCs w:val="22"/>
              </w:rPr>
              <w:t xml:space="preserve"> </w:t>
            </w:r>
            <w:r w:rsidRPr="00A96332">
              <w:rPr>
                <w:rFonts w:asciiTheme="minorHAnsi" w:hAnsiTheme="minorHAnsi" w:cstheme="minorHAnsi"/>
                <w:sz w:val="22"/>
                <w:szCs w:val="22"/>
              </w:rPr>
              <w:t xml:space="preserve">the risk of either of these events during the core phase (stomatitis: </w:t>
            </w:r>
            <w:r w:rsidR="00FC69C3">
              <w:rPr>
                <w:rFonts w:asciiTheme="minorHAnsi" w:hAnsiTheme="minorHAnsi" w:cstheme="minorHAnsi"/>
                <w:sz w:val="22"/>
                <w:szCs w:val="22"/>
              </w:rPr>
              <w:t>hazards ration(</w:t>
            </w:r>
            <w:r w:rsidRPr="00A96332">
              <w:rPr>
                <w:rFonts w:asciiTheme="minorHAnsi" w:hAnsiTheme="minorHAnsi" w:cstheme="minorHAnsi"/>
                <w:sz w:val="22"/>
                <w:szCs w:val="22"/>
              </w:rPr>
              <w:t>HR</w:t>
            </w:r>
            <w:r w:rsidR="00FC69C3">
              <w:rPr>
                <w:rFonts w:asciiTheme="minorHAnsi" w:hAnsiTheme="minorHAnsi" w:cstheme="minorHAnsi"/>
                <w:sz w:val="22"/>
                <w:szCs w:val="22"/>
              </w:rPr>
              <w:t>)</w:t>
            </w:r>
            <w:r w:rsidRPr="00A96332">
              <w:rPr>
                <w:rFonts w:asciiTheme="minorHAnsi" w:hAnsiTheme="minorHAnsi" w:cstheme="minorHAnsi"/>
                <w:sz w:val="22"/>
                <w:szCs w:val="22"/>
              </w:rPr>
              <w:t xml:space="preserve"> 1.092; 95% CI: 0.866,</w:t>
            </w:r>
            <w:r>
              <w:rPr>
                <w:rFonts w:asciiTheme="minorHAnsi" w:hAnsiTheme="minorHAnsi" w:cstheme="minorHAnsi"/>
                <w:sz w:val="22"/>
                <w:szCs w:val="22"/>
              </w:rPr>
              <w:t xml:space="preserve"> </w:t>
            </w:r>
            <w:r w:rsidRPr="00A96332">
              <w:rPr>
                <w:rFonts w:asciiTheme="minorHAnsi" w:hAnsiTheme="minorHAnsi" w:cstheme="minorHAnsi"/>
                <w:sz w:val="22"/>
                <w:szCs w:val="22"/>
              </w:rPr>
              <w:t>1.376; infections and infestations: H</w:t>
            </w:r>
            <w:r>
              <w:rPr>
                <w:rFonts w:asciiTheme="minorHAnsi" w:hAnsiTheme="minorHAnsi" w:cstheme="minorHAnsi"/>
                <w:sz w:val="22"/>
                <w:szCs w:val="22"/>
              </w:rPr>
              <w:t>R 1.060; 95% CI: 0.848, 1.325).</w:t>
            </w:r>
          </w:p>
        </w:tc>
      </w:tr>
    </w:tbl>
    <w:p w14:paraId="05A2C247" w14:textId="77777777" w:rsidR="00605AD4" w:rsidRPr="00605AD4" w:rsidRDefault="00605AD4" w:rsidP="00605AD4">
      <w:pPr>
        <w:pStyle w:val="Heading4"/>
      </w:pPr>
      <w:r w:rsidRPr="00605AD4">
        <w:t>First round assessment of benefit-risk balance</w:t>
      </w:r>
    </w:p>
    <w:p w14:paraId="5003D251" w14:textId="77777777" w:rsidR="00605AD4" w:rsidRPr="00605AD4" w:rsidRDefault="00377263" w:rsidP="00605AD4">
      <w:r w:rsidRPr="00C266AE">
        <w:t>The benefit-risk balance is considered favourable.</w:t>
      </w:r>
    </w:p>
    <w:p w14:paraId="3DA853EE" w14:textId="45A7797F" w:rsidR="00605AD4" w:rsidRPr="00605AD4" w:rsidRDefault="00605AD4" w:rsidP="00605AD4">
      <w:pPr>
        <w:pStyle w:val="Heading3"/>
        <w:rPr>
          <w:rFonts w:eastAsia="Cambria"/>
        </w:rPr>
      </w:pPr>
      <w:bookmarkStart w:id="113" w:name="_Toc1555414"/>
      <w:r w:rsidRPr="00605AD4">
        <w:rPr>
          <w:rFonts w:eastAsia="Cambria"/>
        </w:rPr>
        <w:t xml:space="preserve">First </w:t>
      </w:r>
      <w:r w:rsidR="008A352A">
        <w:rPr>
          <w:rFonts w:eastAsia="Cambria"/>
        </w:rPr>
        <w:t>r</w:t>
      </w:r>
      <w:r w:rsidRPr="00605AD4">
        <w:rPr>
          <w:rFonts w:eastAsia="Cambria"/>
        </w:rPr>
        <w:t xml:space="preserve">ound </w:t>
      </w:r>
      <w:r w:rsidR="008A352A">
        <w:rPr>
          <w:rFonts w:eastAsia="Cambria"/>
        </w:rPr>
        <w:t>r</w:t>
      </w:r>
      <w:r w:rsidRPr="00605AD4">
        <w:rPr>
          <w:rFonts w:eastAsia="Cambria"/>
        </w:rPr>
        <w:t xml:space="preserve">ecommendation </w:t>
      </w:r>
      <w:r w:rsidR="008A352A">
        <w:rPr>
          <w:rFonts w:eastAsia="Cambria"/>
        </w:rPr>
        <w:t>r</w:t>
      </w:r>
      <w:r w:rsidRPr="00605AD4">
        <w:rPr>
          <w:rFonts w:eastAsia="Cambria"/>
        </w:rPr>
        <w:t xml:space="preserve">egarding </w:t>
      </w:r>
      <w:r w:rsidR="008A352A">
        <w:rPr>
          <w:rFonts w:eastAsia="Cambria"/>
        </w:rPr>
        <w:t>a</w:t>
      </w:r>
      <w:r w:rsidRPr="00605AD4">
        <w:rPr>
          <w:rFonts w:eastAsia="Cambria"/>
        </w:rPr>
        <w:t>uthorisation</w:t>
      </w:r>
      <w:bookmarkEnd w:id="113"/>
    </w:p>
    <w:p w14:paraId="7DA89784" w14:textId="31FF0D44" w:rsidR="00377263" w:rsidRPr="00C266AE" w:rsidRDefault="00377263" w:rsidP="00377263">
      <w:r w:rsidRPr="00C266AE">
        <w:t>It is not</w:t>
      </w:r>
      <w:r>
        <w:t xml:space="preserve"> recommended that the proposed i</w:t>
      </w:r>
      <w:r w:rsidRPr="00C266AE">
        <w:t xml:space="preserve">ndication </w:t>
      </w:r>
      <w:r w:rsidR="00547EAE">
        <w:t xml:space="preserve">for </w:t>
      </w:r>
      <w:r w:rsidRPr="00C266AE">
        <w:t>everolimus be approved.</w:t>
      </w:r>
    </w:p>
    <w:p w14:paraId="47C99CC9" w14:textId="77777777" w:rsidR="00377263" w:rsidRPr="00C266AE" w:rsidRDefault="00377263" w:rsidP="00377263">
      <w:r w:rsidRPr="00C266AE">
        <w:t>It is recommended that everolimus be approved subject to a satisfactory PI for the modified</w:t>
      </w:r>
      <w:r>
        <w:t xml:space="preserve"> i</w:t>
      </w:r>
      <w:r w:rsidRPr="00C266AE">
        <w:t>ndication of:</w:t>
      </w:r>
    </w:p>
    <w:p w14:paraId="1C90B259" w14:textId="77777777" w:rsidR="00377263" w:rsidRPr="00C266AE" w:rsidRDefault="00377263" w:rsidP="008A352A">
      <w:pPr>
        <w:ind w:left="567"/>
        <w:rPr>
          <w:i/>
        </w:rPr>
      </w:pPr>
      <w:r w:rsidRPr="00C266AE">
        <w:rPr>
          <w:i/>
        </w:rPr>
        <w:t xml:space="preserve">Afinitor is indicated for the Adjunctive treatment of patients aged 2 years and older with TSC and </w:t>
      </w:r>
      <w:r w:rsidRPr="00C266AE">
        <w:rPr>
          <w:b/>
          <w:i/>
        </w:rPr>
        <w:t xml:space="preserve">associated </w:t>
      </w:r>
      <w:r w:rsidRPr="00C266AE">
        <w:rPr>
          <w:i/>
        </w:rPr>
        <w:t>refractory seizures.</w:t>
      </w:r>
    </w:p>
    <w:p w14:paraId="7616C650" w14:textId="4295F544" w:rsidR="00605AD4" w:rsidRPr="00605AD4" w:rsidRDefault="00377263" w:rsidP="00605AD4">
      <w:r w:rsidRPr="00C266AE">
        <w:lastRenderedPageBreak/>
        <w:t>It was a requirement for inclusion in Study M2034 that patients have a ‘Clinically definite diagnosis of TSC.’ Refractory seizures alone (a possible interpretation)</w:t>
      </w:r>
      <w:r w:rsidR="00C50702">
        <w:t>,</w:t>
      </w:r>
      <w:r w:rsidRPr="00C266AE">
        <w:t xml:space="preserve"> was not included in the submission. The additional insertion clarifies this.</w:t>
      </w:r>
    </w:p>
    <w:p w14:paraId="62C2DDED" w14:textId="1419CD0C" w:rsidR="00605AD4" w:rsidRPr="00605AD4" w:rsidRDefault="00605AD4" w:rsidP="00605AD4">
      <w:pPr>
        <w:pStyle w:val="Heading3"/>
        <w:rPr>
          <w:rFonts w:eastAsia="Cambria"/>
        </w:rPr>
      </w:pPr>
      <w:bookmarkStart w:id="114" w:name="_Toc1555415"/>
      <w:r w:rsidRPr="00605AD4">
        <w:rPr>
          <w:rFonts w:eastAsia="Cambria"/>
        </w:rPr>
        <w:t xml:space="preserve">Second </w:t>
      </w:r>
      <w:r w:rsidR="008A352A">
        <w:rPr>
          <w:rFonts w:eastAsia="Cambria"/>
        </w:rPr>
        <w:t>r</w:t>
      </w:r>
      <w:r w:rsidRPr="00605AD4">
        <w:rPr>
          <w:rFonts w:eastAsia="Cambria"/>
        </w:rPr>
        <w:t xml:space="preserve">ound </w:t>
      </w:r>
      <w:r w:rsidR="008A352A">
        <w:rPr>
          <w:rFonts w:eastAsia="Cambria"/>
        </w:rPr>
        <w:t>e</w:t>
      </w:r>
      <w:r w:rsidRPr="00605AD4">
        <w:rPr>
          <w:rFonts w:eastAsia="Cambria"/>
        </w:rPr>
        <w:t>valuation</w:t>
      </w:r>
      <w:bookmarkEnd w:id="114"/>
    </w:p>
    <w:p w14:paraId="68C8B878" w14:textId="77777777" w:rsidR="00605AD4" w:rsidRPr="00605AD4" w:rsidRDefault="00377263" w:rsidP="00546154">
      <w:r>
        <w:t>There was no second round clinical evaluation for this submission</w:t>
      </w:r>
      <w:r w:rsidR="00500337" w:rsidRPr="00500337">
        <w:t>.</w:t>
      </w:r>
    </w:p>
    <w:p w14:paraId="7759B898" w14:textId="77777777" w:rsidR="008E7846" w:rsidRPr="00E41208" w:rsidRDefault="008E7846" w:rsidP="008A352A">
      <w:pPr>
        <w:pStyle w:val="Heading2"/>
      </w:pPr>
      <w:bookmarkStart w:id="115" w:name="_Toc1555416"/>
      <w:r w:rsidRPr="00E41208">
        <w:t>V</w:t>
      </w:r>
      <w:r w:rsidR="00500337">
        <w:t>I</w:t>
      </w:r>
      <w:r w:rsidRPr="00E41208">
        <w:t xml:space="preserve">. </w:t>
      </w:r>
      <w:r w:rsidRPr="008A352A">
        <w:t>Pharmacovigilance</w:t>
      </w:r>
      <w:r w:rsidRPr="00E41208">
        <w:t xml:space="preserve"> </w:t>
      </w:r>
      <w:r>
        <w:t>f</w:t>
      </w:r>
      <w:r w:rsidRPr="00E41208">
        <w:t>indings</w:t>
      </w:r>
      <w:bookmarkEnd w:id="92"/>
      <w:bookmarkEnd w:id="93"/>
      <w:bookmarkEnd w:id="115"/>
    </w:p>
    <w:p w14:paraId="480B99BA" w14:textId="77777777" w:rsidR="008E7846" w:rsidRDefault="00386150" w:rsidP="008E7846">
      <w:pPr>
        <w:pStyle w:val="Heading3"/>
        <w:rPr>
          <w:lang w:eastAsia="en-AU"/>
        </w:rPr>
      </w:pPr>
      <w:bookmarkStart w:id="116" w:name="_Toc247691526"/>
      <w:bookmarkStart w:id="117" w:name="_Toc314842509"/>
      <w:bookmarkStart w:id="118" w:name="_Toc1555417"/>
      <w:r>
        <w:rPr>
          <w:lang w:eastAsia="en-AU"/>
        </w:rPr>
        <w:t>Risk m</w:t>
      </w:r>
      <w:r w:rsidR="008E7846">
        <w:rPr>
          <w:lang w:eastAsia="en-AU"/>
        </w:rPr>
        <w:t xml:space="preserve">anagement </w:t>
      </w:r>
      <w:r>
        <w:rPr>
          <w:lang w:eastAsia="en-AU"/>
        </w:rPr>
        <w:t>p</w:t>
      </w:r>
      <w:r w:rsidR="008E7846">
        <w:rPr>
          <w:lang w:eastAsia="en-AU"/>
        </w:rPr>
        <w:t>lan</w:t>
      </w:r>
      <w:bookmarkEnd w:id="116"/>
      <w:bookmarkEnd w:id="117"/>
      <w:bookmarkEnd w:id="118"/>
    </w:p>
    <w:p w14:paraId="00154DD0" w14:textId="1C629B6D" w:rsidR="00456765" w:rsidRDefault="00456765" w:rsidP="00456765">
      <w:pPr>
        <w:pStyle w:val="Heading4"/>
        <w:rPr>
          <w:lang w:eastAsia="en-AU"/>
        </w:rPr>
      </w:pPr>
      <w:bookmarkStart w:id="119" w:name="_Toc247691527"/>
      <w:bookmarkStart w:id="120" w:name="_Toc314842510"/>
      <w:r>
        <w:rPr>
          <w:lang w:eastAsia="en-AU"/>
        </w:rPr>
        <w:t xml:space="preserve">Summary of </w:t>
      </w:r>
      <w:r w:rsidR="00A825F0">
        <w:rPr>
          <w:lang w:eastAsia="en-AU"/>
        </w:rPr>
        <w:t xml:space="preserve">the </w:t>
      </w:r>
      <w:r>
        <w:rPr>
          <w:lang w:eastAsia="en-AU"/>
        </w:rPr>
        <w:t>RMP evaluation</w:t>
      </w:r>
      <w:r>
        <w:rPr>
          <w:rStyle w:val="FootnoteReference"/>
          <w:lang w:eastAsia="en-AU"/>
        </w:rPr>
        <w:footnoteReference w:id="34"/>
      </w:r>
    </w:p>
    <w:p w14:paraId="4C56E4DA" w14:textId="77777777" w:rsidR="00EA5C85" w:rsidRPr="00F71E3C" w:rsidRDefault="00EA5C85" w:rsidP="00EA5C85">
      <w:pPr>
        <w:pStyle w:val="ListBullet"/>
      </w:pPr>
      <w:bookmarkStart w:id="121" w:name="_Toc477354123"/>
      <w:r w:rsidRPr="00FC69C3">
        <w:t>Afinitor is</w:t>
      </w:r>
      <w:r w:rsidRPr="00F71E3C">
        <w:t xml:space="preserve"> currently approved for the treatment of b</w:t>
      </w:r>
      <w:r>
        <w:t>reast cancer, neuroendocrine tum</w:t>
      </w:r>
      <w:r w:rsidRPr="00F71E3C">
        <w:t xml:space="preserve">ours </w:t>
      </w:r>
      <w:r>
        <w:t xml:space="preserve">(NET) </w:t>
      </w:r>
      <w:r w:rsidRPr="00F71E3C">
        <w:t xml:space="preserve">of pancreatic, gastrointestinal or lung origin, renal cell carcinoma, </w:t>
      </w:r>
      <w:r w:rsidR="00FC69C3">
        <w:t>SEGA</w:t>
      </w:r>
      <w:r>
        <w:t xml:space="preserve"> associated with TSC, and </w:t>
      </w:r>
      <w:r w:rsidRPr="00F71E3C">
        <w:t xml:space="preserve">patients with TSC who have renal </w:t>
      </w:r>
      <w:proofErr w:type="spellStart"/>
      <w:r w:rsidRPr="00F71E3C">
        <w:t>angiomyolipoma</w:t>
      </w:r>
      <w:proofErr w:type="spellEnd"/>
      <w:r w:rsidRPr="00F71E3C">
        <w:t>.</w:t>
      </w:r>
      <w:r>
        <w:t xml:space="preserve"> Patients with the above conditions may be treated with either tablets or dispersible tablets. The dosage forms are not interchangeable and the dose must be adjusted to the closest mg strength with trough concentrations monitored.</w:t>
      </w:r>
    </w:p>
    <w:p w14:paraId="3C965331" w14:textId="7E62475B" w:rsidR="00F50ABF" w:rsidRDefault="00EA5C85" w:rsidP="00EA5C85">
      <w:pPr>
        <w:pStyle w:val="ListBullet"/>
      </w:pPr>
      <w:r w:rsidRPr="008251D9">
        <w:t>The most recently evaluated</w:t>
      </w:r>
      <w:r>
        <w:t xml:space="preserve"> risk management plan</w:t>
      </w:r>
      <w:r w:rsidR="00FC69C3">
        <w:t xml:space="preserve"> (RMP)</w:t>
      </w:r>
      <w:r>
        <w:t xml:space="preserve"> was</w:t>
      </w:r>
      <w:r w:rsidRPr="008251D9">
        <w:t xml:space="preserve"> </w:t>
      </w:r>
      <w:r>
        <w:t>EU-RMP Version 12.1 (</w:t>
      </w:r>
      <w:proofErr w:type="spellStart"/>
      <w:r w:rsidRPr="00FC69C3">
        <w:t>Afinitor</w:t>
      </w:r>
      <w:proofErr w:type="spellEnd"/>
      <w:r>
        <w:t>)/11 (</w:t>
      </w:r>
      <w:proofErr w:type="spellStart"/>
      <w:r w:rsidRPr="00FC69C3">
        <w:t>Votubia</w:t>
      </w:r>
      <w:proofErr w:type="spellEnd"/>
      <w:r w:rsidRPr="008251D9">
        <w:t xml:space="preserve">) (dated 25 April 2016, </w:t>
      </w:r>
      <w:r w:rsidR="00A825F0">
        <w:t>data lock point (</w:t>
      </w:r>
      <w:r w:rsidRPr="008251D9">
        <w:t>DLP</w:t>
      </w:r>
      <w:r w:rsidR="00A825F0">
        <w:t>)</w:t>
      </w:r>
      <w:r w:rsidRPr="008251D9">
        <w:t xml:space="preserve"> 31 March 2015) and Australian Specific Annex</w:t>
      </w:r>
      <w:r w:rsidR="00FC69C3">
        <w:t xml:space="preserve"> (ASA)</w:t>
      </w:r>
      <w:r w:rsidRPr="008251D9">
        <w:t xml:space="preserve"> Version 7.0 (dated 11 July 2016) </w:t>
      </w:r>
      <w:r>
        <w:t xml:space="preserve">for application PM-2015- 03569-1-4 to extend the indication to include </w:t>
      </w:r>
      <w:r w:rsidRPr="001A2071">
        <w:t xml:space="preserve">treatment </w:t>
      </w:r>
      <w:r>
        <w:t xml:space="preserve">of </w:t>
      </w:r>
      <w:r w:rsidRPr="001A2071">
        <w:t>patients with non-functioning NET of gastrointes</w:t>
      </w:r>
      <w:r>
        <w:t xml:space="preserve">tinal or </w:t>
      </w:r>
      <w:r w:rsidRPr="00793782">
        <w:t>lung origin</w:t>
      </w:r>
      <w:r w:rsidR="00F50ABF">
        <w:t>.</w:t>
      </w:r>
    </w:p>
    <w:p w14:paraId="6E0257AA" w14:textId="20ACB6F5" w:rsidR="00EA5C85" w:rsidRPr="00793782" w:rsidRDefault="00EA5C85" w:rsidP="00EA5C85">
      <w:pPr>
        <w:pStyle w:val="ListBullet"/>
      </w:pPr>
      <w:r w:rsidRPr="00793782">
        <w:t xml:space="preserve">In support of the extended indications (TSC and refractory seizures), the </w:t>
      </w:r>
      <w:r w:rsidR="00FC69C3">
        <w:t>sponsor</w:t>
      </w:r>
      <w:r w:rsidRPr="00793782">
        <w:t xml:space="preserve"> has submitted EU-RMP version 12.1 (dated 7 October 2016; DLP 2 October 2015 (seizure population) and 31 March 2016 (CT dataset for pooled TSC setting)) and ASA version 8.0 (dated 15 December 2016). In its </w:t>
      </w:r>
      <w:r w:rsidR="00A825F0">
        <w:t>post-first round</w:t>
      </w:r>
      <w:r w:rsidRPr="00793782">
        <w:t xml:space="preserve"> response, the </w:t>
      </w:r>
      <w:r w:rsidR="00FC69C3">
        <w:t>sponsor</w:t>
      </w:r>
      <w:r w:rsidRPr="00793782">
        <w:t xml:space="preserve"> submitted EU-RMP version 13.0 (dated 16 February 2017, DLP as above) and ASA version 9.0 (dated 21 July 2017) to support the application.</w:t>
      </w:r>
    </w:p>
    <w:p w14:paraId="6AE9FEEE" w14:textId="77777777" w:rsidR="00EA5C85" w:rsidRDefault="00EA5C85" w:rsidP="00EA5C85">
      <w:pPr>
        <w:pStyle w:val="ListBullet"/>
      </w:pPr>
      <w:r w:rsidRPr="00F63226">
        <w:t>The proposed Summary of Safety Concerns and their associated risk monitoring and mitigation strategies are summarised below</w:t>
      </w:r>
      <w:r>
        <w:t xml:space="preserve"> (differences from the previously accepted summary of safety concerns are in bold)</w:t>
      </w:r>
      <w:r w:rsidRPr="00F63226">
        <w:t>:</w:t>
      </w:r>
    </w:p>
    <w:p w14:paraId="2DE5D923" w14:textId="77777777" w:rsidR="00FC69C3" w:rsidRDefault="000128D8" w:rsidP="00FC69C3">
      <w:pPr>
        <w:pStyle w:val="Tabletitle0"/>
      </w:pPr>
      <w:r>
        <w:lastRenderedPageBreak/>
        <w:t>Table 24</w:t>
      </w:r>
      <w:r w:rsidR="00FC69C3">
        <w:t xml:space="preserve">: </w:t>
      </w:r>
      <w:r w:rsidR="00FC69C3" w:rsidRPr="00F63226">
        <w:t>Summary of Safety Concerns</w:t>
      </w:r>
      <w:r w:rsidR="00FC69C3">
        <w:t xml:space="preserve"> </w:t>
      </w:r>
      <w:r w:rsidR="00FC69C3" w:rsidRPr="00F63226">
        <w:t>and associated risk monitoring and mitigation strategie</w:t>
      </w:r>
      <w:r w:rsidR="00FC69C3">
        <w:t>s</w:t>
      </w:r>
    </w:p>
    <w:tbl>
      <w:tblPr>
        <w:tblStyle w:val="TableTGAblue"/>
        <w:tblW w:w="8755" w:type="dxa"/>
        <w:tblLayout w:type="fixed"/>
        <w:tblLook w:val="04A0" w:firstRow="1" w:lastRow="0" w:firstColumn="1" w:lastColumn="0" w:noHBand="0" w:noVBand="1"/>
      </w:tblPr>
      <w:tblGrid>
        <w:gridCol w:w="1384"/>
        <w:gridCol w:w="2835"/>
        <w:gridCol w:w="992"/>
        <w:gridCol w:w="1276"/>
        <w:gridCol w:w="992"/>
        <w:gridCol w:w="1276"/>
      </w:tblGrid>
      <w:tr w:rsidR="00EA5C85" w:rsidRPr="00EA5C85" w14:paraId="592655D3" w14:textId="77777777" w:rsidTr="008A352A">
        <w:trPr>
          <w:cnfStyle w:val="100000000000" w:firstRow="1" w:lastRow="0" w:firstColumn="0" w:lastColumn="0" w:oddVBand="0" w:evenVBand="0" w:oddHBand="0" w:evenHBand="0" w:firstRowFirstColumn="0" w:firstRowLastColumn="0" w:lastRowFirstColumn="0" w:lastRowLastColumn="0"/>
          <w:trHeight w:val="145"/>
        </w:trPr>
        <w:tc>
          <w:tcPr>
            <w:tcW w:w="4219" w:type="dxa"/>
            <w:gridSpan w:val="2"/>
            <w:vMerge w:val="restart"/>
          </w:tcPr>
          <w:p w14:paraId="65C7E41C" w14:textId="77777777" w:rsidR="00EA5C85" w:rsidRPr="00EA5C85" w:rsidRDefault="00EA5C85" w:rsidP="00EA5C85">
            <w:pPr>
              <w:spacing w:line="240" w:lineRule="auto"/>
              <w:ind w:left="0" w:right="0"/>
              <w:rPr>
                <w:sz w:val="20"/>
                <w:szCs w:val="20"/>
              </w:rPr>
            </w:pPr>
            <w:r w:rsidRPr="00EA5C85">
              <w:rPr>
                <w:sz w:val="20"/>
                <w:szCs w:val="20"/>
              </w:rPr>
              <w:br w:type="column"/>
              <w:t>Summary of safety concerns</w:t>
            </w:r>
          </w:p>
        </w:tc>
        <w:tc>
          <w:tcPr>
            <w:tcW w:w="2268" w:type="dxa"/>
            <w:gridSpan w:val="2"/>
          </w:tcPr>
          <w:p w14:paraId="4087028E" w14:textId="77777777" w:rsidR="00EA5C85" w:rsidRPr="00EA5C85" w:rsidRDefault="00EA5C85" w:rsidP="00EA5C85">
            <w:pPr>
              <w:spacing w:line="240" w:lineRule="auto"/>
              <w:ind w:left="0" w:right="0"/>
              <w:rPr>
                <w:sz w:val="20"/>
                <w:szCs w:val="20"/>
              </w:rPr>
            </w:pPr>
            <w:r w:rsidRPr="00EA5C85">
              <w:rPr>
                <w:sz w:val="20"/>
                <w:szCs w:val="20"/>
              </w:rPr>
              <w:t>Pharmacovigilance</w:t>
            </w:r>
          </w:p>
        </w:tc>
        <w:tc>
          <w:tcPr>
            <w:tcW w:w="2268" w:type="dxa"/>
            <w:gridSpan w:val="2"/>
          </w:tcPr>
          <w:p w14:paraId="1679C925" w14:textId="77777777" w:rsidR="00EA5C85" w:rsidRPr="00EA5C85" w:rsidRDefault="00EA5C85" w:rsidP="00EA5C85">
            <w:pPr>
              <w:spacing w:line="240" w:lineRule="auto"/>
              <w:ind w:left="0" w:right="0"/>
              <w:rPr>
                <w:sz w:val="20"/>
                <w:szCs w:val="20"/>
              </w:rPr>
            </w:pPr>
            <w:r w:rsidRPr="00EA5C85">
              <w:rPr>
                <w:sz w:val="20"/>
                <w:szCs w:val="20"/>
              </w:rPr>
              <w:t>Risk Minimisation</w:t>
            </w:r>
          </w:p>
        </w:tc>
      </w:tr>
      <w:tr w:rsidR="00EA5C85" w:rsidRPr="00EA5C85" w14:paraId="6D34FF2F" w14:textId="77777777" w:rsidTr="008A352A">
        <w:trPr>
          <w:cnfStyle w:val="100000000000" w:firstRow="1" w:lastRow="0" w:firstColumn="0" w:lastColumn="0" w:oddVBand="0" w:evenVBand="0" w:oddHBand="0" w:evenHBand="0" w:firstRowFirstColumn="0" w:firstRowLastColumn="0" w:lastRowFirstColumn="0" w:lastRowLastColumn="0"/>
          <w:trHeight w:val="166"/>
        </w:trPr>
        <w:tc>
          <w:tcPr>
            <w:tcW w:w="4219" w:type="dxa"/>
            <w:gridSpan w:val="2"/>
            <w:vMerge/>
          </w:tcPr>
          <w:p w14:paraId="2EB76123" w14:textId="77777777" w:rsidR="00EA5C85" w:rsidRPr="00EA5C85" w:rsidRDefault="00EA5C85" w:rsidP="00EA5C85">
            <w:pPr>
              <w:spacing w:line="240" w:lineRule="auto"/>
              <w:ind w:left="0" w:right="0"/>
              <w:rPr>
                <w:sz w:val="20"/>
                <w:szCs w:val="20"/>
              </w:rPr>
            </w:pPr>
          </w:p>
        </w:tc>
        <w:tc>
          <w:tcPr>
            <w:tcW w:w="992" w:type="dxa"/>
          </w:tcPr>
          <w:p w14:paraId="4C163B41" w14:textId="77777777" w:rsidR="00EA5C85" w:rsidRPr="00EA5C85" w:rsidRDefault="00EA5C85" w:rsidP="00EA5C85">
            <w:pPr>
              <w:spacing w:line="240" w:lineRule="auto"/>
              <w:ind w:left="0" w:right="0"/>
              <w:rPr>
                <w:sz w:val="20"/>
                <w:szCs w:val="20"/>
              </w:rPr>
            </w:pPr>
            <w:r w:rsidRPr="00EA5C85">
              <w:rPr>
                <w:sz w:val="20"/>
                <w:szCs w:val="20"/>
              </w:rPr>
              <w:t>Routine</w:t>
            </w:r>
          </w:p>
        </w:tc>
        <w:tc>
          <w:tcPr>
            <w:tcW w:w="1276" w:type="dxa"/>
          </w:tcPr>
          <w:p w14:paraId="0BEC07A8" w14:textId="77777777" w:rsidR="00EA5C85" w:rsidRPr="00EA5C85" w:rsidRDefault="00EA5C85" w:rsidP="00EA5C85">
            <w:pPr>
              <w:spacing w:line="240" w:lineRule="auto"/>
              <w:ind w:left="0" w:right="0"/>
              <w:rPr>
                <w:sz w:val="20"/>
                <w:szCs w:val="20"/>
              </w:rPr>
            </w:pPr>
            <w:r w:rsidRPr="00EA5C85">
              <w:rPr>
                <w:sz w:val="20"/>
                <w:szCs w:val="20"/>
              </w:rPr>
              <w:t>Additional</w:t>
            </w:r>
          </w:p>
        </w:tc>
        <w:tc>
          <w:tcPr>
            <w:tcW w:w="992" w:type="dxa"/>
          </w:tcPr>
          <w:p w14:paraId="78EE5FBD" w14:textId="77777777" w:rsidR="00EA5C85" w:rsidRPr="00EA5C85" w:rsidRDefault="00EA5C85" w:rsidP="00EA5C85">
            <w:pPr>
              <w:spacing w:line="240" w:lineRule="auto"/>
              <w:ind w:left="0" w:right="0"/>
              <w:rPr>
                <w:sz w:val="20"/>
                <w:szCs w:val="20"/>
              </w:rPr>
            </w:pPr>
            <w:r w:rsidRPr="00EA5C85">
              <w:rPr>
                <w:sz w:val="20"/>
                <w:szCs w:val="20"/>
              </w:rPr>
              <w:t>Routine</w:t>
            </w:r>
          </w:p>
        </w:tc>
        <w:tc>
          <w:tcPr>
            <w:tcW w:w="1276" w:type="dxa"/>
          </w:tcPr>
          <w:p w14:paraId="6BDBE033" w14:textId="77777777" w:rsidR="00EA5C85" w:rsidRPr="00EA5C85" w:rsidRDefault="00EA5C85" w:rsidP="00EA5C85">
            <w:pPr>
              <w:spacing w:line="240" w:lineRule="auto"/>
              <w:ind w:left="0" w:right="0"/>
              <w:rPr>
                <w:sz w:val="20"/>
                <w:szCs w:val="20"/>
              </w:rPr>
            </w:pPr>
            <w:r w:rsidRPr="00EA5C85">
              <w:rPr>
                <w:sz w:val="20"/>
                <w:szCs w:val="20"/>
              </w:rPr>
              <w:t>Additional</w:t>
            </w:r>
          </w:p>
        </w:tc>
      </w:tr>
      <w:tr w:rsidR="00EA5C85" w:rsidRPr="00EA5C85" w14:paraId="0D324C80" w14:textId="77777777" w:rsidTr="008A352A">
        <w:trPr>
          <w:trHeight w:val="151"/>
        </w:trPr>
        <w:tc>
          <w:tcPr>
            <w:tcW w:w="1384" w:type="dxa"/>
            <w:vMerge w:val="restart"/>
          </w:tcPr>
          <w:p w14:paraId="252E9541" w14:textId="77777777" w:rsidR="00EA5C85" w:rsidRPr="00EA5C85" w:rsidRDefault="00EA5C85" w:rsidP="00EA5C85">
            <w:pPr>
              <w:spacing w:line="240" w:lineRule="auto"/>
              <w:ind w:left="0" w:right="0"/>
              <w:rPr>
                <w:sz w:val="20"/>
                <w:szCs w:val="20"/>
              </w:rPr>
            </w:pPr>
            <w:r w:rsidRPr="00EA5C85">
              <w:rPr>
                <w:sz w:val="20"/>
                <w:szCs w:val="20"/>
              </w:rPr>
              <w:t>Important identified risks</w:t>
            </w:r>
          </w:p>
        </w:tc>
        <w:tc>
          <w:tcPr>
            <w:tcW w:w="2835" w:type="dxa"/>
          </w:tcPr>
          <w:p w14:paraId="072096BD" w14:textId="77777777" w:rsidR="00EA5C85" w:rsidRPr="00EA5C85" w:rsidRDefault="00EA5C85" w:rsidP="00EA5C85">
            <w:pPr>
              <w:spacing w:line="240" w:lineRule="auto"/>
              <w:ind w:left="0" w:right="0"/>
              <w:rPr>
                <w:sz w:val="20"/>
                <w:szCs w:val="20"/>
              </w:rPr>
            </w:pPr>
            <w:r w:rsidRPr="00EA5C85">
              <w:rPr>
                <w:sz w:val="20"/>
                <w:szCs w:val="20"/>
              </w:rPr>
              <w:t>Non-infectious pneumonitis</w:t>
            </w:r>
          </w:p>
        </w:tc>
        <w:tc>
          <w:tcPr>
            <w:tcW w:w="992" w:type="dxa"/>
          </w:tcPr>
          <w:p w14:paraId="08438603"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2178E128"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35627A9F"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1E06FD5B"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5FC28657" w14:textId="77777777" w:rsidTr="008A352A">
        <w:trPr>
          <w:trHeight w:val="151"/>
        </w:trPr>
        <w:tc>
          <w:tcPr>
            <w:tcW w:w="1384" w:type="dxa"/>
            <w:vMerge/>
          </w:tcPr>
          <w:p w14:paraId="5DAD8611" w14:textId="77777777" w:rsidR="00EA5C85" w:rsidRPr="00EA5C85" w:rsidRDefault="00EA5C85" w:rsidP="00EA5C85">
            <w:pPr>
              <w:spacing w:line="240" w:lineRule="auto"/>
              <w:ind w:left="0" w:right="0"/>
              <w:rPr>
                <w:sz w:val="20"/>
                <w:szCs w:val="20"/>
              </w:rPr>
            </w:pPr>
          </w:p>
        </w:tc>
        <w:tc>
          <w:tcPr>
            <w:tcW w:w="2835" w:type="dxa"/>
          </w:tcPr>
          <w:p w14:paraId="64FD2386" w14:textId="77777777" w:rsidR="00EA5C85" w:rsidRPr="00EA5C85" w:rsidRDefault="00EA5C85" w:rsidP="00EA5C85">
            <w:pPr>
              <w:spacing w:line="240" w:lineRule="auto"/>
              <w:ind w:left="0" w:right="0"/>
              <w:rPr>
                <w:sz w:val="20"/>
                <w:szCs w:val="20"/>
              </w:rPr>
            </w:pPr>
            <w:r w:rsidRPr="00EA5C85">
              <w:rPr>
                <w:sz w:val="20"/>
                <w:szCs w:val="20"/>
              </w:rPr>
              <w:t>Severe infections</w:t>
            </w:r>
          </w:p>
        </w:tc>
        <w:tc>
          <w:tcPr>
            <w:tcW w:w="992" w:type="dxa"/>
          </w:tcPr>
          <w:p w14:paraId="5E48B45A"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263BD762"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60C299A6"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248D6759"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61C3B377" w14:textId="77777777" w:rsidTr="008A352A">
        <w:trPr>
          <w:trHeight w:val="199"/>
        </w:trPr>
        <w:tc>
          <w:tcPr>
            <w:tcW w:w="1384" w:type="dxa"/>
            <w:vMerge/>
          </w:tcPr>
          <w:p w14:paraId="44A89C9C" w14:textId="77777777" w:rsidR="00EA5C85" w:rsidRPr="00EA5C85" w:rsidRDefault="00EA5C85" w:rsidP="00EA5C85">
            <w:pPr>
              <w:spacing w:line="240" w:lineRule="auto"/>
              <w:ind w:left="0" w:right="0"/>
              <w:rPr>
                <w:sz w:val="20"/>
                <w:szCs w:val="20"/>
              </w:rPr>
            </w:pPr>
          </w:p>
        </w:tc>
        <w:tc>
          <w:tcPr>
            <w:tcW w:w="2835" w:type="dxa"/>
          </w:tcPr>
          <w:p w14:paraId="138CE0D2" w14:textId="77777777" w:rsidR="00EA5C85" w:rsidRPr="00EA5C85" w:rsidRDefault="00EA5C85" w:rsidP="00EA5C85">
            <w:pPr>
              <w:spacing w:line="240" w:lineRule="auto"/>
              <w:ind w:left="0" w:right="0"/>
              <w:rPr>
                <w:sz w:val="20"/>
                <w:szCs w:val="20"/>
              </w:rPr>
            </w:pPr>
            <w:r w:rsidRPr="00EA5C85">
              <w:rPr>
                <w:sz w:val="20"/>
                <w:szCs w:val="20"/>
              </w:rPr>
              <w:t>Hypersensitivity (anaphylactic reactions)</w:t>
            </w:r>
          </w:p>
        </w:tc>
        <w:tc>
          <w:tcPr>
            <w:tcW w:w="992" w:type="dxa"/>
          </w:tcPr>
          <w:p w14:paraId="1E998B18"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0379D10B"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735544BF"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293B449B"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05DCE3C0" w14:textId="77777777" w:rsidTr="008A352A">
        <w:trPr>
          <w:trHeight w:val="111"/>
        </w:trPr>
        <w:tc>
          <w:tcPr>
            <w:tcW w:w="1384" w:type="dxa"/>
            <w:vMerge/>
          </w:tcPr>
          <w:p w14:paraId="2BC8CF2C" w14:textId="77777777" w:rsidR="00EA5C85" w:rsidRPr="00EA5C85" w:rsidRDefault="00EA5C85" w:rsidP="00EA5C85">
            <w:pPr>
              <w:spacing w:line="240" w:lineRule="auto"/>
              <w:ind w:left="0" w:right="0"/>
              <w:rPr>
                <w:sz w:val="20"/>
                <w:szCs w:val="20"/>
              </w:rPr>
            </w:pPr>
          </w:p>
        </w:tc>
        <w:tc>
          <w:tcPr>
            <w:tcW w:w="2835" w:type="dxa"/>
          </w:tcPr>
          <w:p w14:paraId="51C096E3" w14:textId="77777777" w:rsidR="00EA5C85" w:rsidRPr="00EA5C85" w:rsidRDefault="00EA5C85" w:rsidP="00EA5C85">
            <w:pPr>
              <w:spacing w:line="240" w:lineRule="auto"/>
              <w:ind w:left="0" w:right="0"/>
              <w:rPr>
                <w:sz w:val="20"/>
                <w:szCs w:val="20"/>
                <w:highlight w:val="yellow"/>
              </w:rPr>
            </w:pPr>
            <w:r w:rsidRPr="00EA5C85">
              <w:rPr>
                <w:sz w:val="20"/>
                <w:szCs w:val="20"/>
              </w:rPr>
              <w:t>Stomatitis</w:t>
            </w:r>
          </w:p>
        </w:tc>
        <w:tc>
          <w:tcPr>
            <w:tcW w:w="992" w:type="dxa"/>
          </w:tcPr>
          <w:p w14:paraId="64695C60"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3909CDE1"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482C0602"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5BEF4953"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5DE3A617" w14:textId="77777777" w:rsidTr="008A352A">
        <w:trPr>
          <w:trHeight w:val="144"/>
        </w:trPr>
        <w:tc>
          <w:tcPr>
            <w:tcW w:w="1384" w:type="dxa"/>
            <w:vMerge/>
          </w:tcPr>
          <w:p w14:paraId="0619F420" w14:textId="77777777" w:rsidR="00EA5C85" w:rsidRPr="00EA5C85" w:rsidRDefault="00EA5C85" w:rsidP="00EA5C85">
            <w:pPr>
              <w:spacing w:line="240" w:lineRule="auto"/>
              <w:ind w:left="0" w:right="0"/>
              <w:rPr>
                <w:sz w:val="20"/>
                <w:szCs w:val="20"/>
              </w:rPr>
            </w:pPr>
          </w:p>
        </w:tc>
        <w:tc>
          <w:tcPr>
            <w:tcW w:w="2835" w:type="dxa"/>
          </w:tcPr>
          <w:p w14:paraId="2CB72C05" w14:textId="77777777" w:rsidR="00EA5C85" w:rsidRPr="00EA5C85" w:rsidRDefault="00EA5C85" w:rsidP="00EA5C85">
            <w:pPr>
              <w:spacing w:line="240" w:lineRule="auto"/>
              <w:ind w:left="0" w:right="0"/>
              <w:rPr>
                <w:sz w:val="20"/>
                <w:szCs w:val="20"/>
              </w:rPr>
            </w:pPr>
            <w:r w:rsidRPr="00EA5C85">
              <w:rPr>
                <w:sz w:val="20"/>
                <w:szCs w:val="20"/>
              </w:rPr>
              <w:t>Wound healing complications</w:t>
            </w:r>
          </w:p>
        </w:tc>
        <w:tc>
          <w:tcPr>
            <w:tcW w:w="992" w:type="dxa"/>
          </w:tcPr>
          <w:p w14:paraId="0A207EBB"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1BAA8748"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7814833C"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45FB89D6"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1EFD6308" w14:textId="77777777" w:rsidTr="008A352A">
        <w:trPr>
          <w:trHeight w:val="66"/>
        </w:trPr>
        <w:tc>
          <w:tcPr>
            <w:tcW w:w="1384" w:type="dxa"/>
            <w:vMerge/>
          </w:tcPr>
          <w:p w14:paraId="0167A7E9" w14:textId="77777777" w:rsidR="00EA5C85" w:rsidRPr="00EA5C85" w:rsidRDefault="00EA5C85" w:rsidP="00EA5C85">
            <w:pPr>
              <w:spacing w:line="240" w:lineRule="auto"/>
              <w:ind w:left="0" w:right="0"/>
              <w:rPr>
                <w:sz w:val="20"/>
                <w:szCs w:val="20"/>
              </w:rPr>
            </w:pPr>
          </w:p>
        </w:tc>
        <w:tc>
          <w:tcPr>
            <w:tcW w:w="2835" w:type="dxa"/>
          </w:tcPr>
          <w:p w14:paraId="00A14A2C" w14:textId="77777777" w:rsidR="00EA5C85" w:rsidRPr="00EA5C85" w:rsidRDefault="00EA5C85" w:rsidP="00EA5C85">
            <w:pPr>
              <w:spacing w:line="240" w:lineRule="auto"/>
              <w:ind w:left="0" w:right="0"/>
              <w:rPr>
                <w:sz w:val="20"/>
                <w:szCs w:val="20"/>
              </w:rPr>
            </w:pPr>
            <w:r w:rsidRPr="00EA5C85">
              <w:rPr>
                <w:sz w:val="20"/>
                <w:szCs w:val="20"/>
              </w:rPr>
              <w:t>Increased creatinine / proteinuria / renal failure</w:t>
            </w:r>
          </w:p>
        </w:tc>
        <w:tc>
          <w:tcPr>
            <w:tcW w:w="992" w:type="dxa"/>
          </w:tcPr>
          <w:p w14:paraId="46A73A20"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186DAF2F"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42E6693A"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1C5FB708"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72C2FBFD" w14:textId="77777777" w:rsidTr="008A352A">
        <w:trPr>
          <w:trHeight w:val="121"/>
        </w:trPr>
        <w:tc>
          <w:tcPr>
            <w:tcW w:w="1384" w:type="dxa"/>
            <w:vMerge/>
          </w:tcPr>
          <w:p w14:paraId="79CCFB6D" w14:textId="77777777" w:rsidR="00EA5C85" w:rsidRPr="00EA5C85" w:rsidRDefault="00EA5C85" w:rsidP="00EA5C85">
            <w:pPr>
              <w:spacing w:line="240" w:lineRule="auto"/>
              <w:ind w:left="0" w:right="0"/>
              <w:rPr>
                <w:sz w:val="20"/>
                <w:szCs w:val="20"/>
              </w:rPr>
            </w:pPr>
          </w:p>
        </w:tc>
        <w:tc>
          <w:tcPr>
            <w:tcW w:w="2835" w:type="dxa"/>
          </w:tcPr>
          <w:p w14:paraId="47D6766A" w14:textId="77777777" w:rsidR="00EA5C85" w:rsidRPr="00EA5C85" w:rsidRDefault="00EA5C85" w:rsidP="00EA5C85">
            <w:pPr>
              <w:spacing w:line="240" w:lineRule="auto"/>
              <w:ind w:left="0" w:right="0"/>
              <w:rPr>
                <w:sz w:val="20"/>
                <w:szCs w:val="20"/>
              </w:rPr>
            </w:pPr>
            <w:proofErr w:type="spellStart"/>
            <w:r w:rsidRPr="00EA5C85">
              <w:rPr>
                <w:sz w:val="20"/>
                <w:szCs w:val="20"/>
              </w:rPr>
              <w:t>Hyperglycemia</w:t>
            </w:r>
            <w:proofErr w:type="spellEnd"/>
            <w:r w:rsidRPr="00EA5C85">
              <w:rPr>
                <w:sz w:val="20"/>
                <w:szCs w:val="20"/>
              </w:rPr>
              <w:t xml:space="preserve"> / new onset diabetes mellitus</w:t>
            </w:r>
          </w:p>
        </w:tc>
        <w:tc>
          <w:tcPr>
            <w:tcW w:w="992" w:type="dxa"/>
          </w:tcPr>
          <w:p w14:paraId="0989970E"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7E749FB1"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5B1F3E90"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58AFFE7E"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2FBD5BF6" w14:textId="77777777" w:rsidTr="008A352A">
        <w:trPr>
          <w:trHeight w:val="144"/>
        </w:trPr>
        <w:tc>
          <w:tcPr>
            <w:tcW w:w="1384" w:type="dxa"/>
            <w:vMerge/>
          </w:tcPr>
          <w:p w14:paraId="3D4A1F68" w14:textId="77777777" w:rsidR="00EA5C85" w:rsidRPr="00EA5C85" w:rsidRDefault="00EA5C85" w:rsidP="00EA5C85">
            <w:pPr>
              <w:spacing w:line="240" w:lineRule="auto"/>
              <w:ind w:left="0" w:right="0"/>
              <w:rPr>
                <w:sz w:val="20"/>
                <w:szCs w:val="20"/>
              </w:rPr>
            </w:pPr>
          </w:p>
        </w:tc>
        <w:tc>
          <w:tcPr>
            <w:tcW w:w="2835" w:type="dxa"/>
          </w:tcPr>
          <w:p w14:paraId="5FA3B46B" w14:textId="77777777" w:rsidR="00EA5C85" w:rsidRPr="00EA5C85" w:rsidRDefault="00EA5C85" w:rsidP="00EA5C85">
            <w:pPr>
              <w:spacing w:line="240" w:lineRule="auto"/>
              <w:ind w:left="0" w:right="0"/>
              <w:rPr>
                <w:sz w:val="20"/>
                <w:szCs w:val="20"/>
              </w:rPr>
            </w:pPr>
            <w:proofErr w:type="spellStart"/>
            <w:r w:rsidRPr="00EA5C85">
              <w:rPr>
                <w:sz w:val="20"/>
                <w:szCs w:val="20"/>
              </w:rPr>
              <w:t>Dyslipidemia</w:t>
            </w:r>
            <w:proofErr w:type="spellEnd"/>
          </w:p>
        </w:tc>
        <w:tc>
          <w:tcPr>
            <w:tcW w:w="992" w:type="dxa"/>
          </w:tcPr>
          <w:p w14:paraId="264D4C55"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7E761C16"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14207593"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3C4B4C5D"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53F2A052" w14:textId="77777777" w:rsidTr="008A352A">
        <w:trPr>
          <w:trHeight w:val="166"/>
        </w:trPr>
        <w:tc>
          <w:tcPr>
            <w:tcW w:w="1384" w:type="dxa"/>
            <w:vMerge/>
          </w:tcPr>
          <w:p w14:paraId="0E7DAD7C" w14:textId="77777777" w:rsidR="00EA5C85" w:rsidRPr="00EA5C85" w:rsidRDefault="00EA5C85" w:rsidP="00EA5C85">
            <w:pPr>
              <w:spacing w:line="240" w:lineRule="auto"/>
              <w:ind w:left="0" w:right="0"/>
              <w:rPr>
                <w:sz w:val="20"/>
                <w:szCs w:val="20"/>
              </w:rPr>
            </w:pPr>
          </w:p>
        </w:tc>
        <w:tc>
          <w:tcPr>
            <w:tcW w:w="2835" w:type="dxa"/>
          </w:tcPr>
          <w:p w14:paraId="06751B9B" w14:textId="77777777" w:rsidR="00EA5C85" w:rsidRPr="00EA5C85" w:rsidRDefault="00EA5C85" w:rsidP="00EA5C85">
            <w:pPr>
              <w:spacing w:line="240" w:lineRule="auto"/>
              <w:ind w:left="0" w:right="0"/>
              <w:rPr>
                <w:sz w:val="20"/>
                <w:szCs w:val="20"/>
              </w:rPr>
            </w:pPr>
            <w:r w:rsidRPr="00EA5C85">
              <w:rPr>
                <w:sz w:val="20"/>
                <w:szCs w:val="20"/>
              </w:rPr>
              <w:t>Hypophosphatemia</w:t>
            </w:r>
          </w:p>
        </w:tc>
        <w:tc>
          <w:tcPr>
            <w:tcW w:w="992" w:type="dxa"/>
          </w:tcPr>
          <w:p w14:paraId="55B0CD91"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7ACB1FB8"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5D8CD333"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7E8F2104"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283A8445" w14:textId="77777777" w:rsidTr="008A352A">
        <w:trPr>
          <w:trHeight w:val="199"/>
        </w:trPr>
        <w:tc>
          <w:tcPr>
            <w:tcW w:w="1384" w:type="dxa"/>
            <w:vMerge/>
          </w:tcPr>
          <w:p w14:paraId="1DFD4C06" w14:textId="77777777" w:rsidR="00EA5C85" w:rsidRPr="00EA5C85" w:rsidRDefault="00EA5C85" w:rsidP="00EA5C85">
            <w:pPr>
              <w:spacing w:line="240" w:lineRule="auto"/>
              <w:ind w:left="0" w:right="0"/>
              <w:rPr>
                <w:sz w:val="20"/>
                <w:szCs w:val="20"/>
              </w:rPr>
            </w:pPr>
          </w:p>
        </w:tc>
        <w:tc>
          <w:tcPr>
            <w:tcW w:w="2835" w:type="dxa"/>
          </w:tcPr>
          <w:p w14:paraId="195A3AAE" w14:textId="77777777" w:rsidR="00EA5C85" w:rsidRPr="00EA5C85" w:rsidRDefault="00EA5C85" w:rsidP="00EA5C85">
            <w:pPr>
              <w:spacing w:line="240" w:lineRule="auto"/>
              <w:ind w:left="0" w:right="0"/>
              <w:rPr>
                <w:sz w:val="20"/>
                <w:szCs w:val="20"/>
              </w:rPr>
            </w:pPr>
            <w:r w:rsidRPr="00EA5C85">
              <w:rPr>
                <w:sz w:val="20"/>
                <w:szCs w:val="20"/>
              </w:rPr>
              <w:t>Cardiac failure</w:t>
            </w:r>
          </w:p>
        </w:tc>
        <w:tc>
          <w:tcPr>
            <w:tcW w:w="992" w:type="dxa"/>
          </w:tcPr>
          <w:p w14:paraId="3589D70A"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040B6C75"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454C8577"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23A91294"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2946B7CF" w14:textId="77777777" w:rsidTr="008A352A">
        <w:trPr>
          <w:trHeight w:val="88"/>
        </w:trPr>
        <w:tc>
          <w:tcPr>
            <w:tcW w:w="1384" w:type="dxa"/>
            <w:vMerge/>
          </w:tcPr>
          <w:p w14:paraId="67F11000" w14:textId="77777777" w:rsidR="00EA5C85" w:rsidRPr="00EA5C85" w:rsidRDefault="00EA5C85" w:rsidP="00EA5C85">
            <w:pPr>
              <w:spacing w:line="240" w:lineRule="auto"/>
              <w:ind w:left="0" w:right="0"/>
              <w:rPr>
                <w:sz w:val="20"/>
                <w:szCs w:val="20"/>
              </w:rPr>
            </w:pPr>
          </w:p>
        </w:tc>
        <w:tc>
          <w:tcPr>
            <w:tcW w:w="2835" w:type="dxa"/>
          </w:tcPr>
          <w:p w14:paraId="25FFAE09" w14:textId="77777777" w:rsidR="00EA5C85" w:rsidRPr="00EA5C85" w:rsidRDefault="00EA5C85" w:rsidP="00EA5C85">
            <w:pPr>
              <w:spacing w:line="240" w:lineRule="auto"/>
              <w:ind w:left="0" w:right="0"/>
              <w:rPr>
                <w:sz w:val="20"/>
                <w:szCs w:val="20"/>
              </w:rPr>
            </w:pPr>
            <w:proofErr w:type="spellStart"/>
            <w:r w:rsidRPr="00EA5C85">
              <w:rPr>
                <w:sz w:val="20"/>
                <w:szCs w:val="20"/>
              </w:rPr>
              <w:t>Cytopenia</w:t>
            </w:r>
            <w:proofErr w:type="spellEnd"/>
          </w:p>
        </w:tc>
        <w:tc>
          <w:tcPr>
            <w:tcW w:w="992" w:type="dxa"/>
          </w:tcPr>
          <w:p w14:paraId="5CC46789"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75C4CB8E"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19C21028"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44F294E4"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30F42063" w14:textId="77777777" w:rsidTr="008A352A">
        <w:trPr>
          <w:trHeight w:val="199"/>
        </w:trPr>
        <w:tc>
          <w:tcPr>
            <w:tcW w:w="1384" w:type="dxa"/>
            <w:vMerge/>
          </w:tcPr>
          <w:p w14:paraId="190656E5" w14:textId="77777777" w:rsidR="00EA5C85" w:rsidRPr="00EA5C85" w:rsidRDefault="00EA5C85" w:rsidP="00EA5C85">
            <w:pPr>
              <w:spacing w:line="240" w:lineRule="auto"/>
              <w:ind w:left="0" w:right="0"/>
              <w:rPr>
                <w:sz w:val="20"/>
                <w:szCs w:val="20"/>
              </w:rPr>
            </w:pPr>
          </w:p>
        </w:tc>
        <w:tc>
          <w:tcPr>
            <w:tcW w:w="2835" w:type="dxa"/>
          </w:tcPr>
          <w:p w14:paraId="234048BD" w14:textId="77777777" w:rsidR="00EA5C85" w:rsidRPr="00EA5C85" w:rsidRDefault="00EA5C85" w:rsidP="00EA5C85">
            <w:pPr>
              <w:spacing w:line="240" w:lineRule="auto"/>
              <w:ind w:left="0" w:right="0"/>
              <w:rPr>
                <w:sz w:val="20"/>
                <w:szCs w:val="20"/>
              </w:rPr>
            </w:pPr>
            <w:proofErr w:type="spellStart"/>
            <w:r w:rsidRPr="00EA5C85">
              <w:rPr>
                <w:sz w:val="20"/>
                <w:szCs w:val="20"/>
              </w:rPr>
              <w:t>Hemorrhages</w:t>
            </w:r>
            <w:proofErr w:type="spellEnd"/>
          </w:p>
        </w:tc>
        <w:tc>
          <w:tcPr>
            <w:tcW w:w="992" w:type="dxa"/>
          </w:tcPr>
          <w:p w14:paraId="74334151"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6D5DA547"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3C9A8184"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0E676E03"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2A1FF387" w14:textId="77777777" w:rsidTr="008A352A">
        <w:trPr>
          <w:trHeight w:val="177"/>
        </w:trPr>
        <w:tc>
          <w:tcPr>
            <w:tcW w:w="1384" w:type="dxa"/>
            <w:vMerge/>
          </w:tcPr>
          <w:p w14:paraId="208B51C1" w14:textId="77777777" w:rsidR="00EA5C85" w:rsidRPr="00EA5C85" w:rsidRDefault="00EA5C85" w:rsidP="00EA5C85">
            <w:pPr>
              <w:spacing w:line="240" w:lineRule="auto"/>
              <w:ind w:left="0" w:right="0"/>
              <w:rPr>
                <w:sz w:val="20"/>
                <w:szCs w:val="20"/>
              </w:rPr>
            </w:pPr>
          </w:p>
        </w:tc>
        <w:tc>
          <w:tcPr>
            <w:tcW w:w="2835" w:type="dxa"/>
          </w:tcPr>
          <w:p w14:paraId="1BCC2026" w14:textId="77777777" w:rsidR="00EA5C85" w:rsidRPr="00EA5C85" w:rsidRDefault="00EA5C85" w:rsidP="00EA5C85">
            <w:pPr>
              <w:spacing w:line="240" w:lineRule="auto"/>
              <w:ind w:left="0" w:right="0"/>
              <w:rPr>
                <w:sz w:val="20"/>
                <w:szCs w:val="20"/>
              </w:rPr>
            </w:pPr>
            <w:r w:rsidRPr="00EA5C85">
              <w:rPr>
                <w:sz w:val="20"/>
                <w:szCs w:val="20"/>
              </w:rPr>
              <w:t>Thrombotic and embolic events</w:t>
            </w:r>
          </w:p>
        </w:tc>
        <w:tc>
          <w:tcPr>
            <w:tcW w:w="992" w:type="dxa"/>
          </w:tcPr>
          <w:p w14:paraId="00FA0CC7"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13C8DFE6"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1C42377A"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3356F5C9"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0E5AB439" w14:textId="77777777" w:rsidTr="008A352A">
        <w:trPr>
          <w:trHeight w:val="133"/>
        </w:trPr>
        <w:tc>
          <w:tcPr>
            <w:tcW w:w="1384" w:type="dxa"/>
            <w:vMerge/>
          </w:tcPr>
          <w:p w14:paraId="26CE5986" w14:textId="77777777" w:rsidR="00EA5C85" w:rsidRPr="00EA5C85" w:rsidRDefault="00EA5C85" w:rsidP="00EA5C85">
            <w:pPr>
              <w:spacing w:line="240" w:lineRule="auto"/>
              <w:ind w:left="0" w:right="0"/>
              <w:rPr>
                <w:sz w:val="20"/>
                <w:szCs w:val="20"/>
              </w:rPr>
            </w:pPr>
          </w:p>
        </w:tc>
        <w:tc>
          <w:tcPr>
            <w:tcW w:w="2835" w:type="dxa"/>
          </w:tcPr>
          <w:p w14:paraId="554D32D9" w14:textId="77777777" w:rsidR="00EA5C85" w:rsidRPr="00EA5C85" w:rsidRDefault="00EA5C85" w:rsidP="00EA5C85">
            <w:pPr>
              <w:spacing w:line="240" w:lineRule="auto"/>
              <w:ind w:left="0" w:right="0"/>
              <w:rPr>
                <w:sz w:val="20"/>
                <w:szCs w:val="20"/>
              </w:rPr>
            </w:pPr>
            <w:r w:rsidRPr="00EA5C85">
              <w:rPr>
                <w:sz w:val="20"/>
                <w:szCs w:val="20"/>
              </w:rPr>
              <w:t>Female fertility (including secondary amenorrhea)</w:t>
            </w:r>
          </w:p>
        </w:tc>
        <w:tc>
          <w:tcPr>
            <w:tcW w:w="992" w:type="dxa"/>
          </w:tcPr>
          <w:p w14:paraId="0DA483C4"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7B5FB896"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22395026"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0BC48CD0"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77872338" w14:textId="77777777" w:rsidTr="008A352A">
        <w:trPr>
          <w:trHeight w:val="166"/>
        </w:trPr>
        <w:tc>
          <w:tcPr>
            <w:tcW w:w="1384" w:type="dxa"/>
            <w:vMerge/>
          </w:tcPr>
          <w:p w14:paraId="48C0AC13" w14:textId="77777777" w:rsidR="00EA5C85" w:rsidRPr="00EA5C85" w:rsidRDefault="00EA5C85" w:rsidP="00EA5C85">
            <w:pPr>
              <w:spacing w:line="240" w:lineRule="auto"/>
              <w:ind w:left="0" w:right="0"/>
              <w:rPr>
                <w:sz w:val="20"/>
                <w:szCs w:val="20"/>
              </w:rPr>
            </w:pPr>
          </w:p>
        </w:tc>
        <w:tc>
          <w:tcPr>
            <w:tcW w:w="2835" w:type="dxa"/>
          </w:tcPr>
          <w:p w14:paraId="229625AD" w14:textId="77777777" w:rsidR="00EA5C85" w:rsidRPr="00EA5C85" w:rsidRDefault="00EA5C85" w:rsidP="00EA5C85">
            <w:pPr>
              <w:spacing w:line="240" w:lineRule="auto"/>
              <w:ind w:left="0" w:right="0"/>
              <w:rPr>
                <w:sz w:val="20"/>
                <w:szCs w:val="20"/>
              </w:rPr>
            </w:pPr>
            <w:r w:rsidRPr="00EA5C85">
              <w:rPr>
                <w:sz w:val="20"/>
                <w:szCs w:val="20"/>
              </w:rPr>
              <w:t>Pre-existing infection (reactivation, aggravation, or exacerbation)</w:t>
            </w:r>
          </w:p>
        </w:tc>
        <w:tc>
          <w:tcPr>
            <w:tcW w:w="992" w:type="dxa"/>
          </w:tcPr>
          <w:p w14:paraId="75303057"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54BB7948"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3728ACC7"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2E791E2B"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4BA84EB2" w14:textId="77777777" w:rsidTr="008A352A">
        <w:trPr>
          <w:trHeight w:val="104"/>
        </w:trPr>
        <w:tc>
          <w:tcPr>
            <w:tcW w:w="1384" w:type="dxa"/>
            <w:vMerge/>
          </w:tcPr>
          <w:p w14:paraId="165F261D" w14:textId="77777777" w:rsidR="00EA5C85" w:rsidRPr="00EA5C85" w:rsidRDefault="00EA5C85" w:rsidP="00EA5C85">
            <w:pPr>
              <w:spacing w:line="240" w:lineRule="auto"/>
              <w:ind w:left="0" w:right="0"/>
              <w:rPr>
                <w:sz w:val="20"/>
                <w:szCs w:val="20"/>
              </w:rPr>
            </w:pPr>
          </w:p>
        </w:tc>
        <w:tc>
          <w:tcPr>
            <w:tcW w:w="2835" w:type="dxa"/>
          </w:tcPr>
          <w:p w14:paraId="5B45E94C" w14:textId="77777777" w:rsidR="00EA5C85" w:rsidRPr="00EA5C85" w:rsidRDefault="00EA5C85" w:rsidP="00EA5C85">
            <w:pPr>
              <w:spacing w:line="240" w:lineRule="auto"/>
              <w:ind w:left="0" w:right="0"/>
              <w:rPr>
                <w:sz w:val="20"/>
                <w:szCs w:val="20"/>
              </w:rPr>
            </w:pPr>
            <w:r w:rsidRPr="00EA5C85">
              <w:rPr>
                <w:sz w:val="20"/>
                <w:szCs w:val="20"/>
              </w:rPr>
              <w:t>Safety in patients with hepatic impairment</w:t>
            </w:r>
          </w:p>
        </w:tc>
        <w:tc>
          <w:tcPr>
            <w:tcW w:w="992" w:type="dxa"/>
          </w:tcPr>
          <w:p w14:paraId="2413DC62"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28FA51ED"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2625BF06"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111E1F6D"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55DCEC46" w14:textId="77777777" w:rsidTr="008A352A">
        <w:trPr>
          <w:trHeight w:val="210"/>
        </w:trPr>
        <w:tc>
          <w:tcPr>
            <w:tcW w:w="1384" w:type="dxa"/>
            <w:vMerge w:val="restart"/>
          </w:tcPr>
          <w:p w14:paraId="12DFE20D" w14:textId="77777777" w:rsidR="00EA5C85" w:rsidRPr="00EA5C85" w:rsidRDefault="00EA5C85" w:rsidP="00EA5C85">
            <w:pPr>
              <w:spacing w:line="240" w:lineRule="auto"/>
              <w:ind w:left="0" w:right="0"/>
              <w:rPr>
                <w:sz w:val="20"/>
                <w:szCs w:val="20"/>
              </w:rPr>
            </w:pPr>
            <w:r w:rsidRPr="00EA5C85">
              <w:rPr>
                <w:sz w:val="20"/>
                <w:szCs w:val="20"/>
              </w:rPr>
              <w:t>Important Identified Interactions</w:t>
            </w:r>
          </w:p>
        </w:tc>
        <w:tc>
          <w:tcPr>
            <w:tcW w:w="2835" w:type="dxa"/>
          </w:tcPr>
          <w:p w14:paraId="31EFC8F7" w14:textId="77777777" w:rsidR="00EA5C85" w:rsidRPr="00EA5C85" w:rsidRDefault="00EA5C85" w:rsidP="00EA5C85">
            <w:pPr>
              <w:spacing w:line="240" w:lineRule="auto"/>
              <w:ind w:left="0" w:right="0"/>
              <w:rPr>
                <w:sz w:val="20"/>
                <w:szCs w:val="20"/>
              </w:rPr>
            </w:pPr>
            <w:r w:rsidRPr="00EA5C85">
              <w:rPr>
                <w:sz w:val="20"/>
                <w:szCs w:val="20"/>
              </w:rPr>
              <w:t xml:space="preserve">Strong CYP3A4 inhibitors and </w:t>
            </w:r>
            <w:proofErr w:type="spellStart"/>
            <w:r w:rsidRPr="00EA5C85">
              <w:rPr>
                <w:sz w:val="20"/>
                <w:szCs w:val="20"/>
              </w:rPr>
              <w:t>PgP</w:t>
            </w:r>
            <w:proofErr w:type="spellEnd"/>
            <w:r w:rsidRPr="00EA5C85">
              <w:rPr>
                <w:sz w:val="20"/>
                <w:szCs w:val="20"/>
              </w:rPr>
              <w:t xml:space="preserve"> inhibitors</w:t>
            </w:r>
          </w:p>
        </w:tc>
        <w:tc>
          <w:tcPr>
            <w:tcW w:w="992" w:type="dxa"/>
          </w:tcPr>
          <w:p w14:paraId="56FD8711"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57338120"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6DED7C51"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4AC72B82"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3F987B12" w14:textId="77777777" w:rsidTr="008A352A">
        <w:trPr>
          <w:trHeight w:val="320"/>
        </w:trPr>
        <w:tc>
          <w:tcPr>
            <w:tcW w:w="1384" w:type="dxa"/>
            <w:vMerge/>
          </w:tcPr>
          <w:p w14:paraId="17610F4D" w14:textId="77777777" w:rsidR="00EA5C85" w:rsidRPr="00EA5C85" w:rsidRDefault="00EA5C85" w:rsidP="00EA5C85">
            <w:pPr>
              <w:spacing w:line="240" w:lineRule="auto"/>
              <w:ind w:left="0" w:right="0"/>
              <w:rPr>
                <w:sz w:val="20"/>
                <w:szCs w:val="20"/>
              </w:rPr>
            </w:pPr>
          </w:p>
        </w:tc>
        <w:tc>
          <w:tcPr>
            <w:tcW w:w="2835" w:type="dxa"/>
          </w:tcPr>
          <w:p w14:paraId="0194B699" w14:textId="77777777" w:rsidR="00EA5C85" w:rsidRPr="00EA5C85" w:rsidRDefault="00EA5C85" w:rsidP="00EA5C85">
            <w:pPr>
              <w:spacing w:line="240" w:lineRule="auto"/>
              <w:ind w:left="0" w:right="0"/>
              <w:rPr>
                <w:sz w:val="20"/>
                <w:szCs w:val="20"/>
              </w:rPr>
            </w:pPr>
            <w:r w:rsidRPr="00EA5C85">
              <w:rPr>
                <w:sz w:val="20"/>
                <w:szCs w:val="20"/>
              </w:rPr>
              <w:t xml:space="preserve">Moderate CYP3A4 inhibitors and </w:t>
            </w:r>
            <w:proofErr w:type="spellStart"/>
            <w:r w:rsidRPr="00EA5C85">
              <w:rPr>
                <w:sz w:val="20"/>
                <w:szCs w:val="20"/>
              </w:rPr>
              <w:t>PgP</w:t>
            </w:r>
            <w:proofErr w:type="spellEnd"/>
            <w:r w:rsidRPr="00EA5C85">
              <w:rPr>
                <w:sz w:val="20"/>
                <w:szCs w:val="20"/>
              </w:rPr>
              <w:t xml:space="preserve"> inhibitor</w:t>
            </w:r>
          </w:p>
        </w:tc>
        <w:tc>
          <w:tcPr>
            <w:tcW w:w="992" w:type="dxa"/>
          </w:tcPr>
          <w:p w14:paraId="412DB2D8"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1132E935"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692941EF"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6ED36A0E"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4D920821" w14:textId="77777777" w:rsidTr="008A352A">
        <w:trPr>
          <w:trHeight w:val="188"/>
        </w:trPr>
        <w:tc>
          <w:tcPr>
            <w:tcW w:w="1384" w:type="dxa"/>
            <w:vMerge/>
          </w:tcPr>
          <w:p w14:paraId="57B62F3D" w14:textId="77777777" w:rsidR="00EA5C85" w:rsidRPr="00EA5C85" w:rsidRDefault="00EA5C85" w:rsidP="00EA5C85">
            <w:pPr>
              <w:spacing w:line="240" w:lineRule="auto"/>
              <w:ind w:left="0" w:right="0"/>
              <w:rPr>
                <w:sz w:val="20"/>
                <w:szCs w:val="20"/>
              </w:rPr>
            </w:pPr>
          </w:p>
        </w:tc>
        <w:tc>
          <w:tcPr>
            <w:tcW w:w="2835" w:type="dxa"/>
          </w:tcPr>
          <w:p w14:paraId="033F1EDD" w14:textId="77777777" w:rsidR="00EA5C85" w:rsidRPr="00EA5C85" w:rsidRDefault="00EA5C85" w:rsidP="00EA5C85">
            <w:pPr>
              <w:spacing w:line="240" w:lineRule="auto"/>
              <w:ind w:left="0" w:right="0"/>
              <w:rPr>
                <w:sz w:val="20"/>
                <w:szCs w:val="20"/>
              </w:rPr>
            </w:pPr>
            <w:r w:rsidRPr="00EA5C85">
              <w:rPr>
                <w:sz w:val="20"/>
                <w:szCs w:val="20"/>
              </w:rPr>
              <w:t xml:space="preserve">Strong CYP3A4 inducers and </w:t>
            </w:r>
            <w:proofErr w:type="spellStart"/>
            <w:r w:rsidRPr="00EA5C85">
              <w:rPr>
                <w:sz w:val="20"/>
                <w:szCs w:val="20"/>
              </w:rPr>
              <w:t>PgP</w:t>
            </w:r>
            <w:proofErr w:type="spellEnd"/>
            <w:r w:rsidRPr="00EA5C85">
              <w:rPr>
                <w:sz w:val="20"/>
                <w:szCs w:val="20"/>
              </w:rPr>
              <w:t xml:space="preserve"> inducers</w:t>
            </w:r>
          </w:p>
        </w:tc>
        <w:tc>
          <w:tcPr>
            <w:tcW w:w="992" w:type="dxa"/>
          </w:tcPr>
          <w:p w14:paraId="278FC6C0"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51C86BA6"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10D69D1E"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14564B43"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6BAD68F0" w14:textId="77777777" w:rsidTr="008A352A">
        <w:trPr>
          <w:trHeight w:val="188"/>
        </w:trPr>
        <w:tc>
          <w:tcPr>
            <w:tcW w:w="1384" w:type="dxa"/>
            <w:vMerge/>
          </w:tcPr>
          <w:p w14:paraId="764EBC11" w14:textId="77777777" w:rsidR="00EA5C85" w:rsidRPr="00EA5C85" w:rsidRDefault="00EA5C85" w:rsidP="00EA5C85">
            <w:pPr>
              <w:spacing w:line="240" w:lineRule="auto"/>
              <w:ind w:left="0" w:right="0"/>
              <w:rPr>
                <w:sz w:val="20"/>
                <w:szCs w:val="20"/>
              </w:rPr>
            </w:pPr>
          </w:p>
        </w:tc>
        <w:tc>
          <w:tcPr>
            <w:tcW w:w="2835" w:type="dxa"/>
          </w:tcPr>
          <w:p w14:paraId="4591CF76" w14:textId="77777777" w:rsidR="00EA5C85" w:rsidRPr="00EA5C85" w:rsidRDefault="00EA5C85" w:rsidP="00EA5C85">
            <w:pPr>
              <w:spacing w:line="240" w:lineRule="auto"/>
              <w:ind w:left="0" w:right="0"/>
              <w:rPr>
                <w:sz w:val="20"/>
                <w:szCs w:val="20"/>
              </w:rPr>
            </w:pPr>
            <w:r w:rsidRPr="00EA5C85">
              <w:rPr>
                <w:sz w:val="20"/>
                <w:szCs w:val="20"/>
              </w:rPr>
              <w:t xml:space="preserve">CYP3A4 substrates and </w:t>
            </w:r>
            <w:proofErr w:type="spellStart"/>
            <w:r w:rsidRPr="00EA5C85">
              <w:rPr>
                <w:sz w:val="20"/>
                <w:szCs w:val="20"/>
              </w:rPr>
              <w:t>PgP</w:t>
            </w:r>
            <w:proofErr w:type="spellEnd"/>
            <w:r w:rsidRPr="00EA5C85">
              <w:rPr>
                <w:sz w:val="20"/>
                <w:szCs w:val="20"/>
              </w:rPr>
              <w:t xml:space="preserve"> substrates</w:t>
            </w:r>
          </w:p>
        </w:tc>
        <w:tc>
          <w:tcPr>
            <w:tcW w:w="992" w:type="dxa"/>
          </w:tcPr>
          <w:p w14:paraId="05D0C24E"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34BAD50C"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7E8BF55D"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5A50DFFA"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6E4A649C" w14:textId="77777777" w:rsidTr="008A352A">
        <w:trPr>
          <w:trHeight w:val="121"/>
        </w:trPr>
        <w:tc>
          <w:tcPr>
            <w:tcW w:w="1384" w:type="dxa"/>
            <w:vMerge/>
          </w:tcPr>
          <w:p w14:paraId="769FA756" w14:textId="77777777" w:rsidR="00EA5C85" w:rsidRPr="00EA5C85" w:rsidRDefault="00EA5C85" w:rsidP="00EA5C85">
            <w:pPr>
              <w:spacing w:line="240" w:lineRule="auto"/>
              <w:ind w:left="0" w:right="0"/>
              <w:rPr>
                <w:sz w:val="20"/>
                <w:szCs w:val="20"/>
              </w:rPr>
            </w:pPr>
          </w:p>
        </w:tc>
        <w:tc>
          <w:tcPr>
            <w:tcW w:w="2835" w:type="dxa"/>
          </w:tcPr>
          <w:p w14:paraId="65E37AA9" w14:textId="77777777" w:rsidR="00EA5C85" w:rsidRPr="00EA5C85" w:rsidRDefault="00EA5C85" w:rsidP="00EA5C85">
            <w:pPr>
              <w:spacing w:line="240" w:lineRule="auto"/>
              <w:ind w:left="0" w:right="0"/>
              <w:rPr>
                <w:sz w:val="20"/>
                <w:szCs w:val="20"/>
              </w:rPr>
            </w:pPr>
            <w:r w:rsidRPr="00EA5C85">
              <w:rPr>
                <w:sz w:val="20"/>
                <w:szCs w:val="20"/>
              </w:rPr>
              <w:t xml:space="preserve">Increased risk for angioedema when combining </w:t>
            </w:r>
            <w:proofErr w:type="spellStart"/>
            <w:r w:rsidRPr="00EA5C85">
              <w:rPr>
                <w:sz w:val="20"/>
                <w:szCs w:val="20"/>
              </w:rPr>
              <w:t>mTOR</w:t>
            </w:r>
            <w:proofErr w:type="spellEnd"/>
            <w:r w:rsidRPr="00EA5C85">
              <w:rPr>
                <w:sz w:val="20"/>
                <w:szCs w:val="20"/>
              </w:rPr>
              <w:t xml:space="preserve"> inhibitors and ACE inhibitors</w:t>
            </w:r>
          </w:p>
        </w:tc>
        <w:tc>
          <w:tcPr>
            <w:tcW w:w="992" w:type="dxa"/>
          </w:tcPr>
          <w:p w14:paraId="62E59F4D"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1E1D3B1F"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6271C82F"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4219AE8E"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3667D165" w14:textId="77777777" w:rsidTr="008A352A">
        <w:trPr>
          <w:trHeight w:val="175"/>
        </w:trPr>
        <w:tc>
          <w:tcPr>
            <w:tcW w:w="1384" w:type="dxa"/>
            <w:vMerge w:val="restart"/>
          </w:tcPr>
          <w:p w14:paraId="3702AB82" w14:textId="77777777" w:rsidR="00EA5C85" w:rsidRPr="00EA5C85" w:rsidRDefault="00EA5C85" w:rsidP="00EA5C85">
            <w:pPr>
              <w:spacing w:line="240" w:lineRule="auto"/>
              <w:ind w:left="0" w:right="0"/>
              <w:rPr>
                <w:sz w:val="20"/>
                <w:szCs w:val="20"/>
              </w:rPr>
            </w:pPr>
            <w:r w:rsidRPr="00EA5C85">
              <w:rPr>
                <w:sz w:val="20"/>
                <w:szCs w:val="20"/>
              </w:rPr>
              <w:t>Important potential risks</w:t>
            </w:r>
          </w:p>
        </w:tc>
        <w:tc>
          <w:tcPr>
            <w:tcW w:w="2835" w:type="dxa"/>
          </w:tcPr>
          <w:p w14:paraId="7C7A775C" w14:textId="77777777" w:rsidR="00EA5C85" w:rsidRPr="00EA5C85" w:rsidRDefault="00EA5C85" w:rsidP="00EA5C85">
            <w:pPr>
              <w:spacing w:line="240" w:lineRule="auto"/>
              <w:ind w:left="0" w:right="0"/>
              <w:rPr>
                <w:sz w:val="20"/>
                <w:szCs w:val="20"/>
              </w:rPr>
            </w:pPr>
            <w:r w:rsidRPr="00EA5C85">
              <w:rPr>
                <w:sz w:val="20"/>
                <w:szCs w:val="20"/>
              </w:rPr>
              <w:t>Postnatal developmental toxicity</w:t>
            </w:r>
          </w:p>
        </w:tc>
        <w:tc>
          <w:tcPr>
            <w:tcW w:w="992" w:type="dxa"/>
          </w:tcPr>
          <w:p w14:paraId="0141FC29"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5B736E8F"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992" w:type="dxa"/>
          </w:tcPr>
          <w:p w14:paraId="76655098"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27D1CB0F"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61919C8D" w14:textId="77777777" w:rsidTr="008A352A">
        <w:trPr>
          <w:trHeight w:val="121"/>
        </w:trPr>
        <w:tc>
          <w:tcPr>
            <w:tcW w:w="1384" w:type="dxa"/>
            <w:vMerge/>
          </w:tcPr>
          <w:p w14:paraId="47D8EC74" w14:textId="77777777" w:rsidR="00EA5C85" w:rsidRPr="00EA5C85" w:rsidRDefault="00EA5C85" w:rsidP="00EA5C85">
            <w:pPr>
              <w:spacing w:line="240" w:lineRule="auto"/>
              <w:ind w:left="0" w:right="0"/>
              <w:rPr>
                <w:sz w:val="20"/>
                <w:szCs w:val="20"/>
              </w:rPr>
            </w:pPr>
          </w:p>
        </w:tc>
        <w:tc>
          <w:tcPr>
            <w:tcW w:w="2835" w:type="dxa"/>
          </w:tcPr>
          <w:p w14:paraId="67F3F308" w14:textId="77777777" w:rsidR="00EA5C85" w:rsidRPr="00EA5C85" w:rsidRDefault="00EA5C85" w:rsidP="00EA5C85">
            <w:pPr>
              <w:spacing w:line="240" w:lineRule="auto"/>
              <w:ind w:left="0" w:right="0"/>
              <w:rPr>
                <w:sz w:val="20"/>
                <w:szCs w:val="20"/>
              </w:rPr>
            </w:pPr>
            <w:r w:rsidRPr="00EA5C85">
              <w:rPr>
                <w:sz w:val="20"/>
                <w:szCs w:val="20"/>
              </w:rPr>
              <w:t>Pregnant or breast-feeding women</w:t>
            </w:r>
          </w:p>
        </w:tc>
        <w:tc>
          <w:tcPr>
            <w:tcW w:w="992" w:type="dxa"/>
          </w:tcPr>
          <w:p w14:paraId="14BF7265"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0F94432B"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45E17E1F"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76B03942"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464408E2" w14:textId="77777777" w:rsidTr="008A352A">
        <w:trPr>
          <w:trHeight w:val="188"/>
        </w:trPr>
        <w:tc>
          <w:tcPr>
            <w:tcW w:w="1384" w:type="dxa"/>
            <w:vMerge/>
          </w:tcPr>
          <w:p w14:paraId="2A2FA591" w14:textId="77777777" w:rsidR="00EA5C85" w:rsidRPr="00EA5C85" w:rsidRDefault="00EA5C85" w:rsidP="00EA5C85">
            <w:pPr>
              <w:spacing w:line="240" w:lineRule="auto"/>
              <w:ind w:left="0" w:right="0"/>
              <w:rPr>
                <w:sz w:val="20"/>
                <w:szCs w:val="20"/>
              </w:rPr>
            </w:pPr>
          </w:p>
        </w:tc>
        <w:tc>
          <w:tcPr>
            <w:tcW w:w="2835" w:type="dxa"/>
          </w:tcPr>
          <w:p w14:paraId="00EF6513" w14:textId="77777777" w:rsidR="00EA5C85" w:rsidRPr="00EA5C85" w:rsidRDefault="00EA5C85" w:rsidP="00EA5C85">
            <w:pPr>
              <w:spacing w:line="240" w:lineRule="auto"/>
              <w:ind w:left="0" w:right="0"/>
              <w:rPr>
                <w:sz w:val="20"/>
                <w:szCs w:val="20"/>
              </w:rPr>
            </w:pPr>
            <w:r w:rsidRPr="00EA5C85">
              <w:rPr>
                <w:sz w:val="20"/>
                <w:szCs w:val="20"/>
              </w:rPr>
              <w:t>Male infertility</w:t>
            </w:r>
          </w:p>
        </w:tc>
        <w:tc>
          <w:tcPr>
            <w:tcW w:w="992" w:type="dxa"/>
          </w:tcPr>
          <w:p w14:paraId="7B05429F"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13D9BADD"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992" w:type="dxa"/>
          </w:tcPr>
          <w:p w14:paraId="22E25AEC"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60C6D0C5"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2135A9CC" w14:textId="77777777" w:rsidTr="008A352A">
        <w:trPr>
          <w:trHeight w:val="154"/>
        </w:trPr>
        <w:tc>
          <w:tcPr>
            <w:tcW w:w="1384" w:type="dxa"/>
            <w:vMerge/>
          </w:tcPr>
          <w:p w14:paraId="3B158E7C" w14:textId="77777777" w:rsidR="00EA5C85" w:rsidRPr="00EA5C85" w:rsidRDefault="00EA5C85" w:rsidP="00EA5C85">
            <w:pPr>
              <w:spacing w:line="240" w:lineRule="auto"/>
              <w:ind w:left="0" w:right="0"/>
              <w:rPr>
                <w:sz w:val="20"/>
                <w:szCs w:val="20"/>
              </w:rPr>
            </w:pPr>
          </w:p>
        </w:tc>
        <w:tc>
          <w:tcPr>
            <w:tcW w:w="2835" w:type="dxa"/>
          </w:tcPr>
          <w:p w14:paraId="4507F05B" w14:textId="77777777" w:rsidR="00EA5C85" w:rsidRPr="00EA5C85" w:rsidRDefault="00EA5C85" w:rsidP="00EA5C85">
            <w:pPr>
              <w:spacing w:line="240" w:lineRule="auto"/>
              <w:ind w:left="0" w:right="0"/>
              <w:rPr>
                <w:sz w:val="20"/>
                <w:szCs w:val="20"/>
              </w:rPr>
            </w:pPr>
            <w:r w:rsidRPr="00EA5C85">
              <w:rPr>
                <w:sz w:val="20"/>
                <w:szCs w:val="20"/>
              </w:rPr>
              <w:t>Muscle-wasting / muscle-loss</w:t>
            </w:r>
          </w:p>
        </w:tc>
        <w:tc>
          <w:tcPr>
            <w:tcW w:w="992" w:type="dxa"/>
          </w:tcPr>
          <w:p w14:paraId="5C9CAD92"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01BBA411"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1691D47B"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73911DEB"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482EB342" w14:textId="77777777" w:rsidTr="008A352A">
        <w:trPr>
          <w:trHeight w:val="154"/>
        </w:trPr>
        <w:tc>
          <w:tcPr>
            <w:tcW w:w="1384" w:type="dxa"/>
          </w:tcPr>
          <w:p w14:paraId="22BFC077" w14:textId="77777777" w:rsidR="00EA5C85" w:rsidRPr="00EA5C85" w:rsidRDefault="00EA5C85" w:rsidP="00EA5C85">
            <w:pPr>
              <w:spacing w:line="240" w:lineRule="auto"/>
              <w:ind w:left="0" w:right="0"/>
              <w:rPr>
                <w:sz w:val="20"/>
                <w:szCs w:val="20"/>
              </w:rPr>
            </w:pPr>
            <w:r w:rsidRPr="00EA5C85">
              <w:rPr>
                <w:sz w:val="20"/>
                <w:szCs w:val="20"/>
              </w:rPr>
              <w:t>Important Potential</w:t>
            </w:r>
          </w:p>
          <w:p w14:paraId="31476867" w14:textId="77777777" w:rsidR="00EA5C85" w:rsidRPr="00EA5C85" w:rsidRDefault="00EA5C85" w:rsidP="00EA5C85">
            <w:pPr>
              <w:spacing w:line="240" w:lineRule="auto"/>
              <w:ind w:left="0" w:right="0"/>
              <w:rPr>
                <w:sz w:val="20"/>
                <w:szCs w:val="20"/>
              </w:rPr>
            </w:pPr>
            <w:r w:rsidRPr="00EA5C85">
              <w:rPr>
                <w:sz w:val="20"/>
                <w:szCs w:val="20"/>
              </w:rPr>
              <w:t>Interactions</w:t>
            </w:r>
          </w:p>
        </w:tc>
        <w:tc>
          <w:tcPr>
            <w:tcW w:w="2835" w:type="dxa"/>
          </w:tcPr>
          <w:p w14:paraId="1B7D02B9" w14:textId="77777777" w:rsidR="00EA5C85" w:rsidRPr="00EA5C85" w:rsidRDefault="00EA5C85" w:rsidP="00EA5C85">
            <w:pPr>
              <w:spacing w:line="240" w:lineRule="auto"/>
              <w:ind w:left="0" w:right="0"/>
              <w:rPr>
                <w:sz w:val="20"/>
                <w:szCs w:val="20"/>
              </w:rPr>
            </w:pPr>
            <w:proofErr w:type="spellStart"/>
            <w:r w:rsidRPr="00EA5C85">
              <w:rPr>
                <w:sz w:val="20"/>
                <w:szCs w:val="20"/>
              </w:rPr>
              <w:t>Everolimus</w:t>
            </w:r>
            <w:proofErr w:type="spellEnd"/>
            <w:r w:rsidRPr="00EA5C85">
              <w:rPr>
                <w:sz w:val="20"/>
                <w:szCs w:val="20"/>
              </w:rPr>
              <w:t xml:space="preserve"> with concomitant </w:t>
            </w:r>
            <w:proofErr w:type="spellStart"/>
            <w:r w:rsidRPr="00EA5C85">
              <w:rPr>
                <w:sz w:val="20"/>
                <w:szCs w:val="20"/>
              </w:rPr>
              <w:t>exemestane</w:t>
            </w:r>
            <w:proofErr w:type="spellEnd"/>
            <w:r w:rsidRPr="00EA5C85">
              <w:rPr>
                <w:sz w:val="20"/>
                <w:szCs w:val="20"/>
              </w:rPr>
              <w:t xml:space="preserve"> use (Oncology setting only)</w:t>
            </w:r>
          </w:p>
        </w:tc>
        <w:tc>
          <w:tcPr>
            <w:tcW w:w="992" w:type="dxa"/>
          </w:tcPr>
          <w:p w14:paraId="25DE3BBD"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59A694E7"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992" w:type="dxa"/>
          </w:tcPr>
          <w:p w14:paraId="66AB5A8D"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56BDBDFF"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21ECF9CC" w14:textId="77777777" w:rsidTr="008A352A">
        <w:trPr>
          <w:trHeight w:val="197"/>
        </w:trPr>
        <w:tc>
          <w:tcPr>
            <w:tcW w:w="1384" w:type="dxa"/>
            <w:vMerge w:val="restart"/>
          </w:tcPr>
          <w:p w14:paraId="429FB9BA" w14:textId="77777777" w:rsidR="00EA5C85" w:rsidRPr="00EA5C85" w:rsidRDefault="00EA5C85" w:rsidP="00EA5C85">
            <w:pPr>
              <w:spacing w:line="240" w:lineRule="auto"/>
              <w:ind w:left="0" w:right="0"/>
              <w:rPr>
                <w:sz w:val="20"/>
                <w:szCs w:val="20"/>
              </w:rPr>
            </w:pPr>
            <w:r w:rsidRPr="00EA5C85">
              <w:rPr>
                <w:sz w:val="20"/>
                <w:szCs w:val="20"/>
              </w:rPr>
              <w:t>Missing information</w:t>
            </w:r>
          </w:p>
        </w:tc>
        <w:tc>
          <w:tcPr>
            <w:tcW w:w="2835" w:type="dxa"/>
          </w:tcPr>
          <w:p w14:paraId="04A4EABE" w14:textId="77777777" w:rsidR="00EA5C85" w:rsidRPr="00EA5C85" w:rsidRDefault="00EA5C85" w:rsidP="00EA5C85">
            <w:pPr>
              <w:spacing w:line="240" w:lineRule="auto"/>
              <w:ind w:left="0" w:right="0"/>
              <w:rPr>
                <w:sz w:val="20"/>
                <w:szCs w:val="20"/>
              </w:rPr>
            </w:pPr>
            <w:r w:rsidRPr="00EA5C85">
              <w:rPr>
                <w:sz w:val="20"/>
                <w:szCs w:val="20"/>
              </w:rPr>
              <w:t xml:space="preserve">Off-label use in </w:t>
            </w:r>
            <w:proofErr w:type="spellStart"/>
            <w:r w:rsidRPr="00EA5C85">
              <w:rPr>
                <w:sz w:val="20"/>
                <w:szCs w:val="20"/>
              </w:rPr>
              <w:t>pediatric</w:t>
            </w:r>
            <w:proofErr w:type="spellEnd"/>
            <w:r w:rsidRPr="00EA5C85">
              <w:rPr>
                <w:sz w:val="20"/>
                <w:szCs w:val="20"/>
              </w:rPr>
              <w:t xml:space="preserve"> and adolescent patients</w:t>
            </w:r>
          </w:p>
        </w:tc>
        <w:tc>
          <w:tcPr>
            <w:tcW w:w="992" w:type="dxa"/>
          </w:tcPr>
          <w:p w14:paraId="45CE2A27"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1133FDAD"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129791B8"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5BBDF857"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39E96949" w14:textId="77777777" w:rsidTr="008A352A">
        <w:trPr>
          <w:trHeight w:val="84"/>
        </w:trPr>
        <w:tc>
          <w:tcPr>
            <w:tcW w:w="1384" w:type="dxa"/>
            <w:vMerge/>
          </w:tcPr>
          <w:p w14:paraId="1B37D8EF" w14:textId="77777777" w:rsidR="00EA5C85" w:rsidRPr="00EA5C85" w:rsidRDefault="00EA5C85" w:rsidP="00EA5C85">
            <w:pPr>
              <w:spacing w:line="240" w:lineRule="auto"/>
              <w:ind w:left="0" w:right="0"/>
              <w:rPr>
                <w:sz w:val="20"/>
                <w:szCs w:val="20"/>
              </w:rPr>
            </w:pPr>
          </w:p>
        </w:tc>
        <w:tc>
          <w:tcPr>
            <w:tcW w:w="2835" w:type="dxa"/>
          </w:tcPr>
          <w:p w14:paraId="488A09C9" w14:textId="77777777" w:rsidR="00EA5C85" w:rsidRPr="00EA5C85" w:rsidRDefault="00EA5C85" w:rsidP="00EA5C85">
            <w:pPr>
              <w:spacing w:line="240" w:lineRule="auto"/>
              <w:ind w:left="0" w:right="0"/>
              <w:rPr>
                <w:sz w:val="20"/>
                <w:szCs w:val="20"/>
              </w:rPr>
            </w:pPr>
            <w:r w:rsidRPr="00EA5C85">
              <w:rPr>
                <w:sz w:val="20"/>
                <w:szCs w:val="20"/>
              </w:rPr>
              <w:t>Long-term safety</w:t>
            </w:r>
          </w:p>
        </w:tc>
        <w:tc>
          <w:tcPr>
            <w:tcW w:w="992" w:type="dxa"/>
          </w:tcPr>
          <w:p w14:paraId="72A6505D"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7165F2A6"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992" w:type="dxa"/>
          </w:tcPr>
          <w:p w14:paraId="6F1AB5AD" w14:textId="77777777" w:rsidR="00EA5C85" w:rsidRPr="00EA5C85" w:rsidRDefault="00EA5C85" w:rsidP="00EA5C85">
            <w:pPr>
              <w:spacing w:line="240" w:lineRule="auto"/>
              <w:ind w:left="0" w:right="0"/>
              <w:rPr>
                <w:sz w:val="20"/>
                <w:szCs w:val="20"/>
              </w:rPr>
            </w:pPr>
            <w:r w:rsidRPr="00EA5C85">
              <w:rPr>
                <w:sz w:val="20"/>
                <w:szCs w:val="20"/>
              </w:rPr>
              <w:t>–</w:t>
            </w:r>
          </w:p>
        </w:tc>
        <w:tc>
          <w:tcPr>
            <w:tcW w:w="1276" w:type="dxa"/>
          </w:tcPr>
          <w:p w14:paraId="6EB892EC"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4B57ACDD" w14:textId="77777777" w:rsidTr="008A352A">
        <w:trPr>
          <w:trHeight w:val="154"/>
        </w:trPr>
        <w:tc>
          <w:tcPr>
            <w:tcW w:w="1384" w:type="dxa"/>
            <w:vMerge/>
          </w:tcPr>
          <w:p w14:paraId="4A78F19B" w14:textId="77777777" w:rsidR="00EA5C85" w:rsidRPr="00EA5C85" w:rsidRDefault="00EA5C85" w:rsidP="00EA5C85">
            <w:pPr>
              <w:spacing w:line="240" w:lineRule="auto"/>
              <w:ind w:left="0" w:right="0"/>
              <w:rPr>
                <w:sz w:val="20"/>
                <w:szCs w:val="20"/>
              </w:rPr>
            </w:pPr>
          </w:p>
        </w:tc>
        <w:tc>
          <w:tcPr>
            <w:tcW w:w="2835" w:type="dxa"/>
          </w:tcPr>
          <w:p w14:paraId="1CD9AA37" w14:textId="1CF392E6" w:rsidR="00EA5C85" w:rsidRPr="00EA5C85" w:rsidRDefault="00EA5C85" w:rsidP="00EA5C85">
            <w:pPr>
              <w:spacing w:line="240" w:lineRule="auto"/>
              <w:ind w:left="0" w:right="0"/>
              <w:rPr>
                <w:sz w:val="20"/>
                <w:szCs w:val="20"/>
              </w:rPr>
            </w:pPr>
            <w:r w:rsidRPr="00EA5C85">
              <w:rPr>
                <w:sz w:val="20"/>
                <w:szCs w:val="20"/>
              </w:rPr>
              <w:t xml:space="preserve">Onset of benign or malignant </w:t>
            </w:r>
            <w:r w:rsidR="00371B7B" w:rsidRPr="00EA5C85">
              <w:rPr>
                <w:sz w:val="20"/>
                <w:szCs w:val="20"/>
              </w:rPr>
              <w:t>tumours</w:t>
            </w:r>
          </w:p>
        </w:tc>
        <w:tc>
          <w:tcPr>
            <w:tcW w:w="992" w:type="dxa"/>
          </w:tcPr>
          <w:p w14:paraId="6563D0D3"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414F2E7B"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15B6F9E1" w14:textId="77777777" w:rsidR="00EA5C85" w:rsidRPr="00EA5C85" w:rsidRDefault="00EA5C85" w:rsidP="00EA5C85">
            <w:pPr>
              <w:spacing w:line="240" w:lineRule="auto"/>
              <w:ind w:left="0" w:right="0"/>
              <w:rPr>
                <w:sz w:val="20"/>
                <w:szCs w:val="20"/>
              </w:rPr>
            </w:pPr>
            <w:r w:rsidRPr="00EA5C85">
              <w:rPr>
                <w:sz w:val="20"/>
                <w:szCs w:val="20"/>
              </w:rPr>
              <w:t>–</w:t>
            </w:r>
          </w:p>
        </w:tc>
        <w:tc>
          <w:tcPr>
            <w:tcW w:w="1276" w:type="dxa"/>
          </w:tcPr>
          <w:p w14:paraId="279CF45F"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713F7DFF" w14:textId="77777777" w:rsidTr="008A352A">
        <w:trPr>
          <w:trHeight w:val="139"/>
        </w:trPr>
        <w:tc>
          <w:tcPr>
            <w:tcW w:w="1384" w:type="dxa"/>
            <w:vMerge/>
          </w:tcPr>
          <w:p w14:paraId="7D8F77A4" w14:textId="77777777" w:rsidR="00EA5C85" w:rsidRPr="00EA5C85" w:rsidRDefault="00EA5C85" w:rsidP="00EA5C85">
            <w:pPr>
              <w:spacing w:line="240" w:lineRule="auto"/>
              <w:ind w:left="0" w:right="0"/>
              <w:rPr>
                <w:sz w:val="20"/>
                <w:szCs w:val="20"/>
              </w:rPr>
            </w:pPr>
          </w:p>
        </w:tc>
        <w:tc>
          <w:tcPr>
            <w:tcW w:w="2835" w:type="dxa"/>
          </w:tcPr>
          <w:p w14:paraId="03EDDB39" w14:textId="77777777" w:rsidR="00EA5C85" w:rsidRPr="00EA5C85" w:rsidRDefault="00EA5C85" w:rsidP="00EA5C85">
            <w:pPr>
              <w:spacing w:line="240" w:lineRule="auto"/>
              <w:ind w:left="0" w:right="0"/>
              <w:rPr>
                <w:sz w:val="20"/>
                <w:szCs w:val="20"/>
              </w:rPr>
            </w:pPr>
            <w:r w:rsidRPr="00EA5C85">
              <w:rPr>
                <w:sz w:val="20"/>
                <w:szCs w:val="20"/>
              </w:rPr>
              <w:t>Patients with uncontrolled cardiac disease (Oncology setting only)</w:t>
            </w:r>
          </w:p>
        </w:tc>
        <w:tc>
          <w:tcPr>
            <w:tcW w:w="992" w:type="dxa"/>
          </w:tcPr>
          <w:p w14:paraId="56FFCAEF"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2E1919A1"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13F8F10F" w14:textId="77777777" w:rsidR="00EA5C85" w:rsidRPr="00EA5C85" w:rsidRDefault="00EA5C85" w:rsidP="00EA5C85">
            <w:pPr>
              <w:spacing w:line="240" w:lineRule="auto"/>
              <w:ind w:left="0" w:right="0"/>
              <w:rPr>
                <w:sz w:val="20"/>
                <w:szCs w:val="20"/>
              </w:rPr>
            </w:pPr>
            <w:r w:rsidRPr="00EA5C85">
              <w:rPr>
                <w:sz w:val="20"/>
                <w:szCs w:val="20"/>
              </w:rPr>
              <w:t>–</w:t>
            </w:r>
          </w:p>
        </w:tc>
        <w:tc>
          <w:tcPr>
            <w:tcW w:w="1276" w:type="dxa"/>
          </w:tcPr>
          <w:p w14:paraId="50448F6F"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149200A2" w14:textId="77777777" w:rsidTr="008A352A">
        <w:trPr>
          <w:trHeight w:val="166"/>
        </w:trPr>
        <w:tc>
          <w:tcPr>
            <w:tcW w:w="1384" w:type="dxa"/>
            <w:vMerge/>
          </w:tcPr>
          <w:p w14:paraId="2BD19653" w14:textId="77777777" w:rsidR="00EA5C85" w:rsidRPr="00EA5C85" w:rsidRDefault="00EA5C85" w:rsidP="00EA5C85">
            <w:pPr>
              <w:spacing w:line="240" w:lineRule="auto"/>
              <w:ind w:left="0" w:right="0"/>
              <w:rPr>
                <w:sz w:val="20"/>
                <w:szCs w:val="20"/>
              </w:rPr>
            </w:pPr>
          </w:p>
        </w:tc>
        <w:tc>
          <w:tcPr>
            <w:tcW w:w="2835" w:type="dxa"/>
          </w:tcPr>
          <w:p w14:paraId="2280BD34" w14:textId="77777777" w:rsidR="00EA5C85" w:rsidRPr="00EA5C85" w:rsidRDefault="00EA5C85" w:rsidP="00EA5C85">
            <w:pPr>
              <w:spacing w:line="240" w:lineRule="auto"/>
              <w:ind w:left="0" w:right="0"/>
              <w:rPr>
                <w:sz w:val="20"/>
                <w:szCs w:val="20"/>
              </w:rPr>
            </w:pPr>
            <w:r w:rsidRPr="00EA5C85">
              <w:rPr>
                <w:sz w:val="20"/>
                <w:szCs w:val="20"/>
              </w:rPr>
              <w:t xml:space="preserve">Comparative safety of </w:t>
            </w:r>
            <w:proofErr w:type="spellStart"/>
            <w:r w:rsidRPr="00EA5C85">
              <w:rPr>
                <w:sz w:val="20"/>
                <w:szCs w:val="20"/>
              </w:rPr>
              <w:t>everolimus</w:t>
            </w:r>
            <w:proofErr w:type="spellEnd"/>
            <w:r w:rsidRPr="00EA5C85">
              <w:rPr>
                <w:sz w:val="20"/>
                <w:szCs w:val="20"/>
              </w:rPr>
              <w:t xml:space="preserve"> and </w:t>
            </w:r>
            <w:proofErr w:type="spellStart"/>
            <w:r w:rsidRPr="00EA5C85">
              <w:rPr>
                <w:sz w:val="20"/>
                <w:szCs w:val="20"/>
              </w:rPr>
              <w:t>exemestane</w:t>
            </w:r>
            <w:proofErr w:type="spellEnd"/>
            <w:r w:rsidRPr="00EA5C85">
              <w:rPr>
                <w:sz w:val="20"/>
                <w:szCs w:val="20"/>
              </w:rPr>
              <w:t xml:space="preserve"> therapy </w:t>
            </w:r>
            <w:r w:rsidR="000803D4">
              <w:rPr>
                <w:sz w:val="20"/>
                <w:szCs w:val="20"/>
              </w:rPr>
              <w:t>versus</w:t>
            </w:r>
            <w:r w:rsidRPr="00EA5C85">
              <w:rPr>
                <w:sz w:val="20"/>
                <w:szCs w:val="20"/>
              </w:rPr>
              <w:t xml:space="preserve"> </w:t>
            </w:r>
            <w:proofErr w:type="spellStart"/>
            <w:r w:rsidRPr="00EA5C85">
              <w:rPr>
                <w:sz w:val="20"/>
                <w:szCs w:val="20"/>
              </w:rPr>
              <w:t>everolimus</w:t>
            </w:r>
            <w:proofErr w:type="spellEnd"/>
            <w:r w:rsidRPr="00EA5C85">
              <w:rPr>
                <w:sz w:val="20"/>
                <w:szCs w:val="20"/>
              </w:rPr>
              <w:t xml:space="preserve"> monotherapy (Oncology setting only)</w:t>
            </w:r>
          </w:p>
        </w:tc>
        <w:tc>
          <w:tcPr>
            <w:tcW w:w="992" w:type="dxa"/>
          </w:tcPr>
          <w:p w14:paraId="3FE73F92"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257E890D"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025C765E"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3035A1EE"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0A2666E9" w14:textId="77777777" w:rsidTr="008A352A">
        <w:trPr>
          <w:trHeight w:val="166"/>
        </w:trPr>
        <w:tc>
          <w:tcPr>
            <w:tcW w:w="1384" w:type="dxa"/>
            <w:vMerge/>
          </w:tcPr>
          <w:p w14:paraId="402EF0D0" w14:textId="77777777" w:rsidR="00EA5C85" w:rsidRPr="00EA5C85" w:rsidRDefault="00EA5C85" w:rsidP="00EA5C85">
            <w:pPr>
              <w:spacing w:line="240" w:lineRule="auto"/>
              <w:ind w:left="0" w:right="0"/>
              <w:rPr>
                <w:sz w:val="20"/>
                <w:szCs w:val="20"/>
              </w:rPr>
            </w:pPr>
          </w:p>
        </w:tc>
        <w:tc>
          <w:tcPr>
            <w:tcW w:w="2835" w:type="dxa"/>
          </w:tcPr>
          <w:p w14:paraId="63D92A9C" w14:textId="77777777" w:rsidR="00EA5C85" w:rsidRPr="00EA5C85" w:rsidRDefault="00EA5C85" w:rsidP="00EA5C85">
            <w:pPr>
              <w:spacing w:line="240" w:lineRule="auto"/>
              <w:ind w:left="0" w:right="0"/>
              <w:rPr>
                <w:sz w:val="20"/>
                <w:szCs w:val="20"/>
              </w:rPr>
            </w:pPr>
            <w:r w:rsidRPr="00EA5C85">
              <w:rPr>
                <w:sz w:val="20"/>
                <w:szCs w:val="20"/>
              </w:rPr>
              <w:t>Safety in breast cancer patients pre-treated with cytotoxic therapies (Oncology setting only)</w:t>
            </w:r>
          </w:p>
        </w:tc>
        <w:tc>
          <w:tcPr>
            <w:tcW w:w="992" w:type="dxa"/>
          </w:tcPr>
          <w:p w14:paraId="1D4494B7"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6B09F57D"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781BA169" w14:textId="77777777" w:rsidR="00EA5C85" w:rsidRPr="00EA5C85" w:rsidRDefault="00EA5C85" w:rsidP="00EA5C85">
            <w:pPr>
              <w:spacing w:line="240" w:lineRule="auto"/>
              <w:ind w:left="0" w:right="0"/>
              <w:rPr>
                <w:sz w:val="20"/>
                <w:szCs w:val="20"/>
              </w:rPr>
            </w:pPr>
            <w:r w:rsidRPr="00EA5C85">
              <w:rPr>
                <w:sz w:val="20"/>
                <w:szCs w:val="20"/>
              </w:rPr>
              <w:t>–</w:t>
            </w:r>
          </w:p>
        </w:tc>
        <w:tc>
          <w:tcPr>
            <w:tcW w:w="1276" w:type="dxa"/>
          </w:tcPr>
          <w:p w14:paraId="570C33A7"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4D778955" w14:textId="77777777" w:rsidTr="008A352A">
        <w:trPr>
          <w:trHeight w:val="144"/>
        </w:trPr>
        <w:tc>
          <w:tcPr>
            <w:tcW w:w="1384" w:type="dxa"/>
            <w:vMerge/>
          </w:tcPr>
          <w:p w14:paraId="7E46B8EE" w14:textId="77777777" w:rsidR="00EA5C85" w:rsidRPr="00EA5C85" w:rsidRDefault="00EA5C85" w:rsidP="00EA5C85">
            <w:pPr>
              <w:spacing w:line="240" w:lineRule="auto"/>
              <w:ind w:left="0" w:right="0"/>
              <w:rPr>
                <w:sz w:val="20"/>
                <w:szCs w:val="20"/>
              </w:rPr>
            </w:pPr>
          </w:p>
        </w:tc>
        <w:tc>
          <w:tcPr>
            <w:tcW w:w="2835" w:type="dxa"/>
          </w:tcPr>
          <w:p w14:paraId="7A317CD1" w14:textId="77777777" w:rsidR="00EA5C85" w:rsidRPr="00EA5C85" w:rsidRDefault="00EA5C85" w:rsidP="00EA5C85">
            <w:pPr>
              <w:spacing w:line="240" w:lineRule="auto"/>
              <w:ind w:left="0" w:right="0"/>
              <w:rPr>
                <w:sz w:val="20"/>
                <w:szCs w:val="20"/>
              </w:rPr>
            </w:pPr>
            <w:r w:rsidRPr="00EA5C85">
              <w:rPr>
                <w:sz w:val="20"/>
                <w:szCs w:val="20"/>
              </w:rPr>
              <w:t xml:space="preserve">Effects of everolimus on brain growth and development, particularly in patients under 3 years of age </w:t>
            </w:r>
            <w:r w:rsidRPr="00EA5C85">
              <w:rPr>
                <w:b/>
                <w:sz w:val="20"/>
                <w:szCs w:val="20"/>
              </w:rPr>
              <w:t>(TSC –setting only)</w:t>
            </w:r>
          </w:p>
        </w:tc>
        <w:tc>
          <w:tcPr>
            <w:tcW w:w="992" w:type="dxa"/>
          </w:tcPr>
          <w:p w14:paraId="578E4F97"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099042D4" w14:textId="77777777" w:rsidR="00EA5C85" w:rsidRPr="00EA5C85" w:rsidRDefault="00EA5C85" w:rsidP="00EA5C85">
            <w:pPr>
              <w:spacing w:line="240" w:lineRule="auto"/>
              <w:ind w:left="0" w:right="0"/>
              <w:rPr>
                <w:sz w:val="20"/>
                <w:szCs w:val="20"/>
              </w:rPr>
            </w:pPr>
            <w:r w:rsidRPr="00EA5C85">
              <w:rPr>
                <w:sz w:val="20"/>
                <w:szCs w:val="20"/>
              </w:rPr>
              <w:t>–</w:t>
            </w:r>
          </w:p>
        </w:tc>
        <w:tc>
          <w:tcPr>
            <w:tcW w:w="992" w:type="dxa"/>
          </w:tcPr>
          <w:p w14:paraId="7E6072DD" w14:textId="77777777" w:rsidR="00EA5C85" w:rsidRPr="00EA5C85" w:rsidRDefault="00EA5C85" w:rsidP="00EA5C85">
            <w:pPr>
              <w:spacing w:line="240" w:lineRule="auto"/>
              <w:ind w:left="0" w:right="0"/>
              <w:rPr>
                <w:sz w:val="20"/>
                <w:szCs w:val="20"/>
              </w:rPr>
            </w:pPr>
            <w:r w:rsidRPr="00EA5C85">
              <w:rPr>
                <w:sz w:val="20"/>
                <w:szCs w:val="20"/>
              </w:rPr>
              <w:t>–</w:t>
            </w:r>
          </w:p>
        </w:tc>
        <w:tc>
          <w:tcPr>
            <w:tcW w:w="1276" w:type="dxa"/>
          </w:tcPr>
          <w:p w14:paraId="55237CCC" w14:textId="77777777" w:rsidR="00EA5C85" w:rsidRPr="00EA5C85" w:rsidRDefault="00EA5C85" w:rsidP="00EA5C85">
            <w:pPr>
              <w:spacing w:line="240" w:lineRule="auto"/>
              <w:ind w:left="0" w:right="0"/>
              <w:rPr>
                <w:sz w:val="20"/>
                <w:szCs w:val="20"/>
              </w:rPr>
            </w:pPr>
            <w:r w:rsidRPr="00EA5C85">
              <w:rPr>
                <w:sz w:val="20"/>
                <w:szCs w:val="20"/>
              </w:rPr>
              <w:t>–</w:t>
            </w:r>
          </w:p>
        </w:tc>
      </w:tr>
      <w:tr w:rsidR="00EA5C85" w:rsidRPr="00EA5C85" w14:paraId="04168EDF" w14:textId="77777777" w:rsidTr="008A352A">
        <w:trPr>
          <w:trHeight w:val="154"/>
        </w:trPr>
        <w:tc>
          <w:tcPr>
            <w:tcW w:w="1384" w:type="dxa"/>
            <w:vMerge/>
          </w:tcPr>
          <w:p w14:paraId="7DDC58F1" w14:textId="77777777" w:rsidR="00EA5C85" w:rsidRPr="00EA5C85" w:rsidRDefault="00EA5C85" w:rsidP="00EA5C85">
            <w:pPr>
              <w:spacing w:line="240" w:lineRule="auto"/>
              <w:ind w:left="0" w:right="0"/>
              <w:rPr>
                <w:sz w:val="20"/>
                <w:szCs w:val="20"/>
              </w:rPr>
            </w:pPr>
          </w:p>
        </w:tc>
        <w:tc>
          <w:tcPr>
            <w:tcW w:w="2835" w:type="dxa"/>
          </w:tcPr>
          <w:p w14:paraId="094D184E" w14:textId="77777777" w:rsidR="00EA5C85" w:rsidRPr="00AE3DB4" w:rsidRDefault="00EA5C85" w:rsidP="00AE3DB4">
            <w:pPr>
              <w:spacing w:before="0" w:line="240" w:lineRule="auto"/>
              <w:ind w:left="0" w:right="0"/>
              <w:rPr>
                <w:sz w:val="20"/>
                <w:szCs w:val="20"/>
              </w:rPr>
            </w:pPr>
            <w:r w:rsidRPr="00AE3DB4">
              <w:rPr>
                <w:sz w:val="20"/>
                <w:szCs w:val="20"/>
              </w:rPr>
              <w:t>Neurocognitive and sexual development in paediatric patients (TSC setting only)</w:t>
            </w:r>
          </w:p>
        </w:tc>
        <w:tc>
          <w:tcPr>
            <w:tcW w:w="992" w:type="dxa"/>
          </w:tcPr>
          <w:p w14:paraId="6DAA1A76"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1276" w:type="dxa"/>
          </w:tcPr>
          <w:p w14:paraId="31C60E90" w14:textId="77777777" w:rsidR="00EA5C85" w:rsidRPr="00EA5C85" w:rsidRDefault="00EA5C85" w:rsidP="00EA5C85">
            <w:pPr>
              <w:spacing w:line="240" w:lineRule="auto"/>
              <w:ind w:left="0" w:right="0"/>
              <w:rPr>
                <w:sz w:val="20"/>
                <w:szCs w:val="20"/>
              </w:rPr>
            </w:pPr>
            <w:r w:rsidRPr="00EA5C85">
              <w:rPr>
                <w:sz w:val="20"/>
                <w:szCs w:val="20"/>
              </w:rPr>
              <w:sym w:font="Wingdings" w:char="F0FC"/>
            </w:r>
          </w:p>
        </w:tc>
        <w:tc>
          <w:tcPr>
            <w:tcW w:w="992" w:type="dxa"/>
          </w:tcPr>
          <w:p w14:paraId="16298128" w14:textId="77777777" w:rsidR="00EA5C85" w:rsidRPr="00EA5C85" w:rsidRDefault="00EA5C85" w:rsidP="00EA5C85">
            <w:pPr>
              <w:spacing w:line="240" w:lineRule="auto"/>
              <w:ind w:left="0" w:right="0"/>
              <w:rPr>
                <w:sz w:val="20"/>
                <w:szCs w:val="20"/>
              </w:rPr>
            </w:pPr>
            <w:r w:rsidRPr="00EA5C85">
              <w:rPr>
                <w:sz w:val="20"/>
                <w:szCs w:val="20"/>
              </w:rPr>
              <w:t>–</w:t>
            </w:r>
          </w:p>
        </w:tc>
        <w:tc>
          <w:tcPr>
            <w:tcW w:w="1276" w:type="dxa"/>
          </w:tcPr>
          <w:p w14:paraId="514CA303" w14:textId="77777777" w:rsidR="00EA5C85" w:rsidRPr="00EA5C85" w:rsidRDefault="00EA5C85" w:rsidP="00EA5C85">
            <w:pPr>
              <w:spacing w:line="240" w:lineRule="auto"/>
              <w:ind w:left="0" w:right="0"/>
              <w:rPr>
                <w:sz w:val="20"/>
                <w:szCs w:val="20"/>
              </w:rPr>
            </w:pPr>
            <w:r w:rsidRPr="00EA5C85">
              <w:rPr>
                <w:sz w:val="20"/>
                <w:szCs w:val="20"/>
              </w:rPr>
              <w:t>–</w:t>
            </w:r>
          </w:p>
        </w:tc>
      </w:tr>
    </w:tbl>
    <w:p w14:paraId="23A33CC8" w14:textId="67B76DC5" w:rsidR="00EA5C85" w:rsidRPr="00301172" w:rsidRDefault="00EA5C85" w:rsidP="00EA5C85">
      <w:pPr>
        <w:pStyle w:val="ListBullet"/>
      </w:pPr>
      <w:r w:rsidRPr="00301172">
        <w:lastRenderedPageBreak/>
        <w:t>Additional pharmacovigilance activities include clinical trials</w:t>
      </w:r>
      <w:r>
        <w:t xml:space="preserve"> (</w:t>
      </w:r>
      <w:r w:rsidR="00A825F0">
        <w:t xml:space="preserve">Studies </w:t>
      </w:r>
      <w:r w:rsidRPr="00301172">
        <w:t>CRAD001J2301, CRAD001W2301</w:t>
      </w:r>
      <w:r>
        <w:t xml:space="preserve"> and </w:t>
      </w:r>
      <w:r w:rsidRPr="00301172">
        <w:t>CRAD001Y2201</w:t>
      </w:r>
      <w:r>
        <w:t xml:space="preserve">), a </w:t>
      </w:r>
      <w:r w:rsidR="00FC69C3">
        <w:t xml:space="preserve">post </w:t>
      </w:r>
      <w:r w:rsidRPr="00301172">
        <w:t>authorisation study (</w:t>
      </w:r>
      <w:r w:rsidR="00A825F0">
        <w:t>Study </w:t>
      </w:r>
      <w:r w:rsidRPr="00301172">
        <w:t xml:space="preserve">CRAD001M2305) and an international disease registry to collect data </w:t>
      </w:r>
      <w:r w:rsidRPr="00301172">
        <w:rPr>
          <w:szCs w:val="23"/>
        </w:rPr>
        <w:t>in patients with tuberous sclerosis complex (</w:t>
      </w:r>
      <w:r w:rsidR="00A825F0">
        <w:rPr>
          <w:szCs w:val="23"/>
        </w:rPr>
        <w:t xml:space="preserve">Study </w:t>
      </w:r>
      <w:r w:rsidRPr="00301172">
        <w:rPr>
          <w:szCs w:val="23"/>
        </w:rPr>
        <w:t>CRAD001MIC03)</w:t>
      </w:r>
      <w:r>
        <w:rPr>
          <w:szCs w:val="23"/>
        </w:rPr>
        <w:t>.</w:t>
      </w:r>
    </w:p>
    <w:p w14:paraId="485F7CED" w14:textId="77777777" w:rsidR="00EA5C85" w:rsidRPr="00EA5C85" w:rsidRDefault="00EA5C85" w:rsidP="00EA5C85">
      <w:pPr>
        <w:pStyle w:val="ListBullet"/>
      </w:pPr>
      <w:r w:rsidRPr="00301172">
        <w:t>There are no additional risk minimisation activities which is consistent with previous applications.</w:t>
      </w:r>
    </w:p>
    <w:p w14:paraId="124879C0" w14:textId="77777777" w:rsidR="00456765" w:rsidRDefault="00456765" w:rsidP="004C4940">
      <w:pPr>
        <w:pStyle w:val="Heading4"/>
      </w:pPr>
      <w:r>
        <w:t xml:space="preserve">New and </w:t>
      </w:r>
      <w:r w:rsidRPr="004C4940">
        <w:t>outstanding</w:t>
      </w:r>
      <w:r>
        <w:t xml:space="preserve"> recommendations from second round evaluation</w:t>
      </w:r>
      <w:bookmarkEnd w:id="121"/>
    </w:p>
    <w:p w14:paraId="01737293" w14:textId="77777777" w:rsidR="00EA5C85" w:rsidRPr="00EA5C85" w:rsidRDefault="00EA5C85" w:rsidP="00EA5C85">
      <w:r w:rsidRPr="00EA5C85">
        <w:t xml:space="preserve">The recommendations made in the </w:t>
      </w:r>
      <w:r w:rsidR="00FC69C3">
        <w:t xml:space="preserve">first round </w:t>
      </w:r>
      <w:r w:rsidRPr="00EA5C85">
        <w:t xml:space="preserve">evaluation, along with consideration of the </w:t>
      </w:r>
      <w:r w:rsidR="00FC69C3">
        <w:t>sponsor</w:t>
      </w:r>
      <w:r w:rsidRPr="00EA5C85">
        <w:t xml:space="preserve"> response</w:t>
      </w:r>
      <w:r w:rsidR="00FC69C3">
        <w:t xml:space="preserve"> was provided.</w:t>
      </w:r>
    </w:p>
    <w:p w14:paraId="44FF313E" w14:textId="47573661" w:rsidR="00456765" w:rsidRPr="00EA5C85" w:rsidRDefault="00EA5C85" w:rsidP="00EA5C85">
      <w:r w:rsidRPr="00EA5C85">
        <w:t xml:space="preserve">There are no outstanding recommendations from </w:t>
      </w:r>
      <w:r w:rsidR="00A825F0">
        <w:t>the second round evaluation.</w:t>
      </w:r>
    </w:p>
    <w:p w14:paraId="0D10E813" w14:textId="77777777" w:rsidR="00456765" w:rsidRPr="00BB4B51" w:rsidRDefault="00456765" w:rsidP="00456765">
      <w:pPr>
        <w:pStyle w:val="Heading4"/>
      </w:pPr>
      <w:bookmarkStart w:id="122" w:name="_Toc477354124"/>
      <w:r>
        <w:t>Proposed wording for conditions of registration</w:t>
      </w:r>
      <w:bookmarkEnd w:id="122"/>
    </w:p>
    <w:p w14:paraId="5CA3E9F5" w14:textId="77777777" w:rsidR="00F50ABF" w:rsidRDefault="00EA5C85" w:rsidP="00EA5C85">
      <w:r w:rsidRPr="00EA5C85">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F50ABF">
        <w:t>.</w:t>
      </w:r>
    </w:p>
    <w:p w14:paraId="60F7D60D" w14:textId="77777777" w:rsidR="00A825F0" w:rsidRDefault="00EA5C85" w:rsidP="00EA5C85">
      <w:r w:rsidRPr="00EA5C85">
        <w:t>The suggested wording is:</w:t>
      </w:r>
    </w:p>
    <w:p w14:paraId="175339AB" w14:textId="355F8A30" w:rsidR="00456765" w:rsidRPr="00EA5C85" w:rsidRDefault="00EA5C85" w:rsidP="004C4940">
      <w:pPr>
        <w:ind w:left="567"/>
      </w:pPr>
      <w:r w:rsidRPr="00EA5C85">
        <w:t xml:space="preserve">Implement EU-RMP (version 13.0, date 16 February 2017, data lock point 2 October 2015 and 31 March 2016 for </w:t>
      </w:r>
      <w:r w:rsidR="001D5C8D">
        <w:t>TSC seizures</w:t>
      </w:r>
      <w:r w:rsidRPr="00EA5C85">
        <w:t xml:space="preserve"> population and CT dataset for pooled TSC setting respectively) with Australian Specific Annex (version 9.0, dated 21</w:t>
      </w:r>
      <w:r w:rsidR="00A825F0">
        <w:t> </w:t>
      </w:r>
      <w:r w:rsidRPr="00EA5C85">
        <w:t>July 2017) and any future updates as a condition of registration.</w:t>
      </w:r>
    </w:p>
    <w:p w14:paraId="6ED80A8B" w14:textId="77777777" w:rsidR="008E7846" w:rsidRPr="00792A32" w:rsidRDefault="008E7846" w:rsidP="008E7846">
      <w:pPr>
        <w:pStyle w:val="Heading2"/>
      </w:pPr>
      <w:bookmarkStart w:id="123" w:name="_Toc1555418"/>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4"/>
      <w:bookmarkEnd w:id="119"/>
      <w:bookmarkEnd w:id="120"/>
      <w:bookmarkEnd w:id="123"/>
    </w:p>
    <w:p w14:paraId="711963E4" w14:textId="77777777" w:rsidR="008E7846" w:rsidRDefault="008E7846" w:rsidP="008E7846">
      <w:bookmarkStart w:id="124" w:name="_Toc247691528"/>
      <w:r>
        <w:t xml:space="preserve">The submission was summarised in the following </w:t>
      </w:r>
      <w:r w:rsidR="00F50ABF">
        <w:t>Delegate</w:t>
      </w:r>
      <w:r w:rsidRPr="00EF5C48">
        <w:t xml:space="preserve">’s </w:t>
      </w:r>
      <w:r>
        <w:t>overview</w:t>
      </w:r>
      <w:r w:rsidRPr="00EF5C48">
        <w:t xml:space="preserve"> and recommendation</w:t>
      </w:r>
      <w:r>
        <w:t>s:</w:t>
      </w:r>
    </w:p>
    <w:p w14:paraId="761A0328" w14:textId="77777777" w:rsidR="008F6857" w:rsidRDefault="008F6857" w:rsidP="004C4940">
      <w:pPr>
        <w:pStyle w:val="Heading3"/>
      </w:pPr>
      <w:bookmarkStart w:id="125" w:name="_Toc1555419"/>
      <w:r w:rsidRPr="004C4940">
        <w:t>Background</w:t>
      </w:r>
      <w:bookmarkEnd w:id="125"/>
    </w:p>
    <w:p w14:paraId="5EF813EF" w14:textId="77777777" w:rsidR="008F6857" w:rsidRPr="008F6857" w:rsidRDefault="008F6857" w:rsidP="008F6857">
      <w:r w:rsidRPr="008F6857">
        <w:t>Everolimus was initially developed for the prophylaxis of organ transplant rejection. It was first registered in Australia in 2009 for treatment of advanced renal cell carcinoma and now has other currently approved indications:</w:t>
      </w:r>
    </w:p>
    <w:p w14:paraId="6E21A225" w14:textId="77777777" w:rsidR="008F6857" w:rsidRPr="008F6857" w:rsidRDefault="008F6857" w:rsidP="004C4940">
      <w:pPr>
        <w:ind w:left="567"/>
        <w:rPr>
          <w:i/>
        </w:rPr>
      </w:pPr>
      <w:proofErr w:type="spellStart"/>
      <w:r w:rsidRPr="008F6857">
        <w:rPr>
          <w:i/>
        </w:rPr>
        <w:t>Subependymal</w:t>
      </w:r>
      <w:proofErr w:type="spellEnd"/>
      <w:r w:rsidRPr="008F6857">
        <w:rPr>
          <w:i/>
        </w:rPr>
        <w:t xml:space="preserve"> giant cell astrocytoma (SEGA) associated with tuberous</w:t>
      </w:r>
      <w:r w:rsidR="00F50ABF">
        <w:rPr>
          <w:i/>
        </w:rPr>
        <w:t xml:space="preserve"> </w:t>
      </w:r>
      <w:r w:rsidRPr="008F6857">
        <w:rPr>
          <w:i/>
        </w:rPr>
        <w:t>sclerosis complex (TSC) who require therapeutic intervention but are not candidates for curative surgical resection.</w:t>
      </w:r>
    </w:p>
    <w:p w14:paraId="1B565BFB" w14:textId="77777777" w:rsidR="008F6857" w:rsidRPr="008F6857" w:rsidRDefault="008F6857" w:rsidP="004C4940">
      <w:pPr>
        <w:ind w:left="567"/>
        <w:rPr>
          <w:i/>
        </w:rPr>
      </w:pPr>
      <w:proofErr w:type="gramStart"/>
      <w:r w:rsidRPr="008F6857">
        <w:rPr>
          <w:i/>
        </w:rPr>
        <w:t xml:space="preserve">Patients with tuberous sclerosis complex (TSC) who have renal </w:t>
      </w:r>
      <w:proofErr w:type="spellStart"/>
      <w:r w:rsidRPr="008F6857">
        <w:rPr>
          <w:i/>
        </w:rPr>
        <w:t>angiomyolipoma</w:t>
      </w:r>
      <w:proofErr w:type="spellEnd"/>
      <w:r w:rsidRPr="008F6857">
        <w:rPr>
          <w:i/>
        </w:rPr>
        <w:t xml:space="preserve"> not requiring immediate surgery.</w:t>
      </w:r>
      <w:proofErr w:type="gramEnd"/>
    </w:p>
    <w:p w14:paraId="5B136D72" w14:textId="77777777" w:rsidR="008F6857" w:rsidRPr="008F6857" w:rsidRDefault="008F6857" w:rsidP="004C4940">
      <w:pPr>
        <w:ind w:left="567"/>
        <w:rPr>
          <w:i/>
        </w:rPr>
      </w:pPr>
      <w:proofErr w:type="gramStart"/>
      <w:r w:rsidRPr="008F6857">
        <w:rPr>
          <w:i/>
        </w:rPr>
        <w:t>Postmenopausal women with hormone receptor-positive, HER2 negative</w:t>
      </w:r>
      <w:r w:rsidR="00F50ABF">
        <w:rPr>
          <w:i/>
        </w:rPr>
        <w:t xml:space="preserve"> </w:t>
      </w:r>
      <w:r w:rsidRPr="008F6857">
        <w:rPr>
          <w:i/>
        </w:rPr>
        <w:t xml:space="preserve">advanced breast cancer in combination with </w:t>
      </w:r>
      <w:proofErr w:type="spellStart"/>
      <w:r w:rsidRPr="008F6857">
        <w:rPr>
          <w:i/>
        </w:rPr>
        <w:t>exemestane</w:t>
      </w:r>
      <w:proofErr w:type="spellEnd"/>
      <w:r w:rsidRPr="008F6857">
        <w:rPr>
          <w:i/>
        </w:rPr>
        <w:t xml:space="preserve"> after failure of treatment with letrozole or anastrozole.</w:t>
      </w:r>
      <w:proofErr w:type="gramEnd"/>
    </w:p>
    <w:p w14:paraId="135A9046" w14:textId="77777777" w:rsidR="008F6857" w:rsidRPr="008F6857" w:rsidRDefault="008F6857" w:rsidP="004C4940">
      <w:pPr>
        <w:ind w:left="567"/>
        <w:rPr>
          <w:i/>
        </w:rPr>
      </w:pPr>
      <w:r w:rsidRPr="008F6857">
        <w:rPr>
          <w:i/>
        </w:rPr>
        <w:t>Progressive, unresectable or metastatic, well or moderately differentiated neuroendocrine tumours (NETs) of pancreatic origin.</w:t>
      </w:r>
    </w:p>
    <w:p w14:paraId="145D8973" w14:textId="77777777" w:rsidR="008F6857" w:rsidRPr="008F6857" w:rsidRDefault="008F6857" w:rsidP="004C4940">
      <w:pPr>
        <w:ind w:left="567"/>
        <w:rPr>
          <w:i/>
        </w:rPr>
      </w:pPr>
      <w:proofErr w:type="gramStart"/>
      <w:r w:rsidRPr="008F6857">
        <w:rPr>
          <w:i/>
        </w:rPr>
        <w:t xml:space="preserve">Progressive, unresectable or metastatic, </w:t>
      </w:r>
      <w:r w:rsidR="00F50ABF">
        <w:rPr>
          <w:i/>
        </w:rPr>
        <w:t>well differentiated</w:t>
      </w:r>
      <w:r w:rsidRPr="008F6857">
        <w:rPr>
          <w:i/>
        </w:rPr>
        <w:t>, non-functional neuroendocrine tumours (NET) of gastrointestinal or lung origin in adults.</w:t>
      </w:r>
      <w:proofErr w:type="gramEnd"/>
    </w:p>
    <w:p w14:paraId="636EC735" w14:textId="77777777" w:rsidR="008F6857" w:rsidRPr="008F6857" w:rsidRDefault="008F6857" w:rsidP="004C4940">
      <w:pPr>
        <w:ind w:left="567"/>
        <w:rPr>
          <w:i/>
        </w:rPr>
      </w:pPr>
      <w:proofErr w:type="gramStart"/>
      <w:r w:rsidRPr="008F6857">
        <w:rPr>
          <w:i/>
        </w:rPr>
        <w:t xml:space="preserve">Advanced renal cell carcinoma after failure of treatment with </w:t>
      </w:r>
      <w:proofErr w:type="spellStart"/>
      <w:r w:rsidRPr="008F6857">
        <w:rPr>
          <w:i/>
        </w:rPr>
        <w:t>sorafenib</w:t>
      </w:r>
      <w:proofErr w:type="spellEnd"/>
      <w:r w:rsidRPr="008F6857">
        <w:rPr>
          <w:i/>
        </w:rPr>
        <w:t xml:space="preserve"> or </w:t>
      </w:r>
      <w:proofErr w:type="spellStart"/>
      <w:r w:rsidRPr="008F6857">
        <w:rPr>
          <w:i/>
        </w:rPr>
        <w:t>sunitinib</w:t>
      </w:r>
      <w:proofErr w:type="spellEnd"/>
      <w:r w:rsidRPr="008F6857">
        <w:rPr>
          <w:i/>
        </w:rPr>
        <w:t>.</w:t>
      </w:r>
      <w:proofErr w:type="gramEnd"/>
    </w:p>
    <w:p w14:paraId="2BDD3291" w14:textId="77777777" w:rsidR="008F6857" w:rsidRPr="008F6857" w:rsidRDefault="00FC69C3" w:rsidP="004C4940">
      <w:r>
        <w:lastRenderedPageBreak/>
        <w:t>T</w:t>
      </w:r>
      <w:r w:rsidRPr="00FC69C3">
        <w:t>uberous sclerosis complex</w:t>
      </w:r>
      <w:r w:rsidR="008F6857" w:rsidRPr="008F6857">
        <w:t xml:space="preserve"> </w:t>
      </w:r>
      <w:r w:rsidR="008F6857">
        <w:t xml:space="preserve">is a rare multisystem </w:t>
      </w:r>
      <w:r w:rsidR="008F6857" w:rsidRPr="008F6857">
        <w:t>genetic disease</w:t>
      </w:r>
      <w:r w:rsidR="008F6857">
        <w:t xml:space="preserve"> that causes </w:t>
      </w:r>
      <w:r w:rsidR="008F6857" w:rsidRPr="008F6857">
        <w:t>benign tumours</w:t>
      </w:r>
      <w:r w:rsidR="008F6857">
        <w:t xml:space="preserve"> to grow in the </w:t>
      </w:r>
      <w:r w:rsidR="008F6857" w:rsidRPr="008F6857">
        <w:t>brain</w:t>
      </w:r>
      <w:r w:rsidR="008F6857">
        <w:t xml:space="preserve"> </w:t>
      </w:r>
      <w:r w:rsidR="008F6857" w:rsidRPr="008F6857">
        <w:t>and</w:t>
      </w:r>
      <w:r w:rsidR="008F6857">
        <w:t xml:space="preserve"> on other vital organs such as </w:t>
      </w:r>
      <w:r w:rsidR="008F6857" w:rsidRPr="008F6857">
        <w:t>kidneys</w:t>
      </w:r>
      <w:r w:rsidR="008F6857">
        <w:t xml:space="preserve">, </w:t>
      </w:r>
      <w:r w:rsidR="008F6857" w:rsidRPr="008F6857">
        <w:t>heart</w:t>
      </w:r>
      <w:r w:rsidR="008F6857">
        <w:t xml:space="preserve">, </w:t>
      </w:r>
      <w:r w:rsidR="008F6857" w:rsidRPr="008F6857">
        <w:t>liver</w:t>
      </w:r>
      <w:r w:rsidR="008F6857">
        <w:t xml:space="preserve">, </w:t>
      </w:r>
      <w:r w:rsidR="008F6857" w:rsidRPr="008F6857">
        <w:t>eyes</w:t>
      </w:r>
      <w:r w:rsidR="008F6857">
        <w:t xml:space="preserve">, </w:t>
      </w:r>
      <w:r w:rsidR="008F6857" w:rsidRPr="008F6857">
        <w:t>lungs</w:t>
      </w:r>
      <w:r w:rsidR="008F6857">
        <w:t xml:space="preserve"> and </w:t>
      </w:r>
      <w:r w:rsidR="008F6857" w:rsidRPr="008F6857">
        <w:t>skin. The clinical evaluation report (CER) stated that</w:t>
      </w:r>
      <w:r w:rsidR="00F50ABF">
        <w:t xml:space="preserve"> </w:t>
      </w:r>
      <w:r w:rsidR="008F6857" w:rsidRPr="008F6857">
        <w:t>TSC has a prevalence approaching 1 in 6000 live births and that, it is an autosomal dominant genetic condition involving the tuberous sclerosis 1 gene (TSC1) and/or the tuberous sclerosis 2 gene (TSC2) mutations. The latter is found in 80% to 85% of TSC patients.</w:t>
      </w:r>
      <w:r w:rsidR="008F6857">
        <w:t xml:space="preserve"> Normally, these two </w:t>
      </w:r>
      <w:r w:rsidR="008F6857" w:rsidRPr="008F6857">
        <w:t>genes</w:t>
      </w:r>
      <w:r w:rsidR="008F6857">
        <w:t xml:space="preserve">, </w:t>
      </w:r>
      <w:r w:rsidR="008F6857" w:rsidRPr="008F6857">
        <w:t>TSC1</w:t>
      </w:r>
      <w:r w:rsidR="008F6857">
        <w:t xml:space="preserve"> and </w:t>
      </w:r>
      <w:r w:rsidR="008F6857" w:rsidRPr="008F6857">
        <w:t>TSC2</w:t>
      </w:r>
      <w:r w:rsidR="008F6857">
        <w:t xml:space="preserve">, code for the </w:t>
      </w:r>
      <w:r w:rsidR="008F6857" w:rsidRPr="008F6857">
        <w:t>proteins</w:t>
      </w:r>
      <w:r w:rsidR="008F6857">
        <w:t xml:space="preserve"> </w:t>
      </w:r>
      <w:proofErr w:type="spellStart"/>
      <w:r w:rsidR="008F6857" w:rsidRPr="008F6857">
        <w:t>hamartin</w:t>
      </w:r>
      <w:proofErr w:type="spellEnd"/>
      <w:r w:rsidR="008F6857">
        <w:t xml:space="preserve"> </w:t>
      </w:r>
      <w:r w:rsidR="008F6857" w:rsidRPr="008F6857">
        <w:t>and </w:t>
      </w:r>
      <w:proofErr w:type="spellStart"/>
      <w:r w:rsidR="008F6857" w:rsidRPr="008F6857">
        <w:t>tuberin</w:t>
      </w:r>
      <w:proofErr w:type="spellEnd"/>
      <w:r w:rsidR="008F6857" w:rsidRPr="008F6857">
        <w:t>, respectively. These proteins form</w:t>
      </w:r>
      <w:r w:rsidR="00520F74">
        <w:t xml:space="preserve"> </w:t>
      </w:r>
      <w:r w:rsidR="00520F74" w:rsidRPr="00520F74">
        <w:t>tumour</w:t>
      </w:r>
      <w:r w:rsidR="008F6857" w:rsidRPr="00520F74">
        <w:t xml:space="preserve"> growth suppressor complex</w:t>
      </w:r>
      <w:r w:rsidR="008F6857" w:rsidRPr="008F6857">
        <w:t xml:space="preserve"> which regulates cell proliferation and differentiation. When either TSC1 or TSC2 are deficient due to mutation, mammalian target of rapamycin complex 1 (mTORC1) is upregulated leading to abnormal cellular growth, proliferation and protein synthesis. Mammalian target of rapamycin (</w:t>
      </w:r>
      <w:proofErr w:type="spellStart"/>
      <w:r w:rsidR="008F6857" w:rsidRPr="008F6857">
        <w:t>mTOR</w:t>
      </w:r>
      <w:proofErr w:type="spellEnd"/>
      <w:r w:rsidR="008F6857" w:rsidRPr="008F6857">
        <w:t>) or more specifically, mammalian 'target of rapamycin' complex 1 (mTORC1) is a key serine-threonine kinase playing a central role in the regulation of cell growth, proliferation and survival. Upregulation of mTORC1 results in a variety of benign tumours or hamartomas in multiple organ systems: lesions in the kidney, brain, skin, lung, heart and eye.</w:t>
      </w:r>
    </w:p>
    <w:p w14:paraId="5FE9B73F" w14:textId="77777777" w:rsidR="008F6857" w:rsidRPr="008F6857" w:rsidRDefault="008F6857" w:rsidP="008F6857">
      <w:r w:rsidRPr="008F6857">
        <w:t>Everolimus:</w:t>
      </w:r>
    </w:p>
    <w:p w14:paraId="2427CC2C" w14:textId="77777777" w:rsidR="008F6857" w:rsidRPr="008F6857" w:rsidRDefault="008F6857" w:rsidP="00520F74">
      <w:pPr>
        <w:pStyle w:val="ListBullet"/>
      </w:pPr>
      <w:proofErr w:type="gramStart"/>
      <w:r w:rsidRPr="008F6857">
        <w:t>is</w:t>
      </w:r>
      <w:proofErr w:type="gramEnd"/>
      <w:r w:rsidRPr="008F6857">
        <w:t xml:space="preserve"> a signal transduction inhibitor targeting mTORC1.</w:t>
      </w:r>
    </w:p>
    <w:p w14:paraId="25D0771F" w14:textId="77777777" w:rsidR="008F6857" w:rsidRPr="008F6857" w:rsidRDefault="008F6857" w:rsidP="00520F74">
      <w:pPr>
        <w:pStyle w:val="ListBullet"/>
      </w:pPr>
      <w:proofErr w:type="gramStart"/>
      <w:r w:rsidRPr="008F6857">
        <w:t>exerts</w:t>
      </w:r>
      <w:proofErr w:type="gramEnd"/>
      <w:r w:rsidRPr="008F6857">
        <w:t xml:space="preserve"> its activity through high affinity interaction with the intracellular receptor protein FKBP12.</w:t>
      </w:r>
    </w:p>
    <w:p w14:paraId="4976B082" w14:textId="77777777" w:rsidR="008F6857" w:rsidRPr="008F6857" w:rsidRDefault="008F6857" w:rsidP="00520F74">
      <w:pPr>
        <w:pStyle w:val="ListBullet"/>
      </w:pPr>
      <w:proofErr w:type="gramStart"/>
      <w:r w:rsidRPr="008F6857">
        <w:t>is</w:t>
      </w:r>
      <w:proofErr w:type="gramEnd"/>
      <w:r w:rsidRPr="008F6857">
        <w:t xml:space="preserve"> an inhibitor of the growth and proliferation of tumour cells, endothelial cells, fibroblasts and blood </w:t>
      </w:r>
      <w:r w:rsidR="00411FA2">
        <w:t>vessel associated</w:t>
      </w:r>
      <w:r w:rsidRPr="008F6857">
        <w:t xml:space="preserve"> smooth muscle cells.</w:t>
      </w:r>
    </w:p>
    <w:p w14:paraId="695E59AB" w14:textId="77777777" w:rsidR="008F6857" w:rsidRPr="00520F74" w:rsidRDefault="008F6857" w:rsidP="004C4940">
      <w:pPr>
        <w:pStyle w:val="ListBullet"/>
      </w:pPr>
      <w:proofErr w:type="gramStart"/>
      <w:r w:rsidRPr="00520F74">
        <w:t>in</w:t>
      </w:r>
      <w:proofErr w:type="gramEnd"/>
      <w:r w:rsidRPr="00520F74">
        <w:t xml:space="preserve"> a mouse neuronal model of TSC (in which TSC1 is ablated in most neurons during cortical </w:t>
      </w:r>
      <w:r w:rsidRPr="004C4940">
        <w:t>development</w:t>
      </w:r>
      <w:r w:rsidRPr="00520F74">
        <w:t>), was shown to markedly improve survival and neurological function following repeated intraperitoneal administration.</w:t>
      </w:r>
    </w:p>
    <w:p w14:paraId="63A2EB48" w14:textId="77777777" w:rsidR="00520F74" w:rsidRPr="00520F74" w:rsidRDefault="00520F74" w:rsidP="00520F74">
      <w:bookmarkStart w:id="126" w:name="_Toc314842511"/>
      <w:r w:rsidRPr="00520F74">
        <w:t xml:space="preserve">As per the CER, about 85% of children and adolescents with TSC have neurological manifestations including epilepsy, cognitive impairment and behavioural problems, whereas a subset of affected adults have no signs of cerebral manifestations and have a normal mental status. Brain lesions mainly consist of cortical tubers and hamartomas. Up to 20% of the hamartomas (usually </w:t>
      </w:r>
      <w:proofErr w:type="spellStart"/>
      <w:r w:rsidRPr="00520F74">
        <w:t>subependymal</w:t>
      </w:r>
      <w:proofErr w:type="spellEnd"/>
      <w:r w:rsidRPr="00520F74">
        <w:t xml:space="preserve"> nodules) demonstrate progressive growth into </w:t>
      </w:r>
      <w:proofErr w:type="spellStart"/>
      <w:r w:rsidRPr="00520F74">
        <w:t>subependymal</w:t>
      </w:r>
      <w:proofErr w:type="spellEnd"/>
      <w:r w:rsidRPr="00520F74">
        <w:t xml:space="preserve"> giant-cell </w:t>
      </w:r>
      <w:proofErr w:type="spellStart"/>
      <w:r w:rsidRPr="00520F74">
        <w:t>astrocytomas</w:t>
      </w:r>
      <w:proofErr w:type="spellEnd"/>
      <w:r w:rsidRPr="00520F74">
        <w:t xml:space="preserve"> (SEGAs). As they enlarge, symptoms of increased intracranial pressure, new neurological deficits/neuro-psychiatric problems (such as developmental delay, mental retardation and autism) and early onset epilepsy or seizure control deterioration may occur.</w:t>
      </w:r>
    </w:p>
    <w:p w14:paraId="7C291427" w14:textId="77777777" w:rsidR="00520F74" w:rsidRPr="00520F74" w:rsidRDefault="00520F74" w:rsidP="00520F74">
      <w:r w:rsidRPr="00520F74">
        <w:t xml:space="preserve">In patients with TSC, the mechanisms causing epilepsy are not entirely understood. Dysregulation of development and maintenance of cortical structure and function because of </w:t>
      </w:r>
      <w:proofErr w:type="spellStart"/>
      <w:r w:rsidRPr="00520F74">
        <w:t>mTOR</w:t>
      </w:r>
      <w:proofErr w:type="spellEnd"/>
      <w:r w:rsidRPr="00520F74">
        <w:t xml:space="preserve"> dependent processes may play a role in the development of epilepsy and neuropsychiatric disorders.</w:t>
      </w:r>
    </w:p>
    <w:p w14:paraId="4EF704B1" w14:textId="77777777" w:rsidR="00520F74" w:rsidRPr="00520F74" w:rsidRDefault="00520F74" w:rsidP="00520F74">
      <w:r w:rsidRPr="00520F74">
        <w:t>Regarding seizures, the CER stated that up to 90% of individuals with TSC are affected by a variety of epileptic seizure types, typically occurring in the first year of life (with 82% before 3 years of age); however, up to 12% of adult patients with TSC develop epilepsy as adults.</w:t>
      </w:r>
    </w:p>
    <w:p w14:paraId="757BE31F" w14:textId="77777777" w:rsidR="00F50ABF" w:rsidRDefault="00520F74" w:rsidP="00520F74">
      <w:r w:rsidRPr="00520F74">
        <w:t>Patients with seizure onset before the age of 4 years, particularly when the seizures are frequent or refractory, have a substantially increased risk of subsequent mental retardation or autism</w:t>
      </w:r>
      <w:r w:rsidR="00F50ABF">
        <w:t>.</w:t>
      </w:r>
    </w:p>
    <w:p w14:paraId="2CC520E3" w14:textId="77777777" w:rsidR="00DA52A6" w:rsidRDefault="00520F74" w:rsidP="004C4940">
      <w:r w:rsidRPr="00520F74">
        <w:t>As to the current treatment, the CE stated that seizures associated with TSC are poorly controlled by AEDs, epilepsy surgery, vagal nerve stimulation (VNS) and ketogenic diet. Up to 60% of patients fail to demonstrate improvement in seizure frequency with the available therapies.</w:t>
      </w:r>
    </w:p>
    <w:p w14:paraId="218B6B6D" w14:textId="77777777" w:rsidR="00520F74" w:rsidRPr="00520F74" w:rsidRDefault="00520F74" w:rsidP="00C50702">
      <w:pPr>
        <w:keepNext/>
      </w:pPr>
      <w:r w:rsidRPr="00520F74">
        <w:lastRenderedPageBreak/>
        <w:t xml:space="preserve">Proposed </w:t>
      </w:r>
      <w:r w:rsidR="00FC69C3">
        <w:t>extension of indications:</w:t>
      </w:r>
    </w:p>
    <w:p w14:paraId="7CA4E898" w14:textId="77777777" w:rsidR="00520F74" w:rsidRPr="00520F74" w:rsidRDefault="00520F74" w:rsidP="004C4940">
      <w:pPr>
        <w:ind w:left="567"/>
        <w:rPr>
          <w:i/>
        </w:rPr>
      </w:pPr>
      <w:r w:rsidRPr="00520F74">
        <w:rPr>
          <w:i/>
        </w:rPr>
        <w:t>Adjunctive treatment of patients aged 2years and older with TSC and refractory seizures.</w:t>
      </w:r>
    </w:p>
    <w:p w14:paraId="5D7C11AB" w14:textId="77777777" w:rsidR="00520F74" w:rsidRPr="00520F74" w:rsidRDefault="00520F74" w:rsidP="00520F74">
      <w:r w:rsidRPr="00520F74">
        <w:t xml:space="preserve">Note: Of relevance to the </w:t>
      </w:r>
      <w:r w:rsidR="00FC69C3">
        <w:t>extension of indications, e</w:t>
      </w:r>
      <w:r w:rsidRPr="00520F74">
        <w:t>verolimus is not recommended for use in paediatric patients with:</w:t>
      </w:r>
    </w:p>
    <w:p w14:paraId="7BBEB019" w14:textId="77777777" w:rsidR="00520F74" w:rsidRPr="00520F74" w:rsidRDefault="00520F74" w:rsidP="004C4940">
      <w:pPr>
        <w:pStyle w:val="ListBullet"/>
      </w:pPr>
      <w:r w:rsidRPr="004C4940">
        <w:t>Cancer</w:t>
      </w:r>
      <w:r w:rsidRPr="00520F74">
        <w:t>.</w:t>
      </w:r>
    </w:p>
    <w:p w14:paraId="5D76AD43" w14:textId="77777777" w:rsidR="00520F74" w:rsidRPr="00520F74" w:rsidRDefault="00520F74" w:rsidP="00520F74">
      <w:pPr>
        <w:pStyle w:val="ListBullet"/>
      </w:pPr>
      <w:r w:rsidRPr="00520F74">
        <w:t xml:space="preserve">TSC who have renal </w:t>
      </w:r>
      <w:proofErr w:type="spellStart"/>
      <w:r w:rsidRPr="00520F74">
        <w:t>angiomyolipoma</w:t>
      </w:r>
      <w:proofErr w:type="spellEnd"/>
      <w:r w:rsidRPr="00520F74">
        <w:t xml:space="preserve"> in the absence of SEGA.</w:t>
      </w:r>
    </w:p>
    <w:p w14:paraId="2CE1B8AF" w14:textId="77777777" w:rsidR="00520F74" w:rsidRPr="00520F74" w:rsidRDefault="00520F74" w:rsidP="00520F74">
      <w:pPr>
        <w:pStyle w:val="ListBullet"/>
      </w:pPr>
      <w:r w:rsidRPr="00520F74">
        <w:t xml:space="preserve">Everolimus has not been studied in paediatric patients </w:t>
      </w:r>
      <w:r w:rsidR="00F50ABF">
        <w:t xml:space="preserve">&lt; </w:t>
      </w:r>
      <w:r w:rsidRPr="00520F74">
        <w:t>1 year of age with TSC who have SEGA.</w:t>
      </w:r>
    </w:p>
    <w:p w14:paraId="6A76E724" w14:textId="77777777" w:rsidR="00FC69C3" w:rsidRDefault="00520F74" w:rsidP="00520F74">
      <w:r w:rsidRPr="00520F74">
        <w:t>Proposed dosage form and strengths</w:t>
      </w:r>
      <w:r w:rsidR="000128D8">
        <w:t xml:space="preserve"> are shown in Table 25</w:t>
      </w:r>
      <w:r w:rsidR="00FC69C3">
        <w:t>.</w:t>
      </w:r>
    </w:p>
    <w:p w14:paraId="6E8E3A8C" w14:textId="77777777" w:rsidR="00FC69C3" w:rsidRPr="00520F74" w:rsidRDefault="000128D8" w:rsidP="00FC69C3">
      <w:pPr>
        <w:pStyle w:val="Tabletitle0"/>
      </w:pPr>
      <w:r>
        <w:t>Table 25</w:t>
      </w:r>
      <w:r w:rsidR="00FC69C3">
        <w:t xml:space="preserve">: </w:t>
      </w:r>
      <w:r w:rsidR="00FC69C3" w:rsidRPr="00520F74">
        <w:t>Proposed dosage form and strengths</w:t>
      </w:r>
    </w:p>
    <w:p w14:paraId="61691155" w14:textId="77777777" w:rsidR="00520F74" w:rsidRDefault="00DA52A6" w:rsidP="00520F74">
      <w:r>
        <w:rPr>
          <w:noProof/>
          <w:lang w:eastAsia="en-AU"/>
        </w:rPr>
        <w:drawing>
          <wp:inline distT="0" distB="0" distL="0" distR="0" wp14:anchorId="5F5F80A9" wp14:editId="6DD7C1E9">
            <wp:extent cx="2845612" cy="2077405"/>
            <wp:effectExtent l="0" t="0" r="0" b="0"/>
            <wp:docPr id="1" name="Picture 1" descr="Table 25: Proposed dosage form and str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45612" cy="2077405"/>
                    </a:xfrm>
                    <a:prstGeom prst="rect">
                      <a:avLst/>
                    </a:prstGeom>
                  </pic:spPr>
                </pic:pic>
              </a:graphicData>
            </a:graphic>
          </wp:inline>
        </w:drawing>
      </w:r>
    </w:p>
    <w:p w14:paraId="16CAC91E" w14:textId="77777777" w:rsidR="00DA52A6" w:rsidRPr="00DA52A6" w:rsidRDefault="00DA52A6" w:rsidP="00DA52A6">
      <w:r w:rsidRPr="00DA52A6">
        <w:t>Note: The PI contains the following information on the relative bioavailability of dispersible tablets to the standard tablets:</w:t>
      </w:r>
    </w:p>
    <w:p w14:paraId="7C923233" w14:textId="77777777" w:rsidR="00DA52A6" w:rsidRPr="00DA52A6" w:rsidRDefault="00DA52A6" w:rsidP="004C4940">
      <w:pPr>
        <w:ind w:left="567"/>
      </w:pPr>
      <w:r w:rsidRPr="00DA52A6">
        <w:t>The AUC</w:t>
      </w:r>
      <w:r w:rsidRPr="00FC69C3">
        <w:rPr>
          <w:vertAlign w:val="subscript"/>
        </w:rPr>
        <w:t>0-∞</w:t>
      </w:r>
      <w:r w:rsidRPr="00DA52A6">
        <w:t xml:space="preserve"> of the Afinitor </w:t>
      </w:r>
      <w:r w:rsidR="00FC69C3" w:rsidRPr="00DA52A6">
        <w:t xml:space="preserve">dispersible tablets </w:t>
      </w:r>
      <w:r w:rsidRPr="00DA52A6">
        <w:t>when administered as a</w:t>
      </w:r>
      <w:r>
        <w:t xml:space="preserve"> </w:t>
      </w:r>
      <w:r w:rsidRPr="00DA52A6">
        <w:t xml:space="preserve">suspension in water was </w:t>
      </w:r>
      <w:r w:rsidR="00FC69C3">
        <w:t>equivalent to that of Afinitor t</w:t>
      </w:r>
      <w:r w:rsidRPr="00DA52A6">
        <w:t>ablets (85% to 91% of</w:t>
      </w:r>
      <w:r w:rsidR="00FC69C3">
        <w:t xml:space="preserve"> that associated with Afinitor t</w:t>
      </w:r>
      <w:r w:rsidRPr="00DA52A6">
        <w:t xml:space="preserve">ablets). The predicted trough concentrations of everolimus at </w:t>
      </w:r>
      <w:r w:rsidR="00411FA2">
        <w:t>steady state</w:t>
      </w:r>
      <w:r>
        <w:t xml:space="preserve"> after daily administration</w:t>
      </w:r>
      <w:r w:rsidRPr="00DA52A6">
        <w:t xml:space="preserve"> were similar for both dosage forms. The </w:t>
      </w:r>
      <w:proofErr w:type="spellStart"/>
      <w:r w:rsidRPr="00DA52A6">
        <w:t>C</w:t>
      </w:r>
      <w:r w:rsidRPr="00FC69C3">
        <w:rPr>
          <w:vertAlign w:val="subscript"/>
        </w:rPr>
        <w:t>max</w:t>
      </w:r>
      <w:proofErr w:type="spellEnd"/>
      <w:r w:rsidRPr="00DA52A6">
        <w:t xml:space="preserve"> of </w:t>
      </w:r>
      <w:proofErr w:type="spellStart"/>
      <w:r w:rsidRPr="00DA52A6">
        <w:t>everolimus</w:t>
      </w:r>
      <w:proofErr w:type="spellEnd"/>
      <w:r w:rsidRPr="00DA52A6">
        <w:t xml:space="preserve"> associated with the Afinitor </w:t>
      </w:r>
      <w:r w:rsidR="00FC69C3" w:rsidRPr="00DA52A6">
        <w:t xml:space="preserve">dispersible tablets </w:t>
      </w:r>
      <w:r w:rsidRPr="00DA52A6">
        <w:t xml:space="preserve">was, however, somewhat lower (64% to 80% relative to that associated with Afinitor </w:t>
      </w:r>
      <w:r w:rsidR="00FC69C3">
        <w:t>t</w:t>
      </w:r>
      <w:r w:rsidRPr="00DA52A6">
        <w:t>ablets).</w:t>
      </w:r>
    </w:p>
    <w:p w14:paraId="0F9CD879" w14:textId="77777777" w:rsidR="00DA52A6" w:rsidRPr="00DA52A6" w:rsidRDefault="00DA52A6" w:rsidP="00DA52A6">
      <w:r w:rsidRPr="00DA52A6">
        <w:t xml:space="preserve">Proposed dosage and administration regimen with relevance to the </w:t>
      </w:r>
      <w:r w:rsidR="00FC69C3">
        <w:t>extension of indications</w:t>
      </w:r>
      <w:r w:rsidRPr="00DA52A6">
        <w:t xml:space="preserve"> as per the clinical evaluator (CE)</w:t>
      </w:r>
      <w:r w:rsidR="00FC69C3">
        <w:t>:</w:t>
      </w:r>
    </w:p>
    <w:p w14:paraId="0F295CDF" w14:textId="77777777" w:rsidR="00DA52A6" w:rsidRPr="00DA52A6" w:rsidRDefault="00DA52A6" w:rsidP="004C4940">
      <w:pPr>
        <w:ind w:left="567"/>
      </w:pPr>
      <w:r w:rsidRPr="00DA52A6">
        <w:t>The dosage and administration section runs to 7 pages in the submitted dossier.</w:t>
      </w:r>
    </w:p>
    <w:p w14:paraId="40DC925B" w14:textId="77777777" w:rsidR="00DA52A6" w:rsidRPr="00DA52A6" w:rsidRDefault="00DA52A6" w:rsidP="004C4940">
      <w:pPr>
        <w:ind w:left="567"/>
      </w:pPr>
      <w:r w:rsidRPr="00DA52A6">
        <w:t>Afinitor should be administered orally once daily at the same time every day (preferably in the morning), either consistently with or consistently without food (see Pharmacokinetics). Afinitor is available in two formulations: tablets (Afinitor Tablets) and dispersible tablets (Afinitor Dispersible Tablets).</w:t>
      </w:r>
    </w:p>
    <w:p w14:paraId="68E78180" w14:textId="77777777" w:rsidR="00DA52A6" w:rsidRPr="00DA52A6" w:rsidRDefault="00DA52A6" w:rsidP="004C4940">
      <w:pPr>
        <w:ind w:left="567"/>
      </w:pPr>
      <w:r w:rsidRPr="00DA52A6">
        <w:t>The changes proposed to dosage and Administration in the PI mostly relate to the proposed new Indication. However, there are some changes made to the dosage in the proposed PI and not in the annotated copy.</w:t>
      </w:r>
    </w:p>
    <w:p w14:paraId="1460008A" w14:textId="77777777" w:rsidR="00DA52A6" w:rsidRPr="00DA52A6" w:rsidRDefault="00DA52A6" w:rsidP="00DA52A6">
      <w:r w:rsidRPr="00DA52A6">
        <w:t xml:space="preserve">Note: Other prescribing aspects of </w:t>
      </w:r>
      <w:r w:rsidR="00FC69C3">
        <w:t>e</w:t>
      </w:r>
      <w:r w:rsidRPr="00DA52A6">
        <w:t>verolimus from the approved PI:</w:t>
      </w:r>
    </w:p>
    <w:p w14:paraId="42017D55" w14:textId="77777777" w:rsidR="00F50ABF" w:rsidRDefault="00DA52A6" w:rsidP="00DA52A6">
      <w:pPr>
        <w:pStyle w:val="ListBullet"/>
      </w:pPr>
      <w:r w:rsidRPr="00DA52A6">
        <w:t>Dosing recommendations for paediatric patients (</w:t>
      </w:r>
      <w:r w:rsidR="00F50ABF">
        <w:t xml:space="preserve">&gt; </w:t>
      </w:r>
      <w:r w:rsidRPr="00DA52A6">
        <w:t>1</w:t>
      </w:r>
      <w:r w:rsidR="00411FA2">
        <w:t xml:space="preserve"> </w:t>
      </w:r>
      <w:r w:rsidRPr="00DA52A6">
        <w:t>year) with TSC</w:t>
      </w:r>
      <w:r w:rsidR="00F50ABF">
        <w:t xml:space="preserve"> </w:t>
      </w:r>
      <w:r w:rsidRPr="00DA52A6">
        <w:t>who have SEGA are consistent with those for the corresponding adult population with the exception</w:t>
      </w:r>
      <w:r>
        <w:t xml:space="preserve"> of those patients with hepatic</w:t>
      </w:r>
      <w:r w:rsidRPr="00DA52A6">
        <w:t xml:space="preserve"> impairment</w:t>
      </w:r>
      <w:r w:rsidR="00F50ABF">
        <w:t>.</w:t>
      </w:r>
    </w:p>
    <w:p w14:paraId="4E31FF7E" w14:textId="77777777" w:rsidR="00DA52A6" w:rsidRPr="00DA52A6" w:rsidRDefault="00DA52A6" w:rsidP="00DA52A6">
      <w:pPr>
        <w:pStyle w:val="ListBullet"/>
      </w:pPr>
      <w:r w:rsidRPr="00DA52A6">
        <w:lastRenderedPageBreak/>
        <w:t xml:space="preserve">Everolimus is not recommended for patients </w:t>
      </w:r>
      <w:r w:rsidR="00F50ABF">
        <w:t xml:space="preserve">&lt; </w:t>
      </w:r>
      <w:r w:rsidRPr="00DA52A6">
        <w:t>18 years of age with TSC who have SEGA and hepatic impairment.</w:t>
      </w:r>
    </w:p>
    <w:p w14:paraId="6F2367E7" w14:textId="77777777" w:rsidR="00DA52A6" w:rsidRPr="00DA52A6" w:rsidRDefault="00FC69C3" w:rsidP="00DA52A6">
      <w:bookmarkStart w:id="127" w:name="_Toc477255739"/>
      <w:r>
        <w:t>The submission also included other p</w:t>
      </w:r>
      <w:r w:rsidR="00DA52A6" w:rsidRPr="00DA52A6">
        <w:t>roposed changes to the product documentation</w:t>
      </w:r>
      <w:bookmarkEnd w:id="127"/>
      <w:r>
        <w:t xml:space="preserve"> as follows:</w:t>
      </w:r>
    </w:p>
    <w:p w14:paraId="3C55EEAC" w14:textId="77777777" w:rsidR="00DA52A6" w:rsidRPr="00DA52A6" w:rsidRDefault="00DA52A6" w:rsidP="00DA52A6">
      <w:pPr>
        <w:pStyle w:val="ListBullet"/>
      </w:pPr>
      <w:r w:rsidRPr="00DA52A6">
        <w:t xml:space="preserve">changes to the </w:t>
      </w:r>
      <w:r w:rsidR="00FC69C3" w:rsidRPr="00DA52A6">
        <w:t>mechanism of action</w:t>
      </w:r>
    </w:p>
    <w:p w14:paraId="47B209BC" w14:textId="77777777" w:rsidR="00DA52A6" w:rsidRPr="00DA52A6" w:rsidRDefault="00DA52A6" w:rsidP="00DA52A6">
      <w:pPr>
        <w:pStyle w:val="ListBullet"/>
      </w:pPr>
      <w:r w:rsidRPr="00DA52A6">
        <w:t xml:space="preserve">adding to </w:t>
      </w:r>
      <w:r w:rsidR="00FC69C3" w:rsidRPr="00DA52A6">
        <w:t xml:space="preserve">the </w:t>
      </w:r>
      <w:r w:rsidR="00411FA2">
        <w:t>exposure response</w:t>
      </w:r>
      <w:r w:rsidR="00FC69C3" w:rsidRPr="00DA52A6">
        <w:t xml:space="preserve"> relationships under pharmacodynamic </w:t>
      </w:r>
      <w:r w:rsidRPr="00DA52A6">
        <w:t>properties</w:t>
      </w:r>
    </w:p>
    <w:p w14:paraId="142C558E" w14:textId="77777777" w:rsidR="00DA52A6" w:rsidRPr="00DA52A6" w:rsidRDefault="00DA52A6" w:rsidP="00DA52A6">
      <w:pPr>
        <w:pStyle w:val="ListBullet"/>
      </w:pPr>
      <w:r w:rsidRPr="00DA52A6">
        <w:t xml:space="preserve">adding to </w:t>
      </w:r>
      <w:r w:rsidR="00FC69C3" w:rsidRPr="00DA52A6">
        <w:t>the paediatrics pharmacokinetics</w:t>
      </w:r>
    </w:p>
    <w:p w14:paraId="03DADD6A" w14:textId="77777777" w:rsidR="00DA52A6" w:rsidRPr="00DA52A6" w:rsidRDefault="00DA52A6" w:rsidP="00DA52A6">
      <w:pPr>
        <w:pStyle w:val="ListBullet"/>
      </w:pPr>
      <w:r w:rsidRPr="00DA52A6">
        <w:t xml:space="preserve">adding Tuberous sclerosis complex (TSC) with refractory seizures </w:t>
      </w:r>
      <w:r w:rsidR="00FC69C3" w:rsidRPr="00DA52A6">
        <w:t>to clinical trials</w:t>
      </w:r>
    </w:p>
    <w:p w14:paraId="7E6CE127" w14:textId="77777777" w:rsidR="00DA52A6" w:rsidRPr="00DA52A6" w:rsidRDefault="00DA52A6" w:rsidP="00DA52A6">
      <w:pPr>
        <w:pStyle w:val="ListBullet"/>
      </w:pPr>
      <w:r w:rsidRPr="00DA52A6">
        <w:t xml:space="preserve">adding to </w:t>
      </w:r>
      <w:r w:rsidR="00FC69C3" w:rsidRPr="00DA52A6">
        <w:t>the</w:t>
      </w:r>
      <w:r w:rsidR="00FC69C3">
        <w:t xml:space="preserve"> precautions hepatic impairment</w:t>
      </w:r>
    </w:p>
    <w:p w14:paraId="32069778" w14:textId="77777777" w:rsidR="00DA52A6" w:rsidRPr="00DA52A6" w:rsidRDefault="00DA52A6" w:rsidP="00DA52A6">
      <w:pPr>
        <w:pStyle w:val="ListBullet"/>
      </w:pPr>
      <w:r w:rsidRPr="00DA52A6">
        <w:t xml:space="preserve">amending </w:t>
      </w:r>
      <w:r w:rsidR="00FC69C3" w:rsidRPr="00DA52A6">
        <w:t>the precautions</w:t>
      </w:r>
      <w:r w:rsidR="00FC69C3">
        <w:t xml:space="preserve"> </w:t>
      </w:r>
      <w:r w:rsidR="00FC69C3" w:rsidRPr="00DA52A6">
        <w:t xml:space="preserve">paediatric </w:t>
      </w:r>
      <w:r w:rsidR="00FC69C3">
        <w:t>use</w:t>
      </w:r>
    </w:p>
    <w:p w14:paraId="41EDABA3" w14:textId="77777777" w:rsidR="00DA52A6" w:rsidRPr="00DA52A6" w:rsidRDefault="00DA52A6" w:rsidP="00DA52A6">
      <w:pPr>
        <w:pStyle w:val="ListBullet"/>
      </w:pPr>
      <w:r w:rsidRPr="00DA52A6">
        <w:t xml:space="preserve">adding to </w:t>
      </w:r>
      <w:r w:rsidR="00FC69C3" w:rsidRPr="00DA52A6">
        <w:t xml:space="preserve">the interactions with other medicines - agents whose </w:t>
      </w:r>
      <w:r w:rsidRPr="00DA52A6">
        <w:t>plasma c</w:t>
      </w:r>
      <w:r w:rsidR="00FC69C3">
        <w:t>oncentration may be altered by e</w:t>
      </w:r>
      <w:r w:rsidRPr="00DA52A6">
        <w:t>verolimus</w:t>
      </w:r>
    </w:p>
    <w:p w14:paraId="55DE6C46" w14:textId="77777777" w:rsidR="00DA52A6" w:rsidRPr="00DA52A6" w:rsidRDefault="00DA52A6" w:rsidP="00DA52A6">
      <w:pPr>
        <w:pStyle w:val="ListBullet"/>
      </w:pPr>
      <w:proofErr w:type="gramStart"/>
      <w:r w:rsidRPr="00DA52A6">
        <w:t>updating</w:t>
      </w:r>
      <w:proofErr w:type="gramEnd"/>
      <w:r w:rsidRPr="00DA52A6">
        <w:t xml:space="preserve"> the Adverse Effects.</w:t>
      </w:r>
    </w:p>
    <w:p w14:paraId="50EC8E06" w14:textId="5821D07F" w:rsidR="00DA52A6" w:rsidRPr="00DA52A6" w:rsidRDefault="004C4940" w:rsidP="00DA52A6">
      <w:pPr>
        <w:pStyle w:val="Heading5"/>
      </w:pPr>
      <w:r>
        <w:t>Present a</w:t>
      </w:r>
      <w:r w:rsidR="00DA52A6" w:rsidRPr="00DA52A6">
        <w:t>pplication</w:t>
      </w:r>
    </w:p>
    <w:p w14:paraId="1E1158CB" w14:textId="77777777" w:rsidR="00DA52A6" w:rsidRPr="00DA52A6" w:rsidRDefault="00DA52A6" w:rsidP="00DA52A6">
      <w:r w:rsidRPr="00DA52A6">
        <w:t>Pre-clinical results established th</w:t>
      </w:r>
      <w:r w:rsidR="00FC69C3">
        <w:t xml:space="preserve">e critical role of </w:t>
      </w:r>
      <w:proofErr w:type="spellStart"/>
      <w:r w:rsidR="00FC69C3">
        <w:t>mTOR</w:t>
      </w:r>
      <w:proofErr w:type="spellEnd"/>
      <w:r w:rsidR="00FC69C3">
        <w:t xml:space="preserve"> in TSC </w:t>
      </w:r>
      <w:r w:rsidRPr="00DA52A6">
        <w:t xml:space="preserve">related seizures and the underlying </w:t>
      </w:r>
      <w:proofErr w:type="spellStart"/>
      <w:r w:rsidRPr="00DA52A6">
        <w:t>epileptogenesis</w:t>
      </w:r>
      <w:proofErr w:type="spellEnd"/>
      <w:r w:rsidRPr="00DA52A6">
        <w:t xml:space="preserve"> mechanisms. The results suggested that inhibitin</w:t>
      </w:r>
      <w:r w:rsidR="00FC69C3">
        <w:t xml:space="preserve">g </w:t>
      </w:r>
      <w:proofErr w:type="spellStart"/>
      <w:r w:rsidR="00FC69C3">
        <w:t>mTOR</w:t>
      </w:r>
      <w:proofErr w:type="spellEnd"/>
      <w:r w:rsidR="00FC69C3">
        <w:t xml:space="preserve"> is a promising mechanism </w:t>
      </w:r>
      <w:r w:rsidRPr="00DA52A6">
        <w:t xml:space="preserve">based seizure reduction and an </w:t>
      </w:r>
      <w:proofErr w:type="spellStart"/>
      <w:r w:rsidRPr="00DA52A6">
        <w:t>antiepileptogenic</w:t>
      </w:r>
      <w:proofErr w:type="spellEnd"/>
      <w:r w:rsidRPr="00DA52A6">
        <w:t xml:space="preserve"> therapy for treating TSC related epilepsy. On the basis of these pre-clinical results and preliminary clinical efficacy data, Novartis initiated a </w:t>
      </w:r>
      <w:r w:rsidR="00656D98">
        <w:t>Phase III</w:t>
      </w:r>
      <w:r w:rsidRPr="00DA52A6">
        <w:t xml:space="preserve"> study to investigate the safety and efficacy of </w:t>
      </w:r>
      <w:r w:rsidR="00FC69C3">
        <w:t>everolimus</w:t>
      </w:r>
      <w:r w:rsidRPr="00DA52A6">
        <w:t xml:space="preserve"> in patients with TSC and refractory seizures.</w:t>
      </w:r>
    </w:p>
    <w:p w14:paraId="1A882AB5" w14:textId="77777777" w:rsidR="00F50ABF" w:rsidRDefault="00DA52A6" w:rsidP="00DA52A6">
      <w:r w:rsidRPr="00DA52A6">
        <w:t xml:space="preserve">This current submission represents the first proposed use of </w:t>
      </w:r>
      <w:r w:rsidR="00FC69C3">
        <w:t>e</w:t>
      </w:r>
      <w:r w:rsidRPr="00DA52A6">
        <w:t xml:space="preserve">verolimus </w:t>
      </w:r>
      <w:r>
        <w:t xml:space="preserve">for a non-oncology indication. </w:t>
      </w:r>
      <w:r w:rsidRPr="00DA52A6">
        <w:t>Additionally it is proposed for use in a paediatric population</w:t>
      </w:r>
      <w:r w:rsidR="00F50ABF">
        <w:t>.</w:t>
      </w:r>
    </w:p>
    <w:p w14:paraId="74DB15C0" w14:textId="77777777" w:rsidR="00730F8A" w:rsidRDefault="008E7846" w:rsidP="00411FA2">
      <w:pPr>
        <w:pStyle w:val="Heading3"/>
      </w:pPr>
      <w:bookmarkStart w:id="128" w:name="_Toc1555420"/>
      <w:r>
        <w:t>Quality</w:t>
      </w:r>
      <w:bookmarkEnd w:id="124"/>
      <w:bookmarkEnd w:id="126"/>
      <w:bookmarkEnd w:id="128"/>
    </w:p>
    <w:p w14:paraId="13DE6934" w14:textId="77777777" w:rsidR="00E45619" w:rsidRDefault="008E7846" w:rsidP="003A7F6C">
      <w:r>
        <w:t>There was no requirement for a quality evaluation in a submission of this type.</w:t>
      </w:r>
    </w:p>
    <w:p w14:paraId="5676AC82" w14:textId="77777777" w:rsidR="008E7846" w:rsidRDefault="008E7846" w:rsidP="008E7846">
      <w:pPr>
        <w:pStyle w:val="Heading3"/>
      </w:pPr>
      <w:bookmarkStart w:id="129" w:name="_Toc314842512"/>
      <w:bookmarkStart w:id="130" w:name="_Toc1555421"/>
      <w:r>
        <w:t>Nonclinical</w:t>
      </w:r>
      <w:bookmarkEnd w:id="129"/>
      <w:bookmarkEnd w:id="130"/>
    </w:p>
    <w:p w14:paraId="21C4CF0B" w14:textId="77777777" w:rsidR="00F50ABF" w:rsidRDefault="00F50805" w:rsidP="00F50805">
      <w:bookmarkStart w:id="131" w:name="_Toc247691530"/>
      <w:bookmarkStart w:id="132" w:name="_Toc314842513"/>
      <w:r w:rsidRPr="00F50805">
        <w:t>The revised and/or new ‘</w:t>
      </w:r>
      <w:r w:rsidR="00411FA2" w:rsidRPr="00F50805">
        <w:t>mechanism of action’</w:t>
      </w:r>
      <w:r w:rsidR="00411FA2">
        <w:t xml:space="preserve"> </w:t>
      </w:r>
      <w:r w:rsidRPr="00F50805">
        <w:t>nonclinical statements in the d</w:t>
      </w:r>
      <w:r w:rsidR="00FC69C3">
        <w:t xml:space="preserve">raft PI were </w:t>
      </w:r>
      <w:r w:rsidRPr="00F50805">
        <w:t>either supported by data reviewed in earlier evaluation reports</w:t>
      </w:r>
      <w:r w:rsidR="00F50ABF">
        <w:t xml:space="preserve"> </w:t>
      </w:r>
      <w:r w:rsidRPr="00F50805">
        <w:t xml:space="preserve">and/or were supported by newly submitted published data. Details of the studies which were evaluated to support </w:t>
      </w:r>
      <w:r w:rsidR="00FC69C3" w:rsidRPr="00F50805">
        <w:t>the mechanism of action (pharmacodynamics</w:t>
      </w:r>
      <w:r w:rsidRPr="00F50805">
        <w:t xml:space="preserve">) section are included in the </w:t>
      </w:r>
      <w:r w:rsidR="00FC69C3">
        <w:t>nonclinical evaluation report</w:t>
      </w:r>
      <w:r w:rsidR="00F50ABF">
        <w:t>.</w:t>
      </w:r>
    </w:p>
    <w:p w14:paraId="1647AE58" w14:textId="77777777" w:rsidR="00F50ABF" w:rsidRDefault="00F50805" w:rsidP="00F50805">
      <w:r w:rsidRPr="00F50805">
        <w:t>The nonclinical statements in the proposed PI are acceptable</w:t>
      </w:r>
      <w:r w:rsidR="00F50ABF">
        <w:t>.</w:t>
      </w:r>
    </w:p>
    <w:p w14:paraId="56F8152C" w14:textId="77777777" w:rsidR="00F50805" w:rsidRPr="00F50805" w:rsidRDefault="00F50805" w:rsidP="00F50805">
      <w:r>
        <w:t>T</w:t>
      </w:r>
      <w:r w:rsidRPr="00F50805">
        <w:t xml:space="preserve">here </w:t>
      </w:r>
      <w:r w:rsidR="00411FA2">
        <w:t>were</w:t>
      </w:r>
      <w:r w:rsidRPr="00F50805">
        <w:t xml:space="preserve"> no nonclinical objections to the proposed </w:t>
      </w:r>
      <w:r w:rsidR="00FC69C3">
        <w:t>extension of indications</w:t>
      </w:r>
      <w:r w:rsidRPr="00F50805">
        <w:t>.</w:t>
      </w:r>
    </w:p>
    <w:p w14:paraId="06512376" w14:textId="77777777" w:rsidR="008E7846" w:rsidRDefault="008E7846" w:rsidP="008E7846">
      <w:pPr>
        <w:pStyle w:val="Heading3"/>
      </w:pPr>
      <w:bookmarkStart w:id="133" w:name="_Toc1555422"/>
      <w:r>
        <w:t>Clinical</w:t>
      </w:r>
      <w:bookmarkEnd w:id="131"/>
      <w:bookmarkEnd w:id="132"/>
      <w:bookmarkEnd w:id="133"/>
    </w:p>
    <w:p w14:paraId="71CA1D9C" w14:textId="77777777" w:rsidR="00C30F8D" w:rsidRDefault="00C30F8D" w:rsidP="00C30F8D">
      <w:pPr>
        <w:pStyle w:val="Heading4"/>
      </w:pPr>
      <w:bookmarkStart w:id="134" w:name="_Toc477255752"/>
      <w:bookmarkStart w:id="135" w:name="_Toc314842514"/>
      <w:r>
        <w:t>Pharmacokinetics</w:t>
      </w:r>
    </w:p>
    <w:p w14:paraId="71DEEF44" w14:textId="77777777" w:rsidR="00F50805" w:rsidRPr="00411FA2" w:rsidRDefault="00F50805" w:rsidP="00411FA2">
      <w:r w:rsidRPr="00F50805">
        <w:t xml:space="preserve">Studies identified by </w:t>
      </w:r>
      <w:r w:rsidR="00FC69C3">
        <w:t>clinical evaluator</w:t>
      </w:r>
      <w:r w:rsidRPr="00F50805">
        <w:t xml:space="preserve"> as providing pharmacokinetic (PK</w:t>
      </w:r>
      <w:bookmarkEnd w:id="134"/>
      <w:r w:rsidRPr="00F50805">
        <w:t>) information</w:t>
      </w:r>
      <w:r w:rsidR="000128D8">
        <w:t xml:space="preserve"> are shown in Table 6</w:t>
      </w:r>
      <w:r w:rsidR="00411FA2">
        <w:t xml:space="preserve"> above</w:t>
      </w:r>
      <w:r w:rsidR="00FC69C3">
        <w:t>.</w:t>
      </w:r>
    </w:p>
    <w:p w14:paraId="108DFED0" w14:textId="77777777" w:rsidR="00F50805" w:rsidRPr="00F50805" w:rsidRDefault="00F50805" w:rsidP="00411FA2">
      <w:pPr>
        <w:pStyle w:val="Heading5"/>
      </w:pPr>
      <w:bookmarkStart w:id="136" w:name="_Toc477255753"/>
      <w:r w:rsidRPr="00F50805">
        <w:lastRenderedPageBreak/>
        <w:t xml:space="preserve">Summary of </w:t>
      </w:r>
      <w:bookmarkEnd w:id="136"/>
      <w:r w:rsidRPr="00F50805">
        <w:t>PK from the CER</w:t>
      </w:r>
    </w:p>
    <w:p w14:paraId="327535D3" w14:textId="77777777" w:rsidR="00F50805" w:rsidRPr="00F50805" w:rsidRDefault="00F50805" w:rsidP="00411FA2">
      <w:pPr>
        <w:pStyle w:val="Heading6"/>
      </w:pPr>
      <w:r w:rsidRPr="00F50805">
        <w:t>Pop</w:t>
      </w:r>
      <w:r w:rsidR="00FC69C3">
        <w:t xml:space="preserve">ulation </w:t>
      </w:r>
      <w:r w:rsidRPr="00F50805">
        <w:t>PK</w:t>
      </w:r>
    </w:p>
    <w:p w14:paraId="559EA556" w14:textId="77777777" w:rsidR="00F50805" w:rsidRPr="00F50805" w:rsidRDefault="00F50805" w:rsidP="00F50805">
      <w:pPr>
        <w:pStyle w:val="ListBullet"/>
      </w:pPr>
      <w:r w:rsidRPr="00F50805">
        <w:t xml:space="preserve">Analysis relied on a 5 year update of the previous model based on 3 year data </w:t>
      </w:r>
      <w:r w:rsidR="00F50ABF">
        <w:t>(</w:t>
      </w:r>
      <w:r w:rsidR="00411FA2">
        <w:t>t</w:t>
      </w:r>
      <w:r w:rsidRPr="00F50805">
        <w:t xml:space="preserve">he previous PopPK model was a two-compartment model with first-order input (rate constant KA), apparent clearances (CL/F and Q/F), and apparent volumes (V2/F and V3/F). The typical values of some of the PK parameters depended on body surface area (BSA, </w:t>
      </w:r>
      <w:r w:rsidR="00FC69C3" w:rsidRPr="00F50805">
        <w:t>m</w:t>
      </w:r>
      <w:r w:rsidR="00FC69C3" w:rsidRPr="00FC69C3">
        <w:rPr>
          <w:vertAlign w:val="superscript"/>
        </w:rPr>
        <w:t>2</w:t>
      </w:r>
      <w:r w:rsidRPr="00F50805">
        <w:t xml:space="preserve">) and an indicator for the presence or absence of CYP3A4 or </w:t>
      </w:r>
      <w:proofErr w:type="spellStart"/>
      <w:r w:rsidRPr="00F50805">
        <w:t>PgP</w:t>
      </w:r>
      <w:proofErr w:type="spellEnd"/>
      <w:r w:rsidRPr="00F50805">
        <w:t xml:space="preserve"> inducers. Since the use of additional covariates showed larger % error in predictions of trough levels, the </w:t>
      </w:r>
      <w:r w:rsidR="00411FA2">
        <w:t>5 year</w:t>
      </w:r>
      <w:r w:rsidRPr="00F50805">
        <w:t xml:space="preserve"> model with no additional covariates (to those of the existing </w:t>
      </w:r>
      <w:r w:rsidR="00411FA2">
        <w:t>3 year</w:t>
      </w:r>
      <w:r w:rsidRPr="00F50805">
        <w:t xml:space="preserve"> model) was adopted</w:t>
      </w:r>
      <w:r w:rsidR="00F50ABF">
        <w:t>)</w:t>
      </w:r>
      <w:r w:rsidRPr="00F50805">
        <w:t>.</w:t>
      </w:r>
    </w:p>
    <w:p w14:paraId="4239AB3C" w14:textId="77777777" w:rsidR="00F50805" w:rsidRPr="00F50805" w:rsidRDefault="00F50805" w:rsidP="00F50805">
      <w:pPr>
        <w:pStyle w:val="ListBullet"/>
      </w:pPr>
      <w:r w:rsidRPr="00F50805">
        <w:t xml:space="preserve">Typical </w:t>
      </w:r>
      <w:r w:rsidR="00411FA2">
        <w:t>steady state</w:t>
      </w:r>
      <w:r w:rsidRPr="00F50805">
        <w:t xml:space="preserve"> trough level was predicted to be near the mi</w:t>
      </w:r>
      <w:r w:rsidR="00FC69C3">
        <w:t xml:space="preserve">dpoint of the target range </w:t>
      </w:r>
      <w:proofErr w:type="gramStart"/>
      <w:r w:rsidR="00FC69C3">
        <w:t xml:space="preserve">of 5 to </w:t>
      </w:r>
      <w:r w:rsidRPr="00F50805">
        <w:t>1</w:t>
      </w:r>
      <w:r w:rsidR="00FC69C3">
        <w:t>5 ng</w:t>
      </w:r>
      <w:r w:rsidRPr="00F50805">
        <w:t>/mL</w:t>
      </w:r>
      <w:proofErr w:type="gramEnd"/>
      <w:r w:rsidRPr="00F50805">
        <w:t xml:space="preserve"> for an adult on a 4.5 mg/</w:t>
      </w:r>
      <w:r w:rsidR="00FC69C3" w:rsidRPr="00F50805">
        <w:t>m</w:t>
      </w:r>
      <w:r w:rsidR="00FC69C3" w:rsidRPr="00FC69C3">
        <w:rPr>
          <w:vertAlign w:val="superscript"/>
        </w:rPr>
        <w:t>2</w:t>
      </w:r>
      <w:r w:rsidRPr="00F50805">
        <w:t xml:space="preserve"> dose with absence of CYP3A4 or </w:t>
      </w:r>
      <w:proofErr w:type="spellStart"/>
      <w:r w:rsidRPr="00F50805">
        <w:t>PgP</w:t>
      </w:r>
      <w:proofErr w:type="spellEnd"/>
      <w:r w:rsidRPr="00F50805">
        <w:t xml:space="preserve"> enzyme inducers. The presence of inducer was associated with numerically greater decrease in trough levels for adults compared to children. Typical </w:t>
      </w:r>
      <w:r w:rsidR="00411FA2">
        <w:t>steady state</w:t>
      </w:r>
      <w:r w:rsidRPr="00F50805">
        <w:t xml:space="preserve"> trough levels are predicted to be near the lower limit of the target range for a child or anyone with presence of CYP3A4 or </w:t>
      </w:r>
      <w:proofErr w:type="spellStart"/>
      <w:r w:rsidRPr="00F50805">
        <w:t>PgP</w:t>
      </w:r>
      <w:proofErr w:type="spellEnd"/>
      <w:r w:rsidRPr="00F50805">
        <w:t xml:space="preserve"> enzyme inducers. Thus:</w:t>
      </w:r>
    </w:p>
    <w:p w14:paraId="396AF237" w14:textId="77777777" w:rsidR="00F50805" w:rsidRPr="00F50805" w:rsidRDefault="00F50805" w:rsidP="00F50805">
      <w:pPr>
        <w:pStyle w:val="ListBullet2"/>
      </w:pPr>
      <w:r w:rsidRPr="00F50805">
        <w:t>Children or anyone with presence of inducers may need a dose increase from 4.5mg/</w:t>
      </w:r>
      <w:r w:rsidR="00FC69C3" w:rsidRPr="00F50805">
        <w:t>m</w:t>
      </w:r>
      <w:r w:rsidR="00FC69C3" w:rsidRPr="00FC69C3">
        <w:rPr>
          <w:vertAlign w:val="superscript"/>
        </w:rPr>
        <w:t>2</w:t>
      </w:r>
      <w:r w:rsidRPr="00F50805">
        <w:t xml:space="preserve"> to maintain </w:t>
      </w:r>
      <w:r w:rsidR="00411FA2">
        <w:t>steady state</w:t>
      </w:r>
      <w:r w:rsidRPr="00F50805">
        <w:t xml:space="preserve"> trough levels within the target range</w:t>
      </w:r>
      <w:r w:rsidR="00FC69C3">
        <w:t>.</w:t>
      </w:r>
    </w:p>
    <w:p w14:paraId="56DB0484" w14:textId="51EBD3D0" w:rsidR="00F50805" w:rsidRPr="00F50805" w:rsidRDefault="00F50805" w:rsidP="00F50805">
      <w:pPr>
        <w:pStyle w:val="ListBullet"/>
      </w:pPr>
      <w:r w:rsidRPr="00F50805">
        <w:t xml:space="preserve">Steady state </w:t>
      </w:r>
      <w:proofErr w:type="spellStart"/>
      <w:r w:rsidR="00F50ABF" w:rsidRPr="00C9173F">
        <w:t>C</w:t>
      </w:r>
      <w:r w:rsidR="00F50ABF" w:rsidRPr="00F50ABF">
        <w:rPr>
          <w:vertAlign w:val="subscript"/>
        </w:rPr>
        <w:t>min</w:t>
      </w:r>
      <w:proofErr w:type="spellEnd"/>
      <w:r w:rsidRPr="00F50805">
        <w:t xml:space="preserve"> based on a higher starting dose was simulated for children </w:t>
      </w:r>
      <w:r w:rsidR="00411FA2">
        <w:t>1 year</w:t>
      </w:r>
      <w:r w:rsidRPr="00F50805">
        <w:t xml:space="preserve"> to less than 3</w:t>
      </w:r>
      <w:r w:rsidR="000046CE">
        <w:t xml:space="preserve"> </w:t>
      </w:r>
      <w:r w:rsidRPr="00F50805">
        <w:t>y</w:t>
      </w:r>
      <w:r w:rsidR="000046CE">
        <w:t>ears</w:t>
      </w:r>
      <w:r w:rsidRPr="00F50805">
        <w:t xml:space="preserve"> to deliver typical initial steady state </w:t>
      </w:r>
      <w:proofErr w:type="spellStart"/>
      <w:r w:rsidR="00F50ABF" w:rsidRPr="00C9173F">
        <w:t>C</w:t>
      </w:r>
      <w:r w:rsidR="00F50ABF" w:rsidRPr="00F50ABF">
        <w:rPr>
          <w:vertAlign w:val="subscript"/>
        </w:rPr>
        <w:t>min</w:t>
      </w:r>
      <w:proofErr w:type="spellEnd"/>
      <w:r w:rsidRPr="00F50805">
        <w:t xml:space="preserve"> higher </w:t>
      </w:r>
      <w:proofErr w:type="gramStart"/>
      <w:r w:rsidRPr="00F50805">
        <w:t xml:space="preserve">than </w:t>
      </w:r>
      <w:r w:rsidR="00FC69C3">
        <w:t>5 ng</w:t>
      </w:r>
      <w:r w:rsidRPr="00F50805">
        <w:t>/mL</w:t>
      </w:r>
      <w:proofErr w:type="gramEnd"/>
      <w:r w:rsidRPr="00F50805">
        <w:t xml:space="preserve"> across the BSA range observed in the trial at time of first </w:t>
      </w:r>
      <w:r w:rsidR="00FC69C3">
        <w:t>everolimus</w:t>
      </w:r>
      <w:r w:rsidRPr="00F50805">
        <w:t xml:space="preserve"> dose (0.42 </w:t>
      </w:r>
      <w:r w:rsidR="00FC69C3" w:rsidRPr="00F50805">
        <w:t>m</w:t>
      </w:r>
      <w:r w:rsidR="00FC69C3" w:rsidRPr="00FC69C3">
        <w:rPr>
          <w:vertAlign w:val="superscript"/>
        </w:rPr>
        <w:t>2</w:t>
      </w:r>
      <w:r w:rsidRPr="00F50805">
        <w:t xml:space="preserve"> to 0.74</w:t>
      </w:r>
      <w:r w:rsidR="00FC69C3" w:rsidRPr="00F50805">
        <w:t>m</w:t>
      </w:r>
      <w:r w:rsidR="00FC69C3" w:rsidRPr="00FC69C3">
        <w:rPr>
          <w:vertAlign w:val="superscript"/>
        </w:rPr>
        <w:t>2</w:t>
      </w:r>
      <w:r w:rsidRPr="00F50805">
        <w:t>). Thus:</w:t>
      </w:r>
    </w:p>
    <w:p w14:paraId="2B49224F" w14:textId="2D45287C" w:rsidR="00F50805" w:rsidRDefault="00F50805" w:rsidP="00F50805">
      <w:pPr>
        <w:pStyle w:val="ListBullet2"/>
      </w:pPr>
      <w:r w:rsidRPr="00F50805">
        <w:t xml:space="preserve">A higher starting dose of </w:t>
      </w:r>
      <w:r w:rsidR="00FC69C3">
        <w:t>7 mg</w:t>
      </w:r>
      <w:r w:rsidRPr="00F50805">
        <w:t>/</w:t>
      </w:r>
      <w:r w:rsidR="00FC69C3" w:rsidRPr="00F50805">
        <w:t>m</w:t>
      </w:r>
      <w:r w:rsidR="00FC69C3" w:rsidRPr="00FC69C3">
        <w:rPr>
          <w:vertAlign w:val="superscript"/>
        </w:rPr>
        <w:t>2</w:t>
      </w:r>
      <w:r w:rsidRPr="00F50805">
        <w:t xml:space="preserve"> based on the dispersible tablet or the regular tablet is suggested for children 1 to </w:t>
      </w:r>
      <w:r w:rsidR="00F50ABF">
        <w:t xml:space="preserve">&lt; </w:t>
      </w:r>
      <w:r w:rsidRPr="00F50805">
        <w:t>3</w:t>
      </w:r>
      <w:r w:rsidR="00FC69C3">
        <w:t xml:space="preserve"> years </w:t>
      </w:r>
      <w:r w:rsidRPr="00F50805">
        <w:t xml:space="preserve">to help </w:t>
      </w:r>
      <w:r w:rsidR="000046CE" w:rsidRPr="00F50805">
        <w:t>minimi</w:t>
      </w:r>
      <w:r w:rsidR="000046CE">
        <w:t>s</w:t>
      </w:r>
      <w:r w:rsidR="000046CE" w:rsidRPr="00F50805">
        <w:t xml:space="preserve">e </w:t>
      </w:r>
      <w:r w:rsidRPr="00F50805">
        <w:t xml:space="preserve">blood draws in these youngest children by reducing the number of dose titrations to attain the </w:t>
      </w:r>
      <w:proofErr w:type="spellStart"/>
      <w:r w:rsidR="00F50ABF" w:rsidRPr="00C9173F">
        <w:t>C</w:t>
      </w:r>
      <w:r w:rsidR="00F50ABF" w:rsidRPr="00F50ABF">
        <w:rPr>
          <w:vertAlign w:val="subscript"/>
        </w:rPr>
        <w:t>min</w:t>
      </w:r>
      <w:proofErr w:type="spellEnd"/>
      <w:r w:rsidRPr="00F50805">
        <w:t xml:space="preserve"> within the target range </w:t>
      </w:r>
      <w:proofErr w:type="gramStart"/>
      <w:r w:rsidRPr="00F50805">
        <w:t>of 5 to 1</w:t>
      </w:r>
      <w:r w:rsidR="00FC69C3">
        <w:t>5 ng</w:t>
      </w:r>
      <w:r w:rsidRPr="00F50805">
        <w:t>/</w:t>
      </w:r>
      <w:proofErr w:type="spellStart"/>
      <w:r w:rsidRPr="00F50805">
        <w:t>mL</w:t>
      </w:r>
      <w:proofErr w:type="gramEnd"/>
      <w:r w:rsidRPr="00F50805">
        <w:t>.</w:t>
      </w:r>
      <w:proofErr w:type="spellEnd"/>
    </w:p>
    <w:p w14:paraId="2FB5E8D2" w14:textId="77777777" w:rsidR="00F50805" w:rsidRDefault="00F23035" w:rsidP="007B6132">
      <w:r>
        <w:t>Please see Figure 2</w:t>
      </w:r>
      <w:r w:rsidR="00411FA2">
        <w:t xml:space="preserve"> above.</w:t>
      </w:r>
    </w:p>
    <w:p w14:paraId="70B19C00" w14:textId="77777777" w:rsidR="00F50805" w:rsidRPr="00F50805" w:rsidRDefault="00F50805" w:rsidP="00F50805">
      <w:pPr>
        <w:pStyle w:val="Heading5"/>
      </w:pPr>
      <w:bookmarkStart w:id="137" w:name="_Toc241374294"/>
      <w:bookmarkStart w:id="138" w:name="_Toc272414632"/>
      <w:bookmarkStart w:id="139" w:name="_Toc290888481"/>
      <w:bookmarkStart w:id="140" w:name="_Toc416353678"/>
      <w:bookmarkStart w:id="141" w:name="_Toc421005249"/>
      <w:bookmarkStart w:id="142" w:name="_Toc432079130"/>
      <w:bookmarkStart w:id="143" w:name="_Toc432080703"/>
      <w:bookmarkStart w:id="144" w:name="_Ref475347351"/>
      <w:r w:rsidRPr="00F50805">
        <w:t>Pharmacokinetic interactions</w:t>
      </w:r>
      <w:bookmarkEnd w:id="137"/>
      <w:bookmarkEnd w:id="138"/>
      <w:bookmarkEnd w:id="139"/>
      <w:bookmarkEnd w:id="140"/>
      <w:bookmarkEnd w:id="141"/>
      <w:bookmarkEnd w:id="142"/>
      <w:bookmarkEnd w:id="143"/>
      <w:bookmarkEnd w:id="144"/>
    </w:p>
    <w:p w14:paraId="68BA926D" w14:textId="77777777" w:rsidR="00F50805" w:rsidRPr="00F50805" w:rsidRDefault="00F50805" w:rsidP="00F50805">
      <w:r w:rsidRPr="00F50805">
        <w:t xml:space="preserve">Treatment with </w:t>
      </w:r>
      <w:r w:rsidR="00FC69C3">
        <w:t>everolimus</w:t>
      </w:r>
      <w:r w:rsidRPr="00F50805">
        <w:t xml:space="preserve"> was associated with minor increases in the concentrations of:</w:t>
      </w:r>
    </w:p>
    <w:p w14:paraId="58904520" w14:textId="0CF10B9F" w:rsidR="00F50805" w:rsidRPr="00F50805" w:rsidRDefault="00F50805" w:rsidP="00F50805">
      <w:pPr>
        <w:pStyle w:val="ListBullet"/>
      </w:pPr>
      <w:r w:rsidRPr="00F50805">
        <w:t xml:space="preserve">Carbamazepine (geometric mean ratio of AED concentrations was 1.108 </w:t>
      </w:r>
      <w:r w:rsidR="00F50ABF">
        <w:t>(</w:t>
      </w:r>
      <w:r w:rsidRPr="00F50805">
        <w:t>90%</w:t>
      </w:r>
      <w:r w:rsidR="000046CE">
        <w:t> </w:t>
      </w:r>
      <w:r w:rsidRPr="00F50805">
        <w:t>CI:</w:t>
      </w:r>
      <w:r w:rsidR="000046CE">
        <w:t> </w:t>
      </w:r>
      <w:r w:rsidRPr="00F50805">
        <w:t>1.016, 1.208</w:t>
      </w:r>
      <w:r w:rsidR="00F50ABF">
        <w:t>)</w:t>
      </w:r>
      <w:r w:rsidRPr="00F50805">
        <w:t>)</w:t>
      </w:r>
    </w:p>
    <w:p w14:paraId="31B8BB30" w14:textId="77777777" w:rsidR="00F50805" w:rsidRPr="00F50805" w:rsidRDefault="00F50805" w:rsidP="00F50805">
      <w:pPr>
        <w:pStyle w:val="ListBullet"/>
      </w:pPr>
      <w:proofErr w:type="spellStart"/>
      <w:r w:rsidRPr="00F50805">
        <w:t>Clobazam</w:t>
      </w:r>
      <w:proofErr w:type="spellEnd"/>
      <w:r w:rsidRPr="00F50805">
        <w:t xml:space="preserve"> (geometric mean ratio 1.093 </w:t>
      </w:r>
      <w:r w:rsidR="00F50ABF">
        <w:t>(</w:t>
      </w:r>
      <w:r w:rsidRPr="00F50805">
        <w:t>90% CI: 1.037, 1.153</w:t>
      </w:r>
      <w:r w:rsidR="00F50ABF">
        <w:t>)</w:t>
      </w:r>
      <w:r w:rsidRPr="00F50805">
        <w:t>)</w:t>
      </w:r>
    </w:p>
    <w:p w14:paraId="16F1DCC2" w14:textId="77777777" w:rsidR="00F50805" w:rsidRPr="00F50805" w:rsidRDefault="00F50805" w:rsidP="00F50805">
      <w:pPr>
        <w:pStyle w:val="ListBullet"/>
      </w:pPr>
      <w:r w:rsidRPr="00F50805">
        <w:t xml:space="preserve">Metabolite of </w:t>
      </w:r>
      <w:proofErr w:type="spellStart"/>
      <w:r w:rsidRPr="00F50805">
        <w:t>clobazam</w:t>
      </w:r>
      <w:proofErr w:type="spellEnd"/>
      <w:r w:rsidRPr="00F50805">
        <w:t xml:space="preserve"> (N-</w:t>
      </w:r>
      <w:proofErr w:type="spellStart"/>
      <w:r w:rsidRPr="00F50805">
        <w:t>desmethylclobazam</w:t>
      </w:r>
      <w:proofErr w:type="spellEnd"/>
      <w:r w:rsidRPr="00F50805">
        <w:t xml:space="preserve">) (geometric mean ratio 1.071 </w:t>
      </w:r>
      <w:r w:rsidR="00F50ABF">
        <w:t>(</w:t>
      </w:r>
      <w:r w:rsidRPr="00F50805">
        <w:t>90% CI: 1.017, 1.127</w:t>
      </w:r>
      <w:r w:rsidR="00F50ABF">
        <w:t>)</w:t>
      </w:r>
      <w:r w:rsidRPr="00F50805">
        <w:t>).</w:t>
      </w:r>
    </w:p>
    <w:p w14:paraId="57AEBA6B" w14:textId="475849B9" w:rsidR="00F50805" w:rsidRPr="000046CE" w:rsidRDefault="00F50805" w:rsidP="00547EAE">
      <w:r w:rsidRPr="000046CE">
        <w:t xml:space="preserve">It is stated in the CER that ‘the increases in the pre-dose concentrations of these AEDs may not be clinically significant although dose adjustment for carbamazepine, a drug with a narrow therapeutic index, may be considered. Everolimus had no impact on </w:t>
      </w:r>
      <w:r w:rsidRPr="001F408C">
        <w:t>the other AEDs evaluated in the study’ (</w:t>
      </w:r>
      <w:r w:rsidR="00FC69C3" w:rsidRPr="00B81269">
        <w:t xml:space="preserve">see </w:t>
      </w:r>
      <w:r w:rsidR="000128D8" w:rsidRPr="004C3923">
        <w:t>Tabl</w:t>
      </w:r>
      <w:r w:rsidR="000128D8" w:rsidRPr="000046CE">
        <w:t>e 7</w:t>
      </w:r>
      <w:r w:rsidR="00411FA2" w:rsidRPr="000046CE">
        <w:t xml:space="preserve"> above</w:t>
      </w:r>
      <w:r w:rsidRPr="000046CE">
        <w:t>).</w:t>
      </w:r>
    </w:p>
    <w:p w14:paraId="653280B2" w14:textId="77777777" w:rsidR="00C30F8D" w:rsidRDefault="00C30F8D" w:rsidP="00C30F8D">
      <w:pPr>
        <w:pStyle w:val="Heading4"/>
      </w:pPr>
      <w:bookmarkStart w:id="145" w:name="_Toc477255754"/>
      <w:r>
        <w:t>Pharmacodynamics</w:t>
      </w:r>
    </w:p>
    <w:p w14:paraId="5D802718" w14:textId="77777777" w:rsidR="00F50805" w:rsidRPr="00F50805" w:rsidRDefault="00F50805" w:rsidP="00F50805">
      <w:r w:rsidRPr="00F50805">
        <w:t xml:space="preserve">Studies identified by </w:t>
      </w:r>
      <w:r w:rsidR="00FC69C3">
        <w:t>the clinical evaluator</w:t>
      </w:r>
      <w:r w:rsidRPr="00F50805">
        <w:t xml:space="preserve"> as providing p</w:t>
      </w:r>
      <w:r w:rsidR="00411FA2">
        <w:t>harmacodynamic (PD) information:</w:t>
      </w:r>
    </w:p>
    <w:p w14:paraId="1868BC48" w14:textId="77777777" w:rsidR="00F50805" w:rsidRPr="00F50805" w:rsidRDefault="00F50805" w:rsidP="00411FA2">
      <w:pPr>
        <w:pStyle w:val="ListBullet"/>
      </w:pPr>
      <w:r w:rsidRPr="00F50805">
        <w:t xml:space="preserve">In </w:t>
      </w:r>
      <w:r w:rsidR="00656D98">
        <w:t>Study</w:t>
      </w:r>
      <w:r w:rsidRPr="00F50805">
        <w:t xml:space="preserve"> M2304, the relationship between </w:t>
      </w:r>
      <w:r w:rsidR="00FC69C3">
        <w:t>everolimus</w:t>
      </w:r>
      <w:r w:rsidRPr="00F50805">
        <w:t xml:space="preserve"> exposure and the two primary efficacy endpoints of response rate and percentage change from baseline in seizure frequency was investigated.</w:t>
      </w:r>
    </w:p>
    <w:p w14:paraId="050BD39A" w14:textId="77777777" w:rsidR="00F50805" w:rsidRPr="00F50805" w:rsidRDefault="00F50805" w:rsidP="00421AF5">
      <w:pPr>
        <w:pStyle w:val="Heading5"/>
      </w:pPr>
      <w:r w:rsidRPr="00F50805">
        <w:lastRenderedPageBreak/>
        <w:t>Summary of PD from the CER</w:t>
      </w:r>
    </w:p>
    <w:bookmarkEnd w:id="145"/>
    <w:p w14:paraId="31C16C53" w14:textId="77777777" w:rsidR="00F50805" w:rsidRPr="00F50805" w:rsidRDefault="00F50805" w:rsidP="00F50805">
      <w:r w:rsidRPr="00F50805">
        <w:t xml:space="preserve">There was no significant difference in response rate or seizure frequency reduction in relation to </w:t>
      </w:r>
      <w:proofErr w:type="spellStart"/>
      <w:r w:rsidR="00F50ABF" w:rsidRPr="00C9173F">
        <w:t>C</w:t>
      </w:r>
      <w:r w:rsidR="00F50ABF" w:rsidRPr="00F50ABF">
        <w:rPr>
          <w:vertAlign w:val="subscript"/>
        </w:rPr>
        <w:t>min</w:t>
      </w:r>
      <w:proofErr w:type="spellEnd"/>
      <w:r w:rsidRPr="00F50805">
        <w:t xml:space="preserve"> level.</w:t>
      </w:r>
    </w:p>
    <w:p w14:paraId="64657A87" w14:textId="77777777" w:rsidR="00C30F8D" w:rsidRPr="00C30F8D" w:rsidRDefault="00C30F8D" w:rsidP="00C30F8D">
      <w:bookmarkStart w:id="146" w:name="_Toc477255757"/>
      <w:r w:rsidRPr="00C30F8D">
        <w:t xml:space="preserve">Studies identified by the </w:t>
      </w:r>
      <w:proofErr w:type="spellStart"/>
      <w:r w:rsidR="00FC69C3">
        <w:t>the</w:t>
      </w:r>
      <w:proofErr w:type="spellEnd"/>
      <w:r w:rsidR="00FC69C3">
        <w:t xml:space="preserve"> clinical evaluator</w:t>
      </w:r>
      <w:r w:rsidRPr="00C30F8D">
        <w:t xml:space="preserve"> as providing dosage selection information for the pivotal </w:t>
      </w:r>
      <w:bookmarkEnd w:id="146"/>
      <w:r w:rsidRPr="00C30F8D">
        <w:t>study</w:t>
      </w:r>
    </w:p>
    <w:p w14:paraId="241A66BC" w14:textId="77777777" w:rsidR="00C30F8D" w:rsidRPr="00C30F8D" w:rsidRDefault="00C30F8D" w:rsidP="00C30F8D">
      <w:r w:rsidRPr="00C30F8D">
        <w:t xml:space="preserve">The PI proposed target </w:t>
      </w:r>
      <w:proofErr w:type="spellStart"/>
      <w:r w:rsidR="00F50ABF" w:rsidRPr="00C9173F">
        <w:t>C</w:t>
      </w:r>
      <w:r w:rsidR="00F50ABF" w:rsidRPr="00F50ABF">
        <w:rPr>
          <w:vertAlign w:val="subscript"/>
        </w:rPr>
        <w:t>min</w:t>
      </w:r>
      <w:proofErr w:type="spellEnd"/>
      <w:r w:rsidRPr="00C30F8D">
        <w:t xml:space="preserve"> exposure range is </w:t>
      </w:r>
      <w:proofErr w:type="gramStart"/>
      <w:r w:rsidRPr="00C30F8D">
        <w:t>5 to 1</w:t>
      </w:r>
      <w:r w:rsidR="00FC69C3">
        <w:t>5 ng</w:t>
      </w:r>
      <w:r w:rsidRPr="00C30F8D">
        <w:t>/mL</w:t>
      </w:r>
      <w:proofErr w:type="gramEnd"/>
      <w:r w:rsidRPr="00C30F8D">
        <w:t xml:space="preserve"> and it is based on data of seizure response and overall safety observable across this range.</w:t>
      </w:r>
    </w:p>
    <w:p w14:paraId="23E3FE09" w14:textId="21111A4C" w:rsidR="00F50ABF" w:rsidRDefault="00C30F8D" w:rsidP="00C30F8D">
      <w:r w:rsidRPr="00C30F8D">
        <w:t>Starting dose was derived from the patient’s age and concomitant use of CYP3A4/P</w:t>
      </w:r>
      <w:r w:rsidR="000046CE">
        <w:noBreakHyphen/>
      </w:r>
      <w:r w:rsidRPr="00C30F8D">
        <w:t>glycoprotein (</w:t>
      </w:r>
      <w:proofErr w:type="spellStart"/>
      <w:r w:rsidRPr="00C30F8D">
        <w:t>PgP</w:t>
      </w:r>
      <w:proofErr w:type="spellEnd"/>
      <w:r w:rsidRPr="00C30F8D">
        <w:t>) inducers</w:t>
      </w:r>
      <w:r w:rsidR="00F50ABF">
        <w:t>.</w:t>
      </w:r>
    </w:p>
    <w:p w14:paraId="7C955A89" w14:textId="77777777" w:rsidR="00F50805" w:rsidRDefault="00C30F8D" w:rsidP="007B6132">
      <w:r w:rsidRPr="00C30F8D">
        <w:t>It was based on the patients’ body surface area (BSA) and on previously submitted results in Study C2485 and Study M2301 involving largely paediatric, TSC patients with SEGA lesions.</w:t>
      </w:r>
      <w:r w:rsidR="000128D8">
        <w:t xml:space="preserve"> Please see Table 12</w:t>
      </w:r>
      <w:r w:rsidR="00411FA2">
        <w:t xml:space="preserve"> above for the Study M2304 starting dose.</w:t>
      </w:r>
    </w:p>
    <w:p w14:paraId="08BF2D9D" w14:textId="77777777" w:rsidR="00F50805" w:rsidRDefault="00421AF5" w:rsidP="00421AF5">
      <w:pPr>
        <w:pStyle w:val="Heading4"/>
      </w:pPr>
      <w:r>
        <w:t>Efficacy</w:t>
      </w:r>
    </w:p>
    <w:p w14:paraId="29458C9F" w14:textId="1B2179EC" w:rsidR="00421AF5" w:rsidRPr="00421AF5" w:rsidRDefault="00A933E7" w:rsidP="00421AF5">
      <w:bookmarkStart w:id="147" w:name="_Toc477255758"/>
      <w:r>
        <w:t>The p</w:t>
      </w:r>
      <w:r w:rsidR="00421AF5" w:rsidRPr="00421AF5">
        <w:t xml:space="preserve">ivotal or </w:t>
      </w:r>
      <w:r>
        <w:t>m</w:t>
      </w:r>
      <w:r w:rsidRPr="00421AF5">
        <w:t xml:space="preserve">ain </w:t>
      </w:r>
      <w:r w:rsidR="00421AF5" w:rsidRPr="00421AF5">
        <w:t>clinical efficacy</w:t>
      </w:r>
      <w:bookmarkEnd w:id="147"/>
      <w:r w:rsidR="00421AF5" w:rsidRPr="00421AF5">
        <w:t xml:space="preserve"> study</w:t>
      </w:r>
      <w:r w:rsidR="00411FA2">
        <w:t xml:space="preserve"> was Study M2304.</w:t>
      </w:r>
    </w:p>
    <w:p w14:paraId="6C306628" w14:textId="77777777" w:rsidR="00421AF5" w:rsidRPr="00421AF5" w:rsidRDefault="00421AF5" w:rsidP="00411FA2">
      <w:pPr>
        <w:pStyle w:val="Heading5"/>
      </w:pPr>
      <w:bookmarkStart w:id="148" w:name="_Toc477255759"/>
      <w:r w:rsidRPr="00421AF5">
        <w:t>Study M2304</w:t>
      </w:r>
      <w:bookmarkEnd w:id="148"/>
    </w:p>
    <w:p w14:paraId="17CC07CB" w14:textId="67FBDF4E" w:rsidR="00F50ABF" w:rsidRDefault="00A933E7" w:rsidP="00421AF5">
      <w:r>
        <w:t>This was a</w:t>
      </w:r>
      <w:r w:rsidR="00421AF5" w:rsidRPr="00421AF5">
        <w:t xml:space="preserve"> </w:t>
      </w:r>
      <w:r w:rsidR="00411FA2">
        <w:t>three arm</w:t>
      </w:r>
      <w:r w:rsidR="00421AF5" w:rsidRPr="00421AF5">
        <w:t xml:space="preserve">, </w:t>
      </w:r>
      <w:r w:rsidRPr="00421AF5">
        <w:t>randomi</w:t>
      </w:r>
      <w:r>
        <w:t>s</w:t>
      </w:r>
      <w:r w:rsidRPr="00421AF5">
        <w:t>ed</w:t>
      </w:r>
      <w:r w:rsidR="00421AF5" w:rsidRPr="00421AF5">
        <w:t xml:space="preserve">, </w:t>
      </w:r>
      <w:r w:rsidR="00F50ABF">
        <w:t>double blind</w:t>
      </w:r>
      <w:r w:rsidR="00421AF5" w:rsidRPr="00421AF5">
        <w:t xml:space="preserve">, placebo-controlled, multicentre study of the efficacy and safety of two trough-ranges of everolimus as adjunctive therapy in patients with tuberous sclerosis complex (TSC) who have refractory </w:t>
      </w:r>
      <w:r w:rsidR="00411FA2">
        <w:t>partial onset</w:t>
      </w:r>
      <w:r w:rsidR="00421AF5" w:rsidRPr="00421AF5">
        <w:t xml:space="preserve"> seizures</w:t>
      </w:r>
      <w:r w:rsidR="00F50ABF">
        <w:t>.</w:t>
      </w:r>
    </w:p>
    <w:p w14:paraId="0953A295" w14:textId="77777777" w:rsidR="00411FA2" w:rsidRDefault="00411FA2" w:rsidP="00411FA2">
      <w:pPr>
        <w:pStyle w:val="Heading6"/>
      </w:pPr>
      <w:r>
        <w:t>Study objectives and endpoints</w:t>
      </w:r>
    </w:p>
    <w:p w14:paraId="6890EB91" w14:textId="1048A562" w:rsidR="00F50805" w:rsidRPr="00421AF5" w:rsidRDefault="00421AF5" w:rsidP="00421AF5">
      <w:r w:rsidRPr="00421AF5">
        <w:t>The objectives of the study</w:t>
      </w:r>
      <w:r w:rsidR="00411FA2">
        <w:t xml:space="preserve"> were as outlined in Table </w:t>
      </w:r>
      <w:r w:rsidR="00F06F96">
        <w:t>10</w:t>
      </w:r>
      <w:r w:rsidR="00A933E7">
        <w:t xml:space="preserve"> in</w:t>
      </w:r>
      <w:r w:rsidR="00F06F96">
        <w:t xml:space="preserve"> Attachment 2.</w:t>
      </w:r>
    </w:p>
    <w:p w14:paraId="1AAA17C8" w14:textId="77777777" w:rsidR="00411FA2" w:rsidRDefault="00411FA2" w:rsidP="00411FA2">
      <w:pPr>
        <w:pStyle w:val="Heading6"/>
      </w:pPr>
      <w:r>
        <w:t>Inclusion criteria</w:t>
      </w:r>
    </w:p>
    <w:p w14:paraId="0A5F2209" w14:textId="77777777" w:rsidR="00421AF5" w:rsidRPr="00421AF5" w:rsidRDefault="00421AF5" w:rsidP="00421AF5">
      <w:r w:rsidRPr="00421AF5">
        <w:t>The inclusion criteria were:</w:t>
      </w:r>
    </w:p>
    <w:p w14:paraId="7EA96698" w14:textId="44B2A60D" w:rsidR="00421AF5" w:rsidRPr="00421AF5" w:rsidRDefault="00421AF5" w:rsidP="004D0B7E">
      <w:pPr>
        <w:pStyle w:val="Numberbullet0"/>
      </w:pPr>
      <w:r w:rsidRPr="00421AF5">
        <w:t xml:space="preserve">Male or female between the ages of 2 and 65 years (except in Europe where the minimum age will be 1 at the request of the EMA). (A minimum number of paediatric patients will be </w:t>
      </w:r>
      <w:r w:rsidR="004C3923" w:rsidRPr="00421AF5">
        <w:t>randomi</w:t>
      </w:r>
      <w:r w:rsidR="004C3923">
        <w:t>s</w:t>
      </w:r>
      <w:r w:rsidR="004C3923" w:rsidRPr="00421AF5">
        <w:t xml:space="preserve">ed </w:t>
      </w:r>
      <w:r w:rsidRPr="00421AF5">
        <w:t xml:space="preserve">in the following age groups: 1 to </w:t>
      </w:r>
      <w:r w:rsidR="00F50ABF">
        <w:t xml:space="preserve">&lt; </w:t>
      </w:r>
      <w:r w:rsidRPr="00421AF5">
        <w:t xml:space="preserve">6 years </w:t>
      </w:r>
      <w:r w:rsidR="00F50ABF">
        <w:t>(</w:t>
      </w:r>
      <w:r w:rsidRPr="00421AF5">
        <w:t>40 patients</w:t>
      </w:r>
      <w:r w:rsidR="00F50ABF">
        <w:t>)</w:t>
      </w:r>
      <w:r w:rsidR="00411FA2">
        <w:t>, 6 </w:t>
      </w:r>
      <w:r w:rsidRPr="00421AF5">
        <w:t xml:space="preserve">to </w:t>
      </w:r>
      <w:r w:rsidR="00F50ABF">
        <w:t xml:space="preserve">&lt; </w:t>
      </w:r>
      <w:r w:rsidRPr="00421AF5">
        <w:t xml:space="preserve">12 years </w:t>
      </w:r>
      <w:r w:rsidR="00F50ABF">
        <w:t>(</w:t>
      </w:r>
      <w:r w:rsidRPr="00421AF5">
        <w:t>40 patients</w:t>
      </w:r>
      <w:r w:rsidR="00F50ABF">
        <w:t>)</w:t>
      </w:r>
      <w:r w:rsidRPr="00421AF5">
        <w:t xml:space="preserve">, and 12 to </w:t>
      </w:r>
      <w:r w:rsidR="00F50ABF">
        <w:t xml:space="preserve">&lt; </w:t>
      </w:r>
      <w:r w:rsidRPr="00421AF5">
        <w:t xml:space="preserve">18 years </w:t>
      </w:r>
      <w:r w:rsidR="00F50ABF">
        <w:t>(</w:t>
      </w:r>
      <w:r w:rsidRPr="00421AF5">
        <w:t>40 patients</w:t>
      </w:r>
      <w:r w:rsidR="00F50ABF">
        <w:t>)</w:t>
      </w:r>
      <w:r w:rsidRPr="00421AF5">
        <w:t>.)</w:t>
      </w:r>
    </w:p>
    <w:p w14:paraId="43D1BF51" w14:textId="77777777" w:rsidR="00421AF5" w:rsidRDefault="00421AF5" w:rsidP="004D0B7E">
      <w:pPr>
        <w:pStyle w:val="Numberbullet0"/>
      </w:pPr>
      <w:r w:rsidRPr="00421AF5">
        <w:t xml:space="preserve">Clinically definite diagnosis of TSC (modified Gomez criteria) defined as either two </w:t>
      </w:r>
      <w:r w:rsidR="00411FA2" w:rsidRPr="00421AF5">
        <w:t>major features or one major feature plus two minor features</w:t>
      </w:r>
      <w:r w:rsidR="00411FA2">
        <w:t xml:space="preserve"> as described in Table </w:t>
      </w:r>
      <w:r w:rsidR="000128D8">
        <w:t>26</w:t>
      </w:r>
      <w:r w:rsidR="00411FA2">
        <w:t>.</w:t>
      </w:r>
    </w:p>
    <w:p w14:paraId="60A5680E" w14:textId="77777777" w:rsidR="00411FA2" w:rsidRPr="00421AF5" w:rsidRDefault="00411FA2" w:rsidP="00411FA2">
      <w:pPr>
        <w:pStyle w:val="Tabletitle0"/>
      </w:pPr>
      <w:r>
        <w:lastRenderedPageBreak/>
        <w:t xml:space="preserve">Table </w:t>
      </w:r>
      <w:r w:rsidR="000128D8">
        <w:t>26</w:t>
      </w:r>
      <w:r>
        <w:t>: Major features</w:t>
      </w:r>
      <w:r w:rsidR="000128D8">
        <w:t xml:space="preserve"> and minor features definitions</w:t>
      </w:r>
    </w:p>
    <w:p w14:paraId="4495D4ED" w14:textId="77777777" w:rsidR="00F50805" w:rsidRDefault="00421AF5" w:rsidP="007B6132">
      <w:r>
        <w:rPr>
          <w:noProof/>
          <w:lang w:eastAsia="en-AU"/>
        </w:rPr>
        <w:drawing>
          <wp:inline distT="0" distB="0" distL="0" distR="0" wp14:anchorId="093704C7" wp14:editId="1EBF06F5">
            <wp:extent cx="5400040" cy="3333486"/>
            <wp:effectExtent l="0" t="0" r="0" b="635"/>
            <wp:docPr id="8" name="Picture 8" descr="Table 26: Major features and minor features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3333486"/>
                    </a:xfrm>
                    <a:prstGeom prst="rect">
                      <a:avLst/>
                    </a:prstGeom>
                  </pic:spPr>
                </pic:pic>
              </a:graphicData>
            </a:graphic>
          </wp:inline>
        </w:drawing>
      </w:r>
    </w:p>
    <w:p w14:paraId="43165AE5" w14:textId="77777777" w:rsidR="00421AF5" w:rsidRPr="00421AF5" w:rsidRDefault="00421AF5" w:rsidP="004D0B7E">
      <w:pPr>
        <w:pStyle w:val="Numberbullet0"/>
      </w:pPr>
      <w:r w:rsidRPr="00421AF5">
        <w:t xml:space="preserve">Diagnosis of </w:t>
      </w:r>
      <w:r w:rsidR="00411FA2">
        <w:t>partial onset</w:t>
      </w:r>
      <w:r w:rsidRPr="00421AF5">
        <w:t xml:space="preserve"> epilepsy according to the classification of the International League </w:t>
      </w:r>
      <w:proofErr w:type="gramStart"/>
      <w:r w:rsidRPr="00421AF5">
        <w:t>Against</w:t>
      </w:r>
      <w:proofErr w:type="gramEnd"/>
      <w:r w:rsidRPr="00421AF5">
        <w:t xml:space="preserve"> Epilepsy (Commission on Classification and Terminology of the International League Against Epilepsy, 1989) and revised in 2009</w:t>
      </w:r>
      <w:r w:rsidR="00411FA2">
        <w:t>.</w:t>
      </w:r>
      <w:r w:rsidR="00411FA2">
        <w:rPr>
          <w:rStyle w:val="FootnoteReference"/>
        </w:rPr>
        <w:footnoteReference w:id="35"/>
      </w:r>
      <w:r w:rsidRPr="00421AF5">
        <w:t xml:space="preserve"> This classification is further modified for the purpose of capturing clinical details, and defines partial onset seizures in patients with TSC on the basis of the pathophysiology of TSC as either:</w:t>
      </w:r>
    </w:p>
    <w:p w14:paraId="4BA9D204" w14:textId="77777777" w:rsidR="00421AF5" w:rsidRPr="00421AF5" w:rsidRDefault="00421AF5" w:rsidP="00411FA2">
      <w:pPr>
        <w:pStyle w:val="ListBullet"/>
        <w:ind w:left="924" w:hanging="357"/>
      </w:pPr>
      <w:r w:rsidRPr="00421AF5">
        <w:t>any seizure that has been definitively shown to be partial onset on ictal EEG, or</w:t>
      </w:r>
    </w:p>
    <w:p w14:paraId="4CEAC097" w14:textId="5123F1E8" w:rsidR="00421AF5" w:rsidRPr="00421AF5" w:rsidRDefault="00421AF5" w:rsidP="00411FA2">
      <w:pPr>
        <w:pStyle w:val="ListBullet"/>
        <w:ind w:left="924" w:hanging="357"/>
      </w:pPr>
      <w:proofErr w:type="gramStart"/>
      <w:r w:rsidRPr="00421AF5">
        <w:t>any</w:t>
      </w:r>
      <w:proofErr w:type="gramEnd"/>
      <w:r w:rsidRPr="00421AF5">
        <w:t xml:space="preserve"> probable seizure with motor signs (non-sensory) that has </w:t>
      </w:r>
      <w:r w:rsidR="00A933E7" w:rsidRPr="00547EAE">
        <w:rPr>
          <w:i/>
        </w:rPr>
        <w:t>not</w:t>
      </w:r>
      <w:r w:rsidR="00A933E7" w:rsidRPr="00421AF5">
        <w:t xml:space="preserve"> </w:t>
      </w:r>
      <w:r w:rsidRPr="00421AF5">
        <w:t xml:space="preserve">been documented to be a primary </w:t>
      </w:r>
      <w:r w:rsidR="00A933E7" w:rsidRPr="00421AF5">
        <w:t>generali</w:t>
      </w:r>
      <w:r w:rsidR="00A933E7">
        <w:t>s</w:t>
      </w:r>
      <w:r w:rsidR="00A933E7" w:rsidRPr="00421AF5">
        <w:t xml:space="preserve">ed </w:t>
      </w:r>
      <w:r w:rsidRPr="00421AF5">
        <w:t>seizure on ictal EEG.</w:t>
      </w:r>
    </w:p>
    <w:p w14:paraId="64EB323A" w14:textId="77777777" w:rsidR="00421AF5" w:rsidRPr="00421AF5" w:rsidRDefault="00421AF5" w:rsidP="00664491">
      <w:pPr>
        <w:pStyle w:val="Numberbullet0"/>
      </w:pPr>
      <w:r w:rsidRPr="00421AF5">
        <w:t xml:space="preserve">Uncontrolled </w:t>
      </w:r>
      <w:r w:rsidR="00411FA2">
        <w:t>partial onset</w:t>
      </w:r>
      <w:r w:rsidRPr="00421AF5">
        <w:t xml:space="preserve"> seizures; must meet the following:</w:t>
      </w:r>
    </w:p>
    <w:p w14:paraId="2DF2BEF3" w14:textId="6B0428CC" w:rsidR="00421AF5" w:rsidRPr="00421AF5" w:rsidRDefault="00421AF5" w:rsidP="008C2E44">
      <w:pPr>
        <w:pStyle w:val="Numberbullet2"/>
      </w:pPr>
      <w:r w:rsidRPr="00421AF5">
        <w:t xml:space="preserve">At least 16 reported quantifiable (no cluster or innumerable seizures) </w:t>
      </w:r>
      <w:r w:rsidR="00411FA2">
        <w:t>partial onset</w:t>
      </w:r>
      <w:r w:rsidRPr="00421AF5">
        <w:t xml:space="preserve"> </w:t>
      </w:r>
      <w:r w:rsidRPr="008C2E44">
        <w:t>seizures</w:t>
      </w:r>
      <w:r w:rsidRPr="00421AF5">
        <w:t xml:space="preserve"> (as defined in Inclusion Criteria </w:t>
      </w:r>
      <w:r w:rsidR="00411FA2">
        <w:t>3) over the Baseline period (56 </w:t>
      </w:r>
      <w:r w:rsidRPr="00421AF5">
        <w:t xml:space="preserve">days, 8 weeks) with no continuous </w:t>
      </w:r>
      <w:r w:rsidR="00411FA2">
        <w:t>21 day</w:t>
      </w:r>
      <w:r w:rsidRPr="00421AF5">
        <w:t xml:space="preserve"> </w:t>
      </w:r>
      <w:r w:rsidR="00411FA2">
        <w:t>seizure free</w:t>
      </w:r>
      <w:r w:rsidRPr="00421AF5">
        <w:t xml:space="preserve"> period between Visit 1 (Screening Visit) and Visit 2 (</w:t>
      </w:r>
      <w:r w:rsidR="00A933E7" w:rsidRPr="00421AF5">
        <w:t>Randomi</w:t>
      </w:r>
      <w:r w:rsidR="00A933E7">
        <w:t>s</w:t>
      </w:r>
      <w:r w:rsidR="00A933E7" w:rsidRPr="00421AF5">
        <w:t xml:space="preserve">ation </w:t>
      </w:r>
      <w:r w:rsidRPr="00421AF5">
        <w:t>visit), as per data captured in daily seizure diaries.</w:t>
      </w:r>
    </w:p>
    <w:p w14:paraId="54944EFC" w14:textId="77777777" w:rsidR="00421AF5" w:rsidRPr="00421AF5" w:rsidRDefault="00421AF5" w:rsidP="00664491">
      <w:pPr>
        <w:pStyle w:val="Numberbullet2"/>
      </w:pPr>
      <w:r w:rsidRPr="00421AF5">
        <w:t xml:space="preserve">Prior history of failure to control </w:t>
      </w:r>
      <w:r w:rsidR="00411FA2">
        <w:t>partial onset</w:t>
      </w:r>
      <w:r w:rsidRPr="00421AF5">
        <w:t xml:space="preserve"> seizures despite having been treated with two or more sequential regimens of single or combined antiepileptic drugs</w:t>
      </w:r>
      <w:r w:rsidR="00411FA2">
        <w:t>.</w:t>
      </w:r>
    </w:p>
    <w:p w14:paraId="58A70A2A" w14:textId="77777777" w:rsidR="00421AF5" w:rsidRPr="00421AF5" w:rsidRDefault="00421AF5" w:rsidP="00664491">
      <w:pPr>
        <w:pStyle w:val="Numberbullet2"/>
      </w:pPr>
      <w:r w:rsidRPr="00421AF5">
        <w:t>Prior or concurrent use of vagal nerve stimulator (VNS) is allowed. If the patient is using VNS, device stimulator parameters must remain constant throughout the study.</w:t>
      </w:r>
    </w:p>
    <w:p w14:paraId="1B3DC753" w14:textId="77777777" w:rsidR="00421AF5" w:rsidRPr="00421AF5" w:rsidRDefault="00421AF5" w:rsidP="00664491">
      <w:pPr>
        <w:pStyle w:val="Numberbullet2"/>
      </w:pPr>
      <w:r w:rsidRPr="00421AF5">
        <w:t>Prior epilepsy surgery is allowed if performed at least 12 months before study entry.</w:t>
      </w:r>
    </w:p>
    <w:p w14:paraId="2C147B5E" w14:textId="45FA26C0" w:rsidR="00664491" w:rsidRPr="00664491" w:rsidRDefault="00664491" w:rsidP="00664491">
      <w:pPr>
        <w:pStyle w:val="Numberbullet0"/>
      </w:pPr>
      <w:r w:rsidRPr="00664491">
        <w:t xml:space="preserve">Must be receiving one, two, or three AEDs at a stable dose for at least 4 weeks at the start of the </w:t>
      </w:r>
      <w:r w:rsidR="00411FA2">
        <w:t>8 week</w:t>
      </w:r>
      <w:r w:rsidRPr="00664491">
        <w:t xml:space="preserve"> prospective Baseline phase, remain on the same regimen </w:t>
      </w:r>
      <w:r w:rsidRPr="00664491">
        <w:lastRenderedPageBreak/>
        <w:t>throughout the Baseline phase, and intend to continue the same regimen throughout the 1</w:t>
      </w:r>
      <w:r w:rsidR="00411FA2">
        <w:t>8 week</w:t>
      </w:r>
      <w:r w:rsidRPr="00664491">
        <w:t xml:space="preserve"> double blind Core phase (rescue medications are permitted). No more than one of these can be a strong CYP3A4 inducer (</w:t>
      </w:r>
      <w:r w:rsidR="00411FA2">
        <w:t>for example</w:t>
      </w:r>
      <w:r w:rsidRPr="00664491">
        <w:t xml:space="preserve">, </w:t>
      </w:r>
      <w:r w:rsidR="00A933E7" w:rsidRPr="00664491">
        <w:t>carbamazepine, oxcarbazepine, phenobarbital, phenytoin, primidone)</w:t>
      </w:r>
      <w:r w:rsidR="00A933E7">
        <w:t>.</w:t>
      </w:r>
    </w:p>
    <w:p w14:paraId="28CD922D" w14:textId="77777777" w:rsidR="00664491" w:rsidRDefault="00664491" w:rsidP="00664491">
      <w:pPr>
        <w:pStyle w:val="Numberbullet0"/>
      </w:pPr>
      <w:r w:rsidRPr="00664491">
        <w:t xml:space="preserve">If female of child bearing potential, documentation of negative pregnancy </w:t>
      </w:r>
      <w:proofErr w:type="gramStart"/>
      <w:r w:rsidRPr="00664491">
        <w:t>test</w:t>
      </w:r>
      <w:proofErr w:type="gramEnd"/>
      <w:r w:rsidRPr="00664491">
        <w:t xml:space="preserve"> at time of inf</w:t>
      </w:r>
      <w:r w:rsidR="00411FA2">
        <w:t xml:space="preserve">ormed consent. Females of child </w:t>
      </w:r>
      <w:r w:rsidRPr="00664491">
        <w:t>bearing potential, defined as all women physiologically capable of becoming pregnant, must use highly effective contraception during the study and for 8 weeks after stopping treatment. Highly effective contraception is defined as either:</w:t>
      </w:r>
    </w:p>
    <w:p w14:paraId="716D97B2" w14:textId="77777777" w:rsidR="00664491" w:rsidRPr="00664491" w:rsidRDefault="00664491" w:rsidP="00411FA2">
      <w:pPr>
        <w:pStyle w:val="ListBullet"/>
        <w:ind w:left="907"/>
      </w:pPr>
      <w:r w:rsidRPr="00664491">
        <w:t xml:space="preserve">Total abstinence: When this is in line with the preferred and usual lifestyle of the subject. </w:t>
      </w:r>
      <w:r w:rsidR="00F50ABF">
        <w:t>(</w:t>
      </w:r>
      <w:r w:rsidRPr="00664491">
        <w:t>Periodic abstinence (</w:t>
      </w:r>
      <w:r w:rsidR="00411FA2">
        <w:t>for example</w:t>
      </w:r>
      <w:r w:rsidRPr="00664491">
        <w:t xml:space="preserve">, calendar, ovulation, </w:t>
      </w:r>
      <w:proofErr w:type="spellStart"/>
      <w:r w:rsidRPr="00664491">
        <w:t>symptothermal</w:t>
      </w:r>
      <w:proofErr w:type="spellEnd"/>
      <w:r w:rsidRPr="00664491">
        <w:t>, post-ovulation methods) and withdrawal are not acceptable methods of contraception</w:t>
      </w:r>
      <w:r w:rsidR="00F50ABF">
        <w:t>)</w:t>
      </w:r>
      <w:r w:rsidR="00411FA2">
        <w:t>.</w:t>
      </w:r>
    </w:p>
    <w:p w14:paraId="14616F38" w14:textId="199DF9F2" w:rsidR="00664491" w:rsidRPr="00664491" w:rsidRDefault="004C3923" w:rsidP="00411FA2">
      <w:pPr>
        <w:pStyle w:val="ListBullet"/>
        <w:ind w:left="907"/>
      </w:pPr>
      <w:r w:rsidRPr="00664491">
        <w:t>Sterili</w:t>
      </w:r>
      <w:r>
        <w:t>s</w:t>
      </w:r>
      <w:r w:rsidRPr="00664491">
        <w:t>ation</w:t>
      </w:r>
      <w:r w:rsidR="00664491" w:rsidRPr="00664491">
        <w:t>: have had surgical bilateral oophorectomy (with or without hysterectomy) or tubal ligation at least six weeks before taking study treatment. In case of oophorectomy alone, only when the reproductive status of the woman has been confirmed by follow up hormone level assessment</w:t>
      </w:r>
      <w:r w:rsidR="00411FA2">
        <w:t>.</w:t>
      </w:r>
    </w:p>
    <w:p w14:paraId="78F46C04" w14:textId="474474CA" w:rsidR="00664491" w:rsidRPr="00664491" w:rsidRDefault="00664491" w:rsidP="00411FA2">
      <w:pPr>
        <w:pStyle w:val="ListBullet"/>
        <w:ind w:left="907"/>
      </w:pPr>
      <w:r w:rsidRPr="00664491">
        <w:t xml:space="preserve">Male partner </w:t>
      </w:r>
      <w:r w:rsidR="004C3923" w:rsidRPr="00664491">
        <w:t>sterili</w:t>
      </w:r>
      <w:r w:rsidR="004C3923">
        <w:t>s</w:t>
      </w:r>
      <w:r w:rsidR="004C3923" w:rsidRPr="00664491">
        <w:t>ation</w:t>
      </w:r>
      <w:r w:rsidRPr="00664491">
        <w:t xml:space="preserve">, at least 6 months prior to screening visit, (with the appropriate post-vasectomy documentation of the absence of sperm in the ejaculate). </w:t>
      </w:r>
      <w:r w:rsidR="00F50ABF">
        <w:t>(</w:t>
      </w:r>
      <w:r w:rsidRPr="00664491">
        <w:t xml:space="preserve">For female subjects on the study, the </w:t>
      </w:r>
      <w:r w:rsidR="00A933E7" w:rsidRPr="00664491">
        <w:t>vasectomi</w:t>
      </w:r>
      <w:r w:rsidR="00A933E7">
        <w:t>s</w:t>
      </w:r>
      <w:r w:rsidR="00A933E7" w:rsidRPr="00664491">
        <w:t xml:space="preserve">ed </w:t>
      </w:r>
      <w:r w:rsidRPr="00664491">
        <w:t>male partner should be the sole partner for that subject</w:t>
      </w:r>
      <w:r w:rsidR="00F50ABF">
        <w:t>)</w:t>
      </w:r>
      <w:r w:rsidRPr="00664491">
        <w:t>.</w:t>
      </w:r>
    </w:p>
    <w:p w14:paraId="53E0C9E4" w14:textId="77777777" w:rsidR="00664491" w:rsidRPr="00664491" w:rsidRDefault="00664491" w:rsidP="00411FA2">
      <w:pPr>
        <w:pStyle w:val="ListBullet"/>
        <w:ind w:left="907"/>
      </w:pPr>
      <w:r w:rsidRPr="00664491">
        <w:t>Use of a combination of any two of the following (</w:t>
      </w:r>
      <w:proofErr w:type="spellStart"/>
      <w:r w:rsidRPr="00664491">
        <w:t>a+b</w:t>
      </w:r>
      <w:proofErr w:type="spellEnd"/>
      <w:r w:rsidRPr="00664491">
        <w:t xml:space="preserve"> or </w:t>
      </w:r>
      <w:proofErr w:type="spellStart"/>
      <w:r w:rsidRPr="00664491">
        <w:t>a+c</w:t>
      </w:r>
      <w:proofErr w:type="spellEnd"/>
      <w:r w:rsidRPr="00664491">
        <w:t xml:space="preserve"> or </w:t>
      </w:r>
      <w:proofErr w:type="spellStart"/>
      <w:r w:rsidRPr="00664491">
        <w:t>b+c</w:t>
      </w:r>
      <w:proofErr w:type="spellEnd"/>
      <w:r w:rsidRPr="00664491">
        <w:t>):</w:t>
      </w:r>
    </w:p>
    <w:p w14:paraId="71AE1428" w14:textId="77777777" w:rsidR="00664491" w:rsidRPr="00664491" w:rsidRDefault="00664491" w:rsidP="00411FA2">
      <w:pPr>
        <w:pStyle w:val="Numberbullet2"/>
        <w:ind w:left="1559" w:hanging="425"/>
      </w:pPr>
      <w:r w:rsidRPr="00664491">
        <w:t>Use of oral, injected or implanted hormonal methods of contraception</w:t>
      </w:r>
    </w:p>
    <w:p w14:paraId="3E4824B0" w14:textId="77777777" w:rsidR="00664491" w:rsidRPr="00664491" w:rsidRDefault="00664491" w:rsidP="00411FA2">
      <w:pPr>
        <w:pStyle w:val="Numberbullet2"/>
        <w:ind w:left="1559" w:hanging="425"/>
      </w:pPr>
      <w:r w:rsidRPr="00664491">
        <w:t>Placement of an intrauterine device (IUD) or intrauterine system (IUS)</w:t>
      </w:r>
    </w:p>
    <w:p w14:paraId="70B44BFA" w14:textId="77777777" w:rsidR="00664491" w:rsidRPr="00664491" w:rsidRDefault="00664491" w:rsidP="00411FA2">
      <w:pPr>
        <w:pStyle w:val="Numberbullet2"/>
        <w:ind w:left="1559" w:hanging="425"/>
      </w:pPr>
      <w:r w:rsidRPr="00664491">
        <w:t>Barrier methods of contraception: Condom or Occlusive cap (diaphragm or cervical/vault caps) with spermicidal foam/gel/film/cream/vaginal suppository In case of use of oral contraception women should have been stable on the oral agent before taking</w:t>
      </w:r>
      <w:r w:rsidR="00411FA2">
        <w:t xml:space="preserve"> study treatment for at least 3 </w:t>
      </w:r>
      <w:r w:rsidRPr="00664491">
        <w:t>months.</w:t>
      </w:r>
    </w:p>
    <w:p w14:paraId="4FD3A011" w14:textId="28415176" w:rsidR="00664491" w:rsidRPr="00664491" w:rsidRDefault="00664491" w:rsidP="00664491">
      <w:pPr>
        <w:pStyle w:val="Numberbullet0"/>
      </w:pPr>
      <w:r w:rsidRPr="00664491">
        <w:t xml:space="preserve">Sexually active males must use a condom during intercourse while taking study drug, and for 8 weeks after stopping study treatment. They should not father a child during this period. A condom is required to be used also by </w:t>
      </w:r>
      <w:r w:rsidR="00A933E7" w:rsidRPr="00664491">
        <w:t>vasectomi</w:t>
      </w:r>
      <w:r w:rsidR="00A933E7">
        <w:t>s</w:t>
      </w:r>
      <w:r w:rsidR="00A933E7" w:rsidRPr="00664491">
        <w:t xml:space="preserve">ed </w:t>
      </w:r>
      <w:r w:rsidRPr="00664491">
        <w:t>men in order to prevent delivery of the drug via seminal fluid.</w:t>
      </w:r>
    </w:p>
    <w:p w14:paraId="04B09BE6" w14:textId="77777777" w:rsidR="00664491" w:rsidRPr="00664491" w:rsidRDefault="00664491" w:rsidP="00664491">
      <w:pPr>
        <w:pStyle w:val="Numberbullet0"/>
      </w:pPr>
      <w:r w:rsidRPr="00664491">
        <w:t>Hepatic, renal and blood laboratory values within the following range at screening:</w:t>
      </w:r>
    </w:p>
    <w:p w14:paraId="0659735E" w14:textId="260AACCB" w:rsidR="00664491" w:rsidRPr="00664491" w:rsidRDefault="00664491" w:rsidP="00411FA2">
      <w:pPr>
        <w:pStyle w:val="ListBullet"/>
        <w:ind w:left="1037" w:hanging="357"/>
      </w:pPr>
      <w:r w:rsidRPr="00664491">
        <w:t xml:space="preserve">AST and ALT levels </w:t>
      </w:r>
      <w:r w:rsidR="00F50ABF">
        <w:t xml:space="preserve">&lt; </w:t>
      </w:r>
      <w:r w:rsidRPr="00664491">
        <w:t>2.5 x ULN</w:t>
      </w:r>
      <w:r w:rsidR="00A933E7">
        <w:t>,</w:t>
      </w:r>
    </w:p>
    <w:p w14:paraId="30AB8217" w14:textId="6CDEDACE" w:rsidR="00664491" w:rsidRPr="00664491" w:rsidRDefault="00664491" w:rsidP="00411FA2">
      <w:pPr>
        <w:pStyle w:val="ListBullet"/>
        <w:ind w:left="1037" w:hanging="357"/>
      </w:pPr>
      <w:r w:rsidRPr="00664491">
        <w:t xml:space="preserve">serum bilirubin </w:t>
      </w:r>
      <w:r w:rsidR="00F50ABF">
        <w:t xml:space="preserve">&lt; </w:t>
      </w:r>
      <w:r w:rsidRPr="00664491">
        <w:t>1.5 × ULN (this limit does not apply to patients with an elevated indirect bilirubin, if they have Gilbert’s Syndrome)</w:t>
      </w:r>
      <w:r w:rsidR="00A933E7">
        <w:t>,</w:t>
      </w:r>
    </w:p>
    <w:p w14:paraId="3EAA74E3" w14:textId="77777777" w:rsidR="00664491" w:rsidRPr="00664491" w:rsidRDefault="00664491" w:rsidP="00411FA2">
      <w:pPr>
        <w:pStyle w:val="ListBullet"/>
        <w:ind w:left="1037" w:hanging="357"/>
      </w:pPr>
      <w:r w:rsidRPr="00664491">
        <w:t xml:space="preserve">serum creatinine </w:t>
      </w:r>
      <w:r w:rsidR="00F50ABF">
        <w:t xml:space="preserve">&lt; </w:t>
      </w:r>
      <w:r w:rsidRPr="00664491">
        <w:t>1.5 x ULN,</w:t>
      </w:r>
    </w:p>
    <w:p w14:paraId="2C52FBB6" w14:textId="77777777" w:rsidR="00664491" w:rsidRPr="00664491" w:rsidRDefault="00664491" w:rsidP="00411FA2">
      <w:pPr>
        <w:pStyle w:val="ListBullet"/>
        <w:ind w:left="1037" w:hanging="357"/>
      </w:pPr>
      <w:r w:rsidRPr="00664491">
        <w:t>haemoglobin ≥ 9 g/</w:t>
      </w:r>
      <w:proofErr w:type="spellStart"/>
      <w:r w:rsidRPr="00664491">
        <w:t>dL</w:t>
      </w:r>
      <w:proofErr w:type="spellEnd"/>
      <w:r w:rsidRPr="00664491">
        <w:t>,</w:t>
      </w:r>
    </w:p>
    <w:p w14:paraId="068F4764" w14:textId="77777777" w:rsidR="00664491" w:rsidRPr="00664491" w:rsidRDefault="00664491" w:rsidP="00411FA2">
      <w:pPr>
        <w:pStyle w:val="ListBullet"/>
        <w:ind w:left="1037" w:hanging="357"/>
      </w:pPr>
      <w:r w:rsidRPr="00664491">
        <w:t>platelets ≥ 80,000/mm</w:t>
      </w:r>
      <w:r w:rsidRPr="00411FA2">
        <w:rPr>
          <w:vertAlign w:val="superscript"/>
        </w:rPr>
        <w:t>3</w:t>
      </w:r>
      <w:r w:rsidRPr="00664491">
        <w:t>,</w:t>
      </w:r>
    </w:p>
    <w:p w14:paraId="41B28BBD" w14:textId="0293A843" w:rsidR="00664491" w:rsidRPr="00664491" w:rsidRDefault="00664491" w:rsidP="00411FA2">
      <w:pPr>
        <w:pStyle w:val="ListBullet"/>
        <w:ind w:left="1037" w:hanging="357"/>
      </w:pPr>
      <w:proofErr w:type="gramStart"/>
      <w:r w:rsidRPr="00664491">
        <w:t>absolute</w:t>
      </w:r>
      <w:proofErr w:type="gramEnd"/>
      <w:r w:rsidRPr="00664491">
        <w:t xml:space="preserve"> neutrophil count ≥ 1,000/mm</w:t>
      </w:r>
      <w:r w:rsidRPr="00411FA2">
        <w:rPr>
          <w:vertAlign w:val="superscript"/>
        </w:rPr>
        <w:t>3</w:t>
      </w:r>
      <w:r w:rsidR="00A933E7">
        <w:t>.</w:t>
      </w:r>
    </w:p>
    <w:p w14:paraId="79A7A547" w14:textId="77777777" w:rsidR="00664491" w:rsidRPr="00664491" w:rsidRDefault="00664491" w:rsidP="00664491">
      <w:pPr>
        <w:pStyle w:val="Numberbullet0"/>
      </w:pPr>
      <w:r w:rsidRPr="00664491">
        <w:t xml:space="preserve">Written informed consent. Subjects or their legal guardians must have the ability to comprehend the informed consent form and be willing to provide informed consent. For subjects who are too young or unable to comprehend the written consent, a legal guardian who is able to describe and provide an understanding of the informed </w:t>
      </w:r>
      <w:r w:rsidRPr="00664491">
        <w:lastRenderedPageBreak/>
        <w:t>consent to the subject must sign the consent form on behalf of the subject. In all cases, the informed consent process will follow the local rules and regulations.</w:t>
      </w:r>
    </w:p>
    <w:p w14:paraId="2F7C89E8" w14:textId="77777777" w:rsidR="00664491" w:rsidRPr="00664491" w:rsidRDefault="00664491" w:rsidP="00664491">
      <w:pPr>
        <w:pStyle w:val="Numberbullet0"/>
      </w:pPr>
      <w:r w:rsidRPr="00664491">
        <w:t>Patient or caregiver must be able to reliably record seizures and keep a daily diary and recall adverse events.</w:t>
      </w:r>
    </w:p>
    <w:p w14:paraId="57C35F86" w14:textId="77777777" w:rsidR="00F06F96" w:rsidRDefault="00F06F96" w:rsidP="00F06F96">
      <w:pPr>
        <w:pStyle w:val="Heading6"/>
      </w:pPr>
      <w:r>
        <w:t>Exclusion criteria</w:t>
      </w:r>
    </w:p>
    <w:p w14:paraId="7D347423" w14:textId="77777777" w:rsidR="00664491" w:rsidRPr="00664491" w:rsidRDefault="00664491" w:rsidP="00664491">
      <w:r w:rsidRPr="00664491">
        <w:t>The exclusion criteria were:</w:t>
      </w:r>
    </w:p>
    <w:p w14:paraId="60586876" w14:textId="77777777" w:rsidR="00664491" w:rsidRPr="00664491" w:rsidRDefault="00664491" w:rsidP="003D7F9D">
      <w:pPr>
        <w:pStyle w:val="Numberbullet0"/>
        <w:numPr>
          <w:ilvl w:val="0"/>
          <w:numId w:val="7"/>
        </w:numPr>
      </w:pPr>
      <w:r w:rsidRPr="00664491">
        <w:t>Patients with seizures secondary to metabolic, toxic, infectious or psychogenic disorder or drug abuse or current seizures related to an acute medical illness.</w:t>
      </w:r>
    </w:p>
    <w:p w14:paraId="3AAC598C" w14:textId="3C7D00DB" w:rsidR="00664491" w:rsidRPr="00664491" w:rsidRDefault="00664491" w:rsidP="003D7F9D">
      <w:pPr>
        <w:pStyle w:val="Numberbullet0"/>
        <w:numPr>
          <w:ilvl w:val="0"/>
          <w:numId w:val="7"/>
        </w:numPr>
      </w:pPr>
      <w:r w:rsidRPr="00664491">
        <w:t>Presence of only non-motor partial seizures (</w:t>
      </w:r>
      <w:r w:rsidR="00A933E7" w:rsidRPr="00664491">
        <w:t xml:space="preserve">criteria not applicable </w:t>
      </w:r>
      <w:r w:rsidRPr="00664491">
        <w:t>per Amendment</w:t>
      </w:r>
      <w:r w:rsidR="00A933E7">
        <w:t> </w:t>
      </w:r>
      <w:r w:rsidRPr="00664491">
        <w:t>2)</w:t>
      </w:r>
      <w:r w:rsidR="00A933E7">
        <w:t>.</w:t>
      </w:r>
    </w:p>
    <w:p w14:paraId="00F4322B" w14:textId="77777777" w:rsidR="00664491" w:rsidRPr="00664491" w:rsidRDefault="00664491" w:rsidP="003D7F9D">
      <w:pPr>
        <w:pStyle w:val="Numberbullet0"/>
        <w:numPr>
          <w:ilvl w:val="0"/>
          <w:numId w:val="7"/>
        </w:numPr>
      </w:pPr>
      <w:r w:rsidRPr="00664491">
        <w:t>Patients with TSC who have SEGA in need of immediate surgical intervention.</w:t>
      </w:r>
    </w:p>
    <w:p w14:paraId="33355B16" w14:textId="77777777" w:rsidR="00664491" w:rsidRPr="00664491" w:rsidRDefault="00664491" w:rsidP="003D7F9D">
      <w:pPr>
        <w:pStyle w:val="Numberbullet0"/>
        <w:numPr>
          <w:ilvl w:val="0"/>
          <w:numId w:val="7"/>
        </w:numPr>
      </w:pPr>
      <w:r w:rsidRPr="00664491">
        <w:t>Patients under 2 years of age with untreated infantile spasms.</w:t>
      </w:r>
    </w:p>
    <w:p w14:paraId="20F42F11" w14:textId="77777777" w:rsidR="00664491" w:rsidRPr="00664491" w:rsidRDefault="00664491" w:rsidP="003D7F9D">
      <w:pPr>
        <w:pStyle w:val="Numberbullet0"/>
        <w:numPr>
          <w:ilvl w:val="0"/>
          <w:numId w:val="7"/>
        </w:numPr>
      </w:pPr>
      <w:r w:rsidRPr="00664491">
        <w:t>Within 52 weeks prior to study entry, an episode of status epilepticus, defined as:</w:t>
      </w:r>
    </w:p>
    <w:p w14:paraId="52BE5682" w14:textId="77777777" w:rsidR="00664491" w:rsidRPr="00664491" w:rsidRDefault="00664491" w:rsidP="00664491">
      <w:pPr>
        <w:pStyle w:val="Numberbullet2"/>
      </w:pPr>
      <w:r w:rsidRPr="00664491">
        <w:t>in adults and children 5 yea</w:t>
      </w:r>
      <w:r w:rsidR="00411FA2">
        <w:t>rs and older;</w:t>
      </w:r>
      <w:r w:rsidRPr="00664491">
        <w:t xml:space="preserve"> continuous or intermittent, convulsive seizures lasting more than 10 minutes and requiring additional medical intervention such as with rescue medication not commonly used in the home (</w:t>
      </w:r>
      <w:r w:rsidR="00CE5C99">
        <w:t>that is</w:t>
      </w:r>
      <w:r w:rsidRPr="00664491">
        <w:t>, a convulsive seizure or series of convulsive seizures not within the patient’s typical seizure pattern and management).</w:t>
      </w:r>
    </w:p>
    <w:p w14:paraId="6B09ABAD" w14:textId="630F1EE3" w:rsidR="00664491" w:rsidRPr="00664491" w:rsidRDefault="00664491" w:rsidP="00664491">
      <w:pPr>
        <w:pStyle w:val="Numberbullet2"/>
      </w:pPr>
      <w:r w:rsidRPr="00664491">
        <w:t>in chil</w:t>
      </w:r>
      <w:r w:rsidR="00411FA2">
        <w:t>dren less than 5 years of age;</w:t>
      </w:r>
      <w:r w:rsidRPr="00664491">
        <w:t xml:space="preserve"> continuous or intermittent, convulsive seizures lasting more than 10 minutes and requiring significant additional medical intervention such as </w:t>
      </w:r>
      <w:r w:rsidR="00A933E7" w:rsidRPr="00664491">
        <w:t>hospitali</w:t>
      </w:r>
      <w:r w:rsidR="00A933E7">
        <w:t>s</w:t>
      </w:r>
      <w:r w:rsidR="00A933E7" w:rsidRPr="00664491">
        <w:t xml:space="preserve">ation </w:t>
      </w:r>
      <w:r w:rsidRPr="00664491">
        <w:t xml:space="preserve">(note: It is </w:t>
      </w:r>
      <w:r w:rsidR="00A933E7" w:rsidRPr="00664491">
        <w:t>recogni</w:t>
      </w:r>
      <w:r w:rsidR="00A933E7">
        <w:t>s</w:t>
      </w:r>
      <w:r w:rsidR="00A933E7" w:rsidRPr="00664491">
        <w:t xml:space="preserve">ed </w:t>
      </w:r>
      <w:r w:rsidRPr="00664491">
        <w:t xml:space="preserve">that some young patients may be sent for emergency care despite having experienced a seizure within their typical seizure pattern and management. Only the more severe episodes of prolonged convulsive seizures in such patient, such as those leading to </w:t>
      </w:r>
      <w:r w:rsidR="004C3923" w:rsidRPr="00664491">
        <w:t>hospitali</w:t>
      </w:r>
      <w:r w:rsidR="004C3923">
        <w:t>s</w:t>
      </w:r>
      <w:r w:rsidR="004C3923" w:rsidRPr="00664491">
        <w:t>ation</w:t>
      </w:r>
      <w:r w:rsidRPr="00664491">
        <w:t>, would qualify as status epilepticus).</w:t>
      </w:r>
    </w:p>
    <w:p w14:paraId="6D0C0A53" w14:textId="77777777" w:rsidR="00664491" w:rsidRPr="00664491" w:rsidRDefault="00664491" w:rsidP="00664491">
      <w:pPr>
        <w:pStyle w:val="Numberbullet0"/>
      </w:pPr>
      <w:r w:rsidRPr="00664491">
        <w:t>Patients with history of seizure clusters (where individual seizures cannot be accurately counted according to the judgment of the in</w:t>
      </w:r>
      <w:r w:rsidR="00411FA2">
        <w:t>vestigator) occurring within 26 </w:t>
      </w:r>
      <w:r w:rsidRPr="00664491">
        <w:t>weeks prior to study entry.</w:t>
      </w:r>
    </w:p>
    <w:p w14:paraId="01F50360" w14:textId="77777777" w:rsidR="00664491" w:rsidRPr="00664491" w:rsidRDefault="00664491" w:rsidP="00664491">
      <w:pPr>
        <w:pStyle w:val="Numberbullet0"/>
      </w:pPr>
      <w:r w:rsidRPr="00664491">
        <w:t>Patients who require rescue medication during the Baseline phase for more than 6</w:t>
      </w:r>
      <w:r w:rsidR="00411FA2">
        <w:t> </w:t>
      </w:r>
      <w:r w:rsidRPr="00664491">
        <w:t>days.</w:t>
      </w:r>
    </w:p>
    <w:p w14:paraId="2F8F18AC" w14:textId="77777777" w:rsidR="00664491" w:rsidRPr="00664491" w:rsidRDefault="00664491" w:rsidP="00664491">
      <w:pPr>
        <w:pStyle w:val="Numberbullet0"/>
      </w:pPr>
      <w:r w:rsidRPr="00664491">
        <w:t>Patients with non-TSC related progressive encephalopathy.</w:t>
      </w:r>
    </w:p>
    <w:p w14:paraId="1FB24B11" w14:textId="77777777" w:rsidR="00664491" w:rsidRPr="00664491" w:rsidRDefault="00664491" w:rsidP="00664491">
      <w:pPr>
        <w:pStyle w:val="Numberbullet0"/>
      </w:pPr>
      <w:r w:rsidRPr="00664491">
        <w:t>Patients who weigh less than 12</w:t>
      </w:r>
      <w:r w:rsidR="00411FA2">
        <w:t xml:space="preserve"> </w:t>
      </w:r>
      <w:r w:rsidRPr="00664491">
        <w:t>kg.</w:t>
      </w:r>
    </w:p>
    <w:p w14:paraId="15F687B9" w14:textId="5620D65C" w:rsidR="00664491" w:rsidRPr="00664491" w:rsidRDefault="00664491" w:rsidP="00664491">
      <w:pPr>
        <w:pStyle w:val="Numberbullet0"/>
      </w:pPr>
      <w:r w:rsidRPr="00664491">
        <w:t xml:space="preserve">Patients with coexisting malignancies within the 3 years prior to </w:t>
      </w:r>
      <w:r w:rsidR="004C3923" w:rsidRPr="00664491">
        <w:t>randomi</w:t>
      </w:r>
      <w:r w:rsidR="004C3923">
        <w:t>s</w:t>
      </w:r>
      <w:r w:rsidR="004C3923" w:rsidRPr="00664491">
        <w:t>ation</w:t>
      </w:r>
      <w:r w:rsidRPr="00664491">
        <w:t>, except for adequately treated carcinoma of the cervix or basal or squamous cell carcinomas of the skin.</w:t>
      </w:r>
    </w:p>
    <w:p w14:paraId="2DC16EB1" w14:textId="44CC76D7" w:rsidR="00664491" w:rsidRPr="00664491" w:rsidRDefault="00664491" w:rsidP="00664491">
      <w:pPr>
        <w:pStyle w:val="Numberbullet0"/>
      </w:pPr>
      <w:r w:rsidRPr="00664491">
        <w:t xml:space="preserve">Patients with any severe and/or uncontrolled medical conditions at </w:t>
      </w:r>
      <w:r w:rsidR="00A933E7" w:rsidRPr="00664491">
        <w:t>randomi</w:t>
      </w:r>
      <w:r w:rsidR="00A933E7">
        <w:t>s</w:t>
      </w:r>
      <w:r w:rsidR="00A933E7" w:rsidRPr="00664491">
        <w:t xml:space="preserve">ation </w:t>
      </w:r>
      <w:r w:rsidRPr="00664491">
        <w:t>such as:</w:t>
      </w:r>
    </w:p>
    <w:p w14:paraId="70C055C3" w14:textId="77777777" w:rsidR="00664491" w:rsidRPr="00664491" w:rsidRDefault="00664491" w:rsidP="00664491">
      <w:pPr>
        <w:pStyle w:val="Numberbullet2"/>
      </w:pPr>
      <w:r w:rsidRPr="00664491">
        <w:t xml:space="preserve">Symptomatic congestive heart failure of New York Heart Association Class III or IV, history of left ventricular ejection fraction (LVEF) </w:t>
      </w:r>
      <w:r w:rsidR="00F50ABF">
        <w:t xml:space="preserve">&lt; </w:t>
      </w:r>
      <w:r w:rsidRPr="00664491">
        <w:t xml:space="preserve">50%, </w:t>
      </w:r>
      <w:proofErr w:type="spellStart"/>
      <w:r w:rsidRPr="00664491">
        <w:t>QTc</w:t>
      </w:r>
      <w:proofErr w:type="spellEnd"/>
      <w:r w:rsidRPr="00664491">
        <w:t xml:space="preserve"> interval </w:t>
      </w:r>
      <w:r w:rsidR="00411FA2">
        <w:t>&gt; </w:t>
      </w:r>
      <w:r w:rsidRPr="00664491">
        <w:t>460ms, congenital QT syndrome, unstable angina pectoris, myocardial infarction within 6 months of study entry, serious uncontrolled cardiac arrhythmia or any other clinically significant cardiac disease.</w:t>
      </w:r>
    </w:p>
    <w:p w14:paraId="1DA71566" w14:textId="77777777" w:rsidR="00664491" w:rsidRPr="00664491" w:rsidRDefault="00664491" w:rsidP="00664491">
      <w:pPr>
        <w:pStyle w:val="Numberbullet2"/>
      </w:pPr>
      <w:r w:rsidRPr="00664491">
        <w:t xml:space="preserve">Significant symptomatic deterioration of lung function. If clinically indicated, pulmonary function tests including measures of predicted lung volumes, </w:t>
      </w:r>
      <w:proofErr w:type="spellStart"/>
      <w:r w:rsidRPr="00664491">
        <w:t>DLco</w:t>
      </w:r>
      <w:proofErr w:type="spellEnd"/>
      <w:r w:rsidRPr="00664491">
        <w:t>, O</w:t>
      </w:r>
      <w:r w:rsidRPr="00411FA2">
        <w:rPr>
          <w:vertAlign w:val="subscript"/>
        </w:rPr>
        <w:t>2</w:t>
      </w:r>
      <w:r w:rsidRPr="00664491">
        <w:t xml:space="preserve"> saturation at rest on room air should be considered to exclude restrictive pulmonary disease, pneumonitis or pulmonary infiltrates.</w:t>
      </w:r>
    </w:p>
    <w:p w14:paraId="2DECB1C3" w14:textId="77777777" w:rsidR="00664491" w:rsidRPr="00664491" w:rsidRDefault="00664491" w:rsidP="00664491">
      <w:pPr>
        <w:pStyle w:val="Numberbullet2"/>
      </w:pPr>
      <w:r w:rsidRPr="00664491">
        <w:lastRenderedPageBreak/>
        <w:t>Impairment of gastrointestinal function or gastrointestinal disease that may significantly alter the absorption of everolimus (</w:t>
      </w:r>
      <w:r w:rsidR="00411FA2">
        <w:t>for example</w:t>
      </w:r>
      <w:r w:rsidRPr="00664491">
        <w:t>, ulcerative disease, malabsorption syndrome or small bowel resection).</w:t>
      </w:r>
    </w:p>
    <w:p w14:paraId="6C6C5928" w14:textId="77777777" w:rsidR="00664491" w:rsidRPr="00664491" w:rsidRDefault="00664491" w:rsidP="00664491">
      <w:pPr>
        <w:pStyle w:val="Numberbullet2"/>
      </w:pPr>
      <w:r w:rsidRPr="00664491">
        <w:t>liver disease such as cirrhosis, decompensated liver disease, and chronic hepatitis (</w:t>
      </w:r>
      <w:r w:rsidR="00CE5C99">
        <w:t>that is</w:t>
      </w:r>
      <w:r w:rsidRPr="00664491">
        <w:t xml:space="preserve"> quantifiable HBV-DNA and/or positive </w:t>
      </w:r>
      <w:proofErr w:type="spellStart"/>
      <w:r w:rsidRPr="00664491">
        <w:t>HbsAg</w:t>
      </w:r>
      <w:proofErr w:type="spellEnd"/>
      <w:r w:rsidRPr="00664491">
        <w:t>, quantifiable HCV-RNA),</w:t>
      </w:r>
    </w:p>
    <w:p w14:paraId="13A55323" w14:textId="77777777" w:rsidR="00664491" w:rsidRPr="00664491" w:rsidRDefault="00664491" w:rsidP="00664491">
      <w:pPr>
        <w:pStyle w:val="Numberbullet2"/>
      </w:pPr>
      <w:r w:rsidRPr="00664491">
        <w:t xml:space="preserve">Uncontrolled diabetes as defined by fasting serum glucose </w:t>
      </w:r>
      <w:r w:rsidR="00F50ABF">
        <w:t xml:space="preserve">&gt; </w:t>
      </w:r>
      <w:r w:rsidRPr="00664491">
        <w:t xml:space="preserve">1.5 </w:t>
      </w:r>
      <w:r w:rsidR="00411FA2">
        <w:t>x</w:t>
      </w:r>
      <w:r w:rsidRPr="00664491">
        <w:t xml:space="preserve"> ULN.</w:t>
      </w:r>
    </w:p>
    <w:p w14:paraId="48732614" w14:textId="77777777" w:rsidR="00664491" w:rsidRPr="00664491" w:rsidRDefault="00664491" w:rsidP="00664491">
      <w:pPr>
        <w:pStyle w:val="Numberbullet2"/>
      </w:pPr>
      <w:r w:rsidRPr="00664491">
        <w:t xml:space="preserve">Active skin, mucosa, ocular or GI disorders of Grade </w:t>
      </w:r>
      <w:r w:rsidR="00F50ABF">
        <w:t xml:space="preserve">&gt; </w:t>
      </w:r>
      <w:r w:rsidRPr="00664491">
        <w:t>1.</w:t>
      </w:r>
    </w:p>
    <w:p w14:paraId="0488A83C" w14:textId="77777777" w:rsidR="00664491" w:rsidRPr="00664491" w:rsidRDefault="00664491" w:rsidP="00664491">
      <w:pPr>
        <w:pStyle w:val="Numberbullet2"/>
      </w:pPr>
      <w:r w:rsidRPr="00664491">
        <w:t>Active (acute or chronic) or uncontrolled severe infections.</w:t>
      </w:r>
    </w:p>
    <w:p w14:paraId="09AAA68B" w14:textId="77777777" w:rsidR="00664491" w:rsidRPr="00664491" w:rsidRDefault="00664491" w:rsidP="00664491">
      <w:pPr>
        <w:pStyle w:val="Numberbullet2"/>
      </w:pPr>
      <w:r w:rsidRPr="00664491">
        <w:t>A known history of HIV seropositivity or other active viral infections.</w:t>
      </w:r>
    </w:p>
    <w:p w14:paraId="72C3E46E" w14:textId="77777777" w:rsidR="00664491" w:rsidRPr="00664491" w:rsidRDefault="00664491" w:rsidP="00664491">
      <w:pPr>
        <w:pStyle w:val="Numberbullet0"/>
      </w:pPr>
      <w:r w:rsidRPr="00664491">
        <w:t>Patients with an active, bleeding diathesis.</w:t>
      </w:r>
    </w:p>
    <w:p w14:paraId="601F4A2B" w14:textId="72F7F3C3" w:rsidR="00664491" w:rsidRPr="00664491" w:rsidRDefault="00664491" w:rsidP="00664491">
      <w:pPr>
        <w:pStyle w:val="Numberbullet0"/>
      </w:pPr>
      <w:r w:rsidRPr="00664491">
        <w:t xml:space="preserve">Patient with uncontrolled hyperlipidaemia: fasting serum cholesterol </w:t>
      </w:r>
      <w:r w:rsidR="00F50ABF">
        <w:t xml:space="preserve">&gt; </w:t>
      </w:r>
      <w:r w:rsidRPr="00664491">
        <w:t>300</w:t>
      </w:r>
      <w:r w:rsidR="00411FA2">
        <w:t xml:space="preserve"> mg</w:t>
      </w:r>
      <w:r w:rsidRPr="00664491">
        <w:t>/</w:t>
      </w:r>
      <w:proofErr w:type="spellStart"/>
      <w:r w:rsidRPr="00664491">
        <w:t>dL</w:t>
      </w:r>
      <w:proofErr w:type="spellEnd"/>
      <w:r>
        <w:t xml:space="preserve"> </w:t>
      </w:r>
      <w:r w:rsidR="00A933E7" w:rsidRPr="00547EAE">
        <w:rPr>
          <w:i/>
        </w:rPr>
        <w:t>or</w:t>
      </w:r>
      <w:r w:rsidRPr="00664491">
        <w:t xml:space="preserve"> </w:t>
      </w:r>
      <w:r w:rsidR="00F50ABF">
        <w:t xml:space="preserve">&gt; </w:t>
      </w:r>
      <w:r w:rsidRPr="00664491">
        <w:t xml:space="preserve">7.75 </w:t>
      </w:r>
      <w:proofErr w:type="spellStart"/>
      <w:r w:rsidRPr="00664491">
        <w:t>mmol</w:t>
      </w:r>
      <w:proofErr w:type="spellEnd"/>
      <w:r w:rsidRPr="00664491">
        <w:t xml:space="preserve">/L </w:t>
      </w:r>
      <w:r w:rsidR="00A933E7" w:rsidRPr="00547EAE">
        <w:rPr>
          <w:i/>
        </w:rPr>
        <w:t>and</w:t>
      </w:r>
      <w:r w:rsidR="00A933E7" w:rsidRPr="00664491">
        <w:t xml:space="preserve"> </w:t>
      </w:r>
      <w:r w:rsidRPr="00664491">
        <w:t xml:space="preserve">fasting triglycerides </w:t>
      </w:r>
      <w:r w:rsidR="00F50ABF">
        <w:t xml:space="preserve">&gt; </w:t>
      </w:r>
      <w:r w:rsidRPr="00664491">
        <w:t>2.5 x ULN.</w:t>
      </w:r>
    </w:p>
    <w:p w14:paraId="2B6D375A" w14:textId="77777777" w:rsidR="00664491" w:rsidRPr="00664491" w:rsidRDefault="00664491" w:rsidP="00664491">
      <w:pPr>
        <w:pStyle w:val="Numberbullet0"/>
      </w:pPr>
      <w:r w:rsidRPr="00664491">
        <w:t>Patients who have had a major surgery or significant traumatic injury within 4 weeks of study entry. Patients who have not recovered from the side effects of any major surgery (defined as requiring general anaesthesia), or patients that may require major surgery during the course of the study.</w:t>
      </w:r>
    </w:p>
    <w:p w14:paraId="17F14879" w14:textId="77777777" w:rsidR="00664491" w:rsidRPr="00664491" w:rsidRDefault="00664491" w:rsidP="00664491">
      <w:pPr>
        <w:pStyle w:val="Numberbullet0"/>
      </w:pPr>
      <w:r w:rsidRPr="00664491">
        <w:t>Patients with a prior history of organ transplant.</w:t>
      </w:r>
    </w:p>
    <w:p w14:paraId="1E75F618" w14:textId="2D4F81FE" w:rsidR="00664491" w:rsidRPr="00664491" w:rsidRDefault="00664491" w:rsidP="00664491">
      <w:pPr>
        <w:pStyle w:val="Numberbullet0"/>
      </w:pPr>
      <w:r w:rsidRPr="00664491">
        <w:t xml:space="preserve">Patients receiving more than 3 antiepileptic drugs at any time in the baseline phase or at </w:t>
      </w:r>
      <w:r w:rsidR="004C3923" w:rsidRPr="00664491">
        <w:t>randomi</w:t>
      </w:r>
      <w:r w:rsidR="004C3923">
        <w:t>s</w:t>
      </w:r>
      <w:r w:rsidR="004C3923" w:rsidRPr="00664491">
        <w:t xml:space="preserve">ation </w:t>
      </w:r>
      <w:r w:rsidRPr="00664491">
        <w:t>or who change the dose of the AEDs during 4 weeks before screening or during the baseline period.</w:t>
      </w:r>
    </w:p>
    <w:p w14:paraId="2E6EA9AC" w14:textId="0D26D58B" w:rsidR="00664491" w:rsidRPr="00664491" w:rsidRDefault="00664491" w:rsidP="00664491">
      <w:pPr>
        <w:pStyle w:val="Numberbullet0"/>
      </w:pPr>
      <w:r w:rsidRPr="00664491">
        <w:t xml:space="preserve">Patients being treated with </w:t>
      </w:r>
      <w:proofErr w:type="spellStart"/>
      <w:r w:rsidRPr="00664491">
        <w:t>felbamate</w:t>
      </w:r>
      <w:proofErr w:type="spellEnd"/>
      <w:r w:rsidRPr="00664491">
        <w:t>, unless treatment has been continuous for ≥</w:t>
      </w:r>
      <w:r w:rsidR="00A933E7">
        <w:t> </w:t>
      </w:r>
      <w:r w:rsidRPr="00664491">
        <w:t>1</w:t>
      </w:r>
      <w:r w:rsidR="00A933E7">
        <w:t> </w:t>
      </w:r>
      <w:r w:rsidRPr="00664491">
        <w:t>year.</w:t>
      </w:r>
    </w:p>
    <w:p w14:paraId="666FF2BD" w14:textId="25DAE2FB" w:rsidR="00664491" w:rsidRPr="00664491" w:rsidRDefault="00664491" w:rsidP="00664491">
      <w:pPr>
        <w:pStyle w:val="Numberbullet0"/>
      </w:pPr>
      <w:r w:rsidRPr="00664491">
        <w:t>Patients currently receiving anticancer therapies or who have received anticancer therapies within 4 weeks of study entry (including chemotherapy, radiation therapy, antibody based therapy, et</w:t>
      </w:r>
      <w:r w:rsidR="00A933E7">
        <w:t xml:space="preserve"> cetera</w:t>
      </w:r>
      <w:r w:rsidRPr="00664491">
        <w:t>).</w:t>
      </w:r>
    </w:p>
    <w:p w14:paraId="6FC032E5" w14:textId="77777777" w:rsidR="00664491" w:rsidRPr="00664491" w:rsidRDefault="00664491" w:rsidP="00664491">
      <w:pPr>
        <w:pStyle w:val="Numberbullet0"/>
      </w:pPr>
      <w:r w:rsidRPr="00664491">
        <w:t>Prior treatment with any investigational drug within the preceding 4 weeks prior to study entry.</w:t>
      </w:r>
    </w:p>
    <w:p w14:paraId="3B6D6D28" w14:textId="77777777" w:rsidR="00F50ABF" w:rsidRDefault="00664491" w:rsidP="00664491">
      <w:pPr>
        <w:pStyle w:val="Numberbullet0"/>
      </w:pPr>
      <w:r w:rsidRPr="00664491">
        <w:t>Patients receiving chronic, systemic treatment with corticosteroids or another immunosuppressive agent at study entry. Topical or inhaled corticosteroids are allowed</w:t>
      </w:r>
      <w:r w:rsidR="00F50ABF">
        <w:t>.</w:t>
      </w:r>
    </w:p>
    <w:p w14:paraId="70017C02" w14:textId="77777777" w:rsidR="00664491" w:rsidRPr="00664491" w:rsidRDefault="00664491" w:rsidP="00664491">
      <w:pPr>
        <w:pStyle w:val="Numberbullet0"/>
      </w:pPr>
      <w:r w:rsidRPr="00664491">
        <w:t xml:space="preserve">Patients who have received prior treatment with a systemic </w:t>
      </w:r>
      <w:proofErr w:type="spellStart"/>
      <w:r w:rsidRPr="00664491">
        <w:t>mTOR</w:t>
      </w:r>
      <w:proofErr w:type="spellEnd"/>
      <w:r w:rsidRPr="00664491">
        <w:t xml:space="preserve"> inhibitor (</w:t>
      </w:r>
      <w:proofErr w:type="spellStart"/>
      <w:r w:rsidRPr="00664491">
        <w:t>sirolimus</w:t>
      </w:r>
      <w:proofErr w:type="spellEnd"/>
      <w:r w:rsidRPr="00664491">
        <w:t xml:space="preserve">, </w:t>
      </w:r>
      <w:proofErr w:type="spellStart"/>
      <w:r w:rsidRPr="00664491">
        <w:t>temsirolimus</w:t>
      </w:r>
      <w:proofErr w:type="spellEnd"/>
      <w:r w:rsidRPr="00664491">
        <w:t xml:space="preserve">, everolimus) within 24 months of study entry. Patients who have received prior treatment with a topical </w:t>
      </w:r>
      <w:proofErr w:type="spellStart"/>
      <w:r w:rsidRPr="00664491">
        <w:t>mTOR</w:t>
      </w:r>
      <w:proofErr w:type="spellEnd"/>
      <w:r w:rsidRPr="00664491">
        <w:t xml:space="preserve"> inhibitor (</w:t>
      </w:r>
      <w:proofErr w:type="spellStart"/>
      <w:r w:rsidRPr="00664491">
        <w:t>sirolimus</w:t>
      </w:r>
      <w:proofErr w:type="spellEnd"/>
      <w:r w:rsidRPr="00664491">
        <w:t xml:space="preserve">, </w:t>
      </w:r>
      <w:proofErr w:type="spellStart"/>
      <w:r w:rsidRPr="00664491">
        <w:t>temsirolimus</w:t>
      </w:r>
      <w:proofErr w:type="spellEnd"/>
      <w:r w:rsidRPr="00664491">
        <w:t>, everolimus) within 4 weeks of study entry.</w:t>
      </w:r>
    </w:p>
    <w:p w14:paraId="03FF48D3" w14:textId="77777777" w:rsidR="00664491" w:rsidRPr="00664491" w:rsidRDefault="00664491" w:rsidP="00664491">
      <w:pPr>
        <w:pStyle w:val="Numberbullet0"/>
      </w:pPr>
      <w:r w:rsidRPr="00664491">
        <w:t>Patients with a known hypersensitivity to everolimus or other rapamycin-analogues (</w:t>
      </w:r>
      <w:proofErr w:type="spellStart"/>
      <w:r w:rsidRPr="00664491">
        <w:t>sirolimus</w:t>
      </w:r>
      <w:proofErr w:type="spellEnd"/>
      <w:r w:rsidRPr="00664491">
        <w:t xml:space="preserve">, </w:t>
      </w:r>
      <w:proofErr w:type="spellStart"/>
      <w:r w:rsidRPr="00664491">
        <w:t>temsirolimus</w:t>
      </w:r>
      <w:proofErr w:type="spellEnd"/>
      <w:r w:rsidRPr="00664491">
        <w:t>) or to its excipients</w:t>
      </w:r>
    </w:p>
    <w:p w14:paraId="73996FEF" w14:textId="77777777" w:rsidR="00664491" w:rsidRPr="00664491" w:rsidRDefault="00664491" w:rsidP="00664491">
      <w:pPr>
        <w:pStyle w:val="Numberbullet0"/>
      </w:pPr>
      <w:r w:rsidRPr="00664491">
        <w:t>Patients with a history of non-compliance to medical regimens or who are considered potentially unreliable or will not be able to complete the entire study.</w:t>
      </w:r>
    </w:p>
    <w:p w14:paraId="6068273F" w14:textId="77777777" w:rsidR="00664491" w:rsidRPr="00664491" w:rsidRDefault="00664491" w:rsidP="00664491">
      <w:pPr>
        <w:pStyle w:val="Numberbullet0"/>
      </w:pPr>
      <w:r w:rsidRPr="00664491">
        <w:t xml:space="preserve">Pregnant or nursing (lactating) women, where pregnancy is defined as the state of a female after conception and until the termination of gestation, confirmed by a positive </w:t>
      </w:r>
      <w:proofErr w:type="spellStart"/>
      <w:proofErr w:type="gramStart"/>
      <w:r w:rsidRPr="00664491">
        <w:t>hCG</w:t>
      </w:r>
      <w:proofErr w:type="spellEnd"/>
      <w:proofErr w:type="gramEnd"/>
      <w:r w:rsidRPr="00664491">
        <w:t xml:space="preserve"> laboratory test.</w:t>
      </w:r>
    </w:p>
    <w:p w14:paraId="16B68CCE" w14:textId="77777777" w:rsidR="00664491" w:rsidRPr="00664491" w:rsidRDefault="00664491" w:rsidP="00664491">
      <w:pPr>
        <w:pStyle w:val="Numberbullet0"/>
      </w:pPr>
      <w:r w:rsidRPr="00664491">
        <w:t xml:space="preserve">Patients with a Score of 4 or 5 on the Suicidal Ideation item within 2 years of Screening, or any </w:t>
      </w:r>
      <w:r w:rsidR="00F50ABF">
        <w:t>‘</w:t>
      </w:r>
      <w:r w:rsidRPr="00664491">
        <w:t>yes</w:t>
      </w:r>
      <w:r w:rsidR="00F50ABF">
        <w:t>’</w:t>
      </w:r>
      <w:r w:rsidRPr="00664491">
        <w:t xml:space="preserve"> on the Suicidal Behaviour item of the Columbia-Suicide </w:t>
      </w:r>
      <w:r w:rsidRPr="00664491">
        <w:lastRenderedPageBreak/>
        <w:t>Severity Rating Scale at Screening or Baseline who upon follow up with a healthcare professional are found to be severely depressed or suicidal.</w:t>
      </w:r>
    </w:p>
    <w:p w14:paraId="74448A68" w14:textId="77777777" w:rsidR="00664491" w:rsidRPr="00664491" w:rsidRDefault="00664491" w:rsidP="00664491">
      <w:pPr>
        <w:pStyle w:val="Numberbullet0"/>
      </w:pPr>
      <w:r w:rsidRPr="00664491">
        <w:t xml:space="preserve">Maintenance of a diet consisting of </w:t>
      </w:r>
      <w:r w:rsidR="00F50ABF">
        <w:t xml:space="preserve">&lt; </w:t>
      </w:r>
      <w:r w:rsidRPr="00664491">
        <w:t>40 g of carbohydrate per day within 3 months of screening.</w:t>
      </w:r>
    </w:p>
    <w:p w14:paraId="047EB43E" w14:textId="77777777" w:rsidR="00411FA2" w:rsidRDefault="00411FA2" w:rsidP="00411FA2">
      <w:pPr>
        <w:pStyle w:val="Heading6"/>
      </w:pPr>
      <w:r>
        <w:t>Study treatment</w:t>
      </w:r>
    </w:p>
    <w:p w14:paraId="0BD556C3" w14:textId="77777777" w:rsidR="00664491" w:rsidRPr="00664491" w:rsidRDefault="00664491" w:rsidP="00664491">
      <w:r w:rsidRPr="00664491">
        <w:t>Treatment consisted of three phases:</w:t>
      </w:r>
    </w:p>
    <w:p w14:paraId="126E3F13" w14:textId="7F784B52" w:rsidR="00664491" w:rsidRPr="00664491" w:rsidRDefault="00411FA2" w:rsidP="003D7F9D">
      <w:pPr>
        <w:pStyle w:val="Numberbullet0"/>
        <w:numPr>
          <w:ilvl w:val="0"/>
          <w:numId w:val="8"/>
        </w:numPr>
      </w:pPr>
      <w:r>
        <w:t>Baseline phase;</w:t>
      </w:r>
      <w:r w:rsidR="00664491" w:rsidRPr="00664491">
        <w:t xml:space="preserve"> from Screening Week -8 (V1) to </w:t>
      </w:r>
      <w:r w:rsidR="00A933E7" w:rsidRPr="00664491">
        <w:t>Randomi</w:t>
      </w:r>
      <w:r w:rsidR="00A933E7">
        <w:t>s</w:t>
      </w:r>
      <w:r w:rsidR="00A933E7" w:rsidRPr="00664491">
        <w:t xml:space="preserve">ation </w:t>
      </w:r>
      <w:r w:rsidR="00664491" w:rsidRPr="00664491">
        <w:t>visit at Week 0 (V2).</w:t>
      </w:r>
    </w:p>
    <w:p w14:paraId="2A767347" w14:textId="59427479" w:rsidR="00664491" w:rsidRPr="00664491" w:rsidRDefault="00664491" w:rsidP="00664491">
      <w:pPr>
        <w:ind w:left="425"/>
      </w:pPr>
      <w:r w:rsidRPr="00664491">
        <w:t>During the Baseline phase, patients were to complete a s</w:t>
      </w:r>
      <w:r w:rsidR="00411FA2">
        <w:t>eizure diary for a total of ≥</w:t>
      </w:r>
      <w:r w:rsidR="00A933E7">
        <w:t> </w:t>
      </w:r>
      <w:r w:rsidR="00411FA2">
        <w:t>8 </w:t>
      </w:r>
      <w:r w:rsidRPr="00664491">
        <w:t>weeks, which was considered long enough to provide reliable data on the Baseline seizure frequency of patients taking 1 to 3 AEDs.</w:t>
      </w:r>
    </w:p>
    <w:p w14:paraId="1D312730" w14:textId="657B361F" w:rsidR="00664491" w:rsidRPr="00664491" w:rsidRDefault="00664491" w:rsidP="00664491">
      <w:pPr>
        <w:pStyle w:val="Numberbullet0"/>
      </w:pPr>
      <w:r w:rsidRPr="00664491">
        <w:t xml:space="preserve">Core </w:t>
      </w:r>
      <w:r w:rsidR="00F50ABF">
        <w:t>(</w:t>
      </w:r>
      <w:r w:rsidR="00411FA2">
        <w:t xml:space="preserve">Double blind, placebo </w:t>
      </w:r>
      <w:r w:rsidRPr="00664491">
        <w:t>controlled</w:t>
      </w:r>
      <w:r w:rsidR="00F50ABF">
        <w:t>)</w:t>
      </w:r>
      <w:r w:rsidRPr="00664491">
        <w:t xml:space="preserve"> phase</w:t>
      </w:r>
      <w:r w:rsidR="00411FA2">
        <w:t>;</w:t>
      </w:r>
      <w:r w:rsidRPr="00664491">
        <w:t xml:space="preserve"> from </w:t>
      </w:r>
      <w:r w:rsidR="00A933E7" w:rsidRPr="00664491">
        <w:t>Randomi</w:t>
      </w:r>
      <w:r w:rsidR="00A933E7">
        <w:t>s</w:t>
      </w:r>
      <w:r w:rsidR="00A933E7" w:rsidRPr="00664491">
        <w:t xml:space="preserve">ation </w:t>
      </w:r>
      <w:r w:rsidRPr="00664491">
        <w:t>at Week 0 (V2) to Week 18 (V11).</w:t>
      </w:r>
    </w:p>
    <w:p w14:paraId="01B91F5A" w14:textId="77777777" w:rsidR="00664491" w:rsidRPr="00664491" w:rsidRDefault="00664491" w:rsidP="00F41FBA">
      <w:pPr>
        <w:ind w:left="425"/>
      </w:pPr>
      <w:r w:rsidRPr="00664491">
        <w:t>In this Core phase, patients received either:</w:t>
      </w:r>
    </w:p>
    <w:p w14:paraId="35F47B0A" w14:textId="77777777" w:rsidR="00664491" w:rsidRPr="00411FA2" w:rsidRDefault="00664491" w:rsidP="00411FA2">
      <w:pPr>
        <w:pStyle w:val="ListBullet"/>
        <w:ind w:left="924" w:hanging="357"/>
      </w:pPr>
      <w:r w:rsidRPr="00411FA2">
        <w:t>Placebo</w:t>
      </w:r>
      <w:r w:rsidR="00F50ABF" w:rsidRPr="00411FA2">
        <w:t xml:space="preserve"> </w:t>
      </w:r>
      <w:r w:rsidR="00411FA2">
        <w:t>or</w:t>
      </w:r>
    </w:p>
    <w:p w14:paraId="7F210313" w14:textId="77777777" w:rsidR="00664491" w:rsidRPr="00411FA2" w:rsidRDefault="00664491" w:rsidP="00411FA2">
      <w:pPr>
        <w:pStyle w:val="ListBullet"/>
        <w:ind w:left="924" w:hanging="357"/>
      </w:pPr>
      <w:r w:rsidRPr="00411FA2">
        <w:t>Everolimus with titration to achieve a trough range of 3 to 7 ng/mL</w:t>
      </w:r>
      <w:r w:rsidR="00F50ABF" w:rsidRPr="00411FA2">
        <w:t xml:space="preserve"> </w:t>
      </w:r>
      <w:r w:rsidRPr="00411FA2">
        <w:t>or</w:t>
      </w:r>
    </w:p>
    <w:p w14:paraId="307FFBF2" w14:textId="77777777" w:rsidR="00664491" w:rsidRPr="00411FA2" w:rsidRDefault="00664491" w:rsidP="00411FA2">
      <w:pPr>
        <w:pStyle w:val="ListBullet"/>
        <w:ind w:left="924" w:hanging="357"/>
      </w:pPr>
      <w:r w:rsidRPr="00411FA2">
        <w:t>Everolimus with titration to achieve a trough range of 9 to 15 ng/</w:t>
      </w:r>
      <w:proofErr w:type="spellStart"/>
      <w:r w:rsidRPr="00411FA2">
        <w:t>mL.</w:t>
      </w:r>
      <w:proofErr w:type="spellEnd"/>
    </w:p>
    <w:p w14:paraId="38F1391F" w14:textId="77777777" w:rsidR="00664491" w:rsidRPr="00664491" w:rsidRDefault="00664491" w:rsidP="00F41FBA">
      <w:pPr>
        <w:ind w:left="425"/>
      </w:pPr>
      <w:r w:rsidRPr="00664491">
        <w:t>N</w:t>
      </w:r>
      <w:r w:rsidR="00411FA2" w:rsidRPr="00664491">
        <w:t>ote</w:t>
      </w:r>
      <w:r w:rsidRPr="00664491">
        <w:t>:</w:t>
      </w:r>
      <w:r w:rsidR="00F50ABF">
        <w:t xml:space="preserve"> </w:t>
      </w:r>
      <w:r w:rsidRPr="00664491">
        <w:t xml:space="preserve">The titration period was </w:t>
      </w:r>
      <w:r w:rsidR="00411FA2">
        <w:t>6 weeks</w:t>
      </w:r>
      <w:r w:rsidRPr="00664491">
        <w:t xml:space="preserve"> during which, up to 3 dose adjustments could be made to reach the targeted </w:t>
      </w:r>
      <w:r w:rsidR="00FC69C3">
        <w:t>everolimus</w:t>
      </w:r>
      <w:r w:rsidRPr="00664491">
        <w:t xml:space="preserve"> trough range. This was followed by a Maintenance period of 12 weeks duration</w:t>
      </w:r>
      <w:r w:rsidR="00F41FBA">
        <w:t xml:space="preserve">, </w:t>
      </w:r>
      <w:r w:rsidRPr="00664491">
        <w:t>making a total of 18 weeks for the core period.</w:t>
      </w:r>
    </w:p>
    <w:p w14:paraId="19293BAC" w14:textId="42D8403E" w:rsidR="00664491" w:rsidRPr="00664491" w:rsidRDefault="00664491" w:rsidP="00664491">
      <w:pPr>
        <w:pStyle w:val="Numberbullet0"/>
      </w:pPr>
      <w:r w:rsidRPr="00664491">
        <w:t>Extension phase</w:t>
      </w:r>
      <w:r w:rsidR="00F41FBA">
        <w:t xml:space="preserve">: </w:t>
      </w:r>
      <w:r w:rsidRPr="00664491">
        <w:t xml:space="preserve">from Week 18 (V11) until 48 weeks after the last patient has completed the Core phase, with all patients receiving everolimus at entry and with blinding of the original </w:t>
      </w:r>
      <w:r w:rsidR="004C3923" w:rsidRPr="00664491">
        <w:t>randomi</w:t>
      </w:r>
      <w:r w:rsidR="004C3923">
        <w:t>s</w:t>
      </w:r>
      <w:r w:rsidR="004C3923" w:rsidRPr="00664491">
        <w:t xml:space="preserve">ation </w:t>
      </w:r>
      <w:r w:rsidRPr="00664491">
        <w:t>arm maintained.</w:t>
      </w:r>
    </w:p>
    <w:p w14:paraId="5DE2EE0E" w14:textId="79D29131" w:rsidR="00664491" w:rsidRPr="00664491" w:rsidRDefault="00664491" w:rsidP="00F41FBA">
      <w:pPr>
        <w:ind w:left="425"/>
      </w:pPr>
      <w:r w:rsidRPr="00664491">
        <w:t>In the Extension phase, all patients (</w:t>
      </w:r>
      <w:r w:rsidR="00CE5C99">
        <w:t>that is</w:t>
      </w:r>
      <w:r w:rsidRPr="00664491">
        <w:t xml:space="preserve"> placebo </w:t>
      </w:r>
      <w:r w:rsidR="00411FA2">
        <w:t>and</w:t>
      </w:r>
      <w:r w:rsidRPr="00664491">
        <w:t xml:space="preserve"> treated) received </w:t>
      </w:r>
      <w:r w:rsidR="00FC69C3">
        <w:t>everolimus</w:t>
      </w:r>
      <w:r w:rsidRPr="00664491">
        <w:t>. There was an initial 8 weeks Transition period to bring all patients to the common 6</w:t>
      </w:r>
      <w:r w:rsidR="00A933E7">
        <w:t> </w:t>
      </w:r>
      <w:r w:rsidRPr="00664491">
        <w:t>to 10</w:t>
      </w:r>
      <w:r w:rsidR="00411FA2">
        <w:t xml:space="preserve"> </w:t>
      </w:r>
      <w:r w:rsidRPr="00664491">
        <w:t xml:space="preserve">ng/mL trough range followed, by a Titration period in which the </w:t>
      </w:r>
      <w:r w:rsidR="00A933E7">
        <w:t>i</w:t>
      </w:r>
      <w:r w:rsidRPr="00664491">
        <w:t xml:space="preserve">nvestigators had the option to control </w:t>
      </w:r>
      <w:r w:rsidR="00FC69C3">
        <w:t>everolimus</w:t>
      </w:r>
      <w:r w:rsidRPr="00664491">
        <w:t xml:space="preserve"> dosing, targeting the broad 3</w:t>
      </w:r>
      <w:r w:rsidR="00A933E7">
        <w:t> </w:t>
      </w:r>
      <w:r w:rsidRPr="00664491">
        <w:t>to</w:t>
      </w:r>
      <w:r w:rsidR="00A933E7">
        <w:t> </w:t>
      </w:r>
      <w:r w:rsidRPr="00664491">
        <w:t>1</w:t>
      </w:r>
      <w:r w:rsidR="00FC69C3">
        <w:t>5</w:t>
      </w:r>
      <w:r w:rsidR="00A933E7">
        <w:t> </w:t>
      </w:r>
      <w:r w:rsidR="00FC69C3">
        <w:t>ng</w:t>
      </w:r>
      <w:r w:rsidRPr="00664491">
        <w:t>/mL dose range.</w:t>
      </w:r>
    </w:p>
    <w:p w14:paraId="65D36E3E" w14:textId="77777777" w:rsidR="00664491" w:rsidRPr="00664491" w:rsidRDefault="00664491" w:rsidP="00411FA2">
      <w:pPr>
        <w:ind w:left="454"/>
      </w:pPr>
      <w:r w:rsidRPr="00664491">
        <w:t>N</w:t>
      </w:r>
      <w:r w:rsidR="00411FA2" w:rsidRPr="00664491">
        <w:t>ote</w:t>
      </w:r>
      <w:r w:rsidRPr="00664491">
        <w:t>: The study formulation used the dispersible tablets for oral</w:t>
      </w:r>
      <w:r w:rsidR="00F41FBA">
        <w:t xml:space="preserve"> </w:t>
      </w:r>
      <w:r w:rsidR="00411FA2">
        <w:t>suspension.</w:t>
      </w:r>
    </w:p>
    <w:p w14:paraId="7B393496" w14:textId="4160436C" w:rsidR="00664491" w:rsidRPr="00664491" w:rsidRDefault="00664491" w:rsidP="00F41FBA">
      <w:pPr>
        <w:pStyle w:val="FigureTitle"/>
      </w:pPr>
      <w:r w:rsidRPr="00664491">
        <w:lastRenderedPageBreak/>
        <w:t>Fig</w:t>
      </w:r>
      <w:r w:rsidR="00F23035">
        <w:t>ure 4</w:t>
      </w:r>
      <w:r w:rsidR="00F41FBA">
        <w:t xml:space="preserve">: </w:t>
      </w:r>
      <w:r w:rsidR="00411FA2">
        <w:t>Study M2304</w:t>
      </w:r>
      <w:r w:rsidR="00A933E7">
        <w:t xml:space="preserve"> study design</w:t>
      </w:r>
    </w:p>
    <w:p w14:paraId="5CA34631" w14:textId="77777777" w:rsidR="00F50805" w:rsidRPr="00F41FBA" w:rsidRDefault="00F41FBA" w:rsidP="00F41FBA">
      <w:r>
        <w:rPr>
          <w:noProof/>
          <w:lang w:eastAsia="en-AU"/>
        </w:rPr>
        <w:drawing>
          <wp:inline distT="0" distB="0" distL="0" distR="0" wp14:anchorId="217AB57B" wp14:editId="660684D6">
            <wp:extent cx="4566494" cy="3694176"/>
            <wp:effectExtent l="0" t="0" r="5715" b="1905"/>
            <wp:docPr id="9" name="Picture 9" descr="Figure 4: Study Design. Study M2304&#10;1. Baseline phase; from Screening Week -8 (V1) to Randomisation visit at Week 0 (V2).&#10;During the Baseline phase, patients were to complete a seizure diary for a total of ≥ 8 weeks, which was considered long enough to provide reliable data on the Baseline seizure frequency of patients taking 1 to 3 AEDs.&#10;2. Core (Double blind, placebo controlled) phase; from Randomisation at Week 0 (V2) to Week 18 (V11).&#10;In this Core phase, patients received either:&#10;• Placebo or&#10;• Everolimus with titration to achieve a trough range of 3 to 7 ng/mL or&#10;• Everolimus with titration to achieve a trough range of 9 to 15 ng/mL.&#10;Note: The titration period was 6 weeks during which, up to 3 dose adjustments could be made to reach the targeted everolimus trough range. This was followed by a Maintenance period of 12 weeks duration, making a total of 18 weeks for the core period.&#10;3. Extension phase: from Week 18 (V11) until 48 weeks after the last patient has completed the Core phase, with all patients receiving everolimus at entry and with blinding of the original randomisation arm maintained.&#10;In the Extension phase, all patients (that is placebo and treated) received everolimus. There was an initial 8 weeks Transition period to bring all patients to the common 6 to 10 ng/mL trough range followed, by a Titration period in which the investigators had the option to control everolimus dosing, targeting the broad 3 to 15 ng/mL dose rang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67873" cy="3695292"/>
                    </a:xfrm>
                    <a:prstGeom prst="rect">
                      <a:avLst/>
                    </a:prstGeom>
                  </pic:spPr>
                </pic:pic>
              </a:graphicData>
            </a:graphic>
          </wp:inline>
        </w:drawing>
      </w:r>
    </w:p>
    <w:p w14:paraId="7EC8AE9F" w14:textId="77777777" w:rsidR="00F06F96" w:rsidRDefault="00F06F96" w:rsidP="00F06F96">
      <w:pPr>
        <w:pStyle w:val="Heading6"/>
      </w:pPr>
      <w:r>
        <w:t>Efficacy outcomes variables</w:t>
      </w:r>
    </w:p>
    <w:p w14:paraId="73E00E62" w14:textId="730A832A" w:rsidR="00F41FBA" w:rsidRPr="00F41FBA" w:rsidRDefault="00F41FBA" w:rsidP="00F41FBA">
      <w:r w:rsidRPr="00F41FBA">
        <w:t>The primary efficacy endpoint was given as either the response rate</w:t>
      </w:r>
      <w:r w:rsidR="00A933E7">
        <w:t>;</w:t>
      </w:r>
      <w:r w:rsidR="00F06F96">
        <w:rPr>
          <w:rStyle w:val="FootnoteReference"/>
        </w:rPr>
        <w:footnoteReference w:id="36"/>
      </w:r>
      <w:r w:rsidRPr="00F41FBA">
        <w:t xml:space="preserve"> </w:t>
      </w:r>
      <w:r w:rsidR="00F50ABF">
        <w:t>(</w:t>
      </w:r>
      <w:r w:rsidRPr="00F41FBA">
        <w:t>EMA version</w:t>
      </w:r>
      <w:r w:rsidR="00F50ABF">
        <w:t>)</w:t>
      </w:r>
      <w:r w:rsidRPr="00F41FBA">
        <w:t xml:space="preserve"> or the percentage reduction in seizure frequency </w:t>
      </w:r>
      <w:r w:rsidR="00F50ABF">
        <w:t>(</w:t>
      </w:r>
      <w:r w:rsidRPr="00F41FBA">
        <w:t>FDA version</w:t>
      </w:r>
      <w:r w:rsidR="00F50ABF">
        <w:t>)</w:t>
      </w:r>
      <w:r w:rsidRPr="00F41FBA">
        <w:t>.</w:t>
      </w:r>
    </w:p>
    <w:p w14:paraId="7594B2EB" w14:textId="77777777" w:rsidR="00F41FBA" w:rsidRPr="00F06F96" w:rsidRDefault="00F41FBA" w:rsidP="008C2E44">
      <w:pPr>
        <w:ind w:left="567"/>
      </w:pPr>
      <w:r w:rsidRPr="00F41FBA">
        <w:rPr>
          <w:i/>
        </w:rPr>
        <w:t>CE’s comment:</w:t>
      </w:r>
      <w:r>
        <w:rPr>
          <w:i/>
        </w:rPr>
        <w:t xml:space="preserve"> </w:t>
      </w:r>
      <w:r w:rsidRPr="00F41FBA">
        <w:t>Given that the TGA has adopted EMA guidelines, this evaluator proposes to use the response rate as the primary variable. The protocol indicates that the statistical analysis was not to be set up for co-primary endpoints.</w:t>
      </w:r>
      <w:r w:rsidR="00F06F96">
        <w:rPr>
          <w:rStyle w:val="FootnoteReference"/>
        </w:rPr>
        <w:footnoteReference w:id="37"/>
      </w:r>
    </w:p>
    <w:p w14:paraId="64A0E22C" w14:textId="77777777" w:rsidR="00F50ABF" w:rsidRDefault="00F41FBA" w:rsidP="00F41FBA">
      <w:r w:rsidRPr="00F41FBA">
        <w:t>Seizure frequency was determined using counts of seizures, based on seizure diaries that were completed by the patient or caregiver throughout the trial</w:t>
      </w:r>
      <w:r w:rsidR="00F50ABF">
        <w:t>.</w:t>
      </w:r>
    </w:p>
    <w:p w14:paraId="0B11951E" w14:textId="683FE1FD" w:rsidR="00F41FBA" w:rsidRPr="00F41FBA" w:rsidRDefault="00F41FBA" w:rsidP="00F41FBA">
      <w:r w:rsidRPr="00F41FBA">
        <w:t xml:space="preserve">During the Baseline phase (and if new seizures occurred during the study), the </w:t>
      </w:r>
      <w:r w:rsidR="00A933E7">
        <w:t>i</w:t>
      </w:r>
      <w:r w:rsidRPr="00F41FBA">
        <w:t>nvestigator reviewed the known seizure types of each patient with</w:t>
      </w:r>
      <w:r w:rsidR="00F06F96">
        <w:t xml:space="preserve"> the Epilepsy Study Consortium.</w:t>
      </w:r>
      <w:r w:rsidR="00F06F96">
        <w:rPr>
          <w:rStyle w:val="FootnoteReference"/>
        </w:rPr>
        <w:footnoteReference w:id="38"/>
      </w:r>
      <w:r w:rsidR="00F50ABF">
        <w:t xml:space="preserve"> </w:t>
      </w:r>
      <w:r w:rsidRPr="00F41FBA">
        <w:t xml:space="preserve">Only events thought to have a high probability of being seizures with approval from the Epilepsy Study Consortium and agreement from the </w:t>
      </w:r>
      <w:r w:rsidR="00A933E7">
        <w:t>i</w:t>
      </w:r>
      <w:r w:rsidRPr="00F41FBA">
        <w:t xml:space="preserve">nvestigator were entered into the </w:t>
      </w:r>
      <w:proofErr w:type="spellStart"/>
      <w:r w:rsidRPr="00F41FBA">
        <w:t>eCRF</w:t>
      </w:r>
      <w:proofErr w:type="spellEnd"/>
      <w:r w:rsidRPr="00F41FBA">
        <w:t xml:space="preserve"> and counted as </w:t>
      </w:r>
      <w:r w:rsidR="00411FA2">
        <w:t>partial onset</w:t>
      </w:r>
      <w:r w:rsidRPr="00F41FBA">
        <w:t xml:space="preserve"> seizures </w:t>
      </w:r>
      <w:r w:rsidR="00F06F96">
        <w:t xml:space="preserve">and </w:t>
      </w:r>
      <w:r w:rsidR="00A933E7">
        <w:t>generalised</w:t>
      </w:r>
      <w:r w:rsidR="00F06F96">
        <w:t>-onset seizures.</w:t>
      </w:r>
    </w:p>
    <w:p w14:paraId="3C925F4A" w14:textId="75CD901B" w:rsidR="00F41FBA" w:rsidRDefault="00F41FBA" w:rsidP="00F41FBA">
      <w:r w:rsidRPr="00F41FBA">
        <w:t>Calculation</w:t>
      </w:r>
      <w:r w:rsidR="00F23035">
        <w:t xml:space="preserve"> areas </w:t>
      </w:r>
      <w:r w:rsidR="00A933E7">
        <w:t xml:space="preserve">are </w:t>
      </w:r>
      <w:r w:rsidR="00F23035">
        <w:t>shown in Figure 5</w:t>
      </w:r>
      <w:r w:rsidR="00A933E7">
        <w:t>, below.</w:t>
      </w:r>
    </w:p>
    <w:p w14:paraId="565E66FC" w14:textId="77777777" w:rsidR="00F06F96" w:rsidRDefault="00F23035" w:rsidP="00F06F96">
      <w:pPr>
        <w:pStyle w:val="FigureTitle"/>
      </w:pPr>
      <w:r>
        <w:lastRenderedPageBreak/>
        <w:t>Figure 5</w:t>
      </w:r>
      <w:r w:rsidR="00F06F96">
        <w:t>: Definitions of seizures</w:t>
      </w:r>
    </w:p>
    <w:p w14:paraId="7EA1A7DC" w14:textId="77777777" w:rsidR="00F06F96" w:rsidRPr="00F41FBA" w:rsidRDefault="00F06F96" w:rsidP="00F41FBA">
      <w:r>
        <w:rPr>
          <w:noProof/>
          <w:lang w:eastAsia="en-AU"/>
        </w:rPr>
        <w:drawing>
          <wp:inline distT="0" distB="0" distL="0" distR="0" wp14:anchorId="00E02824" wp14:editId="32708C79">
            <wp:extent cx="5400040" cy="2781944"/>
            <wp:effectExtent l="0" t="0" r="0" b="0"/>
            <wp:docPr id="30" name="Picture 30" descr="Figure 5: Definitions of seiz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2781944"/>
                    </a:xfrm>
                    <a:prstGeom prst="rect">
                      <a:avLst/>
                    </a:prstGeom>
                  </pic:spPr>
                </pic:pic>
              </a:graphicData>
            </a:graphic>
          </wp:inline>
        </w:drawing>
      </w:r>
    </w:p>
    <w:p w14:paraId="1AB1ACB8" w14:textId="77777777" w:rsidR="00F41FBA" w:rsidRPr="00F41FBA" w:rsidRDefault="00F41FBA" w:rsidP="00F41FBA">
      <w:r w:rsidRPr="00F41FBA">
        <w:t xml:space="preserve">A responder was a patient with ≥ 50% reduction from Baseline in average weekly seizure frequency during the Maintenance period of the Core phase, </w:t>
      </w:r>
      <w:r w:rsidR="00CE5C99">
        <w:t>that is</w:t>
      </w:r>
      <w:r w:rsidRPr="00F41FBA">
        <w:t xml:space="preserve"> when %</w:t>
      </w:r>
      <w:r w:rsidR="00F06F96">
        <w:t>r</w:t>
      </w:r>
      <w:r w:rsidRPr="00F41FBA">
        <w:t>ed</w:t>
      </w:r>
      <w:r w:rsidR="00F06F96">
        <w:t>uction ≥ </w:t>
      </w:r>
      <w:r w:rsidRPr="00F41FBA">
        <w:t>50</w:t>
      </w:r>
      <w:r w:rsidR="00F06F96">
        <w:t>%</w:t>
      </w:r>
      <w:r w:rsidRPr="00F41FBA">
        <w:t>.</w:t>
      </w:r>
      <w:r w:rsidR="00F06F96">
        <w:rPr>
          <w:rStyle w:val="FootnoteReference"/>
        </w:rPr>
        <w:footnoteReference w:id="39"/>
      </w:r>
    </w:p>
    <w:p w14:paraId="2D3BC3D2" w14:textId="77777777" w:rsidR="00F41FBA" w:rsidRPr="00F41FBA" w:rsidDel="0081373E" w:rsidRDefault="00F41FBA" w:rsidP="00F06F96">
      <w:pPr>
        <w:pStyle w:val="Heading6"/>
      </w:pPr>
      <w:r w:rsidRPr="00F41FBA">
        <w:t>Analysis of populations</w:t>
      </w:r>
    </w:p>
    <w:p w14:paraId="68D412DF" w14:textId="6A1E5CE8" w:rsidR="00F41FBA" w:rsidRPr="00F41FBA" w:rsidRDefault="00F41FBA" w:rsidP="00F06F96">
      <w:pPr>
        <w:pStyle w:val="ListBullet"/>
      </w:pPr>
      <w:r w:rsidRPr="00F41FBA">
        <w:t xml:space="preserve">Full Analysis Set (FAS) comprised all patients to whom study treatment was assigned by </w:t>
      </w:r>
      <w:r w:rsidR="004C3923" w:rsidRPr="00F41FBA">
        <w:t>randomi</w:t>
      </w:r>
      <w:r w:rsidR="004C3923">
        <w:t>s</w:t>
      </w:r>
      <w:r w:rsidR="004C3923" w:rsidRPr="00F41FBA">
        <w:t>ation</w:t>
      </w:r>
      <w:r w:rsidRPr="00F41FBA">
        <w:t>.</w:t>
      </w:r>
    </w:p>
    <w:p w14:paraId="2AE4EF12" w14:textId="77777777" w:rsidR="00F41FBA" w:rsidRPr="00F41FBA" w:rsidRDefault="00F41FBA" w:rsidP="00F06F96">
      <w:pPr>
        <w:pStyle w:val="ListBullet"/>
      </w:pPr>
      <w:r w:rsidRPr="00F41FBA">
        <w:t xml:space="preserve">Pharmacokinetic analyses were performed on the Confirmed PK Sample Set from all </w:t>
      </w:r>
      <w:r w:rsidR="00F06F96">
        <w:t>everolimus treated</w:t>
      </w:r>
      <w:r w:rsidRPr="00F41FBA">
        <w:t xml:space="preserve"> patients in the Safety Set and Long-term Evaluation Safety Set, which was defined as follows:</w:t>
      </w:r>
    </w:p>
    <w:p w14:paraId="2BB45B42" w14:textId="7225D8C9" w:rsidR="00F41FBA" w:rsidRPr="00F41FBA" w:rsidRDefault="00F50ABF" w:rsidP="00F06F96">
      <w:pPr>
        <w:ind w:left="360"/>
      </w:pPr>
      <w:proofErr w:type="spellStart"/>
      <w:r w:rsidRPr="00C9173F">
        <w:t>C</w:t>
      </w:r>
      <w:r w:rsidRPr="00F50ABF">
        <w:rPr>
          <w:vertAlign w:val="subscript"/>
        </w:rPr>
        <w:t>min</w:t>
      </w:r>
      <w:proofErr w:type="spellEnd"/>
      <w:r w:rsidR="00F41FBA" w:rsidRPr="00F41FBA">
        <w:t xml:space="preserve"> collected prior to dose administration o</w:t>
      </w:r>
      <w:r w:rsidR="00F06F96">
        <w:t>n the same treatment day and 20</w:t>
      </w:r>
      <w:r w:rsidR="00A933E7">
        <w:t> </w:t>
      </w:r>
      <w:r w:rsidR="00F06F96">
        <w:t>to</w:t>
      </w:r>
      <w:r w:rsidR="00A933E7">
        <w:t> </w:t>
      </w:r>
      <w:r w:rsidR="00F41FBA" w:rsidRPr="00F41FBA">
        <w:t>28</w:t>
      </w:r>
      <w:r w:rsidR="00A933E7">
        <w:t> </w:t>
      </w:r>
      <w:r w:rsidR="00F41FBA" w:rsidRPr="00F41FBA">
        <w:t>hours after the previous dose, at steady state, and with no evidence of vomiting within 4 hours of the previous dose.</w:t>
      </w:r>
    </w:p>
    <w:p w14:paraId="411DC506" w14:textId="77777777" w:rsidR="00F41FBA" w:rsidRPr="00F41FBA" w:rsidRDefault="00F41FBA" w:rsidP="00F06F96">
      <w:pPr>
        <w:pStyle w:val="ListBullet"/>
      </w:pPr>
      <w:r w:rsidRPr="00F41FBA">
        <w:t xml:space="preserve">The Long-term Evaluation (LTE) Sets (Efficacy and Safety) comprise all patient data on </w:t>
      </w:r>
      <w:r w:rsidR="00FC69C3">
        <w:t>everolimus</w:t>
      </w:r>
      <w:r w:rsidRPr="00F41FBA">
        <w:t xml:space="preserve"> in the study during the Core phase and Extension phase. Each LTE set consists of all patients who received at least one dose of </w:t>
      </w:r>
      <w:r w:rsidR="00FC69C3">
        <w:t>everolimus</w:t>
      </w:r>
      <w:r w:rsidRPr="00F41FBA">
        <w:t xml:space="preserve"> and had at least one efficacy/safety assessment.</w:t>
      </w:r>
    </w:p>
    <w:p w14:paraId="2E1C4D0D" w14:textId="77777777" w:rsidR="00F41FBA" w:rsidRPr="00F41FBA" w:rsidRDefault="00F41FBA" w:rsidP="00F06F96">
      <w:pPr>
        <w:pStyle w:val="Heading6"/>
      </w:pPr>
      <w:r w:rsidRPr="00F41FBA" w:rsidDel="0081373E">
        <w:t>S</w:t>
      </w:r>
      <w:r w:rsidRPr="00F41FBA">
        <w:t>ample size</w:t>
      </w:r>
    </w:p>
    <w:p w14:paraId="0EC4A559" w14:textId="77777777" w:rsidR="00F41FBA" w:rsidRPr="00F41FBA" w:rsidRDefault="00F41FBA" w:rsidP="00F41FBA">
      <w:r w:rsidRPr="00F41FBA">
        <w:t>The sample size calculation was based exclusively on response rate, the primary endpoint used by the EMA, but it was also expected to provide sufficient patients for the power of the FDA primary endpoint, percentage reduction in seizure frequency.</w:t>
      </w:r>
    </w:p>
    <w:p w14:paraId="2907EE99" w14:textId="16D90ADB" w:rsidR="00F41FBA" w:rsidRPr="00F41FBA" w:rsidRDefault="00F41FBA" w:rsidP="00F41FBA">
      <w:r w:rsidRPr="00F41FBA">
        <w:t xml:space="preserve">It was assumed that response rates would be 15% in the placebo arm and 35% in each of the two </w:t>
      </w:r>
      <w:r w:rsidR="00FC69C3">
        <w:t>everolimus</w:t>
      </w:r>
      <w:r w:rsidRPr="00F41FBA">
        <w:t xml:space="preserve"> arms. That is, there was no a priori strong expectation that the higher targeted trough </w:t>
      </w:r>
      <w:r w:rsidR="00FC69C3">
        <w:t>everolimus</w:t>
      </w:r>
      <w:r w:rsidRPr="00F41FBA">
        <w:t xml:space="preserve"> arm 9 to 1</w:t>
      </w:r>
      <w:r w:rsidR="00FC69C3">
        <w:t>5 ng</w:t>
      </w:r>
      <w:r w:rsidRPr="00F41FBA">
        <w:t xml:space="preserve">/mL would deliver a higher response rate than the lower targeted trough </w:t>
      </w:r>
      <w:r w:rsidR="00FC69C3">
        <w:t>everolimus</w:t>
      </w:r>
      <w:r w:rsidRPr="00F41FBA">
        <w:t xml:space="preserve"> arm 3 to </w:t>
      </w:r>
      <w:r w:rsidR="000803D4">
        <w:t>7 ng</w:t>
      </w:r>
      <w:r w:rsidRPr="00F41FBA">
        <w:t xml:space="preserve">/mL, as better efficacy may be mitigated by worse tolerability. For this reason, the testing strategy was to simultaneously compare each pairwise comparison, splitting the significance level, rather than testing hierarchically starting with the higher trough arm for example. It was determined that a sample size of 355 patients would ensure 90% power for each of the primary comparisons </w:t>
      </w:r>
      <w:r w:rsidRPr="00F41FBA">
        <w:lastRenderedPageBreak/>
        <w:t xml:space="preserve">of each </w:t>
      </w:r>
      <w:r w:rsidR="00FC69C3">
        <w:t>everolimus</w:t>
      </w:r>
      <w:r w:rsidRPr="00F41FBA">
        <w:t xml:space="preserve"> arm </w:t>
      </w:r>
      <w:r w:rsidR="000803D4">
        <w:t>versus</w:t>
      </w:r>
      <w:r w:rsidRPr="00F41FBA">
        <w:t xml:space="preserve"> placebo, assuming one-sided 1.25% significance levels for each Cochran-Mantel-</w:t>
      </w:r>
      <w:proofErr w:type="spellStart"/>
      <w:r w:rsidRPr="00F41FBA">
        <w:t>Haenszel</w:t>
      </w:r>
      <w:proofErr w:type="spellEnd"/>
      <w:r w:rsidR="00EB24AF">
        <w:t xml:space="preserve"> </w:t>
      </w:r>
      <w:r w:rsidRPr="00F41FBA">
        <w:t xml:space="preserve">chi-square test, and assuming balanced </w:t>
      </w:r>
      <w:r w:rsidR="00A933E7" w:rsidRPr="00F41FBA">
        <w:t>randomi</w:t>
      </w:r>
      <w:r w:rsidR="00A933E7">
        <w:t>s</w:t>
      </w:r>
      <w:r w:rsidR="00A933E7" w:rsidRPr="00F41FBA">
        <w:t xml:space="preserve">ation </w:t>
      </w:r>
      <w:r w:rsidRPr="00F41FBA">
        <w:t>(</w:t>
      </w:r>
      <w:r w:rsidR="00CE5C99">
        <w:t>that is</w:t>
      </w:r>
      <w:r w:rsidRPr="00F41FBA">
        <w:t xml:space="preserve"> 115 patients per </w:t>
      </w:r>
      <w:r w:rsidR="00A933E7" w:rsidRPr="00F41FBA">
        <w:t>randomi</w:t>
      </w:r>
      <w:r w:rsidR="00A933E7">
        <w:t>s</w:t>
      </w:r>
      <w:r w:rsidR="00A933E7" w:rsidRPr="00F41FBA">
        <w:t xml:space="preserve">ation </w:t>
      </w:r>
      <w:r w:rsidRPr="00F41FBA">
        <w:t>arm).</w:t>
      </w:r>
    </w:p>
    <w:p w14:paraId="30591DF4" w14:textId="77777777" w:rsidR="00F41FBA" w:rsidRPr="00F41FBA" w:rsidRDefault="00F41FBA" w:rsidP="00F41FBA">
      <w:r w:rsidRPr="00F41FBA">
        <w:t xml:space="preserve">Due to a mistake in the titration recommendations it was decided to increase the sample size in the </w:t>
      </w:r>
      <w:r w:rsidR="00FC69C3">
        <w:t>everolimus</w:t>
      </w:r>
      <w:r w:rsidRPr="00F41FBA">
        <w:t xml:space="preserve"> 9 to 1</w:t>
      </w:r>
      <w:r w:rsidR="00FC69C3">
        <w:t>5 ng</w:t>
      </w:r>
      <w:r w:rsidRPr="00F41FBA">
        <w:t xml:space="preserve">/mL arm by 10 patients, </w:t>
      </w:r>
      <w:r w:rsidR="00CE5C99">
        <w:t>that is</w:t>
      </w:r>
      <w:r w:rsidRPr="00F41FBA">
        <w:t xml:space="preserve"> 125 patients in total in that arm.</w:t>
      </w:r>
    </w:p>
    <w:p w14:paraId="65DEE039" w14:textId="77777777" w:rsidR="00F41FBA" w:rsidRPr="00F41FBA" w:rsidRDefault="00F41FBA" w:rsidP="000803D4">
      <w:pPr>
        <w:pStyle w:val="Heading6"/>
      </w:pPr>
      <w:r w:rsidRPr="00F41FBA">
        <w:t>Statistical methods</w:t>
      </w:r>
    </w:p>
    <w:p w14:paraId="324CC898" w14:textId="77777777" w:rsidR="00F41FBA" w:rsidRPr="00F41FBA" w:rsidRDefault="00F41FBA" w:rsidP="008C2E44">
      <w:r w:rsidRPr="00F41FBA">
        <w:t xml:space="preserve">For the chosen primary endpoint, response rate was compared between each </w:t>
      </w:r>
      <w:r w:rsidR="00FC69C3">
        <w:t>everolimus</w:t>
      </w:r>
      <w:r w:rsidRPr="00F41FBA">
        <w:t xml:space="preserve"> arm </w:t>
      </w:r>
      <w:r w:rsidR="000803D4">
        <w:t>versus</w:t>
      </w:r>
      <w:r w:rsidRPr="00F41FBA">
        <w:t xml:space="preserve"> the placebo arm in the Full Analysis Set using Cochran-Mantel-</w:t>
      </w:r>
      <w:proofErr w:type="spellStart"/>
      <w:r w:rsidRPr="00F41FBA">
        <w:t>Haenszel</w:t>
      </w:r>
      <w:proofErr w:type="spellEnd"/>
      <w:r w:rsidRPr="00F41FBA">
        <w:t xml:space="preserve"> (CMH) chi-square tests stratified by age subgroup. The Bonferroni-Holm procedure was used to ensure an overall family-wis</w:t>
      </w:r>
      <w:r w:rsidR="000803D4">
        <w:t xml:space="preserve">e Type I error rate of 2.5% one </w:t>
      </w:r>
      <w:r w:rsidRPr="00F41FBA">
        <w:t xml:space="preserve">sided. Response rates were provided with exact 95% CIs, and the odds ratio for each </w:t>
      </w:r>
      <w:r w:rsidR="00FC69C3">
        <w:t>everolimus</w:t>
      </w:r>
      <w:r w:rsidRPr="00F41FBA">
        <w:t xml:space="preserve"> arm </w:t>
      </w:r>
      <w:r w:rsidR="000803D4">
        <w:t>versus</w:t>
      </w:r>
      <w:r w:rsidRPr="00F41FBA">
        <w:t xml:space="preserve"> placebo was obtained from logistic regression models stratified by age subgroup.</w:t>
      </w:r>
    </w:p>
    <w:p w14:paraId="46B8398C" w14:textId="77777777" w:rsidR="00F41FBA" w:rsidRPr="00F41FBA" w:rsidRDefault="00F41FBA" w:rsidP="00F41FBA">
      <w:r w:rsidRPr="00F41FBA">
        <w:t>EMA and FDA will use its preferred variable as the primary variable, with the other (now non-primary) variable being used in a supportive analysis. As either EMA or FDA will only use its preferred primary variable to make a decision on the primary objective, the full alpha level can be used for each Agency’s primary variable, without correction for multiplicity.</w:t>
      </w:r>
    </w:p>
    <w:p w14:paraId="248490E5" w14:textId="77777777" w:rsidR="00F41FBA" w:rsidRPr="00F41FBA" w:rsidRDefault="000803D4" w:rsidP="00F41FBA">
      <w:r>
        <w:t>As per earlier, the</w:t>
      </w:r>
      <w:r w:rsidR="00FC69C3">
        <w:t xml:space="preserve"> clinical evaluator</w:t>
      </w:r>
      <w:r w:rsidR="00F41FBA" w:rsidRPr="00F41FBA">
        <w:t xml:space="preserve"> stated that:</w:t>
      </w:r>
    </w:p>
    <w:p w14:paraId="0CB75D4A" w14:textId="77777777" w:rsidR="00F41FBA" w:rsidRPr="00F41FBA" w:rsidRDefault="00F41FBA" w:rsidP="008C2E44">
      <w:pPr>
        <w:ind w:left="567"/>
      </w:pPr>
      <w:r w:rsidRPr="00F41FBA">
        <w:t>Given that the TGA has adopted EMA guidelines, this evaluator proposes to use the response rate as the primary variable. The protocol indicates that the statistical analysis was not to be set up for co-primary endpoints</w:t>
      </w:r>
    </w:p>
    <w:p w14:paraId="718286EB" w14:textId="77777777" w:rsidR="00F41FBA" w:rsidRPr="00F41FBA" w:rsidRDefault="00F41FBA" w:rsidP="00F41FBA">
      <w:r w:rsidRPr="00F41FBA">
        <w:t>Statistical analysis methods of the multiple supportive and secondary endpoints a</w:t>
      </w:r>
      <w:r w:rsidR="000803D4">
        <w:t>re listed elsewhere in the CER.</w:t>
      </w:r>
    </w:p>
    <w:p w14:paraId="377ED790" w14:textId="77777777" w:rsidR="00CA1837" w:rsidRDefault="00CA1837" w:rsidP="00CA1837">
      <w:pPr>
        <w:pStyle w:val="Heading6"/>
      </w:pPr>
      <w:r w:rsidRPr="00F41FBA">
        <w:t>Protocol amendments</w:t>
      </w:r>
    </w:p>
    <w:p w14:paraId="18208243" w14:textId="77777777" w:rsidR="00F41FBA" w:rsidRPr="00F41FBA" w:rsidRDefault="00F41FBA" w:rsidP="00F41FBA">
      <w:r w:rsidRPr="00F41FBA">
        <w:t>Protocol amendments</w:t>
      </w:r>
      <w:r w:rsidR="00CA1837">
        <w:t xml:space="preserve"> (second) after trial start (14 March </w:t>
      </w:r>
      <w:r w:rsidRPr="00F41FBA">
        <w:t>2014) included:</w:t>
      </w:r>
    </w:p>
    <w:p w14:paraId="3231FABD" w14:textId="77777777" w:rsidR="00F41FBA" w:rsidRPr="00F41FBA" w:rsidRDefault="00F41FBA" w:rsidP="00CA1837">
      <w:pPr>
        <w:pStyle w:val="ListBullet"/>
      </w:pPr>
      <w:r w:rsidRPr="00F41FBA">
        <w:t>Among the Inclusion criteria, the definition of TSC seizures was modified to include sensory seizures as the sole seizure type if confirmed to be partial onset by ictal EEG.</w:t>
      </w:r>
    </w:p>
    <w:p w14:paraId="426CF98E" w14:textId="77777777" w:rsidR="00F41FBA" w:rsidRPr="00F41FBA" w:rsidRDefault="00F41FBA" w:rsidP="00CA1837">
      <w:pPr>
        <w:pStyle w:val="ListBullet"/>
      </w:pPr>
      <w:r w:rsidRPr="00F41FBA">
        <w:t xml:space="preserve">Addition to the Exclusion criteria, in relation to patients on a ketogenic diet (defined as </w:t>
      </w:r>
      <w:r w:rsidR="00F50ABF">
        <w:t xml:space="preserve">&lt; </w:t>
      </w:r>
      <w:r w:rsidRPr="00F41FBA">
        <w:t>40 g of carbohydrate/day).</w:t>
      </w:r>
    </w:p>
    <w:p w14:paraId="69AE8EB5" w14:textId="77777777" w:rsidR="00F41FBA" w:rsidRPr="00F41FBA" w:rsidRDefault="00F41FBA" w:rsidP="00CA1837">
      <w:pPr>
        <w:pStyle w:val="ListBullet"/>
      </w:pPr>
      <w:r w:rsidRPr="00F41FBA">
        <w:t xml:space="preserve">Allowing investigator’s discretion to manage </w:t>
      </w:r>
      <w:r w:rsidR="00FC69C3">
        <w:t>everolimus</w:t>
      </w:r>
      <w:r w:rsidRPr="00F41FBA">
        <w:t xml:space="preserve"> titrations in the Extension phase.</w:t>
      </w:r>
    </w:p>
    <w:p w14:paraId="68A59297" w14:textId="77777777" w:rsidR="00F50ABF" w:rsidRDefault="00F41FBA" w:rsidP="00CA1837">
      <w:pPr>
        <w:pStyle w:val="ListBullet"/>
      </w:pPr>
      <w:r w:rsidRPr="00F41FBA">
        <w:t xml:space="preserve">Subsequent recognition of the inappropriateness of the approach plan in the original protocol, to define the Safety Population using actual </w:t>
      </w:r>
      <w:proofErr w:type="spellStart"/>
      <w:r w:rsidR="00F50ABF" w:rsidRPr="00C9173F">
        <w:t>C</w:t>
      </w:r>
      <w:r w:rsidR="00F50ABF" w:rsidRPr="00F50ABF">
        <w:rPr>
          <w:vertAlign w:val="subscript"/>
        </w:rPr>
        <w:t>min</w:t>
      </w:r>
      <w:proofErr w:type="spellEnd"/>
      <w:r w:rsidRPr="00F41FBA">
        <w:t xml:space="preserve"> values</w:t>
      </w:r>
      <w:r w:rsidR="00F50ABF">
        <w:t>.</w:t>
      </w:r>
    </w:p>
    <w:p w14:paraId="32F586B8" w14:textId="77777777" w:rsidR="00F41FBA" w:rsidRPr="00F41FBA" w:rsidRDefault="00F41FBA" w:rsidP="00CA1837">
      <w:pPr>
        <w:pStyle w:val="Heading6"/>
      </w:pPr>
      <w:r w:rsidRPr="00F41FBA">
        <w:lastRenderedPageBreak/>
        <w:t>Major protocol violations/deviations</w:t>
      </w:r>
    </w:p>
    <w:p w14:paraId="103E0ED9" w14:textId="77777777" w:rsidR="00F41FBA" w:rsidRPr="00F41FBA" w:rsidRDefault="00F41FBA" w:rsidP="00CA1837">
      <w:pPr>
        <w:pStyle w:val="Tabletitle0"/>
      </w:pPr>
      <w:r w:rsidRPr="00F41FBA">
        <w:t xml:space="preserve">Table </w:t>
      </w:r>
      <w:r w:rsidR="000128D8">
        <w:t>27</w:t>
      </w:r>
      <w:r w:rsidR="00CA1837">
        <w:t>:</w:t>
      </w:r>
      <w:r w:rsidR="00F50ABF">
        <w:t xml:space="preserve"> </w:t>
      </w:r>
      <w:r w:rsidRPr="00F41FBA">
        <w:t>Protocol deviations – Full Analysis Set</w:t>
      </w:r>
      <w:r w:rsidR="00CA1837">
        <w:t xml:space="preserve"> Study M2304</w:t>
      </w:r>
    </w:p>
    <w:p w14:paraId="37CC51AE" w14:textId="77777777" w:rsidR="00F50805" w:rsidRDefault="00F41FBA" w:rsidP="007B6132">
      <w:r>
        <w:rPr>
          <w:noProof/>
          <w:lang w:eastAsia="en-AU"/>
        </w:rPr>
        <w:drawing>
          <wp:inline distT="0" distB="0" distL="0" distR="0" wp14:anchorId="22C9DBEC" wp14:editId="3506A32C">
            <wp:extent cx="5400040" cy="3004061"/>
            <wp:effectExtent l="0" t="0" r="0" b="6350"/>
            <wp:docPr id="10" name="Picture 10" descr="Table 27: Protocol deviations – Full Analysis Set Study M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3004061"/>
                    </a:xfrm>
                    <a:prstGeom prst="rect">
                      <a:avLst/>
                    </a:prstGeom>
                  </pic:spPr>
                </pic:pic>
              </a:graphicData>
            </a:graphic>
          </wp:inline>
        </w:drawing>
      </w:r>
    </w:p>
    <w:p w14:paraId="3466588D" w14:textId="77777777" w:rsidR="00F41FBA" w:rsidRPr="00F41FBA" w:rsidRDefault="00F41FBA" w:rsidP="00CA1837">
      <w:pPr>
        <w:pStyle w:val="TableDescription"/>
      </w:pPr>
      <w:r w:rsidRPr="00F41FBA">
        <w:t xml:space="preserve">AEDs = antiepileptic drugs; </w:t>
      </w:r>
      <w:proofErr w:type="spellStart"/>
      <w:r w:rsidRPr="00F41FBA">
        <w:t>mTOR</w:t>
      </w:r>
      <w:proofErr w:type="spellEnd"/>
      <w:r w:rsidRPr="00F41FBA">
        <w:t xml:space="preserve"> = mammalian target of rapamycin</w:t>
      </w:r>
    </w:p>
    <w:p w14:paraId="555FF8FB" w14:textId="77777777" w:rsidR="00F41FBA" w:rsidRPr="00F41FBA" w:rsidRDefault="00F41FBA" w:rsidP="00F41FBA">
      <w:r w:rsidRPr="00F41FBA">
        <w:t>Source located in the submitted data</w:t>
      </w:r>
      <w:r w:rsidR="00CA1837">
        <w:t xml:space="preserve">. </w:t>
      </w:r>
      <w:r w:rsidRPr="00F41FBA">
        <w:t>A patient may have multiple protocol deviations</w:t>
      </w:r>
    </w:p>
    <w:p w14:paraId="5DDF9444" w14:textId="77777777" w:rsidR="00F41FBA" w:rsidRPr="00F41FBA" w:rsidRDefault="00F41FBA" w:rsidP="00CA1837">
      <w:pPr>
        <w:pStyle w:val="Heading6"/>
      </w:pPr>
      <w:r w:rsidRPr="00F41FBA">
        <w:t>Baseline data</w:t>
      </w:r>
    </w:p>
    <w:p w14:paraId="6547E1CC" w14:textId="1F8231E7" w:rsidR="00CA1837" w:rsidRDefault="00F41FBA" w:rsidP="00F41FBA">
      <w:r w:rsidRPr="00F41FBA">
        <w:t xml:space="preserve">The baseline characteristics were similar in all the three randomised arms </w:t>
      </w:r>
      <w:r w:rsidR="00F50ABF">
        <w:t>(</w:t>
      </w:r>
      <w:r w:rsidR="00CE5C99">
        <w:t>that is</w:t>
      </w:r>
      <w:r w:rsidRPr="00F41FBA">
        <w:t xml:space="preserve"> </w:t>
      </w:r>
      <w:r w:rsidR="00FC69C3">
        <w:t>everolimus</w:t>
      </w:r>
      <w:r w:rsidR="00F50ABF">
        <w:t xml:space="preserve"> </w:t>
      </w:r>
      <w:r w:rsidRPr="00F41FBA">
        <w:t>low target</w:t>
      </w:r>
      <w:r w:rsidR="00F50ABF">
        <w:t xml:space="preserve"> </w:t>
      </w:r>
      <w:r w:rsidRPr="00F41FBA">
        <w:t xml:space="preserve">of </w:t>
      </w:r>
      <w:r w:rsidR="00F50ABF">
        <w:t xml:space="preserve">3 to </w:t>
      </w:r>
      <w:r w:rsidR="000803D4">
        <w:t>7 ng</w:t>
      </w:r>
      <w:r w:rsidRPr="00F41FBA">
        <w:t xml:space="preserve">/mL, </w:t>
      </w:r>
      <w:r w:rsidR="00FC69C3">
        <w:t>everolimus</w:t>
      </w:r>
      <w:r w:rsidR="00F50ABF">
        <w:t xml:space="preserve"> </w:t>
      </w:r>
      <w:r w:rsidRPr="00F41FBA">
        <w:t>high target</w:t>
      </w:r>
      <w:r w:rsidR="00F50ABF">
        <w:t xml:space="preserve"> </w:t>
      </w:r>
      <w:r w:rsidRPr="00F41FBA">
        <w:t xml:space="preserve">of </w:t>
      </w:r>
      <w:r w:rsidR="00F50ABF">
        <w:t>9 to 1</w:t>
      </w:r>
      <w:r w:rsidR="00FC69C3">
        <w:t>5 ng</w:t>
      </w:r>
      <w:r w:rsidRPr="00F41FBA">
        <w:t xml:space="preserve">/mL and placebo) with respect to age range (2.2 to 56.3 </w:t>
      </w:r>
      <w:r w:rsidR="00CA1837">
        <w:t>years</w:t>
      </w:r>
      <w:r w:rsidRPr="00F41FBA">
        <w:t xml:space="preserve">), percent gender ratio (about 51.3% males to 48.7% females), body surface area range (12 to 147.9 </w:t>
      </w:r>
      <w:r w:rsidR="00FC69C3" w:rsidRPr="00F50805">
        <w:t>m</w:t>
      </w:r>
      <w:r w:rsidR="00FC69C3" w:rsidRPr="00FC69C3">
        <w:rPr>
          <w:vertAlign w:val="superscript"/>
        </w:rPr>
        <w:t>2</w:t>
      </w:r>
      <w:r w:rsidRPr="00F41FBA">
        <w:t xml:space="preserve">), TSC diagnosis using </w:t>
      </w:r>
      <w:r w:rsidR="00CA1837">
        <w:t>&gt;  m</w:t>
      </w:r>
      <w:r w:rsidRPr="00F41FBA">
        <w:t>ajor features as per Gomez criteria (</w:t>
      </w:r>
      <w:r w:rsidR="00F50ABF">
        <w:t xml:space="preserve">n = </w:t>
      </w:r>
      <w:r w:rsidRPr="00F41FBA">
        <w:t>100% in each arm),time range</w:t>
      </w:r>
      <w:r w:rsidR="00F50ABF">
        <w:t xml:space="preserve"> </w:t>
      </w:r>
      <w:r w:rsidRPr="00F41FBA">
        <w:t>from initial diagnosis of TSC seizures</w:t>
      </w:r>
      <w:r w:rsidR="00F50ABF">
        <w:t xml:space="preserve"> </w:t>
      </w:r>
      <w:r w:rsidRPr="00F41FBA">
        <w:t>until randomisation (0.3</w:t>
      </w:r>
      <w:r w:rsidR="00F50ABF">
        <w:t xml:space="preserve"> </w:t>
      </w:r>
      <w:r w:rsidRPr="00F41FBA">
        <w:t>to 51.4 years) and</w:t>
      </w:r>
      <w:r w:rsidR="00F50ABF">
        <w:t xml:space="preserve"> </w:t>
      </w:r>
      <w:r w:rsidRPr="00F41FBA">
        <w:t>background seizure history (complex partial seizure, secondarily generalised seizure etc</w:t>
      </w:r>
      <w:r w:rsidR="00CA1837">
        <w:t>etera</w:t>
      </w:r>
      <w:r w:rsidRPr="00F41FBA">
        <w:t xml:space="preserve">.). Slightly more patients had prior epilepsy surgery, prior ketogenic diet, number of AEDs failed prior to study start in the </w:t>
      </w:r>
      <w:r w:rsidR="00FC69C3">
        <w:t>everolimus</w:t>
      </w:r>
      <w:r w:rsidRPr="00F41FBA">
        <w:t xml:space="preserve"> high target of </w:t>
      </w:r>
      <w:r w:rsidR="00F50ABF">
        <w:t>9 to 1</w:t>
      </w:r>
      <w:r w:rsidR="00FC69C3">
        <w:t>5 ng</w:t>
      </w:r>
      <w:r w:rsidRPr="00F41FBA">
        <w:t>/mL .For patients</w:t>
      </w:r>
      <w:r w:rsidR="00F50ABF">
        <w:t xml:space="preserve"> </w:t>
      </w:r>
      <w:r w:rsidRPr="00F41FBA">
        <w:t xml:space="preserve">treated, </w:t>
      </w:r>
      <w:r w:rsidR="00F50ABF">
        <w:t xml:space="preserve">n = </w:t>
      </w:r>
      <w:r w:rsidRPr="00F41FBA">
        <w:t xml:space="preserve">117 for </w:t>
      </w:r>
      <w:r w:rsidR="00FC69C3">
        <w:t>everolimus</w:t>
      </w:r>
      <w:r w:rsidR="00F50ABF">
        <w:t xml:space="preserve"> </w:t>
      </w:r>
      <w:r w:rsidRPr="00F41FBA">
        <w:t>low target</w:t>
      </w:r>
      <w:r w:rsidR="00F50ABF">
        <w:t xml:space="preserve"> </w:t>
      </w:r>
      <w:r w:rsidRPr="00F41FBA">
        <w:t xml:space="preserve">of </w:t>
      </w:r>
      <w:r w:rsidR="00F50ABF">
        <w:t xml:space="preserve">3 to </w:t>
      </w:r>
      <w:r w:rsidR="000803D4">
        <w:t>7 ng</w:t>
      </w:r>
      <w:r w:rsidRPr="00F41FBA">
        <w:t xml:space="preserve">/mL, </w:t>
      </w:r>
      <w:r w:rsidR="00F50ABF">
        <w:t xml:space="preserve">n = </w:t>
      </w:r>
      <w:r w:rsidRPr="00F41FBA">
        <w:t xml:space="preserve">130 for </w:t>
      </w:r>
      <w:r w:rsidR="00FC69C3">
        <w:t>everolimus</w:t>
      </w:r>
      <w:r w:rsidR="00F50ABF">
        <w:t xml:space="preserve"> </w:t>
      </w:r>
      <w:r w:rsidRPr="00F41FBA">
        <w:t>high target</w:t>
      </w:r>
      <w:r w:rsidR="00F50ABF">
        <w:t xml:space="preserve"> </w:t>
      </w:r>
      <w:r w:rsidRPr="00F41FBA">
        <w:t xml:space="preserve">of </w:t>
      </w:r>
      <w:r w:rsidR="00F50ABF">
        <w:t>9 to 1</w:t>
      </w:r>
      <w:r w:rsidR="00FC69C3">
        <w:t>5 ng</w:t>
      </w:r>
      <w:r w:rsidRPr="00F41FBA">
        <w:t>/mL</w:t>
      </w:r>
      <w:r w:rsidR="00F50ABF">
        <w:t xml:space="preserve"> </w:t>
      </w:r>
      <w:r w:rsidRPr="00F41FBA">
        <w:t xml:space="preserve">and </w:t>
      </w:r>
      <w:r w:rsidR="00F50ABF">
        <w:t xml:space="preserve">n = </w:t>
      </w:r>
      <w:r w:rsidRPr="00F41FBA">
        <w:t>119 for placebo.</w:t>
      </w:r>
    </w:p>
    <w:p w14:paraId="11AE3AEF" w14:textId="77777777" w:rsidR="00F41FBA" w:rsidRPr="00F41FBA" w:rsidRDefault="00F41FBA" w:rsidP="00F41FBA">
      <w:r w:rsidRPr="00F41FBA">
        <w:t xml:space="preserve">For discontinuations </w:t>
      </w:r>
      <w:r w:rsidR="00F50ABF">
        <w:t xml:space="preserve">n = </w:t>
      </w:r>
      <w:r w:rsidRPr="00F41FBA">
        <w:t xml:space="preserve">7 for </w:t>
      </w:r>
      <w:r w:rsidR="00FC69C3">
        <w:t>everolimus</w:t>
      </w:r>
      <w:r w:rsidRPr="00F41FBA">
        <w:t xml:space="preserve"> low target of </w:t>
      </w:r>
      <w:r w:rsidR="00F50ABF">
        <w:t xml:space="preserve">3 to </w:t>
      </w:r>
      <w:r w:rsidR="000803D4">
        <w:t>7 ng</w:t>
      </w:r>
      <w:r w:rsidRPr="00F41FBA">
        <w:t xml:space="preserve">/mL, </w:t>
      </w:r>
      <w:r w:rsidR="00F50ABF">
        <w:t xml:space="preserve">n = </w:t>
      </w:r>
      <w:r w:rsidRPr="00F41FBA">
        <w:t xml:space="preserve">8 for </w:t>
      </w:r>
      <w:r w:rsidR="00FC69C3">
        <w:t>everolimus</w:t>
      </w:r>
      <w:r w:rsidRPr="00F41FBA">
        <w:t xml:space="preserve"> high target of </w:t>
      </w:r>
      <w:r w:rsidR="00F50ABF">
        <w:t>9 to 1</w:t>
      </w:r>
      <w:r w:rsidR="00FC69C3">
        <w:t>5 ng</w:t>
      </w:r>
      <w:r w:rsidRPr="00F41FBA">
        <w:t xml:space="preserve">/mL and </w:t>
      </w:r>
      <w:r w:rsidR="00F50ABF">
        <w:t xml:space="preserve">n = </w:t>
      </w:r>
      <w:r w:rsidRPr="00F41FBA">
        <w:t>5 for placebo. The primary reasons for end of treatment in the core phase were adverse events (</w:t>
      </w:r>
      <w:r w:rsidR="00F50ABF">
        <w:t xml:space="preserve">n = </w:t>
      </w:r>
      <w:r w:rsidRPr="00F41FBA">
        <w:t xml:space="preserve">5 for </w:t>
      </w:r>
      <w:r w:rsidR="00FC69C3">
        <w:t>everolimus</w:t>
      </w:r>
      <w:r w:rsidR="00F50ABF">
        <w:t xml:space="preserve"> </w:t>
      </w:r>
      <w:r w:rsidRPr="00F41FBA">
        <w:t>low target</w:t>
      </w:r>
      <w:r w:rsidR="00F50ABF">
        <w:t xml:space="preserve"> </w:t>
      </w:r>
      <w:r w:rsidRPr="00F41FBA">
        <w:t xml:space="preserve">of </w:t>
      </w:r>
      <w:r w:rsidR="00F50ABF">
        <w:t xml:space="preserve">3 to </w:t>
      </w:r>
      <w:r w:rsidR="00CA1837">
        <w:t>7 </w:t>
      </w:r>
      <w:r w:rsidR="000803D4">
        <w:t>ng</w:t>
      </w:r>
      <w:r w:rsidRPr="00F41FBA">
        <w:t xml:space="preserve">/mL, </w:t>
      </w:r>
      <w:r w:rsidR="00F50ABF">
        <w:t xml:space="preserve">n = </w:t>
      </w:r>
      <w:r w:rsidRPr="00F41FBA">
        <w:t xml:space="preserve">4 for </w:t>
      </w:r>
      <w:r w:rsidR="00FC69C3">
        <w:t>everolimus</w:t>
      </w:r>
      <w:r w:rsidR="00F50ABF">
        <w:t xml:space="preserve"> </w:t>
      </w:r>
      <w:r w:rsidRPr="00F41FBA">
        <w:t>high target</w:t>
      </w:r>
      <w:r w:rsidR="00F50ABF">
        <w:t xml:space="preserve"> </w:t>
      </w:r>
      <w:r w:rsidRPr="00F41FBA">
        <w:t xml:space="preserve">of </w:t>
      </w:r>
      <w:r w:rsidR="00F50ABF">
        <w:t>9 to 1</w:t>
      </w:r>
      <w:r w:rsidR="00FC69C3">
        <w:t>5 ng</w:t>
      </w:r>
      <w:r w:rsidRPr="00F41FBA">
        <w:t xml:space="preserve">/mL and </w:t>
      </w:r>
      <w:r w:rsidR="00F50ABF">
        <w:t xml:space="preserve">n = </w:t>
      </w:r>
      <w:r w:rsidRPr="00F41FBA">
        <w:t>2</w:t>
      </w:r>
      <w:r w:rsidR="00F50ABF">
        <w:t xml:space="preserve"> </w:t>
      </w:r>
      <w:r w:rsidR="00CA1837">
        <w:t>for placebo</w:t>
      </w:r>
      <w:r w:rsidRPr="00F41FBA">
        <w:t xml:space="preserve">) and lack of efficacy </w:t>
      </w:r>
      <w:proofErr w:type="gramStart"/>
      <w:r w:rsidRPr="00F41FBA">
        <w:t xml:space="preserve">( </w:t>
      </w:r>
      <w:r w:rsidR="00F50ABF">
        <w:t>n</w:t>
      </w:r>
      <w:proofErr w:type="gramEnd"/>
      <w:r w:rsidR="00F50ABF">
        <w:t xml:space="preserve"> = </w:t>
      </w:r>
      <w:r w:rsidRPr="00F41FBA">
        <w:t xml:space="preserve">0 for </w:t>
      </w:r>
      <w:r w:rsidR="00FC69C3">
        <w:t>everolimus</w:t>
      </w:r>
      <w:r w:rsidR="00F50ABF">
        <w:t xml:space="preserve"> </w:t>
      </w:r>
      <w:r w:rsidRPr="00F41FBA">
        <w:t>low target</w:t>
      </w:r>
      <w:r w:rsidR="00F50ABF">
        <w:t xml:space="preserve"> </w:t>
      </w:r>
      <w:r w:rsidRPr="00F41FBA">
        <w:t xml:space="preserve">of </w:t>
      </w:r>
      <w:r w:rsidR="00F50ABF">
        <w:t xml:space="preserve">3 to </w:t>
      </w:r>
      <w:r w:rsidR="000803D4">
        <w:t>7 ng</w:t>
      </w:r>
      <w:r w:rsidRPr="00F41FBA">
        <w:t xml:space="preserve">/mL, </w:t>
      </w:r>
      <w:r w:rsidR="00F50ABF">
        <w:t xml:space="preserve">n = </w:t>
      </w:r>
      <w:r w:rsidRPr="00F41FBA">
        <w:t xml:space="preserve">2 for </w:t>
      </w:r>
      <w:r w:rsidR="00FC69C3">
        <w:t>everolimus</w:t>
      </w:r>
      <w:r w:rsidR="00F50ABF">
        <w:t xml:space="preserve"> </w:t>
      </w:r>
      <w:r w:rsidRPr="00F41FBA">
        <w:t>high target</w:t>
      </w:r>
      <w:r w:rsidR="00F50ABF">
        <w:t xml:space="preserve"> </w:t>
      </w:r>
      <w:r w:rsidRPr="00F41FBA">
        <w:t xml:space="preserve">of </w:t>
      </w:r>
      <w:r w:rsidR="00F50ABF">
        <w:t>9 to 1</w:t>
      </w:r>
      <w:r w:rsidR="00FC69C3">
        <w:t>5 ng</w:t>
      </w:r>
      <w:r w:rsidRPr="00F41FBA">
        <w:t xml:space="preserve">/mL and </w:t>
      </w:r>
      <w:r w:rsidR="00F50ABF">
        <w:t xml:space="preserve">n = </w:t>
      </w:r>
      <w:r w:rsidR="00CA1837">
        <w:t>2 for placebo</w:t>
      </w:r>
      <w:r w:rsidRPr="00F41FBA">
        <w:t>).</w:t>
      </w:r>
    </w:p>
    <w:p w14:paraId="6417A4E9" w14:textId="77777777" w:rsidR="00F41FBA" w:rsidRPr="00F41FBA" w:rsidRDefault="00CA1837" w:rsidP="00CA1837">
      <w:pPr>
        <w:pStyle w:val="Heading6"/>
      </w:pPr>
      <w:r>
        <w:t>Randomisation</w:t>
      </w:r>
    </w:p>
    <w:p w14:paraId="7A1E606C" w14:textId="60C12330" w:rsidR="00CA1837" w:rsidRDefault="00F41FBA" w:rsidP="00F41FBA">
      <w:r w:rsidRPr="00F41FBA">
        <w:t xml:space="preserve">At the end of the Baseline phase, patients who met the eligibility criteria were </w:t>
      </w:r>
      <w:r w:rsidR="00A933E7" w:rsidRPr="00F41FBA">
        <w:t>randomi</w:t>
      </w:r>
      <w:r w:rsidR="00A933E7">
        <w:t>s</w:t>
      </w:r>
      <w:r w:rsidR="00A933E7" w:rsidRPr="00F41FBA">
        <w:t xml:space="preserve">ed </w:t>
      </w:r>
      <w:r w:rsidRPr="00F41FBA">
        <w:t>in an approximate rati</w:t>
      </w:r>
      <w:r w:rsidR="00CA1837">
        <w:t>o of 1:1:1 to receive treatment:</w:t>
      </w:r>
    </w:p>
    <w:p w14:paraId="7A661102" w14:textId="77777777" w:rsidR="00CA1837" w:rsidRDefault="00CA1837" w:rsidP="00CA1837">
      <w:pPr>
        <w:pStyle w:val="ListBullet"/>
      </w:pPr>
      <w:r>
        <w:t>A (Placebo);</w:t>
      </w:r>
    </w:p>
    <w:p w14:paraId="38A76AA5" w14:textId="18DB742E" w:rsidR="00CA1837" w:rsidRDefault="00F41FBA" w:rsidP="00CA1837">
      <w:pPr>
        <w:pStyle w:val="ListBullet"/>
      </w:pPr>
      <w:r w:rsidRPr="00F41FBA">
        <w:t>B (</w:t>
      </w:r>
      <w:r w:rsidR="00FC69C3">
        <w:t>everolimus</w:t>
      </w:r>
      <w:r w:rsidRPr="00F41FBA">
        <w:t xml:space="preserve"> low target of </w:t>
      </w:r>
      <w:r w:rsidR="00F50ABF">
        <w:t xml:space="preserve">3 to </w:t>
      </w:r>
      <w:r w:rsidR="000803D4">
        <w:t>7 ng</w:t>
      </w:r>
      <w:r w:rsidRPr="00F41FBA">
        <w:t>/mL)</w:t>
      </w:r>
      <w:r w:rsidR="00A933E7">
        <w:t>;</w:t>
      </w:r>
      <w:r w:rsidRPr="00F41FBA">
        <w:t xml:space="preserve"> or</w:t>
      </w:r>
    </w:p>
    <w:p w14:paraId="09B30B98" w14:textId="77777777" w:rsidR="00F41FBA" w:rsidRPr="00F41FBA" w:rsidRDefault="00F41FBA" w:rsidP="00CA1837">
      <w:pPr>
        <w:pStyle w:val="ListBullet"/>
      </w:pPr>
      <w:r w:rsidRPr="00F41FBA">
        <w:t>C (</w:t>
      </w:r>
      <w:r w:rsidR="00FC69C3">
        <w:t>everolimus</w:t>
      </w:r>
      <w:r w:rsidRPr="00F41FBA">
        <w:t xml:space="preserve"> high target </w:t>
      </w:r>
      <w:proofErr w:type="gramStart"/>
      <w:r w:rsidRPr="00F41FBA">
        <w:t xml:space="preserve">of </w:t>
      </w:r>
      <w:r w:rsidR="00F50ABF">
        <w:t>9 to 1</w:t>
      </w:r>
      <w:r w:rsidR="00FC69C3">
        <w:t>5 ng</w:t>
      </w:r>
      <w:r w:rsidRPr="00F41FBA">
        <w:t>/mL</w:t>
      </w:r>
      <w:proofErr w:type="gramEnd"/>
      <w:r w:rsidRPr="00F41FBA">
        <w:t>).</w:t>
      </w:r>
    </w:p>
    <w:p w14:paraId="34D07CEB" w14:textId="3604C8A0" w:rsidR="00F41FBA" w:rsidRPr="00F41FBA" w:rsidRDefault="00A933E7" w:rsidP="00B63C92">
      <w:pPr>
        <w:keepNext/>
      </w:pPr>
      <w:r w:rsidRPr="00F41FBA">
        <w:lastRenderedPageBreak/>
        <w:t>Randomi</w:t>
      </w:r>
      <w:r>
        <w:t>s</w:t>
      </w:r>
      <w:r w:rsidRPr="00F41FBA">
        <w:t xml:space="preserve">ation </w:t>
      </w:r>
      <w:r w:rsidR="00F41FBA" w:rsidRPr="00F41FBA">
        <w:t>was stratified by age group:</w:t>
      </w:r>
    </w:p>
    <w:p w14:paraId="3D550DC6" w14:textId="3B3A99FA" w:rsidR="00F41FBA" w:rsidRPr="00F41FBA" w:rsidRDefault="00F41FBA" w:rsidP="009B42AC">
      <w:pPr>
        <w:pStyle w:val="ListBullet"/>
      </w:pPr>
      <w:r w:rsidRPr="00F41FBA">
        <w:t xml:space="preserve">1 to </w:t>
      </w:r>
      <w:r w:rsidR="00F50ABF">
        <w:t xml:space="preserve">&lt; </w:t>
      </w:r>
      <w:r w:rsidRPr="00F41FBA">
        <w:t>6 years</w:t>
      </w:r>
      <w:r w:rsidR="00A933E7">
        <w:t>;</w:t>
      </w:r>
    </w:p>
    <w:p w14:paraId="02FE4CEF" w14:textId="5231E655" w:rsidR="00F41FBA" w:rsidRPr="00F41FBA" w:rsidRDefault="00F41FBA" w:rsidP="009B42AC">
      <w:pPr>
        <w:pStyle w:val="ListBullet"/>
      </w:pPr>
      <w:r w:rsidRPr="00F41FBA">
        <w:t xml:space="preserve">6 to </w:t>
      </w:r>
      <w:r w:rsidR="00F50ABF">
        <w:t xml:space="preserve">&lt; </w:t>
      </w:r>
      <w:r w:rsidRPr="00F41FBA">
        <w:t>12 years</w:t>
      </w:r>
      <w:r w:rsidR="00A933E7">
        <w:t>;</w:t>
      </w:r>
    </w:p>
    <w:p w14:paraId="70DA24CB" w14:textId="5F5E34E7" w:rsidR="00F41FBA" w:rsidRPr="00F41FBA" w:rsidRDefault="00F41FBA" w:rsidP="009B42AC">
      <w:pPr>
        <w:pStyle w:val="ListBullet"/>
      </w:pPr>
      <w:r w:rsidRPr="00F41FBA">
        <w:t xml:space="preserve">12 to </w:t>
      </w:r>
      <w:r w:rsidR="00F50ABF">
        <w:t xml:space="preserve">&lt; </w:t>
      </w:r>
      <w:r w:rsidRPr="00F41FBA">
        <w:t>18 years</w:t>
      </w:r>
      <w:r w:rsidR="00A933E7">
        <w:t>; and</w:t>
      </w:r>
    </w:p>
    <w:p w14:paraId="7BC273E2" w14:textId="77777777" w:rsidR="00F41FBA" w:rsidRPr="00F41FBA" w:rsidRDefault="00F41FBA" w:rsidP="009B42AC">
      <w:pPr>
        <w:pStyle w:val="ListBullet"/>
      </w:pPr>
      <w:r w:rsidRPr="00F41FBA">
        <w:t>≥ 18 years</w:t>
      </w:r>
    </w:p>
    <w:p w14:paraId="6DE4AAD9" w14:textId="709179A3" w:rsidR="00F41FBA" w:rsidRPr="00F41FBA" w:rsidRDefault="00F41FBA" w:rsidP="00F41FBA">
      <w:r w:rsidRPr="00F41FBA">
        <w:t xml:space="preserve">Due to a mistake in the titration recommendations discovered early in the trial, preventing dose titrations despite </w:t>
      </w:r>
      <w:proofErr w:type="spellStart"/>
      <w:r w:rsidR="00F50ABF" w:rsidRPr="00C9173F">
        <w:t>C</w:t>
      </w:r>
      <w:r w:rsidR="00F50ABF" w:rsidRPr="00F50ABF">
        <w:rPr>
          <w:vertAlign w:val="subscript"/>
        </w:rPr>
        <w:t>min</w:t>
      </w:r>
      <w:proofErr w:type="spellEnd"/>
      <w:r w:rsidRPr="00F41FBA">
        <w:t xml:space="preserve"> values outside the targeted trough range, it was decided to increase the sample size in the </w:t>
      </w:r>
      <w:r w:rsidR="00FC69C3">
        <w:t>everolimus</w:t>
      </w:r>
      <w:r w:rsidRPr="00F41FBA">
        <w:t xml:space="preserve"> 9 to 15 ng/mL </w:t>
      </w:r>
      <w:proofErr w:type="gramStart"/>
      <w:r w:rsidRPr="00F41FBA">
        <w:t>arm</w:t>
      </w:r>
      <w:proofErr w:type="gramEnd"/>
      <w:r w:rsidRPr="00F41FBA">
        <w:t xml:space="preserve"> by 10 patients, </w:t>
      </w:r>
      <w:r w:rsidR="00CE5C99">
        <w:t>that is</w:t>
      </w:r>
      <w:r w:rsidRPr="00F41FBA">
        <w:t xml:space="preserve"> 125</w:t>
      </w:r>
      <w:r w:rsidR="001F408C">
        <w:t> </w:t>
      </w:r>
      <w:r w:rsidRPr="00F41FBA">
        <w:t>patients in total.</w:t>
      </w:r>
    </w:p>
    <w:p w14:paraId="787B2982" w14:textId="16566A46" w:rsidR="00F41FBA" w:rsidRPr="00F41FBA" w:rsidRDefault="00F41FBA" w:rsidP="00F41FBA">
      <w:r w:rsidRPr="00F41FBA">
        <w:t xml:space="preserve">This sample size increase of 10 patients was made by inserting a number of blocks with </w:t>
      </w:r>
      <w:r w:rsidR="001F408C" w:rsidRPr="00F41FBA">
        <w:t>randomi</w:t>
      </w:r>
      <w:r w:rsidR="001F408C">
        <w:t>s</w:t>
      </w:r>
      <w:r w:rsidR="001F408C" w:rsidRPr="00F41FBA">
        <w:t xml:space="preserve">ation </w:t>
      </w:r>
      <w:r w:rsidRPr="00F41FBA">
        <w:t xml:space="preserve">ratio of 1:2:1 in favour of the </w:t>
      </w:r>
      <w:r w:rsidR="00FC69C3">
        <w:t>everolimus</w:t>
      </w:r>
      <w:r w:rsidRPr="00F41FBA">
        <w:t xml:space="preserve"> 9 to 1</w:t>
      </w:r>
      <w:r w:rsidR="00FC69C3">
        <w:t>5 ng</w:t>
      </w:r>
      <w:r w:rsidRPr="00F41FBA">
        <w:t xml:space="preserve">/mL arm, with the planned sample size becoming 355 patients (115 patients in the </w:t>
      </w:r>
      <w:r w:rsidR="00FC69C3">
        <w:t>everolimus</w:t>
      </w:r>
      <w:r w:rsidRPr="00F41FBA">
        <w:t xml:space="preserve"> 3 to </w:t>
      </w:r>
      <w:r w:rsidR="000803D4">
        <w:t>7 ng</w:t>
      </w:r>
      <w:r w:rsidRPr="00F41FBA">
        <w:t xml:space="preserve">/mL arm, 125 patients in the </w:t>
      </w:r>
      <w:r w:rsidR="00FC69C3">
        <w:t>everolimus</w:t>
      </w:r>
      <w:r w:rsidRPr="00F41FBA">
        <w:t xml:space="preserve"> 9 to 1</w:t>
      </w:r>
      <w:r w:rsidR="00FC69C3">
        <w:t>5 ng</w:t>
      </w:r>
      <w:r w:rsidRPr="00F41FBA">
        <w:t xml:space="preserve">/mL arm, and 115 in the placebo arm; overall </w:t>
      </w:r>
      <w:r w:rsidR="001F408C" w:rsidRPr="00F41FBA">
        <w:t>randomi</w:t>
      </w:r>
      <w:r w:rsidR="001F408C">
        <w:t>s</w:t>
      </w:r>
      <w:r w:rsidR="001F408C" w:rsidRPr="00F41FBA">
        <w:t xml:space="preserve">ation </w:t>
      </w:r>
      <w:r w:rsidRPr="00F41FBA">
        <w:t>ratio of 1:1.09:1).</w:t>
      </w:r>
    </w:p>
    <w:p w14:paraId="27F468F9" w14:textId="77777777" w:rsidR="00F41FBA" w:rsidRPr="00F41FBA" w:rsidRDefault="00F41FBA" w:rsidP="00CA1837">
      <w:pPr>
        <w:pStyle w:val="Heading6"/>
      </w:pPr>
      <w:r w:rsidRPr="00F41FBA">
        <w:t>Blinding methods</w:t>
      </w:r>
    </w:p>
    <w:p w14:paraId="666BDEF6" w14:textId="77777777" w:rsidR="00F41FBA" w:rsidRPr="00F41FBA" w:rsidRDefault="00F41FBA" w:rsidP="00F41FBA">
      <w:r w:rsidRPr="00F41FBA">
        <w:t>During the initial titration period of the Base phase, dose was titrated via Interactive Response Technology (IRT) in a blinded fashion until each patient reached their assigned target trough range.</w:t>
      </w:r>
    </w:p>
    <w:p w14:paraId="535580A5" w14:textId="77777777" w:rsidR="00F41FBA" w:rsidRPr="00F41FBA" w:rsidRDefault="00F41FBA" w:rsidP="00F41FBA">
      <w:r w:rsidRPr="00F41FBA">
        <w:t>Patients on placebo had random increases and decreases in the number of tablets taken to simulate titration and to maintain the blind. Patients in the low trough group also had random increases and decreases in placebo tablets to simulate titration for the high trough group.</w:t>
      </w:r>
    </w:p>
    <w:p w14:paraId="12352EC2" w14:textId="77777777" w:rsidR="00F41FBA" w:rsidRPr="00F41FBA" w:rsidRDefault="00F41FBA" w:rsidP="00F41FBA">
      <w:r w:rsidRPr="00F41FBA">
        <w:t xml:space="preserve">During the extension phase, placebo dose changes were possible at the start of dose transition. Starting at the visit at which </w:t>
      </w:r>
      <w:r w:rsidR="00FC69C3">
        <w:t>everolimus</w:t>
      </w:r>
      <w:r w:rsidRPr="00F41FBA">
        <w:t xml:space="preserve"> concentrations were disclosed, placebo tablets were no longer dispensed.</w:t>
      </w:r>
    </w:p>
    <w:p w14:paraId="1D4F82C6" w14:textId="77777777" w:rsidR="00F41FBA" w:rsidRPr="00F41FBA" w:rsidRDefault="00F41FBA" w:rsidP="00F41FBA">
      <w:r w:rsidRPr="00F41FBA">
        <w:t>This interim CSR summarizes all patient data during the Baseline and Core phases as well as partial E</w:t>
      </w:r>
      <w:r w:rsidR="00CA1837">
        <w:t xml:space="preserve">xtension phase data, as of the 2 </w:t>
      </w:r>
      <w:r w:rsidRPr="00F41FBA">
        <w:t>Oct</w:t>
      </w:r>
      <w:r w:rsidR="00CA1837">
        <w:t xml:space="preserve">ober </w:t>
      </w:r>
      <w:r w:rsidRPr="00F41FBA">
        <w:t>2015 data cut-off date.</w:t>
      </w:r>
    </w:p>
    <w:p w14:paraId="0E58A58C" w14:textId="77777777" w:rsidR="009B42AC" w:rsidRDefault="009B42AC" w:rsidP="00CA1837">
      <w:pPr>
        <w:pStyle w:val="Heading6"/>
      </w:pPr>
      <w:r w:rsidRPr="00F41FBA">
        <w:t>Primary efficacy outcome</w:t>
      </w:r>
    </w:p>
    <w:p w14:paraId="79D3A780" w14:textId="77777777" w:rsidR="00F41FBA" w:rsidRPr="00F41FBA" w:rsidRDefault="00F41FBA" w:rsidP="00F41FBA">
      <w:r w:rsidRPr="00F41FBA">
        <w:t>Primary efficacy outcome (as per the EMA primary efficacy variable version)</w:t>
      </w:r>
      <w:r w:rsidR="00CA1837">
        <w:t>:</w:t>
      </w:r>
    </w:p>
    <w:p w14:paraId="47CDC9D1" w14:textId="77777777" w:rsidR="00F41FBA" w:rsidRPr="00F41FBA" w:rsidRDefault="009B42AC" w:rsidP="009B42AC">
      <w:pPr>
        <w:pStyle w:val="ListBullet"/>
      </w:pPr>
      <w:r>
        <w:t>For</w:t>
      </w:r>
      <w:r w:rsidR="00F41FBA" w:rsidRPr="00F41FBA">
        <w:t xml:space="preserve"> seizure frequency response rate:</w:t>
      </w:r>
    </w:p>
    <w:p w14:paraId="3CC43B8E" w14:textId="532739CD" w:rsidR="00F41FBA" w:rsidRPr="00F41FBA" w:rsidRDefault="00F41FBA" w:rsidP="009B42AC">
      <w:pPr>
        <w:pStyle w:val="ListBullet2"/>
      </w:pPr>
      <w:r w:rsidRPr="00F41FBA">
        <w:t xml:space="preserve">Response rates were 28.2% (95% CI: 20.3, 37.3) and 40.0% (95% CI: 31.5, 49.0) for the </w:t>
      </w:r>
      <w:r w:rsidR="00FC69C3">
        <w:t>everolimus</w:t>
      </w:r>
      <w:r w:rsidRPr="00F41FBA">
        <w:t xml:space="preserve"> low trough range and high trough range arms compared with 15.1% (95% CI: 9.2, 22.8) for the placebo arm. Thus, although the high trough range results are clearly superior to those of placebo, the 95% CIs for the low trough range and placebo overlap. However, the </w:t>
      </w:r>
      <w:r w:rsidR="001F408C">
        <w:t>o</w:t>
      </w:r>
      <w:r w:rsidR="001F408C" w:rsidRPr="00F41FBA">
        <w:t xml:space="preserve">dds </w:t>
      </w:r>
      <w:r w:rsidR="001F408C">
        <w:t>r</w:t>
      </w:r>
      <w:r w:rsidR="001F408C" w:rsidRPr="00F41FBA">
        <w:t xml:space="preserve">atios </w:t>
      </w:r>
      <w:r w:rsidRPr="00F41FBA">
        <w:t>95% CIs for both active arms compared to placebo are both above 1.0.</w:t>
      </w:r>
    </w:p>
    <w:p w14:paraId="4F2D8E40" w14:textId="77777777" w:rsidR="00F41FBA" w:rsidRPr="00F41FBA" w:rsidRDefault="00F41FBA" w:rsidP="009B42AC">
      <w:pPr>
        <w:pStyle w:val="ListBullet2"/>
      </w:pPr>
      <w:r w:rsidRPr="00F41FBA">
        <w:t>The sensitivity analyses support these observations.</w:t>
      </w:r>
    </w:p>
    <w:p w14:paraId="21B71B06" w14:textId="393165F3" w:rsidR="00F41FBA" w:rsidRPr="00F41FBA" w:rsidRDefault="00F41FBA" w:rsidP="006618A3">
      <w:pPr>
        <w:pStyle w:val="TableTitle"/>
      </w:pPr>
      <w:bookmarkStart w:id="149" w:name="_Ref475085594"/>
      <w:bookmarkStart w:id="150" w:name="_Toc477255801"/>
      <w:r w:rsidRPr="00F41FBA">
        <w:lastRenderedPageBreak/>
        <w:t xml:space="preserve">Table </w:t>
      </w:r>
      <w:bookmarkEnd w:id="149"/>
      <w:r w:rsidR="000128D8">
        <w:t>2</w:t>
      </w:r>
      <w:r w:rsidR="006618A3">
        <w:t>8</w:t>
      </w:r>
      <w:r w:rsidRPr="00F41FBA">
        <w:t>: Seizure frequency response rate</w:t>
      </w:r>
      <w:r w:rsidR="001F408C">
        <w:t xml:space="preserve">, </w:t>
      </w:r>
      <w:r w:rsidRPr="00F41FBA">
        <w:t>Full Analysis Set</w:t>
      </w:r>
      <w:bookmarkEnd w:id="150"/>
      <w:r w:rsidR="001F408C">
        <w:t xml:space="preserve">; </w:t>
      </w:r>
      <w:r w:rsidR="00CA1837">
        <w:t>Study M2304</w:t>
      </w:r>
    </w:p>
    <w:p w14:paraId="08946CA1" w14:textId="77777777" w:rsidR="00F41FBA" w:rsidRDefault="006618A3" w:rsidP="007B6132">
      <w:r>
        <w:rPr>
          <w:noProof/>
          <w:lang w:eastAsia="en-AU"/>
        </w:rPr>
        <w:drawing>
          <wp:inline distT="0" distB="0" distL="0" distR="0" wp14:anchorId="5AAE942E" wp14:editId="76778BF3">
            <wp:extent cx="5400040" cy="2615212"/>
            <wp:effectExtent l="0" t="0" r="0" b="0"/>
            <wp:docPr id="11" name="Picture 11" descr="Table 28: Seizure frequency response rate – Full Analysis Set. Study M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2615212"/>
                    </a:xfrm>
                    <a:prstGeom prst="rect">
                      <a:avLst/>
                    </a:prstGeom>
                  </pic:spPr>
                </pic:pic>
              </a:graphicData>
            </a:graphic>
          </wp:inline>
        </w:drawing>
      </w:r>
    </w:p>
    <w:p w14:paraId="41181FD9" w14:textId="3720E3F5" w:rsidR="006618A3" w:rsidRPr="004747CF" w:rsidRDefault="006618A3" w:rsidP="00F23035">
      <w:pPr>
        <w:pStyle w:val="FigureTitle"/>
        <w:tabs>
          <w:tab w:val="left" w:pos="1418"/>
        </w:tabs>
      </w:pPr>
      <w:bookmarkStart w:id="151" w:name="_Toc477255850"/>
      <w:r w:rsidRPr="004747CF">
        <w:t xml:space="preserve">Figure </w:t>
      </w:r>
      <w:r w:rsidR="00F23035">
        <w:t>6</w:t>
      </w:r>
      <w:r w:rsidRPr="004747CF">
        <w:rPr>
          <w:noProof/>
        </w:rPr>
        <w:t>:</w:t>
      </w:r>
      <w:r w:rsidRPr="004747CF">
        <w:t xml:space="preserve"> Seizure frequency response rate</w:t>
      </w:r>
      <w:r w:rsidR="001F408C">
        <w:t>,</w:t>
      </w:r>
      <w:r w:rsidRPr="004747CF">
        <w:t xml:space="preserve"> Full Analysis Set</w:t>
      </w:r>
      <w:bookmarkEnd w:id="151"/>
    </w:p>
    <w:p w14:paraId="558AACFC" w14:textId="77777777" w:rsidR="00F41FBA" w:rsidRDefault="006618A3" w:rsidP="007B6132">
      <w:r>
        <w:rPr>
          <w:noProof/>
          <w:lang w:eastAsia="en-AU"/>
        </w:rPr>
        <w:drawing>
          <wp:inline distT="0" distB="0" distL="0" distR="0" wp14:anchorId="6340ECB3" wp14:editId="4CC57FF2">
            <wp:extent cx="5400040" cy="3958875"/>
            <wp:effectExtent l="0" t="0" r="0" b="3810"/>
            <wp:docPr id="12" name="Picture 12" descr="Figure 6: Seizure frequency response rate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3958875"/>
                    </a:xfrm>
                    <a:prstGeom prst="rect">
                      <a:avLst/>
                    </a:prstGeom>
                  </pic:spPr>
                </pic:pic>
              </a:graphicData>
            </a:graphic>
          </wp:inline>
        </w:drawing>
      </w:r>
    </w:p>
    <w:p w14:paraId="441B21A1" w14:textId="77777777" w:rsidR="006618A3" w:rsidRPr="006618A3" w:rsidRDefault="006618A3" w:rsidP="00CA1837">
      <w:pPr>
        <w:pStyle w:val="Heading6"/>
      </w:pPr>
      <w:r w:rsidRPr="006618A3">
        <w:t>Other efficacy outcomes</w:t>
      </w:r>
    </w:p>
    <w:p w14:paraId="5FE5EE69" w14:textId="77777777" w:rsidR="006618A3" w:rsidRPr="00CA1837" w:rsidRDefault="006618A3" w:rsidP="00CA1837">
      <w:pPr>
        <w:pStyle w:val="Heading7"/>
        <w:rPr>
          <w:sz w:val="22"/>
        </w:rPr>
      </w:pPr>
      <w:r w:rsidRPr="00CA1837">
        <w:rPr>
          <w:sz w:val="22"/>
        </w:rPr>
        <w:t>For the percentage reduction from baseline in seizure frequency</w:t>
      </w:r>
    </w:p>
    <w:p w14:paraId="12F81295" w14:textId="77777777" w:rsidR="006618A3" w:rsidRPr="006618A3" w:rsidRDefault="006618A3" w:rsidP="006618A3">
      <w:r w:rsidRPr="006618A3">
        <w:t xml:space="preserve">The median percent reduction in weekly seizure frequency was 29.3% (95% CI: 18.8, 41.9) and 39.6% (95% CI: 35.0, 48.7) for the </w:t>
      </w:r>
      <w:r w:rsidR="00FC69C3">
        <w:t>everolimus</w:t>
      </w:r>
      <w:r w:rsidRPr="006618A3">
        <w:t xml:space="preserve"> low trough range and high trough range arms, respectively, compared with 14.9% (95% CI: 0.1, 21.7) for the placebo arm. Thus, although the high trough range results are clearly superior to those of placebo, the 95% CIs for the low trough range and placebo overlap. However, the 95% CIs for the difference from placebo are all above 0.</w:t>
      </w:r>
    </w:p>
    <w:p w14:paraId="51ED88D6" w14:textId="03D60F31" w:rsidR="006618A3" w:rsidRPr="004747CF" w:rsidRDefault="006618A3" w:rsidP="006618A3">
      <w:pPr>
        <w:pStyle w:val="TableTitle"/>
      </w:pPr>
      <w:r w:rsidRPr="004747CF">
        <w:lastRenderedPageBreak/>
        <w:t>Table</w:t>
      </w:r>
      <w:r w:rsidR="000128D8">
        <w:t xml:space="preserve"> 29</w:t>
      </w:r>
      <w:r>
        <w:rPr>
          <w:noProof/>
        </w:rPr>
        <w:t>:</w:t>
      </w:r>
      <w:r w:rsidRPr="004747CF">
        <w:t xml:space="preserve"> Percentage reduction from Baseline in weekly seizure frequency</w:t>
      </w:r>
      <w:r w:rsidR="001F408C">
        <w:t>,</w:t>
      </w:r>
      <w:r w:rsidRPr="004747CF">
        <w:t xml:space="preserve"> Full Analysis Set</w:t>
      </w:r>
    </w:p>
    <w:p w14:paraId="20A7681D" w14:textId="77777777" w:rsidR="00F41FBA" w:rsidRDefault="006E19BD" w:rsidP="007B6132">
      <w:r>
        <w:rPr>
          <w:noProof/>
          <w:lang w:eastAsia="en-AU"/>
        </w:rPr>
        <w:drawing>
          <wp:inline distT="0" distB="0" distL="0" distR="0" wp14:anchorId="4FCA367D" wp14:editId="1B992F81">
            <wp:extent cx="5400040" cy="6396423"/>
            <wp:effectExtent l="0" t="0" r="0" b="4445"/>
            <wp:docPr id="13" name="Picture 13" descr="Table 29: Percentage reduction from Baseline in weekly seizure frequency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6396423"/>
                    </a:xfrm>
                    <a:prstGeom prst="rect">
                      <a:avLst/>
                    </a:prstGeom>
                  </pic:spPr>
                </pic:pic>
              </a:graphicData>
            </a:graphic>
          </wp:inline>
        </w:drawing>
      </w:r>
    </w:p>
    <w:p w14:paraId="5151E95D" w14:textId="46116E77" w:rsidR="006E19BD" w:rsidRPr="004747CF" w:rsidRDefault="006E19BD" w:rsidP="006E19BD">
      <w:pPr>
        <w:pStyle w:val="TableTitle"/>
      </w:pPr>
      <w:r w:rsidRPr="004747CF">
        <w:lastRenderedPageBreak/>
        <w:t>Table</w:t>
      </w:r>
      <w:r w:rsidR="000128D8">
        <w:t xml:space="preserve"> 3</w:t>
      </w:r>
      <w:r>
        <w:t>0</w:t>
      </w:r>
      <w:r>
        <w:rPr>
          <w:noProof/>
        </w:rPr>
        <w:t>:</w:t>
      </w:r>
      <w:r>
        <w:t xml:space="preserve"> Secondary </w:t>
      </w:r>
      <w:r w:rsidR="001F408C">
        <w:t>e</w:t>
      </w:r>
      <w:r>
        <w:t>ndpoints</w:t>
      </w:r>
    </w:p>
    <w:p w14:paraId="4E7283E7" w14:textId="77777777" w:rsidR="00F41FBA" w:rsidRDefault="006E19BD" w:rsidP="007B6132">
      <w:r>
        <w:rPr>
          <w:noProof/>
          <w:lang w:eastAsia="en-AU"/>
        </w:rPr>
        <w:drawing>
          <wp:inline distT="0" distB="0" distL="0" distR="0" wp14:anchorId="5EC03663" wp14:editId="0EF35B98">
            <wp:extent cx="5400040" cy="3387717"/>
            <wp:effectExtent l="0" t="0" r="0" b="3810"/>
            <wp:docPr id="14" name="Picture 14" descr="Table 30: Secondar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3387717"/>
                    </a:xfrm>
                    <a:prstGeom prst="rect">
                      <a:avLst/>
                    </a:prstGeom>
                  </pic:spPr>
                </pic:pic>
              </a:graphicData>
            </a:graphic>
          </wp:inline>
        </w:drawing>
      </w:r>
    </w:p>
    <w:p w14:paraId="1A3B1D12" w14:textId="25C7B6C1" w:rsidR="006E19BD" w:rsidRPr="004747CF" w:rsidRDefault="006E19BD" w:rsidP="006E19BD">
      <w:pPr>
        <w:pStyle w:val="FigureTitle"/>
      </w:pPr>
      <w:bookmarkStart w:id="152" w:name="_Toc477255851"/>
      <w:r w:rsidRPr="004747CF">
        <w:t>Figure</w:t>
      </w:r>
      <w:r w:rsidR="00F23035">
        <w:t xml:space="preserve"> 7</w:t>
      </w:r>
      <w:r>
        <w:rPr>
          <w:noProof/>
        </w:rPr>
        <w:t>:</w:t>
      </w:r>
      <w:r w:rsidRPr="004747CF">
        <w:t xml:space="preserve"> Percentage reduction in seizure frequency over time across all everolimus patients</w:t>
      </w:r>
      <w:r w:rsidR="001F408C">
        <w:t xml:space="preserve">, </w:t>
      </w:r>
      <w:r w:rsidRPr="004747CF">
        <w:t>Long-term Evaluation Efficacy Set</w:t>
      </w:r>
      <w:bookmarkEnd w:id="152"/>
    </w:p>
    <w:p w14:paraId="68D70172" w14:textId="77777777" w:rsidR="00F41FBA" w:rsidRDefault="006E19BD" w:rsidP="007B6132">
      <w:r>
        <w:rPr>
          <w:noProof/>
          <w:lang w:eastAsia="en-AU"/>
        </w:rPr>
        <w:drawing>
          <wp:inline distT="0" distB="0" distL="0" distR="0" wp14:anchorId="290D91B7" wp14:editId="089BD580">
            <wp:extent cx="5400040" cy="3459256"/>
            <wp:effectExtent l="0" t="0" r="0" b="8255"/>
            <wp:docPr id="15" name="Picture 15" descr="Figure 7: Percentage reduction in seizure frequency over time across all everolimus patients – Long-term Evaluation Efficac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40" cy="3459256"/>
                    </a:xfrm>
                    <a:prstGeom prst="rect">
                      <a:avLst/>
                    </a:prstGeom>
                  </pic:spPr>
                </pic:pic>
              </a:graphicData>
            </a:graphic>
          </wp:inline>
        </w:drawing>
      </w:r>
    </w:p>
    <w:p w14:paraId="1B5F5E50" w14:textId="0FCB1035" w:rsidR="006E19BD" w:rsidRPr="004747CF" w:rsidRDefault="006E19BD" w:rsidP="006E19BD">
      <w:pPr>
        <w:pStyle w:val="FigureTitle"/>
      </w:pPr>
      <w:bookmarkStart w:id="153" w:name="_Toc477255852"/>
      <w:r w:rsidRPr="004747CF">
        <w:lastRenderedPageBreak/>
        <w:t>Figure</w:t>
      </w:r>
      <w:r w:rsidR="00F23035">
        <w:t xml:space="preserve"> 8</w:t>
      </w:r>
      <w:r>
        <w:rPr>
          <w:noProof/>
        </w:rPr>
        <w:t>:</w:t>
      </w:r>
      <w:r w:rsidRPr="004747CF">
        <w:t xml:space="preserve"> Kaplan-Meier curves of time to treatment discontinuation</w:t>
      </w:r>
      <w:r w:rsidR="001F408C">
        <w:t xml:space="preserve">, </w:t>
      </w:r>
      <w:r w:rsidRPr="004747CF">
        <w:t>Full Analysis Set</w:t>
      </w:r>
      <w:bookmarkEnd w:id="153"/>
    </w:p>
    <w:p w14:paraId="34B1EC1E" w14:textId="77777777" w:rsidR="00F41FBA" w:rsidRDefault="006E19BD" w:rsidP="007B6132">
      <w:r>
        <w:rPr>
          <w:noProof/>
          <w:lang w:eastAsia="en-AU"/>
        </w:rPr>
        <w:drawing>
          <wp:inline distT="0" distB="0" distL="0" distR="0" wp14:anchorId="5D5A55EE" wp14:editId="6D9F81C5">
            <wp:extent cx="5400040" cy="3203678"/>
            <wp:effectExtent l="0" t="0" r="0" b="0"/>
            <wp:docPr id="16" name="Picture 16" descr="Figure 8: Kaplan-Meier curves of time to treatment discontinuation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3203678"/>
                    </a:xfrm>
                    <a:prstGeom prst="rect">
                      <a:avLst/>
                    </a:prstGeom>
                  </pic:spPr>
                </pic:pic>
              </a:graphicData>
            </a:graphic>
          </wp:inline>
        </w:drawing>
      </w:r>
    </w:p>
    <w:p w14:paraId="28BC1890" w14:textId="77777777" w:rsidR="006E19BD" w:rsidRPr="006E19BD" w:rsidRDefault="00CA1837" w:rsidP="00CA1837">
      <w:pPr>
        <w:pStyle w:val="Heading5"/>
      </w:pPr>
      <w:bookmarkStart w:id="154" w:name="_Ref271126605"/>
      <w:bookmarkStart w:id="155" w:name="_Toc272414657"/>
      <w:bookmarkStart w:id="156" w:name="_Toc290888508"/>
      <w:bookmarkStart w:id="157" w:name="_Toc416353724"/>
      <w:bookmarkStart w:id="158" w:name="_Toc421005272"/>
      <w:bookmarkStart w:id="159" w:name="_Toc432079154"/>
      <w:bookmarkStart w:id="160" w:name="_Toc432080727"/>
      <w:bookmarkStart w:id="161" w:name="_Toc477255760"/>
      <w:r>
        <w:t>Clinical evaluator’s</w:t>
      </w:r>
      <w:r w:rsidR="006E19BD" w:rsidRPr="006E19BD">
        <w:t xml:space="preserve"> conclusions and comments on clinical </w:t>
      </w:r>
      <w:bookmarkEnd w:id="154"/>
      <w:bookmarkEnd w:id="155"/>
      <w:bookmarkEnd w:id="156"/>
      <w:bookmarkEnd w:id="157"/>
      <w:bookmarkEnd w:id="158"/>
      <w:bookmarkEnd w:id="159"/>
      <w:bookmarkEnd w:id="160"/>
      <w:bookmarkEnd w:id="161"/>
      <w:r w:rsidR="006E19BD" w:rsidRPr="006E19BD">
        <w:t>efficacy</w:t>
      </w:r>
    </w:p>
    <w:p w14:paraId="530701BC" w14:textId="77777777" w:rsidR="006E19BD" w:rsidRPr="006E19BD" w:rsidRDefault="006E19BD" w:rsidP="00CA1837">
      <w:pPr>
        <w:pStyle w:val="Heading6"/>
      </w:pPr>
      <w:r>
        <w:t>Primary endpoint</w:t>
      </w:r>
    </w:p>
    <w:p w14:paraId="4EDA76B1" w14:textId="77777777" w:rsidR="006E19BD" w:rsidRPr="006E19BD" w:rsidRDefault="006E19BD" w:rsidP="006E19BD">
      <w:r w:rsidRPr="006E19BD">
        <w:t xml:space="preserve">The response rate was 15.1% (95% CI: 9.2, 22.8) for the placebo arm, 28.2% (95% CI: 20.3, 37.3) for the </w:t>
      </w:r>
      <w:proofErr w:type="spellStart"/>
      <w:r w:rsidR="00F50ABF" w:rsidRPr="00C9173F">
        <w:t>C</w:t>
      </w:r>
      <w:r w:rsidR="00F50ABF" w:rsidRPr="00F50ABF">
        <w:rPr>
          <w:vertAlign w:val="subscript"/>
        </w:rPr>
        <w:t>min</w:t>
      </w:r>
      <w:proofErr w:type="spellEnd"/>
      <w:r w:rsidRPr="006E19BD">
        <w:t xml:space="preserve"> 3 to </w:t>
      </w:r>
      <w:r w:rsidR="000803D4">
        <w:t>7 ng</w:t>
      </w:r>
      <w:r w:rsidRPr="006E19BD">
        <w:t xml:space="preserve">/mL arm and 40.0% (95% CI: 31.5, 49.0) for the </w:t>
      </w:r>
      <w:proofErr w:type="spellStart"/>
      <w:r w:rsidR="00F50ABF" w:rsidRPr="00C9173F">
        <w:t>C</w:t>
      </w:r>
      <w:r w:rsidR="00F50ABF" w:rsidRPr="00F50ABF">
        <w:rPr>
          <w:vertAlign w:val="subscript"/>
        </w:rPr>
        <w:t>min</w:t>
      </w:r>
      <w:proofErr w:type="spellEnd"/>
      <w:r w:rsidRPr="006E19BD">
        <w:t xml:space="preserve"> 9 to 1</w:t>
      </w:r>
      <w:r w:rsidR="00FC69C3">
        <w:t>5 ng</w:t>
      </w:r>
      <w:r w:rsidRPr="006E19BD">
        <w:t xml:space="preserve">/mL arm. The 95%CIs for placebo and the 3 to </w:t>
      </w:r>
      <w:r w:rsidR="000803D4">
        <w:t>7 ng</w:t>
      </w:r>
      <w:r w:rsidRPr="006E19BD">
        <w:t>/mL arm overlap. However, the Odds ratio of the 95%CIs does not include 1.0.</w:t>
      </w:r>
    </w:p>
    <w:p w14:paraId="2E0845A2" w14:textId="77777777" w:rsidR="006E19BD" w:rsidRDefault="006E19BD" w:rsidP="00CA1837">
      <w:pPr>
        <w:pStyle w:val="Heading6"/>
      </w:pPr>
      <w:r w:rsidRPr="006E19BD">
        <w:t>S</w:t>
      </w:r>
      <w:r>
        <w:t>upporting endpoint</w:t>
      </w:r>
    </w:p>
    <w:p w14:paraId="0E642FD2" w14:textId="77777777" w:rsidR="006E19BD" w:rsidRPr="006E19BD" w:rsidRDefault="006E19BD" w:rsidP="006E19BD">
      <w:r>
        <w:t>A</w:t>
      </w:r>
      <w:r w:rsidRPr="006E19BD">
        <w:t xml:space="preserve"> </w:t>
      </w:r>
      <w:r>
        <w:t xml:space="preserve">similar result was seen: </w:t>
      </w:r>
      <w:r w:rsidRPr="006E19BD">
        <w:t>The median percent reduction in weekly seizure frequency was 29.3% (95% CI: 18.8, 41.9) and 39.6% (95% CI: 35.0, 48.7) for the everolimus low trough range and high trough range arms respectively, compared with 14.9% (95% CI: 0.1, 21.7) for the placebo arm. Thus, although the high trough range results are clearly superior to those of placebo, the 95% CIs for the low trough range and placebo overlap. However, the 95% CIs for the difference from placebo are all above 0.</w:t>
      </w:r>
    </w:p>
    <w:p w14:paraId="348B4835" w14:textId="77777777" w:rsidR="006E19BD" w:rsidRDefault="006E19BD" w:rsidP="00CA1837">
      <w:pPr>
        <w:pStyle w:val="Heading6"/>
      </w:pPr>
      <w:r>
        <w:t>Guideline</w:t>
      </w:r>
    </w:p>
    <w:p w14:paraId="5E5DE694" w14:textId="77777777" w:rsidR="006E19BD" w:rsidRPr="006E19BD" w:rsidRDefault="006E19BD" w:rsidP="006E19BD">
      <w:proofErr w:type="gramStart"/>
      <w:r w:rsidRPr="006E19BD">
        <w:t>The CPMP/EWP/2330/99 Points to Consider on Application with 1.</w:t>
      </w:r>
      <w:proofErr w:type="gramEnd"/>
      <w:r w:rsidRPr="006E19BD">
        <w:t xml:space="preserve"> </w:t>
      </w:r>
      <w:proofErr w:type="gramStart"/>
      <w:r w:rsidRPr="006E19BD">
        <w:t>Meta-Analyses; 2.</w:t>
      </w:r>
      <w:proofErr w:type="gramEnd"/>
      <w:r w:rsidRPr="006E19BD">
        <w:t xml:space="preserve"> One Pivotal Study has:</w:t>
      </w:r>
    </w:p>
    <w:p w14:paraId="5363A6FD" w14:textId="5A8CC77F" w:rsidR="006E19BD" w:rsidRPr="006E19BD" w:rsidRDefault="006E19BD" w:rsidP="006E19BD">
      <w:pPr>
        <w:pStyle w:val="ListBullet"/>
      </w:pPr>
      <w:r w:rsidRPr="006E19BD">
        <w:t>Prerequisites for one pivotal study applications:</w:t>
      </w:r>
    </w:p>
    <w:p w14:paraId="310A0EFA" w14:textId="77777777" w:rsidR="006E19BD" w:rsidRPr="006E19BD" w:rsidRDefault="006E19BD" w:rsidP="006E19BD">
      <w:pPr>
        <w:pStyle w:val="ListBullet2"/>
      </w:pPr>
      <w:r w:rsidRPr="006E19BD">
        <w:t>The degree of statistical significance:</w:t>
      </w:r>
    </w:p>
    <w:p w14:paraId="69ED6934" w14:textId="77777777" w:rsidR="006E19BD" w:rsidRPr="006E19BD" w:rsidRDefault="006E19BD" w:rsidP="00846C81">
      <w:pPr>
        <w:pStyle w:val="ListBullet3"/>
      </w:pPr>
      <w:r w:rsidRPr="006E19BD">
        <w:t>Statistical evidence considerably stronger than p</w:t>
      </w:r>
      <w:r w:rsidR="00F50ABF">
        <w:t xml:space="preserve">&lt; </w:t>
      </w:r>
      <w:r w:rsidRPr="006E19BD">
        <w:t xml:space="preserve">0.05 is usually required, accompanied by precise estimates of treatment effects </w:t>
      </w:r>
      <w:r w:rsidR="00CE5C99">
        <w:t>that is</w:t>
      </w:r>
      <w:r w:rsidRPr="006E19BD">
        <w:t xml:space="preserve"> narrow confidence intervals. Tile required degree of significance will depend on factors such as the therapeutic indication, the primary endpoint, </w:t>
      </w:r>
      <w:proofErr w:type="gramStart"/>
      <w:r w:rsidRPr="006E19BD">
        <w:t>the</w:t>
      </w:r>
      <w:proofErr w:type="gramEnd"/>
      <w:r w:rsidRPr="006E19BD">
        <w:t xml:space="preserve"> amount of supportive data and whether the alternative analyses demonstrating consistency are pre-specified.</w:t>
      </w:r>
    </w:p>
    <w:p w14:paraId="53E9EEAB" w14:textId="77777777" w:rsidR="006E19BD" w:rsidRPr="006E19BD" w:rsidRDefault="006E19BD" w:rsidP="00CA1837">
      <w:pPr>
        <w:pStyle w:val="Heading6"/>
      </w:pPr>
      <w:r>
        <w:t>Proposed dosage</w:t>
      </w:r>
    </w:p>
    <w:p w14:paraId="5075FCD9" w14:textId="77777777" w:rsidR="00F50ABF" w:rsidRDefault="006E19BD" w:rsidP="006E19BD">
      <w:pPr>
        <w:pStyle w:val="ListBullet"/>
        <w:rPr>
          <w:lang w:eastAsia="ja-JP"/>
        </w:rPr>
      </w:pPr>
      <w:r w:rsidRPr="003C6835">
        <w:rPr>
          <w:lang w:eastAsia="ja-JP"/>
        </w:rPr>
        <w:t xml:space="preserve">The proposed dosage is to maintain </w:t>
      </w:r>
      <w:proofErr w:type="spellStart"/>
      <w:r w:rsidR="00F50ABF" w:rsidRPr="00C9173F">
        <w:t>C</w:t>
      </w:r>
      <w:r w:rsidR="00F50ABF" w:rsidRPr="00F50ABF">
        <w:rPr>
          <w:vertAlign w:val="subscript"/>
        </w:rPr>
        <w:t>min</w:t>
      </w:r>
      <w:proofErr w:type="spellEnd"/>
      <w:r w:rsidRPr="003C6835">
        <w:rPr>
          <w:lang w:eastAsia="ja-JP"/>
        </w:rPr>
        <w:t xml:space="preserve"> </w:t>
      </w:r>
      <w:proofErr w:type="gramStart"/>
      <w:r w:rsidRPr="003C6835">
        <w:rPr>
          <w:lang w:eastAsia="ja-JP"/>
        </w:rPr>
        <w:t>at 5 to 1</w:t>
      </w:r>
      <w:r w:rsidR="00FC69C3">
        <w:rPr>
          <w:lang w:eastAsia="ja-JP"/>
        </w:rPr>
        <w:t>5 ng</w:t>
      </w:r>
      <w:r w:rsidRPr="003C6835">
        <w:rPr>
          <w:lang w:eastAsia="ja-JP"/>
        </w:rPr>
        <w:t>/</w:t>
      </w:r>
      <w:proofErr w:type="spellStart"/>
      <w:r w:rsidRPr="003C6835">
        <w:rPr>
          <w:lang w:eastAsia="ja-JP"/>
        </w:rPr>
        <w:t>mL</w:t>
      </w:r>
      <w:proofErr w:type="gramEnd"/>
      <w:r w:rsidR="00F50ABF">
        <w:rPr>
          <w:lang w:eastAsia="ja-JP"/>
        </w:rPr>
        <w:t>.</w:t>
      </w:r>
      <w:proofErr w:type="spellEnd"/>
    </w:p>
    <w:p w14:paraId="5971EBCB" w14:textId="35190567" w:rsidR="006E19BD" w:rsidRPr="003C6835" w:rsidRDefault="006E19BD" w:rsidP="006E19BD">
      <w:pPr>
        <w:pStyle w:val="ListBullet"/>
        <w:rPr>
          <w:lang w:eastAsia="ja-JP"/>
        </w:rPr>
      </w:pPr>
      <w:r w:rsidRPr="003C6835">
        <w:rPr>
          <w:lang w:eastAsia="ja-JP"/>
        </w:rPr>
        <w:lastRenderedPageBreak/>
        <w:t xml:space="preserve">The lower end of the range for </w:t>
      </w:r>
      <w:proofErr w:type="spellStart"/>
      <w:r w:rsidR="00F50ABF" w:rsidRPr="00C9173F">
        <w:t>C</w:t>
      </w:r>
      <w:r w:rsidR="00F50ABF" w:rsidRPr="00F50ABF">
        <w:rPr>
          <w:vertAlign w:val="subscript"/>
        </w:rPr>
        <w:t>min</w:t>
      </w:r>
      <w:proofErr w:type="spellEnd"/>
      <w:r w:rsidRPr="003C6835">
        <w:rPr>
          <w:lang w:eastAsia="ja-JP"/>
        </w:rPr>
        <w:t xml:space="preserve"> of the clearly significant result was found to be </w:t>
      </w:r>
      <w:proofErr w:type="gramStart"/>
      <w:r w:rsidRPr="003C6835">
        <w:rPr>
          <w:lang w:eastAsia="ja-JP"/>
        </w:rPr>
        <w:t>9</w:t>
      </w:r>
      <w:r w:rsidR="001F408C">
        <w:rPr>
          <w:lang w:eastAsia="ja-JP"/>
        </w:rPr>
        <w:t> </w:t>
      </w:r>
      <w:r w:rsidRPr="003C6835">
        <w:rPr>
          <w:lang w:eastAsia="ja-JP"/>
        </w:rPr>
        <w:t>ng/</w:t>
      </w:r>
      <w:proofErr w:type="spellStart"/>
      <w:r w:rsidRPr="003C6835">
        <w:rPr>
          <w:lang w:eastAsia="ja-JP"/>
        </w:rPr>
        <w:t>mL</w:t>
      </w:r>
      <w:proofErr w:type="gramEnd"/>
      <w:r w:rsidRPr="003C6835">
        <w:rPr>
          <w:lang w:eastAsia="ja-JP"/>
        </w:rPr>
        <w:t>.</w:t>
      </w:r>
      <w:proofErr w:type="spellEnd"/>
    </w:p>
    <w:p w14:paraId="026FB838" w14:textId="77777777" w:rsidR="006E19BD" w:rsidRPr="006E19BD" w:rsidRDefault="006E19BD" w:rsidP="006E19BD">
      <w:pPr>
        <w:pStyle w:val="ListBullet"/>
        <w:rPr>
          <w:rFonts w:cs="Arial"/>
          <w:lang w:eastAsia="ja-JP"/>
        </w:rPr>
      </w:pPr>
      <w:r w:rsidRPr="003C6835">
        <w:rPr>
          <w:rFonts w:cs="Arial"/>
          <w:lang w:eastAsia="ja-JP"/>
        </w:rPr>
        <w:t xml:space="preserve">The recommended target </w:t>
      </w:r>
      <w:proofErr w:type="spellStart"/>
      <w:r w:rsidR="00F50ABF" w:rsidRPr="00C9173F">
        <w:t>C</w:t>
      </w:r>
      <w:r w:rsidR="00F50ABF" w:rsidRPr="00F50ABF">
        <w:rPr>
          <w:vertAlign w:val="subscript"/>
        </w:rPr>
        <w:t>min</w:t>
      </w:r>
      <w:proofErr w:type="spellEnd"/>
      <w:r w:rsidRPr="003C6835">
        <w:rPr>
          <w:rFonts w:cs="Arial"/>
          <w:vertAlign w:val="subscript"/>
          <w:lang w:eastAsia="ja-JP"/>
        </w:rPr>
        <w:t xml:space="preserve"> </w:t>
      </w:r>
      <w:r w:rsidRPr="003C6835">
        <w:rPr>
          <w:rFonts w:cs="Arial"/>
          <w:lang w:eastAsia="ja-JP"/>
        </w:rPr>
        <w:t>range is 5 to 1</w:t>
      </w:r>
      <w:r w:rsidR="00FC69C3">
        <w:rPr>
          <w:rFonts w:cs="Arial"/>
          <w:lang w:eastAsia="ja-JP"/>
        </w:rPr>
        <w:t>5 ng</w:t>
      </w:r>
      <w:r w:rsidRPr="003C6835">
        <w:rPr>
          <w:rFonts w:cs="Arial"/>
          <w:lang w:eastAsia="ja-JP"/>
        </w:rPr>
        <w:t xml:space="preserve">/mL, based on the </w:t>
      </w:r>
      <w:r w:rsidRPr="006E19BD">
        <w:rPr>
          <w:rFonts w:cs="Arial"/>
          <w:lang w:eastAsia="ja-JP"/>
        </w:rPr>
        <w:t>following considerations:</w:t>
      </w:r>
    </w:p>
    <w:p w14:paraId="12FAFE49" w14:textId="7C3974E0" w:rsidR="006E19BD" w:rsidRPr="006E19BD" w:rsidRDefault="006E19BD" w:rsidP="006E19BD">
      <w:pPr>
        <w:pStyle w:val="ListBullet2"/>
      </w:pPr>
      <w:r w:rsidRPr="006E19BD">
        <w:t>The time-</w:t>
      </w:r>
      <w:r w:rsidR="001F408C" w:rsidRPr="006E19BD">
        <w:t>normali</w:t>
      </w:r>
      <w:r w:rsidR="001F408C">
        <w:t>s</w:t>
      </w:r>
      <w:r w:rsidR="001F408C" w:rsidRPr="006E19BD">
        <w:t xml:space="preserve">ed </w:t>
      </w:r>
      <w:proofErr w:type="spellStart"/>
      <w:r w:rsidR="00F50ABF" w:rsidRPr="00C9173F">
        <w:t>C</w:t>
      </w:r>
      <w:r w:rsidR="00F50ABF" w:rsidRPr="00F50ABF">
        <w:rPr>
          <w:vertAlign w:val="subscript"/>
        </w:rPr>
        <w:t>min</w:t>
      </w:r>
      <w:proofErr w:type="spellEnd"/>
      <w:r w:rsidRPr="006E19BD">
        <w:t xml:space="preserve"> of 5.3ng/mL is the threshold concentration above which the 95% confidence interval of predicted change from baseline seizure frequency is not overlapping with the 95% confidence interval of predicted change from baseline SF of placebo patients. This indicates a lower bound of the therapeutic range.</w:t>
      </w:r>
      <w:r w:rsidRPr="00177681">
        <w:rPr>
          <w:vertAlign w:val="superscript"/>
        </w:rPr>
        <w:footnoteReference w:id="40"/>
      </w:r>
    </w:p>
    <w:p w14:paraId="41F9E401" w14:textId="433C28A8" w:rsidR="00177681" w:rsidRPr="00177681" w:rsidRDefault="00177681" w:rsidP="003D7F9D">
      <w:pPr>
        <w:pStyle w:val="ListBullet"/>
      </w:pPr>
      <w:r w:rsidRPr="00177681">
        <w:t xml:space="preserve">The modelling of efficacy to </w:t>
      </w:r>
      <w:proofErr w:type="spellStart"/>
      <w:r w:rsidR="00F50ABF" w:rsidRPr="00C9173F">
        <w:t>C</w:t>
      </w:r>
      <w:r w:rsidR="00F50ABF" w:rsidRPr="00F50ABF">
        <w:rPr>
          <w:vertAlign w:val="subscript"/>
        </w:rPr>
        <w:t>min</w:t>
      </w:r>
      <w:proofErr w:type="spellEnd"/>
      <w:r w:rsidRPr="00177681">
        <w:t xml:space="preserve"> mentioned under Pharmacodynamics in the CER (</w:t>
      </w:r>
      <w:r w:rsidR="00CA1837">
        <w:t>See Attachment 2</w:t>
      </w:r>
      <w:r w:rsidR="001F408C">
        <w:t>,</w:t>
      </w:r>
      <w:r w:rsidR="00CA1837">
        <w:t xml:space="preserve"> S</w:t>
      </w:r>
      <w:r w:rsidRPr="00177681">
        <w:t>e</w:t>
      </w:r>
      <w:r w:rsidR="00CA1837">
        <w:t>ction 5)</w:t>
      </w:r>
      <w:r w:rsidRPr="00177681">
        <w:t xml:space="preserve"> shows a relationship between </w:t>
      </w:r>
      <w:proofErr w:type="spellStart"/>
      <w:r w:rsidR="00F50ABF" w:rsidRPr="00C9173F">
        <w:t>C</w:t>
      </w:r>
      <w:r w:rsidR="00F50ABF" w:rsidRPr="00F50ABF">
        <w:rPr>
          <w:vertAlign w:val="subscript"/>
        </w:rPr>
        <w:t>min</w:t>
      </w:r>
      <w:proofErr w:type="spellEnd"/>
      <w:r w:rsidRPr="00177681">
        <w:t xml:space="preserve"> time normalised and a response.</w:t>
      </w:r>
    </w:p>
    <w:p w14:paraId="2AACCEA9" w14:textId="77777777" w:rsidR="00177681" w:rsidRPr="00177681" w:rsidRDefault="00177681" w:rsidP="00177681">
      <w:pPr>
        <w:pStyle w:val="ListBullet"/>
      </w:pPr>
      <w:r w:rsidRPr="00177681">
        <w:t xml:space="preserve">For those subjects who would currently be eligible for everolimus </w:t>
      </w:r>
      <w:r w:rsidR="00CA1837">
        <w:t xml:space="preserve">treatment due to concurrent TSC </w:t>
      </w:r>
      <w:r w:rsidRPr="00177681">
        <w:t xml:space="preserve">related conditions </w:t>
      </w:r>
      <w:r w:rsidR="00CE5C99">
        <w:t>that is</w:t>
      </w:r>
      <w:r w:rsidRPr="00177681">
        <w:t xml:space="preserve"> SEGA and renal </w:t>
      </w:r>
      <w:proofErr w:type="spellStart"/>
      <w:r w:rsidRPr="00177681">
        <w:t>angiomyolipoma</w:t>
      </w:r>
      <w:proofErr w:type="spellEnd"/>
      <w:r w:rsidRPr="00177681">
        <w:t>, the 95% CIs for all 3 treatment groups over</w:t>
      </w:r>
      <w:r>
        <w:t>lapped, the numbers were small.</w:t>
      </w:r>
    </w:p>
    <w:p w14:paraId="4280EA22" w14:textId="77777777" w:rsidR="00177681" w:rsidRDefault="00177681" w:rsidP="00177681">
      <w:pPr>
        <w:pStyle w:val="Heading4"/>
      </w:pPr>
      <w:bookmarkStart w:id="162" w:name="_Toc477255766"/>
      <w:r>
        <w:t>Safety</w:t>
      </w:r>
    </w:p>
    <w:p w14:paraId="66A2F1CA" w14:textId="77777777" w:rsidR="00177681" w:rsidRPr="00177681" w:rsidRDefault="00177681" w:rsidP="00177681">
      <w:r w:rsidRPr="00177681">
        <w:t>Regarding the overall conclusions on clinical safety</w:t>
      </w:r>
      <w:bookmarkEnd w:id="162"/>
      <w:r w:rsidR="00CA1837">
        <w:t>, the</w:t>
      </w:r>
      <w:r w:rsidR="00FC69C3">
        <w:t xml:space="preserve"> clinical evaluator</w:t>
      </w:r>
      <w:r w:rsidRPr="00177681">
        <w:t xml:space="preserve"> stated that:</w:t>
      </w:r>
    </w:p>
    <w:p w14:paraId="1422D19D" w14:textId="77777777" w:rsidR="00177681" w:rsidRPr="00177681" w:rsidRDefault="00177681" w:rsidP="00177681">
      <w:pPr>
        <w:pStyle w:val="Heading5"/>
      </w:pPr>
      <w:r w:rsidRPr="00177681">
        <w:t>Comparing previ</w:t>
      </w:r>
      <w:r>
        <w:t>ous experience with Study M2304</w:t>
      </w:r>
    </w:p>
    <w:p w14:paraId="16D037D9" w14:textId="4345BB59" w:rsidR="00177681" w:rsidRPr="00177681" w:rsidRDefault="00177681" w:rsidP="00177681">
      <w:pPr>
        <w:pStyle w:val="ListBullet"/>
      </w:pPr>
      <w:r w:rsidRPr="00177681">
        <w:t xml:space="preserve">Under 6 </w:t>
      </w:r>
      <w:r w:rsidR="001F408C">
        <w:t>m</w:t>
      </w:r>
      <w:r w:rsidRPr="00177681">
        <w:t xml:space="preserve">onths, the overall incidence of emerging AEs was higher in the previous Pool </w:t>
      </w:r>
      <w:r w:rsidR="000803D4">
        <w:t>versus</w:t>
      </w:r>
      <w:r w:rsidRPr="00177681">
        <w:t xml:space="preserve"> Study M2304 (87.6% </w:t>
      </w:r>
      <w:r w:rsidR="000803D4">
        <w:t>versus</w:t>
      </w:r>
      <w:r w:rsidRPr="00177681">
        <w:t xml:space="preserve"> 74.5%), as were the incidences of stomatitis (</w:t>
      </w:r>
      <w:r w:rsidR="00CA1837">
        <w:t>+</w:t>
      </w:r>
      <w:r w:rsidRPr="00177681">
        <w:t>11.9%) and hypercholesterolemia (</w:t>
      </w:r>
      <w:r w:rsidR="00CA1837">
        <w:t>+</w:t>
      </w:r>
      <w:r w:rsidRPr="00177681">
        <w:t>9.5%). Other events were reported with a similar frequency between the two datasets.</w:t>
      </w:r>
    </w:p>
    <w:p w14:paraId="4CFB4211" w14:textId="77777777" w:rsidR="00177681" w:rsidRPr="00177681" w:rsidRDefault="00177681" w:rsidP="00177681">
      <w:pPr>
        <w:pStyle w:val="ListBullet"/>
      </w:pPr>
      <w:r w:rsidRPr="00177681">
        <w:t xml:space="preserve">Between Months 6 to 12, the overall incidence of emerging AEs was higher in the previous Pool </w:t>
      </w:r>
      <w:r w:rsidR="000803D4">
        <w:t>versus</w:t>
      </w:r>
      <w:r w:rsidRPr="00177681">
        <w:t xml:space="preserve"> Study M2304 (53.1% </w:t>
      </w:r>
      <w:r w:rsidR="000803D4">
        <w:t>versus</w:t>
      </w:r>
      <w:r w:rsidRPr="00177681">
        <w:t xml:space="preserve"> 37.8%). The incidence of specific AEs was in general similar.</w:t>
      </w:r>
    </w:p>
    <w:p w14:paraId="5E2275E4" w14:textId="77777777" w:rsidR="00177681" w:rsidRPr="00177681" w:rsidRDefault="00177681" w:rsidP="00177681">
      <w:pPr>
        <w:pStyle w:val="ListBullet"/>
      </w:pPr>
      <w:r w:rsidRPr="00177681">
        <w:t xml:space="preserve">Between Months 12 to 24 the overall incidence of emerging AEs was higher in the previous Pool </w:t>
      </w:r>
      <w:r w:rsidR="000803D4">
        <w:t>versus</w:t>
      </w:r>
      <w:r w:rsidRPr="00177681">
        <w:t xml:space="preserve"> Study M2304 (67.5% </w:t>
      </w:r>
      <w:r w:rsidR="000803D4">
        <w:t>versus</w:t>
      </w:r>
      <w:r w:rsidRPr="00177681">
        <w:t xml:space="preserve"> 33.9%). Stomatitis (7.9%) and mouth ulceration (5.0%) were both reported more frequently in the previous Pool.</w:t>
      </w:r>
    </w:p>
    <w:p w14:paraId="6B11A55C" w14:textId="77777777" w:rsidR="00177681" w:rsidRPr="00177681" w:rsidRDefault="00CA1837" w:rsidP="00177681">
      <w:pPr>
        <w:pStyle w:val="Heading5"/>
      </w:pPr>
      <w:r>
        <w:t>Clinical evaluator’s</w:t>
      </w:r>
      <w:r w:rsidR="00177681" w:rsidRPr="00177681">
        <w:t xml:space="preserve"> overall comments on safety</w:t>
      </w:r>
    </w:p>
    <w:p w14:paraId="1F01AC17" w14:textId="77777777" w:rsidR="00177681" w:rsidRPr="00177681" w:rsidRDefault="00177681" w:rsidP="00177681">
      <w:pPr>
        <w:pStyle w:val="ListBullet"/>
      </w:pPr>
      <w:r w:rsidRPr="00177681">
        <w:t>There were some differences from the previous experience, the sponsor’s explanation for these related to the difference in age composition with 2 of the earlier trials confined to adults.</w:t>
      </w:r>
    </w:p>
    <w:p w14:paraId="1E33B6F7" w14:textId="77777777" w:rsidR="00177681" w:rsidRPr="00177681" w:rsidRDefault="00177681" w:rsidP="00177681">
      <w:pPr>
        <w:pStyle w:val="ListBullet"/>
      </w:pPr>
      <w:r w:rsidRPr="00177681">
        <w:t xml:space="preserve">There appeared to be no major difference from the previous safety experience of </w:t>
      </w:r>
      <w:r w:rsidR="00FC69C3">
        <w:t>everolimus</w:t>
      </w:r>
      <w:r w:rsidRPr="00177681">
        <w:t xml:space="preserve"> in TSC patients.</w:t>
      </w:r>
    </w:p>
    <w:p w14:paraId="40FED595" w14:textId="77777777" w:rsidR="00F41FBA" w:rsidRDefault="00177681" w:rsidP="00177681">
      <w:pPr>
        <w:pStyle w:val="Heading5"/>
      </w:pPr>
      <w:r w:rsidRPr="00177681">
        <w:t>As</w:t>
      </w:r>
      <w:r w:rsidR="00CA1837">
        <w:t>sessment of benefits as per the</w:t>
      </w:r>
      <w:r w:rsidR="00FC69C3">
        <w:t xml:space="preserve"> clinical evaluator</w:t>
      </w:r>
      <w:r w:rsidR="00CA1837">
        <w:t xml:space="preserve"> (first round)</w:t>
      </w:r>
    </w:p>
    <w:p w14:paraId="0B548348" w14:textId="77777777" w:rsidR="00F50805" w:rsidRDefault="000128D8" w:rsidP="007B6132">
      <w:r>
        <w:t>Please see Table 22</w:t>
      </w:r>
      <w:r w:rsidR="00CA1837">
        <w:t xml:space="preserve"> above for the clinical evaluator’s assessment of benefits, strengths and uncertainties.</w:t>
      </w:r>
    </w:p>
    <w:p w14:paraId="443D25F1" w14:textId="6531167A" w:rsidR="00177681" w:rsidRDefault="00177681" w:rsidP="00177681">
      <w:pPr>
        <w:pStyle w:val="Heading5"/>
      </w:pPr>
      <w:bookmarkStart w:id="163" w:name="_Toc236802596"/>
      <w:bookmarkStart w:id="164" w:name="_Toc241374334"/>
      <w:bookmarkStart w:id="165" w:name="_Ref272160964"/>
      <w:bookmarkStart w:id="166" w:name="_Toc272414694"/>
      <w:bookmarkStart w:id="167" w:name="_Toc290888558"/>
      <w:bookmarkStart w:id="168" w:name="_Toc416353773"/>
      <w:bookmarkStart w:id="169" w:name="_Toc421005315"/>
      <w:bookmarkStart w:id="170" w:name="_Toc432079186"/>
      <w:bookmarkStart w:id="171" w:name="_Toc432080759"/>
      <w:bookmarkStart w:id="172" w:name="_Toc477255769"/>
      <w:r w:rsidRPr="005C322E">
        <w:rPr>
          <w:rFonts w:asciiTheme="minorHAnsi" w:hAnsiTheme="minorHAnsi"/>
        </w:rPr>
        <w:t>Assessment of risks</w:t>
      </w:r>
      <w:bookmarkEnd w:id="163"/>
      <w:bookmarkEnd w:id="164"/>
      <w:bookmarkEnd w:id="165"/>
      <w:bookmarkEnd w:id="166"/>
      <w:bookmarkEnd w:id="167"/>
      <w:bookmarkEnd w:id="168"/>
      <w:bookmarkEnd w:id="169"/>
      <w:bookmarkEnd w:id="170"/>
      <w:bookmarkEnd w:id="171"/>
      <w:bookmarkEnd w:id="172"/>
      <w:r w:rsidRPr="005C322E">
        <w:rPr>
          <w:rFonts w:asciiTheme="minorHAnsi" w:hAnsiTheme="minorHAnsi"/>
        </w:rPr>
        <w:t xml:space="preserve"> </w:t>
      </w:r>
      <w:r w:rsidRPr="005C322E">
        <w:t xml:space="preserve">as per the </w:t>
      </w:r>
      <w:r w:rsidR="00FC69C3">
        <w:t>clinical evaluator</w:t>
      </w:r>
      <w:r>
        <w:t xml:space="preserve"> </w:t>
      </w:r>
      <w:r w:rsidRPr="005C322E">
        <w:t>(first round)</w:t>
      </w:r>
    </w:p>
    <w:p w14:paraId="78E55EA5" w14:textId="28CB3101" w:rsidR="00F50805" w:rsidRDefault="000128D8" w:rsidP="007B6132">
      <w:r>
        <w:t>Please see Table 23</w:t>
      </w:r>
      <w:r w:rsidR="00CA1837">
        <w:t xml:space="preserve"> above for the clinical evaluator’s assessment of risks strengths and uncertainties</w:t>
      </w:r>
      <w:r w:rsidR="001F408C">
        <w:t>.</w:t>
      </w:r>
    </w:p>
    <w:p w14:paraId="126CE6D1" w14:textId="27383BA9" w:rsidR="00177681" w:rsidRPr="00177681" w:rsidRDefault="00177681" w:rsidP="00177681">
      <w:pPr>
        <w:pStyle w:val="Heading5"/>
      </w:pPr>
      <w:r w:rsidRPr="00177681">
        <w:t>Assessment of</w:t>
      </w:r>
      <w:bookmarkStart w:id="173" w:name="_Toc236802597"/>
      <w:bookmarkStart w:id="174" w:name="_Toc241374335"/>
      <w:bookmarkStart w:id="175" w:name="_Toc272414695"/>
      <w:bookmarkStart w:id="176" w:name="_Toc290888559"/>
      <w:bookmarkStart w:id="177" w:name="_Toc416353775"/>
      <w:bookmarkStart w:id="178" w:name="_Toc421005316"/>
      <w:bookmarkStart w:id="179" w:name="_Toc432079187"/>
      <w:bookmarkStart w:id="180" w:name="_Toc432080760"/>
      <w:bookmarkStart w:id="181" w:name="_Toc477255770"/>
      <w:r w:rsidRPr="00177681">
        <w:t xml:space="preserve"> benefit-risk</w:t>
      </w:r>
      <w:bookmarkEnd w:id="173"/>
      <w:bookmarkEnd w:id="174"/>
      <w:bookmarkEnd w:id="175"/>
      <w:bookmarkEnd w:id="176"/>
      <w:bookmarkEnd w:id="177"/>
      <w:bookmarkEnd w:id="178"/>
      <w:r w:rsidRPr="00177681">
        <w:t xml:space="preserve"> balance</w:t>
      </w:r>
      <w:bookmarkEnd w:id="179"/>
      <w:bookmarkEnd w:id="180"/>
      <w:bookmarkEnd w:id="181"/>
      <w:r w:rsidRPr="00177681">
        <w:t xml:space="preserve"> as per the </w:t>
      </w:r>
      <w:r w:rsidR="00FC69C3">
        <w:t>clinical evaluator</w:t>
      </w:r>
      <w:r w:rsidR="00CA1837">
        <w:t xml:space="preserve"> (first round)</w:t>
      </w:r>
    </w:p>
    <w:p w14:paraId="76DF919A" w14:textId="2B060572" w:rsidR="00177681" w:rsidRPr="00177681" w:rsidRDefault="00177681" w:rsidP="00177681">
      <w:r w:rsidRPr="00177681">
        <w:t>The benefit-risk balance is considered favourable</w:t>
      </w:r>
      <w:r w:rsidR="001F408C">
        <w:t>.</w:t>
      </w:r>
    </w:p>
    <w:p w14:paraId="79E1AB31" w14:textId="77777777" w:rsidR="007B6132" w:rsidRDefault="007B6132" w:rsidP="00555280">
      <w:pPr>
        <w:pStyle w:val="Heading4"/>
      </w:pPr>
      <w:r w:rsidRPr="007B6132">
        <w:lastRenderedPageBreak/>
        <w:t xml:space="preserve">Clinical evaluator’s recommendation </w:t>
      </w:r>
      <w:r w:rsidR="00177681" w:rsidRPr="00177681">
        <w:t xml:space="preserve">as per the </w:t>
      </w:r>
      <w:proofErr w:type="spellStart"/>
      <w:r w:rsidR="00FC69C3">
        <w:t>the</w:t>
      </w:r>
      <w:proofErr w:type="spellEnd"/>
      <w:r w:rsidR="00FC69C3">
        <w:t xml:space="preserve"> clinical evaluator</w:t>
      </w:r>
      <w:r w:rsidR="00177681" w:rsidRPr="00177681">
        <w:t xml:space="preserve"> (first round)</w:t>
      </w:r>
    </w:p>
    <w:p w14:paraId="61716684" w14:textId="77777777" w:rsidR="00177681" w:rsidRPr="00177681" w:rsidRDefault="00177681" w:rsidP="00177681">
      <w:bookmarkStart w:id="182" w:name="_Toc477255771"/>
      <w:r w:rsidRPr="00177681">
        <w:t>Recommendation regarding authorisation</w:t>
      </w:r>
      <w:bookmarkEnd w:id="182"/>
      <w:r w:rsidRPr="00177681">
        <w:t>:</w:t>
      </w:r>
    </w:p>
    <w:p w14:paraId="5676CF90" w14:textId="77777777" w:rsidR="00177681" w:rsidRPr="00177681" w:rsidRDefault="00177681" w:rsidP="00177681">
      <w:r w:rsidRPr="00177681">
        <w:t xml:space="preserve">It is not recommended that the proposed Indication for </w:t>
      </w:r>
      <w:r w:rsidR="00FC69C3">
        <w:t>everolimus</w:t>
      </w:r>
      <w:r w:rsidRPr="00177681">
        <w:t xml:space="preserve"> be approved.</w:t>
      </w:r>
    </w:p>
    <w:p w14:paraId="27059996" w14:textId="77777777" w:rsidR="00177681" w:rsidRPr="00177681" w:rsidRDefault="00177681" w:rsidP="00177681">
      <w:r w:rsidRPr="00177681">
        <w:t xml:space="preserve">It is recommended that </w:t>
      </w:r>
      <w:r w:rsidR="00FC69C3">
        <w:t>everolimus</w:t>
      </w:r>
      <w:r w:rsidRPr="00177681">
        <w:t xml:space="preserve"> be approved subject to a sa</w:t>
      </w:r>
      <w:r>
        <w:t xml:space="preserve">tisfactory PI for the modified </w:t>
      </w:r>
      <w:r w:rsidRPr="00177681">
        <w:t>indication of:</w:t>
      </w:r>
    </w:p>
    <w:p w14:paraId="1CE1D3E7" w14:textId="77777777" w:rsidR="00177681" w:rsidRPr="00177681" w:rsidRDefault="00177681" w:rsidP="00177681">
      <w:pPr>
        <w:ind w:left="720"/>
        <w:rPr>
          <w:i/>
        </w:rPr>
      </w:pPr>
      <w:r w:rsidRPr="00177681">
        <w:rPr>
          <w:i/>
        </w:rPr>
        <w:t xml:space="preserve">Afinitor is indicated for the Adjunctive treatment of patients aged 2 years and older with TSC and </w:t>
      </w:r>
      <w:r w:rsidRPr="00CA1837">
        <w:rPr>
          <w:b/>
          <w:i/>
        </w:rPr>
        <w:t>associated</w:t>
      </w:r>
      <w:r w:rsidRPr="00177681">
        <w:rPr>
          <w:i/>
        </w:rPr>
        <w:t xml:space="preserve"> refractory seizures.</w:t>
      </w:r>
    </w:p>
    <w:p w14:paraId="1E8B188A" w14:textId="77777777" w:rsidR="00456765" w:rsidRPr="00456765" w:rsidRDefault="00177681" w:rsidP="00456765">
      <w:r w:rsidRPr="00177681">
        <w:t xml:space="preserve">Rationale for the modified indication: It was a requirement for inclusion in Study M2034 that patients have a ‘Clinically definite diagnosis of TSC.’ Treatment of </w:t>
      </w:r>
      <w:r w:rsidR="00F50ABF">
        <w:t>‘</w:t>
      </w:r>
      <w:r w:rsidRPr="00177681">
        <w:t>Refractory seizures alone</w:t>
      </w:r>
      <w:r w:rsidR="00F50ABF">
        <w:t>’</w:t>
      </w:r>
      <w:r w:rsidRPr="00177681">
        <w:t xml:space="preserve"> (a possible interpretation) was not included in the submission. The addit</w:t>
      </w:r>
      <w:r>
        <w:t>ional insertion clarifies this.</w:t>
      </w:r>
    </w:p>
    <w:bookmarkEnd w:id="135"/>
    <w:p w14:paraId="593934E2" w14:textId="3355871B" w:rsidR="008E7846" w:rsidRPr="00177681" w:rsidRDefault="00177681" w:rsidP="00177681">
      <w:r w:rsidRPr="00177681">
        <w:t xml:space="preserve">The clinical aspects of the RMP appear satisfactory. It is anticipated that this will include additional long term efficacy and safety data from further analyses of the pivotal </w:t>
      </w:r>
      <w:r w:rsidR="00656D98">
        <w:t>Study</w:t>
      </w:r>
      <w:r w:rsidR="001F408C">
        <w:t> </w:t>
      </w:r>
      <w:r w:rsidRPr="00177681">
        <w:t>M2304</w:t>
      </w:r>
    </w:p>
    <w:p w14:paraId="02AE9846" w14:textId="77777777" w:rsidR="00F2000A" w:rsidRPr="00F2000A" w:rsidRDefault="00F2000A" w:rsidP="00F2000A">
      <w:pPr>
        <w:pStyle w:val="Heading4"/>
      </w:pPr>
      <w:bookmarkStart w:id="183" w:name="_Toc247691531"/>
      <w:bookmarkStart w:id="184" w:name="_Toc314842515"/>
      <w:bookmarkStart w:id="185" w:name="_Toc196046505"/>
      <w:bookmarkStart w:id="186" w:name="_Toc196046949"/>
      <w:r w:rsidRPr="00F2000A">
        <w:t>Clinical questi</w:t>
      </w:r>
      <w:r w:rsidR="00CA1837">
        <w:t>ons posed to the sponsor by the</w:t>
      </w:r>
      <w:r w:rsidR="00FC69C3">
        <w:t xml:space="preserve"> clinical evaluator</w:t>
      </w:r>
      <w:r w:rsidRPr="00F2000A">
        <w:t xml:space="preserve"> post first round evaluation and responses provided by the sponsor for second evaluation</w:t>
      </w:r>
    </w:p>
    <w:p w14:paraId="7F14648E" w14:textId="77777777" w:rsidR="00F2000A" w:rsidRPr="00F2000A" w:rsidRDefault="00F2000A" w:rsidP="00F2000A">
      <w:pPr>
        <w:pStyle w:val="Heading5"/>
      </w:pPr>
      <w:r w:rsidRPr="00F2000A">
        <w:t>Question on Hepatic toxicity:</w:t>
      </w:r>
    </w:p>
    <w:p w14:paraId="4C62A575" w14:textId="58F2A545" w:rsidR="00F2000A" w:rsidRPr="00F2000A" w:rsidRDefault="00F2000A" w:rsidP="00F2000A">
      <w:r w:rsidRPr="00F2000A">
        <w:t>The Clinical Study Report did not have a separate section on this. The Summary of Clinical Safety</w:t>
      </w:r>
      <w:r w:rsidR="00CA1837">
        <w:t xml:space="preserve"> </w:t>
      </w:r>
      <w:r w:rsidRPr="00F2000A">
        <w:t>had under 1.1.1</w:t>
      </w:r>
      <w:r w:rsidR="001F408C">
        <w:t xml:space="preserve"> </w:t>
      </w:r>
      <w:r w:rsidRPr="00F2000A">
        <w:t xml:space="preserve">Safety aspects of the product </w:t>
      </w:r>
      <w:r w:rsidR="00F50ABF">
        <w:t>‘</w:t>
      </w:r>
      <w:r w:rsidRPr="00F2000A">
        <w:t xml:space="preserve">Additional known risks with </w:t>
      </w:r>
      <w:r w:rsidR="00FC69C3">
        <w:t>everolimus</w:t>
      </w:r>
      <w:r w:rsidRPr="00F2000A">
        <w:t xml:space="preserve"> therapy that require close monitoring and evaluation include: and safety in patients with hepatic impairment</w:t>
      </w:r>
      <w:r w:rsidR="00F50ABF">
        <w:t>’</w:t>
      </w:r>
      <w:r w:rsidRPr="00F2000A">
        <w:t>.</w:t>
      </w:r>
    </w:p>
    <w:p w14:paraId="7F724C72" w14:textId="77777777" w:rsidR="00F50ABF" w:rsidRDefault="00F2000A" w:rsidP="00F2000A">
      <w:r w:rsidRPr="00F2000A">
        <w:t>The sponsor has proposed multiple hepatic impairment insertions in relation to which the sponsor has consistently referred to 2.7.2 Summary of Clinical Pharmacology. The only relevant statement found therein is</w:t>
      </w:r>
      <w:r w:rsidR="00F50ABF">
        <w:t>:</w:t>
      </w:r>
    </w:p>
    <w:p w14:paraId="5EEBB489" w14:textId="732CDFF0" w:rsidR="00F2000A" w:rsidRPr="00F2000A" w:rsidRDefault="001F408C" w:rsidP="00F2000A">
      <w:r>
        <w:t>‘</w:t>
      </w:r>
      <w:r w:rsidR="00F2000A" w:rsidRPr="00F2000A">
        <w:t xml:space="preserve">3.2.9 Impaired hepatic function: No new information was generated in support of </w:t>
      </w:r>
      <w:r w:rsidR="00E71A24">
        <w:t>this indication</w:t>
      </w:r>
      <w:r>
        <w:t>’.</w:t>
      </w:r>
    </w:p>
    <w:p w14:paraId="1379E72E" w14:textId="3C21ECB4" w:rsidR="00F2000A" w:rsidRPr="00F2000A" w:rsidRDefault="00F2000A" w:rsidP="000128D8">
      <w:r w:rsidRPr="00F2000A">
        <w:t xml:space="preserve">In the </w:t>
      </w:r>
      <w:r w:rsidRPr="000128D8">
        <w:t>s</w:t>
      </w:r>
      <w:r w:rsidR="00CA1837" w:rsidRPr="000128D8">
        <w:t xml:space="preserve">ummary results of the trial, 23 to </w:t>
      </w:r>
      <w:r w:rsidRPr="000128D8">
        <w:t xml:space="preserve">25% had abnormal liver enzymes </w:t>
      </w:r>
      <w:r w:rsidR="00F50ABF" w:rsidRPr="000128D8">
        <w:t>(</w:t>
      </w:r>
      <w:r w:rsidR="00547EAE">
        <w:t>Table 20</w:t>
      </w:r>
      <w:r w:rsidR="00F50ABF" w:rsidRPr="000128D8">
        <w:t>)</w:t>
      </w:r>
      <w:r w:rsidRPr="000128D8">
        <w:t xml:space="preserve"> (2 at least were </w:t>
      </w:r>
      <w:r w:rsidR="00FC69C3" w:rsidRPr="000128D8">
        <w:t>Grade</w:t>
      </w:r>
      <w:r w:rsidRPr="000128D8">
        <w:t xml:space="preserve">3/4 </w:t>
      </w:r>
      <w:r w:rsidR="00F50ABF" w:rsidRPr="000128D8">
        <w:t>(</w:t>
      </w:r>
      <w:r w:rsidR="00547EAE">
        <w:t>Table 4</w:t>
      </w:r>
      <w:r w:rsidR="00526707">
        <w:t xml:space="preserve">3 </w:t>
      </w:r>
      <w:r w:rsidR="000128D8" w:rsidRPr="000128D8">
        <w:t>Attachment 2</w:t>
      </w:r>
      <w:r w:rsidR="00F50ABF" w:rsidRPr="000128D8">
        <w:t>)</w:t>
      </w:r>
      <w:r w:rsidRPr="000128D8">
        <w:t>). One ADR of raised enzyme was reported (also 1 on placebo)</w:t>
      </w:r>
      <w:r w:rsidR="00F50ABF" w:rsidRPr="000128D8">
        <w:t>)</w:t>
      </w:r>
      <w:r w:rsidRPr="000128D8">
        <w:t xml:space="preserve"> raised ALT. Due to raised </w:t>
      </w:r>
      <w:r w:rsidR="001F408C">
        <w:t>a</w:t>
      </w:r>
      <w:r w:rsidR="001F408C" w:rsidRPr="000128D8">
        <w:t xml:space="preserve">lkaline </w:t>
      </w:r>
      <w:r w:rsidRPr="000128D8">
        <w:t xml:space="preserve">phosphatase there was 1 discontinuation </w:t>
      </w:r>
      <w:r w:rsidR="00F50ABF" w:rsidRPr="000128D8">
        <w:t>(</w:t>
      </w:r>
      <w:r w:rsidR="00526707">
        <w:t>Table 39</w:t>
      </w:r>
      <w:r w:rsidR="000128D8" w:rsidRPr="000128D8">
        <w:t xml:space="preserve"> Attachment 2</w:t>
      </w:r>
      <w:r w:rsidR="00F50ABF" w:rsidRPr="000128D8">
        <w:t>)</w:t>
      </w:r>
      <w:r w:rsidRPr="000128D8">
        <w:t xml:space="preserve">, and 1 interruption or adjustment to dose </w:t>
      </w:r>
      <w:r w:rsidR="00F50ABF" w:rsidRPr="000128D8">
        <w:t>(</w:t>
      </w:r>
      <w:r w:rsidR="00526707">
        <w:t>Table 40</w:t>
      </w:r>
      <w:r w:rsidR="000128D8" w:rsidRPr="000128D8">
        <w:t xml:space="preserve"> Attachment 2</w:t>
      </w:r>
      <w:r w:rsidR="00F50ABF" w:rsidRPr="000128D8">
        <w:t>)</w:t>
      </w:r>
      <w:r w:rsidRPr="000128D8">
        <w:t>.</w:t>
      </w:r>
    </w:p>
    <w:p w14:paraId="46A68968" w14:textId="77777777" w:rsidR="00F2000A" w:rsidRPr="00F2000A" w:rsidRDefault="00F2000A" w:rsidP="00E71A24">
      <w:pPr>
        <w:pStyle w:val="ListBullet"/>
      </w:pPr>
      <w:r w:rsidRPr="00F2000A">
        <w:t>Please review and comment.</w:t>
      </w:r>
    </w:p>
    <w:p w14:paraId="7DF22F5F" w14:textId="77777777" w:rsidR="00F2000A" w:rsidRPr="00F2000A" w:rsidRDefault="00F2000A" w:rsidP="00E71A24">
      <w:pPr>
        <w:pStyle w:val="ListBullet"/>
      </w:pPr>
      <w:r w:rsidRPr="00F2000A">
        <w:t>Please justify the proposed insertions.</w:t>
      </w:r>
    </w:p>
    <w:p w14:paraId="4F10527C" w14:textId="77777777" w:rsidR="00E71A24" w:rsidRPr="00E71A24" w:rsidRDefault="00E71A24" w:rsidP="00E71A24">
      <w:pPr>
        <w:rPr>
          <w:b/>
          <w:i/>
        </w:rPr>
      </w:pPr>
      <w:r w:rsidRPr="00E71A24">
        <w:rPr>
          <w:b/>
          <w:i/>
        </w:rPr>
        <w:t>Sponsor’s response:</w:t>
      </w:r>
    </w:p>
    <w:p w14:paraId="40394C5E" w14:textId="5AA13C4B" w:rsidR="00F50ABF" w:rsidRDefault="001F408C" w:rsidP="00E71A24">
      <w:r>
        <w:t>The sponsor</w:t>
      </w:r>
      <w:r w:rsidRPr="00E71A24">
        <w:t xml:space="preserve"> </w:t>
      </w:r>
      <w:r w:rsidR="00E71A24">
        <w:t>acknowledges the e</w:t>
      </w:r>
      <w:r w:rsidR="00E71A24" w:rsidRPr="00E71A24">
        <w:t>valuators comment with regards to hepatic toxicity</w:t>
      </w:r>
      <w:r w:rsidR="00F50ABF">
        <w:t>.</w:t>
      </w:r>
    </w:p>
    <w:p w14:paraId="71338C82" w14:textId="77777777" w:rsidR="00F50ABF" w:rsidRDefault="00E71A24" w:rsidP="00E71A24">
      <w:r w:rsidRPr="00E71A24">
        <w:t xml:space="preserve">Abnormalities in liver enzymes were observed during Study M2304, which were consistent with the known adverse events of </w:t>
      </w:r>
      <w:r w:rsidR="00FC69C3">
        <w:t>everolimus</w:t>
      </w:r>
      <w:r w:rsidRPr="00E71A24">
        <w:t xml:space="preserve">. In measured laboratory results during the double blind phase, </w:t>
      </w:r>
      <w:r w:rsidR="007E467E">
        <w:t>ALT</w:t>
      </w:r>
      <w:r w:rsidRPr="00E71A24">
        <w:t xml:space="preserve"> and </w:t>
      </w:r>
      <w:r w:rsidR="007E467E">
        <w:t>AST</w:t>
      </w:r>
      <w:r w:rsidRPr="00E71A24">
        <w:t xml:space="preserve"> increases we</w:t>
      </w:r>
      <w:r w:rsidR="007E467E">
        <w:t>re seen more frequently (with ≥ </w:t>
      </w:r>
      <w:r w:rsidRPr="00E71A24">
        <w:t>10%</w:t>
      </w:r>
      <w:r w:rsidR="007E467E">
        <w:t xml:space="preserve"> </w:t>
      </w:r>
      <w:r>
        <w:t xml:space="preserve">TSC seizures </w:t>
      </w:r>
      <w:r w:rsidRPr="00E71A24">
        <w:t xml:space="preserve">differences) in </w:t>
      </w:r>
      <w:r w:rsidR="00FC69C3">
        <w:t>everolimus</w:t>
      </w:r>
      <w:r w:rsidRPr="00E71A24">
        <w:t xml:space="preserve"> treated patients than the placebo group. However, there were no Grade 3/4 abnormalities in either group. While alkaline phosphatase (ALP) increases, all Grade 1/2, were slightly more frequent in the placebo group compared to the </w:t>
      </w:r>
      <w:r w:rsidR="00FC69C3">
        <w:t>everolimus</w:t>
      </w:r>
      <w:r w:rsidRPr="00E71A24">
        <w:t xml:space="preserve"> g</w:t>
      </w:r>
      <w:r w:rsidR="007E467E">
        <w:t xml:space="preserve">roup. In the long </w:t>
      </w:r>
      <w:r w:rsidRPr="00E71A24">
        <w:t>term phase, the overall frequency of increases in ALT, AST and ALP remained consistent to that seen during double blind phase with Grade 3/4 ALT increases in 2 patients and Grade 3/4 AST increase in one patient</w:t>
      </w:r>
      <w:r w:rsidR="00F50ABF">
        <w:t>.</w:t>
      </w:r>
    </w:p>
    <w:p w14:paraId="61A259AD" w14:textId="77777777" w:rsidR="00F50ABF" w:rsidRDefault="00E71A24" w:rsidP="00E71A24">
      <w:r w:rsidRPr="00E71A24">
        <w:lastRenderedPageBreak/>
        <w:t>As per protocol, laboratory abnormalities that constituted an adverse event (AE) in their own right (</w:t>
      </w:r>
      <w:r w:rsidR="00CE5C99">
        <w:t>that is</w:t>
      </w:r>
      <w:r w:rsidRPr="00E71A24">
        <w:t xml:space="preserve"> were considered clinically significant, induced clinical signs or symptoms, required concomitant therapy or required changes in study treatment), were to be recorded on the Adverse Events CRF. Laboratory abnormality was reported as an adverse event (ALT increased, Grade 1/2) in only one patient from </w:t>
      </w:r>
      <w:r w:rsidR="00FC69C3">
        <w:t>everolimus</w:t>
      </w:r>
      <w:r w:rsidRPr="00E71A24">
        <w:t xml:space="preserve"> treated patients and in one patient (AST increased, Grade 1/2) from the placebo group. There was no dose adjustment/interruption or discontinuation due to liver enzyme abnormality in Study M2304</w:t>
      </w:r>
      <w:r w:rsidR="00F50ABF">
        <w:t>.</w:t>
      </w:r>
    </w:p>
    <w:p w14:paraId="2C5724D4" w14:textId="77777777" w:rsidR="00F50ABF" w:rsidRDefault="00E71A24" w:rsidP="00E71A24">
      <w:r w:rsidRPr="00E71A24">
        <w:t xml:space="preserve">The abnormalities whether measured on laboratory investigations or reported during the study constituted abnormal liver function tests without any concomitant evidence or events (clinical or laboratory) corresponding to the required criteria for Child-Pugh score. Hence, none of these cases fulfilled the criteria suggestive of liver damage of any </w:t>
      </w:r>
      <w:r w:rsidR="00FC69C3">
        <w:t>Grade</w:t>
      </w:r>
      <w:r w:rsidRPr="00E71A24">
        <w:t xml:space="preserve"> according to the Child-Pugh scoring</w:t>
      </w:r>
      <w:r w:rsidR="00F50ABF">
        <w:t>.</w:t>
      </w:r>
    </w:p>
    <w:p w14:paraId="262CB0D5" w14:textId="77777777" w:rsidR="00F50ABF" w:rsidRDefault="00E71A24" w:rsidP="00E71A24">
      <w:r w:rsidRPr="00E71A24">
        <w:t xml:space="preserve">The empirical evidence from this study supports the statement in the Summary of Clinical Pharmacology that there were no patients with hepatic impairment as per Child-Pugh criteria, exposed to </w:t>
      </w:r>
      <w:r w:rsidR="00FC69C3">
        <w:t>everolimus</w:t>
      </w:r>
      <w:r w:rsidRPr="00E71A24">
        <w:t xml:space="preserve"> in this study. No additional hepatic impair</w:t>
      </w:r>
      <w:r w:rsidR="001D5C8D">
        <w:t xml:space="preserve">ment study was performed in TSC </w:t>
      </w:r>
      <w:r w:rsidRPr="00E71A24">
        <w:t xml:space="preserve">seizures patients specifically. The impact of hepatic impairment on pharmacokinetics (PK) is expected to be the same across the different indications/tumours as the liver is the main organ for </w:t>
      </w:r>
      <w:r w:rsidR="00FC69C3">
        <w:t>everolimus</w:t>
      </w:r>
      <w:r w:rsidRPr="00E71A24">
        <w:t xml:space="preserve"> metabolism, and not the TSC tumours. The proposal is therefore to apply the same</w:t>
      </w:r>
      <w:r w:rsidR="001D5C8D">
        <w:t xml:space="preserve"> dosing recommendations for TSC SEGA and TSC </w:t>
      </w:r>
      <w:r w:rsidRPr="00E71A24">
        <w:t>seizures patients in case of concomitant hepatic impairment</w:t>
      </w:r>
      <w:r w:rsidR="00F50ABF">
        <w:t>.</w:t>
      </w:r>
    </w:p>
    <w:p w14:paraId="1B88B0BA" w14:textId="7C82820A" w:rsidR="00F50ABF" w:rsidRPr="001D5C8D" w:rsidRDefault="00E71A24" w:rsidP="00E71A24">
      <w:r w:rsidRPr="001D5C8D">
        <w:t xml:space="preserve">Note: </w:t>
      </w:r>
      <w:r w:rsidR="001F408C">
        <w:t>The sponsor</w:t>
      </w:r>
      <w:r w:rsidR="001F408C" w:rsidRPr="001D5C8D">
        <w:t xml:space="preserve"> </w:t>
      </w:r>
      <w:r w:rsidRPr="001D5C8D">
        <w:t xml:space="preserve">also respectfully wishes to point out that in the TGA report Table </w:t>
      </w:r>
      <w:r w:rsidR="000128D8">
        <w:t>41</w:t>
      </w:r>
      <w:r w:rsidRPr="001D5C8D">
        <w:t xml:space="preserve"> presents data from the TSC pooled studies without M2304. Moreover, it also noticed that Table </w:t>
      </w:r>
      <w:r w:rsidR="000128D8">
        <w:t>42</w:t>
      </w:r>
      <w:r w:rsidRPr="001D5C8D">
        <w:t xml:space="preserve"> in the TGA report contains the same data as in Table </w:t>
      </w:r>
      <w:r w:rsidR="000128D8">
        <w:t>41, despite different table headings.</w:t>
      </w:r>
    </w:p>
    <w:p w14:paraId="65F07EC6" w14:textId="77777777" w:rsidR="00E71A24" w:rsidRPr="00E71A24" w:rsidRDefault="00F50ABF" w:rsidP="00E71A24">
      <w:r>
        <w:rPr>
          <w:b/>
          <w:i/>
        </w:rPr>
        <w:t>Delegate</w:t>
      </w:r>
      <w:r w:rsidR="00E71A24" w:rsidRPr="00E71A24">
        <w:rPr>
          <w:b/>
          <w:i/>
        </w:rPr>
        <w:t>’s comment</w:t>
      </w:r>
      <w:r w:rsidR="00E71A24" w:rsidRPr="00E71A24">
        <w:t>: Satisfactory</w:t>
      </w:r>
      <w:r w:rsidR="00EB24AF">
        <w:t>.</w:t>
      </w:r>
    </w:p>
    <w:p w14:paraId="563C5C67" w14:textId="77777777" w:rsidR="00177681" w:rsidRDefault="00177681" w:rsidP="00177681">
      <w:pPr>
        <w:pStyle w:val="Heading3"/>
        <w:rPr>
          <w:lang w:eastAsia="en-AU"/>
        </w:rPr>
      </w:pPr>
      <w:bookmarkStart w:id="187" w:name="_Toc1555423"/>
      <w:r>
        <w:rPr>
          <w:lang w:eastAsia="en-AU"/>
        </w:rPr>
        <w:t>Risk management plan</w:t>
      </w:r>
      <w:bookmarkEnd w:id="187"/>
    </w:p>
    <w:p w14:paraId="64B1B987" w14:textId="35C3B2DE" w:rsidR="00E71A24" w:rsidRDefault="00E71A24" w:rsidP="00E71A24">
      <w:pPr>
        <w:pStyle w:val="Heading4"/>
      </w:pPr>
      <w:bookmarkStart w:id="188" w:name="_Toc495496917"/>
      <w:r w:rsidRPr="00E71A24">
        <w:t xml:space="preserve">Reconciliation of </w:t>
      </w:r>
      <w:r w:rsidR="000046CE">
        <w:t>first round</w:t>
      </w:r>
      <w:r w:rsidRPr="00E71A24">
        <w:t xml:space="preserve"> recommendations</w:t>
      </w:r>
      <w:bookmarkEnd w:id="188"/>
    </w:p>
    <w:p w14:paraId="11274F48" w14:textId="77777777" w:rsidR="007E493E" w:rsidRPr="007E493E" w:rsidRDefault="007E493E" w:rsidP="003D7F9D">
      <w:pPr>
        <w:pStyle w:val="Numberbullet0"/>
        <w:numPr>
          <w:ilvl w:val="0"/>
          <w:numId w:val="10"/>
        </w:numPr>
        <w:rPr>
          <w:i/>
        </w:rPr>
      </w:pPr>
      <w:r w:rsidRPr="007E493E">
        <w:rPr>
          <w:i/>
        </w:rPr>
        <w:t xml:space="preserve">The table in the ASA comparing the wording of the EU </w:t>
      </w:r>
      <w:proofErr w:type="spellStart"/>
      <w:r w:rsidRPr="007E493E">
        <w:rPr>
          <w:i/>
        </w:rPr>
        <w:t>SmPC</w:t>
      </w:r>
      <w:proofErr w:type="spellEnd"/>
      <w:r w:rsidRPr="007E493E">
        <w:rPr>
          <w:i/>
        </w:rPr>
        <w:t xml:space="preserve"> and the proposed Australian PI for all of the specified ongoing safety concerns and missing information should be updated and include the actual wording when the </w:t>
      </w:r>
      <w:proofErr w:type="spellStart"/>
      <w:r w:rsidRPr="007E493E">
        <w:rPr>
          <w:i/>
        </w:rPr>
        <w:t>SmPC</w:t>
      </w:r>
      <w:proofErr w:type="spellEnd"/>
      <w:r w:rsidRPr="007E493E">
        <w:rPr>
          <w:i/>
        </w:rPr>
        <w:t xml:space="preserve"> is available and the wording of the Australian PI has been agreed by the TGA</w:t>
      </w:r>
    </w:p>
    <w:p w14:paraId="2C192B77" w14:textId="77777777" w:rsidR="007E493E" w:rsidRDefault="007E493E" w:rsidP="007E493E">
      <w:r w:rsidRPr="007E493E">
        <w:rPr>
          <w:i/>
        </w:rPr>
        <w:t>Sponsor’s response:</w:t>
      </w:r>
    </w:p>
    <w:p w14:paraId="5CA53172" w14:textId="2FB1C471" w:rsidR="007E493E" w:rsidRPr="007E493E" w:rsidRDefault="000046CE" w:rsidP="007E493E">
      <w:r>
        <w:t>The sponsor</w:t>
      </w:r>
      <w:r w:rsidRPr="007E493E">
        <w:t xml:space="preserve"> </w:t>
      </w:r>
      <w:r w:rsidR="007E493E" w:rsidRPr="007E493E">
        <w:t xml:space="preserve">acknowledges the above request from the evaluator. An updated table comparing the wording in the Australian PI and EU </w:t>
      </w:r>
      <w:proofErr w:type="spellStart"/>
      <w:r w:rsidR="007E493E" w:rsidRPr="007E493E">
        <w:t>SmPC</w:t>
      </w:r>
      <w:proofErr w:type="spellEnd"/>
      <w:r w:rsidR="007E493E" w:rsidRPr="007E493E">
        <w:t xml:space="preserve"> for all of the specified ongoing safety concerns and missing information, in line with the EU-RMP, can be included in the next application requiring submission of a RMP. The content of this table will be based on the most recent TGA approved Australian PI.</w:t>
      </w:r>
    </w:p>
    <w:p w14:paraId="4866CB9D" w14:textId="51C9FC11" w:rsidR="007E493E" w:rsidRPr="007E493E" w:rsidRDefault="007E493E" w:rsidP="007E493E">
      <w:pPr>
        <w:rPr>
          <w:i/>
        </w:rPr>
      </w:pPr>
      <w:r>
        <w:rPr>
          <w:i/>
        </w:rPr>
        <w:t xml:space="preserve">RMP </w:t>
      </w:r>
      <w:r w:rsidR="000046CE">
        <w:rPr>
          <w:i/>
        </w:rPr>
        <w:t>e</w:t>
      </w:r>
      <w:r>
        <w:rPr>
          <w:i/>
        </w:rPr>
        <w:t>valuator</w:t>
      </w:r>
      <w:r w:rsidR="000046CE">
        <w:rPr>
          <w:i/>
        </w:rPr>
        <w:t>’s</w:t>
      </w:r>
      <w:r>
        <w:rPr>
          <w:i/>
        </w:rPr>
        <w:t xml:space="preserve"> comment:</w:t>
      </w:r>
    </w:p>
    <w:p w14:paraId="2A9E20C6" w14:textId="4CB14349" w:rsidR="007E493E" w:rsidRPr="007E493E" w:rsidRDefault="007E493E" w:rsidP="007E493E">
      <w:r w:rsidRPr="007E493E">
        <w:t xml:space="preserve">The </w:t>
      </w:r>
      <w:r w:rsidR="00FC69C3">
        <w:t>sponsor</w:t>
      </w:r>
      <w:r w:rsidRPr="007E493E">
        <w:t>’s response is acceptable</w:t>
      </w:r>
      <w:r w:rsidR="000046CE">
        <w:t>.</w:t>
      </w:r>
    </w:p>
    <w:p w14:paraId="0F5C2480" w14:textId="4CD7E9EC" w:rsidR="007E493E" w:rsidRPr="007E493E" w:rsidRDefault="007E493E" w:rsidP="007E493E">
      <w:pPr>
        <w:pStyle w:val="Numberbullet0"/>
        <w:rPr>
          <w:i/>
        </w:rPr>
      </w:pPr>
      <w:r w:rsidRPr="007E493E">
        <w:rPr>
          <w:i/>
        </w:rPr>
        <w:t xml:space="preserve">Patients with impaired GI </w:t>
      </w:r>
      <w:proofErr w:type="gramStart"/>
      <w:r w:rsidRPr="007E493E">
        <w:rPr>
          <w:i/>
        </w:rPr>
        <w:t>function</w:t>
      </w:r>
      <w:proofErr w:type="gramEnd"/>
      <w:r w:rsidRPr="007E493E">
        <w:rPr>
          <w:i/>
        </w:rPr>
        <w:t xml:space="preserve"> (</w:t>
      </w:r>
      <w:r w:rsidR="000046CE">
        <w:rPr>
          <w:i/>
        </w:rPr>
        <w:t>o</w:t>
      </w:r>
      <w:r w:rsidR="000046CE" w:rsidRPr="007E493E">
        <w:rPr>
          <w:i/>
        </w:rPr>
        <w:t xml:space="preserve">ncology </w:t>
      </w:r>
      <w:r w:rsidRPr="007E493E">
        <w:rPr>
          <w:i/>
        </w:rPr>
        <w:t>setting only) remains in the ASA and the sponsor should remove this at the next updated version of the ASA.</w:t>
      </w:r>
    </w:p>
    <w:p w14:paraId="5CF0EA6F" w14:textId="77777777" w:rsidR="007E493E" w:rsidRPr="007E493E" w:rsidRDefault="007E493E" w:rsidP="007E493E">
      <w:pPr>
        <w:rPr>
          <w:i/>
        </w:rPr>
      </w:pPr>
      <w:r w:rsidRPr="007E493E">
        <w:rPr>
          <w:i/>
        </w:rPr>
        <w:t>Sponsor’s response:</w:t>
      </w:r>
    </w:p>
    <w:p w14:paraId="215E9D69" w14:textId="3855D9D3" w:rsidR="007E493E" w:rsidRDefault="000046CE" w:rsidP="007E493E">
      <w:r>
        <w:t xml:space="preserve">The sponsor </w:t>
      </w:r>
      <w:r w:rsidR="007E493E">
        <w:t xml:space="preserve">confirms </w:t>
      </w:r>
      <w:proofErr w:type="spellStart"/>
      <w:r w:rsidR="007E493E">
        <w:t>theASA</w:t>
      </w:r>
      <w:proofErr w:type="spellEnd"/>
      <w:r w:rsidR="007E493E">
        <w:t xml:space="preserve"> has been updated accordingly.</w:t>
      </w:r>
    </w:p>
    <w:p w14:paraId="45C98D00" w14:textId="50923FC7" w:rsidR="007E493E" w:rsidRPr="007E493E" w:rsidRDefault="007E493E" w:rsidP="00EB24AF">
      <w:pPr>
        <w:keepNext/>
        <w:rPr>
          <w:i/>
        </w:rPr>
      </w:pPr>
      <w:r>
        <w:rPr>
          <w:i/>
        </w:rPr>
        <w:lastRenderedPageBreak/>
        <w:t xml:space="preserve">RMP </w:t>
      </w:r>
      <w:r w:rsidR="000046CE">
        <w:rPr>
          <w:i/>
        </w:rPr>
        <w:t xml:space="preserve">evaluator’s </w:t>
      </w:r>
      <w:r>
        <w:rPr>
          <w:i/>
        </w:rPr>
        <w:t>comment:</w:t>
      </w:r>
    </w:p>
    <w:p w14:paraId="60331A41" w14:textId="77777777" w:rsidR="007E493E" w:rsidRPr="007E493E" w:rsidRDefault="007E493E" w:rsidP="007E493E">
      <w:r w:rsidRPr="007E493E">
        <w:t xml:space="preserve">The </w:t>
      </w:r>
      <w:r w:rsidR="00FC69C3">
        <w:t>sponsor</w:t>
      </w:r>
      <w:r w:rsidRPr="007E493E">
        <w:t xml:space="preserve"> has removed the above safety concern from the ASA.</w:t>
      </w:r>
    </w:p>
    <w:p w14:paraId="238326FA" w14:textId="77777777" w:rsidR="007E493E" w:rsidRPr="000E7A05" w:rsidRDefault="007E493E" w:rsidP="000E7A05">
      <w:pPr>
        <w:pStyle w:val="Numberbullet0"/>
        <w:rPr>
          <w:i/>
        </w:rPr>
      </w:pPr>
      <w:r w:rsidRPr="000E7A05">
        <w:rPr>
          <w:i/>
        </w:rPr>
        <w:t>It is noted that the intention to provide a leaflet regarding the preparation of a suspension of Afinitor from the dispersible tablets has been removed from the ASA. The sponsor should clarify how appropriate instructions for the preparation of the suspension will be provided to patients.</w:t>
      </w:r>
    </w:p>
    <w:p w14:paraId="797B05DB" w14:textId="77777777" w:rsidR="000E7A05" w:rsidRDefault="000E7A05" w:rsidP="000E7A05">
      <w:pPr>
        <w:rPr>
          <w:i/>
        </w:rPr>
      </w:pPr>
      <w:r w:rsidRPr="000E7A05">
        <w:rPr>
          <w:i/>
        </w:rPr>
        <w:t>Sponsor’s response:</w:t>
      </w:r>
    </w:p>
    <w:p w14:paraId="7F9C95DF" w14:textId="0E95B8D1" w:rsidR="000E7A05" w:rsidRPr="000E7A05" w:rsidRDefault="000E7A05" w:rsidP="000E7A05">
      <w:r w:rsidRPr="000E7A05">
        <w:t>During the evaluation of the application to register dispersible tablets as a new dosage form (subm</w:t>
      </w:r>
      <w:r w:rsidR="001D5C8D">
        <w:t>ission number PM-2012-01931-3-4</w:t>
      </w:r>
      <w:r w:rsidRPr="000E7A05">
        <w:t>), the TGA</w:t>
      </w:r>
      <w:r w:rsidR="000046CE">
        <w:t>’s</w:t>
      </w:r>
      <w:r w:rsidRPr="000E7A05">
        <w:t xml:space="preserve"> RMP </w:t>
      </w:r>
      <w:r w:rsidR="000046CE">
        <w:t>e</w:t>
      </w:r>
      <w:r w:rsidR="000046CE" w:rsidRPr="000E7A05">
        <w:t xml:space="preserve">valuator </w:t>
      </w:r>
      <w:r w:rsidRPr="000E7A05">
        <w:t xml:space="preserve">made the following recommendation to the </w:t>
      </w:r>
      <w:r w:rsidR="00F50ABF">
        <w:t>Delegate</w:t>
      </w:r>
      <w:r w:rsidRPr="000E7A05">
        <w:t xml:space="preserve"> in the </w:t>
      </w:r>
      <w:r w:rsidR="001D5C8D">
        <w:t>first</w:t>
      </w:r>
      <w:r w:rsidRPr="000E7A05">
        <w:t xml:space="preserve"> RMP evaluation report: ‘It is recommended to the </w:t>
      </w:r>
      <w:r w:rsidR="00F50ABF">
        <w:t>Delegate</w:t>
      </w:r>
      <w:r w:rsidRPr="000E7A05">
        <w:t xml:space="preserve"> that for the preparation of Afinitor dispersible tablets that the sponsor incorporates graphical representation of instructions into the consumer medicine information documents to help </w:t>
      </w:r>
      <w:r w:rsidR="000046CE" w:rsidRPr="000E7A05">
        <w:t>minimi</w:t>
      </w:r>
      <w:r w:rsidR="000046CE">
        <w:t>s</w:t>
      </w:r>
      <w:r w:rsidR="000046CE" w:rsidRPr="000E7A05">
        <w:t xml:space="preserve">e </w:t>
      </w:r>
      <w:r w:rsidRPr="000E7A05">
        <w:t>medication error (</w:t>
      </w:r>
      <w:r w:rsidR="001D5C8D">
        <w:t>for example;</w:t>
      </w:r>
      <w:r w:rsidRPr="000E7A05">
        <w:t xml:space="preserve"> see FDA Patient information leaflet).’</w:t>
      </w:r>
    </w:p>
    <w:p w14:paraId="352E7AD5" w14:textId="46B9500A" w:rsidR="000E7A05" w:rsidRPr="000E7A05" w:rsidRDefault="000E7A05" w:rsidP="000E7A05">
      <w:r w:rsidRPr="000E7A05">
        <w:t>In the response to questions, dated 3</w:t>
      </w:r>
      <w:r w:rsidR="000046CE">
        <w:t xml:space="preserve"> </w:t>
      </w:r>
      <w:r w:rsidRPr="000E7A05">
        <w:t xml:space="preserve">April 2013, </w:t>
      </w:r>
      <w:r w:rsidR="000046CE">
        <w:t>the sponsor</w:t>
      </w:r>
      <w:r w:rsidR="000046CE" w:rsidRPr="000E7A05">
        <w:t xml:space="preserve"> </w:t>
      </w:r>
      <w:r w:rsidRPr="000E7A05">
        <w:t xml:space="preserve">proposed to incorporate a leaflet in the Afinitor dispersible tablet packs of </w:t>
      </w:r>
      <w:r w:rsidR="00F50ABF">
        <w:t>‘</w:t>
      </w:r>
      <w:r w:rsidRPr="000E7A05">
        <w:t>How to prepare Afinitor suspension</w:t>
      </w:r>
      <w:r w:rsidR="00F50ABF">
        <w:t>’</w:t>
      </w:r>
      <w:r w:rsidRPr="000E7A05">
        <w:t>.</w:t>
      </w:r>
    </w:p>
    <w:p w14:paraId="532B09BB" w14:textId="4E4066C6" w:rsidR="000E7A05" w:rsidRPr="000E7A05" w:rsidRDefault="000E7A05" w:rsidP="000E7A05">
      <w:r w:rsidRPr="000E7A05">
        <w:t xml:space="preserve">Afinitor dispersible tablets are not currently available in Australia. </w:t>
      </w:r>
      <w:r w:rsidR="000046CE">
        <w:t>The sponsor</w:t>
      </w:r>
      <w:r w:rsidR="000046CE" w:rsidRPr="000E7A05">
        <w:t xml:space="preserve"> </w:t>
      </w:r>
      <w:r w:rsidRPr="000E7A05">
        <w:t>hereby provides an assurance that such leaflet will be included in the pack upon product launch in Australia. The proposed label is included. As this leaflet is an activity to support patients in the appropriate administration of Afinitor, and medication error is not an ongoing safety concern in the EU RMP/ASA, it is considered that this is an activity outside the RMP frame work. Consequently, reference to this leaflet has been removed from the ASA.</w:t>
      </w:r>
    </w:p>
    <w:p w14:paraId="3521284C" w14:textId="17B39D4A" w:rsidR="000E7A05" w:rsidRPr="000E7A05" w:rsidRDefault="000E7A05" w:rsidP="000E7A05">
      <w:pPr>
        <w:rPr>
          <w:i/>
        </w:rPr>
      </w:pPr>
      <w:r w:rsidRPr="000E7A05">
        <w:rPr>
          <w:i/>
        </w:rPr>
        <w:t xml:space="preserve">RMP </w:t>
      </w:r>
      <w:r w:rsidR="000046CE">
        <w:rPr>
          <w:i/>
        </w:rPr>
        <w:t>e</w:t>
      </w:r>
      <w:r w:rsidRPr="000E7A05">
        <w:rPr>
          <w:i/>
        </w:rPr>
        <w:t>valuator</w:t>
      </w:r>
      <w:r w:rsidR="000046CE">
        <w:rPr>
          <w:i/>
        </w:rPr>
        <w:t>’s</w:t>
      </w:r>
      <w:r w:rsidRPr="000E7A05">
        <w:rPr>
          <w:i/>
        </w:rPr>
        <w:t xml:space="preserve"> comment:</w:t>
      </w:r>
    </w:p>
    <w:p w14:paraId="5413AB86" w14:textId="77777777" w:rsidR="007E493E" w:rsidRPr="000E7A05" w:rsidRDefault="000E7A05" w:rsidP="000E7A05">
      <w:r w:rsidRPr="000E7A05">
        <w:t>The removal is acceptable as ‘Medication Error</w:t>
      </w:r>
      <w:r w:rsidR="00F50ABF">
        <w:t>’</w:t>
      </w:r>
      <w:r w:rsidRPr="000E7A05">
        <w:t xml:space="preserve"> is not listed as a safety concern, and the activity is considered a stated risk minimisation activity rather than an additional risk minimisation activity. The proposed leaflet is acceptable.</w:t>
      </w:r>
    </w:p>
    <w:p w14:paraId="11A80B33" w14:textId="77777777" w:rsidR="007E493E" w:rsidRPr="00526707" w:rsidRDefault="00DF0684" w:rsidP="00DF0684">
      <w:pPr>
        <w:pStyle w:val="Numberbullet0"/>
        <w:rPr>
          <w:i/>
        </w:rPr>
      </w:pPr>
      <w:r w:rsidRPr="00526707">
        <w:rPr>
          <w:i/>
        </w:rPr>
        <w:t xml:space="preserve">The sponsor should provide the proposed </w:t>
      </w:r>
      <w:proofErr w:type="spellStart"/>
      <w:r w:rsidRPr="00526707">
        <w:rPr>
          <w:i/>
        </w:rPr>
        <w:t>SmPC</w:t>
      </w:r>
      <w:proofErr w:type="spellEnd"/>
      <w:r w:rsidRPr="00526707">
        <w:rPr>
          <w:i/>
        </w:rPr>
        <w:t xml:space="preserve"> for TSC and the dispersible tablets</w:t>
      </w:r>
    </w:p>
    <w:p w14:paraId="76C25CFF" w14:textId="77777777" w:rsidR="00DF0684" w:rsidRPr="00DF0684" w:rsidRDefault="00DF0684" w:rsidP="00DF0684">
      <w:pPr>
        <w:rPr>
          <w:i/>
        </w:rPr>
      </w:pPr>
      <w:r w:rsidRPr="00DF0684">
        <w:rPr>
          <w:i/>
        </w:rPr>
        <w:t>Sponsor’s response:</w:t>
      </w:r>
    </w:p>
    <w:p w14:paraId="197688B1" w14:textId="3B6F2F50" w:rsidR="00DF0684" w:rsidRPr="00DF0684" w:rsidRDefault="00DF0684" w:rsidP="00DF0684">
      <w:r w:rsidRPr="00DF0684">
        <w:t>In Europe, everolimus dispersible tablets for the treatment of ‘Refractory seizures associated with tuberous sclerosis complex (TSC)’ are registered under the trade</w:t>
      </w:r>
      <w:r w:rsidR="000046CE">
        <w:t xml:space="preserve"> </w:t>
      </w:r>
      <w:r w:rsidRPr="00DF0684">
        <w:t xml:space="preserve">name </w:t>
      </w:r>
      <w:proofErr w:type="spellStart"/>
      <w:r w:rsidRPr="00DF0684">
        <w:t>Votubia</w:t>
      </w:r>
      <w:proofErr w:type="spellEnd"/>
      <w:r w:rsidRPr="00DF0684">
        <w:t xml:space="preserve">. The approved EU </w:t>
      </w:r>
      <w:proofErr w:type="spellStart"/>
      <w:r w:rsidRPr="00DF0684">
        <w:t>SmPC</w:t>
      </w:r>
      <w:proofErr w:type="spellEnd"/>
      <w:r w:rsidRPr="00DF0684">
        <w:t xml:space="preserve"> for </w:t>
      </w:r>
      <w:proofErr w:type="spellStart"/>
      <w:r w:rsidRPr="00DF0684">
        <w:t>Votubia</w:t>
      </w:r>
      <w:proofErr w:type="spellEnd"/>
      <w:r w:rsidRPr="00DF0684">
        <w:t xml:space="preserve"> </w:t>
      </w:r>
      <w:r>
        <w:t>dispersible tablets is provided.</w:t>
      </w:r>
    </w:p>
    <w:p w14:paraId="7366B10F" w14:textId="60A5CDD0" w:rsidR="00DF0684" w:rsidRPr="00DF0684" w:rsidRDefault="00DF0684" w:rsidP="00DF0684">
      <w:pPr>
        <w:rPr>
          <w:i/>
        </w:rPr>
      </w:pPr>
      <w:r w:rsidRPr="00DF0684">
        <w:rPr>
          <w:i/>
        </w:rPr>
        <w:t xml:space="preserve">RMP </w:t>
      </w:r>
      <w:r w:rsidR="000046CE">
        <w:rPr>
          <w:i/>
        </w:rPr>
        <w:t>e</w:t>
      </w:r>
      <w:r w:rsidR="000046CE" w:rsidRPr="00DF0684">
        <w:rPr>
          <w:i/>
        </w:rPr>
        <w:t>valuator</w:t>
      </w:r>
      <w:r w:rsidR="000046CE">
        <w:rPr>
          <w:i/>
        </w:rPr>
        <w:t>’s</w:t>
      </w:r>
      <w:r w:rsidR="000046CE" w:rsidRPr="00DF0684">
        <w:rPr>
          <w:i/>
        </w:rPr>
        <w:t xml:space="preserve"> </w:t>
      </w:r>
      <w:r w:rsidRPr="00DF0684">
        <w:rPr>
          <w:i/>
        </w:rPr>
        <w:t>comment</w:t>
      </w:r>
      <w:r>
        <w:rPr>
          <w:i/>
        </w:rPr>
        <w:t>:</w:t>
      </w:r>
    </w:p>
    <w:p w14:paraId="45A38695" w14:textId="77777777" w:rsidR="00DF0684" w:rsidRPr="007E493E" w:rsidRDefault="00DF0684" w:rsidP="007E493E">
      <w:r w:rsidRPr="00DF0684">
        <w:t xml:space="preserve">The EU </w:t>
      </w:r>
      <w:proofErr w:type="spellStart"/>
      <w:r w:rsidRPr="00DF0684">
        <w:t>SmPC</w:t>
      </w:r>
      <w:proofErr w:type="spellEnd"/>
      <w:r w:rsidRPr="00DF0684">
        <w:t xml:space="preserve"> has been supplied. No further action is required.</w:t>
      </w:r>
    </w:p>
    <w:p w14:paraId="2D6EDEF7" w14:textId="77777777" w:rsidR="008E7846" w:rsidRDefault="00AA0ED0" w:rsidP="008E7846">
      <w:pPr>
        <w:pStyle w:val="Heading3"/>
      </w:pPr>
      <w:bookmarkStart w:id="189" w:name="_Toc1555424"/>
      <w:r>
        <w:t>Risk-benefit a</w:t>
      </w:r>
      <w:r w:rsidR="008E7846">
        <w:t>nalysis</w:t>
      </w:r>
      <w:bookmarkEnd w:id="183"/>
      <w:bookmarkEnd w:id="184"/>
      <w:bookmarkEnd w:id="189"/>
    </w:p>
    <w:p w14:paraId="116C8599" w14:textId="77777777" w:rsidR="00D23139" w:rsidRDefault="00F50ABF" w:rsidP="00D23139">
      <w:pPr>
        <w:pStyle w:val="Heading4"/>
      </w:pPr>
      <w:r>
        <w:t>Delegate</w:t>
      </w:r>
      <w:r w:rsidR="00DF0684">
        <w:t>’s considerations</w:t>
      </w:r>
    </w:p>
    <w:p w14:paraId="0B4DE639" w14:textId="77777777" w:rsidR="00F50ABF" w:rsidRDefault="00DF0684" w:rsidP="00DF0684">
      <w:r w:rsidRPr="00DF0684">
        <w:t xml:space="preserve">All the three evaluators raised no objection to the approvability of </w:t>
      </w:r>
      <w:r w:rsidR="00FC69C3">
        <w:t>everolimus</w:t>
      </w:r>
      <w:r w:rsidR="00F50ABF">
        <w:t>.</w:t>
      </w:r>
    </w:p>
    <w:p w14:paraId="4685CF8E" w14:textId="77777777" w:rsidR="003D7F9D" w:rsidRDefault="00DF0684" w:rsidP="00DF0684">
      <w:r w:rsidRPr="00DF0684">
        <w:t xml:space="preserve">The </w:t>
      </w:r>
      <w:r w:rsidR="003D7F9D">
        <w:t>clinical evaluator</w:t>
      </w:r>
      <w:r w:rsidR="003D7F9D" w:rsidRPr="00DF0684">
        <w:t>’s</w:t>
      </w:r>
      <w:r w:rsidRPr="00DF0684">
        <w:t xml:space="preserve"> non-objection was subject to the sponsor’s </w:t>
      </w:r>
      <w:r w:rsidR="003D7F9D">
        <w:t xml:space="preserve">draft </w:t>
      </w:r>
      <w:r w:rsidRPr="00DF0684">
        <w:t xml:space="preserve">PI being acceptable to the TGA and to the sponsor, accepting the modified proposed </w:t>
      </w:r>
      <w:r w:rsidR="003D7F9D">
        <w:t>indication</w:t>
      </w:r>
      <w:r w:rsidRPr="00DF0684">
        <w:t xml:space="preserve"> from</w:t>
      </w:r>
      <w:r w:rsidR="003D7F9D">
        <w:t>:</w:t>
      </w:r>
    </w:p>
    <w:p w14:paraId="167852EE" w14:textId="77777777" w:rsidR="003D7F9D" w:rsidRPr="003D7F9D" w:rsidRDefault="00F50ABF" w:rsidP="00846C81">
      <w:pPr>
        <w:ind w:left="567"/>
        <w:rPr>
          <w:i/>
        </w:rPr>
      </w:pPr>
      <w:r>
        <w:rPr>
          <w:i/>
        </w:rPr>
        <w:t>‘</w:t>
      </w:r>
      <w:r w:rsidR="00DF0684" w:rsidRPr="003D7F9D">
        <w:rPr>
          <w:i/>
        </w:rPr>
        <w:t>Afinitor is indicated for the Adjunctive treatment of patients aged 2years and older with TSC and refractory seizures</w:t>
      </w:r>
      <w:r>
        <w:rPr>
          <w:i/>
        </w:rPr>
        <w:t>’</w:t>
      </w:r>
    </w:p>
    <w:p w14:paraId="21122DDC" w14:textId="425BD033" w:rsidR="003D7F9D" w:rsidRDefault="000046CE" w:rsidP="00DF0684">
      <w:proofErr w:type="gramStart"/>
      <w:r>
        <w:t>t</w:t>
      </w:r>
      <w:r w:rsidRPr="00DF0684">
        <w:t>o</w:t>
      </w:r>
      <w:proofErr w:type="gramEnd"/>
      <w:r w:rsidR="003D7F9D">
        <w:t>:</w:t>
      </w:r>
    </w:p>
    <w:p w14:paraId="517609A4" w14:textId="77777777" w:rsidR="00F50ABF" w:rsidRDefault="00F50ABF" w:rsidP="00846C81">
      <w:pPr>
        <w:ind w:left="567"/>
        <w:rPr>
          <w:i/>
        </w:rPr>
      </w:pPr>
      <w:r>
        <w:rPr>
          <w:i/>
        </w:rPr>
        <w:lastRenderedPageBreak/>
        <w:t>‘</w:t>
      </w:r>
      <w:r w:rsidR="00DF0684" w:rsidRPr="003D7F9D">
        <w:rPr>
          <w:i/>
        </w:rPr>
        <w:t>Afinitor is indicated for the Adjunctive treatment of patients aged 2 years and older with TSC and associated refractory seizures</w:t>
      </w:r>
      <w:r>
        <w:rPr>
          <w:i/>
        </w:rPr>
        <w:t>’.</w:t>
      </w:r>
    </w:p>
    <w:p w14:paraId="385CC5AD" w14:textId="65CE45A0" w:rsidR="00DF0684" w:rsidRPr="00DF0684" w:rsidRDefault="001D5C8D" w:rsidP="00DF0684">
      <w:r>
        <w:t>T</w:t>
      </w:r>
      <w:r w:rsidR="00DF0684" w:rsidRPr="00DF0684">
        <w:t>he</w:t>
      </w:r>
      <w:r w:rsidR="00C50702">
        <w:t xml:space="preserve"> </w:t>
      </w:r>
      <w:r w:rsidR="00DF0684" w:rsidRPr="00DF0684">
        <w:t xml:space="preserve">sponsor has accepted the </w:t>
      </w:r>
      <w:r w:rsidR="003D7F9D">
        <w:t>clinical evaluator’s</w:t>
      </w:r>
      <w:r w:rsidR="00DF0684" w:rsidRPr="00DF0684">
        <w:t xml:space="preserve"> modification to its proposed indication.</w:t>
      </w:r>
    </w:p>
    <w:p w14:paraId="5A18434E" w14:textId="77777777" w:rsidR="00DF0684" w:rsidRPr="00DF0684" w:rsidRDefault="003D7F9D" w:rsidP="00DF0684">
      <w:r>
        <w:t xml:space="preserve">The </w:t>
      </w:r>
      <w:r w:rsidR="00F50ABF">
        <w:t>Delegate</w:t>
      </w:r>
      <w:r w:rsidR="00DF0684" w:rsidRPr="00DF0684">
        <w:t xml:space="preserve"> also agrees with the </w:t>
      </w:r>
      <w:r>
        <w:t>clinical evaluator’s</w:t>
      </w:r>
      <w:r w:rsidR="00DF0684" w:rsidRPr="00DF0684">
        <w:t xml:space="preserve"> slight modification to the sponsor’s proposed EOI. The </w:t>
      </w:r>
      <w:r w:rsidR="00F50ABF">
        <w:t>Delegate</w:t>
      </w:r>
      <w:r w:rsidR="00DF0684" w:rsidRPr="00DF0684">
        <w:t xml:space="preserve"> is of the opinion that the latter is approvable as it will fulfil an area of unmet medical need for difficult to manage seizures associated with TSC, especially in children.</w:t>
      </w:r>
    </w:p>
    <w:p w14:paraId="6FDAEFC9" w14:textId="77777777" w:rsidR="00F50ABF" w:rsidRDefault="00DF0684" w:rsidP="00DF0684">
      <w:r w:rsidRPr="00DF0684">
        <w:t xml:space="preserve">The sponsor has also accepted and incorporated the </w:t>
      </w:r>
      <w:r w:rsidR="003D7F9D">
        <w:t>nonclinical</w:t>
      </w:r>
      <w:r w:rsidRPr="00DF0684">
        <w:t xml:space="preserve"> recommended modifications to the </w:t>
      </w:r>
      <w:r w:rsidR="003D7F9D">
        <w:t xml:space="preserve">draft </w:t>
      </w:r>
      <w:r w:rsidRPr="00DF0684">
        <w:t>PI</w:t>
      </w:r>
      <w:r w:rsidR="00F50ABF">
        <w:t>.</w:t>
      </w:r>
    </w:p>
    <w:p w14:paraId="3D2DD3CD" w14:textId="77777777" w:rsidR="00456765" w:rsidRPr="00456765" w:rsidRDefault="00DF0684" w:rsidP="00456765">
      <w:r w:rsidRPr="00DF0684">
        <w:t xml:space="preserve">The </w:t>
      </w:r>
      <w:r w:rsidR="003D7F9D">
        <w:t>clinical evaluator</w:t>
      </w:r>
      <w:r w:rsidRPr="00DF0684">
        <w:t xml:space="preserve"> stated that there appeared to be no major difference from the previous safety experience</w:t>
      </w:r>
      <w:r w:rsidR="003D7F9D">
        <w:t xml:space="preserve"> of </w:t>
      </w:r>
      <w:r w:rsidR="00FC69C3">
        <w:t>everolimus</w:t>
      </w:r>
      <w:r w:rsidR="003D7F9D">
        <w:t xml:space="preserve"> in TSC patients.</w:t>
      </w:r>
    </w:p>
    <w:p w14:paraId="22233AF6" w14:textId="77777777" w:rsidR="00D23139" w:rsidRDefault="00D23139" w:rsidP="00D23139">
      <w:pPr>
        <w:pStyle w:val="Heading4"/>
      </w:pPr>
      <w:r w:rsidRPr="00D23139">
        <w:t>Proposed action</w:t>
      </w:r>
    </w:p>
    <w:p w14:paraId="3C99C0E4" w14:textId="77777777" w:rsidR="00456765" w:rsidRPr="00456765" w:rsidRDefault="003D7F9D" w:rsidP="00456765">
      <w:r w:rsidRPr="00DF0684">
        <w:t xml:space="preserve">Based on the available evidence from the evaluated submitted data, </w:t>
      </w:r>
      <w:r w:rsidR="00F50ABF">
        <w:t>the Delegate was</w:t>
      </w:r>
      <w:r w:rsidRPr="00DF0684">
        <w:t xml:space="preserve"> inclined at this stage to favour the approval of the application subject to resolving issues, arising from the ACM deliberations and finalising matters pertaining to the d</w:t>
      </w:r>
      <w:r w:rsidR="001D5C8D">
        <w:t xml:space="preserve">raft </w:t>
      </w:r>
      <w:r w:rsidRPr="00DF0684">
        <w:t>PI, to the satisfaction of the TGA.</w:t>
      </w:r>
    </w:p>
    <w:p w14:paraId="7189B647" w14:textId="0EC19F81" w:rsidR="00D23139" w:rsidRDefault="00D23139" w:rsidP="00D23139">
      <w:pPr>
        <w:pStyle w:val="Heading4"/>
      </w:pPr>
      <w:r w:rsidRPr="00D23139">
        <w:t>Request for ACM advice</w:t>
      </w:r>
    </w:p>
    <w:p w14:paraId="7A04B08F" w14:textId="0D000D6C" w:rsidR="000046CE" w:rsidRPr="000046CE" w:rsidRDefault="000046CE" w:rsidP="00526707">
      <w:r>
        <w:t>The Delegate requested the ACM advi</w:t>
      </w:r>
      <w:r w:rsidR="00526707">
        <w:t>c</w:t>
      </w:r>
      <w:r>
        <w:t>e on the following issues:</w:t>
      </w:r>
    </w:p>
    <w:p w14:paraId="4B22BEA0" w14:textId="77777777" w:rsidR="003D7F9D" w:rsidRPr="00DF0684" w:rsidRDefault="003D7F9D" w:rsidP="00F50ABF">
      <w:pPr>
        <w:pStyle w:val="Numberbullet0"/>
        <w:numPr>
          <w:ilvl w:val="0"/>
          <w:numId w:val="14"/>
        </w:numPr>
      </w:pPr>
      <w:r w:rsidRPr="00DF0684">
        <w:t xml:space="preserve">Consideration and acceptability by the committee </w:t>
      </w:r>
      <w:r>
        <w:t xml:space="preserve">of the slight </w:t>
      </w:r>
      <w:r w:rsidR="0089632C">
        <w:t>modification</w:t>
      </w:r>
      <w:r w:rsidRPr="00DF0684">
        <w:t xml:space="preserve"> to the sponsor’s proposed indication</w:t>
      </w:r>
      <w:r w:rsidR="001D5C8D">
        <w:t>.</w:t>
      </w:r>
    </w:p>
    <w:p w14:paraId="0EF7CB48" w14:textId="77777777" w:rsidR="003D7F9D" w:rsidRPr="00DF0684" w:rsidRDefault="003D7F9D" w:rsidP="00F50ABF">
      <w:pPr>
        <w:pStyle w:val="Numberbullet0"/>
        <w:numPr>
          <w:ilvl w:val="0"/>
          <w:numId w:val="14"/>
        </w:numPr>
      </w:pPr>
      <w:r w:rsidRPr="00DF0684">
        <w:t xml:space="preserve">Approvability of the Type C component of the </w:t>
      </w:r>
      <w:r>
        <w:t>application</w:t>
      </w:r>
      <w:r w:rsidR="001D5C8D">
        <w:t>.</w:t>
      </w:r>
    </w:p>
    <w:p w14:paraId="533E43C0" w14:textId="560F951E" w:rsidR="00456765" w:rsidRPr="00456765" w:rsidRDefault="000046CE" w:rsidP="00456765">
      <w:r>
        <w:t>The Delegate also r</w:t>
      </w:r>
      <w:r w:rsidR="003D7F9D" w:rsidRPr="00DF0684">
        <w:t>equest</w:t>
      </w:r>
      <w:r>
        <w:t>ed</w:t>
      </w:r>
      <w:r w:rsidR="003D7F9D" w:rsidRPr="00DF0684">
        <w:t xml:space="preserve"> for the committee to provide advice on any other issues, that it</w:t>
      </w:r>
      <w:r w:rsidR="00F50ABF">
        <w:t xml:space="preserve"> </w:t>
      </w:r>
      <w:r w:rsidR="003D7F9D" w:rsidRPr="00DF0684">
        <w:t>thinks may be relevant to a decision on whether or not to approve this application</w:t>
      </w:r>
    </w:p>
    <w:p w14:paraId="16B9F83E" w14:textId="77777777" w:rsidR="00D23139" w:rsidRDefault="00456765" w:rsidP="00D23139">
      <w:pPr>
        <w:pStyle w:val="Heading4"/>
      </w:pPr>
      <w:r>
        <w:t xml:space="preserve">Response from </w:t>
      </w:r>
      <w:r w:rsidR="00FC69C3">
        <w:t>sponsor</w:t>
      </w:r>
    </w:p>
    <w:p w14:paraId="77750DAE" w14:textId="2ED8722C" w:rsidR="00F50ABF" w:rsidRDefault="000046CE" w:rsidP="00C9173F">
      <w:r>
        <w:t>The sponsor</w:t>
      </w:r>
      <w:r w:rsidRPr="00C9173F">
        <w:t xml:space="preserve"> </w:t>
      </w:r>
      <w:r w:rsidR="00C9173F" w:rsidRPr="00C9173F">
        <w:t xml:space="preserve">welcomes the TGA </w:t>
      </w:r>
      <w:r w:rsidR="00F50ABF">
        <w:t>Delegate</w:t>
      </w:r>
      <w:r w:rsidR="00C9173F" w:rsidRPr="00C9173F">
        <w:t xml:space="preserve">, </w:t>
      </w:r>
      <w:r w:rsidR="00F50ABF">
        <w:t>RMP</w:t>
      </w:r>
      <w:r w:rsidR="00C9173F" w:rsidRPr="00C9173F">
        <w:t xml:space="preserve">, </w:t>
      </w:r>
      <w:r w:rsidR="00F50ABF" w:rsidRPr="00C9173F">
        <w:t xml:space="preserve">nonclinical and clinical evaluator’s </w:t>
      </w:r>
      <w:r w:rsidR="00C9173F" w:rsidRPr="00C9173F">
        <w:t>recommendation to extend the use of everolimus for the treatment of tuberous sclerosis complex (TSC) with associated refractory seizures</w:t>
      </w:r>
      <w:r w:rsidR="00F50ABF">
        <w:t>.</w:t>
      </w:r>
    </w:p>
    <w:p w14:paraId="609ABE06" w14:textId="72E7E44F" w:rsidR="00F50ABF" w:rsidRDefault="000046CE" w:rsidP="00C9173F">
      <w:r>
        <w:t>The sponsor</w:t>
      </w:r>
      <w:r w:rsidRPr="00C9173F">
        <w:t xml:space="preserve"> </w:t>
      </w:r>
      <w:r w:rsidR="00C9173F" w:rsidRPr="00C9173F">
        <w:t xml:space="preserve">brings to the attention of the </w:t>
      </w:r>
      <w:r w:rsidR="001D5C8D">
        <w:t>ACM</w:t>
      </w:r>
      <w:r w:rsidR="00C9173F" w:rsidRPr="00C9173F">
        <w:t xml:space="preserve"> that an alternative wording of the indication was recommended as part of the </w:t>
      </w:r>
      <w:r w:rsidR="001D5C8D" w:rsidRPr="00C9173F">
        <w:t xml:space="preserve">clinical evaluation report </w:t>
      </w:r>
      <w:r w:rsidR="00C9173F" w:rsidRPr="00C9173F">
        <w:t xml:space="preserve">(CER) dated 14 March 2017. </w:t>
      </w:r>
      <w:r>
        <w:t>The sponsor</w:t>
      </w:r>
      <w:r w:rsidRPr="00C9173F">
        <w:t xml:space="preserve"> </w:t>
      </w:r>
      <w:r w:rsidR="00C9173F" w:rsidRPr="00C9173F">
        <w:t>accepts the proposed wording. The amended proposed indication for ACM consideration is</w:t>
      </w:r>
      <w:r w:rsidR="00F50ABF">
        <w:t>:</w:t>
      </w:r>
    </w:p>
    <w:p w14:paraId="2B78E916" w14:textId="77777777" w:rsidR="00C9173F" w:rsidRPr="00C9173F" w:rsidRDefault="00F50ABF" w:rsidP="007222AF">
      <w:pPr>
        <w:ind w:left="567"/>
      </w:pPr>
      <w:r>
        <w:t>‘</w:t>
      </w:r>
      <w:r w:rsidR="00C9173F" w:rsidRPr="001F19D9">
        <w:rPr>
          <w:i/>
        </w:rPr>
        <w:t>Afinitor is indicated for the Adjunctive treatment of patients aged 2 years and older with TSC and associated refractory seizures</w:t>
      </w:r>
      <w:r>
        <w:t>’</w:t>
      </w:r>
    </w:p>
    <w:p w14:paraId="5892C2F6" w14:textId="77777777" w:rsidR="00C9173F" w:rsidRPr="00C9173F" w:rsidRDefault="00C9173F" w:rsidP="00C9173F">
      <w:r w:rsidRPr="00C9173F">
        <w:t xml:space="preserve">The </w:t>
      </w:r>
      <w:r w:rsidR="00F50ABF">
        <w:t>Delegate</w:t>
      </w:r>
      <w:r w:rsidRPr="00C9173F">
        <w:t xml:space="preserve"> has sought the ACM’s advice on two specific issues relating to this application. Novartis will take this opportunity to present below our responses on each of these specific issues for consideration by the ACM.</w:t>
      </w:r>
    </w:p>
    <w:p w14:paraId="114E4CA2" w14:textId="08E093E2" w:rsidR="00C9173F" w:rsidRPr="00C9173F" w:rsidRDefault="00C9173F" w:rsidP="001F19D9">
      <w:pPr>
        <w:pStyle w:val="Heading5"/>
        <w:rPr>
          <w:rFonts w:eastAsiaTheme="minorHAnsi"/>
        </w:rPr>
      </w:pPr>
      <w:r w:rsidRPr="00C9173F">
        <w:rPr>
          <w:rFonts w:eastAsiaTheme="minorHAnsi"/>
        </w:rPr>
        <w:t xml:space="preserve">ACM </w:t>
      </w:r>
      <w:r w:rsidR="000046CE">
        <w:rPr>
          <w:rFonts w:eastAsiaTheme="minorHAnsi"/>
        </w:rPr>
        <w:t xml:space="preserve">advice sought </w:t>
      </w:r>
      <w:r w:rsidR="00F50ABF">
        <w:rPr>
          <w:rFonts w:eastAsiaTheme="minorHAnsi"/>
        </w:rPr>
        <w:t xml:space="preserve">on </w:t>
      </w:r>
      <w:r w:rsidR="000046CE">
        <w:rPr>
          <w:rFonts w:eastAsiaTheme="minorHAnsi"/>
        </w:rPr>
        <w:t>specific i</w:t>
      </w:r>
      <w:r w:rsidR="00F50ABF">
        <w:rPr>
          <w:rFonts w:eastAsiaTheme="minorHAnsi"/>
        </w:rPr>
        <w:t>ssues</w:t>
      </w:r>
    </w:p>
    <w:p w14:paraId="03DEA099" w14:textId="77777777" w:rsidR="00C9173F" w:rsidRPr="001F19D9" w:rsidRDefault="00C9173F" w:rsidP="001F19D9">
      <w:pPr>
        <w:pStyle w:val="Numberbullet0"/>
        <w:numPr>
          <w:ilvl w:val="0"/>
          <w:numId w:val="11"/>
        </w:numPr>
        <w:rPr>
          <w:b/>
          <w:i/>
        </w:rPr>
      </w:pPr>
      <w:r w:rsidRPr="001F19D9">
        <w:rPr>
          <w:b/>
          <w:i/>
        </w:rPr>
        <w:t>Approvability of the Type</w:t>
      </w:r>
      <w:r w:rsidR="00F50ABF">
        <w:rPr>
          <w:b/>
          <w:i/>
        </w:rPr>
        <w:t xml:space="preserve"> C component of the application</w:t>
      </w:r>
    </w:p>
    <w:p w14:paraId="0EC3B479" w14:textId="2A95FA14" w:rsidR="00F50ABF" w:rsidRDefault="00C9173F" w:rsidP="00C9173F">
      <w:r w:rsidRPr="00C9173F">
        <w:t xml:space="preserve">With this application, </w:t>
      </w:r>
      <w:r w:rsidR="000046CE">
        <w:t>the sponsor</w:t>
      </w:r>
      <w:r w:rsidR="000046CE" w:rsidRPr="00C9173F">
        <w:t xml:space="preserve"> </w:t>
      </w:r>
      <w:r w:rsidRPr="00C9173F">
        <w:t xml:space="preserve">wishes to extend the indications of everolimus for the treatment of refractory </w:t>
      </w:r>
      <w:r w:rsidR="00F50ABF">
        <w:t>TSC associated</w:t>
      </w:r>
      <w:r w:rsidRPr="00C9173F">
        <w:t xml:space="preserve"> seizures</w:t>
      </w:r>
      <w:r w:rsidR="00F50ABF">
        <w:t>.</w:t>
      </w:r>
    </w:p>
    <w:p w14:paraId="04EF43DA" w14:textId="77777777" w:rsidR="00F50ABF" w:rsidRDefault="00C9173F" w:rsidP="00C9173F">
      <w:r w:rsidRPr="00C9173F">
        <w:t>TSC is a potentially devastating disorder with a prevalence approaching 1 in 6</w:t>
      </w:r>
      <w:r w:rsidR="00F50ABF">
        <w:t>,</w:t>
      </w:r>
      <w:r w:rsidRPr="00C9173F">
        <w:t xml:space="preserve">000 live births. In Australia, TSC was granted orphan status on 30 March 2012. Worldwide, </w:t>
      </w:r>
      <w:r w:rsidRPr="00C9173F">
        <w:lastRenderedPageBreak/>
        <w:t>approximately 1 million people are known to be affected by TSC and up to 90% of these individuals suffer from epilepsy. It should be noted that multiple seizure types are observed in most TSC patients and that the onset of seizures typically occurs in the first year of life (with 82% before 3 years of age). Adults remain nonetheless at risk and up to 12% of adult patients with TSC develop epilepsy, indicating that TSC patients are at an increased risk of epilepsy throughout their lifetime. Seizures experienced by patients with TSC may be more refractory than those experienced by patients with other genetic or pathological conditions associated with their seizures. Patients with seizure onset before the age of 4 years, particularly when the seizures are frequent or refractory, have a substantially increased risk of subsequent mental retardation or autism</w:t>
      </w:r>
      <w:r w:rsidR="00F50ABF">
        <w:t>.</w:t>
      </w:r>
    </w:p>
    <w:p w14:paraId="6A0AB704" w14:textId="77777777" w:rsidR="00F50ABF" w:rsidRDefault="00C9173F" w:rsidP="00C9173F">
      <w:r w:rsidRPr="00C9173F">
        <w:t>In many cases seizures in patients with TSC (</w:t>
      </w:r>
      <w:r w:rsidR="00F50ABF">
        <w:t xml:space="preserve">‘TSC </w:t>
      </w:r>
      <w:r w:rsidRPr="00C9173F">
        <w:t>seizures</w:t>
      </w:r>
      <w:r w:rsidR="00F50ABF">
        <w:t>’</w:t>
      </w:r>
      <w:r w:rsidRPr="00C9173F">
        <w:t xml:space="preserve">) may be controlled by medication such as antiepileptic drugs (AEDs) or methods such as epilepsy surgery, vagal nerve stimulator or ketogenic diet. The published literature indicates that </w:t>
      </w:r>
      <w:r w:rsidR="001D5C8D">
        <w:t>TSC seizures</w:t>
      </w:r>
      <w:r w:rsidRPr="00C9173F">
        <w:t xml:space="preserve"> may respond to one of several AEDs approved for</w:t>
      </w:r>
      <w:r w:rsidR="00F50ABF">
        <w:t xml:space="preserve"> </w:t>
      </w:r>
      <w:r w:rsidRPr="00C9173F">
        <w:t>the treatment of partial seizures (</w:t>
      </w:r>
      <w:proofErr w:type="spellStart"/>
      <w:r w:rsidRPr="00C9173F">
        <w:t>topiramate</w:t>
      </w:r>
      <w:proofErr w:type="spellEnd"/>
      <w:r w:rsidRPr="00C9173F">
        <w:t xml:space="preserve">, lamotrigine, </w:t>
      </w:r>
      <w:proofErr w:type="spellStart"/>
      <w:r w:rsidRPr="00C9173F">
        <w:t>levetiracetam</w:t>
      </w:r>
      <w:proofErr w:type="spellEnd"/>
      <w:r w:rsidRPr="00C9173F">
        <w:t xml:space="preserve">, oxcarbazepine, and </w:t>
      </w:r>
      <w:proofErr w:type="spellStart"/>
      <w:r w:rsidRPr="00C9173F">
        <w:t>clobazam</w:t>
      </w:r>
      <w:proofErr w:type="spellEnd"/>
      <w:r w:rsidRPr="00C9173F">
        <w:t xml:space="preserve">), however these AEDs do not distinguish among different seizure aetiologies. There is no consensus on the most effective AED in TSC, except for </w:t>
      </w:r>
      <w:proofErr w:type="spellStart"/>
      <w:r w:rsidRPr="00C9173F">
        <w:t>vigabatrin</w:t>
      </w:r>
      <w:proofErr w:type="spellEnd"/>
      <w:r w:rsidRPr="00C9173F">
        <w:t xml:space="preserve"> in infantile spasms. Moreover, seizures associated with TSC are poorly controlled by AEDs or epilepsy surgery, vagal nerve stimulation (VNS) or ketogenic diet and up to 60% of patients with TSC associated epilepsy fail to demonstrate improvement in seizure frequency with available therapies. No approved AEDs target </w:t>
      </w:r>
      <w:proofErr w:type="spellStart"/>
      <w:r w:rsidRPr="00C9173F">
        <w:t>mTOR</w:t>
      </w:r>
      <w:proofErr w:type="spellEnd"/>
      <w:r w:rsidRPr="00C9173F">
        <w:t xml:space="preserve"> pathway as a means of addressing the underlying disease causing seizures (</w:t>
      </w:r>
      <w:proofErr w:type="spellStart"/>
      <w:r w:rsidRPr="00C9173F">
        <w:t>mTOR</w:t>
      </w:r>
      <w:proofErr w:type="spellEnd"/>
      <w:r w:rsidRPr="00C9173F">
        <w:t xml:space="preserve"> hyperactivity as a result of TSC1/2 mutations and being a mechanism to TSC). A treatment that manages seizures by modifying the unique pathophysiology of TSC (multifocal </w:t>
      </w:r>
      <w:proofErr w:type="spellStart"/>
      <w:r w:rsidRPr="00C9173F">
        <w:t>mTOR</w:t>
      </w:r>
      <w:proofErr w:type="spellEnd"/>
      <w:r w:rsidRPr="00C9173F">
        <w:t xml:space="preserve"> activation) therefore addresses an unmet medical need in this rare disease population</w:t>
      </w:r>
      <w:r w:rsidR="00F50ABF">
        <w:t>.</w:t>
      </w:r>
    </w:p>
    <w:p w14:paraId="381C16D4" w14:textId="7CD89EE7" w:rsidR="00F50ABF" w:rsidRDefault="00C9173F" w:rsidP="00C9173F">
      <w:r w:rsidRPr="00C9173F">
        <w:t xml:space="preserve">To support the proposed indication of everolimus for the adjunctive treatment of patients with refractory </w:t>
      </w:r>
      <w:r w:rsidR="00F50ABF">
        <w:t>TSC associated</w:t>
      </w:r>
      <w:r w:rsidRPr="00C9173F">
        <w:t xml:space="preserve"> seizures, Study M2304 was conducted taking into consideration relevant current guidelines and guidance from the </w:t>
      </w:r>
      <w:r w:rsidR="001D5C8D">
        <w:t>ICH on</w:t>
      </w:r>
      <w:r w:rsidRPr="00C9173F">
        <w:t xml:space="preserve"> technical requirements for registration of pharmaceuticals for human use (ICH), from the EMA Committee for Medical Products for Human use (CHMP), and from the US Food and Drug Administration (FDA). The study was a </w:t>
      </w:r>
      <w:r w:rsidR="00F50ABF">
        <w:t>double blind</w:t>
      </w:r>
      <w:r w:rsidRPr="00C9173F">
        <w:t xml:space="preserve">, randomised, multicentre, Phase III trial evaluating the efficacy and safety of everolimus in patients (1 to 65 years in Europe, and 2 to 65 years for the rest of the world) who have refractory </w:t>
      </w:r>
      <w:r w:rsidR="001D5C8D">
        <w:t>TSC seizures</w:t>
      </w:r>
      <w:r w:rsidRPr="00C9173F">
        <w:t xml:space="preserve">. </w:t>
      </w:r>
      <w:r w:rsidR="000046CE">
        <w:t>366 patients</w:t>
      </w:r>
      <w:r w:rsidRPr="00C9173F">
        <w:t xml:space="preserve"> with clinically confirmed refractory TSC seizures were randomised to everolimus through target of </w:t>
      </w:r>
      <w:r w:rsidR="00F50ABF">
        <w:t>3 to 7</w:t>
      </w:r>
      <w:r w:rsidRPr="00C9173F">
        <w:t xml:space="preserve"> ng/mL (</w:t>
      </w:r>
      <w:r w:rsidR="00F50ABF">
        <w:t xml:space="preserve">n = </w:t>
      </w:r>
      <w:r w:rsidRPr="00C9173F">
        <w:t xml:space="preserve">117) (everolimus low through (LT) arm) or to everolimus through target of </w:t>
      </w:r>
      <w:r w:rsidR="00F50ABF">
        <w:t>9 to 15 </w:t>
      </w:r>
      <w:r w:rsidRPr="00C9173F">
        <w:t>ng/mL (</w:t>
      </w:r>
      <w:r w:rsidR="00F50ABF">
        <w:t xml:space="preserve">n = </w:t>
      </w:r>
      <w:r w:rsidRPr="00C9173F">
        <w:t>130) (everolimus high through (HT) arm) or to matching placebo (</w:t>
      </w:r>
      <w:r w:rsidR="00F50ABF">
        <w:t xml:space="preserve">n = </w:t>
      </w:r>
      <w:r w:rsidRPr="00C9173F">
        <w:t xml:space="preserve">119) (placebo arm). All patients were receiving concomitant treatment of 1 to 3 AEDs. Treatment arms were generally well balanced with regard to medical history, demographic and disease characteristics at baseline, although a number of small to moderate chance imbalances were evident between arms at the time of unblinding. The population recruited was 2.2 to 56.3 years of age, predominantly (82%) paediatric with a median age of 10.06 years, by class of age: </w:t>
      </w:r>
      <w:r w:rsidR="00F50ABF">
        <w:t>&lt;</w:t>
      </w:r>
      <w:r w:rsidR="000046CE">
        <w:t> </w:t>
      </w:r>
      <w:r w:rsidRPr="00C9173F">
        <w:t>6</w:t>
      </w:r>
      <w:r w:rsidR="000046CE">
        <w:t> </w:t>
      </w:r>
      <w:r w:rsidRPr="00C9173F">
        <w:t xml:space="preserve">years: </w:t>
      </w:r>
      <w:r w:rsidR="00F50ABF">
        <w:t xml:space="preserve">n = </w:t>
      </w:r>
      <w:r w:rsidRPr="00C9173F">
        <w:t xml:space="preserve">104 (28.4%), 6 to </w:t>
      </w:r>
      <w:r w:rsidR="00F50ABF">
        <w:t xml:space="preserve">&lt; </w:t>
      </w:r>
      <w:r w:rsidRPr="00C9173F">
        <w:t xml:space="preserve">12 years: </w:t>
      </w:r>
      <w:r w:rsidR="00F50ABF">
        <w:t xml:space="preserve">n = </w:t>
      </w:r>
      <w:r w:rsidRPr="00C9173F">
        <w:t xml:space="preserve">113 (30.9%), 12 to </w:t>
      </w:r>
      <w:r w:rsidR="00F50ABF">
        <w:t xml:space="preserve">&lt; </w:t>
      </w:r>
      <w:r w:rsidRPr="00C9173F">
        <w:t xml:space="preserve">18 years: </w:t>
      </w:r>
      <w:r w:rsidR="00F50ABF">
        <w:t xml:space="preserve">n = </w:t>
      </w:r>
      <w:r w:rsidRPr="00C9173F">
        <w:t xml:space="preserve">82 (22.4%), ≥ 18 years: </w:t>
      </w:r>
      <w:r w:rsidR="00F50ABF">
        <w:t xml:space="preserve">n = </w:t>
      </w:r>
      <w:r w:rsidRPr="00C9173F">
        <w:t>67 (18.3%). All patients had failed at least two AEDs therapies prior to randomisation, most patients (</w:t>
      </w:r>
      <w:r w:rsidR="00F50ABF">
        <w:t xml:space="preserve">&gt; </w:t>
      </w:r>
      <w:r w:rsidRPr="00C9173F">
        <w:t>95%) had failed at least three AEDs and 38.5% patients had failed more than six AEDs therapies. The majority of patients (94.5%) completed the core phase of the study. Total patient-year exposures in the core phase were 39.23, 43.67 and 40.33 in the everolimus LT, everolimus HT and placebo arms, respectively. As of the October 2015 data cut-off, 342 patients (93.4%) had entered the extension phase, 292 of whom (79.8%) continued to receive study treatment, patient-year exposure at data cut-off (including patients randomised to placebo who received everolimus in the extension phase) was 353.46</w:t>
      </w:r>
      <w:r w:rsidR="00F50ABF">
        <w:t>.</w:t>
      </w:r>
    </w:p>
    <w:p w14:paraId="28A49EF4" w14:textId="77777777" w:rsidR="00F50ABF" w:rsidRDefault="00C9173F" w:rsidP="00C9173F">
      <w:r w:rsidRPr="00C9173F">
        <w:lastRenderedPageBreak/>
        <w:t>The study met its primary objective for the seizure frequency response rate, where response means at least a 50% reduction from baseline during the maintenance phase, excluding titration phase (excepted for patient who discontinued during titration), in accordance with TGA adopted guidelines</w:t>
      </w:r>
      <w:r w:rsidR="00F50ABF">
        <w:rPr>
          <w:rStyle w:val="FootnoteReference"/>
        </w:rPr>
        <w:footnoteReference w:id="41"/>
      </w:r>
      <w:r w:rsidRPr="00C9173F">
        <w:t>. In addition, the study met its supporting endpoint for the percentage</w:t>
      </w:r>
      <w:r w:rsidR="001D5C8D">
        <w:t xml:space="preserve"> </w:t>
      </w:r>
      <w:r w:rsidRPr="00C9173F">
        <w:t xml:space="preserve">reduction from baseline in seizure frequency, in the two everolimus trough </w:t>
      </w:r>
      <w:r w:rsidR="001D5C8D">
        <w:t>+</w:t>
      </w:r>
      <w:r w:rsidRPr="00C9173F">
        <w:t xml:space="preserve"> concomitant AEDs arms over the placebo </w:t>
      </w:r>
      <w:r w:rsidR="001D5C8D">
        <w:t>+</w:t>
      </w:r>
      <w:r w:rsidRPr="00C9173F">
        <w:t xml:space="preserve"> concomitant AEDs arm</w:t>
      </w:r>
      <w:r w:rsidR="00F50ABF">
        <w:t>.</w:t>
      </w:r>
    </w:p>
    <w:p w14:paraId="4E72CB9C" w14:textId="77777777" w:rsidR="00F50ABF" w:rsidRDefault="00C9173F" w:rsidP="00C9173F">
      <w:r w:rsidRPr="00C9173F">
        <w:t>Moreover, superiority was demonstrated for everolimus LT and HT relative to placebo for the primary efficacy endpoint of response rate (</w:t>
      </w:r>
      <w:r w:rsidR="00F50ABF">
        <w:t xml:space="preserve">p = </w:t>
      </w:r>
      <w:r w:rsidRPr="00C9173F">
        <w:t xml:space="preserve">0.008 and </w:t>
      </w:r>
      <w:r w:rsidR="00F50ABF">
        <w:t>p &lt; 0</w:t>
      </w:r>
      <w:r w:rsidRPr="00C9173F">
        <w:t xml:space="preserve">.001), where response rate corresponded to a ≥ 50% reduction from baseline in TSC-seizure frequency. Response rates were 28.2% (95% CI: 20.3, 37.3) and 40.0% (95% CI: 31.5, 49.0) for the everolimus LT and HT arms, respectively compared with 15.1% (95% CI: 9.2, 22.8) for the placebo arm. The estimated odds of patients experiencing ≥ 50% reductions from baseline in seizure frequency were </w:t>
      </w:r>
      <w:r w:rsidR="00F50ABF">
        <w:t>respectively 2.21 fold and 3.93</w:t>
      </w:r>
      <w:r w:rsidRPr="00C9173F">
        <w:t xml:space="preserve"> fold higher in the everolimus LT and HT arms, relative to placebo</w:t>
      </w:r>
      <w:r w:rsidR="00F50ABF">
        <w:t>.</w:t>
      </w:r>
    </w:p>
    <w:p w14:paraId="24F9F8C3" w14:textId="1D550027" w:rsidR="00F50ABF" w:rsidRDefault="00C9173F" w:rsidP="00C9173F">
      <w:r w:rsidRPr="00C9173F">
        <w:t xml:space="preserve">In addition, superiority was demonstrated for everolimus relative to placebo for the supporting endpoint of the percentage reduction from baseline in </w:t>
      </w:r>
      <w:r w:rsidR="001D5C8D">
        <w:t>TSC seizures</w:t>
      </w:r>
      <w:r w:rsidRPr="00C9173F">
        <w:t xml:space="preserve"> frequency (</w:t>
      </w:r>
      <w:r w:rsidR="00F50ABF">
        <w:t xml:space="preserve">p = </w:t>
      </w:r>
      <w:r w:rsidRPr="00C9173F">
        <w:t xml:space="preserve">0.003 and </w:t>
      </w:r>
      <w:r w:rsidR="00F50ABF">
        <w:t>p &lt; 0</w:t>
      </w:r>
      <w:r w:rsidRPr="00C9173F">
        <w:t>.001, in LT and HT arm, respectively, relative to placebo). The median percent reduction in seizure frequency was 29.3% (95% CI: 18.8, 41.9) and 39.6% (95%</w:t>
      </w:r>
      <w:r w:rsidR="000046CE">
        <w:t> </w:t>
      </w:r>
      <w:r w:rsidRPr="00C9173F">
        <w:t>CI: 35.0, 48.7) for the everolimus LT and HT arms, respectively compared with 14.9% (95% CI: 0.1, 21.7) for the placebo arm. The differences between the median percentage reduction from baseline between each of the everolimus treatment arms and placebo were respectively 16.0 (95% CI: 2.0, 31.7) and 27.5 (95% CI: 16.4, 43.4) in favour of the everolimus LT and HT arms</w:t>
      </w:r>
      <w:r w:rsidR="00F50ABF">
        <w:t>.</w:t>
      </w:r>
    </w:p>
    <w:p w14:paraId="24C9298F" w14:textId="77777777" w:rsidR="00F50ABF" w:rsidRDefault="00C9173F" w:rsidP="00C9173F">
      <w:r w:rsidRPr="00C9173F">
        <w:t xml:space="preserve">Results of secondary efficacy endpoints such as proportion of patients with ≥ 25% reduction from baseline in average weekly frequency of TSC seizures, and distribution of reduction in seizure frequency were supportive of the primary analyses. Patient reported outcomes were assessed using three </w:t>
      </w:r>
      <w:r w:rsidR="00F50ABF">
        <w:t>age specific</w:t>
      </w:r>
      <w:r w:rsidRPr="00C9173F">
        <w:t xml:space="preserve"> quality of life questionnaires (</w:t>
      </w:r>
      <w:proofErr w:type="spellStart"/>
      <w:r w:rsidRPr="00C9173F">
        <w:t>QoL</w:t>
      </w:r>
      <w:proofErr w:type="spellEnd"/>
      <w:r w:rsidRPr="00C9173F">
        <w:t xml:space="preserve">) and no deterioration was evident in the overall </w:t>
      </w:r>
      <w:proofErr w:type="spellStart"/>
      <w:r w:rsidRPr="00C9173F">
        <w:t>QoL</w:t>
      </w:r>
      <w:proofErr w:type="spellEnd"/>
      <w:r w:rsidRPr="00C9173F">
        <w:t xml:space="preserve"> of patients who received treatment with everolimus</w:t>
      </w:r>
      <w:r w:rsidR="00F50ABF">
        <w:t>.</w:t>
      </w:r>
    </w:p>
    <w:p w14:paraId="544C08D2" w14:textId="77777777" w:rsidR="00C9173F" w:rsidRPr="00C9173F" w:rsidRDefault="00C9173F" w:rsidP="00C9173F">
      <w:r w:rsidRPr="00C9173F">
        <w:t xml:space="preserve">The safety profile of everolimus in patients aged ≥ 2 years with refractory seizures associated with TSC has been well characterised in Study M2304 and is consistent with previous experience in the TSC setting. Everolimus is associated with an acceptable safety profile for patients with TSC seizures. The adverse event (AE) profile is characterised by predictable, primarily low </w:t>
      </w:r>
      <w:r w:rsidR="00FC69C3">
        <w:t>Grade</w:t>
      </w:r>
      <w:r w:rsidRPr="00C9173F">
        <w:t xml:space="preserve"> (mild or moderate) events. The most common AEs, with an incidence of ≥ 10% relative to placebo during the core phase of the study, were stomatitis, mouth ulceration, diarrhoea, </w:t>
      </w:r>
      <w:proofErr w:type="spellStart"/>
      <w:r w:rsidRPr="00C9173F">
        <w:t>apht</w:t>
      </w:r>
      <w:r w:rsidR="00F50ABF">
        <w:t>hous</w:t>
      </w:r>
      <w:proofErr w:type="spellEnd"/>
      <w:r w:rsidR="00F50ABF">
        <w:t xml:space="preserve"> ulcer and pyrexia. Grade 3 to </w:t>
      </w:r>
      <w:r w:rsidRPr="00C9173F">
        <w:t>4 AEs reported with an incidence of ≥ 2% relative to placebo during the Core phase were stomatitis, pneumonia and menstruation irregular (each 2.3% in the HT arm). These events are generally manageable with dose reduction/interruption and/or use of concomitant medication. Importantly, the safety profile of everolimus is non-overlapping with that of other anti-epileptic drugs (AEDs) commonly prescribed in the i</w:t>
      </w:r>
      <w:r w:rsidR="00F50ABF">
        <w:t xml:space="preserve">ndicated population. The longer </w:t>
      </w:r>
      <w:r w:rsidRPr="00C9173F">
        <w:t>term</w:t>
      </w:r>
      <w:r w:rsidR="00F50ABF">
        <w:t xml:space="preserve"> analyses supporting the safety </w:t>
      </w:r>
      <w:r w:rsidRPr="00C9173F">
        <w:t xml:space="preserve">related request submitted to the TGA on 30 May 2017 showed that everolimus continued to have an acceptable safety profile in this population, with labelling changes proposed in order to reflect key safety information for the treating healthcare provider (see </w:t>
      </w:r>
      <w:r w:rsidR="00F50ABF">
        <w:t>(</w:t>
      </w:r>
      <w:r w:rsidRPr="00C9173F">
        <w:t>Adverse Reactions Update</w:t>
      </w:r>
      <w:r w:rsidR="00F50ABF">
        <w:t>)</w:t>
      </w:r>
      <w:r w:rsidRPr="00C9173F">
        <w:t xml:space="preserve"> for more information).</w:t>
      </w:r>
    </w:p>
    <w:p w14:paraId="03FB5123" w14:textId="60F391C9" w:rsidR="00F50ABF" w:rsidRDefault="00C9173F" w:rsidP="00C9173F">
      <w:r w:rsidRPr="00C9173F">
        <w:t xml:space="preserve">In summary, the study robustly and consistently demonstrate a clinically meaningful and highly statistically significant clinical outcome for patients with TSC and refractory seizures compared to placebo at the proposed target exposure range of </w:t>
      </w:r>
      <w:proofErr w:type="spellStart"/>
      <w:r w:rsidR="00F50ABF" w:rsidRPr="00C9173F">
        <w:t>C</w:t>
      </w:r>
      <w:r w:rsidR="00F50ABF" w:rsidRPr="00F50ABF">
        <w:rPr>
          <w:vertAlign w:val="subscript"/>
        </w:rPr>
        <w:t>min</w:t>
      </w:r>
      <w:proofErr w:type="spellEnd"/>
      <w:r w:rsidRPr="00C9173F">
        <w:t xml:space="preserve"> at 5 t</w:t>
      </w:r>
      <w:r w:rsidR="00F50ABF">
        <w:t xml:space="preserve">o </w:t>
      </w:r>
      <w:r w:rsidR="00F50ABF">
        <w:lastRenderedPageBreak/>
        <w:t>15 </w:t>
      </w:r>
      <w:r w:rsidRPr="00C9173F">
        <w:t>ng/</w:t>
      </w:r>
      <w:proofErr w:type="spellStart"/>
      <w:r w:rsidRPr="00C9173F">
        <w:t>mL.</w:t>
      </w:r>
      <w:proofErr w:type="spellEnd"/>
      <w:r w:rsidRPr="00C9173F">
        <w:t xml:space="preserve"> The extension of the indication addresses an unmet medical need for TSC patients, especially in </w:t>
      </w:r>
      <w:r w:rsidR="00F50ABF" w:rsidRPr="00C9173F">
        <w:t>children;</w:t>
      </w:r>
      <w:r w:rsidRPr="00C9173F">
        <w:t xml:space="preserve"> suffering from TSC associated seizures that are refractory to currently available treatments. The proposed </w:t>
      </w:r>
      <w:r w:rsidR="00F50ABF">
        <w:t>PI</w:t>
      </w:r>
      <w:r w:rsidRPr="00C9173F">
        <w:t xml:space="preserve"> fully characterises both efficacy and safety to enable the appropriate use of Afinitor in patients with refractory </w:t>
      </w:r>
      <w:r w:rsidR="00F50ABF">
        <w:t>TSC associated</w:t>
      </w:r>
      <w:r w:rsidRPr="00C9173F">
        <w:t xml:space="preserve"> seizures to </w:t>
      </w:r>
      <w:r w:rsidR="000046CE" w:rsidRPr="00C9173F">
        <w:t>maximi</w:t>
      </w:r>
      <w:r w:rsidR="000046CE">
        <w:t>s</w:t>
      </w:r>
      <w:r w:rsidR="000046CE" w:rsidRPr="00C9173F">
        <w:t xml:space="preserve">e </w:t>
      </w:r>
      <w:r w:rsidRPr="00C9173F">
        <w:t xml:space="preserve">benefit while minimising risk to patients, to the satisfaction of the three </w:t>
      </w:r>
      <w:r w:rsidR="00F50ABF">
        <w:t>e</w:t>
      </w:r>
      <w:r w:rsidRPr="00C9173F">
        <w:t xml:space="preserve">valuators and the </w:t>
      </w:r>
      <w:r w:rsidR="00F50ABF">
        <w:t>Delegate</w:t>
      </w:r>
      <w:r w:rsidRPr="00C9173F">
        <w:t>. The data provided in this application and the full description of these data in the PI, support the use of everoli</w:t>
      </w:r>
      <w:r w:rsidR="00F50ABF">
        <w:t>mus in the proposed indication.</w:t>
      </w:r>
    </w:p>
    <w:p w14:paraId="5B644DF5" w14:textId="77777777" w:rsidR="00C9173F" w:rsidRPr="001F19D9" w:rsidRDefault="00C9173F" w:rsidP="001F19D9">
      <w:pPr>
        <w:pStyle w:val="Numberbullet0"/>
        <w:rPr>
          <w:b/>
          <w:i/>
        </w:rPr>
      </w:pPr>
      <w:r w:rsidRPr="001F19D9">
        <w:rPr>
          <w:b/>
          <w:i/>
        </w:rPr>
        <w:t xml:space="preserve">Consideration and acceptability by the committee of the slight modification to the sponsor’s </w:t>
      </w:r>
      <w:r w:rsidR="00F50ABF">
        <w:rPr>
          <w:b/>
          <w:i/>
        </w:rPr>
        <w:t>proposed indication.</w:t>
      </w:r>
    </w:p>
    <w:p w14:paraId="320F8A38" w14:textId="77777777" w:rsidR="00F50ABF" w:rsidRDefault="00C9173F" w:rsidP="00C9173F">
      <w:r w:rsidRPr="00C9173F">
        <w:t>In the first round CER dated 14 March 2017, the TGA clinical evaluator (CE) recommended the following addition to the wording of the application</w:t>
      </w:r>
      <w:r w:rsidR="00F50ABF">
        <w:t>:</w:t>
      </w:r>
    </w:p>
    <w:p w14:paraId="1936547F" w14:textId="77777777" w:rsidR="00C9173F" w:rsidRPr="001F19D9" w:rsidRDefault="00C9173F" w:rsidP="000D4CF2">
      <w:pPr>
        <w:ind w:left="567"/>
        <w:rPr>
          <w:i/>
        </w:rPr>
      </w:pPr>
      <w:r w:rsidRPr="001F19D9">
        <w:rPr>
          <w:i/>
        </w:rPr>
        <w:t xml:space="preserve">Afinitor is indicated for the Adjunctive treatment of patients aged 2 years and older with TSC and </w:t>
      </w:r>
      <w:r w:rsidR="00F50ABF">
        <w:rPr>
          <w:i/>
        </w:rPr>
        <w:t>associated refractory seizures.</w:t>
      </w:r>
    </w:p>
    <w:p w14:paraId="545450EC" w14:textId="77777777" w:rsidR="00C9173F" w:rsidRPr="00C9173F" w:rsidRDefault="00C9173F" w:rsidP="00C9173F">
      <w:r w:rsidRPr="00C9173F">
        <w:t>The proposed indication is bas</w:t>
      </w:r>
      <w:r w:rsidR="00F50ABF">
        <w:t xml:space="preserve">ed on the above described Phase </w:t>
      </w:r>
      <w:r w:rsidR="00EB24AF">
        <w:t>III s</w:t>
      </w:r>
      <w:r w:rsidRPr="00C9173F">
        <w:t xml:space="preserve">tudy that demonstrates the benefit of everolimus for the treatment of patients with TSC who have refractory </w:t>
      </w:r>
      <w:r w:rsidR="00411FA2">
        <w:t>partial onset</w:t>
      </w:r>
      <w:r w:rsidRPr="00C9173F">
        <w:t xml:space="preserve"> seizures. Efficacy and safety results from this current trial, presented above, provide compelling data to support the proposed indication. In this study, 366 patients with clinically confirmed refractory TSC seizures were randomised to everolimus through target of </w:t>
      </w:r>
      <w:r w:rsidR="00F50ABF">
        <w:t>3 to 7</w:t>
      </w:r>
      <w:r w:rsidRPr="00C9173F">
        <w:t xml:space="preserve"> ng/mL (</w:t>
      </w:r>
      <w:r w:rsidR="00F50ABF">
        <w:t xml:space="preserve">n = </w:t>
      </w:r>
      <w:r w:rsidRPr="00C9173F">
        <w:t xml:space="preserve">117) (everolimus LT arm) or to everolimus through target of </w:t>
      </w:r>
      <w:r w:rsidR="00F50ABF">
        <w:t>9 to 15</w:t>
      </w:r>
      <w:r w:rsidRPr="00C9173F">
        <w:t xml:space="preserve"> ng/mL (</w:t>
      </w:r>
      <w:r w:rsidR="00F50ABF">
        <w:t xml:space="preserve">n = </w:t>
      </w:r>
      <w:r w:rsidRPr="00C9173F">
        <w:t>130) (everolimus HT arm) or to matching placebo (</w:t>
      </w:r>
      <w:r w:rsidR="00EB24AF">
        <w:t>n </w:t>
      </w:r>
      <w:r w:rsidR="00F50ABF">
        <w:t xml:space="preserve">= </w:t>
      </w:r>
      <w:r w:rsidRPr="00C9173F">
        <w:t>119) (placebo arm).</w:t>
      </w:r>
    </w:p>
    <w:p w14:paraId="41B13DD5" w14:textId="7B2CC001" w:rsidR="00F50ABF" w:rsidRDefault="00C9173F" w:rsidP="00C9173F">
      <w:r w:rsidRPr="00C9173F">
        <w:t>Given that the trial inclusion criteria specified that patients were required to have a ‘clinically definite diagnosis of TSC’, the</w:t>
      </w:r>
      <w:r w:rsidR="00FC69C3">
        <w:t xml:space="preserve"> clinical evaluator</w:t>
      </w:r>
      <w:r w:rsidRPr="00C9173F">
        <w:t xml:space="preserve"> recommended the insertion of the word </w:t>
      </w:r>
      <w:r w:rsidR="00F50ABF">
        <w:t>‘</w:t>
      </w:r>
      <w:r w:rsidRPr="00C9173F">
        <w:t>associated</w:t>
      </w:r>
      <w:r w:rsidR="00F50ABF">
        <w:t>’</w:t>
      </w:r>
      <w:r w:rsidRPr="00C9173F">
        <w:t xml:space="preserve"> in the proposed indication to avoid a possible interpretation as treatment of </w:t>
      </w:r>
      <w:r w:rsidR="00F50ABF">
        <w:t>‘</w:t>
      </w:r>
      <w:r w:rsidRPr="00C9173F">
        <w:t>refractory seizures alone</w:t>
      </w:r>
      <w:r w:rsidR="00F50ABF">
        <w:t>’</w:t>
      </w:r>
      <w:r w:rsidRPr="00C9173F">
        <w:t xml:space="preserve"> which was not the subject of this application. </w:t>
      </w:r>
      <w:r w:rsidR="000046CE">
        <w:t>The sponsor</w:t>
      </w:r>
      <w:r w:rsidR="000046CE" w:rsidRPr="00C9173F">
        <w:t xml:space="preserve"> </w:t>
      </w:r>
      <w:r w:rsidRPr="00C9173F">
        <w:t>fully agrees with the</w:t>
      </w:r>
      <w:r w:rsidR="00FC69C3">
        <w:t xml:space="preserve"> clinical evaluator</w:t>
      </w:r>
      <w:r w:rsidRPr="00C9173F">
        <w:t>’s modification and believes that the proposed indication wording for everolimus addresses concerns around the target population to be treated for this indication</w:t>
      </w:r>
      <w:r w:rsidR="00F50ABF">
        <w:t>.</w:t>
      </w:r>
    </w:p>
    <w:p w14:paraId="479DF4E3" w14:textId="7ECEED75" w:rsidR="00C9173F" w:rsidRPr="00C9173F" w:rsidRDefault="00C9173F" w:rsidP="00C9173F">
      <w:r w:rsidRPr="00C9173F">
        <w:t xml:space="preserve">In view of the points discussed above, </w:t>
      </w:r>
      <w:r w:rsidR="000046CE">
        <w:t>the sponsor</w:t>
      </w:r>
      <w:r w:rsidR="000046CE" w:rsidRPr="00C9173F">
        <w:t xml:space="preserve"> </w:t>
      </w:r>
      <w:r w:rsidRPr="00C9173F">
        <w:t>considers that the proposed wording is appropriate and warranted based on the body of submitted clinical evidence</w:t>
      </w:r>
      <w:r w:rsidR="000046CE">
        <w:t>.</w:t>
      </w:r>
    </w:p>
    <w:p w14:paraId="11C88082" w14:textId="679220D9" w:rsidR="00C9173F" w:rsidRPr="000046CE" w:rsidRDefault="000046CE" w:rsidP="00526707">
      <w:pPr>
        <w:pStyle w:val="Heading5"/>
      </w:pPr>
      <w:r w:rsidRPr="00526707">
        <w:rPr>
          <w:rFonts w:eastAsia="Cambria"/>
        </w:rPr>
        <w:t>Sponsor’s conclusion</w:t>
      </w:r>
    </w:p>
    <w:p w14:paraId="53F6BF1C" w14:textId="6C03021E" w:rsidR="00C9173F" w:rsidRPr="00C9173F" w:rsidRDefault="000046CE" w:rsidP="00C9173F">
      <w:r>
        <w:t>The sponsor</w:t>
      </w:r>
      <w:r w:rsidRPr="00C9173F">
        <w:t xml:space="preserve"> </w:t>
      </w:r>
      <w:r w:rsidR="00C9173F" w:rsidRPr="00C9173F">
        <w:t xml:space="preserve">believes that the proposed extension of indication </w:t>
      </w:r>
      <w:r w:rsidR="00F50ABF">
        <w:t>is warranted on the basis that:</w:t>
      </w:r>
    </w:p>
    <w:p w14:paraId="3C0E84BE" w14:textId="77777777" w:rsidR="00C9173F" w:rsidRPr="00C9173F" w:rsidRDefault="00C9173F" w:rsidP="00C9173F">
      <w:pPr>
        <w:pStyle w:val="ListBullet"/>
      </w:pPr>
      <w:r w:rsidRPr="00C9173F">
        <w:t>The benefits of everolimus outweigh the risks for its intended use in patients with ref</w:t>
      </w:r>
      <w:r w:rsidR="00F50ABF">
        <w:t>ractory TSC associated seizures</w:t>
      </w:r>
    </w:p>
    <w:p w14:paraId="14073243" w14:textId="77777777" w:rsidR="00C9173F" w:rsidRPr="00C9173F" w:rsidRDefault="00C9173F" w:rsidP="00C9173F">
      <w:pPr>
        <w:pStyle w:val="ListBullet"/>
      </w:pPr>
      <w:r w:rsidRPr="00C9173F">
        <w:t xml:space="preserve">Everolimus meets an important unmet medical </w:t>
      </w:r>
      <w:r w:rsidR="00F50ABF">
        <w:t>need in this patient population</w:t>
      </w:r>
    </w:p>
    <w:p w14:paraId="731FE185" w14:textId="77777777" w:rsidR="00C9173F" w:rsidRPr="00C9173F" w:rsidRDefault="00C9173F" w:rsidP="00C9173F">
      <w:pPr>
        <w:pStyle w:val="ListBullet"/>
      </w:pPr>
      <w:r w:rsidRPr="00C9173F">
        <w:t>The supportive data from the primary analysis of Study M2304 received approval from the European Commission on 27 January 2017</w:t>
      </w:r>
      <w:r w:rsidR="00F50ABF">
        <w:t>.</w:t>
      </w:r>
    </w:p>
    <w:p w14:paraId="291B9976" w14:textId="4A751835" w:rsidR="00F50ABF" w:rsidRDefault="00C9173F" w:rsidP="00C9173F">
      <w:r w:rsidRPr="00C9173F">
        <w:t xml:space="preserve">Furthermore, </w:t>
      </w:r>
      <w:r w:rsidR="000046CE">
        <w:t>the sponsor</w:t>
      </w:r>
      <w:r w:rsidR="000046CE" w:rsidRPr="00C9173F">
        <w:t xml:space="preserve"> </w:t>
      </w:r>
      <w:r w:rsidRPr="00C9173F">
        <w:t xml:space="preserve">welcomes the </w:t>
      </w:r>
      <w:r w:rsidR="00F50ABF">
        <w:t>Delegate</w:t>
      </w:r>
      <w:r w:rsidRPr="00C9173F">
        <w:t>’s recommendation to approve a revised wording of the indication specifically stating that everolimus is to be indicated for the treatment of TSC with associated refractory seizures</w:t>
      </w:r>
      <w:r w:rsidR="00F50ABF">
        <w:t>.</w:t>
      </w:r>
    </w:p>
    <w:p w14:paraId="22DB1E4F" w14:textId="1EA57667" w:rsidR="008E7846" w:rsidRDefault="009F284F" w:rsidP="008E7846">
      <w:pPr>
        <w:pStyle w:val="Heading4"/>
      </w:pPr>
      <w:r>
        <w:lastRenderedPageBreak/>
        <w:t>Advisory c</w:t>
      </w:r>
      <w:r w:rsidR="008E7846">
        <w:t xml:space="preserve">ommittee </w:t>
      </w:r>
      <w:r>
        <w:t>c</w:t>
      </w:r>
      <w:r w:rsidR="008E7846">
        <w:t>onsiderations</w:t>
      </w:r>
      <w:r w:rsidR="00456765">
        <w:rPr>
          <w:rStyle w:val="FootnoteReference"/>
        </w:rPr>
        <w:footnoteReference w:id="42"/>
      </w:r>
    </w:p>
    <w:p w14:paraId="4B267964" w14:textId="77777777" w:rsidR="008E7846" w:rsidRPr="00DB1399" w:rsidRDefault="00456765" w:rsidP="00DB1399">
      <w:r w:rsidRPr="00DB1399">
        <w:t xml:space="preserve">The Advisory Committee </w:t>
      </w:r>
      <w:r w:rsidR="00F50ABF">
        <w:t>for</w:t>
      </w:r>
      <w:r w:rsidRPr="00DB1399">
        <w:t xml:space="preserve"> Medicines (ACM), having considered the evaluations and the </w:t>
      </w:r>
      <w:r w:rsidR="00F50ABF">
        <w:t>Delegate</w:t>
      </w:r>
      <w:r w:rsidRPr="00DB1399">
        <w:t>’s overview, as well as the sponsor’s response to these documents, advised the following:</w:t>
      </w:r>
    </w:p>
    <w:p w14:paraId="1E0BD01D" w14:textId="77777777" w:rsidR="001F19D9" w:rsidRPr="00DB1399" w:rsidRDefault="001F19D9" w:rsidP="00DB1399">
      <w:r w:rsidRPr="00DB1399">
        <w:t xml:space="preserve">Based on the available evidence from the evaluated submitted data, the </w:t>
      </w:r>
      <w:r w:rsidR="00F50ABF">
        <w:t>Delegate</w:t>
      </w:r>
      <w:r w:rsidRPr="00DB1399">
        <w:t xml:space="preserve"> is inclined at this stage to favour the approval of the application subject to resolving issues, arising from the ACM deliberations and finalising matters pertaining to the draft PI, as already accepted by the sponsor, </w:t>
      </w:r>
      <w:r w:rsidR="00DB1399">
        <w:t>to the satisfaction of the TGA.</w:t>
      </w:r>
    </w:p>
    <w:p w14:paraId="463BB9C2" w14:textId="77777777" w:rsidR="001F19D9" w:rsidRPr="00DB1399" w:rsidRDefault="001F19D9" w:rsidP="00DB1399">
      <w:r w:rsidRPr="00DB1399">
        <w:t xml:space="preserve">The ACM taking into account the submitted evidence of efficacy, safety and quality, agreed with the </w:t>
      </w:r>
      <w:r w:rsidR="00F50ABF">
        <w:t>Delegate</w:t>
      </w:r>
      <w:r w:rsidRPr="00DB1399">
        <w:t xml:space="preserve"> and considered A</w:t>
      </w:r>
      <w:r w:rsidR="00F50ABF" w:rsidRPr="00DB1399">
        <w:t>finitor</w:t>
      </w:r>
      <w:r w:rsidRPr="00DB1399">
        <w:t xml:space="preserve"> standard tablets (available in 2.5 mg, 5 mg </w:t>
      </w:r>
      <w:r w:rsidR="00EB24AF">
        <w:t>and</w:t>
      </w:r>
      <w:r w:rsidRPr="00DB1399">
        <w:t xml:space="preserve"> 10 mg strengths) and dispersible tablets (available in 2 mg, 3 mg </w:t>
      </w:r>
      <w:r w:rsidR="00F50ABF">
        <w:t>and</w:t>
      </w:r>
      <w:r w:rsidRPr="00DB1399">
        <w:t xml:space="preserve"> 5 mg) of everolimus to have an overall positive benefit-risk profile with the </w:t>
      </w:r>
      <w:r w:rsidR="00F50ABF">
        <w:t>Delegate</w:t>
      </w:r>
      <w:r w:rsidRPr="00DB1399">
        <w:t>’s amended indication:</w:t>
      </w:r>
    </w:p>
    <w:p w14:paraId="7C521D6A" w14:textId="77777777" w:rsidR="001F19D9" w:rsidRPr="00DB1399" w:rsidRDefault="00F50ABF" w:rsidP="00FA529B">
      <w:pPr>
        <w:ind w:left="567"/>
        <w:rPr>
          <w:i/>
        </w:rPr>
      </w:pPr>
      <w:r>
        <w:rPr>
          <w:i/>
        </w:rPr>
        <w:t>Afinitor</w:t>
      </w:r>
      <w:r w:rsidR="001F19D9" w:rsidRPr="00DB1399">
        <w:rPr>
          <w:i/>
        </w:rPr>
        <w:t xml:space="preserve"> is indicated for the adjunctive treatment of patients aged 2 years and older with TSC and</w:t>
      </w:r>
      <w:r>
        <w:rPr>
          <w:i/>
        </w:rPr>
        <w:t xml:space="preserve"> associated refractory seizures.</w:t>
      </w:r>
    </w:p>
    <w:p w14:paraId="753F78D2" w14:textId="77777777" w:rsidR="001F19D9" w:rsidRPr="00DB1399" w:rsidRDefault="001F19D9" w:rsidP="00DB1399">
      <w:r w:rsidRPr="00DB1399">
        <w:t>The additional term ‘associated’ was included when compared to</w:t>
      </w:r>
      <w:r w:rsidR="00DB1399">
        <w:t xml:space="preserve"> sponsor’s proposed indication.</w:t>
      </w:r>
    </w:p>
    <w:p w14:paraId="1F0B004F" w14:textId="77777777" w:rsidR="001F19D9" w:rsidRPr="00DB1399" w:rsidRDefault="001F19D9" w:rsidP="00DB1399">
      <w:r w:rsidRPr="00DB1399">
        <w:t>In making this recommendation t</w:t>
      </w:r>
      <w:r w:rsidR="00F50ABF">
        <w:t>he ACM:</w:t>
      </w:r>
    </w:p>
    <w:p w14:paraId="04179F75" w14:textId="212E9A14" w:rsidR="001F19D9" w:rsidRPr="00DB1399" w:rsidRDefault="001F19D9" w:rsidP="00DB1399">
      <w:pPr>
        <w:pStyle w:val="ListBullet"/>
      </w:pPr>
      <w:proofErr w:type="gramStart"/>
      <w:r w:rsidRPr="00DB1399">
        <w:t>noted</w:t>
      </w:r>
      <w:proofErr w:type="gramEnd"/>
      <w:r w:rsidRPr="00DB1399">
        <w:t xml:space="preserve"> that the application has been approved in the EU and Singapore, and under evaluation in </w:t>
      </w:r>
      <w:r w:rsidR="00F50ABF">
        <w:t>the USA, Canada and Switzerland</w:t>
      </w:r>
      <w:r w:rsidR="000046CE">
        <w:t>.</w:t>
      </w:r>
    </w:p>
    <w:p w14:paraId="194D0D4B" w14:textId="77777777" w:rsidR="001F19D9" w:rsidRPr="00DB1399" w:rsidRDefault="001F19D9" w:rsidP="00DB1399">
      <w:pPr>
        <w:pStyle w:val="ListBullet"/>
      </w:pPr>
      <w:r w:rsidRPr="00DB1399">
        <w:t xml:space="preserve">noted the wide range of approved uses for </w:t>
      </w:r>
      <w:r w:rsidR="00F50ABF">
        <w:t>Afinitor</w:t>
      </w:r>
      <w:r w:rsidRPr="00DB1399">
        <w:t>, the cu</w:t>
      </w:r>
      <w:r w:rsidR="00F50ABF">
        <w:t>rrent approved indications are:</w:t>
      </w:r>
    </w:p>
    <w:p w14:paraId="3C03BC28" w14:textId="77777777" w:rsidR="00F50ABF" w:rsidRDefault="001F19D9" w:rsidP="00DB1399">
      <w:pPr>
        <w:pStyle w:val="ListBullet2"/>
      </w:pPr>
      <w:proofErr w:type="spellStart"/>
      <w:r w:rsidRPr="00DB1399">
        <w:t>Subependymal</w:t>
      </w:r>
      <w:proofErr w:type="spellEnd"/>
      <w:r w:rsidRPr="00DB1399">
        <w:t xml:space="preserve"> giant cell astrocytoma (SEGA) associated with tuberous sclerosis complex (TSC) who require therapeutic intervention but are not candidates for curative surgical resection</w:t>
      </w:r>
      <w:r w:rsidR="00F50ABF">
        <w:t>.</w:t>
      </w:r>
    </w:p>
    <w:p w14:paraId="76561010" w14:textId="77777777" w:rsidR="00F50ABF" w:rsidRDefault="001F19D9" w:rsidP="00DB1399">
      <w:pPr>
        <w:pStyle w:val="ListBullet2"/>
      </w:pPr>
      <w:r w:rsidRPr="00DB1399">
        <w:t xml:space="preserve">Patients with tuberous sclerosis complex (TSC) who have renal </w:t>
      </w:r>
      <w:proofErr w:type="spellStart"/>
      <w:r w:rsidRPr="00DB1399">
        <w:t>angiomyolipoma</w:t>
      </w:r>
      <w:proofErr w:type="spellEnd"/>
      <w:r w:rsidRPr="00DB1399">
        <w:t xml:space="preserve"> not requiring immediate surgery</w:t>
      </w:r>
      <w:r w:rsidR="00F50ABF">
        <w:t>.</w:t>
      </w:r>
    </w:p>
    <w:p w14:paraId="5EB3253B" w14:textId="77777777" w:rsidR="00F50ABF" w:rsidRDefault="001F19D9" w:rsidP="00DB1399">
      <w:pPr>
        <w:pStyle w:val="ListBullet2"/>
      </w:pPr>
      <w:r w:rsidRPr="00DB1399">
        <w:t xml:space="preserve">Postmenopausal women with hormone receptor-positive, HER2 negative advanced breast cancer in combination with </w:t>
      </w:r>
      <w:proofErr w:type="spellStart"/>
      <w:r w:rsidRPr="00DB1399">
        <w:t>exemestane</w:t>
      </w:r>
      <w:proofErr w:type="spellEnd"/>
      <w:r w:rsidRPr="00DB1399">
        <w:t xml:space="preserve"> after failure of treatment with letrozole or anastrozole</w:t>
      </w:r>
      <w:r w:rsidR="00F50ABF">
        <w:t>.</w:t>
      </w:r>
    </w:p>
    <w:p w14:paraId="19A8262C" w14:textId="77777777" w:rsidR="00F50ABF" w:rsidRDefault="001F19D9" w:rsidP="00DB1399">
      <w:pPr>
        <w:pStyle w:val="ListBullet2"/>
      </w:pPr>
      <w:r w:rsidRPr="00DB1399">
        <w:t>Progressive, unresectable or metastatic,</w:t>
      </w:r>
      <w:r w:rsidR="00F50ABF">
        <w:t xml:space="preserve"> </w:t>
      </w:r>
      <w:r w:rsidRPr="00DB1399">
        <w:t>well or moderately differentiated neuroendocrine tumours (NETs) of pancreatic origin</w:t>
      </w:r>
      <w:r w:rsidR="00F50ABF">
        <w:t>.</w:t>
      </w:r>
    </w:p>
    <w:p w14:paraId="62CD2260" w14:textId="77777777" w:rsidR="00F50ABF" w:rsidRDefault="001F19D9" w:rsidP="00DB1399">
      <w:pPr>
        <w:pStyle w:val="ListBullet2"/>
      </w:pPr>
      <w:r w:rsidRPr="00DB1399">
        <w:t xml:space="preserve">Progressive, unresectable or metastatic, </w:t>
      </w:r>
      <w:r w:rsidR="00F50ABF">
        <w:t xml:space="preserve">well differentiated, </w:t>
      </w:r>
      <w:r w:rsidR="00EB24AF">
        <w:t>non</w:t>
      </w:r>
      <w:r w:rsidR="00EB24AF" w:rsidRPr="00DB1399">
        <w:t>-functional</w:t>
      </w:r>
      <w:r w:rsidRPr="00DB1399">
        <w:t xml:space="preserve"> neuroendocrine tumours (NET) of gastrointestinal or lung origin in adults</w:t>
      </w:r>
      <w:r w:rsidR="00F50ABF">
        <w:t>.</w:t>
      </w:r>
    </w:p>
    <w:p w14:paraId="72ACA625" w14:textId="77777777" w:rsidR="00F50ABF" w:rsidRDefault="001F19D9" w:rsidP="00DB1399">
      <w:pPr>
        <w:pStyle w:val="ListBullet2"/>
      </w:pPr>
      <w:r w:rsidRPr="00DB1399">
        <w:t xml:space="preserve">Advanced renal cell carcinoma after failure of treatment with </w:t>
      </w:r>
      <w:proofErr w:type="spellStart"/>
      <w:r w:rsidRPr="00DB1399">
        <w:t>sorafenib</w:t>
      </w:r>
      <w:proofErr w:type="spellEnd"/>
      <w:r w:rsidRPr="00DB1399">
        <w:t xml:space="preserve"> or </w:t>
      </w:r>
      <w:proofErr w:type="spellStart"/>
      <w:r w:rsidRPr="00DB1399">
        <w:t>sunitinib</w:t>
      </w:r>
      <w:proofErr w:type="spellEnd"/>
      <w:r w:rsidR="00F50ABF">
        <w:t>.</w:t>
      </w:r>
    </w:p>
    <w:p w14:paraId="646EE182" w14:textId="77777777" w:rsidR="00F50ABF" w:rsidRDefault="001F19D9" w:rsidP="00FA529B">
      <w:pPr>
        <w:pStyle w:val="ListBullet"/>
      </w:pPr>
      <w:proofErr w:type="gramStart"/>
      <w:r w:rsidRPr="00DB1399">
        <w:t>noted</w:t>
      </w:r>
      <w:proofErr w:type="gramEnd"/>
      <w:r w:rsidRPr="00DB1399">
        <w:t xml:space="preserve"> there was no new safety data submitted and the next PSUR in the TSC setting will be available in May </w:t>
      </w:r>
      <w:r w:rsidRPr="00FA529B">
        <w:t>2018</w:t>
      </w:r>
      <w:r w:rsidRPr="00DB1399">
        <w:t xml:space="preserve">. However, the committee also noted that exposure of the </w:t>
      </w:r>
      <w:r w:rsidRPr="00DB1399">
        <w:lastRenderedPageBreak/>
        <w:t>paediatric population was so far limited, especially with longer term uses and younger ages of exposure</w:t>
      </w:r>
      <w:r w:rsidR="00F50ABF">
        <w:t>.</w:t>
      </w:r>
    </w:p>
    <w:p w14:paraId="0CCE330A" w14:textId="77777777" w:rsidR="001F19D9" w:rsidRPr="00DB1399" w:rsidRDefault="001F19D9" w:rsidP="00DB1399">
      <w:pPr>
        <w:pStyle w:val="Heading5"/>
        <w:rPr>
          <w:rFonts w:eastAsiaTheme="minorHAnsi"/>
        </w:rPr>
      </w:pPr>
      <w:r w:rsidRPr="00DB1399">
        <w:rPr>
          <w:rFonts w:eastAsiaTheme="minorHAnsi"/>
        </w:rPr>
        <w:t>Prop</w:t>
      </w:r>
      <w:r w:rsidR="00F50ABF">
        <w:rPr>
          <w:rFonts w:eastAsiaTheme="minorHAnsi"/>
        </w:rPr>
        <w:t>osed conditions of registration</w:t>
      </w:r>
    </w:p>
    <w:p w14:paraId="5D88AEF1" w14:textId="77777777" w:rsidR="001F19D9" w:rsidRPr="00DB1399" w:rsidRDefault="001F19D9" w:rsidP="00DB1399">
      <w:r w:rsidRPr="00DB1399">
        <w:t xml:space="preserve">The ACM agreed with the </w:t>
      </w:r>
      <w:r w:rsidR="00F50ABF">
        <w:t>Delegate</w:t>
      </w:r>
      <w:r w:rsidRPr="00DB1399">
        <w:t xml:space="preserve"> on the proposed conditions of registration and advised on </w:t>
      </w:r>
      <w:r w:rsidR="00DB1399">
        <w:t>the inclusion of the following:</w:t>
      </w:r>
    </w:p>
    <w:p w14:paraId="5FAC491D" w14:textId="77777777" w:rsidR="001F19D9" w:rsidRPr="00DB1399" w:rsidRDefault="001F19D9" w:rsidP="00DB1399">
      <w:pPr>
        <w:pStyle w:val="ListBullet"/>
      </w:pPr>
      <w:r w:rsidRPr="00DB1399">
        <w:t xml:space="preserve">Negotiation of the </w:t>
      </w:r>
      <w:r w:rsidR="00EB24AF">
        <w:t>PI</w:t>
      </w:r>
      <w:r w:rsidRPr="00DB1399">
        <w:t xml:space="preserve"> and Consumer Medicine Information</w:t>
      </w:r>
      <w:r w:rsidR="00F50ABF">
        <w:t xml:space="preserve"> to the satisfaction of the TGA.</w:t>
      </w:r>
    </w:p>
    <w:p w14:paraId="6F7DB726" w14:textId="77777777" w:rsidR="001F19D9" w:rsidRPr="00DB1399" w:rsidRDefault="001F19D9" w:rsidP="00DB1399">
      <w:pPr>
        <w:pStyle w:val="ListBullet"/>
      </w:pPr>
      <w:r w:rsidRPr="00DB1399">
        <w:t>Recommendations for ongoing proactive pharmacovigilance, especia</w:t>
      </w:r>
      <w:r w:rsidR="00F50ABF">
        <w:t>lly in the paediatric subgroup.</w:t>
      </w:r>
    </w:p>
    <w:p w14:paraId="44E80FEF" w14:textId="77777777" w:rsidR="001F19D9" w:rsidRPr="00DB1399" w:rsidRDefault="001F19D9" w:rsidP="00DB1399">
      <w:pPr>
        <w:pStyle w:val="Heading5"/>
        <w:rPr>
          <w:rFonts w:eastAsiaTheme="minorHAnsi"/>
        </w:rPr>
      </w:pPr>
      <w:r w:rsidRPr="00DB1399">
        <w:rPr>
          <w:rFonts w:eastAsiaTheme="minorHAnsi"/>
        </w:rPr>
        <w:t>Proposed Product Information (PI)/ Consumer Medicine Information (CM</w:t>
      </w:r>
      <w:r w:rsidR="00F50ABF">
        <w:rPr>
          <w:rFonts w:eastAsiaTheme="minorHAnsi"/>
        </w:rPr>
        <w:t>I) amendments</w:t>
      </w:r>
    </w:p>
    <w:p w14:paraId="15B829A8" w14:textId="77777777" w:rsidR="00F50ABF" w:rsidRDefault="001F19D9" w:rsidP="00DB1399">
      <w:r w:rsidRPr="00DB1399">
        <w:t xml:space="preserve">The ACM agreed with the </w:t>
      </w:r>
      <w:r w:rsidR="00F50ABF">
        <w:t>Delegate</w:t>
      </w:r>
      <w:r w:rsidRPr="00DB1399">
        <w:t xml:space="preserve"> to the proposed amendments to the Product Information (PI) and Consumer Medicine information (CMI)</w:t>
      </w:r>
      <w:r w:rsidR="00F50ABF">
        <w:t>.</w:t>
      </w:r>
    </w:p>
    <w:p w14:paraId="5522BFBD" w14:textId="77777777" w:rsidR="001F19D9" w:rsidRPr="00DB1399" w:rsidRDefault="001F19D9" w:rsidP="00DB1399">
      <w:pPr>
        <w:pStyle w:val="Heading5"/>
        <w:rPr>
          <w:rFonts w:eastAsiaTheme="minorHAnsi"/>
        </w:rPr>
      </w:pPr>
      <w:r w:rsidRPr="00DB1399">
        <w:rPr>
          <w:rFonts w:eastAsiaTheme="minorHAnsi"/>
        </w:rPr>
        <w:t xml:space="preserve">Specific </w:t>
      </w:r>
      <w:r w:rsidR="00EB24AF">
        <w:rPr>
          <w:rFonts w:eastAsiaTheme="minorHAnsi"/>
        </w:rPr>
        <w:t>a</w:t>
      </w:r>
      <w:r w:rsidRPr="00DB1399">
        <w:rPr>
          <w:rFonts w:eastAsiaTheme="minorHAnsi"/>
        </w:rPr>
        <w:t>dvice</w:t>
      </w:r>
    </w:p>
    <w:p w14:paraId="312287DC" w14:textId="77777777" w:rsidR="001F19D9" w:rsidRPr="00DB1399" w:rsidRDefault="001F19D9" w:rsidP="00DB1399">
      <w:r w:rsidRPr="00DB1399">
        <w:t xml:space="preserve">The ACM advised the following in response to the </w:t>
      </w:r>
      <w:r w:rsidR="00F50ABF">
        <w:t>Delegate</w:t>
      </w:r>
      <w:r w:rsidRPr="00DB1399">
        <w:t>’s specific questions on the submi</w:t>
      </w:r>
      <w:r w:rsidR="00F50ABF">
        <w:t>ssion:</w:t>
      </w:r>
    </w:p>
    <w:p w14:paraId="14C2C05E" w14:textId="77777777" w:rsidR="001F19D9" w:rsidRPr="00DB1399" w:rsidRDefault="001F19D9" w:rsidP="00DB1399">
      <w:pPr>
        <w:pStyle w:val="Numberbullet0"/>
        <w:numPr>
          <w:ilvl w:val="0"/>
          <w:numId w:val="12"/>
        </w:numPr>
        <w:rPr>
          <w:b/>
          <w:i/>
        </w:rPr>
      </w:pPr>
      <w:r w:rsidRPr="00DB1399">
        <w:rPr>
          <w:b/>
          <w:i/>
        </w:rPr>
        <w:t>Consideration and acceptability by the committee of the slight modification to th</w:t>
      </w:r>
      <w:r w:rsidR="00F50ABF">
        <w:rPr>
          <w:b/>
          <w:i/>
        </w:rPr>
        <w:t>e sponsor’s proposed indication.</w:t>
      </w:r>
    </w:p>
    <w:p w14:paraId="0E5A8788" w14:textId="77777777" w:rsidR="00F50ABF" w:rsidRDefault="001F19D9" w:rsidP="00DB1399">
      <w:r w:rsidRPr="00DB1399">
        <w:t xml:space="preserve">The ACM accepted the </w:t>
      </w:r>
      <w:r w:rsidR="00F50ABF">
        <w:t>Delegate</w:t>
      </w:r>
      <w:r w:rsidRPr="00DB1399">
        <w:t>’s amendment to the sponsor’s proposed indication</w:t>
      </w:r>
      <w:r w:rsidR="00F50ABF">
        <w:t>.</w:t>
      </w:r>
    </w:p>
    <w:p w14:paraId="420E146B" w14:textId="77777777" w:rsidR="001F19D9" w:rsidRPr="00DB1399" w:rsidRDefault="001F19D9" w:rsidP="00DB1399">
      <w:pPr>
        <w:pStyle w:val="Numberbullet0"/>
        <w:rPr>
          <w:b/>
          <w:i/>
        </w:rPr>
      </w:pPr>
      <w:r w:rsidRPr="00DB1399">
        <w:rPr>
          <w:b/>
          <w:i/>
        </w:rPr>
        <w:t>Approvability of the Type C component of the applicat</w:t>
      </w:r>
      <w:r w:rsidR="00F50ABF">
        <w:rPr>
          <w:b/>
          <w:i/>
        </w:rPr>
        <w:t>ion.</w:t>
      </w:r>
    </w:p>
    <w:p w14:paraId="31322690" w14:textId="77777777" w:rsidR="001F19D9" w:rsidRPr="00DB1399" w:rsidRDefault="001F19D9" w:rsidP="00DB1399">
      <w:r w:rsidRPr="00DB1399">
        <w:t xml:space="preserve">The ACM noted that there was satisfactory evidence of efficacy provided by the pivotal study and has no objections to the approvability of the Type </w:t>
      </w:r>
      <w:r w:rsidR="00F50ABF">
        <w:t>C component of the application.</w:t>
      </w:r>
    </w:p>
    <w:p w14:paraId="6BFE260C" w14:textId="77777777" w:rsidR="001F19D9" w:rsidRPr="00DB1399" w:rsidRDefault="001F19D9" w:rsidP="00DB1399">
      <w:pPr>
        <w:pStyle w:val="Numberbullet0"/>
        <w:rPr>
          <w:b/>
          <w:i/>
        </w:rPr>
      </w:pPr>
      <w:r w:rsidRPr="00DB1399">
        <w:rPr>
          <w:b/>
          <w:i/>
        </w:rPr>
        <w:t xml:space="preserve">Request for the committee to provide advice on any other issues, that it thinks may be relevant to a decision on whether or </w:t>
      </w:r>
      <w:r w:rsidR="00F50ABF">
        <w:rPr>
          <w:b/>
          <w:i/>
        </w:rPr>
        <w:t>not to approve this application.</w:t>
      </w:r>
    </w:p>
    <w:p w14:paraId="10067BFF" w14:textId="77777777" w:rsidR="001F19D9" w:rsidRPr="00DB1399" w:rsidRDefault="001F19D9" w:rsidP="00DB1399">
      <w:r w:rsidRPr="00DB1399">
        <w:t>The ACM recommended for ongoing proactive pharmacovigilance surveillance, especially in the paediatric subgroup, given the longer anticipated duration of therapy for thi</w:t>
      </w:r>
      <w:r w:rsidR="00F50ABF">
        <w:t>s indication.</w:t>
      </w:r>
    </w:p>
    <w:p w14:paraId="63CF8CD3" w14:textId="77777777" w:rsidR="001F19D9" w:rsidRPr="00DB1399" w:rsidRDefault="001F19D9" w:rsidP="00DB1399">
      <w:r w:rsidRPr="00DB1399">
        <w:t>The ACM also recommended that information on the approved indication and population to be treated should be bolstered in the PI and CMI.</w:t>
      </w:r>
    </w:p>
    <w:p w14:paraId="2C5A546B" w14:textId="77777777" w:rsidR="001F19D9" w:rsidRPr="00DB1399" w:rsidRDefault="001F19D9" w:rsidP="00DB1399">
      <w:r w:rsidRPr="00DB1399">
        <w:t>The ACM advised that implementation by the sponsor of the recommendations outlined above to the satisfaction of the TGA, and that the evidence of efficacy and safety provided would support the safe and effective use of these products.</w:t>
      </w:r>
    </w:p>
    <w:p w14:paraId="20655794" w14:textId="77777777" w:rsidR="008E7846" w:rsidRPr="002E238E" w:rsidRDefault="008E7846" w:rsidP="008E7846">
      <w:pPr>
        <w:pStyle w:val="Heading3"/>
      </w:pPr>
      <w:bookmarkStart w:id="190" w:name="_Toc247691532"/>
      <w:bookmarkStart w:id="191" w:name="_Toc314842516"/>
      <w:bookmarkStart w:id="192" w:name="_Toc1555425"/>
      <w:bookmarkEnd w:id="95"/>
      <w:bookmarkEnd w:id="185"/>
      <w:bookmarkEnd w:id="186"/>
      <w:r>
        <w:t>Outcome</w:t>
      </w:r>
      <w:bookmarkEnd w:id="190"/>
      <w:bookmarkEnd w:id="191"/>
      <w:bookmarkEnd w:id="192"/>
    </w:p>
    <w:p w14:paraId="6ADD7FE9" w14:textId="77777777" w:rsidR="009045AC" w:rsidRDefault="00D23139" w:rsidP="00D23139">
      <w:bookmarkStart w:id="193" w:name="_Toc247691533"/>
      <w:bookmarkStart w:id="194" w:name="_Toc314842517"/>
      <w:r w:rsidRPr="00D23139">
        <w:t>Based on a review of quality, safety and efficacy, T</w:t>
      </w:r>
      <w:r w:rsidR="00F50ABF">
        <w:t>GA approved the registration of:</w:t>
      </w:r>
    </w:p>
    <w:p w14:paraId="4E8101DC" w14:textId="5E0874A8" w:rsidR="009045AC" w:rsidRDefault="00F50ABF" w:rsidP="009045AC">
      <w:pPr>
        <w:pStyle w:val="ListBullet"/>
      </w:pPr>
      <w:r>
        <w:t>Afinitor</w:t>
      </w:r>
      <w:r w:rsidR="009045AC">
        <w:t xml:space="preserve"> everolimus 5 mg tablet blister pack</w:t>
      </w:r>
      <w:r w:rsidR="000046CE">
        <w:t>;</w:t>
      </w:r>
    </w:p>
    <w:p w14:paraId="46312445" w14:textId="05702B8C" w:rsidR="009045AC" w:rsidRPr="009045AC" w:rsidRDefault="00F50ABF" w:rsidP="009045AC">
      <w:pPr>
        <w:pStyle w:val="ListBullet"/>
      </w:pPr>
      <w:r>
        <w:t>Afinitor</w:t>
      </w:r>
      <w:r w:rsidR="009045AC" w:rsidRPr="009045AC">
        <w:t xml:space="preserve"> everolimus 10 mg tablet blister pack</w:t>
      </w:r>
      <w:r w:rsidR="000046CE">
        <w:t>;</w:t>
      </w:r>
    </w:p>
    <w:p w14:paraId="6649529E" w14:textId="3B435D85" w:rsidR="009045AC" w:rsidRPr="009045AC" w:rsidRDefault="00F50ABF" w:rsidP="009045AC">
      <w:pPr>
        <w:pStyle w:val="ListBullet"/>
      </w:pPr>
      <w:r>
        <w:t>Afinitor</w:t>
      </w:r>
      <w:r w:rsidR="009045AC" w:rsidRPr="009045AC">
        <w:t xml:space="preserve"> everolimus 2.5 mg tablet blister pack</w:t>
      </w:r>
      <w:r w:rsidR="000046CE">
        <w:t>;</w:t>
      </w:r>
    </w:p>
    <w:p w14:paraId="25F3524A" w14:textId="226791FB" w:rsidR="009045AC" w:rsidRPr="009045AC" w:rsidRDefault="00F50ABF" w:rsidP="009045AC">
      <w:pPr>
        <w:pStyle w:val="ListBullet"/>
      </w:pPr>
      <w:r>
        <w:t>Afinitor</w:t>
      </w:r>
      <w:r w:rsidR="009045AC" w:rsidRPr="009045AC">
        <w:t xml:space="preserve"> everolimus 2 mg dispersible tablet blister pack</w:t>
      </w:r>
      <w:r w:rsidR="000046CE">
        <w:t>;</w:t>
      </w:r>
    </w:p>
    <w:p w14:paraId="02A8A107" w14:textId="7A581BC7" w:rsidR="009045AC" w:rsidRPr="009045AC" w:rsidRDefault="00F50ABF" w:rsidP="009045AC">
      <w:pPr>
        <w:pStyle w:val="ListBullet"/>
      </w:pPr>
      <w:r>
        <w:t>Afinitor</w:t>
      </w:r>
      <w:r w:rsidR="009045AC" w:rsidRPr="009045AC">
        <w:t xml:space="preserve"> everolimus 3 mg dispersible tablet blister pack</w:t>
      </w:r>
      <w:r w:rsidR="000046CE">
        <w:t>;</w:t>
      </w:r>
      <w:r>
        <w:t xml:space="preserve"> and</w:t>
      </w:r>
    </w:p>
    <w:p w14:paraId="1A36293E" w14:textId="77777777" w:rsidR="009045AC" w:rsidRPr="009045AC" w:rsidRDefault="00F50ABF" w:rsidP="009045AC">
      <w:pPr>
        <w:pStyle w:val="ListBullet"/>
      </w:pPr>
      <w:r>
        <w:t>Afinitor</w:t>
      </w:r>
      <w:r w:rsidR="009045AC" w:rsidRPr="009045AC">
        <w:t xml:space="preserve"> everolimus 5 mg disper</w:t>
      </w:r>
      <w:r>
        <w:t>sible tablet blister pack</w:t>
      </w:r>
    </w:p>
    <w:p w14:paraId="2AD8DCA2" w14:textId="77777777" w:rsidR="00D23139" w:rsidRDefault="00D23139" w:rsidP="009045AC">
      <w:proofErr w:type="gramStart"/>
      <w:r w:rsidRPr="00D23139">
        <w:lastRenderedPageBreak/>
        <w:t>indicated</w:t>
      </w:r>
      <w:proofErr w:type="gramEnd"/>
      <w:r w:rsidRPr="00D23139">
        <w:t xml:space="preserve"> for:</w:t>
      </w:r>
    </w:p>
    <w:p w14:paraId="5C950AAB" w14:textId="77777777" w:rsidR="00D23139" w:rsidRPr="009045AC" w:rsidRDefault="00F50ABF" w:rsidP="00FA529B">
      <w:pPr>
        <w:ind w:left="567"/>
        <w:rPr>
          <w:i/>
        </w:rPr>
      </w:pPr>
      <w:proofErr w:type="gramStart"/>
      <w:r>
        <w:rPr>
          <w:i/>
        </w:rPr>
        <w:t>‘</w:t>
      </w:r>
      <w:r w:rsidR="0089632C" w:rsidRPr="009045AC">
        <w:rPr>
          <w:i/>
        </w:rPr>
        <w:t>Adjunctive treatment of patients aged 2 years and older with TSC and associated refractory seizures.</w:t>
      </w:r>
      <w:r>
        <w:rPr>
          <w:i/>
        </w:rPr>
        <w:t>’</w:t>
      </w:r>
      <w:proofErr w:type="gramEnd"/>
    </w:p>
    <w:p w14:paraId="5CC71777" w14:textId="77777777" w:rsidR="00D23139" w:rsidRPr="00D23139" w:rsidRDefault="00D23139" w:rsidP="00D23139">
      <w:pPr>
        <w:pStyle w:val="Heading4"/>
      </w:pPr>
      <w:r w:rsidRPr="00D23139">
        <w:t>Specific conditions of registration applying to these goods</w:t>
      </w:r>
    </w:p>
    <w:p w14:paraId="5CDC05CC" w14:textId="58ACFE49" w:rsidR="009045AC" w:rsidRPr="009045AC" w:rsidRDefault="009045AC" w:rsidP="009045AC">
      <w:r w:rsidRPr="009045AC">
        <w:t>The everolimus Risk Management Plan (RMP), EU-RMP (version 13.0, date 16</w:t>
      </w:r>
      <w:r w:rsidR="000046CE">
        <w:t> </w:t>
      </w:r>
      <w:r w:rsidR="000046CE" w:rsidRPr="009045AC">
        <w:t>February</w:t>
      </w:r>
      <w:r w:rsidR="000046CE">
        <w:t> </w:t>
      </w:r>
      <w:r w:rsidRPr="009045AC">
        <w:t>2017, data lock point 2 October 2015 and 31 March 2</w:t>
      </w:r>
      <w:r>
        <w:t xml:space="preserve">016 for </w:t>
      </w:r>
      <w:r w:rsidR="001D5C8D">
        <w:t>TSC seizures</w:t>
      </w:r>
      <w:r>
        <w:t xml:space="preserve"> population </w:t>
      </w:r>
      <w:r w:rsidRPr="009045AC">
        <w:t>and CT dataset for pooled TSC setting respectively)</w:t>
      </w:r>
      <w:r>
        <w:t xml:space="preserve"> with Australian Specific Annex </w:t>
      </w:r>
      <w:r w:rsidRPr="009045AC">
        <w:t>(version 9.0, dated 21 July 2017) and any subsequent re</w:t>
      </w:r>
      <w:r>
        <w:t xml:space="preserve">visions, as agreed with the TGA </w:t>
      </w:r>
      <w:r w:rsidRPr="009045AC">
        <w:t>will be implemented in Australia.</w:t>
      </w:r>
    </w:p>
    <w:p w14:paraId="7FD74D94" w14:textId="77777777" w:rsidR="009045AC" w:rsidRPr="009045AC" w:rsidRDefault="00C9173F" w:rsidP="00C9173F">
      <w:pPr>
        <w:pStyle w:val="Heading4"/>
      </w:pPr>
      <w:r>
        <w:t>Post approval PI negotiation</w:t>
      </w:r>
    </w:p>
    <w:p w14:paraId="01C82B3E" w14:textId="77777777" w:rsidR="009045AC" w:rsidRPr="009045AC" w:rsidRDefault="00C9173F" w:rsidP="009045AC">
      <w:r>
        <w:t xml:space="preserve">Post approval the sponsor and the </w:t>
      </w:r>
      <w:r w:rsidR="00F50ABF">
        <w:t>Delegate</w:t>
      </w:r>
      <w:r>
        <w:t xml:space="preserve"> entered into negotiation regarding revision of the PI to include a black triangle warning. A reformatted PI was proposed and accepted by the </w:t>
      </w:r>
      <w:r w:rsidR="00F50ABF">
        <w:t>Delegate</w:t>
      </w:r>
      <w:r>
        <w:t xml:space="preserve"> and it is that which is provided as Attachment 1.</w:t>
      </w:r>
    </w:p>
    <w:p w14:paraId="772FA264" w14:textId="77777777" w:rsidR="008E7846" w:rsidRDefault="00A80B5B" w:rsidP="00D23139">
      <w:pPr>
        <w:pStyle w:val="Heading2"/>
      </w:pPr>
      <w:bookmarkStart w:id="195" w:name="_Toc1555426"/>
      <w:proofErr w:type="gramStart"/>
      <w:r>
        <w:t>Attachment 1.</w:t>
      </w:r>
      <w:proofErr w:type="gramEnd"/>
      <w:r>
        <w:t xml:space="preserve"> </w:t>
      </w:r>
      <w:r w:rsidR="008E7846">
        <w:t xml:space="preserve">Product </w:t>
      </w:r>
      <w:r w:rsidR="00AA0ED0">
        <w:t>I</w:t>
      </w:r>
      <w:r w:rsidR="008E7846">
        <w:t>nformation</w:t>
      </w:r>
      <w:bookmarkEnd w:id="193"/>
      <w:bookmarkEnd w:id="194"/>
      <w:bookmarkEnd w:id="195"/>
    </w:p>
    <w:p w14:paraId="7975D15C" w14:textId="3F77FDAA" w:rsidR="00F50ABF" w:rsidRDefault="006136D7" w:rsidP="00C80137">
      <w:r w:rsidRPr="002B3624">
        <w:t xml:space="preserve">The </w:t>
      </w:r>
      <w:r>
        <w:t>PI</w:t>
      </w:r>
      <w:r w:rsidRPr="002B3624">
        <w:t xml:space="preserve"> for </w:t>
      </w:r>
      <w:r w:rsidR="00C9173F">
        <w:t>Afinitor</w:t>
      </w:r>
      <w:r w:rsidRPr="002B3624">
        <w:t xml:space="preserve"> </w:t>
      </w:r>
      <w:r>
        <w:t>approved</w:t>
      </w:r>
      <w:r w:rsidR="00C9173F">
        <w:rPr>
          <w:rStyle w:val="FootnoteReference"/>
        </w:rPr>
        <w:footnoteReference w:id="43"/>
      </w:r>
      <w:r>
        <w:t xml:space="preserve">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0F572D">
        <w:t>&lt;</w:t>
      </w:r>
      <w:hyperlink r:id="rId44" w:history="1">
        <w:r w:rsidR="007C6B9B" w:rsidRPr="007C6B9B">
          <w:rPr>
            <w:rStyle w:val="Hyperlink"/>
          </w:rPr>
          <w:t>https://www.tga.gov.au/product-information-pi</w:t>
        </w:r>
      </w:hyperlink>
      <w:r w:rsidR="000F572D">
        <w:t>&gt;</w:t>
      </w:r>
      <w:r w:rsidR="00F50ABF">
        <w:t>.</w:t>
      </w:r>
    </w:p>
    <w:p w14:paraId="37EDB115" w14:textId="77777777" w:rsidR="00C80137" w:rsidRDefault="00C80137" w:rsidP="00C80137">
      <w:pPr>
        <w:pStyle w:val="Heading2"/>
        <w:rPr>
          <w:lang w:eastAsia="en-AU"/>
        </w:rPr>
      </w:pPr>
      <w:bookmarkStart w:id="196" w:name="_Toc1555427"/>
      <w:proofErr w:type="gramStart"/>
      <w:r>
        <w:rPr>
          <w:lang w:eastAsia="en-AU"/>
        </w:rPr>
        <w:t>Attachment 2.</w:t>
      </w:r>
      <w:proofErr w:type="gramEnd"/>
      <w:r w:rsidR="00A80B5B">
        <w:rPr>
          <w:lang w:eastAsia="en-AU"/>
        </w:rPr>
        <w:t xml:space="preserve"> </w:t>
      </w:r>
      <w:r>
        <w:rPr>
          <w:lang w:eastAsia="en-AU"/>
        </w:rPr>
        <w:t>Extract from the Clinical Evaluation Report</w:t>
      </w:r>
      <w:bookmarkEnd w:id="196"/>
    </w:p>
    <w:p w14:paraId="34AF3371" w14:textId="77777777" w:rsidR="00C80137" w:rsidRPr="001D043B" w:rsidRDefault="008E7846" w:rsidP="00EB24AF">
      <w:pPr>
        <w:autoSpaceDE w:val="0"/>
        <w:autoSpaceDN w:val="0"/>
        <w:adjustRightInd w:val="0"/>
        <w:spacing w:after="0"/>
        <w:rPr>
          <w:lang w:eastAsia="ja-JP"/>
        </w:rPr>
        <w:sectPr w:rsidR="00C80137" w:rsidRPr="001D043B" w:rsidSect="00B452CE">
          <w:headerReference w:type="even" r:id="rId45"/>
          <w:headerReference w:type="default" r:id="rId46"/>
          <w:headerReference w:type="first" r:id="rId47"/>
          <w:footerReference w:type="first" r:id="rId48"/>
          <w:pgSz w:w="11906" w:h="16838" w:code="9"/>
          <w:pgMar w:top="834"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496079D" w14:textId="77777777" w:rsidTr="00A05FA4">
        <w:trPr>
          <w:trHeight w:hRule="exact" w:val="704"/>
        </w:trPr>
        <w:tc>
          <w:tcPr>
            <w:tcW w:w="9175" w:type="dxa"/>
          </w:tcPr>
          <w:p w14:paraId="40555476" w14:textId="77777777" w:rsidR="001C32CD" w:rsidRPr="00487162" w:rsidRDefault="001C32CD" w:rsidP="00A05FA4">
            <w:pPr>
              <w:pStyle w:val="TGASignoff"/>
            </w:pPr>
            <w:r w:rsidRPr="00487162">
              <w:lastRenderedPageBreak/>
              <w:t>Therapeutic Goods Administration</w:t>
            </w:r>
          </w:p>
        </w:tc>
      </w:tr>
      <w:tr w:rsidR="001C32CD" w:rsidRPr="004C239D" w14:paraId="04584C61" w14:textId="77777777" w:rsidTr="00A05FA4">
        <w:trPr>
          <w:trHeight w:val="1221"/>
        </w:trPr>
        <w:tc>
          <w:tcPr>
            <w:tcW w:w="9175" w:type="dxa"/>
            <w:tcMar>
              <w:top w:w="28" w:type="dxa"/>
            </w:tcMar>
          </w:tcPr>
          <w:p w14:paraId="2AAED639" w14:textId="77777777" w:rsidR="001C32CD" w:rsidRPr="00487162" w:rsidRDefault="001C32CD" w:rsidP="00A05FA4">
            <w:pPr>
              <w:pStyle w:val="Address"/>
            </w:pPr>
            <w:r w:rsidRPr="00487162">
              <w:t>PO Box 100 Woden ACT 2606 Australia</w:t>
            </w:r>
          </w:p>
          <w:p w14:paraId="105D076D" w14:textId="77777777" w:rsidR="001C32CD" w:rsidRPr="00487162" w:rsidRDefault="001C32CD" w:rsidP="00A05FA4">
            <w:pPr>
              <w:pStyle w:val="Address"/>
            </w:pPr>
            <w:r w:rsidRPr="00487162">
              <w:t xml:space="preserve">Email: </w:t>
            </w:r>
            <w:hyperlink r:id="rId49" w:history="1">
              <w:r w:rsidRPr="004C239D">
                <w:rPr>
                  <w:rStyle w:val="Hyperlink"/>
                </w:rPr>
                <w:t>info@tga.gov.au</w:t>
              </w:r>
            </w:hyperlink>
            <w:r w:rsidR="00F50ABF">
              <w:t xml:space="preserve"> </w:t>
            </w:r>
            <w:r w:rsidRPr="00487162">
              <w:t>Phone: 1800 020 653</w:t>
            </w:r>
            <w:r w:rsidR="00F50ABF">
              <w:t xml:space="preserve"> </w:t>
            </w:r>
            <w:r w:rsidRPr="00487162">
              <w:t>Fax: 02 6232 8605</w:t>
            </w:r>
          </w:p>
          <w:p w14:paraId="5BF29559" w14:textId="77777777" w:rsidR="001C32CD" w:rsidRPr="004C239D" w:rsidRDefault="003E424C" w:rsidP="00A05FA4">
            <w:pPr>
              <w:pStyle w:val="Address"/>
              <w:spacing w:line="260" w:lineRule="atLeast"/>
              <w:rPr>
                <w:b/>
                <w:color w:val="0000FF"/>
                <w:u w:val="single"/>
              </w:rPr>
            </w:pPr>
            <w:hyperlink r:id="rId50" w:history="1">
              <w:r w:rsidR="007C6B9B" w:rsidRPr="007C6B9B">
                <w:rPr>
                  <w:rStyle w:val="Hyperlink"/>
                  <w:b/>
                </w:rPr>
                <w:t>https://www.tga.gov.au</w:t>
              </w:r>
            </w:hyperlink>
          </w:p>
        </w:tc>
      </w:tr>
    </w:tbl>
    <w:p w14:paraId="4A76DEEF" w14:textId="77777777" w:rsidR="00774E1D" w:rsidRPr="008A5E0B" w:rsidRDefault="00774E1D" w:rsidP="004C239D"/>
    <w:sectPr w:rsidR="00774E1D" w:rsidRPr="008A5E0B" w:rsidSect="001C32CD">
      <w:headerReference w:type="even" r:id="rId51"/>
      <w:headerReference w:type="default" r:id="rId52"/>
      <w:footerReference w:type="default" r:id="rId53"/>
      <w:headerReference w:type="first" r:id="rId54"/>
      <w:footerReference w:type="first" r:id="rId55"/>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2798EE9" w15:done="0"/>
  <w15:commentEx w15:paraId="6B952F52" w15:done="0"/>
  <w15:commentEx w15:paraId="4E0B3A25" w15:done="0"/>
  <w15:commentEx w15:paraId="015C8694" w15:done="0"/>
  <w15:commentEx w15:paraId="36F71EB9" w15:done="0"/>
  <w15:commentEx w15:paraId="2BC2A2DE" w15:done="0"/>
  <w15:commentEx w15:paraId="53DECE9F" w15:done="0"/>
  <w15:commentEx w15:paraId="5BED9FD4" w15:done="0"/>
  <w15:commentEx w15:paraId="421CBD6D" w15:done="0"/>
  <w15:commentEx w15:paraId="28F72162" w15:done="0"/>
  <w15:commentEx w15:paraId="608140C6" w15:done="0"/>
  <w15:commentEx w15:paraId="10071D98" w15:done="0"/>
  <w15:commentEx w15:paraId="6DD739A7" w15:done="0"/>
  <w15:commentEx w15:paraId="32A26115" w15:done="0"/>
  <w15:commentEx w15:paraId="13C19DCE" w15:paraIdParent="32A26115" w15:done="0"/>
  <w15:commentEx w15:paraId="42638495" w15:paraIdParent="32A26115" w15:done="0"/>
  <w15:commentEx w15:paraId="1CDF4D94" w15:done="0"/>
  <w15:commentEx w15:paraId="65BF27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036333" w14:textId="77777777" w:rsidR="003E424C" w:rsidRDefault="003E424C" w:rsidP="00C40A36">
      <w:pPr>
        <w:spacing w:after="0"/>
      </w:pPr>
      <w:r>
        <w:separator/>
      </w:r>
    </w:p>
  </w:endnote>
  <w:endnote w:type="continuationSeparator" w:id="0">
    <w:p w14:paraId="7459025A" w14:textId="77777777" w:rsidR="003E424C" w:rsidRDefault="003E424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Roman">
    <w:panose1 w:val="00000000000000000000"/>
    <w:charset w:val="00"/>
    <w:family w:val="roman"/>
    <w:notTrueType/>
    <w:pitch w:val="default"/>
    <w:sig w:usb0="00000003" w:usb1="00000000" w:usb2="00000000" w:usb3="00000000" w:csb0="00000001" w:csb1="00000000"/>
  </w:font>
  <w:font w:name="AdvOT88ac8687">
    <w:panose1 w:val="00000000000000000000"/>
    <w:charset w:val="00"/>
    <w:family w:val="roman"/>
    <w:notTrueType/>
    <w:pitch w:val="default"/>
    <w:sig w:usb0="00000003" w:usb1="00000000" w:usb2="00000000" w:usb3="00000000" w:csb0="00000001" w:csb1="00000000"/>
  </w:font>
  <w:font w:name="AdvPS6EC5">
    <w:panose1 w:val="00000000000000000000"/>
    <w:charset w:val="00"/>
    <w:family w:val="swiss"/>
    <w:notTrueType/>
    <w:pitch w:val="default"/>
    <w:sig w:usb0="00000003" w:usb1="00000000" w:usb2="00000000" w:usb3="00000000" w:csb0="00000001" w:csb1="00000000"/>
  </w:font>
  <w:font w:name="AdvPS7B6C">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05"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134"/>
    </w:tblGrid>
    <w:tr w:rsidR="003E424C" w:rsidRPr="00487162" w14:paraId="474E45AF" w14:textId="77777777" w:rsidTr="007F7A45">
      <w:trPr>
        <w:trHeight w:val="269"/>
      </w:trPr>
      <w:tc>
        <w:tcPr>
          <w:tcW w:w="7371" w:type="dxa"/>
          <w:tcMar>
            <w:top w:w="142" w:type="dxa"/>
            <w:bottom w:w="0" w:type="dxa"/>
          </w:tcMar>
        </w:tcPr>
        <w:p w14:paraId="1409476B" w14:textId="60D1E8AE" w:rsidR="003E424C" w:rsidRPr="00487162" w:rsidRDefault="003E424C" w:rsidP="00D62031">
          <w:pPr>
            <w:pStyle w:val="Footer"/>
          </w:pPr>
          <w:r w:rsidRPr="009E1F14">
            <w:t xml:space="preserve">AusPAR - AFINITOR - Everolimus - Novartis Pharmaceuticals Australia Pty Ltd  - PM-2016-03871-1-1 </w:t>
          </w:r>
          <w:r>
            <w:t>FINAL 30 November 2018</w:t>
          </w:r>
        </w:p>
      </w:tc>
      <w:tc>
        <w:tcPr>
          <w:tcW w:w="1134" w:type="dxa"/>
          <w:tcMar>
            <w:top w:w="142" w:type="dxa"/>
            <w:bottom w:w="0" w:type="dxa"/>
          </w:tcMar>
        </w:tcPr>
        <w:p w14:paraId="43058F11" w14:textId="046CFA50" w:rsidR="003E424C" w:rsidRPr="00487162" w:rsidRDefault="003E424C" w:rsidP="00DB750B">
          <w:pPr>
            <w:pStyle w:val="Footer"/>
            <w:jc w:val="right"/>
          </w:pPr>
          <w:r w:rsidRPr="00487162">
            <w:t xml:space="preserve">Page </w:t>
          </w:r>
          <w:r>
            <w:fldChar w:fldCharType="begin"/>
          </w:r>
          <w:r>
            <w:instrText xml:space="preserve"> PAGE  \* Arabic </w:instrText>
          </w:r>
          <w:r>
            <w:fldChar w:fldCharType="separate"/>
          </w:r>
          <w:r w:rsidR="00B218AC">
            <w:rPr>
              <w:noProof/>
            </w:rPr>
            <w:t>4</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B218AC">
            <w:rPr>
              <w:noProof/>
            </w:rPr>
            <w:t>74</w:t>
          </w:r>
          <w:r>
            <w:rPr>
              <w:noProof/>
            </w:rPr>
            <w:fldChar w:fldCharType="end"/>
          </w:r>
        </w:p>
      </w:tc>
    </w:tr>
  </w:tbl>
  <w:p w14:paraId="20D4217E" w14:textId="77777777" w:rsidR="003E424C" w:rsidRDefault="003E424C"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E424C" w:rsidRPr="00487162" w14:paraId="63FC4728" w14:textId="77777777" w:rsidTr="00E45619">
      <w:trPr>
        <w:trHeight w:val="269"/>
      </w:trPr>
      <w:tc>
        <w:tcPr>
          <w:tcW w:w="4519" w:type="dxa"/>
          <w:tcBorders>
            <w:top w:val="single" w:sz="4" w:space="0" w:color="auto"/>
          </w:tcBorders>
          <w:tcMar>
            <w:top w:w="142" w:type="dxa"/>
            <w:bottom w:w="0" w:type="dxa"/>
          </w:tcMar>
        </w:tcPr>
        <w:p w14:paraId="18F5B175" w14:textId="77777777" w:rsidR="003E424C" w:rsidRPr="00487162" w:rsidRDefault="003E424C" w:rsidP="00FE1DEE">
          <w:pPr>
            <w:pStyle w:val="Footer"/>
          </w:pPr>
          <w:r w:rsidRPr="00487162">
            <w:t>Document title, Part #, Section # - Section title</w:t>
          </w:r>
        </w:p>
        <w:p w14:paraId="24A5968B" w14:textId="77777777" w:rsidR="003E424C" w:rsidRPr="00487162" w:rsidRDefault="003E424C" w:rsidP="00FE1DEE">
          <w:pPr>
            <w:pStyle w:val="Footer"/>
          </w:pPr>
          <w:r w:rsidRPr="00487162">
            <w:t>V1.0 October 2010</w:t>
          </w:r>
        </w:p>
      </w:tc>
      <w:tc>
        <w:tcPr>
          <w:tcW w:w="4342" w:type="dxa"/>
          <w:tcBorders>
            <w:top w:val="single" w:sz="4" w:space="0" w:color="auto"/>
          </w:tcBorders>
          <w:tcMar>
            <w:top w:w="142" w:type="dxa"/>
            <w:bottom w:w="0" w:type="dxa"/>
          </w:tcMar>
        </w:tcPr>
        <w:p w14:paraId="7F8D1F72" w14:textId="77777777" w:rsidR="003E424C" w:rsidRPr="00487162" w:rsidRDefault="003E424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3</w:t>
          </w:r>
          <w:r>
            <w:rPr>
              <w:noProof/>
            </w:rPr>
            <w:fldChar w:fldCharType="end"/>
          </w:r>
        </w:p>
      </w:tc>
    </w:tr>
  </w:tbl>
  <w:p w14:paraId="6042B55A" w14:textId="77777777" w:rsidR="003E424C" w:rsidRDefault="003E42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DA1CC" w14:textId="77777777" w:rsidR="003E424C" w:rsidRPr="001C32CD" w:rsidRDefault="003E424C"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E424C" w14:paraId="14C84854" w14:textId="77777777" w:rsidTr="0010601F">
      <w:trPr>
        <w:trHeight w:val="108"/>
      </w:trPr>
      <w:tc>
        <w:tcPr>
          <w:tcW w:w="8875" w:type="dxa"/>
          <w:gridSpan w:val="2"/>
          <w:tcBorders>
            <w:bottom w:val="single" w:sz="4" w:space="0" w:color="auto"/>
          </w:tcBorders>
          <w:tcMar>
            <w:right w:w="284" w:type="dxa"/>
          </w:tcMar>
        </w:tcPr>
        <w:p w14:paraId="4B29AF06" w14:textId="77777777" w:rsidR="003E424C" w:rsidRDefault="003E424C" w:rsidP="006E08B3">
          <w:pPr>
            <w:pStyle w:val="Heading3"/>
          </w:pPr>
          <w:r>
            <w:t>Copyright</w:t>
          </w:r>
        </w:p>
        <w:p w14:paraId="192C527F" w14:textId="77777777" w:rsidR="003E424C" w:rsidRDefault="003E424C" w:rsidP="006E08B3">
          <w:r>
            <w:rPr>
              <w:rFonts w:cs="Arial"/>
            </w:rPr>
            <w:t>©</w:t>
          </w:r>
          <w:r>
            <w:t xml:space="preserve"> Commonwealth of Australia [add year]</w:t>
          </w:r>
        </w:p>
        <w:p w14:paraId="54659965" w14:textId="77777777" w:rsidR="003E424C" w:rsidRDefault="003E424C" w:rsidP="006E08B3"/>
        <w:p w14:paraId="58BA8790" w14:textId="77777777" w:rsidR="003E424C" w:rsidRDefault="003E424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6EF9148" w14:textId="77777777" w:rsidR="003E424C" w:rsidRDefault="003E424C" w:rsidP="006E08B3"/>
        <w:p w14:paraId="2FA53533" w14:textId="77777777" w:rsidR="003E424C" w:rsidRDefault="003E424C" w:rsidP="006E08B3">
          <w:pPr>
            <w:pStyle w:val="Heading3"/>
          </w:pPr>
          <w:r>
            <w:t>Confidentiality</w:t>
          </w:r>
        </w:p>
        <w:p w14:paraId="6FF6A849" w14:textId="77777777" w:rsidR="003E424C" w:rsidRDefault="003E424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4A2F2A7" w14:textId="77777777" w:rsidR="003E424C" w:rsidRDefault="003E424C" w:rsidP="006E08B3"/>
        <w:p w14:paraId="5A43CD81" w14:textId="77777777" w:rsidR="003E424C" w:rsidRDefault="003E424C" w:rsidP="006E08B3">
          <w:r>
            <w:t>For submission made by individuals, all personal details, other than your name, will be removed from your submission before it is published on the TGA’s Internet site.</w:t>
          </w:r>
        </w:p>
        <w:p w14:paraId="762FA9B9" w14:textId="77777777" w:rsidR="003E424C" w:rsidRDefault="003E424C" w:rsidP="006E08B3"/>
        <w:p w14:paraId="1D8F1293" w14:textId="77777777" w:rsidR="003E424C" w:rsidRDefault="003E424C"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3E424C" w14:paraId="0111C45E" w14:textId="77777777" w:rsidTr="0010601F">
      <w:trPr>
        <w:trHeight w:val="417"/>
      </w:trPr>
      <w:tc>
        <w:tcPr>
          <w:tcW w:w="4519" w:type="dxa"/>
          <w:tcBorders>
            <w:top w:val="single" w:sz="4" w:space="0" w:color="auto"/>
          </w:tcBorders>
          <w:tcMar>
            <w:top w:w="142" w:type="dxa"/>
            <w:bottom w:w="0" w:type="dxa"/>
          </w:tcMar>
        </w:tcPr>
        <w:p w14:paraId="628B7776" w14:textId="77777777" w:rsidR="003E424C" w:rsidRDefault="003E424C" w:rsidP="006E08B3">
          <w:r>
            <w:t>Document title, Part #, Section # - Section title</w:t>
          </w:r>
        </w:p>
        <w:p w14:paraId="1B72C582" w14:textId="77777777" w:rsidR="003E424C" w:rsidRDefault="003E424C" w:rsidP="006E08B3">
          <w:r>
            <w:t>V1.0 October 2010</w:t>
          </w:r>
        </w:p>
      </w:tc>
      <w:tc>
        <w:tcPr>
          <w:tcW w:w="4356" w:type="dxa"/>
          <w:tcBorders>
            <w:top w:val="single" w:sz="4" w:space="0" w:color="auto"/>
          </w:tcBorders>
          <w:tcMar>
            <w:top w:w="142" w:type="dxa"/>
            <w:bottom w:w="0" w:type="dxa"/>
          </w:tcMar>
        </w:tcPr>
        <w:p w14:paraId="1D0FC553" w14:textId="77777777" w:rsidR="003E424C" w:rsidRDefault="003E424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3</w:t>
          </w:r>
          <w:r>
            <w:rPr>
              <w:noProof/>
            </w:rPr>
            <w:fldChar w:fldCharType="end"/>
          </w:r>
          <w:r>
            <w:t xml:space="preserve">  </w:t>
          </w:r>
        </w:p>
      </w:tc>
    </w:tr>
  </w:tbl>
  <w:p w14:paraId="21A6FB01" w14:textId="77777777" w:rsidR="003E424C" w:rsidRDefault="003E42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68FD5" w14:textId="77777777" w:rsidR="003E424C" w:rsidRDefault="003E424C" w:rsidP="00C40A36">
      <w:pPr>
        <w:spacing w:after="0"/>
      </w:pPr>
      <w:r>
        <w:separator/>
      </w:r>
    </w:p>
  </w:footnote>
  <w:footnote w:type="continuationSeparator" w:id="0">
    <w:p w14:paraId="00CF97CB" w14:textId="77777777" w:rsidR="003E424C" w:rsidRDefault="003E424C" w:rsidP="00C40A36">
      <w:pPr>
        <w:spacing w:after="0"/>
      </w:pPr>
      <w:r>
        <w:continuationSeparator/>
      </w:r>
    </w:p>
  </w:footnote>
  <w:footnote w:id="1">
    <w:p w14:paraId="7CB9FD75" w14:textId="74FE048D" w:rsidR="003E424C" w:rsidRPr="00A13110" w:rsidRDefault="003E424C" w:rsidP="0044301B">
      <w:pPr>
        <w:pStyle w:val="FootnoteText"/>
        <w:rPr>
          <w:lang w:val="en-US"/>
        </w:rPr>
      </w:pPr>
      <w:r>
        <w:rPr>
          <w:rStyle w:val="FootnoteReference"/>
        </w:rPr>
        <w:footnoteRef/>
      </w:r>
      <w:r>
        <w:t xml:space="preserve"> </w:t>
      </w:r>
      <w:proofErr w:type="spellStart"/>
      <w:r>
        <w:rPr>
          <w:lang w:val="en-US"/>
        </w:rPr>
        <w:t>Crino</w:t>
      </w:r>
      <w:proofErr w:type="spellEnd"/>
      <w:r>
        <w:rPr>
          <w:lang w:val="en-US"/>
        </w:rPr>
        <w:t xml:space="preserve">, P.B. (2010), </w:t>
      </w:r>
      <w:proofErr w:type="gramStart"/>
      <w:r w:rsidRPr="00A13110">
        <w:rPr>
          <w:lang w:val="en-US"/>
        </w:rPr>
        <w:t>The</w:t>
      </w:r>
      <w:proofErr w:type="gramEnd"/>
      <w:r w:rsidRPr="00A13110">
        <w:rPr>
          <w:lang w:val="en-US"/>
        </w:rPr>
        <w:t xml:space="preserve"> </w:t>
      </w:r>
      <w:r w:rsidRPr="0044301B">
        <w:t>pathophysiology</w:t>
      </w:r>
      <w:r w:rsidRPr="00A13110">
        <w:rPr>
          <w:lang w:val="en-US"/>
        </w:rPr>
        <w:t xml:space="preserve"> of tuberous sclerosis complex</w:t>
      </w:r>
      <w:r>
        <w:rPr>
          <w:lang w:val="en-US"/>
        </w:rPr>
        <w:t xml:space="preserve">. </w:t>
      </w:r>
      <w:proofErr w:type="spellStart"/>
      <w:r w:rsidRPr="00526707">
        <w:rPr>
          <w:i/>
          <w:lang w:val="en-US"/>
        </w:rPr>
        <w:t>Epilepsia</w:t>
      </w:r>
      <w:proofErr w:type="spellEnd"/>
      <w:r w:rsidRPr="00A13110">
        <w:rPr>
          <w:lang w:val="en-US"/>
        </w:rPr>
        <w:t xml:space="preserve">, </w:t>
      </w:r>
      <w:r>
        <w:rPr>
          <w:lang w:val="en-US"/>
        </w:rPr>
        <w:t xml:space="preserve">2010; </w:t>
      </w:r>
      <w:r w:rsidRPr="00526707">
        <w:rPr>
          <w:lang w:val="en-US"/>
        </w:rPr>
        <w:t>51(Suppl. 1):</w:t>
      </w:r>
      <w:r>
        <w:rPr>
          <w:lang w:val="en-US"/>
        </w:rPr>
        <w:t xml:space="preserve"> </w:t>
      </w:r>
      <w:r w:rsidRPr="00526707">
        <w:rPr>
          <w:lang w:val="en-US"/>
        </w:rPr>
        <w:t>27–</w:t>
      </w:r>
      <w:r w:rsidRPr="00A13110">
        <w:rPr>
          <w:lang w:val="en-US"/>
        </w:rPr>
        <w:t>29</w:t>
      </w:r>
      <w:r>
        <w:rPr>
          <w:lang w:val="en-US"/>
        </w:rPr>
        <w:t>.</w:t>
      </w:r>
    </w:p>
  </w:footnote>
  <w:footnote w:id="2">
    <w:p w14:paraId="063D7E86" w14:textId="64EB8981" w:rsidR="003E424C" w:rsidRPr="002709C3" w:rsidRDefault="003E424C">
      <w:pPr>
        <w:pStyle w:val="FootnoteText"/>
        <w:rPr>
          <w:lang w:val="en-US"/>
        </w:rPr>
      </w:pPr>
      <w:r>
        <w:rPr>
          <w:rStyle w:val="FootnoteReference"/>
        </w:rPr>
        <w:footnoteRef/>
      </w:r>
      <w:r>
        <w:t xml:space="preserve"> </w:t>
      </w:r>
      <w:proofErr w:type="spellStart"/>
      <w:r w:rsidRPr="00D921AE">
        <w:rPr>
          <w:rFonts w:asciiTheme="minorHAnsi" w:hAnsiTheme="minorHAnsi"/>
          <w:szCs w:val="22"/>
        </w:rPr>
        <w:t>Ruegg</w:t>
      </w:r>
      <w:proofErr w:type="spellEnd"/>
      <w:r w:rsidRPr="00D921AE">
        <w:rPr>
          <w:rFonts w:asciiTheme="minorHAnsi" w:hAnsiTheme="minorHAnsi"/>
          <w:szCs w:val="22"/>
        </w:rPr>
        <w:t xml:space="preserve"> S., </w:t>
      </w:r>
      <w:r>
        <w:rPr>
          <w:rFonts w:asciiTheme="minorHAnsi" w:hAnsiTheme="minorHAnsi"/>
          <w:szCs w:val="22"/>
        </w:rPr>
        <w:t xml:space="preserve">et al (2007) </w:t>
      </w:r>
      <w:proofErr w:type="gramStart"/>
      <w:r w:rsidRPr="00D921AE">
        <w:rPr>
          <w:rFonts w:asciiTheme="minorHAnsi" w:hAnsiTheme="minorHAnsi"/>
          <w:szCs w:val="22"/>
        </w:rPr>
        <w:t>Effects</w:t>
      </w:r>
      <w:proofErr w:type="gramEnd"/>
      <w:r w:rsidRPr="00D921AE">
        <w:rPr>
          <w:rFonts w:asciiTheme="minorHAnsi" w:hAnsiTheme="minorHAnsi"/>
          <w:szCs w:val="22"/>
        </w:rPr>
        <w:t xml:space="preserve"> of rapamycin on gene expression, morphology, and electrophysiological properties of rat hippocampal neurons. </w:t>
      </w:r>
      <w:r w:rsidRPr="00D921AE">
        <w:rPr>
          <w:rFonts w:asciiTheme="minorHAnsi" w:hAnsiTheme="minorHAnsi"/>
          <w:i/>
          <w:szCs w:val="22"/>
        </w:rPr>
        <w:t>Epilepsy Research</w:t>
      </w:r>
      <w:r w:rsidRPr="00D921AE">
        <w:rPr>
          <w:rFonts w:asciiTheme="minorHAnsi" w:hAnsiTheme="minorHAnsi"/>
          <w:szCs w:val="22"/>
        </w:rPr>
        <w:t xml:space="preserve"> </w:t>
      </w:r>
      <w:r>
        <w:rPr>
          <w:rFonts w:asciiTheme="minorHAnsi" w:hAnsiTheme="minorHAnsi"/>
          <w:szCs w:val="22"/>
        </w:rPr>
        <w:t xml:space="preserve">2007; </w:t>
      </w:r>
      <w:r w:rsidRPr="002709C3">
        <w:rPr>
          <w:rFonts w:asciiTheme="minorHAnsi" w:hAnsiTheme="minorHAnsi"/>
          <w:bCs/>
          <w:szCs w:val="22"/>
        </w:rPr>
        <w:t>77</w:t>
      </w:r>
      <w:r w:rsidRPr="00D921AE">
        <w:rPr>
          <w:rFonts w:asciiTheme="minorHAnsi" w:hAnsiTheme="minorHAnsi"/>
          <w:b/>
          <w:bCs/>
          <w:szCs w:val="22"/>
        </w:rPr>
        <w:t>: </w:t>
      </w:r>
      <w:r>
        <w:rPr>
          <w:rFonts w:asciiTheme="minorHAnsi" w:hAnsiTheme="minorHAnsi"/>
          <w:szCs w:val="22"/>
        </w:rPr>
        <w:t>85-</w:t>
      </w:r>
      <w:r w:rsidRPr="00D921AE">
        <w:rPr>
          <w:rFonts w:asciiTheme="minorHAnsi" w:hAnsiTheme="minorHAnsi"/>
          <w:szCs w:val="22"/>
        </w:rPr>
        <w:t>92</w:t>
      </w:r>
    </w:p>
  </w:footnote>
  <w:footnote w:id="3">
    <w:p w14:paraId="002B8877" w14:textId="77777777" w:rsidR="003E424C" w:rsidRPr="008E4A23" w:rsidRDefault="003E424C">
      <w:pPr>
        <w:pStyle w:val="FootnoteText"/>
        <w:rPr>
          <w:lang w:val="en-US"/>
        </w:rPr>
      </w:pPr>
      <w:r>
        <w:rPr>
          <w:rStyle w:val="FootnoteReference"/>
        </w:rPr>
        <w:footnoteRef/>
      </w:r>
      <w:r>
        <w:t xml:space="preserve"> </w:t>
      </w:r>
      <w:r w:rsidRPr="008E4A23">
        <w:t xml:space="preserve">GABAA, an ionotropic receptor and ligand-gated ion channel. Its endogenous ligand is γ-aminobutyric acid (GABA); AMPA: α-amino-3-hydroxy-5-methyl-4-isoxazolepropionic acid receptor is an ionotropic transmembrane receptor for glutamate; NMDA </w:t>
      </w:r>
      <w:proofErr w:type="spellStart"/>
      <w:r w:rsidRPr="008E4A23">
        <w:t>NMDA</w:t>
      </w:r>
      <w:proofErr w:type="spellEnd"/>
      <w:r w:rsidRPr="008E4A23">
        <w:t xml:space="preserve"> receptor is very important for controlling synaptic plasticity and memory function. The NMDAR is a specific type of ionotropic glutamate receptor; the agonist molecule N-methyl-D-aspartate (NMDA) binds selectively to it, and not to other glutamate receptors.</w:t>
      </w:r>
    </w:p>
  </w:footnote>
  <w:footnote w:id="4">
    <w:p w14:paraId="211EF009" w14:textId="77777777" w:rsidR="003E424C" w:rsidRPr="002709C3" w:rsidRDefault="003E424C">
      <w:pPr>
        <w:pStyle w:val="FootnoteText"/>
        <w:rPr>
          <w:lang w:val="en-US"/>
        </w:rPr>
      </w:pPr>
      <w:r>
        <w:rPr>
          <w:rStyle w:val="FootnoteReference"/>
        </w:rPr>
        <w:footnoteRef/>
      </w:r>
      <w:r>
        <w:t xml:space="preserve"> </w:t>
      </w:r>
      <w:proofErr w:type="spellStart"/>
      <w:r>
        <w:rPr>
          <w:rFonts w:asciiTheme="minorHAnsi" w:hAnsiTheme="minorHAnsi"/>
          <w:szCs w:val="22"/>
        </w:rPr>
        <w:t>Daoud</w:t>
      </w:r>
      <w:proofErr w:type="spellEnd"/>
      <w:r>
        <w:rPr>
          <w:rFonts w:asciiTheme="minorHAnsi" w:hAnsiTheme="minorHAnsi"/>
          <w:szCs w:val="22"/>
        </w:rPr>
        <w:t xml:space="preserve"> D</w:t>
      </w:r>
      <w:r w:rsidRPr="00D921AE">
        <w:rPr>
          <w:rFonts w:asciiTheme="minorHAnsi" w:hAnsiTheme="minorHAnsi"/>
          <w:szCs w:val="22"/>
        </w:rPr>
        <w:t xml:space="preserve">. et al. (2007) Rapamycin: brain excitability studied </w:t>
      </w:r>
      <w:r w:rsidRPr="00D921AE">
        <w:rPr>
          <w:rFonts w:asciiTheme="minorHAnsi" w:hAnsiTheme="minorHAnsi"/>
          <w:i/>
          <w:szCs w:val="22"/>
        </w:rPr>
        <w:t>in vitro</w:t>
      </w:r>
      <w:r w:rsidRPr="00D921AE">
        <w:rPr>
          <w:rFonts w:asciiTheme="minorHAnsi" w:hAnsiTheme="minorHAnsi"/>
          <w:szCs w:val="22"/>
        </w:rPr>
        <w:t xml:space="preserve">. </w:t>
      </w:r>
      <w:proofErr w:type="spellStart"/>
      <w:r w:rsidRPr="00D921AE">
        <w:rPr>
          <w:rFonts w:asciiTheme="minorHAnsi" w:hAnsiTheme="minorHAnsi"/>
          <w:i/>
          <w:szCs w:val="22"/>
        </w:rPr>
        <w:t>Epilepsia</w:t>
      </w:r>
      <w:proofErr w:type="spellEnd"/>
      <w:r w:rsidRPr="00D921AE">
        <w:rPr>
          <w:rFonts w:asciiTheme="minorHAnsi" w:hAnsiTheme="minorHAnsi"/>
          <w:szCs w:val="22"/>
        </w:rPr>
        <w:t xml:space="preserve"> </w:t>
      </w:r>
      <w:r>
        <w:rPr>
          <w:rFonts w:asciiTheme="minorHAnsi" w:hAnsiTheme="minorHAnsi"/>
          <w:szCs w:val="22"/>
        </w:rPr>
        <w:t>2007; 48</w:t>
      </w:r>
      <w:r w:rsidRPr="002709C3">
        <w:rPr>
          <w:rFonts w:asciiTheme="minorHAnsi" w:hAnsiTheme="minorHAnsi"/>
          <w:szCs w:val="22"/>
        </w:rPr>
        <w:t>:</w:t>
      </w:r>
      <w:r>
        <w:rPr>
          <w:rFonts w:asciiTheme="minorHAnsi" w:hAnsiTheme="minorHAnsi"/>
          <w:szCs w:val="22"/>
        </w:rPr>
        <w:t xml:space="preserve"> </w:t>
      </w:r>
      <w:r w:rsidRPr="002709C3">
        <w:rPr>
          <w:rFonts w:asciiTheme="minorHAnsi" w:hAnsiTheme="minorHAnsi"/>
          <w:szCs w:val="22"/>
        </w:rPr>
        <w:t>834-</w:t>
      </w:r>
      <w:r>
        <w:rPr>
          <w:rFonts w:asciiTheme="minorHAnsi" w:hAnsiTheme="minorHAnsi"/>
          <w:szCs w:val="22"/>
        </w:rPr>
        <w:t>83</w:t>
      </w:r>
      <w:r w:rsidRPr="002709C3">
        <w:rPr>
          <w:rFonts w:asciiTheme="minorHAnsi" w:hAnsiTheme="minorHAnsi"/>
          <w:szCs w:val="22"/>
        </w:rPr>
        <w:t>6</w:t>
      </w:r>
    </w:p>
  </w:footnote>
  <w:footnote w:id="5">
    <w:p w14:paraId="3AEB4297" w14:textId="77777777" w:rsidR="003E424C" w:rsidRPr="002709C3" w:rsidRDefault="003E424C">
      <w:pPr>
        <w:pStyle w:val="FootnoteText"/>
        <w:rPr>
          <w:lang w:val="en-US"/>
        </w:rPr>
      </w:pPr>
      <w:r>
        <w:rPr>
          <w:rStyle w:val="FootnoteReference"/>
        </w:rPr>
        <w:footnoteRef/>
      </w:r>
      <w:r>
        <w:t xml:space="preserve"> </w:t>
      </w:r>
      <w:proofErr w:type="spellStart"/>
      <w:r w:rsidRPr="00D921AE">
        <w:rPr>
          <w:rFonts w:asciiTheme="minorHAnsi" w:eastAsiaTheme="minorHAnsi" w:hAnsiTheme="minorHAnsi"/>
          <w:szCs w:val="22"/>
        </w:rPr>
        <w:t>Bateup</w:t>
      </w:r>
      <w:proofErr w:type="spellEnd"/>
      <w:r w:rsidRPr="00D921AE">
        <w:rPr>
          <w:rFonts w:asciiTheme="minorHAnsi" w:eastAsiaTheme="minorHAnsi" w:hAnsiTheme="minorHAnsi"/>
          <w:szCs w:val="22"/>
        </w:rPr>
        <w:t xml:space="preserve"> H.S., et al. (2013)] Excitatory/inhibitory synaptic imbalance leads to hippocampal </w:t>
      </w:r>
      <w:proofErr w:type="spellStart"/>
      <w:r w:rsidRPr="00D921AE">
        <w:rPr>
          <w:rFonts w:asciiTheme="minorHAnsi" w:eastAsiaTheme="minorHAnsi" w:hAnsiTheme="minorHAnsi"/>
          <w:szCs w:val="22"/>
        </w:rPr>
        <w:t>hyperexcitability</w:t>
      </w:r>
      <w:proofErr w:type="spellEnd"/>
      <w:r w:rsidRPr="00D921AE">
        <w:rPr>
          <w:rFonts w:asciiTheme="minorHAnsi" w:eastAsiaTheme="minorHAnsi" w:hAnsiTheme="minorHAnsi"/>
          <w:szCs w:val="22"/>
        </w:rPr>
        <w:t xml:space="preserve"> in mouse models of tuberous sclerosis. </w:t>
      </w:r>
      <w:r w:rsidRPr="00D921AE">
        <w:rPr>
          <w:rFonts w:asciiTheme="minorHAnsi" w:eastAsiaTheme="minorHAnsi" w:hAnsiTheme="minorHAnsi"/>
          <w:i/>
          <w:szCs w:val="22"/>
        </w:rPr>
        <w:t>Neuron</w:t>
      </w:r>
      <w:r w:rsidRPr="00D921AE">
        <w:rPr>
          <w:rFonts w:asciiTheme="minorHAnsi" w:eastAsiaTheme="minorHAnsi" w:hAnsiTheme="minorHAnsi"/>
          <w:szCs w:val="22"/>
        </w:rPr>
        <w:t xml:space="preserve"> </w:t>
      </w:r>
      <w:r>
        <w:rPr>
          <w:rFonts w:asciiTheme="minorHAnsi" w:eastAsiaTheme="minorHAnsi" w:hAnsiTheme="minorHAnsi"/>
          <w:szCs w:val="22"/>
        </w:rPr>
        <w:t xml:space="preserve">2013; </w:t>
      </w:r>
      <w:r w:rsidRPr="002709C3">
        <w:rPr>
          <w:rFonts w:asciiTheme="minorHAnsi" w:eastAsiaTheme="minorHAnsi" w:hAnsiTheme="minorHAnsi"/>
          <w:szCs w:val="22"/>
        </w:rPr>
        <w:t>78:</w:t>
      </w:r>
      <w:r>
        <w:rPr>
          <w:rFonts w:asciiTheme="minorHAnsi" w:eastAsiaTheme="minorHAnsi" w:hAnsiTheme="minorHAnsi"/>
          <w:szCs w:val="22"/>
        </w:rPr>
        <w:t xml:space="preserve"> </w:t>
      </w:r>
      <w:r w:rsidRPr="00D921AE">
        <w:rPr>
          <w:rFonts w:asciiTheme="minorHAnsi" w:eastAsiaTheme="minorHAnsi" w:hAnsiTheme="minorHAnsi"/>
          <w:szCs w:val="22"/>
        </w:rPr>
        <w:t>510-522</w:t>
      </w:r>
    </w:p>
  </w:footnote>
  <w:footnote w:id="6">
    <w:p w14:paraId="6E66815B" w14:textId="77777777" w:rsidR="003E424C" w:rsidRPr="002709C3" w:rsidRDefault="003E424C">
      <w:pPr>
        <w:pStyle w:val="FootnoteText"/>
        <w:rPr>
          <w:lang w:val="en-US"/>
        </w:rPr>
      </w:pPr>
      <w:r>
        <w:rPr>
          <w:rStyle w:val="FootnoteReference"/>
        </w:rPr>
        <w:footnoteRef/>
      </w:r>
      <w:r>
        <w:t xml:space="preserve"> </w:t>
      </w:r>
      <w:proofErr w:type="gramStart"/>
      <w:r w:rsidRPr="00D921AE">
        <w:rPr>
          <w:rFonts w:asciiTheme="minorHAnsi" w:hAnsiTheme="minorHAnsi"/>
          <w:szCs w:val="22"/>
        </w:rPr>
        <w:t xml:space="preserve">McMahon J., </w:t>
      </w:r>
      <w:r w:rsidRPr="004225CF">
        <w:rPr>
          <w:rFonts w:asciiTheme="minorHAnsi" w:hAnsiTheme="minorHAnsi"/>
          <w:i/>
          <w:szCs w:val="22"/>
        </w:rPr>
        <w:t>et al</w:t>
      </w:r>
      <w:r w:rsidRPr="00D921AE">
        <w:rPr>
          <w:rFonts w:asciiTheme="minorHAnsi" w:hAnsiTheme="minorHAnsi"/>
          <w:szCs w:val="22"/>
        </w:rPr>
        <w:t xml:space="preserve">. (2012) Impaired autophagy in neurons after disinhibition of mammalian target of rapamycin and its contribution to </w:t>
      </w:r>
      <w:proofErr w:type="spellStart"/>
      <w:r w:rsidRPr="00D921AE">
        <w:rPr>
          <w:rFonts w:asciiTheme="minorHAnsi" w:hAnsiTheme="minorHAnsi"/>
          <w:szCs w:val="22"/>
        </w:rPr>
        <w:t>epileptogenesis</w:t>
      </w:r>
      <w:proofErr w:type="spellEnd"/>
      <w:r w:rsidRPr="00D921AE">
        <w:rPr>
          <w:rFonts w:asciiTheme="minorHAnsi" w:hAnsiTheme="minorHAnsi"/>
          <w:i/>
          <w:szCs w:val="22"/>
        </w:rPr>
        <w:t>.</w:t>
      </w:r>
      <w:proofErr w:type="gramEnd"/>
      <w:r w:rsidRPr="00D921AE">
        <w:rPr>
          <w:rFonts w:asciiTheme="minorHAnsi" w:hAnsiTheme="minorHAnsi"/>
          <w:i/>
          <w:szCs w:val="22"/>
        </w:rPr>
        <w:t xml:space="preserve"> J. Neurosciences</w:t>
      </w:r>
      <w:r>
        <w:rPr>
          <w:rFonts w:asciiTheme="minorHAnsi" w:hAnsiTheme="minorHAnsi"/>
          <w:i/>
          <w:szCs w:val="22"/>
        </w:rPr>
        <w:t xml:space="preserve"> 2012</w:t>
      </w:r>
      <w:r w:rsidRPr="002709C3">
        <w:rPr>
          <w:rFonts w:asciiTheme="minorHAnsi" w:hAnsiTheme="minorHAnsi"/>
          <w:i/>
          <w:szCs w:val="22"/>
        </w:rPr>
        <w:t xml:space="preserve">; </w:t>
      </w:r>
      <w:r w:rsidRPr="002709C3">
        <w:rPr>
          <w:rFonts w:asciiTheme="minorHAnsi" w:hAnsiTheme="minorHAnsi"/>
          <w:szCs w:val="22"/>
        </w:rPr>
        <w:t>32:</w:t>
      </w:r>
      <w:r>
        <w:rPr>
          <w:rFonts w:asciiTheme="minorHAnsi" w:hAnsiTheme="minorHAnsi"/>
          <w:szCs w:val="22"/>
        </w:rPr>
        <w:t xml:space="preserve"> </w:t>
      </w:r>
      <w:r w:rsidRPr="00D921AE">
        <w:rPr>
          <w:rFonts w:asciiTheme="minorHAnsi" w:hAnsiTheme="minorHAnsi"/>
          <w:szCs w:val="22"/>
        </w:rPr>
        <w:t>15704-</w:t>
      </w:r>
      <w:r>
        <w:rPr>
          <w:rFonts w:asciiTheme="minorHAnsi" w:hAnsiTheme="minorHAnsi"/>
          <w:szCs w:val="22"/>
        </w:rPr>
        <w:t>157</w:t>
      </w:r>
      <w:r w:rsidRPr="00D921AE">
        <w:rPr>
          <w:rFonts w:asciiTheme="minorHAnsi" w:hAnsiTheme="minorHAnsi"/>
          <w:szCs w:val="22"/>
        </w:rPr>
        <w:t>14</w:t>
      </w:r>
    </w:p>
  </w:footnote>
  <w:footnote w:id="7">
    <w:p w14:paraId="6D7D6C7A" w14:textId="77777777" w:rsidR="003E424C" w:rsidRPr="002709C3" w:rsidRDefault="003E424C">
      <w:pPr>
        <w:pStyle w:val="FootnoteText"/>
        <w:rPr>
          <w:lang w:val="en-US"/>
        </w:rPr>
      </w:pPr>
      <w:r>
        <w:rPr>
          <w:rStyle w:val="FootnoteReference"/>
        </w:rPr>
        <w:footnoteRef/>
      </w:r>
      <w:r>
        <w:t xml:space="preserve"> </w:t>
      </w:r>
      <w:proofErr w:type="spellStart"/>
      <w:r w:rsidRPr="00D921AE">
        <w:rPr>
          <w:rFonts w:asciiTheme="minorHAnsi" w:hAnsiTheme="minorHAnsi"/>
          <w:szCs w:val="22"/>
        </w:rPr>
        <w:t>Meikle</w:t>
      </w:r>
      <w:proofErr w:type="spellEnd"/>
      <w:r w:rsidRPr="00D921AE">
        <w:rPr>
          <w:rFonts w:asciiTheme="minorHAnsi" w:hAnsiTheme="minorHAnsi"/>
          <w:szCs w:val="22"/>
        </w:rPr>
        <w:t xml:space="preserve"> L., </w:t>
      </w:r>
      <w:r w:rsidRPr="004225CF">
        <w:rPr>
          <w:rFonts w:asciiTheme="minorHAnsi" w:hAnsiTheme="minorHAnsi"/>
          <w:i/>
          <w:szCs w:val="22"/>
        </w:rPr>
        <w:t>et al.</w:t>
      </w:r>
      <w:r w:rsidRPr="00D921AE">
        <w:rPr>
          <w:rFonts w:asciiTheme="minorHAnsi" w:hAnsiTheme="minorHAnsi"/>
          <w:szCs w:val="22"/>
        </w:rPr>
        <w:t xml:space="preserve"> (2007) </w:t>
      </w:r>
      <w:proofErr w:type="gramStart"/>
      <w:r w:rsidRPr="00D921AE">
        <w:rPr>
          <w:rFonts w:asciiTheme="minorHAnsi" w:hAnsiTheme="minorHAnsi"/>
          <w:szCs w:val="22"/>
        </w:rPr>
        <w:t>A</w:t>
      </w:r>
      <w:proofErr w:type="gramEnd"/>
      <w:r w:rsidRPr="00D921AE">
        <w:rPr>
          <w:rFonts w:asciiTheme="minorHAnsi" w:hAnsiTheme="minorHAnsi"/>
          <w:szCs w:val="22"/>
        </w:rPr>
        <w:t xml:space="preserve"> mouse model of tuberous sclerosis: neuronal loss of Tsc1 causes dysplastic and ectopic neurons, reduced myelination, seizure activity, and limited survival. </w:t>
      </w:r>
      <w:r w:rsidRPr="00D921AE">
        <w:rPr>
          <w:rFonts w:asciiTheme="minorHAnsi" w:hAnsiTheme="minorHAnsi"/>
          <w:i/>
          <w:szCs w:val="22"/>
        </w:rPr>
        <w:t>J. Neurosci.</w:t>
      </w:r>
      <w:r>
        <w:rPr>
          <w:rFonts w:asciiTheme="minorHAnsi" w:hAnsiTheme="minorHAnsi"/>
          <w:i/>
          <w:szCs w:val="22"/>
        </w:rPr>
        <w:t>2007;</w:t>
      </w:r>
      <w:r w:rsidRPr="00D921AE">
        <w:rPr>
          <w:rFonts w:asciiTheme="minorHAnsi" w:hAnsiTheme="minorHAnsi"/>
          <w:szCs w:val="22"/>
        </w:rPr>
        <w:t xml:space="preserve"> </w:t>
      </w:r>
      <w:r w:rsidRPr="002709C3">
        <w:rPr>
          <w:rFonts w:asciiTheme="minorHAnsi" w:hAnsiTheme="minorHAnsi"/>
          <w:szCs w:val="22"/>
        </w:rPr>
        <w:t>27</w:t>
      </w:r>
      <w:r w:rsidRPr="00D921AE">
        <w:rPr>
          <w:rFonts w:asciiTheme="minorHAnsi" w:hAnsiTheme="minorHAnsi"/>
          <w:szCs w:val="22"/>
        </w:rPr>
        <w:t>:</w:t>
      </w:r>
      <w:r>
        <w:rPr>
          <w:rFonts w:asciiTheme="minorHAnsi" w:hAnsiTheme="minorHAnsi"/>
          <w:szCs w:val="22"/>
        </w:rPr>
        <w:t xml:space="preserve"> </w:t>
      </w:r>
      <w:r w:rsidRPr="00D921AE">
        <w:rPr>
          <w:rFonts w:asciiTheme="minorHAnsi" w:hAnsiTheme="minorHAnsi"/>
          <w:szCs w:val="22"/>
        </w:rPr>
        <w:t>5546–</w:t>
      </w:r>
      <w:r>
        <w:rPr>
          <w:rFonts w:asciiTheme="minorHAnsi" w:hAnsiTheme="minorHAnsi"/>
          <w:szCs w:val="22"/>
        </w:rPr>
        <w:t>55</w:t>
      </w:r>
      <w:r w:rsidRPr="00D921AE">
        <w:rPr>
          <w:rFonts w:asciiTheme="minorHAnsi" w:hAnsiTheme="minorHAnsi"/>
          <w:szCs w:val="22"/>
        </w:rPr>
        <w:t>58</w:t>
      </w:r>
    </w:p>
  </w:footnote>
  <w:footnote w:id="8">
    <w:p w14:paraId="7FB77E3A" w14:textId="77777777" w:rsidR="003E424C" w:rsidRPr="002709C3" w:rsidRDefault="003E424C">
      <w:pPr>
        <w:pStyle w:val="FootnoteText"/>
        <w:rPr>
          <w:lang w:val="en-US"/>
        </w:rPr>
      </w:pPr>
      <w:r>
        <w:rPr>
          <w:rStyle w:val="FootnoteReference"/>
        </w:rPr>
        <w:footnoteRef/>
      </w:r>
      <w:r>
        <w:t xml:space="preserve"> </w:t>
      </w:r>
      <w:r w:rsidRPr="00D921AE">
        <w:rPr>
          <w:rFonts w:asciiTheme="minorHAnsi" w:hAnsiTheme="minorHAnsi"/>
          <w:szCs w:val="22"/>
        </w:rPr>
        <w:t xml:space="preserve">Moon U.Y., et al. (2015) Impaired Reelin-Dab1 </w:t>
      </w:r>
      <w:proofErr w:type="spellStart"/>
      <w:r w:rsidRPr="00D921AE">
        <w:rPr>
          <w:rFonts w:asciiTheme="minorHAnsi" w:hAnsiTheme="minorHAnsi"/>
          <w:szCs w:val="22"/>
        </w:rPr>
        <w:t>Signaling</w:t>
      </w:r>
      <w:proofErr w:type="spellEnd"/>
      <w:r w:rsidRPr="00D921AE">
        <w:rPr>
          <w:rFonts w:asciiTheme="minorHAnsi" w:hAnsiTheme="minorHAnsi"/>
          <w:szCs w:val="22"/>
        </w:rPr>
        <w:t xml:space="preserve"> Contributes to Neuronal Migration Deficits of Tuberous Sclerosis Complex. </w:t>
      </w:r>
      <w:r w:rsidRPr="00D921AE">
        <w:rPr>
          <w:rFonts w:asciiTheme="minorHAnsi" w:hAnsiTheme="minorHAnsi"/>
          <w:i/>
          <w:szCs w:val="22"/>
        </w:rPr>
        <w:t>Cell Rep.</w:t>
      </w:r>
      <w:r w:rsidRPr="00D921AE">
        <w:rPr>
          <w:rFonts w:asciiTheme="minorHAnsi" w:hAnsiTheme="minorHAnsi"/>
          <w:szCs w:val="22"/>
        </w:rPr>
        <w:t xml:space="preserve"> </w:t>
      </w:r>
      <w:r>
        <w:rPr>
          <w:rFonts w:asciiTheme="minorHAnsi" w:hAnsiTheme="minorHAnsi"/>
          <w:szCs w:val="22"/>
        </w:rPr>
        <w:t xml:space="preserve">2015; 12 </w:t>
      </w:r>
      <w:r w:rsidRPr="002709C3">
        <w:rPr>
          <w:rFonts w:asciiTheme="minorHAnsi" w:hAnsiTheme="minorHAnsi"/>
          <w:szCs w:val="22"/>
        </w:rPr>
        <w:t>:</w:t>
      </w:r>
      <w:r>
        <w:rPr>
          <w:rFonts w:asciiTheme="minorHAnsi" w:hAnsiTheme="minorHAnsi"/>
          <w:szCs w:val="22"/>
        </w:rPr>
        <w:t xml:space="preserve"> </w:t>
      </w:r>
      <w:r w:rsidRPr="00D921AE">
        <w:rPr>
          <w:rFonts w:asciiTheme="minorHAnsi" w:hAnsiTheme="minorHAnsi"/>
          <w:szCs w:val="22"/>
        </w:rPr>
        <w:t>965-</w:t>
      </w:r>
      <w:r>
        <w:rPr>
          <w:rFonts w:asciiTheme="minorHAnsi" w:hAnsiTheme="minorHAnsi"/>
          <w:szCs w:val="22"/>
        </w:rPr>
        <w:t>9</w:t>
      </w:r>
      <w:r w:rsidRPr="00D921AE">
        <w:rPr>
          <w:rFonts w:asciiTheme="minorHAnsi" w:hAnsiTheme="minorHAnsi"/>
          <w:szCs w:val="22"/>
        </w:rPr>
        <w:t>78</w:t>
      </w:r>
    </w:p>
  </w:footnote>
  <w:footnote w:id="9">
    <w:p w14:paraId="3D72654A" w14:textId="77777777" w:rsidR="003E424C" w:rsidRPr="002709C3" w:rsidRDefault="003E424C">
      <w:pPr>
        <w:pStyle w:val="FootnoteText"/>
        <w:rPr>
          <w:lang w:val="en-US"/>
        </w:rPr>
      </w:pPr>
      <w:r>
        <w:rPr>
          <w:rStyle w:val="FootnoteReference"/>
        </w:rPr>
        <w:footnoteRef/>
      </w:r>
      <w:r>
        <w:t xml:space="preserve"> </w:t>
      </w:r>
      <w:r w:rsidRPr="00D921AE">
        <w:rPr>
          <w:rFonts w:asciiTheme="minorHAnsi" w:eastAsiaTheme="minorHAnsi" w:hAnsiTheme="minorHAnsi"/>
          <w:szCs w:val="22"/>
        </w:rPr>
        <w:t xml:space="preserve">Feliciano D.M., et al (2011). Single-cell Tsc1 knockout during </w:t>
      </w:r>
      <w:proofErr w:type="spellStart"/>
      <w:r w:rsidRPr="00D921AE">
        <w:rPr>
          <w:rFonts w:asciiTheme="minorHAnsi" w:eastAsiaTheme="minorHAnsi" w:hAnsiTheme="minorHAnsi"/>
          <w:szCs w:val="22"/>
        </w:rPr>
        <w:t>corticogenesis</w:t>
      </w:r>
      <w:proofErr w:type="spellEnd"/>
      <w:r w:rsidRPr="00D921AE">
        <w:rPr>
          <w:rFonts w:asciiTheme="minorHAnsi" w:eastAsiaTheme="minorHAnsi" w:hAnsiTheme="minorHAnsi"/>
          <w:szCs w:val="22"/>
        </w:rPr>
        <w:t xml:space="preserve"> generates tuber-like lesions and reduces seizure threshold in mice. </w:t>
      </w:r>
      <w:r w:rsidRPr="00D921AE">
        <w:rPr>
          <w:rFonts w:asciiTheme="minorHAnsi" w:eastAsiaTheme="minorHAnsi" w:hAnsiTheme="minorHAnsi"/>
          <w:i/>
          <w:szCs w:val="22"/>
        </w:rPr>
        <w:t>Journal of Clinical</w:t>
      </w:r>
      <w:r w:rsidRPr="00D921AE">
        <w:rPr>
          <w:rFonts w:asciiTheme="minorHAnsi" w:eastAsiaTheme="minorHAnsi" w:hAnsiTheme="minorHAnsi"/>
          <w:szCs w:val="22"/>
        </w:rPr>
        <w:t xml:space="preserve"> </w:t>
      </w:r>
      <w:r w:rsidRPr="002709C3">
        <w:rPr>
          <w:rFonts w:asciiTheme="minorHAnsi" w:eastAsiaTheme="minorHAnsi" w:hAnsiTheme="minorHAnsi"/>
          <w:i/>
          <w:szCs w:val="22"/>
        </w:rPr>
        <w:t>Investigation</w:t>
      </w:r>
      <w:r w:rsidRPr="002709C3">
        <w:rPr>
          <w:rFonts w:asciiTheme="minorHAnsi" w:eastAsiaTheme="minorHAnsi" w:hAnsiTheme="minorHAnsi"/>
          <w:szCs w:val="22"/>
        </w:rPr>
        <w:t xml:space="preserve"> </w:t>
      </w:r>
      <w:r>
        <w:rPr>
          <w:rFonts w:asciiTheme="minorHAnsi" w:eastAsiaTheme="minorHAnsi" w:hAnsiTheme="minorHAnsi"/>
          <w:szCs w:val="22"/>
        </w:rPr>
        <w:t>2011; 121</w:t>
      </w:r>
      <w:r w:rsidRPr="002709C3">
        <w:rPr>
          <w:rFonts w:asciiTheme="minorHAnsi" w:eastAsiaTheme="minorHAnsi" w:hAnsiTheme="minorHAnsi"/>
          <w:szCs w:val="22"/>
        </w:rPr>
        <w:t>:</w:t>
      </w:r>
      <w:r>
        <w:rPr>
          <w:rFonts w:asciiTheme="minorHAnsi" w:eastAsiaTheme="minorHAnsi" w:hAnsiTheme="minorHAnsi"/>
          <w:szCs w:val="22"/>
        </w:rPr>
        <w:t xml:space="preserve"> </w:t>
      </w:r>
      <w:r w:rsidRPr="00D921AE">
        <w:rPr>
          <w:rFonts w:asciiTheme="minorHAnsi" w:eastAsiaTheme="minorHAnsi" w:hAnsiTheme="minorHAnsi"/>
          <w:szCs w:val="22"/>
        </w:rPr>
        <w:t>1596-</w:t>
      </w:r>
      <w:r>
        <w:rPr>
          <w:rFonts w:asciiTheme="minorHAnsi" w:eastAsiaTheme="minorHAnsi" w:hAnsiTheme="minorHAnsi"/>
          <w:szCs w:val="22"/>
        </w:rPr>
        <w:t>1</w:t>
      </w:r>
      <w:r w:rsidRPr="00D921AE">
        <w:rPr>
          <w:rFonts w:asciiTheme="minorHAnsi" w:eastAsiaTheme="minorHAnsi" w:hAnsiTheme="minorHAnsi"/>
          <w:szCs w:val="22"/>
        </w:rPr>
        <w:t>607</w:t>
      </w:r>
    </w:p>
  </w:footnote>
  <w:footnote w:id="10">
    <w:p w14:paraId="68A4A936" w14:textId="77777777" w:rsidR="003E424C" w:rsidRPr="002709C3" w:rsidRDefault="003E424C">
      <w:pPr>
        <w:pStyle w:val="FootnoteText"/>
        <w:rPr>
          <w:lang w:val="en-US"/>
        </w:rPr>
      </w:pPr>
      <w:r>
        <w:rPr>
          <w:rStyle w:val="FootnoteReference"/>
        </w:rPr>
        <w:footnoteRef/>
      </w:r>
      <w:r>
        <w:t xml:space="preserve"> </w:t>
      </w:r>
      <w:r w:rsidRPr="00D921AE">
        <w:rPr>
          <w:rFonts w:asciiTheme="minorHAnsi" w:hAnsiTheme="minorHAnsi"/>
          <w:szCs w:val="22"/>
        </w:rPr>
        <w:t xml:space="preserve">Lim J.S., </w:t>
      </w:r>
      <w:r w:rsidRPr="004225CF">
        <w:rPr>
          <w:rFonts w:asciiTheme="minorHAnsi" w:hAnsiTheme="minorHAnsi"/>
          <w:i/>
          <w:szCs w:val="22"/>
        </w:rPr>
        <w:t xml:space="preserve">et al. </w:t>
      </w:r>
      <w:r w:rsidRPr="00D921AE">
        <w:rPr>
          <w:rFonts w:asciiTheme="minorHAnsi" w:hAnsiTheme="minorHAnsi"/>
          <w:szCs w:val="22"/>
        </w:rPr>
        <w:t xml:space="preserve">(2015) Brain somatic mutations in MTOR cause focal cortical dysplasia type II leading to intractable epilepsy. </w:t>
      </w:r>
      <w:r w:rsidRPr="00D921AE">
        <w:rPr>
          <w:rFonts w:asciiTheme="minorHAnsi" w:hAnsiTheme="minorHAnsi"/>
          <w:i/>
          <w:szCs w:val="22"/>
        </w:rPr>
        <w:t>Nat. Med.</w:t>
      </w:r>
      <w:r w:rsidRPr="00D921AE">
        <w:rPr>
          <w:rFonts w:asciiTheme="minorHAnsi" w:hAnsiTheme="minorHAnsi"/>
          <w:szCs w:val="22"/>
        </w:rPr>
        <w:t xml:space="preserve"> </w:t>
      </w:r>
      <w:r>
        <w:rPr>
          <w:rFonts w:asciiTheme="minorHAnsi" w:hAnsiTheme="minorHAnsi"/>
          <w:szCs w:val="22"/>
        </w:rPr>
        <w:t>2015</w:t>
      </w:r>
      <w:r w:rsidRPr="002709C3">
        <w:rPr>
          <w:rFonts w:asciiTheme="minorHAnsi" w:hAnsiTheme="minorHAnsi"/>
          <w:szCs w:val="22"/>
        </w:rPr>
        <w:t>; 21: 395-</w:t>
      </w:r>
      <w:r w:rsidRPr="00D921AE">
        <w:rPr>
          <w:rFonts w:asciiTheme="minorHAnsi" w:hAnsiTheme="minorHAnsi"/>
          <w:szCs w:val="22"/>
        </w:rPr>
        <w:t>400</w:t>
      </w:r>
    </w:p>
  </w:footnote>
  <w:footnote w:id="11">
    <w:p w14:paraId="0FFC7AF3" w14:textId="77777777" w:rsidR="003E424C" w:rsidRPr="00F637F6" w:rsidRDefault="003E424C">
      <w:pPr>
        <w:pStyle w:val="FootnoteText"/>
        <w:rPr>
          <w:lang w:val="en-US"/>
        </w:rPr>
      </w:pPr>
      <w:r>
        <w:rPr>
          <w:rStyle w:val="FootnoteReference"/>
        </w:rPr>
        <w:footnoteRef/>
      </w:r>
      <w:r>
        <w:t xml:space="preserve"> </w:t>
      </w:r>
      <w:proofErr w:type="spellStart"/>
      <w:proofErr w:type="gramStart"/>
      <w:r w:rsidRPr="00D921AE">
        <w:rPr>
          <w:rFonts w:asciiTheme="minorHAnsi" w:hAnsiTheme="minorHAnsi"/>
          <w:szCs w:val="22"/>
        </w:rPr>
        <w:t>Uhlmann</w:t>
      </w:r>
      <w:proofErr w:type="spellEnd"/>
      <w:r w:rsidRPr="00D921AE">
        <w:rPr>
          <w:rFonts w:asciiTheme="minorHAnsi" w:hAnsiTheme="minorHAnsi"/>
          <w:szCs w:val="22"/>
        </w:rPr>
        <w:t xml:space="preserve"> E.J., </w:t>
      </w:r>
      <w:r w:rsidRPr="004225CF">
        <w:rPr>
          <w:rFonts w:asciiTheme="minorHAnsi" w:hAnsiTheme="minorHAnsi"/>
          <w:i/>
          <w:szCs w:val="22"/>
        </w:rPr>
        <w:t>et al</w:t>
      </w:r>
      <w:r>
        <w:rPr>
          <w:rFonts w:asciiTheme="minorHAnsi" w:hAnsiTheme="minorHAnsi"/>
          <w:i/>
          <w:szCs w:val="22"/>
        </w:rPr>
        <w:t>.</w:t>
      </w:r>
      <w:r w:rsidRPr="004225CF">
        <w:rPr>
          <w:rFonts w:asciiTheme="minorHAnsi" w:hAnsiTheme="minorHAnsi"/>
          <w:i/>
          <w:szCs w:val="22"/>
        </w:rPr>
        <w:t xml:space="preserve"> </w:t>
      </w:r>
      <w:r w:rsidRPr="00D921AE">
        <w:rPr>
          <w:rFonts w:asciiTheme="minorHAnsi" w:hAnsiTheme="minorHAnsi"/>
          <w:szCs w:val="22"/>
        </w:rPr>
        <w:t>(2002) Astrocyte-specific TSC1 conditional knockout mice exhibit abnormal neuronal organization and seizures.</w:t>
      </w:r>
      <w:proofErr w:type="gramEnd"/>
      <w:r w:rsidRPr="00D921AE">
        <w:rPr>
          <w:rFonts w:asciiTheme="minorHAnsi" w:hAnsiTheme="minorHAnsi"/>
          <w:szCs w:val="22"/>
        </w:rPr>
        <w:t xml:space="preserve"> </w:t>
      </w:r>
      <w:r w:rsidRPr="00D921AE">
        <w:rPr>
          <w:rFonts w:asciiTheme="minorHAnsi" w:hAnsiTheme="minorHAnsi"/>
          <w:i/>
          <w:szCs w:val="22"/>
        </w:rPr>
        <w:t>Ann. Neurol.</w:t>
      </w:r>
      <w:r w:rsidRPr="00D921AE">
        <w:rPr>
          <w:rFonts w:asciiTheme="minorHAnsi" w:hAnsiTheme="minorHAnsi"/>
          <w:szCs w:val="22"/>
        </w:rPr>
        <w:t xml:space="preserve"> </w:t>
      </w:r>
      <w:r>
        <w:rPr>
          <w:rFonts w:asciiTheme="minorHAnsi" w:hAnsiTheme="minorHAnsi"/>
          <w:szCs w:val="22"/>
        </w:rPr>
        <w:t xml:space="preserve">2002; </w:t>
      </w:r>
      <w:r w:rsidRPr="00F637F6">
        <w:rPr>
          <w:rFonts w:asciiTheme="minorHAnsi" w:hAnsiTheme="minorHAnsi"/>
          <w:szCs w:val="22"/>
        </w:rPr>
        <w:t>52:</w:t>
      </w:r>
      <w:r>
        <w:rPr>
          <w:rFonts w:asciiTheme="minorHAnsi" w:hAnsiTheme="minorHAnsi"/>
          <w:szCs w:val="22"/>
        </w:rPr>
        <w:t xml:space="preserve"> </w:t>
      </w:r>
      <w:r w:rsidRPr="00D921AE">
        <w:rPr>
          <w:rFonts w:asciiTheme="minorHAnsi" w:hAnsiTheme="minorHAnsi"/>
          <w:szCs w:val="22"/>
        </w:rPr>
        <w:t>285–</w:t>
      </w:r>
      <w:r>
        <w:rPr>
          <w:rFonts w:asciiTheme="minorHAnsi" w:hAnsiTheme="minorHAnsi"/>
          <w:szCs w:val="22"/>
        </w:rPr>
        <w:t>2</w:t>
      </w:r>
      <w:r w:rsidRPr="00D921AE">
        <w:rPr>
          <w:rFonts w:asciiTheme="minorHAnsi" w:hAnsiTheme="minorHAnsi"/>
          <w:szCs w:val="22"/>
        </w:rPr>
        <w:t>96</w:t>
      </w:r>
    </w:p>
  </w:footnote>
  <w:footnote w:id="12">
    <w:p w14:paraId="64057931" w14:textId="77777777" w:rsidR="003E424C" w:rsidRPr="00F637F6" w:rsidRDefault="003E424C">
      <w:pPr>
        <w:pStyle w:val="FootnoteText"/>
        <w:rPr>
          <w:lang w:val="en-US"/>
        </w:rPr>
      </w:pPr>
      <w:r>
        <w:rPr>
          <w:rStyle w:val="FootnoteReference"/>
        </w:rPr>
        <w:footnoteRef/>
      </w:r>
      <w:r>
        <w:t xml:space="preserve"> </w:t>
      </w:r>
      <w:proofErr w:type="spellStart"/>
      <w:r w:rsidRPr="00D921AE">
        <w:rPr>
          <w:rFonts w:asciiTheme="minorHAnsi" w:hAnsiTheme="minorHAnsi"/>
          <w:szCs w:val="22"/>
        </w:rPr>
        <w:t>Erbayat</w:t>
      </w:r>
      <w:proofErr w:type="spellEnd"/>
      <w:r w:rsidRPr="00D921AE">
        <w:rPr>
          <w:rFonts w:asciiTheme="minorHAnsi" w:hAnsiTheme="minorHAnsi"/>
          <w:szCs w:val="22"/>
        </w:rPr>
        <w:t xml:space="preserve">-Altay E., </w:t>
      </w:r>
      <w:r w:rsidRPr="004225CF">
        <w:rPr>
          <w:rFonts w:asciiTheme="minorHAnsi" w:hAnsiTheme="minorHAnsi"/>
          <w:i/>
          <w:szCs w:val="22"/>
        </w:rPr>
        <w:t>et al.</w:t>
      </w:r>
      <w:r w:rsidRPr="00D921AE">
        <w:rPr>
          <w:rFonts w:asciiTheme="minorHAnsi" w:hAnsiTheme="minorHAnsi"/>
          <w:szCs w:val="22"/>
        </w:rPr>
        <w:t xml:space="preserve"> (2007) </w:t>
      </w:r>
      <w:proofErr w:type="gramStart"/>
      <w:r w:rsidRPr="00D921AE">
        <w:rPr>
          <w:rFonts w:asciiTheme="minorHAnsi" w:hAnsiTheme="minorHAnsi"/>
          <w:szCs w:val="22"/>
        </w:rPr>
        <w:t>The</w:t>
      </w:r>
      <w:proofErr w:type="gramEnd"/>
      <w:r w:rsidRPr="00D921AE">
        <w:rPr>
          <w:rFonts w:asciiTheme="minorHAnsi" w:hAnsiTheme="minorHAnsi"/>
          <w:szCs w:val="22"/>
        </w:rPr>
        <w:t xml:space="preserve"> natural history and treatment of epilepsy in a murine model of tuberous sclerosis. </w:t>
      </w:r>
      <w:proofErr w:type="spellStart"/>
      <w:r w:rsidRPr="00D921AE">
        <w:rPr>
          <w:rFonts w:asciiTheme="minorHAnsi" w:hAnsiTheme="minorHAnsi"/>
          <w:i/>
          <w:szCs w:val="22"/>
        </w:rPr>
        <w:t>Epilepsia</w:t>
      </w:r>
      <w:proofErr w:type="spellEnd"/>
      <w:r w:rsidRPr="00D921AE">
        <w:rPr>
          <w:rFonts w:asciiTheme="minorHAnsi" w:hAnsiTheme="minorHAnsi"/>
          <w:szCs w:val="22"/>
        </w:rPr>
        <w:t xml:space="preserve"> </w:t>
      </w:r>
      <w:r>
        <w:rPr>
          <w:rFonts w:asciiTheme="minorHAnsi" w:hAnsiTheme="minorHAnsi"/>
          <w:szCs w:val="22"/>
        </w:rPr>
        <w:t xml:space="preserve">2007; </w:t>
      </w:r>
      <w:r w:rsidRPr="00F637F6">
        <w:rPr>
          <w:rFonts w:asciiTheme="minorHAnsi" w:hAnsiTheme="minorHAnsi"/>
          <w:szCs w:val="22"/>
        </w:rPr>
        <w:t>48:</w:t>
      </w:r>
      <w:r>
        <w:rPr>
          <w:rFonts w:asciiTheme="minorHAnsi" w:hAnsiTheme="minorHAnsi"/>
          <w:szCs w:val="22"/>
        </w:rPr>
        <w:t xml:space="preserve"> </w:t>
      </w:r>
      <w:r w:rsidRPr="00D921AE">
        <w:rPr>
          <w:rFonts w:asciiTheme="minorHAnsi" w:hAnsiTheme="minorHAnsi"/>
          <w:szCs w:val="22"/>
        </w:rPr>
        <w:t>1470–</w:t>
      </w:r>
      <w:r>
        <w:rPr>
          <w:rFonts w:asciiTheme="minorHAnsi" w:hAnsiTheme="minorHAnsi"/>
          <w:szCs w:val="22"/>
        </w:rPr>
        <w:t>147</w:t>
      </w:r>
      <w:r w:rsidRPr="00D921AE">
        <w:rPr>
          <w:rFonts w:asciiTheme="minorHAnsi" w:hAnsiTheme="minorHAnsi"/>
          <w:szCs w:val="22"/>
        </w:rPr>
        <w:t>6</w:t>
      </w:r>
    </w:p>
  </w:footnote>
  <w:footnote w:id="13">
    <w:p w14:paraId="4107407E" w14:textId="77777777" w:rsidR="003E424C" w:rsidRPr="00F637F6" w:rsidRDefault="003E424C">
      <w:pPr>
        <w:pStyle w:val="FootnoteText"/>
        <w:rPr>
          <w:lang w:val="en-US"/>
        </w:rPr>
      </w:pPr>
      <w:r>
        <w:rPr>
          <w:rStyle w:val="FootnoteReference"/>
        </w:rPr>
        <w:footnoteRef/>
      </w:r>
      <w:r>
        <w:t xml:space="preserve"> </w:t>
      </w:r>
      <w:r w:rsidRPr="00D921AE">
        <w:rPr>
          <w:rFonts w:asciiTheme="minorHAnsi" w:eastAsiaTheme="minorHAnsi" w:hAnsiTheme="minorHAnsi"/>
          <w:szCs w:val="22"/>
        </w:rPr>
        <w:t xml:space="preserve">Zeng L.H., </w:t>
      </w:r>
      <w:r w:rsidRPr="004225CF">
        <w:rPr>
          <w:rFonts w:asciiTheme="minorHAnsi" w:eastAsiaTheme="minorHAnsi" w:hAnsiTheme="minorHAnsi"/>
          <w:i/>
          <w:szCs w:val="22"/>
        </w:rPr>
        <w:t>et al</w:t>
      </w:r>
      <w:r w:rsidRPr="00D921AE">
        <w:rPr>
          <w:rFonts w:asciiTheme="minorHAnsi" w:eastAsiaTheme="minorHAnsi" w:hAnsiTheme="minorHAnsi"/>
          <w:szCs w:val="22"/>
        </w:rPr>
        <w:t xml:space="preserve">. (2008) Rapamycin prevents epilepsy in a mouse model of tuberous sclerosis complex. </w:t>
      </w:r>
      <w:r w:rsidRPr="00D921AE">
        <w:rPr>
          <w:rFonts w:asciiTheme="minorHAnsi" w:eastAsiaTheme="minorHAnsi" w:hAnsiTheme="minorHAnsi"/>
          <w:i/>
          <w:szCs w:val="22"/>
        </w:rPr>
        <w:t>Ann. Neurol.</w:t>
      </w:r>
      <w:r w:rsidRPr="00D921AE">
        <w:rPr>
          <w:rFonts w:asciiTheme="minorHAnsi" w:eastAsiaTheme="minorHAnsi" w:hAnsiTheme="minorHAnsi"/>
          <w:szCs w:val="22"/>
        </w:rPr>
        <w:t xml:space="preserve"> </w:t>
      </w:r>
      <w:r>
        <w:rPr>
          <w:rFonts w:asciiTheme="minorHAnsi" w:eastAsiaTheme="minorHAnsi" w:hAnsiTheme="minorHAnsi"/>
          <w:szCs w:val="22"/>
        </w:rPr>
        <w:t xml:space="preserve">2008; </w:t>
      </w:r>
      <w:r w:rsidRPr="00F637F6">
        <w:rPr>
          <w:rFonts w:asciiTheme="minorHAnsi" w:eastAsiaTheme="minorHAnsi" w:hAnsiTheme="minorHAnsi"/>
          <w:szCs w:val="22"/>
        </w:rPr>
        <w:t>63</w:t>
      </w:r>
      <w:r w:rsidRPr="00D921AE">
        <w:rPr>
          <w:rFonts w:asciiTheme="minorHAnsi" w:eastAsiaTheme="minorHAnsi" w:hAnsiTheme="minorHAnsi"/>
          <w:szCs w:val="22"/>
        </w:rPr>
        <w:t>:</w:t>
      </w:r>
      <w:r>
        <w:rPr>
          <w:rFonts w:asciiTheme="minorHAnsi" w:eastAsiaTheme="minorHAnsi" w:hAnsiTheme="minorHAnsi"/>
          <w:szCs w:val="22"/>
        </w:rPr>
        <w:t xml:space="preserve"> </w:t>
      </w:r>
      <w:r w:rsidRPr="00D921AE">
        <w:rPr>
          <w:rFonts w:asciiTheme="minorHAnsi" w:eastAsiaTheme="minorHAnsi" w:hAnsiTheme="minorHAnsi"/>
          <w:szCs w:val="22"/>
        </w:rPr>
        <w:t xml:space="preserve"> 444–</w:t>
      </w:r>
      <w:r>
        <w:rPr>
          <w:rFonts w:asciiTheme="minorHAnsi" w:eastAsiaTheme="minorHAnsi" w:hAnsiTheme="minorHAnsi"/>
          <w:szCs w:val="22"/>
        </w:rPr>
        <w:t>4</w:t>
      </w:r>
      <w:r w:rsidRPr="00D921AE">
        <w:rPr>
          <w:rFonts w:asciiTheme="minorHAnsi" w:eastAsiaTheme="minorHAnsi" w:hAnsiTheme="minorHAnsi"/>
          <w:szCs w:val="22"/>
        </w:rPr>
        <w:t>53</w:t>
      </w:r>
    </w:p>
  </w:footnote>
  <w:footnote w:id="14">
    <w:p w14:paraId="4E41E6A2" w14:textId="77777777" w:rsidR="003E424C" w:rsidRPr="00F637F6" w:rsidRDefault="003E424C">
      <w:pPr>
        <w:pStyle w:val="FootnoteText"/>
        <w:rPr>
          <w:lang w:val="en-US"/>
        </w:rPr>
      </w:pPr>
      <w:r>
        <w:rPr>
          <w:rStyle w:val="FootnoteReference"/>
        </w:rPr>
        <w:footnoteRef/>
      </w:r>
      <w:r>
        <w:t xml:space="preserve"> </w:t>
      </w:r>
      <w:proofErr w:type="spellStart"/>
      <w:r w:rsidRPr="00D921AE">
        <w:rPr>
          <w:rFonts w:asciiTheme="minorHAnsi" w:hAnsiTheme="minorHAnsi"/>
          <w:szCs w:val="22"/>
        </w:rPr>
        <w:t>Meikle</w:t>
      </w:r>
      <w:proofErr w:type="spellEnd"/>
      <w:r w:rsidRPr="00D921AE">
        <w:rPr>
          <w:rFonts w:asciiTheme="minorHAnsi" w:hAnsiTheme="minorHAnsi"/>
          <w:szCs w:val="22"/>
        </w:rPr>
        <w:t xml:space="preserve"> L., </w:t>
      </w:r>
      <w:r w:rsidRPr="004225CF">
        <w:rPr>
          <w:rFonts w:asciiTheme="minorHAnsi" w:hAnsiTheme="minorHAnsi"/>
          <w:i/>
          <w:szCs w:val="22"/>
        </w:rPr>
        <w:t>et al</w:t>
      </w:r>
      <w:r w:rsidRPr="00D921AE">
        <w:rPr>
          <w:rFonts w:asciiTheme="minorHAnsi" w:hAnsiTheme="minorHAnsi"/>
          <w:szCs w:val="22"/>
        </w:rPr>
        <w:t xml:space="preserve">. (2008) Response of a neuronal model of tuberous sclerosis to mammalian target of rapamycin </w:t>
      </w:r>
      <w:proofErr w:type="spellStart"/>
      <w:r w:rsidRPr="00D921AE">
        <w:rPr>
          <w:rFonts w:asciiTheme="minorHAnsi" w:hAnsiTheme="minorHAnsi"/>
          <w:szCs w:val="22"/>
        </w:rPr>
        <w:t>mTOR</w:t>
      </w:r>
      <w:proofErr w:type="spellEnd"/>
      <w:r w:rsidRPr="00D921AE">
        <w:rPr>
          <w:rFonts w:asciiTheme="minorHAnsi" w:hAnsiTheme="minorHAnsi"/>
          <w:szCs w:val="22"/>
        </w:rPr>
        <w:t xml:space="preserve">) inhibitors: effects on mTORC1 and </w:t>
      </w:r>
      <w:proofErr w:type="spellStart"/>
      <w:r w:rsidRPr="00D921AE">
        <w:rPr>
          <w:rFonts w:asciiTheme="minorHAnsi" w:hAnsiTheme="minorHAnsi"/>
          <w:szCs w:val="22"/>
        </w:rPr>
        <w:t>Akt</w:t>
      </w:r>
      <w:proofErr w:type="spellEnd"/>
      <w:r w:rsidRPr="00D921AE">
        <w:rPr>
          <w:rFonts w:asciiTheme="minorHAnsi" w:hAnsiTheme="minorHAnsi"/>
          <w:szCs w:val="22"/>
        </w:rPr>
        <w:t xml:space="preserve"> </w:t>
      </w:r>
      <w:proofErr w:type="spellStart"/>
      <w:r w:rsidRPr="00D921AE">
        <w:rPr>
          <w:rFonts w:asciiTheme="minorHAnsi" w:hAnsiTheme="minorHAnsi"/>
          <w:szCs w:val="22"/>
        </w:rPr>
        <w:t>signaling</w:t>
      </w:r>
      <w:proofErr w:type="spellEnd"/>
      <w:r w:rsidRPr="00D921AE">
        <w:rPr>
          <w:rFonts w:asciiTheme="minorHAnsi" w:hAnsiTheme="minorHAnsi"/>
          <w:szCs w:val="22"/>
        </w:rPr>
        <w:t xml:space="preserve"> lead to improved survival and function. </w:t>
      </w:r>
      <w:r w:rsidRPr="00D921AE">
        <w:rPr>
          <w:rFonts w:asciiTheme="minorHAnsi" w:hAnsiTheme="minorHAnsi"/>
          <w:i/>
          <w:szCs w:val="22"/>
        </w:rPr>
        <w:t xml:space="preserve">J. </w:t>
      </w:r>
      <w:proofErr w:type="spellStart"/>
      <w:r w:rsidRPr="00D921AE">
        <w:rPr>
          <w:rFonts w:asciiTheme="minorHAnsi" w:hAnsiTheme="minorHAnsi"/>
          <w:i/>
          <w:szCs w:val="22"/>
        </w:rPr>
        <w:t>Neurosci</w:t>
      </w:r>
      <w:proofErr w:type="spellEnd"/>
      <w:r w:rsidRPr="00D921AE">
        <w:rPr>
          <w:rFonts w:asciiTheme="minorHAnsi" w:hAnsiTheme="minorHAnsi"/>
          <w:szCs w:val="22"/>
        </w:rPr>
        <w:t xml:space="preserve">. </w:t>
      </w:r>
      <w:r>
        <w:rPr>
          <w:rFonts w:asciiTheme="minorHAnsi" w:hAnsiTheme="minorHAnsi"/>
          <w:szCs w:val="22"/>
        </w:rPr>
        <w:t xml:space="preserve">2008; </w:t>
      </w:r>
      <w:r w:rsidRPr="00F637F6">
        <w:rPr>
          <w:rFonts w:asciiTheme="minorHAnsi" w:hAnsiTheme="minorHAnsi"/>
          <w:szCs w:val="22"/>
        </w:rPr>
        <w:t>28</w:t>
      </w:r>
      <w:r w:rsidRPr="00D921AE">
        <w:rPr>
          <w:rFonts w:asciiTheme="minorHAnsi" w:hAnsiTheme="minorHAnsi"/>
          <w:szCs w:val="22"/>
        </w:rPr>
        <w:t>: 5422–</w:t>
      </w:r>
      <w:r>
        <w:rPr>
          <w:rFonts w:asciiTheme="minorHAnsi" w:hAnsiTheme="minorHAnsi"/>
          <w:szCs w:val="22"/>
        </w:rPr>
        <w:t>54</w:t>
      </w:r>
      <w:r w:rsidRPr="00D921AE">
        <w:rPr>
          <w:rFonts w:asciiTheme="minorHAnsi" w:hAnsiTheme="minorHAnsi"/>
          <w:szCs w:val="22"/>
        </w:rPr>
        <w:t>32</w:t>
      </w:r>
    </w:p>
  </w:footnote>
  <w:footnote w:id="15">
    <w:p w14:paraId="5139ABEB" w14:textId="77777777" w:rsidR="003E424C" w:rsidRPr="00F637F6" w:rsidRDefault="003E424C">
      <w:pPr>
        <w:pStyle w:val="FootnoteText"/>
        <w:rPr>
          <w:lang w:val="en-US"/>
        </w:rPr>
      </w:pPr>
      <w:r>
        <w:rPr>
          <w:rStyle w:val="FootnoteReference"/>
        </w:rPr>
        <w:footnoteRef/>
      </w:r>
      <w:r w:rsidRPr="00BB08C3">
        <w:rPr>
          <w:lang w:val="en-US"/>
        </w:rPr>
        <w:t xml:space="preserve"> </w:t>
      </w:r>
      <w:proofErr w:type="gramStart"/>
      <w:r w:rsidRPr="00BB08C3">
        <w:rPr>
          <w:rFonts w:asciiTheme="minorHAnsi" w:eastAsiaTheme="minorHAnsi" w:hAnsiTheme="minorHAnsi"/>
          <w:szCs w:val="22"/>
          <w:lang w:val="en-US"/>
        </w:rPr>
        <w:t xml:space="preserve">Carson R.P., et al. </w:t>
      </w:r>
      <w:r w:rsidRPr="00D921AE">
        <w:rPr>
          <w:rFonts w:asciiTheme="minorHAnsi" w:eastAsiaTheme="minorHAnsi" w:hAnsiTheme="minorHAnsi"/>
          <w:szCs w:val="22"/>
        </w:rPr>
        <w:t>(2012) Neuronal and glia abnormalities in Tsc1-deficient forebrain and partial rescue by rapamycin.</w:t>
      </w:r>
      <w:proofErr w:type="gramEnd"/>
      <w:r w:rsidRPr="00D921AE">
        <w:rPr>
          <w:rFonts w:asciiTheme="minorHAnsi" w:eastAsiaTheme="minorHAnsi" w:hAnsiTheme="minorHAnsi"/>
          <w:szCs w:val="22"/>
        </w:rPr>
        <w:t xml:space="preserve"> </w:t>
      </w:r>
      <w:proofErr w:type="spellStart"/>
      <w:proofErr w:type="gramStart"/>
      <w:r w:rsidRPr="00D921AE">
        <w:rPr>
          <w:rFonts w:asciiTheme="minorHAnsi" w:eastAsiaTheme="minorHAnsi" w:hAnsiTheme="minorHAnsi"/>
          <w:i/>
          <w:szCs w:val="22"/>
        </w:rPr>
        <w:t>Neurobiol</w:t>
      </w:r>
      <w:proofErr w:type="spellEnd"/>
      <w:r w:rsidRPr="00D921AE">
        <w:rPr>
          <w:rFonts w:asciiTheme="minorHAnsi" w:eastAsiaTheme="minorHAnsi" w:hAnsiTheme="minorHAnsi"/>
          <w:i/>
          <w:szCs w:val="22"/>
        </w:rPr>
        <w:t>.</w:t>
      </w:r>
      <w:proofErr w:type="gramEnd"/>
      <w:r w:rsidRPr="00D921AE">
        <w:rPr>
          <w:rFonts w:asciiTheme="minorHAnsi" w:eastAsiaTheme="minorHAnsi" w:hAnsiTheme="minorHAnsi"/>
          <w:i/>
          <w:szCs w:val="22"/>
        </w:rPr>
        <w:t> Dis</w:t>
      </w:r>
      <w:r w:rsidRPr="00D921AE">
        <w:rPr>
          <w:rFonts w:asciiTheme="minorHAnsi" w:eastAsiaTheme="minorHAnsi" w:hAnsiTheme="minorHAnsi"/>
          <w:szCs w:val="22"/>
        </w:rPr>
        <w:t xml:space="preserve">. </w:t>
      </w:r>
      <w:r w:rsidRPr="00105AB5">
        <w:rPr>
          <w:rFonts w:asciiTheme="minorHAnsi" w:eastAsiaTheme="minorHAnsi" w:hAnsiTheme="minorHAnsi"/>
          <w:szCs w:val="22"/>
        </w:rPr>
        <w:t>2012; 45: 369-380</w:t>
      </w:r>
    </w:p>
  </w:footnote>
  <w:footnote w:id="16">
    <w:p w14:paraId="2C8532C2" w14:textId="77777777" w:rsidR="003E424C" w:rsidRPr="00BB08C3" w:rsidRDefault="003E424C">
      <w:pPr>
        <w:pStyle w:val="FootnoteText"/>
        <w:rPr>
          <w:lang w:val="en-US"/>
        </w:rPr>
      </w:pPr>
      <w:r>
        <w:rPr>
          <w:rStyle w:val="FootnoteReference"/>
        </w:rPr>
        <w:footnoteRef/>
      </w:r>
      <w:r>
        <w:t xml:space="preserve"> </w:t>
      </w:r>
      <w:proofErr w:type="spellStart"/>
      <w:r w:rsidRPr="00D921AE">
        <w:rPr>
          <w:rFonts w:asciiTheme="minorHAnsi" w:eastAsiaTheme="minorHAnsi" w:hAnsiTheme="minorHAnsi"/>
          <w:szCs w:val="22"/>
        </w:rPr>
        <w:t>Goto</w:t>
      </w:r>
      <w:proofErr w:type="spellEnd"/>
      <w:r w:rsidRPr="00D921AE">
        <w:rPr>
          <w:rFonts w:asciiTheme="minorHAnsi" w:eastAsiaTheme="minorHAnsi" w:hAnsiTheme="minorHAnsi"/>
          <w:szCs w:val="22"/>
        </w:rPr>
        <w:t xml:space="preserve"> J., </w:t>
      </w:r>
      <w:r>
        <w:rPr>
          <w:rFonts w:asciiTheme="minorHAnsi" w:eastAsiaTheme="minorHAnsi" w:hAnsiTheme="minorHAnsi"/>
          <w:szCs w:val="22"/>
        </w:rPr>
        <w:t>et al</w:t>
      </w:r>
      <w:proofErr w:type="gramStart"/>
      <w:r>
        <w:rPr>
          <w:rFonts w:asciiTheme="minorHAnsi" w:eastAsiaTheme="minorHAnsi" w:hAnsiTheme="minorHAnsi"/>
          <w:szCs w:val="22"/>
        </w:rPr>
        <w:t>;</w:t>
      </w:r>
      <w:r w:rsidRPr="00D921AE">
        <w:rPr>
          <w:rFonts w:asciiTheme="minorHAnsi" w:eastAsiaTheme="minorHAnsi" w:hAnsiTheme="minorHAnsi"/>
          <w:szCs w:val="22"/>
        </w:rPr>
        <w:t>.</w:t>
      </w:r>
      <w:proofErr w:type="gramEnd"/>
      <w:r w:rsidRPr="00D921AE">
        <w:rPr>
          <w:rFonts w:asciiTheme="minorHAnsi" w:eastAsiaTheme="minorHAnsi" w:hAnsiTheme="minorHAnsi"/>
          <w:szCs w:val="22"/>
        </w:rPr>
        <w:t xml:space="preserve"> (2011) </w:t>
      </w:r>
      <w:proofErr w:type="spellStart"/>
      <w:r w:rsidRPr="00D921AE">
        <w:rPr>
          <w:rFonts w:asciiTheme="minorHAnsi" w:eastAsiaTheme="minorHAnsi" w:hAnsiTheme="minorHAnsi"/>
          <w:szCs w:val="22"/>
        </w:rPr>
        <w:t>Regulable</w:t>
      </w:r>
      <w:proofErr w:type="spellEnd"/>
      <w:r w:rsidRPr="00D921AE">
        <w:rPr>
          <w:rFonts w:asciiTheme="minorHAnsi" w:eastAsiaTheme="minorHAnsi" w:hAnsiTheme="minorHAnsi"/>
          <w:szCs w:val="22"/>
        </w:rPr>
        <w:t xml:space="preserve"> neural progenitor-specific Tsc1 loss yields giant cells with </w:t>
      </w:r>
      <w:proofErr w:type="spellStart"/>
      <w:r w:rsidRPr="00D921AE">
        <w:rPr>
          <w:rFonts w:asciiTheme="minorHAnsi" w:eastAsiaTheme="minorHAnsi" w:hAnsiTheme="minorHAnsi"/>
          <w:szCs w:val="22"/>
        </w:rPr>
        <w:t>organellar</w:t>
      </w:r>
      <w:proofErr w:type="spellEnd"/>
      <w:r w:rsidRPr="00D921AE">
        <w:rPr>
          <w:rFonts w:asciiTheme="minorHAnsi" w:eastAsiaTheme="minorHAnsi" w:hAnsiTheme="minorHAnsi"/>
          <w:szCs w:val="22"/>
        </w:rPr>
        <w:t xml:space="preserve"> dysfunction in a model of tuberous sclerosis complex. </w:t>
      </w:r>
      <w:r w:rsidRPr="00BB08C3">
        <w:rPr>
          <w:rFonts w:asciiTheme="minorHAnsi" w:eastAsiaTheme="minorHAnsi" w:hAnsiTheme="minorHAnsi"/>
          <w:i/>
          <w:szCs w:val="22"/>
        </w:rPr>
        <w:t xml:space="preserve">Proc. Natl. Acad. Sci. USA. </w:t>
      </w:r>
      <w:r w:rsidRPr="00BB08C3">
        <w:rPr>
          <w:rFonts w:asciiTheme="minorHAnsi" w:eastAsiaTheme="minorHAnsi" w:hAnsiTheme="minorHAnsi"/>
          <w:szCs w:val="22"/>
        </w:rPr>
        <w:t>2011; 108: E1070-1079.</w:t>
      </w:r>
    </w:p>
  </w:footnote>
  <w:footnote w:id="17">
    <w:p w14:paraId="0CF914E5" w14:textId="77777777" w:rsidR="003E424C" w:rsidRPr="00105AB5" w:rsidRDefault="003E424C">
      <w:pPr>
        <w:pStyle w:val="FootnoteText"/>
        <w:rPr>
          <w:lang w:val="en-US"/>
        </w:rPr>
      </w:pPr>
      <w:r>
        <w:rPr>
          <w:rStyle w:val="FootnoteReference"/>
        </w:rPr>
        <w:footnoteRef/>
      </w:r>
      <w:r w:rsidRPr="00BB08C3">
        <w:t xml:space="preserve"> </w:t>
      </w:r>
      <w:proofErr w:type="gramStart"/>
      <w:r w:rsidRPr="00BB08C3">
        <w:rPr>
          <w:rFonts w:asciiTheme="minorHAnsi" w:eastAsiaTheme="minorHAnsi" w:hAnsiTheme="minorHAnsi"/>
          <w:szCs w:val="22"/>
        </w:rPr>
        <w:t xml:space="preserve">Wong M., </w:t>
      </w:r>
      <w:r w:rsidRPr="00BB08C3">
        <w:rPr>
          <w:rFonts w:asciiTheme="minorHAnsi" w:eastAsiaTheme="minorHAnsi" w:hAnsiTheme="minorHAnsi"/>
          <w:i/>
          <w:szCs w:val="22"/>
        </w:rPr>
        <w:t>et al.</w:t>
      </w:r>
      <w:r w:rsidRPr="00BB08C3">
        <w:rPr>
          <w:rFonts w:asciiTheme="minorHAnsi" w:eastAsiaTheme="minorHAnsi" w:hAnsiTheme="minorHAnsi"/>
          <w:szCs w:val="22"/>
        </w:rPr>
        <w:t xml:space="preserve"> </w:t>
      </w:r>
      <w:r w:rsidRPr="00D921AE">
        <w:rPr>
          <w:rFonts w:asciiTheme="minorHAnsi" w:eastAsiaTheme="minorHAnsi" w:hAnsiTheme="minorHAnsi"/>
          <w:szCs w:val="22"/>
        </w:rPr>
        <w:t>(2003) Impaired astrocyte glutamate transport in a mouse epilepsy model of tuberous sclerosis complex.</w:t>
      </w:r>
      <w:proofErr w:type="gramEnd"/>
      <w:r w:rsidRPr="00D921AE">
        <w:rPr>
          <w:rFonts w:asciiTheme="minorHAnsi" w:eastAsiaTheme="minorHAnsi" w:hAnsiTheme="minorHAnsi"/>
          <w:szCs w:val="22"/>
        </w:rPr>
        <w:t xml:space="preserve"> </w:t>
      </w:r>
      <w:r w:rsidRPr="00D921AE">
        <w:rPr>
          <w:rFonts w:asciiTheme="minorHAnsi" w:eastAsiaTheme="minorHAnsi" w:hAnsiTheme="minorHAnsi"/>
          <w:i/>
          <w:szCs w:val="22"/>
        </w:rPr>
        <w:t>Ann. Neurol.</w:t>
      </w:r>
      <w:r w:rsidRPr="00D921AE">
        <w:rPr>
          <w:rFonts w:asciiTheme="minorHAnsi" w:eastAsiaTheme="minorHAnsi" w:hAnsiTheme="minorHAnsi"/>
          <w:szCs w:val="22"/>
        </w:rPr>
        <w:t xml:space="preserve"> </w:t>
      </w:r>
      <w:r>
        <w:rPr>
          <w:rFonts w:asciiTheme="minorHAnsi" w:eastAsiaTheme="minorHAnsi" w:hAnsiTheme="minorHAnsi"/>
          <w:szCs w:val="22"/>
        </w:rPr>
        <w:t xml:space="preserve">2003; </w:t>
      </w:r>
      <w:r w:rsidRPr="00D921AE">
        <w:rPr>
          <w:rFonts w:asciiTheme="minorHAnsi" w:eastAsiaTheme="minorHAnsi" w:hAnsiTheme="minorHAnsi"/>
          <w:szCs w:val="22"/>
        </w:rPr>
        <w:t>54:</w:t>
      </w:r>
      <w:r>
        <w:rPr>
          <w:rFonts w:asciiTheme="minorHAnsi" w:eastAsiaTheme="minorHAnsi" w:hAnsiTheme="minorHAnsi"/>
          <w:szCs w:val="22"/>
        </w:rPr>
        <w:t xml:space="preserve"> </w:t>
      </w:r>
      <w:r w:rsidRPr="00D921AE">
        <w:rPr>
          <w:rFonts w:asciiTheme="minorHAnsi" w:eastAsiaTheme="minorHAnsi" w:hAnsiTheme="minorHAnsi"/>
          <w:szCs w:val="22"/>
        </w:rPr>
        <w:t>251–</w:t>
      </w:r>
      <w:r>
        <w:rPr>
          <w:rFonts w:asciiTheme="minorHAnsi" w:eastAsiaTheme="minorHAnsi" w:hAnsiTheme="minorHAnsi"/>
          <w:szCs w:val="22"/>
        </w:rPr>
        <w:t>25</w:t>
      </w:r>
      <w:r w:rsidRPr="00D921AE">
        <w:rPr>
          <w:rFonts w:asciiTheme="minorHAnsi" w:eastAsiaTheme="minorHAnsi" w:hAnsiTheme="minorHAnsi"/>
          <w:szCs w:val="22"/>
        </w:rPr>
        <w:t>6</w:t>
      </w:r>
    </w:p>
  </w:footnote>
  <w:footnote w:id="18">
    <w:p w14:paraId="4AA3558E" w14:textId="77777777" w:rsidR="003E424C" w:rsidRPr="00105AB5" w:rsidRDefault="003E424C">
      <w:pPr>
        <w:pStyle w:val="FootnoteText"/>
        <w:rPr>
          <w:lang w:val="en-US"/>
        </w:rPr>
      </w:pPr>
      <w:r>
        <w:rPr>
          <w:rStyle w:val="FootnoteReference"/>
        </w:rPr>
        <w:footnoteRef/>
      </w:r>
      <w:r>
        <w:t xml:space="preserve"> </w:t>
      </w:r>
      <w:r w:rsidRPr="00D921AE">
        <w:rPr>
          <w:rFonts w:asciiTheme="minorHAnsi" w:eastAsiaTheme="minorHAnsi" w:hAnsiTheme="minorHAnsi"/>
          <w:szCs w:val="22"/>
        </w:rPr>
        <w:t xml:space="preserve">Zeng L.H., </w:t>
      </w:r>
      <w:r w:rsidRPr="004225CF">
        <w:rPr>
          <w:rFonts w:asciiTheme="minorHAnsi" w:eastAsiaTheme="minorHAnsi" w:hAnsiTheme="minorHAnsi"/>
          <w:i/>
          <w:szCs w:val="22"/>
        </w:rPr>
        <w:t>et al</w:t>
      </w:r>
      <w:r w:rsidRPr="00D921AE">
        <w:rPr>
          <w:rFonts w:asciiTheme="minorHAnsi" w:eastAsiaTheme="minorHAnsi" w:hAnsiTheme="minorHAnsi"/>
          <w:szCs w:val="22"/>
        </w:rPr>
        <w:t xml:space="preserve">. (2011) Tsc2 gene inactivation causes a more severe epilepsy phenotype than Tsc1 inactivation in a mouse model of Tuberous Sclerosis Complex. </w:t>
      </w:r>
      <w:r w:rsidRPr="00D921AE">
        <w:rPr>
          <w:rFonts w:asciiTheme="minorHAnsi" w:eastAsiaTheme="minorHAnsi" w:hAnsiTheme="minorHAnsi"/>
          <w:i/>
          <w:szCs w:val="22"/>
        </w:rPr>
        <w:t>Human Molecular Genetics</w:t>
      </w:r>
      <w:r w:rsidRPr="00D921AE">
        <w:rPr>
          <w:rFonts w:asciiTheme="minorHAnsi" w:eastAsiaTheme="minorHAnsi" w:hAnsiTheme="minorHAnsi"/>
          <w:szCs w:val="22"/>
        </w:rPr>
        <w:t xml:space="preserve"> </w:t>
      </w:r>
      <w:r>
        <w:rPr>
          <w:rFonts w:asciiTheme="minorHAnsi" w:eastAsiaTheme="minorHAnsi" w:hAnsiTheme="minorHAnsi"/>
          <w:szCs w:val="22"/>
        </w:rPr>
        <w:t>2011</w:t>
      </w:r>
      <w:r w:rsidRPr="00105AB5">
        <w:rPr>
          <w:rFonts w:asciiTheme="minorHAnsi" w:eastAsiaTheme="minorHAnsi" w:hAnsiTheme="minorHAnsi"/>
          <w:szCs w:val="22"/>
        </w:rPr>
        <w:t>; 20:</w:t>
      </w:r>
      <w:r>
        <w:rPr>
          <w:rFonts w:asciiTheme="minorHAnsi" w:eastAsiaTheme="minorHAnsi" w:hAnsiTheme="minorHAnsi"/>
          <w:b/>
          <w:szCs w:val="22"/>
        </w:rPr>
        <w:t xml:space="preserve"> </w:t>
      </w:r>
      <w:r w:rsidRPr="00D921AE">
        <w:rPr>
          <w:rFonts w:asciiTheme="minorHAnsi" w:eastAsiaTheme="minorHAnsi" w:hAnsiTheme="minorHAnsi"/>
          <w:szCs w:val="22"/>
        </w:rPr>
        <w:t>445-</w:t>
      </w:r>
      <w:r>
        <w:rPr>
          <w:rFonts w:asciiTheme="minorHAnsi" w:eastAsiaTheme="minorHAnsi" w:hAnsiTheme="minorHAnsi"/>
          <w:szCs w:val="22"/>
        </w:rPr>
        <w:t>4</w:t>
      </w:r>
      <w:r w:rsidRPr="00D921AE">
        <w:rPr>
          <w:rFonts w:asciiTheme="minorHAnsi" w:eastAsiaTheme="minorHAnsi" w:hAnsiTheme="minorHAnsi"/>
          <w:szCs w:val="22"/>
        </w:rPr>
        <w:t>54</w:t>
      </w:r>
    </w:p>
  </w:footnote>
  <w:footnote w:id="19">
    <w:p w14:paraId="7716038C" w14:textId="77777777" w:rsidR="003E424C" w:rsidRPr="00105AB5" w:rsidRDefault="003E424C">
      <w:pPr>
        <w:pStyle w:val="FootnoteText"/>
        <w:rPr>
          <w:lang w:val="en-US"/>
        </w:rPr>
      </w:pPr>
      <w:r>
        <w:rPr>
          <w:rStyle w:val="FootnoteReference"/>
        </w:rPr>
        <w:footnoteRef/>
      </w:r>
      <w:r>
        <w:t xml:space="preserve"> </w:t>
      </w:r>
      <w:r>
        <w:rPr>
          <w:rFonts w:asciiTheme="minorHAnsi" w:hAnsiTheme="minorHAnsi"/>
          <w:szCs w:val="22"/>
        </w:rPr>
        <w:t>Hartman A.L</w:t>
      </w:r>
      <w:r w:rsidRPr="00D921AE">
        <w:rPr>
          <w:rFonts w:asciiTheme="minorHAnsi" w:hAnsiTheme="minorHAnsi"/>
          <w:szCs w:val="22"/>
        </w:rPr>
        <w:t xml:space="preserve">. </w:t>
      </w:r>
      <w:r w:rsidRPr="004225CF">
        <w:rPr>
          <w:rFonts w:asciiTheme="minorHAnsi" w:hAnsiTheme="minorHAnsi"/>
          <w:i/>
          <w:szCs w:val="22"/>
        </w:rPr>
        <w:t>et al.</w:t>
      </w:r>
      <w:r w:rsidRPr="00D921AE">
        <w:rPr>
          <w:rFonts w:asciiTheme="minorHAnsi" w:hAnsiTheme="minorHAnsi"/>
          <w:szCs w:val="22"/>
        </w:rPr>
        <w:t xml:space="preserve"> (2012) </w:t>
      </w:r>
      <w:proofErr w:type="gramStart"/>
      <w:r w:rsidRPr="00D921AE">
        <w:rPr>
          <w:rFonts w:asciiTheme="minorHAnsi" w:hAnsiTheme="minorHAnsi"/>
          <w:szCs w:val="22"/>
        </w:rPr>
        <w:t>The</w:t>
      </w:r>
      <w:proofErr w:type="gramEnd"/>
      <w:r w:rsidRPr="00D921AE">
        <w:rPr>
          <w:rFonts w:asciiTheme="minorHAnsi" w:hAnsiTheme="minorHAnsi"/>
          <w:szCs w:val="22"/>
        </w:rPr>
        <w:t xml:space="preserve"> </w:t>
      </w:r>
      <w:proofErr w:type="spellStart"/>
      <w:r w:rsidRPr="00D921AE">
        <w:rPr>
          <w:rFonts w:asciiTheme="minorHAnsi" w:hAnsiTheme="minorHAnsi"/>
          <w:szCs w:val="22"/>
        </w:rPr>
        <w:t>mTOR</w:t>
      </w:r>
      <w:proofErr w:type="spellEnd"/>
      <w:r w:rsidRPr="00D921AE">
        <w:rPr>
          <w:rFonts w:asciiTheme="minorHAnsi" w:hAnsiTheme="minorHAnsi"/>
          <w:szCs w:val="22"/>
        </w:rPr>
        <w:t xml:space="preserve"> inhibitor rapamycin has limited acute </w:t>
      </w:r>
      <w:r w:rsidRPr="00FD0E47">
        <w:rPr>
          <w:rFonts w:asciiTheme="minorHAnsi" w:hAnsiTheme="minorHAnsi"/>
          <w:szCs w:val="22"/>
        </w:rPr>
        <w:t xml:space="preserve">anticonvulsant effects in mice. </w:t>
      </w:r>
      <w:proofErr w:type="spellStart"/>
      <w:proofErr w:type="gramStart"/>
      <w:r w:rsidRPr="00FD0E47">
        <w:rPr>
          <w:rFonts w:asciiTheme="minorHAnsi" w:hAnsiTheme="minorHAnsi"/>
          <w:i/>
          <w:szCs w:val="22"/>
        </w:rPr>
        <w:t>PLoS</w:t>
      </w:r>
      <w:proofErr w:type="spellEnd"/>
      <w:r w:rsidRPr="00FD0E47">
        <w:rPr>
          <w:rFonts w:asciiTheme="minorHAnsi" w:hAnsiTheme="minorHAnsi"/>
          <w:i/>
          <w:szCs w:val="22"/>
        </w:rPr>
        <w:t xml:space="preserve"> One</w:t>
      </w:r>
      <w:r w:rsidRPr="00FD0E47">
        <w:rPr>
          <w:rFonts w:asciiTheme="minorHAnsi" w:hAnsiTheme="minorHAnsi"/>
          <w:szCs w:val="22"/>
        </w:rPr>
        <w:t>.</w:t>
      </w:r>
      <w:proofErr w:type="gramEnd"/>
      <w:r w:rsidRPr="00FD0E47">
        <w:rPr>
          <w:rFonts w:asciiTheme="minorHAnsi" w:hAnsiTheme="minorHAnsi"/>
          <w:szCs w:val="22"/>
        </w:rPr>
        <w:t xml:space="preserve"> </w:t>
      </w:r>
      <w:r>
        <w:rPr>
          <w:rFonts w:asciiTheme="minorHAnsi" w:hAnsiTheme="minorHAnsi"/>
          <w:szCs w:val="22"/>
        </w:rPr>
        <w:t xml:space="preserve">2012; </w:t>
      </w:r>
      <w:r w:rsidRPr="00526707">
        <w:rPr>
          <w:rFonts w:asciiTheme="minorHAnsi" w:hAnsiTheme="minorHAnsi"/>
          <w:szCs w:val="22"/>
        </w:rPr>
        <w:t>7</w:t>
      </w:r>
      <w:r w:rsidRPr="00FD0E47">
        <w:rPr>
          <w:rFonts w:asciiTheme="minorHAnsi" w:hAnsiTheme="minorHAnsi"/>
          <w:szCs w:val="22"/>
        </w:rPr>
        <w:t>:</w:t>
      </w:r>
      <w:r>
        <w:rPr>
          <w:rFonts w:asciiTheme="minorHAnsi" w:hAnsiTheme="minorHAnsi"/>
          <w:szCs w:val="22"/>
        </w:rPr>
        <w:t xml:space="preserve"> </w:t>
      </w:r>
      <w:r w:rsidRPr="00FD0E47">
        <w:rPr>
          <w:rFonts w:asciiTheme="minorHAnsi" w:hAnsiTheme="minorHAnsi"/>
          <w:szCs w:val="22"/>
        </w:rPr>
        <w:t>e45156</w:t>
      </w:r>
    </w:p>
  </w:footnote>
  <w:footnote w:id="20">
    <w:p w14:paraId="2292FF55" w14:textId="77777777" w:rsidR="003E424C" w:rsidRPr="001222AB" w:rsidRDefault="003E424C">
      <w:pPr>
        <w:pStyle w:val="FootnoteText"/>
        <w:rPr>
          <w:lang w:val="en-US"/>
        </w:rPr>
      </w:pPr>
      <w:r>
        <w:rPr>
          <w:rStyle w:val="FootnoteReference"/>
        </w:rPr>
        <w:footnoteRef/>
      </w:r>
      <w:r>
        <w:t xml:space="preserve"> </w:t>
      </w:r>
      <w:r w:rsidRPr="00D921AE">
        <w:rPr>
          <w:rFonts w:asciiTheme="minorHAnsi" w:hAnsiTheme="minorHAnsi"/>
          <w:szCs w:val="22"/>
        </w:rPr>
        <w:t xml:space="preserve">Way S.W., </w:t>
      </w:r>
      <w:r w:rsidRPr="004225CF">
        <w:rPr>
          <w:rFonts w:asciiTheme="minorHAnsi" w:hAnsiTheme="minorHAnsi"/>
          <w:i/>
          <w:szCs w:val="22"/>
        </w:rPr>
        <w:t>et al.</w:t>
      </w:r>
      <w:r w:rsidRPr="00D921AE">
        <w:rPr>
          <w:rFonts w:asciiTheme="minorHAnsi" w:hAnsiTheme="minorHAnsi"/>
          <w:szCs w:val="22"/>
        </w:rPr>
        <w:t xml:space="preserve"> (2009) Loss of Tsc2 in radial glia models the brain pathology of tuberous sclerosis complex in the mouse. </w:t>
      </w:r>
      <w:r w:rsidRPr="00D921AE">
        <w:rPr>
          <w:rFonts w:asciiTheme="minorHAnsi" w:hAnsiTheme="minorHAnsi"/>
          <w:i/>
          <w:szCs w:val="22"/>
        </w:rPr>
        <w:t>Hum. Mol. Genet.</w:t>
      </w:r>
      <w:r w:rsidRPr="00D921AE">
        <w:rPr>
          <w:rFonts w:asciiTheme="minorHAnsi" w:hAnsiTheme="minorHAnsi"/>
          <w:szCs w:val="22"/>
        </w:rPr>
        <w:t xml:space="preserve"> </w:t>
      </w:r>
      <w:r>
        <w:rPr>
          <w:rFonts w:asciiTheme="minorHAnsi" w:hAnsiTheme="minorHAnsi"/>
          <w:szCs w:val="22"/>
        </w:rPr>
        <w:t xml:space="preserve">2009; </w:t>
      </w:r>
      <w:r w:rsidRPr="001222AB">
        <w:rPr>
          <w:rFonts w:asciiTheme="minorHAnsi" w:hAnsiTheme="minorHAnsi"/>
          <w:szCs w:val="22"/>
        </w:rPr>
        <w:t>18</w:t>
      </w:r>
      <w:r w:rsidRPr="00D921AE">
        <w:rPr>
          <w:rFonts w:asciiTheme="minorHAnsi" w:hAnsiTheme="minorHAnsi"/>
          <w:szCs w:val="22"/>
        </w:rPr>
        <w:t>:</w:t>
      </w:r>
      <w:r>
        <w:rPr>
          <w:rFonts w:asciiTheme="minorHAnsi" w:hAnsiTheme="minorHAnsi"/>
          <w:szCs w:val="22"/>
        </w:rPr>
        <w:t xml:space="preserve"> </w:t>
      </w:r>
      <w:r w:rsidRPr="00D921AE">
        <w:rPr>
          <w:rFonts w:asciiTheme="minorHAnsi" w:hAnsiTheme="minorHAnsi"/>
          <w:szCs w:val="22"/>
        </w:rPr>
        <w:t>1252–</w:t>
      </w:r>
      <w:r>
        <w:rPr>
          <w:rFonts w:asciiTheme="minorHAnsi" w:hAnsiTheme="minorHAnsi"/>
          <w:szCs w:val="22"/>
        </w:rPr>
        <w:t>12</w:t>
      </w:r>
      <w:r w:rsidRPr="00D921AE">
        <w:rPr>
          <w:rFonts w:asciiTheme="minorHAnsi" w:hAnsiTheme="minorHAnsi"/>
          <w:szCs w:val="22"/>
        </w:rPr>
        <w:t>65</w:t>
      </w:r>
    </w:p>
  </w:footnote>
  <w:footnote w:id="21">
    <w:p w14:paraId="7C5A21E3" w14:textId="77777777" w:rsidR="003E424C" w:rsidRPr="001222AB" w:rsidRDefault="003E424C">
      <w:pPr>
        <w:pStyle w:val="FootnoteText"/>
        <w:rPr>
          <w:lang w:val="en-US"/>
        </w:rPr>
      </w:pPr>
      <w:r>
        <w:rPr>
          <w:rStyle w:val="FootnoteReference"/>
        </w:rPr>
        <w:footnoteRef/>
      </w:r>
      <w:r>
        <w:t xml:space="preserve"> </w:t>
      </w:r>
      <w:r w:rsidRPr="00D921AE">
        <w:rPr>
          <w:rFonts w:asciiTheme="minorHAnsi" w:eastAsiaTheme="minorHAnsi" w:hAnsiTheme="minorHAnsi"/>
          <w:szCs w:val="22"/>
        </w:rPr>
        <w:t xml:space="preserve">Way S.W., </w:t>
      </w:r>
      <w:r w:rsidRPr="004225CF">
        <w:rPr>
          <w:rFonts w:asciiTheme="minorHAnsi" w:eastAsiaTheme="minorHAnsi" w:hAnsiTheme="minorHAnsi"/>
          <w:i/>
          <w:szCs w:val="22"/>
        </w:rPr>
        <w:t>et al</w:t>
      </w:r>
      <w:r w:rsidRPr="00D921AE">
        <w:rPr>
          <w:rFonts w:asciiTheme="minorHAnsi" w:eastAsiaTheme="minorHAnsi" w:hAnsiTheme="minorHAnsi"/>
          <w:szCs w:val="22"/>
        </w:rPr>
        <w:t xml:space="preserve">. (2012) </w:t>
      </w:r>
      <w:proofErr w:type="gramStart"/>
      <w:r w:rsidRPr="00D921AE">
        <w:rPr>
          <w:rFonts w:asciiTheme="minorHAnsi" w:eastAsiaTheme="minorHAnsi" w:hAnsiTheme="minorHAnsi"/>
          <w:szCs w:val="22"/>
        </w:rPr>
        <w:t>The</w:t>
      </w:r>
      <w:proofErr w:type="gramEnd"/>
      <w:r w:rsidRPr="00D921AE">
        <w:rPr>
          <w:rFonts w:asciiTheme="minorHAnsi" w:eastAsiaTheme="minorHAnsi" w:hAnsiTheme="minorHAnsi"/>
          <w:szCs w:val="22"/>
        </w:rPr>
        <w:t xml:space="preserve"> differential effects of prenatal and/or postnatal rapamycin on neurodevelopmental defects and cognition in a neuroglial mouse model of tuberous sclerosis complex. </w:t>
      </w:r>
      <w:r w:rsidRPr="00D921AE">
        <w:rPr>
          <w:rFonts w:asciiTheme="minorHAnsi" w:eastAsiaTheme="minorHAnsi" w:hAnsiTheme="minorHAnsi"/>
          <w:i/>
          <w:szCs w:val="22"/>
        </w:rPr>
        <w:t>Hum. Mol. Genet.</w:t>
      </w:r>
      <w:r>
        <w:rPr>
          <w:rFonts w:asciiTheme="minorHAnsi" w:eastAsiaTheme="minorHAnsi" w:hAnsiTheme="minorHAnsi"/>
          <w:i/>
          <w:szCs w:val="22"/>
        </w:rPr>
        <w:t>2012</w:t>
      </w:r>
      <w:r w:rsidRPr="001222AB">
        <w:rPr>
          <w:rFonts w:asciiTheme="minorHAnsi" w:eastAsiaTheme="minorHAnsi" w:hAnsiTheme="minorHAnsi"/>
          <w:i/>
          <w:szCs w:val="22"/>
        </w:rPr>
        <w:t>;</w:t>
      </w:r>
      <w:r w:rsidRPr="001222AB">
        <w:rPr>
          <w:rFonts w:asciiTheme="minorHAnsi" w:eastAsiaTheme="minorHAnsi" w:hAnsiTheme="minorHAnsi"/>
          <w:szCs w:val="22"/>
        </w:rPr>
        <w:t xml:space="preserve"> 21</w:t>
      </w:r>
      <w:r w:rsidRPr="00D921AE">
        <w:rPr>
          <w:rFonts w:asciiTheme="minorHAnsi" w:eastAsiaTheme="minorHAnsi" w:hAnsiTheme="minorHAnsi"/>
          <w:szCs w:val="22"/>
        </w:rPr>
        <w:t>:</w:t>
      </w:r>
      <w:r>
        <w:rPr>
          <w:rFonts w:asciiTheme="minorHAnsi" w:eastAsiaTheme="minorHAnsi" w:hAnsiTheme="minorHAnsi"/>
          <w:szCs w:val="22"/>
        </w:rPr>
        <w:t xml:space="preserve"> </w:t>
      </w:r>
      <w:r w:rsidRPr="00D921AE">
        <w:rPr>
          <w:rFonts w:asciiTheme="minorHAnsi" w:eastAsiaTheme="minorHAnsi" w:hAnsiTheme="minorHAnsi"/>
          <w:szCs w:val="22"/>
        </w:rPr>
        <w:t>3226-</w:t>
      </w:r>
      <w:r>
        <w:rPr>
          <w:rFonts w:asciiTheme="minorHAnsi" w:eastAsiaTheme="minorHAnsi" w:hAnsiTheme="minorHAnsi"/>
          <w:szCs w:val="22"/>
        </w:rPr>
        <w:t>32</w:t>
      </w:r>
      <w:r w:rsidRPr="00D921AE">
        <w:rPr>
          <w:rFonts w:asciiTheme="minorHAnsi" w:eastAsiaTheme="minorHAnsi" w:hAnsiTheme="minorHAnsi"/>
          <w:szCs w:val="22"/>
        </w:rPr>
        <w:t>36</w:t>
      </w:r>
    </w:p>
  </w:footnote>
  <w:footnote w:id="22">
    <w:p w14:paraId="28D302A5" w14:textId="77777777" w:rsidR="003E424C" w:rsidRPr="001222AB" w:rsidRDefault="003E424C">
      <w:pPr>
        <w:pStyle w:val="FootnoteText"/>
        <w:rPr>
          <w:lang w:val="en-US"/>
        </w:rPr>
      </w:pPr>
      <w:r>
        <w:rPr>
          <w:rStyle w:val="FootnoteReference"/>
        </w:rPr>
        <w:footnoteRef/>
      </w:r>
      <w:r>
        <w:t xml:space="preserve"> </w:t>
      </w:r>
      <w:r w:rsidRPr="00D921AE">
        <w:rPr>
          <w:rFonts w:asciiTheme="minorHAnsi" w:eastAsiaTheme="minorHAnsi" w:hAnsiTheme="minorHAnsi"/>
          <w:szCs w:val="22"/>
        </w:rPr>
        <w:t xml:space="preserve">Zeng L.H., </w:t>
      </w:r>
      <w:r>
        <w:rPr>
          <w:rFonts w:asciiTheme="minorHAnsi" w:eastAsiaTheme="minorHAnsi" w:hAnsiTheme="minorHAnsi"/>
          <w:szCs w:val="22"/>
        </w:rPr>
        <w:t xml:space="preserve">et al </w:t>
      </w:r>
      <w:r w:rsidRPr="00D921AE">
        <w:rPr>
          <w:rFonts w:asciiTheme="minorHAnsi" w:eastAsiaTheme="minorHAnsi" w:hAnsiTheme="minorHAnsi"/>
          <w:szCs w:val="22"/>
        </w:rPr>
        <w:t xml:space="preserve">(2009) The Mammalian Target of Rapamycin </w:t>
      </w:r>
      <w:proofErr w:type="spellStart"/>
      <w:r w:rsidRPr="00D921AE">
        <w:rPr>
          <w:rFonts w:asciiTheme="minorHAnsi" w:eastAsiaTheme="minorHAnsi" w:hAnsiTheme="minorHAnsi"/>
          <w:szCs w:val="22"/>
        </w:rPr>
        <w:t>Signaling</w:t>
      </w:r>
      <w:proofErr w:type="spellEnd"/>
      <w:r w:rsidRPr="00D921AE">
        <w:rPr>
          <w:rFonts w:asciiTheme="minorHAnsi" w:eastAsiaTheme="minorHAnsi" w:hAnsiTheme="minorHAnsi"/>
          <w:szCs w:val="22"/>
        </w:rPr>
        <w:t xml:space="preserve"> Pathway Mediates </w:t>
      </w:r>
      <w:proofErr w:type="spellStart"/>
      <w:r w:rsidRPr="00D921AE">
        <w:rPr>
          <w:rFonts w:asciiTheme="minorHAnsi" w:eastAsiaTheme="minorHAnsi" w:hAnsiTheme="minorHAnsi"/>
          <w:szCs w:val="22"/>
        </w:rPr>
        <w:t>Epileptogenesis</w:t>
      </w:r>
      <w:proofErr w:type="spellEnd"/>
      <w:r w:rsidRPr="00D921AE">
        <w:rPr>
          <w:rFonts w:asciiTheme="minorHAnsi" w:eastAsiaTheme="minorHAnsi" w:hAnsiTheme="minorHAnsi"/>
          <w:szCs w:val="22"/>
        </w:rPr>
        <w:t xml:space="preserve"> in a Model of Temporal Lobe Epilepsy. </w:t>
      </w:r>
      <w:r w:rsidRPr="00D921AE">
        <w:rPr>
          <w:rFonts w:asciiTheme="minorHAnsi" w:eastAsiaTheme="minorHAnsi" w:hAnsiTheme="minorHAnsi"/>
          <w:i/>
          <w:szCs w:val="22"/>
        </w:rPr>
        <w:t>Journal of Neuroscience</w:t>
      </w:r>
      <w:r w:rsidRPr="00D921AE">
        <w:rPr>
          <w:rFonts w:asciiTheme="minorHAnsi" w:eastAsiaTheme="minorHAnsi" w:hAnsiTheme="minorHAnsi"/>
          <w:szCs w:val="22"/>
        </w:rPr>
        <w:t xml:space="preserve"> </w:t>
      </w:r>
      <w:r>
        <w:rPr>
          <w:rFonts w:asciiTheme="minorHAnsi" w:eastAsiaTheme="minorHAnsi" w:hAnsiTheme="minorHAnsi"/>
          <w:szCs w:val="22"/>
        </w:rPr>
        <w:t>2009</w:t>
      </w:r>
      <w:r w:rsidRPr="001222AB">
        <w:rPr>
          <w:rFonts w:asciiTheme="minorHAnsi" w:eastAsiaTheme="minorHAnsi" w:hAnsiTheme="minorHAnsi"/>
          <w:szCs w:val="22"/>
        </w:rPr>
        <w:t>; 29:</w:t>
      </w:r>
      <w:r>
        <w:rPr>
          <w:rFonts w:asciiTheme="minorHAnsi" w:eastAsiaTheme="minorHAnsi" w:hAnsiTheme="minorHAnsi"/>
          <w:szCs w:val="22"/>
        </w:rPr>
        <w:t xml:space="preserve"> </w:t>
      </w:r>
      <w:r w:rsidRPr="00D921AE">
        <w:rPr>
          <w:rFonts w:asciiTheme="minorHAnsi" w:eastAsiaTheme="minorHAnsi" w:hAnsiTheme="minorHAnsi"/>
          <w:szCs w:val="22"/>
        </w:rPr>
        <w:t>6964-</w:t>
      </w:r>
      <w:r>
        <w:rPr>
          <w:rFonts w:asciiTheme="minorHAnsi" w:eastAsiaTheme="minorHAnsi" w:hAnsiTheme="minorHAnsi"/>
          <w:szCs w:val="22"/>
        </w:rPr>
        <w:t>69</w:t>
      </w:r>
      <w:r w:rsidRPr="00D921AE">
        <w:rPr>
          <w:rFonts w:asciiTheme="minorHAnsi" w:eastAsiaTheme="minorHAnsi" w:hAnsiTheme="minorHAnsi"/>
          <w:szCs w:val="22"/>
        </w:rPr>
        <w:t>72</w:t>
      </w:r>
    </w:p>
  </w:footnote>
  <w:footnote w:id="23">
    <w:p w14:paraId="42192D1D" w14:textId="77777777" w:rsidR="003E424C" w:rsidRPr="001222AB" w:rsidRDefault="003E424C">
      <w:pPr>
        <w:pStyle w:val="FootnoteText"/>
        <w:rPr>
          <w:lang w:val="en-US"/>
        </w:rPr>
      </w:pPr>
      <w:r>
        <w:rPr>
          <w:rStyle w:val="FootnoteReference"/>
        </w:rPr>
        <w:footnoteRef/>
      </w:r>
      <w:r>
        <w:t xml:space="preserve"> </w:t>
      </w:r>
      <w:proofErr w:type="spellStart"/>
      <w:r w:rsidRPr="00FD0E47">
        <w:rPr>
          <w:rFonts w:asciiTheme="minorHAnsi" w:hAnsiTheme="minorHAnsi"/>
          <w:szCs w:val="22"/>
        </w:rPr>
        <w:t>Holz</w:t>
      </w:r>
      <w:proofErr w:type="spellEnd"/>
      <w:r w:rsidRPr="00FD0E47">
        <w:rPr>
          <w:rFonts w:asciiTheme="minorHAnsi" w:hAnsiTheme="minorHAnsi"/>
          <w:szCs w:val="22"/>
        </w:rPr>
        <w:t xml:space="preserve"> M.K. (2012) </w:t>
      </w:r>
      <w:proofErr w:type="gramStart"/>
      <w:r w:rsidRPr="00FD0E47">
        <w:rPr>
          <w:rFonts w:asciiTheme="minorHAnsi" w:hAnsiTheme="minorHAnsi"/>
          <w:szCs w:val="22"/>
        </w:rPr>
        <w:t>The</w:t>
      </w:r>
      <w:proofErr w:type="gramEnd"/>
      <w:r w:rsidRPr="00FD0E47">
        <w:rPr>
          <w:rFonts w:asciiTheme="minorHAnsi" w:hAnsiTheme="minorHAnsi"/>
          <w:szCs w:val="22"/>
        </w:rPr>
        <w:t xml:space="preserve"> role of S6K1 in ER-positive breast cancer. </w:t>
      </w:r>
      <w:r w:rsidRPr="00FD0E47">
        <w:rPr>
          <w:rFonts w:asciiTheme="minorHAnsi" w:hAnsiTheme="minorHAnsi"/>
          <w:i/>
          <w:szCs w:val="22"/>
        </w:rPr>
        <w:t>Cell Cycle</w:t>
      </w:r>
      <w:r w:rsidRPr="00FD0E47">
        <w:rPr>
          <w:rFonts w:asciiTheme="minorHAnsi" w:hAnsiTheme="minorHAnsi"/>
          <w:szCs w:val="22"/>
        </w:rPr>
        <w:t xml:space="preserve"> </w:t>
      </w:r>
      <w:r>
        <w:rPr>
          <w:rFonts w:asciiTheme="minorHAnsi" w:hAnsiTheme="minorHAnsi"/>
          <w:szCs w:val="22"/>
        </w:rPr>
        <w:t>2012</w:t>
      </w:r>
      <w:r w:rsidRPr="001222AB">
        <w:rPr>
          <w:rFonts w:asciiTheme="minorHAnsi" w:hAnsiTheme="minorHAnsi"/>
          <w:szCs w:val="22"/>
        </w:rPr>
        <w:t>; 11</w:t>
      </w:r>
      <w:r w:rsidRPr="00FD0E47">
        <w:rPr>
          <w:rFonts w:asciiTheme="minorHAnsi" w:hAnsiTheme="minorHAnsi"/>
          <w:b/>
          <w:szCs w:val="22"/>
        </w:rPr>
        <w:t>:</w:t>
      </w:r>
      <w:r w:rsidRPr="00FD0E47">
        <w:rPr>
          <w:rFonts w:asciiTheme="minorHAnsi" w:hAnsiTheme="minorHAnsi"/>
          <w:szCs w:val="22"/>
        </w:rPr>
        <w:t xml:space="preserve"> 3159-3165</w:t>
      </w:r>
    </w:p>
  </w:footnote>
  <w:footnote w:id="24">
    <w:p w14:paraId="5AE47BB6" w14:textId="77777777" w:rsidR="003E424C" w:rsidRPr="00FF595A" w:rsidRDefault="003E424C">
      <w:pPr>
        <w:pStyle w:val="FootnoteText"/>
        <w:rPr>
          <w:lang w:val="en-US"/>
        </w:rPr>
      </w:pPr>
      <w:r>
        <w:rPr>
          <w:rStyle w:val="FootnoteReference"/>
        </w:rPr>
        <w:footnoteRef/>
      </w:r>
      <w:r>
        <w:t xml:space="preserve"> </w:t>
      </w:r>
      <w:proofErr w:type="spellStart"/>
      <w:r w:rsidRPr="00FD0E47">
        <w:rPr>
          <w:rFonts w:asciiTheme="minorHAnsi" w:eastAsiaTheme="minorHAnsi" w:hAnsiTheme="minorHAnsi"/>
          <w:szCs w:val="22"/>
        </w:rPr>
        <w:t>Woodrum</w:t>
      </w:r>
      <w:proofErr w:type="spellEnd"/>
      <w:r w:rsidRPr="00FD0E47">
        <w:rPr>
          <w:rFonts w:asciiTheme="minorHAnsi" w:eastAsiaTheme="minorHAnsi" w:hAnsiTheme="minorHAnsi"/>
          <w:szCs w:val="22"/>
        </w:rPr>
        <w:t xml:space="preserve"> C., </w:t>
      </w:r>
      <w:r>
        <w:rPr>
          <w:rFonts w:asciiTheme="minorHAnsi" w:eastAsiaTheme="minorHAnsi" w:hAnsiTheme="minorHAnsi"/>
          <w:szCs w:val="22"/>
        </w:rPr>
        <w:t>et al</w:t>
      </w:r>
      <w:r w:rsidRPr="00FD0E47">
        <w:rPr>
          <w:rFonts w:asciiTheme="minorHAnsi" w:eastAsiaTheme="minorHAnsi" w:hAnsiTheme="minorHAnsi"/>
          <w:szCs w:val="22"/>
        </w:rPr>
        <w:t xml:space="preserve"> (2010) Comparison of three rapamycin dosing schedules</w:t>
      </w:r>
      <w:r>
        <w:rPr>
          <w:rFonts w:asciiTheme="minorHAnsi" w:eastAsiaTheme="minorHAnsi" w:hAnsiTheme="minorHAnsi"/>
          <w:szCs w:val="22"/>
        </w:rPr>
        <w:t xml:space="preserve"> </w:t>
      </w:r>
      <w:r w:rsidRPr="00FD0E47">
        <w:rPr>
          <w:rFonts w:asciiTheme="minorHAnsi" w:eastAsiaTheme="minorHAnsi" w:hAnsiTheme="minorHAnsi"/>
          <w:szCs w:val="22"/>
        </w:rPr>
        <w:t xml:space="preserve">in A/J Tsc2+/2 mice and improved survival with angiogenesis inhibitor or asparaginase treatment in mice with subcutaneous tuberous sclerosis related </w:t>
      </w:r>
      <w:proofErr w:type="spellStart"/>
      <w:r w:rsidRPr="00FD0E47">
        <w:rPr>
          <w:rFonts w:asciiTheme="minorHAnsi" w:eastAsiaTheme="minorHAnsi" w:hAnsiTheme="minorHAnsi"/>
          <w:szCs w:val="22"/>
        </w:rPr>
        <w:t>tumors</w:t>
      </w:r>
      <w:proofErr w:type="spellEnd"/>
      <w:r w:rsidRPr="00FD0E47">
        <w:rPr>
          <w:rFonts w:asciiTheme="minorHAnsi" w:eastAsiaTheme="minorHAnsi" w:hAnsiTheme="minorHAnsi"/>
          <w:szCs w:val="22"/>
        </w:rPr>
        <w:t xml:space="preserve">. </w:t>
      </w:r>
      <w:r w:rsidRPr="00FD0E47">
        <w:rPr>
          <w:rFonts w:asciiTheme="minorHAnsi" w:eastAsiaTheme="minorHAnsi" w:hAnsiTheme="minorHAnsi"/>
          <w:i/>
          <w:szCs w:val="22"/>
        </w:rPr>
        <w:t>Journal of Translational Medicine</w:t>
      </w:r>
      <w:r w:rsidRPr="00FD0E47">
        <w:rPr>
          <w:rFonts w:asciiTheme="minorHAnsi" w:eastAsiaTheme="minorHAnsi" w:hAnsiTheme="minorHAnsi"/>
          <w:szCs w:val="22"/>
        </w:rPr>
        <w:t xml:space="preserve"> </w:t>
      </w:r>
      <w:r>
        <w:rPr>
          <w:rFonts w:asciiTheme="minorHAnsi" w:eastAsiaTheme="minorHAnsi" w:hAnsiTheme="minorHAnsi"/>
          <w:szCs w:val="22"/>
        </w:rPr>
        <w:t xml:space="preserve">2010; </w:t>
      </w:r>
      <w:r w:rsidRPr="00FF595A">
        <w:rPr>
          <w:rFonts w:asciiTheme="minorHAnsi" w:eastAsiaTheme="minorHAnsi" w:hAnsiTheme="minorHAnsi"/>
          <w:szCs w:val="22"/>
        </w:rPr>
        <w:t>8</w:t>
      </w:r>
      <w:r w:rsidRPr="00FD0E47">
        <w:rPr>
          <w:rFonts w:asciiTheme="minorHAnsi" w:eastAsiaTheme="minorHAnsi" w:hAnsiTheme="minorHAnsi"/>
          <w:szCs w:val="22"/>
        </w:rPr>
        <w:t>:14</w:t>
      </w:r>
    </w:p>
  </w:footnote>
  <w:footnote w:id="25">
    <w:p w14:paraId="0A6AEE94" w14:textId="77777777" w:rsidR="003E424C" w:rsidRPr="00FF595A" w:rsidRDefault="003E424C">
      <w:pPr>
        <w:pStyle w:val="FootnoteText"/>
        <w:rPr>
          <w:lang w:val="en-US"/>
        </w:rPr>
      </w:pPr>
      <w:r>
        <w:rPr>
          <w:rStyle w:val="FootnoteReference"/>
        </w:rPr>
        <w:footnoteRef/>
      </w:r>
      <w:r>
        <w:t xml:space="preserve"> </w:t>
      </w:r>
      <w:proofErr w:type="spellStart"/>
      <w:r w:rsidRPr="00FD0E47">
        <w:rPr>
          <w:rFonts w:asciiTheme="minorHAnsi" w:hAnsiTheme="minorHAnsi"/>
          <w:szCs w:val="22"/>
        </w:rPr>
        <w:t>Kenerson</w:t>
      </w:r>
      <w:proofErr w:type="spellEnd"/>
      <w:r w:rsidRPr="00FD0E47">
        <w:rPr>
          <w:rFonts w:asciiTheme="minorHAnsi" w:hAnsiTheme="minorHAnsi"/>
          <w:szCs w:val="22"/>
        </w:rPr>
        <w:t xml:space="preserve"> H., </w:t>
      </w:r>
      <w:r w:rsidRPr="00FD0E47">
        <w:rPr>
          <w:rFonts w:asciiTheme="minorHAnsi" w:hAnsiTheme="minorHAnsi"/>
          <w:i/>
          <w:szCs w:val="22"/>
        </w:rPr>
        <w:t>et al.</w:t>
      </w:r>
      <w:r w:rsidRPr="00FD0E47">
        <w:rPr>
          <w:rFonts w:asciiTheme="minorHAnsi" w:hAnsiTheme="minorHAnsi"/>
          <w:szCs w:val="22"/>
        </w:rPr>
        <w:t xml:space="preserve"> (2007) Activation of the </w:t>
      </w:r>
      <w:proofErr w:type="spellStart"/>
      <w:r w:rsidRPr="00FD0E47">
        <w:rPr>
          <w:rFonts w:asciiTheme="minorHAnsi" w:hAnsiTheme="minorHAnsi"/>
          <w:szCs w:val="22"/>
        </w:rPr>
        <w:t>mTOR</w:t>
      </w:r>
      <w:proofErr w:type="spellEnd"/>
      <w:r w:rsidRPr="00FD0E47">
        <w:rPr>
          <w:rFonts w:asciiTheme="minorHAnsi" w:hAnsiTheme="minorHAnsi"/>
          <w:szCs w:val="22"/>
        </w:rPr>
        <w:t xml:space="preserve"> pathway in sporadic </w:t>
      </w:r>
      <w:proofErr w:type="spellStart"/>
      <w:r w:rsidRPr="00FD0E47">
        <w:rPr>
          <w:rFonts w:asciiTheme="minorHAnsi" w:hAnsiTheme="minorHAnsi"/>
          <w:szCs w:val="22"/>
        </w:rPr>
        <w:t>angiomyolipomas</w:t>
      </w:r>
      <w:proofErr w:type="spellEnd"/>
      <w:r w:rsidRPr="00FD0E47">
        <w:rPr>
          <w:rFonts w:asciiTheme="minorHAnsi" w:hAnsiTheme="minorHAnsi"/>
          <w:szCs w:val="22"/>
        </w:rPr>
        <w:t xml:space="preserve"> and other perivascular epithelioid cell neoplasms. </w:t>
      </w:r>
      <w:r w:rsidRPr="00FF595A">
        <w:rPr>
          <w:rFonts w:asciiTheme="minorHAnsi" w:hAnsiTheme="minorHAnsi"/>
          <w:i/>
          <w:szCs w:val="22"/>
        </w:rPr>
        <w:t xml:space="preserve">Hum. </w:t>
      </w:r>
      <w:proofErr w:type="spellStart"/>
      <w:proofErr w:type="gramStart"/>
      <w:r w:rsidRPr="00FF595A">
        <w:rPr>
          <w:rFonts w:asciiTheme="minorHAnsi" w:hAnsiTheme="minorHAnsi"/>
          <w:i/>
          <w:szCs w:val="22"/>
        </w:rPr>
        <w:t>Pathol</w:t>
      </w:r>
      <w:proofErr w:type="spellEnd"/>
      <w:r w:rsidRPr="00FD0E47">
        <w:rPr>
          <w:rFonts w:asciiTheme="minorHAnsi" w:hAnsiTheme="minorHAnsi"/>
          <w:szCs w:val="22"/>
        </w:rPr>
        <w:t>.</w:t>
      </w:r>
      <w:proofErr w:type="gramEnd"/>
      <w:r w:rsidRPr="00FD0E47">
        <w:rPr>
          <w:rFonts w:asciiTheme="minorHAnsi" w:hAnsiTheme="minorHAnsi"/>
          <w:szCs w:val="22"/>
        </w:rPr>
        <w:t xml:space="preserve"> </w:t>
      </w:r>
      <w:r>
        <w:rPr>
          <w:rFonts w:asciiTheme="minorHAnsi" w:hAnsiTheme="minorHAnsi"/>
          <w:szCs w:val="22"/>
        </w:rPr>
        <w:t xml:space="preserve">2007; </w:t>
      </w:r>
      <w:r w:rsidRPr="00FF595A">
        <w:rPr>
          <w:rFonts w:asciiTheme="minorHAnsi" w:hAnsiTheme="minorHAnsi"/>
          <w:szCs w:val="22"/>
        </w:rPr>
        <w:t>38</w:t>
      </w:r>
      <w:r w:rsidRPr="00FD0E47">
        <w:rPr>
          <w:rFonts w:asciiTheme="minorHAnsi" w:hAnsiTheme="minorHAnsi"/>
          <w:szCs w:val="22"/>
        </w:rPr>
        <w:t>:1361-</w:t>
      </w:r>
      <w:r>
        <w:rPr>
          <w:rFonts w:asciiTheme="minorHAnsi" w:hAnsiTheme="minorHAnsi"/>
          <w:szCs w:val="22"/>
        </w:rPr>
        <w:t>13</w:t>
      </w:r>
      <w:r w:rsidRPr="00FD0E47">
        <w:rPr>
          <w:rFonts w:asciiTheme="minorHAnsi" w:hAnsiTheme="minorHAnsi"/>
          <w:szCs w:val="22"/>
        </w:rPr>
        <w:t>71</w:t>
      </w:r>
    </w:p>
  </w:footnote>
  <w:footnote w:id="26">
    <w:p w14:paraId="434F681A" w14:textId="77777777" w:rsidR="003E424C" w:rsidRPr="00FF595A" w:rsidRDefault="003E424C">
      <w:pPr>
        <w:pStyle w:val="FootnoteText"/>
        <w:rPr>
          <w:lang w:val="en-US"/>
        </w:rPr>
      </w:pPr>
      <w:r>
        <w:rPr>
          <w:rStyle w:val="FootnoteReference"/>
        </w:rPr>
        <w:footnoteRef/>
      </w:r>
      <w:r>
        <w:t xml:space="preserve"> </w:t>
      </w:r>
      <w:r w:rsidRPr="00FD0E47">
        <w:rPr>
          <w:rFonts w:asciiTheme="minorHAnsi" w:hAnsiTheme="minorHAnsi"/>
          <w:szCs w:val="22"/>
        </w:rPr>
        <w:t xml:space="preserve">El-Hashemite N., </w:t>
      </w:r>
      <w:r w:rsidRPr="00FD0E47">
        <w:rPr>
          <w:rFonts w:asciiTheme="minorHAnsi" w:hAnsiTheme="minorHAnsi"/>
          <w:i/>
          <w:szCs w:val="22"/>
        </w:rPr>
        <w:t>et al</w:t>
      </w:r>
      <w:r w:rsidRPr="00FD0E47">
        <w:rPr>
          <w:rFonts w:asciiTheme="minorHAnsi" w:hAnsiTheme="minorHAnsi"/>
          <w:szCs w:val="22"/>
        </w:rPr>
        <w:t>. (2003) Mutation in TSC2 and activation of mammalian</w:t>
      </w:r>
      <w:r w:rsidRPr="00FD0E47">
        <w:t xml:space="preserve"> </w:t>
      </w:r>
      <w:r w:rsidRPr="00FD0E47">
        <w:rPr>
          <w:rFonts w:asciiTheme="minorHAnsi" w:hAnsiTheme="minorHAnsi"/>
          <w:szCs w:val="22"/>
        </w:rPr>
        <w:t xml:space="preserve">target of rapamycin signalling pathway in renal </w:t>
      </w:r>
      <w:proofErr w:type="spellStart"/>
      <w:r w:rsidRPr="00FD0E47">
        <w:rPr>
          <w:rFonts w:asciiTheme="minorHAnsi" w:hAnsiTheme="minorHAnsi"/>
          <w:szCs w:val="22"/>
        </w:rPr>
        <w:t>angiomyolipoma</w:t>
      </w:r>
      <w:proofErr w:type="spellEnd"/>
      <w:r w:rsidRPr="00FD0E47">
        <w:rPr>
          <w:rFonts w:asciiTheme="minorHAnsi" w:hAnsiTheme="minorHAnsi"/>
          <w:szCs w:val="22"/>
        </w:rPr>
        <w:t xml:space="preserve">. </w:t>
      </w:r>
      <w:r w:rsidRPr="00FD0E47">
        <w:rPr>
          <w:rFonts w:asciiTheme="minorHAnsi" w:hAnsiTheme="minorHAnsi"/>
          <w:i/>
          <w:szCs w:val="22"/>
        </w:rPr>
        <w:t>Lancet</w:t>
      </w:r>
      <w:r w:rsidRPr="00FD0E47">
        <w:rPr>
          <w:rFonts w:asciiTheme="minorHAnsi" w:hAnsiTheme="minorHAnsi"/>
          <w:szCs w:val="22"/>
        </w:rPr>
        <w:t xml:space="preserve"> </w:t>
      </w:r>
      <w:r>
        <w:rPr>
          <w:rFonts w:asciiTheme="minorHAnsi" w:hAnsiTheme="minorHAnsi"/>
          <w:szCs w:val="22"/>
        </w:rPr>
        <w:t xml:space="preserve">2003; </w:t>
      </w:r>
      <w:r w:rsidRPr="00FF595A">
        <w:rPr>
          <w:rFonts w:asciiTheme="minorHAnsi" w:hAnsiTheme="minorHAnsi"/>
          <w:szCs w:val="22"/>
        </w:rPr>
        <w:t>361:</w:t>
      </w:r>
      <w:r>
        <w:rPr>
          <w:rFonts w:asciiTheme="minorHAnsi" w:hAnsiTheme="minorHAnsi"/>
          <w:szCs w:val="22"/>
        </w:rPr>
        <w:t xml:space="preserve"> </w:t>
      </w:r>
      <w:r w:rsidRPr="00FD0E47">
        <w:rPr>
          <w:rFonts w:asciiTheme="minorHAnsi" w:hAnsiTheme="minorHAnsi"/>
          <w:szCs w:val="22"/>
        </w:rPr>
        <w:t>1348–</w:t>
      </w:r>
      <w:r>
        <w:rPr>
          <w:rFonts w:asciiTheme="minorHAnsi" w:hAnsiTheme="minorHAnsi"/>
          <w:szCs w:val="22"/>
        </w:rPr>
        <w:t>134</w:t>
      </w:r>
      <w:r w:rsidRPr="00FD0E47">
        <w:rPr>
          <w:rFonts w:asciiTheme="minorHAnsi" w:hAnsiTheme="minorHAnsi"/>
          <w:szCs w:val="22"/>
        </w:rPr>
        <w:t>9</w:t>
      </w:r>
    </w:p>
  </w:footnote>
  <w:footnote w:id="27">
    <w:p w14:paraId="58597A19" w14:textId="0AF6E075" w:rsidR="003E424C" w:rsidRPr="0086351B" w:rsidRDefault="003E424C" w:rsidP="003E50AD">
      <w:pPr>
        <w:pStyle w:val="FootnoteText"/>
        <w:rPr>
          <w:lang w:val="en-US"/>
        </w:rPr>
      </w:pPr>
      <w:r>
        <w:rPr>
          <w:rStyle w:val="FootnoteReference"/>
        </w:rPr>
        <w:footnoteRef/>
      </w:r>
      <w:r>
        <w:t xml:space="preserve"> </w:t>
      </w:r>
      <w:proofErr w:type="spellStart"/>
      <w:r w:rsidRPr="0086351B">
        <w:t>Pirson</w:t>
      </w:r>
      <w:proofErr w:type="spellEnd"/>
      <w:r>
        <w:t xml:space="preserve"> Y.</w:t>
      </w:r>
      <w:r w:rsidRPr="0086351B">
        <w:t xml:space="preserve"> Tuberous sclerosis complex-associated kidney </w:t>
      </w:r>
      <w:proofErr w:type="spellStart"/>
      <w:r w:rsidRPr="0086351B">
        <w:t>angiomyolipoma</w:t>
      </w:r>
      <w:proofErr w:type="spellEnd"/>
      <w:r w:rsidRPr="0086351B">
        <w:t xml:space="preserve">: from contemplation to action. </w:t>
      </w:r>
      <w:proofErr w:type="spellStart"/>
      <w:r w:rsidRPr="007300EE">
        <w:rPr>
          <w:i/>
        </w:rPr>
        <w:t>Nephrol</w:t>
      </w:r>
      <w:proofErr w:type="spellEnd"/>
      <w:r w:rsidRPr="007300EE">
        <w:rPr>
          <w:i/>
        </w:rPr>
        <w:t xml:space="preserve"> Dial Transpla</w:t>
      </w:r>
      <w:r>
        <w:t xml:space="preserve">nt </w:t>
      </w:r>
      <w:r w:rsidRPr="0086351B">
        <w:t>2013</w:t>
      </w:r>
      <w:r>
        <w:t>; 28: 1680-1685.</w:t>
      </w:r>
    </w:p>
  </w:footnote>
  <w:footnote w:id="28">
    <w:p w14:paraId="7BADE3F3" w14:textId="77777777" w:rsidR="003E424C" w:rsidRDefault="003E424C" w:rsidP="00307F94">
      <w:pPr>
        <w:pStyle w:val="FootnoteText"/>
      </w:pPr>
      <w:r>
        <w:rPr>
          <w:rStyle w:val="FootnoteReference"/>
        </w:rPr>
        <w:footnoteRef/>
      </w:r>
      <w:r>
        <w:t xml:space="preserve"> CL/F: The apparent systemic (or total body) clearance from plasma (or serum or blood)</w:t>
      </w:r>
    </w:p>
    <w:p w14:paraId="590EDD6F" w14:textId="77777777" w:rsidR="003E424C" w:rsidRPr="00307F94" w:rsidRDefault="003E424C" w:rsidP="00307F94">
      <w:pPr>
        <w:pStyle w:val="FootnoteText"/>
        <w:rPr>
          <w:lang w:val="en-US"/>
        </w:rPr>
      </w:pPr>
      <w:proofErr w:type="gramStart"/>
      <w:r>
        <w:t>following</w:t>
      </w:r>
      <w:proofErr w:type="gramEnd"/>
      <w:r>
        <w:t xml:space="preserve"> extravascular administration. Q/F: </w:t>
      </w:r>
      <w:r>
        <w:rPr>
          <w:rFonts w:asciiTheme="minorHAnsi" w:eastAsia="Times New Roman" w:hAnsiTheme="minorHAnsi"/>
          <w:snapToGrid w:val="0"/>
        </w:rPr>
        <w:t>Two compartment model inter compartmental clearance</w:t>
      </w:r>
    </w:p>
  </w:footnote>
  <w:footnote w:id="29">
    <w:p w14:paraId="2A51C46A" w14:textId="77777777" w:rsidR="003E424C" w:rsidRPr="00307F94" w:rsidRDefault="003E424C">
      <w:pPr>
        <w:pStyle w:val="FootnoteText"/>
        <w:rPr>
          <w:lang w:val="en-US"/>
        </w:rPr>
      </w:pPr>
      <w:r>
        <w:rPr>
          <w:rStyle w:val="FootnoteReference"/>
        </w:rPr>
        <w:footnoteRef/>
      </w:r>
      <w:r>
        <w:t xml:space="preserve"> V2/F </w:t>
      </w:r>
      <w:r w:rsidRPr="00307F94">
        <w:t>Two compartment PK parameter for central volume</w:t>
      </w:r>
      <w:r>
        <w:t xml:space="preserve">; V3/F </w:t>
      </w:r>
      <w:r w:rsidRPr="00307F94">
        <w:t>Two compartment PK parameter for peripheral volume</w:t>
      </w:r>
    </w:p>
  </w:footnote>
  <w:footnote w:id="30">
    <w:p w14:paraId="1DE8EF3A" w14:textId="77777777" w:rsidR="003E424C" w:rsidRPr="00307F94" w:rsidRDefault="003E424C">
      <w:pPr>
        <w:pStyle w:val="FootnoteText"/>
        <w:rPr>
          <w:lang w:val="en-US"/>
        </w:rPr>
      </w:pPr>
      <w:r>
        <w:rPr>
          <w:rStyle w:val="FootnoteReference"/>
        </w:rPr>
        <w:footnoteRef/>
      </w:r>
      <w:r>
        <w:t xml:space="preserve"> CYP3A4</w:t>
      </w:r>
      <w:r w:rsidRPr="00307F94">
        <w:t xml:space="preserve"> Cytochrome P</w:t>
      </w:r>
      <w:r w:rsidRPr="00307F94">
        <w:rPr>
          <w:vertAlign w:val="subscript"/>
        </w:rPr>
        <w:t>450</w:t>
      </w:r>
      <w:r w:rsidRPr="00307F94">
        <w:t xml:space="preserve"> 3A4; enzyme involved in drug metabolism</w:t>
      </w:r>
    </w:p>
  </w:footnote>
  <w:footnote w:id="31">
    <w:p w14:paraId="0C2E39F2" w14:textId="77777777" w:rsidR="003E424C" w:rsidRPr="00656D98" w:rsidRDefault="003E424C">
      <w:pPr>
        <w:pStyle w:val="FootnoteText"/>
        <w:rPr>
          <w:lang w:val="en-US"/>
        </w:rPr>
      </w:pPr>
      <w:r>
        <w:rPr>
          <w:rStyle w:val="FootnoteReference"/>
        </w:rPr>
        <w:footnoteRef/>
      </w:r>
      <w:r>
        <w:t xml:space="preserve"> </w:t>
      </w:r>
      <w:proofErr w:type="spellStart"/>
      <w:r w:rsidRPr="00656D98">
        <w:t>C</w:t>
      </w:r>
      <w:r w:rsidRPr="00C50702">
        <w:rPr>
          <w:vertAlign w:val="subscript"/>
        </w:rPr>
        <w:t>min</w:t>
      </w:r>
      <w:proofErr w:type="spellEnd"/>
      <w:r>
        <w:t xml:space="preserve">; </w:t>
      </w:r>
      <w:r w:rsidRPr="00656D98">
        <w:t>Minimum steady-state drug concentration during multiple dosing [ng/mL]</w:t>
      </w:r>
    </w:p>
  </w:footnote>
  <w:footnote w:id="32">
    <w:p w14:paraId="6471C364" w14:textId="5A00A721" w:rsidR="003E424C" w:rsidRPr="007C49C7" w:rsidRDefault="003E424C" w:rsidP="00F11F96">
      <w:pPr>
        <w:pStyle w:val="FootnoteText"/>
        <w:rPr>
          <w:lang w:val="en-US"/>
        </w:rPr>
      </w:pPr>
      <w:r>
        <w:rPr>
          <w:rStyle w:val="FootnoteReference"/>
        </w:rPr>
        <w:footnoteRef/>
      </w:r>
      <w:r>
        <w:t xml:space="preserve"> </w:t>
      </w:r>
      <w:r w:rsidRPr="00CA13FA">
        <w:t>https://ctep.cancer.gov/protocoldevelopment/electronic_applications/docs/ctcaev3.pdf</w:t>
      </w:r>
    </w:p>
  </w:footnote>
  <w:footnote w:id="33">
    <w:p w14:paraId="7B61C24B" w14:textId="77777777" w:rsidR="003E424C" w:rsidRPr="000D7C2B" w:rsidRDefault="003E424C">
      <w:pPr>
        <w:pStyle w:val="FootnoteText"/>
      </w:pPr>
      <w:r>
        <w:rPr>
          <w:rStyle w:val="FootnoteReference"/>
        </w:rPr>
        <w:footnoteRef/>
      </w:r>
      <w:r>
        <w:t xml:space="preserve"> </w:t>
      </w:r>
      <w:r w:rsidRPr="001064B8">
        <w:t>everolimus LT and HT treatment</w:t>
      </w:r>
      <w:r>
        <w:t xml:space="preserve">; </w:t>
      </w:r>
      <w:r w:rsidRPr="000D7C2B">
        <w:t xml:space="preserve">LT Low </w:t>
      </w:r>
      <w:r>
        <w:t>trough</w:t>
      </w:r>
      <w:r w:rsidRPr="000D7C2B">
        <w:t xml:space="preserve"> range treatment arm with targeted </w:t>
      </w:r>
      <w:proofErr w:type="spellStart"/>
      <w:r w:rsidRPr="000D7C2B">
        <w:t>C</w:t>
      </w:r>
      <w:r w:rsidRPr="000D7C2B">
        <w:rPr>
          <w:vertAlign w:val="subscript"/>
        </w:rPr>
        <w:t>min</w:t>
      </w:r>
      <w:proofErr w:type="spellEnd"/>
      <w:r w:rsidRPr="000D7C2B">
        <w:t xml:space="preserve"> range of 3 to 7 ng/mL HT High </w:t>
      </w:r>
      <w:r>
        <w:t>trough</w:t>
      </w:r>
      <w:r w:rsidRPr="000D7C2B">
        <w:t xml:space="preserve"> range treatment arm with targeted </w:t>
      </w:r>
      <w:proofErr w:type="spellStart"/>
      <w:r w:rsidRPr="000D7C2B">
        <w:t>C</w:t>
      </w:r>
      <w:r w:rsidRPr="000D7C2B">
        <w:rPr>
          <w:vertAlign w:val="subscript"/>
        </w:rPr>
        <w:t>min</w:t>
      </w:r>
      <w:proofErr w:type="spellEnd"/>
      <w:r w:rsidRPr="000D7C2B">
        <w:t xml:space="preserve"> range of 9 to 15 ng/mL</w:t>
      </w:r>
    </w:p>
  </w:footnote>
  <w:footnote w:id="34">
    <w:p w14:paraId="7067B7D2" w14:textId="77777777" w:rsidR="003E424C" w:rsidRDefault="003E424C"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5603E7CD" w14:textId="77777777" w:rsidR="003E424C" w:rsidRDefault="003E424C" w:rsidP="00456765">
      <w:pPr>
        <w:pStyle w:val="FootnoteText"/>
      </w:pPr>
      <w:r w:rsidRPr="00F12492">
        <w:rPr>
          <w:i/>
        </w:rPr>
        <w:t>Routine pharmacovigilance</w:t>
      </w:r>
      <w:r>
        <w:t xml:space="preserve"> practices involve the following activities:</w:t>
      </w:r>
    </w:p>
    <w:p w14:paraId="6EE08EB1" w14:textId="77777777" w:rsidR="003E424C" w:rsidRDefault="003E424C" w:rsidP="003D7F9D">
      <w:pPr>
        <w:pStyle w:val="FootnoteText"/>
        <w:numPr>
          <w:ilvl w:val="0"/>
          <w:numId w:val="6"/>
        </w:numPr>
      </w:pPr>
      <w:r>
        <w:t>All suspected adverse reactions that are reported to the personnel of the company are collected and collated in an accessible manner;</w:t>
      </w:r>
    </w:p>
    <w:p w14:paraId="37CF19BB" w14:textId="77777777" w:rsidR="003E424C" w:rsidRDefault="003E424C" w:rsidP="003D7F9D">
      <w:pPr>
        <w:pStyle w:val="FootnoteText"/>
        <w:numPr>
          <w:ilvl w:val="0"/>
          <w:numId w:val="6"/>
        </w:numPr>
      </w:pPr>
      <w:r>
        <w:t>Reporting to regulatory authorities;</w:t>
      </w:r>
    </w:p>
    <w:p w14:paraId="1F1AF779" w14:textId="77777777" w:rsidR="003E424C" w:rsidRDefault="003E424C" w:rsidP="003D7F9D">
      <w:pPr>
        <w:pStyle w:val="FootnoteText"/>
        <w:numPr>
          <w:ilvl w:val="0"/>
          <w:numId w:val="6"/>
        </w:numPr>
      </w:pPr>
      <w:r>
        <w:t xml:space="preserve">Continuous monitoring of the safety profiles of approved products including signal detection and updating of </w:t>
      </w:r>
      <w:proofErr w:type="spellStart"/>
      <w:r>
        <w:t>labeling</w:t>
      </w:r>
      <w:proofErr w:type="spellEnd"/>
      <w:r>
        <w:t>;</w:t>
      </w:r>
    </w:p>
    <w:p w14:paraId="68949CF2" w14:textId="77777777" w:rsidR="003E424C" w:rsidRDefault="003E424C" w:rsidP="003D7F9D">
      <w:pPr>
        <w:pStyle w:val="FootnoteText"/>
        <w:numPr>
          <w:ilvl w:val="0"/>
          <w:numId w:val="6"/>
        </w:numPr>
      </w:pPr>
      <w:r>
        <w:t>Submission of PSURs;</w:t>
      </w:r>
    </w:p>
    <w:p w14:paraId="2855CE67" w14:textId="77777777" w:rsidR="003E424C" w:rsidRPr="00F12492" w:rsidRDefault="003E424C" w:rsidP="003D7F9D">
      <w:pPr>
        <w:pStyle w:val="FootnoteText"/>
        <w:numPr>
          <w:ilvl w:val="0"/>
          <w:numId w:val="6"/>
        </w:numPr>
        <w:rPr>
          <w:lang w:val="en-US"/>
        </w:rPr>
      </w:pPr>
      <w:r>
        <w:t>Meeting other local regulatory agency requirements.</w:t>
      </w:r>
    </w:p>
  </w:footnote>
  <w:footnote w:id="35">
    <w:p w14:paraId="7EDBFAC3" w14:textId="77777777" w:rsidR="003E424C" w:rsidRPr="00EB24AF" w:rsidRDefault="003E424C" w:rsidP="00EB24AF">
      <w:pPr>
        <w:pStyle w:val="FootnoteText"/>
        <w:rPr>
          <w:color w:val="000000"/>
        </w:rPr>
      </w:pPr>
      <w:r w:rsidRPr="00EB24AF">
        <w:rPr>
          <w:rStyle w:val="FootnoteReference"/>
        </w:rPr>
        <w:footnoteRef/>
      </w:r>
      <w:r w:rsidRPr="00EB24AF">
        <w:t xml:space="preserve"> Berg</w:t>
      </w:r>
      <w:r>
        <w:t xml:space="preserve"> AT, et al. (2010) </w:t>
      </w:r>
      <w:proofErr w:type="gramStart"/>
      <w:r>
        <w:rPr>
          <w:color w:val="000000"/>
        </w:rPr>
        <w:t>Revised</w:t>
      </w:r>
      <w:proofErr w:type="gramEnd"/>
      <w:r>
        <w:rPr>
          <w:color w:val="000000"/>
        </w:rPr>
        <w:t xml:space="preserve"> terminology and concepts for organization of the epilepsies: Report of the Commission on Classification and Terminology</w:t>
      </w:r>
      <w:r w:rsidRPr="00EB24AF">
        <w:rPr>
          <w:i/>
          <w:color w:val="000000"/>
        </w:rPr>
        <w:t xml:space="preserve">. </w:t>
      </w:r>
      <w:proofErr w:type="spellStart"/>
      <w:r w:rsidRPr="00EB24AF">
        <w:rPr>
          <w:i/>
          <w:color w:val="000000"/>
        </w:rPr>
        <w:t>Epilepsia</w:t>
      </w:r>
      <w:proofErr w:type="spellEnd"/>
      <w:r>
        <w:rPr>
          <w:color w:val="000000"/>
        </w:rPr>
        <w:t>; 2010; 51: 676–685</w:t>
      </w:r>
    </w:p>
  </w:footnote>
  <w:footnote w:id="36">
    <w:p w14:paraId="583017A1" w14:textId="77777777" w:rsidR="003E424C" w:rsidRPr="00F06F96" w:rsidRDefault="003E424C">
      <w:pPr>
        <w:pStyle w:val="FootnoteText"/>
        <w:rPr>
          <w:lang w:val="en-US"/>
        </w:rPr>
      </w:pPr>
      <w:r>
        <w:rPr>
          <w:rStyle w:val="FootnoteReference"/>
        </w:rPr>
        <w:footnoteRef/>
      </w:r>
      <w:r>
        <w:t xml:space="preserve"> </w:t>
      </w:r>
      <w:r w:rsidRPr="00F41FBA">
        <w:t>Response rate is the percentage of responders in a treatment group</w:t>
      </w:r>
    </w:p>
  </w:footnote>
  <w:footnote w:id="37">
    <w:p w14:paraId="48076104" w14:textId="77777777" w:rsidR="003E424C" w:rsidRPr="00F06F96" w:rsidRDefault="003E424C">
      <w:pPr>
        <w:pStyle w:val="FootnoteText"/>
        <w:rPr>
          <w:lang w:val="en-US"/>
        </w:rPr>
      </w:pPr>
      <w:r>
        <w:rPr>
          <w:rStyle w:val="FootnoteReference"/>
        </w:rPr>
        <w:footnoteRef/>
      </w:r>
      <w:r>
        <w:t xml:space="preserve"> Protocol; </w:t>
      </w:r>
      <w:r w:rsidRPr="00F41FBA">
        <w:t>each Agency will use their preferred variable as the primary variable, with the other (non-primary) variable being used in a supportive analysis. As each Agency will only use their preferred primary variable to make a decision on the primary objective, the full alpha level can be used for each Agency’s primary variable, without correction for multiplicity.</w:t>
      </w:r>
    </w:p>
  </w:footnote>
  <w:footnote w:id="38">
    <w:p w14:paraId="5E21B503" w14:textId="77777777" w:rsidR="003E424C" w:rsidRPr="00F06F96" w:rsidRDefault="003E424C">
      <w:pPr>
        <w:pStyle w:val="FootnoteText"/>
        <w:rPr>
          <w:lang w:val="en-US"/>
        </w:rPr>
      </w:pPr>
      <w:r>
        <w:rPr>
          <w:rStyle w:val="FootnoteReference"/>
        </w:rPr>
        <w:footnoteRef/>
      </w:r>
      <w:r>
        <w:t xml:space="preserve"> </w:t>
      </w:r>
      <w:r w:rsidRPr="00F41FBA">
        <w:t>The ESC is an independent group of Scientific Investigators from academic medical research, dedicated to accelerating the development of new therapies in epilepsy to improve patient care.</w:t>
      </w:r>
    </w:p>
  </w:footnote>
  <w:footnote w:id="39">
    <w:p w14:paraId="4E2A16C5" w14:textId="3802B2A9" w:rsidR="003E424C" w:rsidRPr="00F06F96" w:rsidRDefault="003E424C">
      <w:pPr>
        <w:pStyle w:val="FootnoteText"/>
        <w:rPr>
          <w:lang w:val="en-US"/>
        </w:rPr>
      </w:pPr>
      <w:r>
        <w:rPr>
          <w:rStyle w:val="FootnoteReference"/>
        </w:rPr>
        <w:footnoteRef/>
      </w:r>
      <w:r>
        <w:t xml:space="preserve"> W</w:t>
      </w:r>
      <w:r w:rsidRPr="00F06F96">
        <w:t>here a patient discontinued the trial without completing the patient seizure diary, then the %Red was assigned as equal to 0 and this patient was considered as a non-responder.</w:t>
      </w:r>
    </w:p>
  </w:footnote>
  <w:footnote w:id="40">
    <w:p w14:paraId="3FB865DF" w14:textId="77777777" w:rsidR="003E424C" w:rsidRPr="006E19BD" w:rsidRDefault="003E424C">
      <w:pPr>
        <w:pStyle w:val="FootnoteText"/>
        <w:rPr>
          <w:lang w:val="en-US"/>
        </w:rPr>
      </w:pPr>
      <w:r>
        <w:rPr>
          <w:rStyle w:val="FootnoteReference"/>
        </w:rPr>
        <w:footnoteRef/>
      </w:r>
      <w:r>
        <w:t xml:space="preserve"> Please see </w:t>
      </w:r>
      <w:r w:rsidRPr="00202241">
        <w:t>Summary of Clinical Pharmacology</w:t>
      </w:r>
    </w:p>
  </w:footnote>
  <w:footnote w:id="41">
    <w:p w14:paraId="202901D7" w14:textId="77777777" w:rsidR="003E424C" w:rsidRPr="00F50ABF" w:rsidRDefault="003E424C">
      <w:pPr>
        <w:pStyle w:val="FootnoteText"/>
        <w:rPr>
          <w:lang w:val="en-US"/>
        </w:rPr>
      </w:pPr>
      <w:r>
        <w:rPr>
          <w:rStyle w:val="FootnoteReference"/>
        </w:rPr>
        <w:footnoteRef/>
      </w:r>
      <w:r>
        <w:t xml:space="preserve"> CHMP/EWP/566/98 Rev.2/</w:t>
      </w:r>
      <w:proofErr w:type="spellStart"/>
      <w:r>
        <w:t>Corr</w:t>
      </w:r>
      <w:proofErr w:type="spellEnd"/>
      <w:r>
        <w:t xml:space="preserve"> 22 July 2010. Guideline on clinical investigation of medicinal products in the treatment of epileptic disorder </w:t>
      </w:r>
    </w:p>
  </w:footnote>
  <w:footnote w:id="42">
    <w:p w14:paraId="6038692C" w14:textId="77777777" w:rsidR="003E424C" w:rsidRDefault="003E424C"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6F27B58B" w14:textId="77777777" w:rsidR="003E424C" w:rsidRPr="00456765" w:rsidRDefault="003E424C"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43">
    <w:p w14:paraId="616C794D" w14:textId="77777777" w:rsidR="003E424C" w:rsidRPr="00C9173F" w:rsidRDefault="003E424C">
      <w:pPr>
        <w:pStyle w:val="FootnoteText"/>
        <w:rPr>
          <w:lang w:val="en-US"/>
        </w:rPr>
      </w:pPr>
      <w:r>
        <w:rPr>
          <w:rStyle w:val="FootnoteReference"/>
        </w:rPr>
        <w:footnoteRef/>
      </w:r>
      <w:r>
        <w:t xml:space="preserve"> </w:t>
      </w:r>
      <w:r>
        <w:rPr>
          <w:lang w:val="en-US"/>
        </w:rPr>
        <w:t>Please see the comment regarding post approval PI negotiation.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26EC3" w14:textId="77777777" w:rsidR="003E424C" w:rsidRDefault="003E424C"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3445E" w14:textId="77777777" w:rsidR="003E424C" w:rsidRDefault="003E424C">
    <w:pPr>
      <w:rPr>
        <w:noProof/>
        <w:lang w:eastAsia="en-AU"/>
      </w:rPr>
    </w:pPr>
    <w:r w:rsidRPr="00347824">
      <w:rPr>
        <w:noProof/>
        <w:lang w:eastAsia="en-AU"/>
      </w:rPr>
      <w:drawing>
        <wp:anchor distT="0" distB="0" distL="114300" distR="114300" simplePos="0" relativeHeight="251659264" behindDoc="1" locked="0" layoutInCell="1" allowOverlap="1" wp14:anchorId="0DBF74C8" wp14:editId="04EFCAAB">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18289C4" w14:textId="77777777" w:rsidR="003E424C" w:rsidRDefault="003E424C" w:rsidP="00593AD1">
    <w:pPr>
      <w:pStyle w:val="HeaderNoLine"/>
    </w:pPr>
    <w:r>
      <w:rPr>
        <w:noProof/>
        <w:lang w:eastAsia="en-AU"/>
      </w:rPr>
      <w:drawing>
        <wp:inline distT="0" distB="0" distL="0" distR="0" wp14:anchorId="7E3EA376" wp14:editId="4411DF8D">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367F9" w14:textId="77777777" w:rsidR="003E424C" w:rsidRDefault="003E424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13619" w14:textId="77777777" w:rsidR="003E424C" w:rsidRDefault="003E424C">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A7434" w14:textId="77777777" w:rsidR="003E424C" w:rsidRDefault="003E424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83B39" w14:textId="77777777" w:rsidR="003E424C" w:rsidRDefault="003E424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3B0B0" w14:textId="77777777" w:rsidR="003E424C" w:rsidRDefault="003E424C"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05D8F" w14:textId="77777777" w:rsidR="003E424C" w:rsidRDefault="003E424C" w:rsidP="006E08B3">
    <w:r>
      <w:t>Therapeutic Goods Administration</w:t>
    </w:r>
  </w:p>
  <w:p w14:paraId="0C21F452" w14:textId="77777777" w:rsidR="003E424C" w:rsidRDefault="003E424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5F201FC"/>
    <w:lvl w:ilvl="0">
      <w:start w:val="1"/>
      <w:numFmt w:val="bullet"/>
      <w:lvlText w:val=""/>
      <w:lvlJc w:val="left"/>
      <w:pPr>
        <w:tabs>
          <w:tab w:val="num" w:pos="360"/>
        </w:tabs>
        <w:ind w:left="360" w:hanging="360"/>
      </w:pPr>
      <w:rPr>
        <w:rFonts w:ascii="Symbol" w:hAnsi="Symbol" w:hint="default"/>
      </w:rPr>
    </w:lvl>
  </w:abstractNum>
  <w:abstractNum w:abstractNumId="1">
    <w:nsid w:val="0E155BA3"/>
    <w:multiLevelType w:val="hybridMultilevel"/>
    <w:tmpl w:val="0C765AB8"/>
    <w:lvl w:ilvl="0" w:tplc="DFDA4666">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FD589F7E"/>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26FE280D"/>
    <w:multiLevelType w:val="hybridMultilevel"/>
    <w:tmpl w:val="4FD04418"/>
    <w:lvl w:ilvl="0" w:tplc="8AD0BF0C">
      <w:start w:val="1"/>
      <w:numFmt w:val="bullet"/>
      <w:lvlText w:val=""/>
      <w:lvlJc w:val="left"/>
      <w:pPr>
        <w:ind w:left="789" w:hanging="360"/>
      </w:pPr>
      <w:rPr>
        <w:rFonts w:ascii="Symbol" w:hAnsi="Symbol" w:hint="default"/>
        <w:color w:val="auto"/>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6">
    <w:nsid w:val="6D0B1B75"/>
    <w:multiLevelType w:val="multilevel"/>
    <w:tmpl w:val="D3FAAFB8"/>
    <w:lvl w:ilvl="0">
      <w:start w:val="1"/>
      <w:numFmt w:val="decimal"/>
      <w:lvlText w:val="%1."/>
      <w:lvlJc w:val="left"/>
      <w:pPr>
        <w:tabs>
          <w:tab w:val="num" w:pos="851"/>
        </w:tabs>
        <w:ind w:left="851"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2241"/>
        </w:tabs>
        <w:ind w:left="2241" w:hanging="964"/>
      </w:pPr>
      <w:rPr>
        <w:rFonts w:hint="default"/>
      </w:rPr>
    </w:lvl>
    <w:lvl w:ilvl="3">
      <w:start w:val="1"/>
      <w:numFmt w:val="decimal"/>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7">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4"/>
  </w:num>
  <w:num w:numId="4">
    <w:abstractNumId w:val="3"/>
  </w:num>
  <w:num w:numId="5">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0"/>
  </w:num>
  <w:num w:numId="1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B0E"/>
    <w:rsid w:val="00002031"/>
    <w:rsid w:val="000046CE"/>
    <w:rsid w:val="00004734"/>
    <w:rsid w:val="00004BD1"/>
    <w:rsid w:val="00006B22"/>
    <w:rsid w:val="0001276A"/>
    <w:rsid w:val="000128D8"/>
    <w:rsid w:val="000246AE"/>
    <w:rsid w:val="00025C67"/>
    <w:rsid w:val="00026557"/>
    <w:rsid w:val="00044772"/>
    <w:rsid w:val="00045CB2"/>
    <w:rsid w:val="0005559E"/>
    <w:rsid w:val="000604D6"/>
    <w:rsid w:val="000734D8"/>
    <w:rsid w:val="00077775"/>
    <w:rsid w:val="000803D4"/>
    <w:rsid w:val="00090471"/>
    <w:rsid w:val="00096AA7"/>
    <w:rsid w:val="000A3AED"/>
    <w:rsid w:val="000A62E5"/>
    <w:rsid w:val="000B3532"/>
    <w:rsid w:val="000B3A75"/>
    <w:rsid w:val="000C00C2"/>
    <w:rsid w:val="000C690F"/>
    <w:rsid w:val="000D1295"/>
    <w:rsid w:val="000D391B"/>
    <w:rsid w:val="000D3D6D"/>
    <w:rsid w:val="000D4CF2"/>
    <w:rsid w:val="000D4FC7"/>
    <w:rsid w:val="000D7C2B"/>
    <w:rsid w:val="000E6196"/>
    <w:rsid w:val="000E7A05"/>
    <w:rsid w:val="000F4869"/>
    <w:rsid w:val="000F572D"/>
    <w:rsid w:val="000F5B42"/>
    <w:rsid w:val="000F6E6F"/>
    <w:rsid w:val="00104ABB"/>
    <w:rsid w:val="00105AB5"/>
    <w:rsid w:val="0010601F"/>
    <w:rsid w:val="0010788A"/>
    <w:rsid w:val="00107A31"/>
    <w:rsid w:val="00110EA5"/>
    <w:rsid w:val="00112F56"/>
    <w:rsid w:val="00113D17"/>
    <w:rsid w:val="00115514"/>
    <w:rsid w:val="001222AB"/>
    <w:rsid w:val="00124ACD"/>
    <w:rsid w:val="00125318"/>
    <w:rsid w:val="001305A2"/>
    <w:rsid w:val="00133238"/>
    <w:rsid w:val="00133A1B"/>
    <w:rsid w:val="0014197B"/>
    <w:rsid w:val="001447CD"/>
    <w:rsid w:val="0014640B"/>
    <w:rsid w:val="001516B1"/>
    <w:rsid w:val="00154EBB"/>
    <w:rsid w:val="00156316"/>
    <w:rsid w:val="00161181"/>
    <w:rsid w:val="0016229D"/>
    <w:rsid w:val="00162D14"/>
    <w:rsid w:val="00163780"/>
    <w:rsid w:val="00165389"/>
    <w:rsid w:val="0017693F"/>
    <w:rsid w:val="00177681"/>
    <w:rsid w:val="0018110E"/>
    <w:rsid w:val="00181684"/>
    <w:rsid w:val="001843C6"/>
    <w:rsid w:val="001850E0"/>
    <w:rsid w:val="00187C19"/>
    <w:rsid w:val="001A2158"/>
    <w:rsid w:val="001A525F"/>
    <w:rsid w:val="001A5CA4"/>
    <w:rsid w:val="001B09F9"/>
    <w:rsid w:val="001B5C90"/>
    <w:rsid w:val="001B6448"/>
    <w:rsid w:val="001C24A0"/>
    <w:rsid w:val="001C32CD"/>
    <w:rsid w:val="001D23A3"/>
    <w:rsid w:val="001D2984"/>
    <w:rsid w:val="001D5C8D"/>
    <w:rsid w:val="001E07CF"/>
    <w:rsid w:val="001E59F1"/>
    <w:rsid w:val="001F19D9"/>
    <w:rsid w:val="001F2CEE"/>
    <w:rsid w:val="001F408C"/>
    <w:rsid w:val="001F49EB"/>
    <w:rsid w:val="001F6CBA"/>
    <w:rsid w:val="00201D4E"/>
    <w:rsid w:val="00203ED3"/>
    <w:rsid w:val="002076C9"/>
    <w:rsid w:val="00212CE9"/>
    <w:rsid w:val="00216A1B"/>
    <w:rsid w:val="00220787"/>
    <w:rsid w:val="00220B8A"/>
    <w:rsid w:val="00224DC7"/>
    <w:rsid w:val="002257F3"/>
    <w:rsid w:val="00233456"/>
    <w:rsid w:val="002339A5"/>
    <w:rsid w:val="00257848"/>
    <w:rsid w:val="0027084A"/>
    <w:rsid w:val="002709C3"/>
    <w:rsid w:val="00286242"/>
    <w:rsid w:val="00286434"/>
    <w:rsid w:val="00286C59"/>
    <w:rsid w:val="00291957"/>
    <w:rsid w:val="002942D1"/>
    <w:rsid w:val="0029501A"/>
    <w:rsid w:val="002A3721"/>
    <w:rsid w:val="002A3917"/>
    <w:rsid w:val="002B14E4"/>
    <w:rsid w:val="002B1638"/>
    <w:rsid w:val="002B3624"/>
    <w:rsid w:val="002C41FA"/>
    <w:rsid w:val="002C42E6"/>
    <w:rsid w:val="002D0952"/>
    <w:rsid w:val="002E40B3"/>
    <w:rsid w:val="002E4C9A"/>
    <w:rsid w:val="002F11F8"/>
    <w:rsid w:val="002F1431"/>
    <w:rsid w:val="002F3F56"/>
    <w:rsid w:val="002F44B5"/>
    <w:rsid w:val="0030627D"/>
    <w:rsid w:val="00307F94"/>
    <w:rsid w:val="00311AC0"/>
    <w:rsid w:val="003176FC"/>
    <w:rsid w:val="0032583B"/>
    <w:rsid w:val="00327883"/>
    <w:rsid w:val="00335504"/>
    <w:rsid w:val="00340C18"/>
    <w:rsid w:val="003442FD"/>
    <w:rsid w:val="00347824"/>
    <w:rsid w:val="00350567"/>
    <w:rsid w:val="003521E8"/>
    <w:rsid w:val="00370CE3"/>
    <w:rsid w:val="00371B7B"/>
    <w:rsid w:val="003728F3"/>
    <w:rsid w:val="0037496E"/>
    <w:rsid w:val="00377263"/>
    <w:rsid w:val="003808F8"/>
    <w:rsid w:val="00383221"/>
    <w:rsid w:val="00386150"/>
    <w:rsid w:val="003874CE"/>
    <w:rsid w:val="00390900"/>
    <w:rsid w:val="00397D6D"/>
    <w:rsid w:val="003A1BF3"/>
    <w:rsid w:val="003A7F6C"/>
    <w:rsid w:val="003B4D60"/>
    <w:rsid w:val="003B7E39"/>
    <w:rsid w:val="003C58DC"/>
    <w:rsid w:val="003D05D9"/>
    <w:rsid w:val="003D1E62"/>
    <w:rsid w:val="003D7F9D"/>
    <w:rsid w:val="003E0664"/>
    <w:rsid w:val="003E0B99"/>
    <w:rsid w:val="003E2486"/>
    <w:rsid w:val="003E3208"/>
    <w:rsid w:val="003E424C"/>
    <w:rsid w:val="003E50AD"/>
    <w:rsid w:val="003F0B04"/>
    <w:rsid w:val="0040134E"/>
    <w:rsid w:val="00411FA2"/>
    <w:rsid w:val="00421AF5"/>
    <w:rsid w:val="004334C7"/>
    <w:rsid w:val="00440A2D"/>
    <w:rsid w:val="00441C3F"/>
    <w:rsid w:val="0044301B"/>
    <w:rsid w:val="004564A7"/>
    <w:rsid w:val="00456765"/>
    <w:rsid w:val="004617BF"/>
    <w:rsid w:val="00463658"/>
    <w:rsid w:val="004637A0"/>
    <w:rsid w:val="004722CC"/>
    <w:rsid w:val="00474F04"/>
    <w:rsid w:val="00476421"/>
    <w:rsid w:val="0048028E"/>
    <w:rsid w:val="004936E4"/>
    <w:rsid w:val="00494E60"/>
    <w:rsid w:val="00497487"/>
    <w:rsid w:val="004A6189"/>
    <w:rsid w:val="004A7390"/>
    <w:rsid w:val="004B7B76"/>
    <w:rsid w:val="004C239D"/>
    <w:rsid w:val="004C2DCA"/>
    <w:rsid w:val="004C3923"/>
    <w:rsid w:val="004C4940"/>
    <w:rsid w:val="004C61D2"/>
    <w:rsid w:val="004D0B7E"/>
    <w:rsid w:val="004D1E4C"/>
    <w:rsid w:val="004E3296"/>
    <w:rsid w:val="004F0C4A"/>
    <w:rsid w:val="004F0F38"/>
    <w:rsid w:val="004F47D6"/>
    <w:rsid w:val="00500337"/>
    <w:rsid w:val="00501921"/>
    <w:rsid w:val="00520F74"/>
    <w:rsid w:val="00526707"/>
    <w:rsid w:val="00530354"/>
    <w:rsid w:val="0053625B"/>
    <w:rsid w:val="005434C6"/>
    <w:rsid w:val="00543B39"/>
    <w:rsid w:val="00546154"/>
    <w:rsid w:val="00547EAE"/>
    <w:rsid w:val="00550096"/>
    <w:rsid w:val="00555280"/>
    <w:rsid w:val="00557FF9"/>
    <w:rsid w:val="00562327"/>
    <w:rsid w:val="005711D5"/>
    <w:rsid w:val="00574735"/>
    <w:rsid w:val="00576378"/>
    <w:rsid w:val="00577130"/>
    <w:rsid w:val="00577945"/>
    <w:rsid w:val="00577E38"/>
    <w:rsid w:val="00585322"/>
    <w:rsid w:val="005857C6"/>
    <w:rsid w:val="00591847"/>
    <w:rsid w:val="00592F6E"/>
    <w:rsid w:val="00593AD1"/>
    <w:rsid w:val="005A0C36"/>
    <w:rsid w:val="005A68B6"/>
    <w:rsid w:val="005C5570"/>
    <w:rsid w:val="005C79A4"/>
    <w:rsid w:val="005D5442"/>
    <w:rsid w:val="00603F32"/>
    <w:rsid w:val="00605AD4"/>
    <w:rsid w:val="00610FCD"/>
    <w:rsid w:val="006136D7"/>
    <w:rsid w:val="00625A6E"/>
    <w:rsid w:val="00632398"/>
    <w:rsid w:val="00635084"/>
    <w:rsid w:val="00640FC3"/>
    <w:rsid w:val="00642020"/>
    <w:rsid w:val="00642B2F"/>
    <w:rsid w:val="0065337B"/>
    <w:rsid w:val="0065419D"/>
    <w:rsid w:val="00656D98"/>
    <w:rsid w:val="00656E38"/>
    <w:rsid w:val="006604D8"/>
    <w:rsid w:val="006618A3"/>
    <w:rsid w:val="00664491"/>
    <w:rsid w:val="00664A5B"/>
    <w:rsid w:val="006650B7"/>
    <w:rsid w:val="0066735C"/>
    <w:rsid w:val="00670801"/>
    <w:rsid w:val="006763D2"/>
    <w:rsid w:val="00680C08"/>
    <w:rsid w:val="006916A0"/>
    <w:rsid w:val="006931B1"/>
    <w:rsid w:val="006A15C0"/>
    <w:rsid w:val="006C3E2A"/>
    <w:rsid w:val="006C642F"/>
    <w:rsid w:val="006D03E5"/>
    <w:rsid w:val="006D4B5A"/>
    <w:rsid w:val="006D5D3E"/>
    <w:rsid w:val="006E08B3"/>
    <w:rsid w:val="006E19BD"/>
    <w:rsid w:val="006E2F0D"/>
    <w:rsid w:val="006F17AC"/>
    <w:rsid w:val="006F25B8"/>
    <w:rsid w:val="006F572E"/>
    <w:rsid w:val="007046D6"/>
    <w:rsid w:val="00705DB0"/>
    <w:rsid w:val="00712DEC"/>
    <w:rsid w:val="007222AF"/>
    <w:rsid w:val="00722B57"/>
    <w:rsid w:val="00730F8A"/>
    <w:rsid w:val="00735A8C"/>
    <w:rsid w:val="0074253D"/>
    <w:rsid w:val="0074423B"/>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96315"/>
    <w:rsid w:val="007A46F5"/>
    <w:rsid w:val="007B6132"/>
    <w:rsid w:val="007B6E9F"/>
    <w:rsid w:val="007C1216"/>
    <w:rsid w:val="007C1AF7"/>
    <w:rsid w:val="007C6B9B"/>
    <w:rsid w:val="007E467E"/>
    <w:rsid w:val="007E493E"/>
    <w:rsid w:val="007F2B22"/>
    <w:rsid w:val="007F5462"/>
    <w:rsid w:val="007F57EC"/>
    <w:rsid w:val="007F7A45"/>
    <w:rsid w:val="00805D27"/>
    <w:rsid w:val="00806BD8"/>
    <w:rsid w:val="00806C01"/>
    <w:rsid w:val="00806DCB"/>
    <w:rsid w:val="0081112E"/>
    <w:rsid w:val="00821776"/>
    <w:rsid w:val="00824EA6"/>
    <w:rsid w:val="008321F5"/>
    <w:rsid w:val="00832369"/>
    <w:rsid w:val="00834660"/>
    <w:rsid w:val="00836BC2"/>
    <w:rsid w:val="00846C81"/>
    <w:rsid w:val="0085156D"/>
    <w:rsid w:val="0085641B"/>
    <w:rsid w:val="00857136"/>
    <w:rsid w:val="00875A6B"/>
    <w:rsid w:val="008831EA"/>
    <w:rsid w:val="00885B11"/>
    <w:rsid w:val="00886D15"/>
    <w:rsid w:val="00887DD8"/>
    <w:rsid w:val="008912C7"/>
    <w:rsid w:val="00891BA9"/>
    <w:rsid w:val="00896018"/>
    <w:rsid w:val="008960DD"/>
    <w:rsid w:val="0089632C"/>
    <w:rsid w:val="0089635C"/>
    <w:rsid w:val="008A2B9D"/>
    <w:rsid w:val="008A352A"/>
    <w:rsid w:val="008A3D9F"/>
    <w:rsid w:val="008A5E0B"/>
    <w:rsid w:val="008A6D59"/>
    <w:rsid w:val="008B4B03"/>
    <w:rsid w:val="008B596F"/>
    <w:rsid w:val="008C159F"/>
    <w:rsid w:val="008C1623"/>
    <w:rsid w:val="008C1850"/>
    <w:rsid w:val="008C2E44"/>
    <w:rsid w:val="008C51A9"/>
    <w:rsid w:val="008E4A23"/>
    <w:rsid w:val="008E7846"/>
    <w:rsid w:val="008F02E5"/>
    <w:rsid w:val="008F1CCC"/>
    <w:rsid w:val="008F2967"/>
    <w:rsid w:val="008F6857"/>
    <w:rsid w:val="008F6943"/>
    <w:rsid w:val="00902A21"/>
    <w:rsid w:val="009045AC"/>
    <w:rsid w:val="00910C90"/>
    <w:rsid w:val="00920330"/>
    <w:rsid w:val="009219D7"/>
    <w:rsid w:val="00922D53"/>
    <w:rsid w:val="00923B70"/>
    <w:rsid w:val="00924482"/>
    <w:rsid w:val="00930237"/>
    <w:rsid w:val="00937C17"/>
    <w:rsid w:val="00940A89"/>
    <w:rsid w:val="00946EA5"/>
    <w:rsid w:val="00963C08"/>
    <w:rsid w:val="009752A5"/>
    <w:rsid w:val="0098585A"/>
    <w:rsid w:val="009A4CED"/>
    <w:rsid w:val="009A690D"/>
    <w:rsid w:val="009B1D12"/>
    <w:rsid w:val="009B416B"/>
    <w:rsid w:val="009B42AC"/>
    <w:rsid w:val="009C4BD5"/>
    <w:rsid w:val="009D5FA0"/>
    <w:rsid w:val="009D7B77"/>
    <w:rsid w:val="009E05C8"/>
    <w:rsid w:val="009E0BB0"/>
    <w:rsid w:val="009E1F14"/>
    <w:rsid w:val="009E2FE8"/>
    <w:rsid w:val="009E3FBB"/>
    <w:rsid w:val="009F284F"/>
    <w:rsid w:val="009F7353"/>
    <w:rsid w:val="009F7FA4"/>
    <w:rsid w:val="00A04F85"/>
    <w:rsid w:val="00A05FA4"/>
    <w:rsid w:val="00A102E4"/>
    <w:rsid w:val="00A12C42"/>
    <w:rsid w:val="00A14DF7"/>
    <w:rsid w:val="00A3246D"/>
    <w:rsid w:val="00A36FA7"/>
    <w:rsid w:val="00A44DDB"/>
    <w:rsid w:val="00A475B7"/>
    <w:rsid w:val="00A47AF7"/>
    <w:rsid w:val="00A47C3E"/>
    <w:rsid w:val="00A50226"/>
    <w:rsid w:val="00A60BAD"/>
    <w:rsid w:val="00A80B5B"/>
    <w:rsid w:val="00A825F0"/>
    <w:rsid w:val="00A84E36"/>
    <w:rsid w:val="00A91F14"/>
    <w:rsid w:val="00A933E7"/>
    <w:rsid w:val="00A945EE"/>
    <w:rsid w:val="00A950BC"/>
    <w:rsid w:val="00A958D9"/>
    <w:rsid w:val="00A964D1"/>
    <w:rsid w:val="00AA0ED0"/>
    <w:rsid w:val="00AC1A8F"/>
    <w:rsid w:val="00AC2B40"/>
    <w:rsid w:val="00AC2BB2"/>
    <w:rsid w:val="00AC2C3C"/>
    <w:rsid w:val="00AC512D"/>
    <w:rsid w:val="00AD0083"/>
    <w:rsid w:val="00AD3935"/>
    <w:rsid w:val="00AE3DB4"/>
    <w:rsid w:val="00AE65EB"/>
    <w:rsid w:val="00AE67A7"/>
    <w:rsid w:val="00AF1D94"/>
    <w:rsid w:val="00AF60C5"/>
    <w:rsid w:val="00B009C6"/>
    <w:rsid w:val="00B01548"/>
    <w:rsid w:val="00B13EBD"/>
    <w:rsid w:val="00B20295"/>
    <w:rsid w:val="00B218AC"/>
    <w:rsid w:val="00B21D29"/>
    <w:rsid w:val="00B25034"/>
    <w:rsid w:val="00B33588"/>
    <w:rsid w:val="00B33863"/>
    <w:rsid w:val="00B37D17"/>
    <w:rsid w:val="00B4175E"/>
    <w:rsid w:val="00B41C85"/>
    <w:rsid w:val="00B4358E"/>
    <w:rsid w:val="00B452CE"/>
    <w:rsid w:val="00B504C5"/>
    <w:rsid w:val="00B5201B"/>
    <w:rsid w:val="00B54C25"/>
    <w:rsid w:val="00B63C92"/>
    <w:rsid w:val="00B659FD"/>
    <w:rsid w:val="00B75163"/>
    <w:rsid w:val="00B76B91"/>
    <w:rsid w:val="00B77EB1"/>
    <w:rsid w:val="00B811C6"/>
    <w:rsid w:val="00B81269"/>
    <w:rsid w:val="00B855B0"/>
    <w:rsid w:val="00B92E08"/>
    <w:rsid w:val="00BB08C3"/>
    <w:rsid w:val="00BC622A"/>
    <w:rsid w:val="00BD2550"/>
    <w:rsid w:val="00BD44F4"/>
    <w:rsid w:val="00BE0A78"/>
    <w:rsid w:val="00BE79F0"/>
    <w:rsid w:val="00BF046D"/>
    <w:rsid w:val="00BF1190"/>
    <w:rsid w:val="00BF5D04"/>
    <w:rsid w:val="00C009AA"/>
    <w:rsid w:val="00C04F45"/>
    <w:rsid w:val="00C1164D"/>
    <w:rsid w:val="00C16861"/>
    <w:rsid w:val="00C24028"/>
    <w:rsid w:val="00C30F8D"/>
    <w:rsid w:val="00C346AB"/>
    <w:rsid w:val="00C36346"/>
    <w:rsid w:val="00C404A6"/>
    <w:rsid w:val="00C40A36"/>
    <w:rsid w:val="00C44419"/>
    <w:rsid w:val="00C45E7B"/>
    <w:rsid w:val="00C46313"/>
    <w:rsid w:val="00C471B1"/>
    <w:rsid w:val="00C50702"/>
    <w:rsid w:val="00C6316B"/>
    <w:rsid w:val="00C634A9"/>
    <w:rsid w:val="00C64586"/>
    <w:rsid w:val="00C66C14"/>
    <w:rsid w:val="00C70D53"/>
    <w:rsid w:val="00C73D0B"/>
    <w:rsid w:val="00C76295"/>
    <w:rsid w:val="00C772FF"/>
    <w:rsid w:val="00C80137"/>
    <w:rsid w:val="00C801AF"/>
    <w:rsid w:val="00C80256"/>
    <w:rsid w:val="00C9173F"/>
    <w:rsid w:val="00C94CD4"/>
    <w:rsid w:val="00C9747E"/>
    <w:rsid w:val="00CA1837"/>
    <w:rsid w:val="00CB6BC0"/>
    <w:rsid w:val="00CB7F02"/>
    <w:rsid w:val="00CC1B7C"/>
    <w:rsid w:val="00CC727F"/>
    <w:rsid w:val="00CD6BDC"/>
    <w:rsid w:val="00CE5C99"/>
    <w:rsid w:val="00CF15C3"/>
    <w:rsid w:val="00CF2B6F"/>
    <w:rsid w:val="00CF2F3E"/>
    <w:rsid w:val="00CF58B6"/>
    <w:rsid w:val="00D0062D"/>
    <w:rsid w:val="00D017ED"/>
    <w:rsid w:val="00D040D3"/>
    <w:rsid w:val="00D0424D"/>
    <w:rsid w:val="00D04C65"/>
    <w:rsid w:val="00D201D2"/>
    <w:rsid w:val="00D224FE"/>
    <w:rsid w:val="00D23139"/>
    <w:rsid w:val="00D34A66"/>
    <w:rsid w:val="00D36171"/>
    <w:rsid w:val="00D425BB"/>
    <w:rsid w:val="00D47C24"/>
    <w:rsid w:val="00D62031"/>
    <w:rsid w:val="00D6493E"/>
    <w:rsid w:val="00D7195D"/>
    <w:rsid w:val="00D7301E"/>
    <w:rsid w:val="00D83AE1"/>
    <w:rsid w:val="00D855D4"/>
    <w:rsid w:val="00D902C9"/>
    <w:rsid w:val="00D917CC"/>
    <w:rsid w:val="00D93466"/>
    <w:rsid w:val="00DA1124"/>
    <w:rsid w:val="00DA52A6"/>
    <w:rsid w:val="00DB1399"/>
    <w:rsid w:val="00DB6124"/>
    <w:rsid w:val="00DB750B"/>
    <w:rsid w:val="00DB75B7"/>
    <w:rsid w:val="00DC6E02"/>
    <w:rsid w:val="00DD28CD"/>
    <w:rsid w:val="00DD3A0D"/>
    <w:rsid w:val="00DE02AE"/>
    <w:rsid w:val="00DF0684"/>
    <w:rsid w:val="00DF1D7F"/>
    <w:rsid w:val="00DF4BE4"/>
    <w:rsid w:val="00E02FB4"/>
    <w:rsid w:val="00E06BD4"/>
    <w:rsid w:val="00E134E1"/>
    <w:rsid w:val="00E13FC7"/>
    <w:rsid w:val="00E20571"/>
    <w:rsid w:val="00E235F7"/>
    <w:rsid w:val="00E23659"/>
    <w:rsid w:val="00E239D4"/>
    <w:rsid w:val="00E26130"/>
    <w:rsid w:val="00E40B22"/>
    <w:rsid w:val="00E44ED1"/>
    <w:rsid w:val="00E45619"/>
    <w:rsid w:val="00E4588F"/>
    <w:rsid w:val="00E46DA3"/>
    <w:rsid w:val="00E51BB1"/>
    <w:rsid w:val="00E56946"/>
    <w:rsid w:val="00E624A5"/>
    <w:rsid w:val="00E64BA4"/>
    <w:rsid w:val="00E71A24"/>
    <w:rsid w:val="00E7344E"/>
    <w:rsid w:val="00E82665"/>
    <w:rsid w:val="00EA5C85"/>
    <w:rsid w:val="00EB0798"/>
    <w:rsid w:val="00EB24AF"/>
    <w:rsid w:val="00EB40AD"/>
    <w:rsid w:val="00EB586E"/>
    <w:rsid w:val="00EB5FC8"/>
    <w:rsid w:val="00EC463D"/>
    <w:rsid w:val="00EC7A85"/>
    <w:rsid w:val="00EC7AD4"/>
    <w:rsid w:val="00ED2922"/>
    <w:rsid w:val="00ED3CAD"/>
    <w:rsid w:val="00ED5A41"/>
    <w:rsid w:val="00EE1DE8"/>
    <w:rsid w:val="00EE27C2"/>
    <w:rsid w:val="00EF4BAD"/>
    <w:rsid w:val="00EF59DC"/>
    <w:rsid w:val="00F033EC"/>
    <w:rsid w:val="00F04F68"/>
    <w:rsid w:val="00F061FA"/>
    <w:rsid w:val="00F06F96"/>
    <w:rsid w:val="00F115F2"/>
    <w:rsid w:val="00F11F96"/>
    <w:rsid w:val="00F12670"/>
    <w:rsid w:val="00F14B27"/>
    <w:rsid w:val="00F2000A"/>
    <w:rsid w:val="00F23035"/>
    <w:rsid w:val="00F3148D"/>
    <w:rsid w:val="00F325C5"/>
    <w:rsid w:val="00F32FE0"/>
    <w:rsid w:val="00F35298"/>
    <w:rsid w:val="00F41FBA"/>
    <w:rsid w:val="00F43DAB"/>
    <w:rsid w:val="00F47333"/>
    <w:rsid w:val="00F47E37"/>
    <w:rsid w:val="00F50805"/>
    <w:rsid w:val="00F50ABF"/>
    <w:rsid w:val="00F53C07"/>
    <w:rsid w:val="00F54B65"/>
    <w:rsid w:val="00F637F6"/>
    <w:rsid w:val="00F640B6"/>
    <w:rsid w:val="00F66DF2"/>
    <w:rsid w:val="00F80E40"/>
    <w:rsid w:val="00F848D9"/>
    <w:rsid w:val="00F95B0E"/>
    <w:rsid w:val="00FA529B"/>
    <w:rsid w:val="00FA5B82"/>
    <w:rsid w:val="00FA639E"/>
    <w:rsid w:val="00FB561A"/>
    <w:rsid w:val="00FC1FCA"/>
    <w:rsid w:val="00FC25E4"/>
    <w:rsid w:val="00FC4EF7"/>
    <w:rsid w:val="00FC69C3"/>
    <w:rsid w:val="00FD0824"/>
    <w:rsid w:val="00FD119B"/>
    <w:rsid w:val="00FD1EDC"/>
    <w:rsid w:val="00FD4A15"/>
    <w:rsid w:val="00FE1DEE"/>
    <w:rsid w:val="00FF2126"/>
    <w:rsid w:val="00FF5755"/>
    <w:rsid w:val="00FF595A"/>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6CE4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2655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B20295"/>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B20295"/>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4301B"/>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B20295"/>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B20295"/>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B20295"/>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B20295"/>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8F6857"/>
    <w:pPr>
      <w:ind w:left="720"/>
      <w:contextualSpacing/>
    </w:pPr>
  </w:style>
  <w:style w:type="paragraph" w:customStyle="1" w:styleId="Standard">
    <w:name w:val="Standard"/>
    <w:basedOn w:val="Normal"/>
    <w:link w:val="StandardChar"/>
    <w:qFormat/>
    <w:rsid w:val="00F50805"/>
    <w:pPr>
      <w:widowControl w:val="0"/>
      <w:spacing w:before="0" w:after="220" w:line="252" w:lineRule="auto"/>
    </w:pPr>
    <w:rPr>
      <w:rFonts w:eastAsia="Times New Roman"/>
      <w:kern w:val="16"/>
      <w:szCs w:val="24"/>
    </w:rPr>
  </w:style>
  <w:style w:type="character" w:customStyle="1" w:styleId="StandardChar">
    <w:name w:val="Standard Char"/>
    <w:basedOn w:val="DefaultParagraphFont"/>
    <w:link w:val="Standard"/>
    <w:rsid w:val="00F50805"/>
    <w:rPr>
      <w:rFonts w:ascii="Cambria" w:eastAsia="Times New Roman" w:hAnsi="Cambria" w:cs="Times New Roman"/>
      <w:kern w:val="16"/>
      <w:szCs w:val="24"/>
    </w:rPr>
  </w:style>
  <w:style w:type="paragraph" w:customStyle="1" w:styleId="Default">
    <w:name w:val="Default"/>
    <w:rsid w:val="00F5080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aption1">
    <w:name w:val="Caption1"/>
    <w:basedOn w:val="Normal"/>
    <w:link w:val="captionChar"/>
    <w:qFormat/>
    <w:rsid w:val="00F50805"/>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outlineLvl w:val="6"/>
    </w:pPr>
    <w:rPr>
      <w:rFonts w:eastAsia="Times New Roman"/>
      <w:b/>
      <w:bCs/>
      <w:kern w:val="16"/>
      <w:lang w:eastAsia="en-AU"/>
    </w:rPr>
  </w:style>
  <w:style w:type="character" w:customStyle="1" w:styleId="captionChar">
    <w:name w:val="caption Char"/>
    <w:basedOn w:val="DefaultParagraphFont"/>
    <w:link w:val="Caption1"/>
    <w:rsid w:val="00F50805"/>
    <w:rPr>
      <w:rFonts w:ascii="Cambria" w:eastAsia="Times New Roman" w:hAnsi="Cambria" w:cs="Times New Roman"/>
      <w:b/>
      <w:bCs/>
      <w:kern w:val="16"/>
      <w:lang w:eastAsia="en-AU"/>
    </w:rPr>
  </w:style>
  <w:style w:type="character" w:customStyle="1" w:styleId="TabletextChar">
    <w:name w:val="Table text Char"/>
    <w:basedOn w:val="DefaultParagraphFont"/>
    <w:link w:val="Tabletext"/>
    <w:rsid w:val="00F50805"/>
    <w:rPr>
      <w:rFonts w:ascii="Cambria" w:eastAsia="Cambria" w:hAnsi="Cambria" w:cs="Times New Roman"/>
      <w:sz w:val="19"/>
    </w:rPr>
  </w:style>
  <w:style w:type="paragraph" w:customStyle="1" w:styleId="Bulletlist">
    <w:name w:val="Bullet list"/>
    <w:basedOn w:val="Normal"/>
    <w:link w:val="BulletlistChar"/>
    <w:qFormat/>
    <w:rsid w:val="00EA5C85"/>
    <w:pPr>
      <w:numPr>
        <w:numId w:val="9"/>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EA5C85"/>
    <w:rPr>
      <w:rFonts w:ascii="Cambria" w:eastAsia="Times New Roman" w:hAnsi="Cambria" w:cs="Times New Roman"/>
      <w:snapToGrid w:val="0"/>
      <w:kern w:val="2"/>
      <w:sz w:val="23"/>
    </w:rPr>
  </w:style>
  <w:style w:type="paragraph" w:customStyle="1" w:styleId="Summaryofsafetyconcerns">
    <w:name w:val="Summary of safety concerns"/>
    <w:basedOn w:val="Tabletext"/>
    <w:link w:val="SummaryofsafetyconcernsChar"/>
    <w:qFormat/>
    <w:rsid w:val="00EA5C85"/>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EA5C85"/>
    <w:rPr>
      <w:rFonts w:ascii="Cambria" w:eastAsia="Times New Roman" w:hAnsi="Cambria" w:cs="Times New Roman"/>
      <w:b/>
      <w:snapToGrid w:val="0"/>
      <w:kern w:val="16"/>
      <w:sz w:val="20"/>
      <w:szCs w:val="24"/>
    </w:rPr>
  </w:style>
  <w:style w:type="paragraph" w:customStyle="1" w:styleId="Tabletitle0">
    <w:name w:val="Table title"/>
    <w:basedOn w:val="Normal"/>
    <w:next w:val="Normal"/>
    <w:rsid w:val="00F115F2"/>
    <w:pPr>
      <w:keepNext/>
      <w:spacing w:after="180"/>
      <w:outlineLvl w:val="4"/>
    </w:pPr>
    <w:rPr>
      <w:rFonts w:cstheme="minorBidi"/>
      <w:b/>
    </w:rPr>
  </w:style>
  <w:style w:type="character" w:customStyle="1" w:styleId="apple-converted-space">
    <w:name w:val="apple-converted-space"/>
    <w:basedOn w:val="DefaultParagraphFont"/>
    <w:rsid w:val="009E05C8"/>
  </w:style>
  <w:style w:type="character" w:styleId="Emphasis">
    <w:name w:val="Emphasis"/>
    <w:basedOn w:val="DefaultParagraphFont"/>
    <w:uiPriority w:val="20"/>
    <w:qFormat/>
    <w:rsid w:val="00BD255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2655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B20295"/>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B20295"/>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4301B"/>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B20295"/>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B20295"/>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B20295"/>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B20295"/>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8F6857"/>
    <w:pPr>
      <w:ind w:left="720"/>
      <w:contextualSpacing/>
    </w:pPr>
  </w:style>
  <w:style w:type="paragraph" w:customStyle="1" w:styleId="Standard">
    <w:name w:val="Standard"/>
    <w:basedOn w:val="Normal"/>
    <w:link w:val="StandardChar"/>
    <w:qFormat/>
    <w:rsid w:val="00F50805"/>
    <w:pPr>
      <w:widowControl w:val="0"/>
      <w:spacing w:before="0" w:after="220" w:line="252" w:lineRule="auto"/>
    </w:pPr>
    <w:rPr>
      <w:rFonts w:eastAsia="Times New Roman"/>
      <w:kern w:val="16"/>
      <w:szCs w:val="24"/>
    </w:rPr>
  </w:style>
  <w:style w:type="character" w:customStyle="1" w:styleId="StandardChar">
    <w:name w:val="Standard Char"/>
    <w:basedOn w:val="DefaultParagraphFont"/>
    <w:link w:val="Standard"/>
    <w:rsid w:val="00F50805"/>
    <w:rPr>
      <w:rFonts w:ascii="Cambria" w:eastAsia="Times New Roman" w:hAnsi="Cambria" w:cs="Times New Roman"/>
      <w:kern w:val="16"/>
      <w:szCs w:val="24"/>
    </w:rPr>
  </w:style>
  <w:style w:type="paragraph" w:customStyle="1" w:styleId="Default">
    <w:name w:val="Default"/>
    <w:rsid w:val="00F5080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aption1">
    <w:name w:val="Caption1"/>
    <w:basedOn w:val="Normal"/>
    <w:link w:val="captionChar"/>
    <w:qFormat/>
    <w:rsid w:val="00F50805"/>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outlineLvl w:val="6"/>
    </w:pPr>
    <w:rPr>
      <w:rFonts w:eastAsia="Times New Roman"/>
      <w:b/>
      <w:bCs/>
      <w:kern w:val="16"/>
      <w:lang w:eastAsia="en-AU"/>
    </w:rPr>
  </w:style>
  <w:style w:type="character" w:customStyle="1" w:styleId="captionChar">
    <w:name w:val="caption Char"/>
    <w:basedOn w:val="DefaultParagraphFont"/>
    <w:link w:val="Caption1"/>
    <w:rsid w:val="00F50805"/>
    <w:rPr>
      <w:rFonts w:ascii="Cambria" w:eastAsia="Times New Roman" w:hAnsi="Cambria" w:cs="Times New Roman"/>
      <w:b/>
      <w:bCs/>
      <w:kern w:val="16"/>
      <w:lang w:eastAsia="en-AU"/>
    </w:rPr>
  </w:style>
  <w:style w:type="character" w:customStyle="1" w:styleId="TabletextChar">
    <w:name w:val="Table text Char"/>
    <w:basedOn w:val="DefaultParagraphFont"/>
    <w:link w:val="Tabletext"/>
    <w:rsid w:val="00F50805"/>
    <w:rPr>
      <w:rFonts w:ascii="Cambria" w:eastAsia="Cambria" w:hAnsi="Cambria" w:cs="Times New Roman"/>
      <w:sz w:val="19"/>
    </w:rPr>
  </w:style>
  <w:style w:type="paragraph" w:customStyle="1" w:styleId="Bulletlist">
    <w:name w:val="Bullet list"/>
    <w:basedOn w:val="Normal"/>
    <w:link w:val="BulletlistChar"/>
    <w:qFormat/>
    <w:rsid w:val="00EA5C85"/>
    <w:pPr>
      <w:numPr>
        <w:numId w:val="9"/>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EA5C85"/>
    <w:rPr>
      <w:rFonts w:ascii="Cambria" w:eastAsia="Times New Roman" w:hAnsi="Cambria" w:cs="Times New Roman"/>
      <w:snapToGrid w:val="0"/>
      <w:kern w:val="2"/>
      <w:sz w:val="23"/>
    </w:rPr>
  </w:style>
  <w:style w:type="paragraph" w:customStyle="1" w:styleId="Summaryofsafetyconcerns">
    <w:name w:val="Summary of safety concerns"/>
    <w:basedOn w:val="Tabletext"/>
    <w:link w:val="SummaryofsafetyconcernsChar"/>
    <w:qFormat/>
    <w:rsid w:val="00EA5C85"/>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EA5C85"/>
    <w:rPr>
      <w:rFonts w:ascii="Cambria" w:eastAsia="Times New Roman" w:hAnsi="Cambria" w:cs="Times New Roman"/>
      <w:b/>
      <w:snapToGrid w:val="0"/>
      <w:kern w:val="16"/>
      <w:sz w:val="20"/>
      <w:szCs w:val="24"/>
    </w:rPr>
  </w:style>
  <w:style w:type="paragraph" w:customStyle="1" w:styleId="Tabletitle0">
    <w:name w:val="Table title"/>
    <w:basedOn w:val="Normal"/>
    <w:next w:val="Normal"/>
    <w:rsid w:val="00F115F2"/>
    <w:pPr>
      <w:keepNext/>
      <w:spacing w:after="180"/>
      <w:outlineLvl w:val="4"/>
    </w:pPr>
    <w:rPr>
      <w:rFonts w:cstheme="minorBidi"/>
      <w:b/>
    </w:rPr>
  </w:style>
  <w:style w:type="character" w:customStyle="1" w:styleId="apple-converted-space">
    <w:name w:val="apple-converted-space"/>
    <w:basedOn w:val="DefaultParagraphFont"/>
    <w:rsid w:val="009E05C8"/>
  </w:style>
  <w:style w:type="character" w:styleId="Emphasis">
    <w:name w:val="Emphasis"/>
    <w:basedOn w:val="DefaultParagraphFont"/>
    <w:uiPriority w:val="20"/>
    <w:qFormat/>
    <w:rsid w:val="00BD25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028881">
      <w:bodyDiv w:val="1"/>
      <w:marLeft w:val="0"/>
      <w:marRight w:val="0"/>
      <w:marTop w:val="0"/>
      <w:marBottom w:val="0"/>
      <w:divBdr>
        <w:top w:val="none" w:sz="0" w:space="0" w:color="auto"/>
        <w:left w:val="none" w:sz="0" w:space="0" w:color="auto"/>
        <w:bottom w:val="none" w:sz="0" w:space="0" w:color="auto"/>
        <w:right w:val="none" w:sz="0" w:space="0" w:color="auto"/>
      </w:divBdr>
    </w:div>
    <w:div w:id="493185469">
      <w:bodyDiv w:val="1"/>
      <w:marLeft w:val="0"/>
      <w:marRight w:val="0"/>
      <w:marTop w:val="0"/>
      <w:marBottom w:val="0"/>
      <w:divBdr>
        <w:top w:val="none" w:sz="0" w:space="0" w:color="auto"/>
        <w:left w:val="none" w:sz="0" w:space="0" w:color="auto"/>
        <w:bottom w:val="none" w:sz="0" w:space="0" w:color="auto"/>
        <w:right w:val="none" w:sz="0" w:space="0" w:color="auto"/>
      </w:divBdr>
    </w:div>
    <w:div w:id="1573849543">
      <w:bodyDiv w:val="1"/>
      <w:marLeft w:val="0"/>
      <w:marRight w:val="0"/>
      <w:marTop w:val="0"/>
      <w:marBottom w:val="0"/>
      <w:divBdr>
        <w:top w:val="none" w:sz="0" w:space="0" w:color="auto"/>
        <w:left w:val="none" w:sz="0" w:space="0" w:color="auto"/>
        <w:bottom w:val="none" w:sz="0" w:space="0" w:color="auto"/>
        <w:right w:val="none" w:sz="0" w:space="0" w:color="auto"/>
      </w:divBdr>
    </w:div>
    <w:div w:id="189577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5.xml"/><Relationship Id="rId50" Type="http://schemas.openxmlformats.org/officeDocument/2006/relationships/hyperlink" Target="https://www.tga.gov.au" TargetMode="External"/><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4.xml"/><Relationship Id="rId59"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3.xml"/><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mailto:info@tga.gov.au" TargetMode="External"/><Relationship Id="rId57"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tga.gov.au/product-information-pi" TargetMode="External"/><Relationship Id="rId52"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2.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EC150-992B-45B6-862B-936BA4B57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22730</Words>
  <Characters>130475</Characters>
  <Application>Microsoft Office Word</Application>
  <DocSecurity>0</DocSecurity>
  <Lines>5018</Lines>
  <Paragraphs>3404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149801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Everolimus</dc:title>
  <dc:subject>prescription medicines</dc:subject>
  <dc:creator/>
  <cp:lastModifiedBy/>
  <dcterms:created xsi:type="dcterms:W3CDTF">2018-11-29T23:45:00Z</dcterms:created>
  <dcterms:modified xsi:type="dcterms:W3CDTF">2019-02-20T00:43:00Z</dcterms:modified>
</cp:coreProperties>
</file>