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8E7846" w:rsidP="00287F50">
            <w:pPr>
              <w:rPr>
                <w:rFonts w:ascii="Arial" w:hAnsi="Arial" w:cs="Arial"/>
                <w:b/>
                <w:color w:val="002C47"/>
                <w:sz w:val="36"/>
                <w:szCs w:val="36"/>
              </w:rPr>
            </w:pPr>
            <w:r>
              <w:rPr>
                <w:rFonts w:ascii="Arial" w:hAnsi="Arial" w:cs="Arial"/>
                <w:b/>
                <w:color w:val="002C47"/>
                <w:sz w:val="36"/>
                <w:szCs w:val="36"/>
              </w:rPr>
              <w:t>M</w:t>
            </w:r>
            <w:r w:rsidR="00287F50">
              <w:rPr>
                <w:rFonts w:ascii="Arial" w:hAnsi="Arial" w:cs="Arial"/>
                <w:b/>
                <w:color w:val="002C47"/>
                <w:sz w:val="36"/>
                <w:szCs w:val="36"/>
              </w:rPr>
              <w:t>ay 2013</w:t>
            </w:r>
          </w:p>
        </w:tc>
      </w:tr>
    </w:tbl>
    <w:tbl>
      <w:tblPr>
        <w:tblpPr w:leftFromText="180" w:rightFromText="180" w:vertAnchor="page" w:tblpY="3316"/>
        <w:tblW w:w="9079" w:type="dxa"/>
        <w:tblLayout w:type="fixed"/>
        <w:tblLook w:val="04A0"/>
      </w:tblPr>
      <w:tblGrid>
        <w:gridCol w:w="9079"/>
      </w:tblGrid>
      <w:tr w:rsidR="0032583B" w:rsidRPr="00A964D1" w:rsidTr="0032583B">
        <w:trPr>
          <w:trHeight w:val="868"/>
        </w:trPr>
        <w:tc>
          <w:tcPr>
            <w:tcW w:w="9079" w:type="dxa"/>
          </w:tcPr>
          <w:p w:rsidR="0032583B" w:rsidRPr="00A964D1" w:rsidRDefault="0032583B" w:rsidP="00287F50">
            <w:pPr>
              <w:pStyle w:val="Title"/>
              <w:rPr>
                <w:color w:val="FFFFFF" w:themeColor="background1"/>
              </w:rPr>
            </w:pPr>
            <w:r w:rsidRPr="00A964D1">
              <w:rPr>
                <w:color w:val="FFFFFF" w:themeColor="background1"/>
              </w:rPr>
              <w:t xml:space="preserve">Australian Public Assessment Report for </w:t>
            </w:r>
            <w:r w:rsidR="00287F50">
              <w:rPr>
                <w:color w:val="FFFFFF" w:themeColor="background1"/>
              </w:rPr>
              <w:t>Everolimus</w:t>
            </w:r>
          </w:p>
        </w:tc>
      </w:tr>
      <w:tr w:rsidR="0032583B" w:rsidRPr="00B64760" w:rsidTr="0032583B">
        <w:tc>
          <w:tcPr>
            <w:tcW w:w="9079" w:type="dxa"/>
          </w:tcPr>
          <w:p w:rsidR="0032583B" w:rsidRPr="008E7846" w:rsidRDefault="0032583B" w:rsidP="00287F50">
            <w:pPr>
              <w:pStyle w:val="Subtitle"/>
              <w:rPr>
                <w:color w:val="FFFFFF" w:themeColor="background1"/>
              </w:rPr>
            </w:pPr>
            <w:r w:rsidRPr="008E7846">
              <w:rPr>
                <w:color w:val="FFFFFF" w:themeColor="background1"/>
              </w:rPr>
              <w:t xml:space="preserve">Proprietary Product Name: </w:t>
            </w:r>
            <w:r w:rsidR="00287F50">
              <w:rPr>
                <w:color w:val="FFFFFF" w:themeColor="background1"/>
              </w:rPr>
              <w:t>Certican</w:t>
            </w:r>
          </w:p>
        </w:tc>
      </w:tr>
      <w:tr w:rsidR="0032583B" w:rsidRPr="00B64760" w:rsidTr="0032583B">
        <w:trPr>
          <w:trHeight w:val="486"/>
        </w:trPr>
        <w:tc>
          <w:tcPr>
            <w:tcW w:w="9079" w:type="dxa"/>
          </w:tcPr>
          <w:p w:rsidR="0032583B" w:rsidRPr="008E7846" w:rsidRDefault="0032583B" w:rsidP="0032583B">
            <w:pPr>
              <w:pStyle w:val="Subtitle"/>
              <w:rPr>
                <w:color w:val="FFFFFF" w:themeColor="background1"/>
              </w:rPr>
            </w:pPr>
            <w:r w:rsidRPr="008E7846">
              <w:rPr>
                <w:color w:val="FFFFFF" w:themeColor="background1"/>
              </w:rPr>
              <w:t xml:space="preserve">Sponsor: </w:t>
            </w:r>
            <w:r w:rsidR="00287F50" w:rsidRPr="00287F50">
              <w:rPr>
                <w:rFonts w:ascii="Cambria" w:eastAsia="Cambria" w:hAnsi="Cambria"/>
                <w:bCs w:val="0"/>
                <w:iCs w:val="0"/>
                <w:color w:val="FFFFFF" w:themeColor="background1"/>
                <w:sz w:val="22"/>
                <w:szCs w:val="22"/>
              </w:rPr>
              <w:t xml:space="preserve"> </w:t>
            </w:r>
            <w:r w:rsidR="00287F50" w:rsidRPr="00287F50">
              <w:rPr>
                <w:color w:val="FFFFFF" w:themeColor="background1"/>
              </w:rPr>
              <w:t>Novartis Pharmaceuticals Australia Pty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5F0A52">
      <w:pPr>
        <w:pStyle w:val="ListBullet"/>
        <w:numPr>
          <w:ilvl w:val="0"/>
          <w:numId w:val="1"/>
        </w:numPr>
        <w:ind w:left="357" w:hanging="357"/>
      </w:pPr>
      <w:r>
        <w:t xml:space="preserve">The Therapeutic Goods Administration (TGA) is </w:t>
      </w:r>
      <w:r w:rsidR="00E624A5">
        <w:t xml:space="preserve">part </w:t>
      </w:r>
      <w:r>
        <w:t xml:space="preserve">of the Australian Government Department of Health and </w:t>
      </w:r>
      <w:r w:rsidRPr="007652FF">
        <w:t>Ageing</w:t>
      </w:r>
      <w:r>
        <w:t>, and is responsible for regulating medicines and medical devices.</w:t>
      </w:r>
    </w:p>
    <w:p w:rsidR="008E7846" w:rsidRDefault="00C80137" w:rsidP="005F0A52">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5F0A52">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5F0A52">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5F0A52">
      <w:pPr>
        <w:pStyle w:val="ListBullet"/>
        <w:numPr>
          <w:ilvl w:val="0"/>
          <w:numId w:val="1"/>
        </w:numPr>
        <w:ind w:left="357" w:hanging="357"/>
      </w:pPr>
      <w:r>
        <w:t>To report a problem with a medicine or medical device, please see the information on the TGA website</w:t>
      </w:r>
      <w:r w:rsidR="00112F56">
        <w:t xml:space="preserve"> &lt;</w:t>
      </w:r>
      <w:hyperlink r:id="rId8" w:history="1">
        <w:r w:rsidR="00AD0083" w:rsidRPr="00607888">
          <w:rPr>
            <w:rStyle w:val="Hyperlink"/>
          </w:rPr>
          <w:t>http://ww</w:t>
        </w:r>
        <w:r w:rsidR="00AD0083" w:rsidRPr="00B37398">
          <w:rPr>
            <w:rStyle w:val="Hyperlink"/>
          </w:rPr>
          <w:t>.tga.</w:t>
        </w:r>
        <w:r w:rsidR="00AD0083" w:rsidRPr="00607888">
          <w:rPr>
            <w:rStyle w:val="Hyperlink"/>
          </w:rPr>
          <w:t>gov.au</w:t>
        </w:r>
      </w:hyperlink>
      <w:r w:rsidR="00112F56">
        <w:t>&gt;</w:t>
      </w:r>
      <w:r>
        <w:t>.</w:t>
      </w:r>
    </w:p>
    <w:p w:rsidR="008E7846" w:rsidRDefault="008E7846" w:rsidP="008E7846">
      <w:pPr>
        <w:pStyle w:val="NonTOCHeading2"/>
      </w:pPr>
      <w:r>
        <w:t xml:space="preserve">About </w:t>
      </w:r>
      <w:proofErr w:type="spellStart"/>
      <w:r>
        <w:t>AusPARs</w:t>
      </w:r>
      <w:proofErr w:type="spellEnd"/>
    </w:p>
    <w:p w:rsidR="008E7846" w:rsidRDefault="008E7846" w:rsidP="005F0A52">
      <w:pPr>
        <w:pStyle w:val="ListBullet"/>
        <w:numPr>
          <w:ilvl w:val="0"/>
          <w:numId w:val="1"/>
        </w:numPr>
        <w:ind w:left="357" w:hanging="357"/>
      </w:pPr>
      <w:r>
        <w:t xml:space="preserve">An Australian Public Assessment Record (AusPAR) provides information about the evaluation of a prescription medicine and the considerations that led the TGA to approve or not approve a prescription medicine submission. </w:t>
      </w:r>
    </w:p>
    <w:p w:rsidR="008E7846" w:rsidRDefault="008E7846" w:rsidP="005F0A52">
      <w:pPr>
        <w:pStyle w:val="ListBullet"/>
        <w:numPr>
          <w:ilvl w:val="0"/>
          <w:numId w:val="1"/>
        </w:numPr>
        <w:ind w:left="357" w:hanging="357"/>
      </w:pPr>
      <w:r>
        <w:t>AusPARs are prepared and published by the TGA.</w:t>
      </w:r>
    </w:p>
    <w:p w:rsidR="008E7846" w:rsidRDefault="008E7846" w:rsidP="005F0A52">
      <w:pPr>
        <w:pStyle w:val="ListBullet"/>
        <w:numPr>
          <w:ilvl w:val="0"/>
          <w:numId w:val="1"/>
        </w:numPr>
        <w:ind w:left="357" w:hanging="357"/>
      </w:pPr>
      <w:r>
        <w:t>An AusPAR is prepared for submissions that relate to new chemical entities, generic medicines, major variations, and extensions of indications.</w:t>
      </w:r>
    </w:p>
    <w:p w:rsidR="008E7846" w:rsidRDefault="008E7846" w:rsidP="005F0A52">
      <w:pPr>
        <w:pStyle w:val="ListBullet"/>
        <w:numPr>
          <w:ilvl w:val="0"/>
          <w:numId w:val="1"/>
        </w:numPr>
        <w:ind w:left="357" w:hanging="357"/>
      </w:pPr>
      <w:r>
        <w:t>An AusPAR is a static document, in that it will provide information that relates to a submission at a particular point in time.</w:t>
      </w:r>
    </w:p>
    <w:p w:rsidR="00B452CE" w:rsidRDefault="008E7846" w:rsidP="005F0A52">
      <w:pPr>
        <w:pStyle w:val="ListBullet"/>
        <w:numPr>
          <w:ilvl w:val="0"/>
          <w:numId w:val="1"/>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BF1190">
        <w:rPr>
          <w:rFonts w:cs="Arial"/>
          <w:lang w:val="en-GB"/>
        </w:rPr>
        <w:t>3</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9"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even" r:id="rId10"/>
          <w:headerReference w:type="default" r:id="rId11"/>
          <w:footerReference w:type="even" r:id="rId12"/>
          <w:footerReference w:type="default" r:id="rId13"/>
          <w:headerReference w:type="first" r:id="rId14"/>
          <w:footerReference w:type="first" r:id="rId15"/>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DE14BF" w:rsidRDefault="00846717">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56974695" w:history="1">
            <w:r w:rsidR="00DE14BF" w:rsidRPr="007B337D">
              <w:rPr>
                <w:rStyle w:val="Hyperlink"/>
                <w:noProof/>
              </w:rPr>
              <w:t>I. Introduction to product submission</w:t>
            </w:r>
            <w:r w:rsidR="00DE14BF">
              <w:rPr>
                <w:noProof/>
                <w:webHidden/>
              </w:rPr>
              <w:tab/>
            </w:r>
            <w:r>
              <w:rPr>
                <w:noProof/>
                <w:webHidden/>
              </w:rPr>
              <w:fldChar w:fldCharType="begin"/>
            </w:r>
            <w:r w:rsidR="00DE14BF">
              <w:rPr>
                <w:noProof/>
                <w:webHidden/>
              </w:rPr>
              <w:instrText xml:space="preserve"> PAGEREF _Toc356974695 \h </w:instrText>
            </w:r>
            <w:r>
              <w:rPr>
                <w:noProof/>
                <w:webHidden/>
              </w:rPr>
            </w:r>
            <w:r>
              <w:rPr>
                <w:noProof/>
                <w:webHidden/>
              </w:rPr>
              <w:fldChar w:fldCharType="separate"/>
            </w:r>
            <w:r w:rsidR="004E14B1">
              <w:rPr>
                <w:noProof/>
                <w:webHidden/>
              </w:rPr>
              <w:t>4</w:t>
            </w:r>
            <w:r>
              <w:rPr>
                <w:noProof/>
                <w:webHidden/>
              </w:rPr>
              <w:fldChar w:fldCharType="end"/>
            </w:r>
          </w:hyperlink>
        </w:p>
        <w:p w:rsidR="00DE14BF" w:rsidRDefault="00846717">
          <w:pPr>
            <w:pStyle w:val="TOC3"/>
            <w:rPr>
              <w:rFonts w:asciiTheme="minorHAnsi" w:eastAsiaTheme="minorEastAsia" w:hAnsiTheme="minorHAnsi" w:cstheme="minorBidi"/>
              <w:noProof/>
              <w:lang w:eastAsia="en-AU"/>
            </w:rPr>
          </w:pPr>
          <w:hyperlink w:anchor="_Toc356974696" w:history="1">
            <w:r w:rsidR="00DE14BF" w:rsidRPr="007B337D">
              <w:rPr>
                <w:rStyle w:val="Hyperlink"/>
                <w:noProof/>
                <w:lang w:eastAsia="en-AU"/>
              </w:rPr>
              <w:t>Submission details</w:t>
            </w:r>
            <w:r w:rsidR="00DE14BF">
              <w:rPr>
                <w:noProof/>
                <w:webHidden/>
              </w:rPr>
              <w:tab/>
            </w:r>
            <w:r>
              <w:rPr>
                <w:noProof/>
                <w:webHidden/>
              </w:rPr>
              <w:fldChar w:fldCharType="begin"/>
            </w:r>
            <w:r w:rsidR="00DE14BF">
              <w:rPr>
                <w:noProof/>
                <w:webHidden/>
              </w:rPr>
              <w:instrText xml:space="preserve"> PAGEREF _Toc356974696 \h </w:instrText>
            </w:r>
            <w:r>
              <w:rPr>
                <w:noProof/>
                <w:webHidden/>
              </w:rPr>
            </w:r>
            <w:r>
              <w:rPr>
                <w:noProof/>
                <w:webHidden/>
              </w:rPr>
              <w:fldChar w:fldCharType="separate"/>
            </w:r>
            <w:r w:rsidR="004E14B1">
              <w:rPr>
                <w:noProof/>
                <w:webHidden/>
              </w:rPr>
              <w:t>4</w:t>
            </w:r>
            <w:r>
              <w:rPr>
                <w:noProof/>
                <w:webHidden/>
              </w:rPr>
              <w:fldChar w:fldCharType="end"/>
            </w:r>
          </w:hyperlink>
        </w:p>
        <w:p w:rsidR="00DE14BF" w:rsidRDefault="00846717">
          <w:pPr>
            <w:pStyle w:val="TOC3"/>
            <w:rPr>
              <w:rFonts w:asciiTheme="minorHAnsi" w:eastAsiaTheme="minorEastAsia" w:hAnsiTheme="minorHAnsi" w:cstheme="minorBidi"/>
              <w:noProof/>
              <w:lang w:eastAsia="en-AU"/>
            </w:rPr>
          </w:pPr>
          <w:hyperlink w:anchor="_Toc356974697" w:history="1">
            <w:r w:rsidR="00DE14BF" w:rsidRPr="007B337D">
              <w:rPr>
                <w:rStyle w:val="Hyperlink"/>
                <w:noProof/>
              </w:rPr>
              <w:t>Product background</w:t>
            </w:r>
            <w:r w:rsidR="00DE14BF">
              <w:rPr>
                <w:noProof/>
                <w:webHidden/>
              </w:rPr>
              <w:tab/>
            </w:r>
            <w:r>
              <w:rPr>
                <w:noProof/>
                <w:webHidden/>
              </w:rPr>
              <w:fldChar w:fldCharType="begin"/>
            </w:r>
            <w:r w:rsidR="00DE14BF">
              <w:rPr>
                <w:noProof/>
                <w:webHidden/>
              </w:rPr>
              <w:instrText xml:space="preserve"> PAGEREF _Toc356974697 \h </w:instrText>
            </w:r>
            <w:r>
              <w:rPr>
                <w:noProof/>
                <w:webHidden/>
              </w:rPr>
            </w:r>
            <w:r>
              <w:rPr>
                <w:noProof/>
                <w:webHidden/>
              </w:rPr>
              <w:fldChar w:fldCharType="separate"/>
            </w:r>
            <w:r w:rsidR="004E14B1">
              <w:rPr>
                <w:noProof/>
                <w:webHidden/>
              </w:rPr>
              <w:t>5</w:t>
            </w:r>
            <w:r>
              <w:rPr>
                <w:noProof/>
                <w:webHidden/>
              </w:rPr>
              <w:fldChar w:fldCharType="end"/>
            </w:r>
          </w:hyperlink>
        </w:p>
        <w:p w:rsidR="00DE14BF" w:rsidRDefault="00846717">
          <w:pPr>
            <w:pStyle w:val="TOC3"/>
            <w:rPr>
              <w:rFonts w:asciiTheme="minorHAnsi" w:eastAsiaTheme="minorEastAsia" w:hAnsiTheme="minorHAnsi" w:cstheme="minorBidi"/>
              <w:noProof/>
              <w:lang w:eastAsia="en-AU"/>
            </w:rPr>
          </w:pPr>
          <w:hyperlink w:anchor="_Toc356974698" w:history="1">
            <w:r w:rsidR="00DE14BF" w:rsidRPr="007B337D">
              <w:rPr>
                <w:rStyle w:val="Hyperlink"/>
                <w:noProof/>
              </w:rPr>
              <w:t>Regulatory status</w:t>
            </w:r>
            <w:r w:rsidR="00DE14BF">
              <w:rPr>
                <w:noProof/>
                <w:webHidden/>
              </w:rPr>
              <w:tab/>
            </w:r>
            <w:r>
              <w:rPr>
                <w:noProof/>
                <w:webHidden/>
              </w:rPr>
              <w:fldChar w:fldCharType="begin"/>
            </w:r>
            <w:r w:rsidR="00DE14BF">
              <w:rPr>
                <w:noProof/>
                <w:webHidden/>
              </w:rPr>
              <w:instrText xml:space="preserve"> PAGEREF _Toc356974698 \h </w:instrText>
            </w:r>
            <w:r>
              <w:rPr>
                <w:noProof/>
                <w:webHidden/>
              </w:rPr>
            </w:r>
            <w:r>
              <w:rPr>
                <w:noProof/>
                <w:webHidden/>
              </w:rPr>
              <w:fldChar w:fldCharType="separate"/>
            </w:r>
            <w:r w:rsidR="004E14B1">
              <w:rPr>
                <w:noProof/>
                <w:webHidden/>
              </w:rPr>
              <w:t>6</w:t>
            </w:r>
            <w:r>
              <w:rPr>
                <w:noProof/>
                <w:webHidden/>
              </w:rPr>
              <w:fldChar w:fldCharType="end"/>
            </w:r>
          </w:hyperlink>
        </w:p>
        <w:p w:rsidR="00DE14BF" w:rsidRDefault="00846717">
          <w:pPr>
            <w:pStyle w:val="TOC3"/>
            <w:rPr>
              <w:rFonts w:asciiTheme="minorHAnsi" w:eastAsiaTheme="minorEastAsia" w:hAnsiTheme="minorHAnsi" w:cstheme="minorBidi"/>
              <w:noProof/>
              <w:lang w:eastAsia="en-AU"/>
            </w:rPr>
          </w:pPr>
          <w:hyperlink w:anchor="_Toc356974699" w:history="1">
            <w:r w:rsidR="00DE14BF" w:rsidRPr="007B337D">
              <w:rPr>
                <w:rStyle w:val="Hyperlink"/>
                <w:noProof/>
              </w:rPr>
              <w:t>Product Information</w:t>
            </w:r>
            <w:r w:rsidR="00DE14BF">
              <w:rPr>
                <w:noProof/>
                <w:webHidden/>
              </w:rPr>
              <w:tab/>
            </w:r>
            <w:r>
              <w:rPr>
                <w:noProof/>
                <w:webHidden/>
              </w:rPr>
              <w:fldChar w:fldCharType="begin"/>
            </w:r>
            <w:r w:rsidR="00DE14BF">
              <w:rPr>
                <w:noProof/>
                <w:webHidden/>
              </w:rPr>
              <w:instrText xml:space="preserve"> PAGEREF _Toc356974699 \h </w:instrText>
            </w:r>
            <w:r>
              <w:rPr>
                <w:noProof/>
                <w:webHidden/>
              </w:rPr>
            </w:r>
            <w:r>
              <w:rPr>
                <w:noProof/>
                <w:webHidden/>
              </w:rPr>
              <w:fldChar w:fldCharType="separate"/>
            </w:r>
            <w:r w:rsidR="004E14B1">
              <w:rPr>
                <w:noProof/>
                <w:webHidden/>
              </w:rPr>
              <w:t>6</w:t>
            </w:r>
            <w:r>
              <w:rPr>
                <w:noProof/>
                <w:webHidden/>
              </w:rPr>
              <w:fldChar w:fldCharType="end"/>
            </w:r>
          </w:hyperlink>
        </w:p>
        <w:p w:rsidR="00DE14BF" w:rsidRDefault="00846717">
          <w:pPr>
            <w:pStyle w:val="TOC2"/>
            <w:rPr>
              <w:rFonts w:asciiTheme="minorHAnsi" w:eastAsiaTheme="minorEastAsia" w:hAnsiTheme="minorHAnsi" w:cstheme="minorBidi"/>
              <w:b w:val="0"/>
              <w:noProof/>
              <w:sz w:val="22"/>
              <w:lang w:eastAsia="en-AU"/>
            </w:rPr>
          </w:pPr>
          <w:hyperlink w:anchor="_Toc356974700" w:history="1">
            <w:r w:rsidR="00DE14BF" w:rsidRPr="007B337D">
              <w:rPr>
                <w:rStyle w:val="Hyperlink"/>
                <w:noProof/>
              </w:rPr>
              <w:t>II. Quality findings</w:t>
            </w:r>
            <w:r w:rsidR="00DE14BF">
              <w:rPr>
                <w:noProof/>
                <w:webHidden/>
              </w:rPr>
              <w:tab/>
            </w:r>
            <w:r>
              <w:rPr>
                <w:noProof/>
                <w:webHidden/>
              </w:rPr>
              <w:fldChar w:fldCharType="begin"/>
            </w:r>
            <w:r w:rsidR="00DE14BF">
              <w:rPr>
                <w:noProof/>
                <w:webHidden/>
              </w:rPr>
              <w:instrText xml:space="preserve"> PAGEREF _Toc356974700 \h </w:instrText>
            </w:r>
            <w:r>
              <w:rPr>
                <w:noProof/>
                <w:webHidden/>
              </w:rPr>
            </w:r>
            <w:r>
              <w:rPr>
                <w:noProof/>
                <w:webHidden/>
              </w:rPr>
              <w:fldChar w:fldCharType="separate"/>
            </w:r>
            <w:r w:rsidR="004E14B1">
              <w:rPr>
                <w:noProof/>
                <w:webHidden/>
              </w:rPr>
              <w:t>6</w:t>
            </w:r>
            <w:r>
              <w:rPr>
                <w:noProof/>
                <w:webHidden/>
              </w:rPr>
              <w:fldChar w:fldCharType="end"/>
            </w:r>
          </w:hyperlink>
        </w:p>
        <w:p w:rsidR="00DE14BF" w:rsidRDefault="00846717">
          <w:pPr>
            <w:pStyle w:val="TOC2"/>
            <w:rPr>
              <w:rFonts w:asciiTheme="minorHAnsi" w:eastAsiaTheme="minorEastAsia" w:hAnsiTheme="minorHAnsi" w:cstheme="minorBidi"/>
              <w:b w:val="0"/>
              <w:noProof/>
              <w:sz w:val="22"/>
              <w:lang w:eastAsia="en-AU"/>
            </w:rPr>
          </w:pPr>
          <w:hyperlink w:anchor="_Toc356974701" w:history="1">
            <w:r w:rsidR="00DE14BF" w:rsidRPr="007B337D">
              <w:rPr>
                <w:rStyle w:val="Hyperlink"/>
                <w:noProof/>
              </w:rPr>
              <w:t>III. Nonclinical findings</w:t>
            </w:r>
            <w:r w:rsidR="00DE14BF">
              <w:rPr>
                <w:noProof/>
                <w:webHidden/>
              </w:rPr>
              <w:tab/>
            </w:r>
            <w:r>
              <w:rPr>
                <w:noProof/>
                <w:webHidden/>
              </w:rPr>
              <w:fldChar w:fldCharType="begin"/>
            </w:r>
            <w:r w:rsidR="00DE14BF">
              <w:rPr>
                <w:noProof/>
                <w:webHidden/>
              </w:rPr>
              <w:instrText xml:space="preserve"> PAGEREF _Toc356974701 \h </w:instrText>
            </w:r>
            <w:r>
              <w:rPr>
                <w:noProof/>
                <w:webHidden/>
              </w:rPr>
            </w:r>
            <w:r>
              <w:rPr>
                <w:noProof/>
                <w:webHidden/>
              </w:rPr>
              <w:fldChar w:fldCharType="separate"/>
            </w:r>
            <w:r w:rsidR="004E14B1">
              <w:rPr>
                <w:noProof/>
                <w:webHidden/>
              </w:rPr>
              <w:t>6</w:t>
            </w:r>
            <w:r>
              <w:rPr>
                <w:noProof/>
                <w:webHidden/>
              </w:rPr>
              <w:fldChar w:fldCharType="end"/>
            </w:r>
          </w:hyperlink>
        </w:p>
        <w:p w:rsidR="00DE14BF" w:rsidRDefault="00846717">
          <w:pPr>
            <w:pStyle w:val="TOC2"/>
            <w:rPr>
              <w:rFonts w:asciiTheme="minorHAnsi" w:eastAsiaTheme="minorEastAsia" w:hAnsiTheme="minorHAnsi" w:cstheme="minorBidi"/>
              <w:b w:val="0"/>
              <w:noProof/>
              <w:sz w:val="22"/>
              <w:lang w:eastAsia="en-AU"/>
            </w:rPr>
          </w:pPr>
          <w:hyperlink w:anchor="_Toc356974702" w:history="1">
            <w:r w:rsidR="00DE14BF" w:rsidRPr="007B337D">
              <w:rPr>
                <w:rStyle w:val="Hyperlink"/>
                <w:noProof/>
              </w:rPr>
              <w:t>IV. Clinical findings</w:t>
            </w:r>
            <w:r w:rsidR="00DE14BF">
              <w:rPr>
                <w:noProof/>
                <w:webHidden/>
              </w:rPr>
              <w:tab/>
            </w:r>
            <w:r>
              <w:rPr>
                <w:noProof/>
                <w:webHidden/>
              </w:rPr>
              <w:fldChar w:fldCharType="begin"/>
            </w:r>
            <w:r w:rsidR="00DE14BF">
              <w:rPr>
                <w:noProof/>
                <w:webHidden/>
              </w:rPr>
              <w:instrText xml:space="preserve"> PAGEREF _Toc356974702 \h </w:instrText>
            </w:r>
            <w:r>
              <w:rPr>
                <w:noProof/>
                <w:webHidden/>
              </w:rPr>
            </w:r>
            <w:r>
              <w:rPr>
                <w:noProof/>
                <w:webHidden/>
              </w:rPr>
              <w:fldChar w:fldCharType="separate"/>
            </w:r>
            <w:r w:rsidR="004E14B1">
              <w:rPr>
                <w:noProof/>
                <w:webHidden/>
              </w:rPr>
              <w:t>6</w:t>
            </w:r>
            <w:r>
              <w:rPr>
                <w:noProof/>
                <w:webHidden/>
              </w:rPr>
              <w:fldChar w:fldCharType="end"/>
            </w:r>
          </w:hyperlink>
        </w:p>
        <w:p w:rsidR="00DE14BF" w:rsidRDefault="00846717">
          <w:pPr>
            <w:pStyle w:val="TOC3"/>
            <w:rPr>
              <w:rFonts w:asciiTheme="minorHAnsi" w:eastAsiaTheme="minorEastAsia" w:hAnsiTheme="minorHAnsi" w:cstheme="minorBidi"/>
              <w:noProof/>
              <w:lang w:eastAsia="en-AU"/>
            </w:rPr>
          </w:pPr>
          <w:hyperlink w:anchor="_Toc356974703" w:history="1">
            <w:r w:rsidR="00DE14BF" w:rsidRPr="007B337D">
              <w:rPr>
                <w:rStyle w:val="Hyperlink"/>
                <w:noProof/>
              </w:rPr>
              <w:t>Introduction</w:t>
            </w:r>
            <w:r w:rsidR="00DE14BF">
              <w:rPr>
                <w:noProof/>
                <w:webHidden/>
              </w:rPr>
              <w:tab/>
            </w:r>
            <w:r>
              <w:rPr>
                <w:noProof/>
                <w:webHidden/>
              </w:rPr>
              <w:fldChar w:fldCharType="begin"/>
            </w:r>
            <w:r w:rsidR="00DE14BF">
              <w:rPr>
                <w:noProof/>
                <w:webHidden/>
              </w:rPr>
              <w:instrText xml:space="preserve"> PAGEREF _Toc356974703 \h </w:instrText>
            </w:r>
            <w:r>
              <w:rPr>
                <w:noProof/>
                <w:webHidden/>
              </w:rPr>
            </w:r>
            <w:r>
              <w:rPr>
                <w:noProof/>
                <w:webHidden/>
              </w:rPr>
              <w:fldChar w:fldCharType="separate"/>
            </w:r>
            <w:r w:rsidR="004E14B1">
              <w:rPr>
                <w:noProof/>
                <w:webHidden/>
              </w:rPr>
              <w:t>6</w:t>
            </w:r>
            <w:r>
              <w:rPr>
                <w:noProof/>
                <w:webHidden/>
              </w:rPr>
              <w:fldChar w:fldCharType="end"/>
            </w:r>
          </w:hyperlink>
        </w:p>
        <w:p w:rsidR="00DE14BF" w:rsidRDefault="00846717">
          <w:pPr>
            <w:pStyle w:val="TOC3"/>
            <w:rPr>
              <w:rFonts w:asciiTheme="minorHAnsi" w:eastAsiaTheme="minorEastAsia" w:hAnsiTheme="minorHAnsi" w:cstheme="minorBidi"/>
              <w:noProof/>
              <w:lang w:eastAsia="en-AU"/>
            </w:rPr>
          </w:pPr>
          <w:hyperlink w:anchor="_Toc356974704" w:history="1">
            <w:r w:rsidR="00DE14BF" w:rsidRPr="007B337D">
              <w:rPr>
                <w:rStyle w:val="Hyperlink"/>
                <w:noProof/>
              </w:rPr>
              <w:t>Pharmacokinetics</w:t>
            </w:r>
            <w:r w:rsidR="00DE14BF">
              <w:rPr>
                <w:noProof/>
                <w:webHidden/>
              </w:rPr>
              <w:tab/>
            </w:r>
            <w:r>
              <w:rPr>
                <w:noProof/>
                <w:webHidden/>
              </w:rPr>
              <w:fldChar w:fldCharType="begin"/>
            </w:r>
            <w:r w:rsidR="00DE14BF">
              <w:rPr>
                <w:noProof/>
                <w:webHidden/>
              </w:rPr>
              <w:instrText xml:space="preserve"> PAGEREF _Toc356974704 \h </w:instrText>
            </w:r>
            <w:r>
              <w:rPr>
                <w:noProof/>
                <w:webHidden/>
              </w:rPr>
            </w:r>
            <w:r>
              <w:rPr>
                <w:noProof/>
                <w:webHidden/>
              </w:rPr>
              <w:fldChar w:fldCharType="separate"/>
            </w:r>
            <w:r w:rsidR="004E14B1">
              <w:rPr>
                <w:noProof/>
                <w:webHidden/>
              </w:rPr>
              <w:t>7</w:t>
            </w:r>
            <w:r>
              <w:rPr>
                <w:noProof/>
                <w:webHidden/>
              </w:rPr>
              <w:fldChar w:fldCharType="end"/>
            </w:r>
          </w:hyperlink>
        </w:p>
        <w:p w:rsidR="00DE14BF" w:rsidRDefault="00846717">
          <w:pPr>
            <w:pStyle w:val="TOC3"/>
            <w:rPr>
              <w:rFonts w:asciiTheme="minorHAnsi" w:eastAsiaTheme="minorEastAsia" w:hAnsiTheme="minorHAnsi" w:cstheme="minorBidi"/>
              <w:noProof/>
              <w:lang w:eastAsia="en-AU"/>
            </w:rPr>
          </w:pPr>
          <w:hyperlink w:anchor="_Toc356974705" w:history="1">
            <w:r w:rsidR="00DE14BF" w:rsidRPr="007B337D">
              <w:rPr>
                <w:rStyle w:val="Hyperlink"/>
                <w:noProof/>
              </w:rPr>
              <w:t>Pharmacodynamics</w:t>
            </w:r>
            <w:r w:rsidR="00DE14BF">
              <w:rPr>
                <w:noProof/>
                <w:webHidden/>
              </w:rPr>
              <w:tab/>
            </w:r>
            <w:r>
              <w:rPr>
                <w:noProof/>
                <w:webHidden/>
              </w:rPr>
              <w:fldChar w:fldCharType="begin"/>
            </w:r>
            <w:r w:rsidR="00DE14BF">
              <w:rPr>
                <w:noProof/>
                <w:webHidden/>
              </w:rPr>
              <w:instrText xml:space="preserve"> PAGEREF _Toc356974705 \h </w:instrText>
            </w:r>
            <w:r>
              <w:rPr>
                <w:noProof/>
                <w:webHidden/>
              </w:rPr>
            </w:r>
            <w:r>
              <w:rPr>
                <w:noProof/>
                <w:webHidden/>
              </w:rPr>
              <w:fldChar w:fldCharType="separate"/>
            </w:r>
            <w:r w:rsidR="004E14B1">
              <w:rPr>
                <w:noProof/>
                <w:webHidden/>
              </w:rPr>
              <w:t>9</w:t>
            </w:r>
            <w:r>
              <w:rPr>
                <w:noProof/>
                <w:webHidden/>
              </w:rPr>
              <w:fldChar w:fldCharType="end"/>
            </w:r>
          </w:hyperlink>
        </w:p>
        <w:p w:rsidR="00DE14BF" w:rsidRDefault="00846717">
          <w:pPr>
            <w:pStyle w:val="TOC3"/>
            <w:rPr>
              <w:rFonts w:asciiTheme="minorHAnsi" w:eastAsiaTheme="minorEastAsia" w:hAnsiTheme="minorHAnsi" w:cstheme="minorBidi"/>
              <w:noProof/>
              <w:lang w:eastAsia="en-AU"/>
            </w:rPr>
          </w:pPr>
          <w:hyperlink w:anchor="_Toc356974706" w:history="1">
            <w:r w:rsidR="00DE14BF" w:rsidRPr="007B337D">
              <w:rPr>
                <w:rStyle w:val="Hyperlink"/>
                <w:noProof/>
              </w:rPr>
              <w:t>Efficacy</w:t>
            </w:r>
            <w:r w:rsidR="00DE14BF">
              <w:rPr>
                <w:noProof/>
                <w:webHidden/>
              </w:rPr>
              <w:tab/>
            </w:r>
            <w:r>
              <w:rPr>
                <w:noProof/>
                <w:webHidden/>
              </w:rPr>
              <w:fldChar w:fldCharType="begin"/>
            </w:r>
            <w:r w:rsidR="00DE14BF">
              <w:rPr>
                <w:noProof/>
                <w:webHidden/>
              </w:rPr>
              <w:instrText xml:space="preserve"> PAGEREF _Toc356974706 \h </w:instrText>
            </w:r>
            <w:r>
              <w:rPr>
                <w:noProof/>
                <w:webHidden/>
              </w:rPr>
            </w:r>
            <w:r>
              <w:rPr>
                <w:noProof/>
                <w:webHidden/>
              </w:rPr>
              <w:fldChar w:fldCharType="separate"/>
            </w:r>
            <w:r w:rsidR="004E14B1">
              <w:rPr>
                <w:noProof/>
                <w:webHidden/>
              </w:rPr>
              <w:t>9</w:t>
            </w:r>
            <w:r>
              <w:rPr>
                <w:noProof/>
                <w:webHidden/>
              </w:rPr>
              <w:fldChar w:fldCharType="end"/>
            </w:r>
          </w:hyperlink>
        </w:p>
        <w:p w:rsidR="00DE14BF" w:rsidRDefault="00846717">
          <w:pPr>
            <w:pStyle w:val="TOC3"/>
            <w:rPr>
              <w:rFonts w:asciiTheme="minorHAnsi" w:eastAsiaTheme="minorEastAsia" w:hAnsiTheme="minorHAnsi" w:cstheme="minorBidi"/>
              <w:noProof/>
              <w:lang w:eastAsia="en-AU"/>
            </w:rPr>
          </w:pPr>
          <w:hyperlink w:anchor="_Toc356974707" w:history="1">
            <w:r w:rsidR="00DE14BF" w:rsidRPr="007B337D">
              <w:rPr>
                <w:rStyle w:val="Hyperlink"/>
                <w:noProof/>
              </w:rPr>
              <w:t>Safety</w:t>
            </w:r>
            <w:r w:rsidR="00DE14BF">
              <w:rPr>
                <w:noProof/>
                <w:webHidden/>
              </w:rPr>
              <w:tab/>
            </w:r>
            <w:r>
              <w:rPr>
                <w:noProof/>
                <w:webHidden/>
              </w:rPr>
              <w:fldChar w:fldCharType="begin"/>
            </w:r>
            <w:r w:rsidR="00DE14BF">
              <w:rPr>
                <w:noProof/>
                <w:webHidden/>
              </w:rPr>
              <w:instrText xml:space="preserve"> PAGEREF _Toc356974707 \h </w:instrText>
            </w:r>
            <w:r>
              <w:rPr>
                <w:noProof/>
                <w:webHidden/>
              </w:rPr>
            </w:r>
            <w:r>
              <w:rPr>
                <w:noProof/>
                <w:webHidden/>
              </w:rPr>
              <w:fldChar w:fldCharType="separate"/>
            </w:r>
            <w:r w:rsidR="004E14B1">
              <w:rPr>
                <w:noProof/>
                <w:webHidden/>
              </w:rPr>
              <w:t>12</w:t>
            </w:r>
            <w:r>
              <w:rPr>
                <w:noProof/>
                <w:webHidden/>
              </w:rPr>
              <w:fldChar w:fldCharType="end"/>
            </w:r>
          </w:hyperlink>
        </w:p>
        <w:p w:rsidR="00DE14BF" w:rsidRDefault="00846717">
          <w:pPr>
            <w:pStyle w:val="TOC3"/>
            <w:rPr>
              <w:rFonts w:asciiTheme="minorHAnsi" w:eastAsiaTheme="minorEastAsia" w:hAnsiTheme="minorHAnsi" w:cstheme="minorBidi"/>
              <w:noProof/>
              <w:lang w:eastAsia="en-AU"/>
            </w:rPr>
          </w:pPr>
          <w:hyperlink w:anchor="_Toc356974708" w:history="1">
            <w:r w:rsidR="00DE14BF" w:rsidRPr="007B337D">
              <w:rPr>
                <w:rStyle w:val="Hyperlink"/>
                <w:noProof/>
              </w:rPr>
              <w:t>List of questions</w:t>
            </w:r>
            <w:r w:rsidR="00DE14BF">
              <w:rPr>
                <w:noProof/>
                <w:webHidden/>
              </w:rPr>
              <w:tab/>
            </w:r>
            <w:r>
              <w:rPr>
                <w:noProof/>
                <w:webHidden/>
              </w:rPr>
              <w:fldChar w:fldCharType="begin"/>
            </w:r>
            <w:r w:rsidR="00DE14BF">
              <w:rPr>
                <w:noProof/>
                <w:webHidden/>
              </w:rPr>
              <w:instrText xml:space="preserve"> PAGEREF _Toc356974708 \h </w:instrText>
            </w:r>
            <w:r>
              <w:rPr>
                <w:noProof/>
                <w:webHidden/>
              </w:rPr>
            </w:r>
            <w:r>
              <w:rPr>
                <w:noProof/>
                <w:webHidden/>
              </w:rPr>
              <w:fldChar w:fldCharType="separate"/>
            </w:r>
            <w:r w:rsidR="004E14B1">
              <w:rPr>
                <w:noProof/>
                <w:webHidden/>
              </w:rPr>
              <w:t>17</w:t>
            </w:r>
            <w:r>
              <w:rPr>
                <w:noProof/>
                <w:webHidden/>
              </w:rPr>
              <w:fldChar w:fldCharType="end"/>
            </w:r>
          </w:hyperlink>
        </w:p>
        <w:p w:rsidR="00DE14BF" w:rsidRDefault="00846717">
          <w:pPr>
            <w:pStyle w:val="TOC3"/>
            <w:rPr>
              <w:rFonts w:asciiTheme="minorHAnsi" w:eastAsiaTheme="minorEastAsia" w:hAnsiTheme="minorHAnsi" w:cstheme="minorBidi"/>
              <w:noProof/>
              <w:lang w:eastAsia="en-AU"/>
            </w:rPr>
          </w:pPr>
          <w:hyperlink w:anchor="_Toc356974709" w:history="1">
            <w:r w:rsidR="00DE14BF" w:rsidRPr="007B337D">
              <w:rPr>
                <w:rStyle w:val="Hyperlink"/>
                <w:noProof/>
              </w:rPr>
              <w:t>Clinical summary and conclusions</w:t>
            </w:r>
            <w:r w:rsidR="00DE14BF">
              <w:rPr>
                <w:noProof/>
                <w:webHidden/>
              </w:rPr>
              <w:tab/>
            </w:r>
            <w:r>
              <w:rPr>
                <w:noProof/>
                <w:webHidden/>
              </w:rPr>
              <w:fldChar w:fldCharType="begin"/>
            </w:r>
            <w:r w:rsidR="00DE14BF">
              <w:rPr>
                <w:noProof/>
                <w:webHidden/>
              </w:rPr>
              <w:instrText xml:space="preserve"> PAGEREF _Toc356974709 \h </w:instrText>
            </w:r>
            <w:r>
              <w:rPr>
                <w:noProof/>
                <w:webHidden/>
              </w:rPr>
            </w:r>
            <w:r>
              <w:rPr>
                <w:noProof/>
                <w:webHidden/>
              </w:rPr>
              <w:fldChar w:fldCharType="separate"/>
            </w:r>
            <w:r w:rsidR="004E14B1">
              <w:rPr>
                <w:noProof/>
                <w:webHidden/>
              </w:rPr>
              <w:t>17</w:t>
            </w:r>
            <w:r>
              <w:rPr>
                <w:noProof/>
                <w:webHidden/>
              </w:rPr>
              <w:fldChar w:fldCharType="end"/>
            </w:r>
          </w:hyperlink>
        </w:p>
        <w:p w:rsidR="00DE14BF" w:rsidRDefault="00846717">
          <w:pPr>
            <w:pStyle w:val="TOC2"/>
            <w:rPr>
              <w:rFonts w:asciiTheme="minorHAnsi" w:eastAsiaTheme="minorEastAsia" w:hAnsiTheme="minorHAnsi" w:cstheme="minorBidi"/>
              <w:b w:val="0"/>
              <w:noProof/>
              <w:sz w:val="22"/>
              <w:lang w:eastAsia="en-AU"/>
            </w:rPr>
          </w:pPr>
          <w:hyperlink w:anchor="_Toc356974710" w:history="1">
            <w:r w:rsidR="00DE14BF" w:rsidRPr="007B337D">
              <w:rPr>
                <w:rStyle w:val="Hyperlink"/>
                <w:noProof/>
              </w:rPr>
              <w:t>V. Pharmacovigilance findings</w:t>
            </w:r>
            <w:r w:rsidR="00DE14BF">
              <w:rPr>
                <w:noProof/>
                <w:webHidden/>
              </w:rPr>
              <w:tab/>
            </w:r>
            <w:r>
              <w:rPr>
                <w:noProof/>
                <w:webHidden/>
              </w:rPr>
              <w:fldChar w:fldCharType="begin"/>
            </w:r>
            <w:r w:rsidR="00DE14BF">
              <w:rPr>
                <w:noProof/>
                <w:webHidden/>
              </w:rPr>
              <w:instrText xml:space="preserve"> PAGEREF _Toc356974710 \h </w:instrText>
            </w:r>
            <w:r>
              <w:rPr>
                <w:noProof/>
                <w:webHidden/>
              </w:rPr>
            </w:r>
            <w:r>
              <w:rPr>
                <w:noProof/>
                <w:webHidden/>
              </w:rPr>
              <w:fldChar w:fldCharType="separate"/>
            </w:r>
            <w:r w:rsidR="004E14B1">
              <w:rPr>
                <w:noProof/>
                <w:webHidden/>
              </w:rPr>
              <w:t>22</w:t>
            </w:r>
            <w:r>
              <w:rPr>
                <w:noProof/>
                <w:webHidden/>
              </w:rPr>
              <w:fldChar w:fldCharType="end"/>
            </w:r>
          </w:hyperlink>
        </w:p>
        <w:p w:rsidR="00DE14BF" w:rsidRDefault="00846717">
          <w:pPr>
            <w:pStyle w:val="TOC3"/>
            <w:rPr>
              <w:rFonts w:asciiTheme="minorHAnsi" w:eastAsiaTheme="minorEastAsia" w:hAnsiTheme="minorHAnsi" w:cstheme="minorBidi"/>
              <w:noProof/>
              <w:lang w:eastAsia="en-AU"/>
            </w:rPr>
          </w:pPr>
          <w:hyperlink w:anchor="_Toc356974711" w:history="1">
            <w:r w:rsidR="00DE14BF" w:rsidRPr="007B337D">
              <w:rPr>
                <w:rStyle w:val="Hyperlink"/>
                <w:noProof/>
                <w:lang w:eastAsia="en-AU"/>
              </w:rPr>
              <w:t>Risk management plan</w:t>
            </w:r>
            <w:r w:rsidR="00DE14BF">
              <w:rPr>
                <w:noProof/>
                <w:webHidden/>
              </w:rPr>
              <w:tab/>
            </w:r>
            <w:r>
              <w:rPr>
                <w:noProof/>
                <w:webHidden/>
              </w:rPr>
              <w:fldChar w:fldCharType="begin"/>
            </w:r>
            <w:r w:rsidR="00DE14BF">
              <w:rPr>
                <w:noProof/>
                <w:webHidden/>
              </w:rPr>
              <w:instrText xml:space="preserve"> PAGEREF _Toc356974711 \h </w:instrText>
            </w:r>
            <w:r>
              <w:rPr>
                <w:noProof/>
                <w:webHidden/>
              </w:rPr>
            </w:r>
            <w:r>
              <w:rPr>
                <w:noProof/>
                <w:webHidden/>
              </w:rPr>
              <w:fldChar w:fldCharType="separate"/>
            </w:r>
            <w:r w:rsidR="004E14B1">
              <w:rPr>
                <w:noProof/>
                <w:webHidden/>
              </w:rPr>
              <w:t>22</w:t>
            </w:r>
            <w:r>
              <w:rPr>
                <w:noProof/>
                <w:webHidden/>
              </w:rPr>
              <w:fldChar w:fldCharType="end"/>
            </w:r>
          </w:hyperlink>
        </w:p>
        <w:p w:rsidR="00DE14BF" w:rsidRDefault="00846717">
          <w:pPr>
            <w:pStyle w:val="TOC2"/>
            <w:rPr>
              <w:rFonts w:asciiTheme="minorHAnsi" w:eastAsiaTheme="minorEastAsia" w:hAnsiTheme="minorHAnsi" w:cstheme="minorBidi"/>
              <w:b w:val="0"/>
              <w:noProof/>
              <w:sz w:val="22"/>
              <w:lang w:eastAsia="en-AU"/>
            </w:rPr>
          </w:pPr>
          <w:hyperlink w:anchor="_Toc356974712" w:history="1">
            <w:r w:rsidR="00DE14BF" w:rsidRPr="007B337D">
              <w:rPr>
                <w:rStyle w:val="Hyperlink"/>
                <w:noProof/>
              </w:rPr>
              <w:t>VI. Overall conclusion and risk/benefit assessment</w:t>
            </w:r>
            <w:r w:rsidR="00DE14BF">
              <w:rPr>
                <w:noProof/>
                <w:webHidden/>
              </w:rPr>
              <w:tab/>
            </w:r>
            <w:r>
              <w:rPr>
                <w:noProof/>
                <w:webHidden/>
              </w:rPr>
              <w:fldChar w:fldCharType="begin"/>
            </w:r>
            <w:r w:rsidR="00DE14BF">
              <w:rPr>
                <w:noProof/>
                <w:webHidden/>
              </w:rPr>
              <w:instrText xml:space="preserve"> PAGEREF _Toc356974712 \h </w:instrText>
            </w:r>
            <w:r>
              <w:rPr>
                <w:noProof/>
                <w:webHidden/>
              </w:rPr>
            </w:r>
            <w:r>
              <w:rPr>
                <w:noProof/>
                <w:webHidden/>
              </w:rPr>
              <w:fldChar w:fldCharType="separate"/>
            </w:r>
            <w:r w:rsidR="004E14B1">
              <w:rPr>
                <w:noProof/>
                <w:webHidden/>
              </w:rPr>
              <w:t>26</w:t>
            </w:r>
            <w:r>
              <w:rPr>
                <w:noProof/>
                <w:webHidden/>
              </w:rPr>
              <w:fldChar w:fldCharType="end"/>
            </w:r>
          </w:hyperlink>
        </w:p>
        <w:p w:rsidR="00DE14BF" w:rsidRDefault="00846717">
          <w:pPr>
            <w:pStyle w:val="TOC3"/>
            <w:rPr>
              <w:rFonts w:asciiTheme="minorHAnsi" w:eastAsiaTheme="minorEastAsia" w:hAnsiTheme="minorHAnsi" w:cstheme="minorBidi"/>
              <w:noProof/>
              <w:lang w:eastAsia="en-AU"/>
            </w:rPr>
          </w:pPr>
          <w:hyperlink w:anchor="_Toc356974713" w:history="1">
            <w:r w:rsidR="00DE14BF" w:rsidRPr="007B337D">
              <w:rPr>
                <w:rStyle w:val="Hyperlink"/>
                <w:noProof/>
              </w:rPr>
              <w:t>Quality</w:t>
            </w:r>
            <w:r w:rsidR="00DE14BF">
              <w:rPr>
                <w:noProof/>
                <w:webHidden/>
              </w:rPr>
              <w:tab/>
            </w:r>
            <w:r>
              <w:rPr>
                <w:noProof/>
                <w:webHidden/>
              </w:rPr>
              <w:fldChar w:fldCharType="begin"/>
            </w:r>
            <w:r w:rsidR="00DE14BF">
              <w:rPr>
                <w:noProof/>
                <w:webHidden/>
              </w:rPr>
              <w:instrText xml:space="preserve"> PAGEREF _Toc356974713 \h </w:instrText>
            </w:r>
            <w:r>
              <w:rPr>
                <w:noProof/>
                <w:webHidden/>
              </w:rPr>
            </w:r>
            <w:r>
              <w:rPr>
                <w:noProof/>
                <w:webHidden/>
              </w:rPr>
              <w:fldChar w:fldCharType="separate"/>
            </w:r>
            <w:r w:rsidR="004E14B1">
              <w:rPr>
                <w:noProof/>
                <w:webHidden/>
              </w:rPr>
              <w:t>26</w:t>
            </w:r>
            <w:r>
              <w:rPr>
                <w:noProof/>
                <w:webHidden/>
              </w:rPr>
              <w:fldChar w:fldCharType="end"/>
            </w:r>
          </w:hyperlink>
        </w:p>
        <w:p w:rsidR="00DE14BF" w:rsidRDefault="00846717">
          <w:pPr>
            <w:pStyle w:val="TOC3"/>
            <w:rPr>
              <w:rFonts w:asciiTheme="minorHAnsi" w:eastAsiaTheme="minorEastAsia" w:hAnsiTheme="minorHAnsi" w:cstheme="minorBidi"/>
              <w:noProof/>
              <w:lang w:eastAsia="en-AU"/>
            </w:rPr>
          </w:pPr>
          <w:hyperlink w:anchor="_Toc356974714" w:history="1">
            <w:r w:rsidR="00DE14BF" w:rsidRPr="007B337D">
              <w:rPr>
                <w:rStyle w:val="Hyperlink"/>
                <w:noProof/>
              </w:rPr>
              <w:t>Nonclinical</w:t>
            </w:r>
            <w:r w:rsidR="00DE14BF">
              <w:rPr>
                <w:noProof/>
                <w:webHidden/>
              </w:rPr>
              <w:tab/>
            </w:r>
            <w:r>
              <w:rPr>
                <w:noProof/>
                <w:webHidden/>
              </w:rPr>
              <w:fldChar w:fldCharType="begin"/>
            </w:r>
            <w:r w:rsidR="00DE14BF">
              <w:rPr>
                <w:noProof/>
                <w:webHidden/>
              </w:rPr>
              <w:instrText xml:space="preserve"> PAGEREF _Toc356974714 \h </w:instrText>
            </w:r>
            <w:r>
              <w:rPr>
                <w:noProof/>
                <w:webHidden/>
              </w:rPr>
            </w:r>
            <w:r>
              <w:rPr>
                <w:noProof/>
                <w:webHidden/>
              </w:rPr>
              <w:fldChar w:fldCharType="separate"/>
            </w:r>
            <w:r w:rsidR="004E14B1">
              <w:rPr>
                <w:noProof/>
                <w:webHidden/>
              </w:rPr>
              <w:t>26</w:t>
            </w:r>
            <w:r>
              <w:rPr>
                <w:noProof/>
                <w:webHidden/>
              </w:rPr>
              <w:fldChar w:fldCharType="end"/>
            </w:r>
          </w:hyperlink>
        </w:p>
        <w:p w:rsidR="00DE14BF" w:rsidRDefault="00846717">
          <w:pPr>
            <w:pStyle w:val="TOC3"/>
            <w:rPr>
              <w:rFonts w:asciiTheme="minorHAnsi" w:eastAsiaTheme="minorEastAsia" w:hAnsiTheme="minorHAnsi" w:cstheme="minorBidi"/>
              <w:noProof/>
              <w:lang w:eastAsia="en-AU"/>
            </w:rPr>
          </w:pPr>
          <w:hyperlink w:anchor="_Toc356974715" w:history="1">
            <w:r w:rsidR="00DE14BF" w:rsidRPr="007B337D">
              <w:rPr>
                <w:rStyle w:val="Hyperlink"/>
                <w:noProof/>
              </w:rPr>
              <w:t>Clinical</w:t>
            </w:r>
            <w:r w:rsidR="00DE14BF">
              <w:rPr>
                <w:noProof/>
                <w:webHidden/>
              </w:rPr>
              <w:tab/>
            </w:r>
            <w:r>
              <w:rPr>
                <w:noProof/>
                <w:webHidden/>
              </w:rPr>
              <w:fldChar w:fldCharType="begin"/>
            </w:r>
            <w:r w:rsidR="00DE14BF">
              <w:rPr>
                <w:noProof/>
                <w:webHidden/>
              </w:rPr>
              <w:instrText xml:space="preserve"> PAGEREF _Toc356974715 \h </w:instrText>
            </w:r>
            <w:r>
              <w:rPr>
                <w:noProof/>
                <w:webHidden/>
              </w:rPr>
            </w:r>
            <w:r>
              <w:rPr>
                <w:noProof/>
                <w:webHidden/>
              </w:rPr>
              <w:fldChar w:fldCharType="separate"/>
            </w:r>
            <w:r w:rsidR="004E14B1">
              <w:rPr>
                <w:noProof/>
                <w:webHidden/>
              </w:rPr>
              <w:t>26</w:t>
            </w:r>
            <w:r>
              <w:rPr>
                <w:noProof/>
                <w:webHidden/>
              </w:rPr>
              <w:fldChar w:fldCharType="end"/>
            </w:r>
          </w:hyperlink>
        </w:p>
        <w:p w:rsidR="00DE14BF" w:rsidRDefault="00846717">
          <w:pPr>
            <w:pStyle w:val="TOC3"/>
            <w:rPr>
              <w:rFonts w:asciiTheme="minorHAnsi" w:eastAsiaTheme="minorEastAsia" w:hAnsiTheme="minorHAnsi" w:cstheme="minorBidi"/>
              <w:noProof/>
              <w:lang w:eastAsia="en-AU"/>
            </w:rPr>
          </w:pPr>
          <w:hyperlink w:anchor="_Toc356974716" w:history="1">
            <w:r w:rsidR="00DE14BF" w:rsidRPr="007B337D">
              <w:rPr>
                <w:rStyle w:val="Hyperlink"/>
                <w:noProof/>
                <w:lang w:eastAsia="en-AU"/>
              </w:rPr>
              <w:t>Risk management plan</w:t>
            </w:r>
            <w:r w:rsidR="00DE14BF">
              <w:rPr>
                <w:noProof/>
                <w:webHidden/>
              </w:rPr>
              <w:tab/>
            </w:r>
            <w:r>
              <w:rPr>
                <w:noProof/>
                <w:webHidden/>
              </w:rPr>
              <w:fldChar w:fldCharType="begin"/>
            </w:r>
            <w:r w:rsidR="00DE14BF">
              <w:rPr>
                <w:noProof/>
                <w:webHidden/>
              </w:rPr>
              <w:instrText xml:space="preserve"> PAGEREF _Toc356974716 \h </w:instrText>
            </w:r>
            <w:r>
              <w:rPr>
                <w:noProof/>
                <w:webHidden/>
              </w:rPr>
            </w:r>
            <w:r>
              <w:rPr>
                <w:noProof/>
                <w:webHidden/>
              </w:rPr>
              <w:fldChar w:fldCharType="separate"/>
            </w:r>
            <w:r w:rsidR="004E14B1">
              <w:rPr>
                <w:noProof/>
                <w:webHidden/>
              </w:rPr>
              <w:t>37</w:t>
            </w:r>
            <w:r>
              <w:rPr>
                <w:noProof/>
                <w:webHidden/>
              </w:rPr>
              <w:fldChar w:fldCharType="end"/>
            </w:r>
          </w:hyperlink>
        </w:p>
        <w:p w:rsidR="00DE14BF" w:rsidRDefault="00846717">
          <w:pPr>
            <w:pStyle w:val="TOC3"/>
            <w:rPr>
              <w:rFonts w:asciiTheme="minorHAnsi" w:eastAsiaTheme="minorEastAsia" w:hAnsiTheme="minorHAnsi" w:cstheme="minorBidi"/>
              <w:noProof/>
              <w:lang w:eastAsia="en-AU"/>
            </w:rPr>
          </w:pPr>
          <w:hyperlink w:anchor="_Toc356974717" w:history="1">
            <w:r w:rsidR="00DE14BF" w:rsidRPr="007B337D">
              <w:rPr>
                <w:rStyle w:val="Hyperlink"/>
                <w:noProof/>
              </w:rPr>
              <w:t>Risk-benefit analysis</w:t>
            </w:r>
            <w:r w:rsidR="00DE14BF">
              <w:rPr>
                <w:noProof/>
                <w:webHidden/>
              </w:rPr>
              <w:tab/>
            </w:r>
            <w:r>
              <w:rPr>
                <w:noProof/>
                <w:webHidden/>
              </w:rPr>
              <w:fldChar w:fldCharType="begin"/>
            </w:r>
            <w:r w:rsidR="00DE14BF">
              <w:rPr>
                <w:noProof/>
                <w:webHidden/>
              </w:rPr>
              <w:instrText xml:space="preserve"> PAGEREF _Toc356974717 \h </w:instrText>
            </w:r>
            <w:r>
              <w:rPr>
                <w:noProof/>
                <w:webHidden/>
              </w:rPr>
            </w:r>
            <w:r>
              <w:rPr>
                <w:noProof/>
                <w:webHidden/>
              </w:rPr>
              <w:fldChar w:fldCharType="separate"/>
            </w:r>
            <w:r w:rsidR="004E14B1">
              <w:rPr>
                <w:noProof/>
                <w:webHidden/>
              </w:rPr>
              <w:t>37</w:t>
            </w:r>
            <w:r>
              <w:rPr>
                <w:noProof/>
                <w:webHidden/>
              </w:rPr>
              <w:fldChar w:fldCharType="end"/>
            </w:r>
          </w:hyperlink>
        </w:p>
        <w:p w:rsidR="00DE14BF" w:rsidRDefault="00846717">
          <w:pPr>
            <w:pStyle w:val="TOC3"/>
            <w:rPr>
              <w:rFonts w:asciiTheme="minorHAnsi" w:eastAsiaTheme="minorEastAsia" w:hAnsiTheme="minorHAnsi" w:cstheme="minorBidi"/>
              <w:noProof/>
              <w:lang w:eastAsia="en-AU"/>
            </w:rPr>
          </w:pPr>
          <w:hyperlink w:anchor="_Toc356974718" w:history="1">
            <w:r w:rsidR="00DE14BF" w:rsidRPr="007B337D">
              <w:rPr>
                <w:rStyle w:val="Hyperlink"/>
                <w:noProof/>
              </w:rPr>
              <w:t>Outcome</w:t>
            </w:r>
            <w:r w:rsidR="00DE14BF">
              <w:rPr>
                <w:noProof/>
                <w:webHidden/>
              </w:rPr>
              <w:tab/>
            </w:r>
            <w:r>
              <w:rPr>
                <w:noProof/>
                <w:webHidden/>
              </w:rPr>
              <w:fldChar w:fldCharType="begin"/>
            </w:r>
            <w:r w:rsidR="00DE14BF">
              <w:rPr>
                <w:noProof/>
                <w:webHidden/>
              </w:rPr>
              <w:instrText xml:space="preserve"> PAGEREF _Toc356974718 \h </w:instrText>
            </w:r>
            <w:r>
              <w:rPr>
                <w:noProof/>
                <w:webHidden/>
              </w:rPr>
            </w:r>
            <w:r>
              <w:rPr>
                <w:noProof/>
                <w:webHidden/>
              </w:rPr>
              <w:fldChar w:fldCharType="separate"/>
            </w:r>
            <w:r w:rsidR="004E14B1">
              <w:rPr>
                <w:noProof/>
                <w:webHidden/>
              </w:rPr>
              <w:t>44</w:t>
            </w:r>
            <w:r>
              <w:rPr>
                <w:noProof/>
                <w:webHidden/>
              </w:rPr>
              <w:fldChar w:fldCharType="end"/>
            </w:r>
          </w:hyperlink>
        </w:p>
        <w:p w:rsidR="00DE14BF" w:rsidRDefault="00846717">
          <w:pPr>
            <w:pStyle w:val="TOC2"/>
            <w:tabs>
              <w:tab w:val="left" w:pos="2448"/>
            </w:tabs>
            <w:rPr>
              <w:rFonts w:asciiTheme="minorHAnsi" w:eastAsiaTheme="minorEastAsia" w:hAnsiTheme="minorHAnsi" w:cstheme="minorBidi"/>
              <w:b w:val="0"/>
              <w:noProof/>
              <w:sz w:val="22"/>
              <w:lang w:eastAsia="en-AU"/>
            </w:rPr>
          </w:pPr>
          <w:hyperlink w:anchor="_Toc356974719" w:history="1">
            <w:r w:rsidR="00DE14BF" w:rsidRPr="007B337D">
              <w:rPr>
                <w:rStyle w:val="Hyperlink"/>
                <w:noProof/>
              </w:rPr>
              <w:t>Attachment 1.</w:t>
            </w:r>
            <w:r w:rsidR="00DE14BF">
              <w:rPr>
                <w:rFonts w:asciiTheme="minorHAnsi" w:eastAsiaTheme="minorEastAsia" w:hAnsiTheme="minorHAnsi" w:cstheme="minorBidi"/>
                <w:b w:val="0"/>
                <w:noProof/>
                <w:sz w:val="22"/>
                <w:lang w:eastAsia="en-AU"/>
              </w:rPr>
              <w:tab/>
            </w:r>
            <w:r w:rsidR="00DE14BF" w:rsidRPr="007B337D">
              <w:rPr>
                <w:rStyle w:val="Hyperlink"/>
                <w:noProof/>
              </w:rPr>
              <w:t>Product Information</w:t>
            </w:r>
            <w:r w:rsidR="00DE14BF">
              <w:rPr>
                <w:noProof/>
                <w:webHidden/>
              </w:rPr>
              <w:tab/>
            </w:r>
            <w:r>
              <w:rPr>
                <w:noProof/>
                <w:webHidden/>
              </w:rPr>
              <w:fldChar w:fldCharType="begin"/>
            </w:r>
            <w:r w:rsidR="00DE14BF">
              <w:rPr>
                <w:noProof/>
                <w:webHidden/>
              </w:rPr>
              <w:instrText xml:space="preserve"> PAGEREF _Toc356974719 \h </w:instrText>
            </w:r>
            <w:r>
              <w:rPr>
                <w:noProof/>
                <w:webHidden/>
              </w:rPr>
            </w:r>
            <w:r>
              <w:rPr>
                <w:noProof/>
                <w:webHidden/>
              </w:rPr>
              <w:fldChar w:fldCharType="separate"/>
            </w:r>
            <w:r w:rsidR="004E14B1">
              <w:rPr>
                <w:noProof/>
                <w:webHidden/>
              </w:rPr>
              <w:t>45</w:t>
            </w:r>
            <w:r>
              <w:rPr>
                <w:noProof/>
                <w:webHidden/>
              </w:rPr>
              <w:fldChar w:fldCharType="end"/>
            </w:r>
          </w:hyperlink>
        </w:p>
        <w:p w:rsidR="00DE14BF" w:rsidRDefault="00846717">
          <w:pPr>
            <w:pStyle w:val="TOC2"/>
            <w:tabs>
              <w:tab w:val="left" w:pos="2448"/>
            </w:tabs>
            <w:rPr>
              <w:rFonts w:asciiTheme="minorHAnsi" w:eastAsiaTheme="minorEastAsia" w:hAnsiTheme="minorHAnsi" w:cstheme="minorBidi"/>
              <w:b w:val="0"/>
              <w:noProof/>
              <w:sz w:val="22"/>
              <w:lang w:eastAsia="en-AU"/>
            </w:rPr>
          </w:pPr>
          <w:hyperlink w:anchor="_Toc356974720" w:history="1">
            <w:r w:rsidR="00DE14BF" w:rsidRPr="007B337D">
              <w:rPr>
                <w:rStyle w:val="Hyperlink"/>
                <w:noProof/>
              </w:rPr>
              <w:t>Attachment 2.</w:t>
            </w:r>
            <w:r w:rsidR="00DE14BF">
              <w:rPr>
                <w:rFonts w:asciiTheme="minorHAnsi" w:eastAsiaTheme="minorEastAsia" w:hAnsiTheme="minorHAnsi" w:cstheme="minorBidi"/>
                <w:b w:val="0"/>
                <w:noProof/>
                <w:sz w:val="22"/>
                <w:lang w:eastAsia="en-AU"/>
              </w:rPr>
              <w:tab/>
            </w:r>
            <w:r w:rsidR="00DE14BF" w:rsidRPr="007B337D">
              <w:rPr>
                <w:rStyle w:val="Hyperlink"/>
                <w:noProof/>
              </w:rPr>
              <w:t>Extract from the Clinical Evaluation Report</w:t>
            </w:r>
            <w:r w:rsidR="00DE14BF">
              <w:rPr>
                <w:noProof/>
                <w:webHidden/>
              </w:rPr>
              <w:tab/>
            </w:r>
            <w:r>
              <w:rPr>
                <w:noProof/>
                <w:webHidden/>
              </w:rPr>
              <w:fldChar w:fldCharType="begin"/>
            </w:r>
            <w:r w:rsidR="00DE14BF">
              <w:rPr>
                <w:noProof/>
                <w:webHidden/>
              </w:rPr>
              <w:instrText xml:space="preserve"> PAGEREF _Toc356974720 \h </w:instrText>
            </w:r>
            <w:r>
              <w:rPr>
                <w:noProof/>
                <w:webHidden/>
              </w:rPr>
            </w:r>
            <w:r>
              <w:rPr>
                <w:noProof/>
                <w:webHidden/>
              </w:rPr>
              <w:fldChar w:fldCharType="separate"/>
            </w:r>
            <w:r w:rsidR="004E14B1">
              <w:rPr>
                <w:noProof/>
                <w:webHidden/>
              </w:rPr>
              <w:t>45</w:t>
            </w:r>
            <w:r>
              <w:rPr>
                <w:noProof/>
                <w:webHidden/>
              </w:rPr>
              <w:fldChar w:fldCharType="end"/>
            </w:r>
          </w:hyperlink>
        </w:p>
        <w:p w:rsidR="003A7F6C" w:rsidRPr="00B811C6" w:rsidRDefault="00846717" w:rsidP="00B811C6">
          <w:pPr>
            <w:pStyle w:val="TOC2"/>
          </w:pPr>
          <w:r>
            <w:fldChar w:fldCharType="end"/>
          </w:r>
        </w:p>
      </w:sdtContent>
    </w:sdt>
    <w:bookmarkStart w:id="2" w:name="_Toc314842482" w:displacedByCustomXml="prev"/>
    <w:p w:rsidR="00287F50" w:rsidRDefault="00287F50">
      <w:pPr>
        <w:spacing w:before="0" w:after="200" w:line="0" w:lineRule="auto"/>
        <w:rPr>
          <w:rFonts w:ascii="Arial" w:eastAsia="Times New Roman" w:hAnsi="Arial"/>
          <w:b/>
          <w:bCs/>
          <w:sz w:val="32"/>
          <w:szCs w:val="26"/>
        </w:rPr>
      </w:pPr>
      <w:r>
        <w:br w:type="page"/>
      </w:r>
    </w:p>
    <w:p w:rsidR="008E7846" w:rsidRDefault="00F53C07" w:rsidP="008E7846">
      <w:pPr>
        <w:pStyle w:val="Heading2"/>
      </w:pPr>
      <w:bookmarkStart w:id="3" w:name="_Toc356974695"/>
      <w:r>
        <w:lastRenderedPageBreak/>
        <w:t>I.</w:t>
      </w:r>
      <w:r w:rsidR="008E7846">
        <w:t xml:space="preserve"> Introduction to product submission</w:t>
      </w:r>
      <w:bookmarkEnd w:id="3"/>
      <w:bookmarkEnd w:id="2"/>
      <w:bookmarkEnd w:id="0"/>
    </w:p>
    <w:p w:rsidR="00287F50" w:rsidRDefault="00287F50" w:rsidP="00287F50">
      <w:pPr>
        <w:pStyle w:val="Heading3"/>
        <w:spacing w:after="120"/>
        <w:rPr>
          <w:lang w:eastAsia="en-AU"/>
        </w:rPr>
      </w:pPr>
      <w:bookmarkStart w:id="4" w:name="_Toc247691502"/>
      <w:bookmarkStart w:id="5" w:name="_Toc314842483"/>
      <w:bookmarkStart w:id="6" w:name="_Toc355005417"/>
      <w:bookmarkStart w:id="7" w:name="_Toc356974696"/>
      <w:bookmarkEnd w:id="1"/>
      <w:r>
        <w:rPr>
          <w:lang w:eastAsia="en-AU"/>
        </w:rPr>
        <w:t>Submission details</w:t>
      </w:r>
      <w:bookmarkEnd w:id="4"/>
      <w:bookmarkEnd w:id="5"/>
      <w:bookmarkEnd w:id="6"/>
      <w:bookmarkEnd w:id="7"/>
    </w:p>
    <w:tbl>
      <w:tblPr>
        <w:tblW w:w="9497" w:type="dxa"/>
        <w:tblInd w:w="108" w:type="dxa"/>
        <w:tblLook w:val="01E0"/>
      </w:tblPr>
      <w:tblGrid>
        <w:gridCol w:w="2907"/>
        <w:gridCol w:w="6590"/>
      </w:tblGrid>
      <w:tr w:rsidR="00287F50" w:rsidRPr="003D1E62" w:rsidTr="00287F50">
        <w:trPr>
          <w:trHeight w:hRule="exact" w:val="773"/>
        </w:trPr>
        <w:tc>
          <w:tcPr>
            <w:tcW w:w="2907" w:type="dxa"/>
          </w:tcPr>
          <w:p w:rsidR="00287F50" w:rsidRPr="003D1E62" w:rsidRDefault="00287F50" w:rsidP="00287F50">
            <w:pPr>
              <w:rPr>
                <w:i/>
              </w:rPr>
            </w:pPr>
            <w:r w:rsidRPr="003D1E62">
              <w:rPr>
                <w:i/>
              </w:rPr>
              <w:t>Type of Submission</w:t>
            </w:r>
            <w:r w:rsidR="00DE14BF">
              <w:rPr>
                <w:i/>
              </w:rPr>
              <w:t>:</w:t>
            </w:r>
          </w:p>
        </w:tc>
        <w:tc>
          <w:tcPr>
            <w:tcW w:w="6590" w:type="dxa"/>
          </w:tcPr>
          <w:p w:rsidR="00287F50" w:rsidRPr="003D1E62" w:rsidRDefault="00287F50" w:rsidP="00287F50">
            <w:r>
              <w:t>Extension of indications; n</w:t>
            </w:r>
            <w:r w:rsidRPr="003D1E62">
              <w:t xml:space="preserve">ew </w:t>
            </w:r>
            <w:r>
              <w:t xml:space="preserve">dosage recommendations; other changes to the Product Information </w:t>
            </w:r>
          </w:p>
        </w:tc>
      </w:tr>
      <w:tr w:rsidR="00287F50" w:rsidRPr="003D1E62" w:rsidTr="00287F50">
        <w:trPr>
          <w:trHeight w:hRule="exact" w:val="454"/>
        </w:trPr>
        <w:tc>
          <w:tcPr>
            <w:tcW w:w="2907" w:type="dxa"/>
          </w:tcPr>
          <w:p w:rsidR="00287F50" w:rsidRPr="003D1E62" w:rsidRDefault="00287F50" w:rsidP="00287F50">
            <w:r w:rsidRPr="003D1E62">
              <w:rPr>
                <w:i/>
              </w:rPr>
              <w:t>Decision</w:t>
            </w:r>
            <w:r w:rsidRPr="003D1E62">
              <w:t>:</w:t>
            </w:r>
          </w:p>
        </w:tc>
        <w:tc>
          <w:tcPr>
            <w:tcW w:w="6590" w:type="dxa"/>
          </w:tcPr>
          <w:p w:rsidR="00287F50" w:rsidRPr="003D1E62" w:rsidRDefault="00287F50" w:rsidP="00287F50">
            <w:r w:rsidRPr="003D1E62">
              <w:t xml:space="preserve">Approved </w:t>
            </w:r>
          </w:p>
        </w:tc>
      </w:tr>
      <w:tr w:rsidR="00287F50" w:rsidRPr="003D1E62" w:rsidTr="00287F50">
        <w:trPr>
          <w:trHeight w:hRule="exact" w:val="454"/>
        </w:trPr>
        <w:tc>
          <w:tcPr>
            <w:tcW w:w="2907" w:type="dxa"/>
          </w:tcPr>
          <w:p w:rsidR="00287F50" w:rsidRPr="003D1E62" w:rsidRDefault="00287F50" w:rsidP="00287F50">
            <w:pPr>
              <w:rPr>
                <w:i/>
              </w:rPr>
            </w:pPr>
            <w:r w:rsidRPr="003D1E62">
              <w:rPr>
                <w:i/>
              </w:rPr>
              <w:t>Date of Decision:</w:t>
            </w:r>
          </w:p>
        </w:tc>
        <w:tc>
          <w:tcPr>
            <w:tcW w:w="6590" w:type="dxa"/>
          </w:tcPr>
          <w:p w:rsidR="00287F50" w:rsidRPr="003D1E62" w:rsidRDefault="00287F50" w:rsidP="00287F50">
            <w:r>
              <w:t>23 January 2013</w:t>
            </w:r>
          </w:p>
        </w:tc>
      </w:tr>
    </w:tbl>
    <w:p w:rsidR="00287F50" w:rsidRDefault="00287F50" w:rsidP="00287F50">
      <w:pPr>
        <w:spacing w:before="60" w:after="60"/>
      </w:pPr>
    </w:p>
    <w:tbl>
      <w:tblPr>
        <w:tblW w:w="9214" w:type="dxa"/>
        <w:tblInd w:w="108" w:type="dxa"/>
        <w:tblLook w:val="01E0"/>
      </w:tblPr>
      <w:tblGrid>
        <w:gridCol w:w="2907"/>
        <w:gridCol w:w="6307"/>
      </w:tblGrid>
      <w:tr w:rsidR="00287F50" w:rsidRPr="00487162" w:rsidTr="00287F50">
        <w:tc>
          <w:tcPr>
            <w:tcW w:w="2907" w:type="dxa"/>
          </w:tcPr>
          <w:p w:rsidR="00287F50" w:rsidRPr="00487162" w:rsidRDefault="00287F50" w:rsidP="00287F50">
            <w:pPr>
              <w:rPr>
                <w:i/>
              </w:rPr>
            </w:pPr>
            <w:r>
              <w:rPr>
                <w:i/>
              </w:rPr>
              <w:t>Active ingredient</w:t>
            </w:r>
            <w:r w:rsidRPr="00487162">
              <w:rPr>
                <w:i/>
              </w:rPr>
              <w:t xml:space="preserve">: </w:t>
            </w:r>
          </w:p>
        </w:tc>
        <w:tc>
          <w:tcPr>
            <w:tcW w:w="6307" w:type="dxa"/>
          </w:tcPr>
          <w:p w:rsidR="00287F50" w:rsidRPr="00487162" w:rsidRDefault="00287F50" w:rsidP="00287F50">
            <w:r>
              <w:t>Everolimus</w:t>
            </w:r>
          </w:p>
        </w:tc>
      </w:tr>
      <w:tr w:rsidR="00287F50" w:rsidRPr="00487162" w:rsidTr="00287F50">
        <w:trPr>
          <w:trHeight w:val="499"/>
        </w:trPr>
        <w:tc>
          <w:tcPr>
            <w:tcW w:w="2907" w:type="dxa"/>
          </w:tcPr>
          <w:p w:rsidR="00287F50" w:rsidRPr="00487162" w:rsidRDefault="00287F50" w:rsidP="00287F50">
            <w:pPr>
              <w:rPr>
                <w:i/>
              </w:rPr>
            </w:pPr>
            <w:r>
              <w:rPr>
                <w:i/>
              </w:rPr>
              <w:t>Product Name</w:t>
            </w:r>
            <w:r w:rsidRPr="00487162">
              <w:rPr>
                <w:i/>
              </w:rPr>
              <w:t xml:space="preserve">: </w:t>
            </w:r>
          </w:p>
        </w:tc>
        <w:tc>
          <w:tcPr>
            <w:tcW w:w="6307" w:type="dxa"/>
          </w:tcPr>
          <w:p w:rsidR="00287F50" w:rsidRPr="00487162" w:rsidRDefault="00287F50" w:rsidP="00287F50">
            <w:r>
              <w:t>Certican</w:t>
            </w:r>
          </w:p>
        </w:tc>
      </w:tr>
      <w:tr w:rsidR="00287F50" w:rsidRPr="00487162" w:rsidTr="00287F50">
        <w:tc>
          <w:tcPr>
            <w:tcW w:w="2907" w:type="dxa"/>
          </w:tcPr>
          <w:p w:rsidR="00287F50" w:rsidRPr="00487162" w:rsidRDefault="00287F50" w:rsidP="00287F50">
            <w:pPr>
              <w:rPr>
                <w:i/>
              </w:rPr>
            </w:pPr>
            <w:r w:rsidRPr="00487162">
              <w:rPr>
                <w:i/>
              </w:rPr>
              <w:t>Sponsor’s Name and Address:</w:t>
            </w:r>
          </w:p>
        </w:tc>
        <w:tc>
          <w:tcPr>
            <w:tcW w:w="6307" w:type="dxa"/>
          </w:tcPr>
          <w:p w:rsidR="00287F50" w:rsidRDefault="00287F50" w:rsidP="00287F50">
            <w:pPr>
              <w:spacing w:before="0" w:after="0"/>
            </w:pPr>
            <w:r w:rsidRPr="00F41FA7">
              <w:t>Novartis Pharmaceuticals Australia Pty Ltd</w:t>
            </w:r>
          </w:p>
          <w:p w:rsidR="00287F50" w:rsidRDefault="00287F50" w:rsidP="00287F50">
            <w:pPr>
              <w:spacing w:before="0" w:after="0"/>
            </w:pPr>
            <w:r>
              <w:t>54 Waterloo Road</w:t>
            </w:r>
          </w:p>
          <w:p w:rsidR="00287F50" w:rsidRPr="00487162" w:rsidRDefault="00287F50" w:rsidP="00287F50">
            <w:pPr>
              <w:spacing w:before="0" w:after="0"/>
            </w:pPr>
            <w:r>
              <w:t>North Ryde NSW 2113</w:t>
            </w:r>
          </w:p>
        </w:tc>
      </w:tr>
      <w:tr w:rsidR="00287F50" w:rsidRPr="00487162" w:rsidTr="00287F50">
        <w:tc>
          <w:tcPr>
            <w:tcW w:w="2907" w:type="dxa"/>
          </w:tcPr>
          <w:p w:rsidR="00287F50" w:rsidRPr="00487162" w:rsidRDefault="00287F50" w:rsidP="00287F50">
            <w:pPr>
              <w:rPr>
                <w:i/>
              </w:rPr>
            </w:pPr>
            <w:r>
              <w:rPr>
                <w:i/>
              </w:rPr>
              <w:t>Dose forms:</w:t>
            </w:r>
            <w:r w:rsidRPr="00487162">
              <w:rPr>
                <w:i/>
              </w:rPr>
              <w:t xml:space="preserve"> </w:t>
            </w:r>
          </w:p>
        </w:tc>
        <w:tc>
          <w:tcPr>
            <w:tcW w:w="6307" w:type="dxa"/>
          </w:tcPr>
          <w:p w:rsidR="00287F50" w:rsidRPr="00487162" w:rsidRDefault="00287F50" w:rsidP="00287F50">
            <w:r>
              <w:t>Tablet and dispersible tablet</w:t>
            </w:r>
          </w:p>
        </w:tc>
      </w:tr>
      <w:tr w:rsidR="00287F50" w:rsidRPr="00487162" w:rsidTr="00287F50">
        <w:tc>
          <w:tcPr>
            <w:tcW w:w="2907" w:type="dxa"/>
          </w:tcPr>
          <w:p w:rsidR="00287F50" w:rsidRPr="00487162" w:rsidRDefault="00287F50" w:rsidP="00287F50">
            <w:pPr>
              <w:rPr>
                <w:i/>
              </w:rPr>
            </w:pPr>
            <w:r>
              <w:rPr>
                <w:i/>
              </w:rPr>
              <w:t>Strength</w:t>
            </w:r>
            <w:r w:rsidRPr="00487162">
              <w:rPr>
                <w:i/>
              </w:rPr>
              <w:t xml:space="preserve">s: </w:t>
            </w:r>
          </w:p>
        </w:tc>
        <w:tc>
          <w:tcPr>
            <w:tcW w:w="6307" w:type="dxa"/>
          </w:tcPr>
          <w:p w:rsidR="00287F50" w:rsidRDefault="00287F50" w:rsidP="00287F50">
            <w:pPr>
              <w:spacing w:before="0" w:after="0"/>
            </w:pPr>
            <w:r>
              <w:t>Tablet: 0.25 mg, 0.5 mg, 0.75 mg and 1 mg</w:t>
            </w:r>
          </w:p>
          <w:p w:rsidR="00287F50" w:rsidRPr="00487162" w:rsidRDefault="00287F50" w:rsidP="00287F50">
            <w:pPr>
              <w:spacing w:before="0" w:after="0"/>
            </w:pPr>
            <w:r>
              <w:t>Dispersible tablet: 0.1 mg and 0.5 mg</w:t>
            </w:r>
          </w:p>
        </w:tc>
      </w:tr>
      <w:tr w:rsidR="00287F50" w:rsidRPr="00487162" w:rsidTr="00287F50">
        <w:tc>
          <w:tcPr>
            <w:tcW w:w="2907" w:type="dxa"/>
          </w:tcPr>
          <w:p w:rsidR="00287F50" w:rsidRPr="00487162" w:rsidRDefault="00287F50" w:rsidP="00287F50">
            <w:pPr>
              <w:rPr>
                <w:i/>
              </w:rPr>
            </w:pPr>
            <w:r>
              <w:rPr>
                <w:i/>
              </w:rPr>
              <w:t>Container</w:t>
            </w:r>
            <w:r w:rsidRPr="00487162">
              <w:rPr>
                <w:i/>
              </w:rPr>
              <w:t>:</w:t>
            </w:r>
          </w:p>
        </w:tc>
        <w:tc>
          <w:tcPr>
            <w:tcW w:w="6307" w:type="dxa"/>
          </w:tcPr>
          <w:p w:rsidR="00287F50" w:rsidRPr="00487162" w:rsidRDefault="00287F50" w:rsidP="00287F50">
            <w:r>
              <w:t>Blister pack</w:t>
            </w:r>
          </w:p>
        </w:tc>
      </w:tr>
      <w:tr w:rsidR="00287F50" w:rsidRPr="00487162" w:rsidTr="00287F50">
        <w:tc>
          <w:tcPr>
            <w:tcW w:w="2907" w:type="dxa"/>
          </w:tcPr>
          <w:p w:rsidR="00287F50" w:rsidRPr="00487162" w:rsidRDefault="00287F50" w:rsidP="00287F50">
            <w:pPr>
              <w:rPr>
                <w:i/>
              </w:rPr>
            </w:pPr>
            <w:r w:rsidRPr="00487162">
              <w:rPr>
                <w:i/>
              </w:rPr>
              <w:t>Pack sizes:</w:t>
            </w:r>
          </w:p>
        </w:tc>
        <w:tc>
          <w:tcPr>
            <w:tcW w:w="6307" w:type="dxa"/>
          </w:tcPr>
          <w:p w:rsidR="00287F50" w:rsidRPr="00487162" w:rsidRDefault="00287F50" w:rsidP="00287F50">
            <w:r>
              <w:t xml:space="preserve">50, 60, 100 and 120 </w:t>
            </w:r>
          </w:p>
        </w:tc>
      </w:tr>
      <w:tr w:rsidR="00287F50" w:rsidRPr="00487162" w:rsidTr="00287F50">
        <w:tc>
          <w:tcPr>
            <w:tcW w:w="2907" w:type="dxa"/>
          </w:tcPr>
          <w:p w:rsidR="00287F50" w:rsidRPr="00487162" w:rsidRDefault="00287F50" w:rsidP="00287F50">
            <w:pPr>
              <w:rPr>
                <w:i/>
              </w:rPr>
            </w:pPr>
            <w:r w:rsidRPr="00487162">
              <w:rPr>
                <w:i/>
              </w:rPr>
              <w:t>Approved Therapeutic use:</w:t>
            </w:r>
          </w:p>
        </w:tc>
        <w:tc>
          <w:tcPr>
            <w:tcW w:w="6307" w:type="dxa"/>
          </w:tcPr>
          <w:p w:rsidR="00287F50" w:rsidRPr="00487162" w:rsidRDefault="00287F50" w:rsidP="00287F50">
            <w:pPr>
              <w:rPr>
                <w:rFonts w:eastAsia="MS Mincho"/>
                <w:lang w:eastAsia="ja-JP"/>
              </w:rPr>
            </w:pPr>
            <w:r w:rsidRPr="009C676F">
              <w:t xml:space="preserve">Certican is indicated for the prophylaxis of organ rejection in adult patients receiving an </w:t>
            </w:r>
            <w:proofErr w:type="spellStart"/>
            <w:r w:rsidRPr="009C676F">
              <w:t>allogeneic</w:t>
            </w:r>
            <w:proofErr w:type="spellEnd"/>
            <w:r w:rsidRPr="009C676F">
              <w:t xml:space="preserve"> hepatic transplant (see Precautions)</w:t>
            </w:r>
          </w:p>
        </w:tc>
      </w:tr>
      <w:tr w:rsidR="00287F50" w:rsidRPr="00487162" w:rsidTr="00287F50">
        <w:tc>
          <w:tcPr>
            <w:tcW w:w="2907" w:type="dxa"/>
          </w:tcPr>
          <w:p w:rsidR="00287F50" w:rsidRPr="00487162" w:rsidRDefault="00287F50" w:rsidP="00287F50">
            <w:pPr>
              <w:rPr>
                <w:i/>
              </w:rPr>
            </w:pPr>
            <w:r>
              <w:rPr>
                <w:i/>
              </w:rPr>
              <w:t>Route</w:t>
            </w:r>
            <w:r w:rsidRPr="00487162">
              <w:rPr>
                <w:i/>
              </w:rPr>
              <w:t xml:space="preserve"> of administration:</w:t>
            </w:r>
          </w:p>
        </w:tc>
        <w:tc>
          <w:tcPr>
            <w:tcW w:w="6307" w:type="dxa"/>
          </w:tcPr>
          <w:p w:rsidR="00287F50" w:rsidRPr="00487162" w:rsidRDefault="00287F50" w:rsidP="00287F50">
            <w:r>
              <w:t>Oral</w:t>
            </w:r>
          </w:p>
        </w:tc>
      </w:tr>
      <w:tr w:rsidR="00287F50" w:rsidRPr="00487162" w:rsidTr="00287F50">
        <w:tc>
          <w:tcPr>
            <w:tcW w:w="2907" w:type="dxa"/>
          </w:tcPr>
          <w:p w:rsidR="00287F50" w:rsidRPr="00487162" w:rsidRDefault="00287F50" w:rsidP="00287F50">
            <w:pPr>
              <w:rPr>
                <w:i/>
              </w:rPr>
            </w:pPr>
            <w:r w:rsidRPr="00487162">
              <w:rPr>
                <w:i/>
              </w:rPr>
              <w:t>Dosage</w:t>
            </w:r>
            <w:r>
              <w:rPr>
                <w:i/>
              </w:rPr>
              <w:t xml:space="preserve"> (abbreviated)</w:t>
            </w:r>
            <w:r w:rsidRPr="00487162">
              <w:rPr>
                <w:i/>
              </w:rPr>
              <w:t>:</w:t>
            </w:r>
          </w:p>
        </w:tc>
        <w:tc>
          <w:tcPr>
            <w:tcW w:w="6307" w:type="dxa"/>
          </w:tcPr>
          <w:p w:rsidR="00287F50" w:rsidRPr="006E2701" w:rsidRDefault="00287F50" w:rsidP="00287F50">
            <w:r w:rsidRPr="006E2701">
              <w:t xml:space="preserve">Treatment with Certican should only be initiated and maintained by physicians who are experienced in immunosuppressive therapy following organ transplantation. Everolimus should be used in combination with </w:t>
            </w:r>
            <w:proofErr w:type="spellStart"/>
            <w:r w:rsidRPr="006E2701">
              <w:t>cyclosporin</w:t>
            </w:r>
            <w:proofErr w:type="spellEnd"/>
            <w:r w:rsidRPr="006E2701">
              <w:t xml:space="preserve"> </w:t>
            </w:r>
            <w:proofErr w:type="spellStart"/>
            <w:r w:rsidRPr="006E2701">
              <w:t>microemulsion</w:t>
            </w:r>
            <w:proofErr w:type="spellEnd"/>
            <w:r w:rsidRPr="006E2701">
              <w:t xml:space="preserve"> and corticosteroids with cyclosporin exposure reduced over time post-transplantation (see Therapeutic Drug Monitoring). </w:t>
            </w:r>
          </w:p>
          <w:p w:rsidR="00287F50" w:rsidRPr="00487162" w:rsidRDefault="00287F50" w:rsidP="00287F50">
            <w:r w:rsidRPr="006E2701">
              <w:t xml:space="preserve">An initial dose regimen of 0.75 mg twice a day is recommended for the general kidney and heart transplant population, administered as soon as possible after transplantation. The dose of 1.0 mg twice a day is recommended for the hepatic transplant population with the initial dose approximately 4 weeks after transplantation. A higher Certican dosage regimen (1.5 mg twice daily) was shown to be as effective as the recommended dosage regimen but the overall safety was worse. Therefore this higher-dosage regimen is not recommended. The daily dose of Certican should always be given orally in two divided doses, consistently either with or without food and at the same time as </w:t>
            </w:r>
            <w:proofErr w:type="spellStart"/>
            <w:r w:rsidRPr="006E2701">
              <w:t>cyclosporin</w:t>
            </w:r>
            <w:proofErr w:type="spellEnd"/>
            <w:r w:rsidRPr="006E2701">
              <w:t xml:space="preserve"> </w:t>
            </w:r>
            <w:proofErr w:type="spellStart"/>
            <w:r w:rsidRPr="006E2701">
              <w:t>microemulsion</w:t>
            </w:r>
            <w:proofErr w:type="spellEnd"/>
            <w:r w:rsidRPr="006E2701">
              <w:t xml:space="preserve"> or </w:t>
            </w:r>
            <w:proofErr w:type="spellStart"/>
            <w:r w:rsidRPr="006E2701">
              <w:t>tacrolimus</w:t>
            </w:r>
            <w:proofErr w:type="spellEnd"/>
            <w:r w:rsidRPr="006E2701">
              <w:t>.</w:t>
            </w:r>
          </w:p>
        </w:tc>
      </w:tr>
      <w:tr w:rsidR="00287F50" w:rsidRPr="00487162" w:rsidTr="00287F50">
        <w:tc>
          <w:tcPr>
            <w:tcW w:w="2907" w:type="dxa"/>
          </w:tcPr>
          <w:p w:rsidR="00287F50" w:rsidRPr="00487162" w:rsidRDefault="00287F50" w:rsidP="00287F50">
            <w:pPr>
              <w:rPr>
                <w:i/>
              </w:rPr>
            </w:pPr>
            <w:r w:rsidRPr="00487162">
              <w:rPr>
                <w:i/>
              </w:rPr>
              <w:t>ARTG Numbers</w:t>
            </w:r>
            <w:r>
              <w:rPr>
                <w:i/>
              </w:rPr>
              <w:t>:</w:t>
            </w:r>
          </w:p>
        </w:tc>
        <w:tc>
          <w:tcPr>
            <w:tcW w:w="6307" w:type="dxa"/>
          </w:tcPr>
          <w:p w:rsidR="00287F50" w:rsidRPr="00487162" w:rsidRDefault="00287F50" w:rsidP="00287F50">
            <w:r w:rsidRPr="009C676F">
              <w:t>97500, 97506, 97509, 97516, 97520, 97527</w:t>
            </w:r>
          </w:p>
        </w:tc>
      </w:tr>
    </w:tbl>
    <w:p w:rsidR="00287F50" w:rsidRDefault="00287F50" w:rsidP="00287F50">
      <w:pPr>
        <w:pStyle w:val="Heading3"/>
      </w:pPr>
      <w:bookmarkStart w:id="8" w:name="_Toc247691503"/>
      <w:bookmarkStart w:id="9" w:name="_Toc314842484"/>
      <w:bookmarkStart w:id="10" w:name="_Toc355005418"/>
      <w:bookmarkStart w:id="11" w:name="_Toc356974697"/>
      <w:r>
        <w:lastRenderedPageBreak/>
        <w:t>Product background</w:t>
      </w:r>
      <w:bookmarkEnd w:id="8"/>
      <w:bookmarkEnd w:id="9"/>
      <w:bookmarkEnd w:id="10"/>
      <w:bookmarkEnd w:id="11"/>
    </w:p>
    <w:p w:rsidR="00287F50" w:rsidRPr="004D7C3E" w:rsidRDefault="00287F50" w:rsidP="00287F50">
      <w:r>
        <w:t xml:space="preserve">The immunosuppressant agent everolimus </w:t>
      </w:r>
      <w:r w:rsidRPr="004D7C3E">
        <w:t>is a</w:t>
      </w:r>
      <w:r>
        <w:t>n inhibitor of</w:t>
      </w:r>
      <w:r w:rsidRPr="004D7C3E">
        <w:t xml:space="preserve"> mammalian target of </w:t>
      </w:r>
      <w:proofErr w:type="spellStart"/>
      <w:r w:rsidRPr="004D7C3E">
        <w:t>rapamycin</w:t>
      </w:r>
      <w:proofErr w:type="spellEnd"/>
      <w:r w:rsidRPr="004D7C3E">
        <w:t xml:space="preserve"> (</w:t>
      </w:r>
      <w:proofErr w:type="spellStart"/>
      <w:r w:rsidRPr="004D7C3E">
        <w:t>mTOR</w:t>
      </w:r>
      <w:proofErr w:type="spellEnd"/>
      <w:r w:rsidRPr="004D7C3E">
        <w:t>)</w:t>
      </w:r>
      <w:r>
        <w:t>,</w:t>
      </w:r>
      <w:r w:rsidRPr="004D7C3E">
        <w:t xml:space="preserve"> </w:t>
      </w:r>
      <w:r>
        <w:t>which is an</w:t>
      </w:r>
      <w:r w:rsidRPr="004D7C3E">
        <w:t xml:space="preserve"> intracellular protein with a key role in cellular protein synthesis and energy balance that influences many aspects of cell growth and proliferation. Everolimus exerts its immunosuppressive effect by in</w:t>
      </w:r>
      <w:r>
        <w:t>hibiting cell cycle progression</w:t>
      </w:r>
      <w:r w:rsidRPr="004D7C3E">
        <w:t xml:space="preserve"> as well as by inhibiting the activation of </w:t>
      </w:r>
      <w:r>
        <w:t xml:space="preserve">lymphocytes (T and B </w:t>
      </w:r>
      <w:r w:rsidRPr="004D7C3E">
        <w:t>cells</w:t>
      </w:r>
      <w:r>
        <w:t>)</w:t>
      </w:r>
      <w:r w:rsidRPr="004D7C3E">
        <w:t xml:space="preserve"> and interleukin </w:t>
      </w:r>
      <w:proofErr w:type="spellStart"/>
      <w:r w:rsidRPr="004D7C3E">
        <w:t>clonal</w:t>
      </w:r>
      <w:proofErr w:type="spellEnd"/>
      <w:r w:rsidRPr="004D7C3E">
        <w:t xml:space="preserve"> expansion.</w:t>
      </w:r>
    </w:p>
    <w:p w:rsidR="00287F50" w:rsidRPr="004D7C3E" w:rsidRDefault="00287F50" w:rsidP="00287F50">
      <w:r w:rsidRPr="004D7C3E">
        <w:t>Everolimus was first registered in Australia in 2005 with the trade name C</w:t>
      </w:r>
      <w:r>
        <w:t>ertican</w:t>
      </w:r>
      <w:r w:rsidRPr="004D7C3E">
        <w:t>. The approved indication is:</w:t>
      </w:r>
    </w:p>
    <w:p w:rsidR="00287F50" w:rsidRPr="004D7C3E" w:rsidRDefault="00287F50" w:rsidP="00287F50">
      <w:pPr>
        <w:ind w:left="720"/>
        <w:rPr>
          <w:i/>
        </w:rPr>
      </w:pPr>
      <w:r>
        <w:rPr>
          <w:i/>
        </w:rPr>
        <w:t>Certican is indicated f</w:t>
      </w:r>
      <w:r w:rsidRPr="004D7C3E">
        <w:rPr>
          <w:i/>
        </w:rPr>
        <w:t xml:space="preserve">or the prophylaxis of organ rejection in adult patients at mild to moderate immunological risk receiving an </w:t>
      </w:r>
      <w:proofErr w:type="spellStart"/>
      <w:r w:rsidRPr="004D7C3E">
        <w:rPr>
          <w:i/>
        </w:rPr>
        <w:t>allogeneic</w:t>
      </w:r>
      <w:proofErr w:type="spellEnd"/>
      <w:r w:rsidRPr="004D7C3E">
        <w:rPr>
          <w:i/>
        </w:rPr>
        <w:t xml:space="preserve"> renal or cardiac transplant.</w:t>
      </w:r>
    </w:p>
    <w:p w:rsidR="00287F50" w:rsidRPr="004D7C3E" w:rsidRDefault="00287F50" w:rsidP="00287F50">
      <w:r w:rsidRPr="004D7C3E">
        <w:t>Th</w:t>
      </w:r>
      <w:r>
        <w:t xml:space="preserve">is AusPAR describes the application by Novartis Pharmaceuticals Australia Pty Ltd (the sponsor) to extend the </w:t>
      </w:r>
      <w:r w:rsidRPr="004D7C3E">
        <w:t>indication</w:t>
      </w:r>
      <w:r>
        <w:t>s</w:t>
      </w:r>
      <w:r w:rsidRPr="004D7C3E">
        <w:t xml:space="preserve"> for </w:t>
      </w:r>
      <w:r>
        <w:t xml:space="preserve">Certican to include hepatic transplant. The proposed indication (addition shown in bold font) is: </w:t>
      </w:r>
    </w:p>
    <w:p w:rsidR="00287F50" w:rsidRPr="004D7C3E" w:rsidRDefault="00287F50" w:rsidP="00287F50">
      <w:pPr>
        <w:ind w:left="720"/>
        <w:rPr>
          <w:i/>
        </w:rPr>
      </w:pPr>
      <w:r w:rsidRPr="004D7C3E">
        <w:rPr>
          <w:i/>
        </w:rPr>
        <w:t xml:space="preserve">Certican is indicated for the prophylaxis of organ rejection in adult patients at mild to moderate immunological risk receiving an </w:t>
      </w:r>
      <w:proofErr w:type="spellStart"/>
      <w:r w:rsidRPr="004D7C3E">
        <w:rPr>
          <w:i/>
        </w:rPr>
        <w:t>allogeneic</w:t>
      </w:r>
      <w:proofErr w:type="spellEnd"/>
      <w:r w:rsidRPr="004D7C3E">
        <w:rPr>
          <w:i/>
        </w:rPr>
        <w:t xml:space="preserve"> renal or cardiac </w:t>
      </w:r>
      <w:r w:rsidRPr="003905F8">
        <w:rPr>
          <w:b/>
          <w:i/>
        </w:rPr>
        <w:t>or hepatic</w:t>
      </w:r>
      <w:r w:rsidRPr="004D7C3E">
        <w:rPr>
          <w:i/>
        </w:rPr>
        <w:t xml:space="preserve"> transplant.</w:t>
      </w:r>
    </w:p>
    <w:p w:rsidR="00287F50" w:rsidRDefault="00287F50" w:rsidP="00287F50">
      <w:r w:rsidRPr="004D7C3E">
        <w:t xml:space="preserve">The </w:t>
      </w:r>
      <w:r>
        <w:t>sponsor also proposes</w:t>
      </w:r>
      <w:r w:rsidRPr="004D7C3E">
        <w:t xml:space="preserve"> </w:t>
      </w:r>
      <w:r>
        <w:t xml:space="preserve">several </w:t>
      </w:r>
      <w:r w:rsidRPr="004D7C3E">
        <w:t xml:space="preserve">changes to the </w:t>
      </w:r>
      <w:r w:rsidRPr="007E77B8">
        <w:rPr>
          <w:i/>
        </w:rPr>
        <w:t>Dosage and Administration</w:t>
      </w:r>
      <w:r w:rsidRPr="004D7C3E">
        <w:t xml:space="preserve"> section </w:t>
      </w:r>
      <w:r>
        <w:t>of the Certican Product Information (PI). These include:</w:t>
      </w:r>
    </w:p>
    <w:p w:rsidR="00287F50" w:rsidRPr="00DE14BF" w:rsidRDefault="00287F50" w:rsidP="00DE14BF">
      <w:pPr>
        <w:pStyle w:val="ListBullet"/>
      </w:pPr>
      <w:r w:rsidRPr="00DE14BF">
        <w:t>New dosing for the hepatic transplant indication.</w:t>
      </w:r>
    </w:p>
    <w:p w:rsidR="00287F50" w:rsidRPr="00DE14BF" w:rsidRDefault="00287F50" w:rsidP="00DE14BF">
      <w:pPr>
        <w:pStyle w:val="ListBullet"/>
      </w:pPr>
      <w:r w:rsidRPr="00DE14BF">
        <w:t>Changes to the dosage for patients with impaired hepatic function. These include a greater reduction in everolimus dose (from one half to two-thirds of the dose) in patients with mild hepatic impairment.</w:t>
      </w:r>
    </w:p>
    <w:p w:rsidR="00287F50" w:rsidRPr="00DE14BF" w:rsidRDefault="00287F50" w:rsidP="00DE14BF">
      <w:pPr>
        <w:pStyle w:val="ListBullet"/>
      </w:pPr>
      <w:r w:rsidRPr="00DE14BF">
        <w:t xml:space="preserve">Amendments to the section on cyclosporin dose recommendations in renal transplantation based on data from Study A2309. There is also a new recommendation that everolimus “should not be used long-term together with full doses of cyclosporin”. </w:t>
      </w:r>
    </w:p>
    <w:p w:rsidR="00287F50" w:rsidRPr="00DE14BF" w:rsidRDefault="00287F50" w:rsidP="00DE14BF">
      <w:pPr>
        <w:pStyle w:val="ListBullet"/>
      </w:pPr>
      <w:r w:rsidRPr="00DE14BF">
        <w:t xml:space="preserve">Amendments to the section on cyclosporin dose recommendations in cardiac transplantation based on data from Studies A2411 and A2310. </w:t>
      </w:r>
    </w:p>
    <w:p w:rsidR="00287F50" w:rsidRPr="00DE14BF" w:rsidRDefault="00287F50" w:rsidP="00DE14BF">
      <w:pPr>
        <w:pStyle w:val="ListBullet"/>
      </w:pPr>
      <w:r w:rsidRPr="00DE14BF">
        <w:t xml:space="preserve">A new section on tacrolimus dose recommendation in hepatic transplantation. </w:t>
      </w:r>
    </w:p>
    <w:p w:rsidR="00287F50" w:rsidRPr="004D7C3E" w:rsidRDefault="00287F50" w:rsidP="00A30739">
      <w:pPr>
        <w:pStyle w:val="Heading4"/>
      </w:pPr>
      <w:bookmarkStart w:id="12" w:name="_Toc272414599"/>
      <w:bookmarkStart w:id="13" w:name="_Toc326576755"/>
      <w:bookmarkStart w:id="14" w:name="_Toc290846221"/>
      <w:r w:rsidRPr="004D7C3E">
        <w:t xml:space="preserve">Other proposed changes to the </w:t>
      </w:r>
      <w:bookmarkEnd w:id="12"/>
      <w:r w:rsidRPr="004D7C3E">
        <w:t>PI</w:t>
      </w:r>
      <w:bookmarkEnd w:id="13"/>
      <w:bookmarkEnd w:id="14"/>
    </w:p>
    <w:p w:rsidR="00287F50" w:rsidRPr="004D7C3E" w:rsidRDefault="00287F50" w:rsidP="00287F50">
      <w:r w:rsidRPr="004D7C3E">
        <w:t>The proposed PI has a large number of other changes including:</w:t>
      </w:r>
    </w:p>
    <w:p w:rsidR="00287F50" w:rsidRPr="00DE14BF" w:rsidRDefault="00287F50" w:rsidP="00DE14BF">
      <w:pPr>
        <w:pStyle w:val="ListBullet"/>
      </w:pPr>
      <w:r w:rsidRPr="00DE14BF">
        <w:t>Data on pharmacokinetics (PK) in hepatic impairment.</w:t>
      </w:r>
    </w:p>
    <w:p w:rsidR="00287F50" w:rsidRPr="00DE14BF" w:rsidRDefault="00287F50" w:rsidP="00DE14BF">
      <w:pPr>
        <w:pStyle w:val="ListBullet"/>
      </w:pPr>
      <w:r w:rsidRPr="00DE14BF">
        <w:t>Updates in the Clinical trials section on renal transplantation from Study A2309, on cardiac transplantation from Studies A2411 and A2310, and on hepatic transplantation from Study H2304.</w:t>
      </w:r>
    </w:p>
    <w:p w:rsidR="00287F50" w:rsidRPr="00DE14BF" w:rsidRDefault="00287F50" w:rsidP="00DE14BF">
      <w:pPr>
        <w:pStyle w:val="ListBullet"/>
      </w:pPr>
      <w:r w:rsidRPr="00DE14BF">
        <w:t>Rewording of the precaution in hepatic impairment.</w:t>
      </w:r>
    </w:p>
    <w:p w:rsidR="00287F50" w:rsidRPr="00DE14BF" w:rsidRDefault="00287F50" w:rsidP="00DE14BF">
      <w:pPr>
        <w:pStyle w:val="ListBullet"/>
      </w:pPr>
      <w:r w:rsidRPr="00DE14BF">
        <w:t>Additional information relating to cyclosporin dose in renal dysfunction.</w:t>
      </w:r>
    </w:p>
    <w:p w:rsidR="00287F50" w:rsidRPr="00DE14BF" w:rsidRDefault="00287F50" w:rsidP="00DE14BF">
      <w:pPr>
        <w:pStyle w:val="ListBullet"/>
      </w:pPr>
      <w:r w:rsidRPr="00DE14BF">
        <w:t>Rewording of the precaution relating to wound healing complications.</w:t>
      </w:r>
    </w:p>
    <w:p w:rsidR="00287F50" w:rsidRPr="00DE14BF" w:rsidRDefault="00287F50" w:rsidP="00DE14BF">
      <w:pPr>
        <w:pStyle w:val="ListBullet"/>
      </w:pPr>
      <w:r w:rsidRPr="00DE14BF">
        <w:t xml:space="preserve">Additional data on drug interactions with </w:t>
      </w:r>
      <w:proofErr w:type="spellStart"/>
      <w:r w:rsidRPr="00DE14BF">
        <w:t>midazolam</w:t>
      </w:r>
      <w:proofErr w:type="spellEnd"/>
      <w:r w:rsidRPr="00DE14BF">
        <w:t>.</w:t>
      </w:r>
    </w:p>
    <w:p w:rsidR="00287F50" w:rsidRPr="00DE14BF" w:rsidRDefault="00287F50" w:rsidP="00DE14BF">
      <w:pPr>
        <w:pStyle w:val="ListBullet"/>
      </w:pPr>
      <w:r w:rsidRPr="00DE14BF">
        <w:t>Updating of the adverse effects section with the additional clinical data.</w:t>
      </w:r>
    </w:p>
    <w:p w:rsidR="00287F50" w:rsidRPr="004D7C3E" w:rsidRDefault="00287F50" w:rsidP="00287F50">
      <w:r>
        <w:t xml:space="preserve">The focus of this AusPAR is on the proposal to include hepatic transplant in the indications. Details of revisions to the PI outside of the indications, including those to the </w:t>
      </w:r>
      <w:r w:rsidRPr="0098682A">
        <w:rPr>
          <w:i/>
        </w:rPr>
        <w:lastRenderedPageBreak/>
        <w:t>Dosage and Administration</w:t>
      </w:r>
      <w:r>
        <w:t xml:space="preserve"> section, are beyond the scope of this AusPAR except where they relate to discussions of general safety issues. </w:t>
      </w:r>
    </w:p>
    <w:p w:rsidR="00287F50" w:rsidRPr="003F31A2" w:rsidRDefault="00287F50" w:rsidP="00287F50">
      <w:pPr>
        <w:pStyle w:val="Heading3"/>
      </w:pPr>
      <w:bookmarkStart w:id="15" w:name="_Toc314842485"/>
      <w:bookmarkStart w:id="16" w:name="_Toc355005419"/>
      <w:bookmarkStart w:id="17" w:name="_Toc356974698"/>
      <w:bookmarkStart w:id="18" w:name="_Toc247691504"/>
      <w:r>
        <w:t>Regulatory status</w:t>
      </w:r>
      <w:bookmarkEnd w:id="15"/>
      <w:bookmarkEnd w:id="16"/>
      <w:bookmarkEnd w:id="17"/>
      <w:r>
        <w:t xml:space="preserve"> </w:t>
      </w:r>
      <w:bookmarkEnd w:id="18"/>
    </w:p>
    <w:p w:rsidR="00287F50" w:rsidRDefault="00287F50" w:rsidP="00287F50">
      <w:r>
        <w:t xml:space="preserve">The product received initial registration on the Australian Register of Therapeutic Goods (ARTG) in March 2005. At the time this application was considered, a </w:t>
      </w:r>
      <w:r w:rsidRPr="00C27667">
        <w:t xml:space="preserve">similar application </w:t>
      </w:r>
      <w:r>
        <w:t xml:space="preserve">was under review in the USA and Switzerland, and had been approved in the European Union (EU). </w:t>
      </w:r>
    </w:p>
    <w:p w:rsidR="00287F50" w:rsidRDefault="00287F50" w:rsidP="00287F50">
      <w:pPr>
        <w:pStyle w:val="Heading3"/>
      </w:pPr>
      <w:bookmarkStart w:id="19" w:name="_Toc247691505"/>
      <w:bookmarkStart w:id="20" w:name="_Toc314842486"/>
      <w:bookmarkStart w:id="21" w:name="_Toc355005420"/>
      <w:bookmarkStart w:id="22" w:name="_Toc356974699"/>
      <w:r>
        <w:t>Product Information</w:t>
      </w:r>
      <w:bookmarkEnd w:id="19"/>
      <w:bookmarkEnd w:id="20"/>
      <w:bookmarkEnd w:id="21"/>
      <w:bookmarkEnd w:id="22"/>
    </w:p>
    <w:p w:rsidR="00287F50" w:rsidRDefault="00287F50" w:rsidP="00287F50">
      <w:r>
        <w:t>The approved Product Information (PI) current at the time this AusPAR was prepared can be found as Attachment 1.</w:t>
      </w:r>
      <w:bookmarkStart w:id="23" w:name="_Toc247691506"/>
      <w:bookmarkStart w:id="24" w:name="_Toc314842487"/>
    </w:p>
    <w:p w:rsidR="00287F50" w:rsidRPr="003602A9" w:rsidRDefault="00287F50" w:rsidP="00287F50">
      <w:pPr>
        <w:pStyle w:val="Heading2"/>
        <w:ind w:left="-11"/>
      </w:pPr>
      <w:bookmarkStart w:id="25" w:name="_Toc355005421"/>
      <w:bookmarkStart w:id="26" w:name="_Toc356974700"/>
      <w:r>
        <w:t>II. Quality findings</w:t>
      </w:r>
      <w:bookmarkEnd w:id="23"/>
      <w:bookmarkEnd w:id="24"/>
      <w:bookmarkEnd w:id="25"/>
      <w:bookmarkEnd w:id="26"/>
    </w:p>
    <w:p w:rsidR="00287F50" w:rsidRDefault="00287F50" w:rsidP="00287F50">
      <w:r>
        <w:t>There was no requirement for a quality evaluation in a submission of this type.</w:t>
      </w:r>
    </w:p>
    <w:p w:rsidR="00287F50" w:rsidRDefault="00287F50" w:rsidP="00287F50">
      <w:pPr>
        <w:pStyle w:val="Heading2"/>
      </w:pPr>
      <w:bookmarkStart w:id="27" w:name="_Toc196046439"/>
      <w:bookmarkStart w:id="28" w:name="_Toc247691510"/>
      <w:bookmarkStart w:id="29" w:name="_Toc314842494"/>
      <w:bookmarkStart w:id="30" w:name="_Toc355005422"/>
      <w:bookmarkStart w:id="31" w:name="_Toc356974701"/>
      <w:r>
        <w:t>III. Nonclinical</w:t>
      </w:r>
      <w:bookmarkEnd w:id="27"/>
      <w:r>
        <w:t xml:space="preserve"> findings</w:t>
      </w:r>
      <w:bookmarkEnd w:id="28"/>
      <w:bookmarkEnd w:id="29"/>
      <w:bookmarkEnd w:id="30"/>
      <w:bookmarkEnd w:id="31"/>
    </w:p>
    <w:p w:rsidR="008E7846" w:rsidRDefault="00287F50" w:rsidP="00E26130">
      <w:r>
        <w:t>There was no requirement for a nonclinical evaluation in a submission of this type.</w:t>
      </w:r>
    </w:p>
    <w:p w:rsidR="008E7846" w:rsidRPr="00254787" w:rsidRDefault="008E7846" w:rsidP="008E7846">
      <w:pPr>
        <w:pStyle w:val="Heading2"/>
      </w:pPr>
      <w:bookmarkStart w:id="32" w:name="_Toc196046462"/>
      <w:bookmarkStart w:id="33" w:name="_Toc247691516"/>
      <w:bookmarkStart w:id="34" w:name="_Toc314842500"/>
      <w:bookmarkStart w:id="35" w:name="_Toc356974702"/>
      <w:bookmarkStart w:id="36" w:name="_Toc163441353"/>
      <w:bookmarkStart w:id="37" w:name="_Toc163441348"/>
      <w:r>
        <w:t xml:space="preserve">IV. </w:t>
      </w:r>
      <w:r w:rsidRPr="00254787">
        <w:t>Clinical</w:t>
      </w:r>
      <w:bookmarkEnd w:id="32"/>
      <w:r>
        <w:t xml:space="preserve"> </w:t>
      </w:r>
      <w:r w:rsidR="003A7F6C">
        <w:t>f</w:t>
      </w:r>
      <w:r>
        <w:t>indings</w:t>
      </w:r>
      <w:bookmarkEnd w:id="33"/>
      <w:bookmarkEnd w:id="34"/>
      <w:bookmarkEnd w:id="35"/>
    </w:p>
    <w:p w:rsidR="00C80137" w:rsidRPr="00287F50" w:rsidRDefault="00C80137" w:rsidP="008E7846">
      <w:bookmarkStart w:id="38" w:name="_Toc196046463"/>
      <w:r w:rsidRPr="00287F50">
        <w:t>A summary of the clinical findings is presented in this section. Further details of these clinical findings can be found in Attachment 2.</w:t>
      </w:r>
    </w:p>
    <w:p w:rsidR="00287F50" w:rsidRDefault="00287F50" w:rsidP="00287F50">
      <w:pPr>
        <w:pStyle w:val="Heading3"/>
      </w:pPr>
      <w:bookmarkStart w:id="39" w:name="_Toc247691517"/>
      <w:bookmarkStart w:id="40" w:name="_Toc314842501"/>
      <w:bookmarkStart w:id="41" w:name="_Toc355005424"/>
      <w:bookmarkStart w:id="42" w:name="_Toc356974703"/>
      <w:bookmarkEnd w:id="38"/>
      <w:bookmarkEnd w:id="36"/>
      <w:bookmarkEnd w:id="37"/>
      <w:r w:rsidRPr="00254787">
        <w:t>Introduction</w:t>
      </w:r>
      <w:bookmarkEnd w:id="39"/>
      <w:bookmarkEnd w:id="40"/>
      <w:bookmarkEnd w:id="41"/>
      <w:bookmarkEnd w:id="42"/>
    </w:p>
    <w:p w:rsidR="00287F50" w:rsidRDefault="00287F50" w:rsidP="00287F50">
      <w:pPr>
        <w:pStyle w:val="Heading4"/>
      </w:pPr>
      <w:bookmarkStart w:id="43" w:name="_Toc326576757"/>
      <w:bookmarkStart w:id="44" w:name="_Toc290846223"/>
      <w:bookmarkStart w:id="45" w:name="_Toc272414601"/>
      <w:r>
        <w:t>Clinical rationale</w:t>
      </w:r>
      <w:bookmarkEnd w:id="43"/>
      <w:bookmarkEnd w:id="44"/>
      <w:bookmarkEnd w:id="45"/>
      <w:r>
        <w:t xml:space="preserve"> </w:t>
      </w:r>
    </w:p>
    <w:p w:rsidR="00287F50" w:rsidRDefault="00287F50" w:rsidP="00287F50">
      <w:r>
        <w:t xml:space="preserve">Everolimus (also referred to as RAD001) exerts its immunosuppressant effect by inhibiting the proliferation of antigen-activated T-cells and </w:t>
      </w:r>
      <w:proofErr w:type="spellStart"/>
      <w:r>
        <w:t>clonal</w:t>
      </w:r>
      <w:proofErr w:type="spellEnd"/>
      <w:r>
        <w:t xml:space="preserve"> expansion driven by interleukins released from activated T-cells, which is the main mechanism underlying acute transplant rejection. Everolimus is currently approved in Australia for use in the prophylaxis of organ rejection following cardiac or renal transplantation. This application is to extend its use to the prevention of acute allograft rejection in adult patients who have received a liver transplant. </w:t>
      </w:r>
    </w:p>
    <w:p w:rsidR="00287F50" w:rsidRDefault="00287F50" w:rsidP="00287F50">
      <w:r>
        <w:t xml:space="preserve">Renal function has been cited as an important prognostic factor post liver transplant. One of the major contributors to renal impairment in liver transplant recipients is the use of </w:t>
      </w:r>
      <w:proofErr w:type="spellStart"/>
      <w:r>
        <w:t>calcineurin</w:t>
      </w:r>
      <w:proofErr w:type="spellEnd"/>
      <w:r>
        <w:t xml:space="preserve"> inhibitors (CNIs) such as cyclosporin and tacrolimus. Consequently, it is believed that reducing exposure to CNIs post transplant may improve renal function. Tacrolimus is generally the first line therapy in liver transplant due to improved results over cyclosporin on acute rejection and graft loss and survival. The sponsor proposes that treatment with everolimus may allow a reduction or elimination of tacrolimus early post transplant and may also improve progression of fibrosis in liver </w:t>
      </w:r>
      <w:proofErr w:type="spellStart"/>
      <w:r>
        <w:t>allografts</w:t>
      </w:r>
      <w:proofErr w:type="spellEnd"/>
      <w:r>
        <w:t xml:space="preserve"> in hepatitis C virus (HCV) positive patients.</w:t>
      </w:r>
    </w:p>
    <w:p w:rsidR="00287F50" w:rsidRDefault="00287F50" w:rsidP="00287F50">
      <w:pPr>
        <w:pStyle w:val="Heading5"/>
      </w:pPr>
      <w:bookmarkStart w:id="46" w:name="_Toc326576764"/>
      <w:bookmarkStart w:id="47" w:name="_Toc290846234"/>
      <w:r>
        <w:lastRenderedPageBreak/>
        <w:t>Scope of the clinical dossier</w:t>
      </w:r>
      <w:bookmarkEnd w:id="46"/>
      <w:bookmarkEnd w:id="47"/>
    </w:p>
    <w:p w:rsidR="00287F50" w:rsidRDefault="00287F50" w:rsidP="00287F50">
      <w:r>
        <w:t>The submission’s clinical information was divided in three sections by therapeutic area outlined below.</w:t>
      </w:r>
    </w:p>
    <w:p w:rsidR="00287F50" w:rsidRDefault="00287F50" w:rsidP="009D04BB">
      <w:pPr>
        <w:pStyle w:val="ListBullet"/>
        <w:keepNext/>
        <w:ind w:left="357" w:hanging="357"/>
      </w:pPr>
      <w:r>
        <w:t>Cardiac</w:t>
      </w:r>
    </w:p>
    <w:p w:rsidR="00287F50" w:rsidRDefault="00287F50" w:rsidP="00EF789F">
      <w:pPr>
        <w:pStyle w:val="ListBullet2"/>
      </w:pPr>
      <w:r>
        <w:t>One efficacy/safety study (Study A2310) and literature references.</w:t>
      </w:r>
    </w:p>
    <w:p w:rsidR="00287F50" w:rsidRDefault="00287F50" w:rsidP="00EF789F">
      <w:pPr>
        <w:pStyle w:val="ListBullet"/>
      </w:pPr>
      <w:r>
        <w:t>Hepatic</w:t>
      </w:r>
    </w:p>
    <w:p w:rsidR="00287F50" w:rsidRDefault="00287F50" w:rsidP="00A725C6">
      <w:pPr>
        <w:pStyle w:val="ListBullet2"/>
      </w:pPr>
      <w:r>
        <w:t>Two PK studies (Studies X2102 and X2103).</w:t>
      </w:r>
    </w:p>
    <w:p w:rsidR="00287F50" w:rsidRDefault="00287F50" w:rsidP="00A725C6">
      <w:pPr>
        <w:pStyle w:val="ListBullet2"/>
      </w:pPr>
      <w:r>
        <w:t>One pivotal efficacy/safety study in hepatic transplant (H2304) and a report on exploratory modelling of exposure-infection.</w:t>
      </w:r>
    </w:p>
    <w:p w:rsidR="00287F50" w:rsidRDefault="00287F50" w:rsidP="00A725C6">
      <w:pPr>
        <w:pStyle w:val="ListBullet2"/>
      </w:pPr>
      <w:r>
        <w:t xml:space="preserve"> One dose-finding study (B158) with its extensions (B158E1 and B158E2) and associated PK report.</w:t>
      </w:r>
    </w:p>
    <w:p w:rsidR="00287F50" w:rsidRDefault="00287F50" w:rsidP="00A725C6">
      <w:pPr>
        <w:pStyle w:val="ListBullet2"/>
      </w:pPr>
      <w:r>
        <w:t xml:space="preserve">Two other efficacy/safety studies (HDE10, H2401 with 6 and 12 month reports) </w:t>
      </w:r>
    </w:p>
    <w:p w:rsidR="00287F50" w:rsidRDefault="00287F50" w:rsidP="00A725C6">
      <w:pPr>
        <w:pStyle w:val="ListBullet2"/>
      </w:pPr>
      <w:r>
        <w:t>A preliminary safety report for study H2301.</w:t>
      </w:r>
    </w:p>
    <w:p w:rsidR="00287F50" w:rsidRDefault="00287F50" w:rsidP="00A725C6">
      <w:pPr>
        <w:pStyle w:val="ListBullet2"/>
      </w:pPr>
      <w:r>
        <w:t xml:space="preserve">Appendices for the sponsor’s </w:t>
      </w:r>
      <w:r w:rsidRPr="00812578">
        <w:rPr>
          <w:i/>
        </w:rPr>
        <w:t>Summary of Clinical Efficacy</w:t>
      </w:r>
      <w:r>
        <w:t xml:space="preserve"> and </w:t>
      </w:r>
      <w:r w:rsidRPr="00812578">
        <w:rPr>
          <w:i/>
        </w:rPr>
        <w:t>Summary of Clinical Safety</w:t>
      </w:r>
      <w:r w:rsidRPr="00812578">
        <w:t>,</w:t>
      </w:r>
      <w:r>
        <w:t xml:space="preserve"> and literature references.</w:t>
      </w:r>
    </w:p>
    <w:p w:rsidR="00287F50" w:rsidRDefault="00287F50" w:rsidP="00A725C6">
      <w:pPr>
        <w:pStyle w:val="ListBullet2"/>
      </w:pPr>
      <w:r>
        <w:t>Post-marketing data including a bridging Periodic Safety Update Report (PSUR) and a PSUR addendum report.</w:t>
      </w:r>
    </w:p>
    <w:p w:rsidR="00287F50" w:rsidRDefault="00287F50" w:rsidP="00EF789F">
      <w:pPr>
        <w:pStyle w:val="ListBullet"/>
      </w:pPr>
      <w:r>
        <w:t>Renal</w:t>
      </w:r>
    </w:p>
    <w:p w:rsidR="00287F50" w:rsidRDefault="00287F50" w:rsidP="00A725C6">
      <w:pPr>
        <w:pStyle w:val="ListBullet2"/>
      </w:pPr>
      <w:r>
        <w:t>One efficacy/safety study (A2309).</w:t>
      </w:r>
    </w:p>
    <w:p w:rsidR="00287F50" w:rsidRDefault="00287F50" w:rsidP="00A725C6">
      <w:pPr>
        <w:pStyle w:val="ListBullet2"/>
      </w:pPr>
      <w:r>
        <w:t xml:space="preserve">A comparative safety update for Studies B251, B201 and A2309 in renal transplantation, data listings for appendix 3 of the sponsor’s </w:t>
      </w:r>
      <w:r w:rsidRPr="00812578">
        <w:rPr>
          <w:i/>
        </w:rPr>
        <w:t>Summary of Clinical Safety</w:t>
      </w:r>
      <w:r>
        <w:t xml:space="preserve"> and literature references.</w:t>
      </w:r>
    </w:p>
    <w:p w:rsidR="00287F50" w:rsidRDefault="00287F50" w:rsidP="00287F50">
      <w:pPr>
        <w:pStyle w:val="Heading5"/>
        <w:rPr>
          <w:szCs w:val="20"/>
        </w:rPr>
      </w:pPr>
      <w:bookmarkStart w:id="48" w:name="_Toc326576765"/>
      <w:bookmarkStart w:id="49" w:name="_Toc290846235"/>
      <w:r>
        <w:t>Paediatric data</w:t>
      </w:r>
      <w:bookmarkEnd w:id="48"/>
      <w:bookmarkEnd w:id="49"/>
    </w:p>
    <w:p w:rsidR="00287F50" w:rsidRDefault="00287F50" w:rsidP="00287F50">
      <w:r>
        <w:t xml:space="preserve">The submission did not include paediatric data. </w:t>
      </w:r>
    </w:p>
    <w:p w:rsidR="00287F50" w:rsidRDefault="00287F50" w:rsidP="00287F50">
      <w:pPr>
        <w:pStyle w:val="Heading5"/>
        <w:rPr>
          <w:szCs w:val="20"/>
        </w:rPr>
      </w:pPr>
      <w:bookmarkStart w:id="50" w:name="_Toc326576766"/>
      <w:bookmarkStart w:id="51" w:name="_Toc290846236"/>
      <w:bookmarkStart w:id="52" w:name="_Toc272414612"/>
      <w:r>
        <w:t>Good clinical practice</w:t>
      </w:r>
      <w:bookmarkEnd w:id="50"/>
      <w:bookmarkEnd w:id="51"/>
      <w:bookmarkEnd w:id="52"/>
    </w:p>
    <w:p w:rsidR="00287F50" w:rsidRDefault="00287F50" w:rsidP="00287F50">
      <w:bookmarkStart w:id="53" w:name="_Toc241374282"/>
      <w:r>
        <w:t xml:space="preserve">The sponsor provided a statement in the </w:t>
      </w:r>
      <w:r w:rsidRPr="00DD0047">
        <w:rPr>
          <w:i/>
        </w:rPr>
        <w:t>Clinical Overview</w:t>
      </w:r>
      <w:r>
        <w:t xml:space="preserve"> that all studies were conducted in compliance with Good Clinical Practice.</w:t>
      </w:r>
      <w:bookmarkEnd w:id="53"/>
    </w:p>
    <w:p w:rsidR="00287F50" w:rsidRPr="00254787" w:rsidRDefault="00287F50" w:rsidP="00287F50">
      <w:pPr>
        <w:pStyle w:val="Heading3"/>
      </w:pPr>
      <w:bookmarkStart w:id="54" w:name="_Toc196046464"/>
      <w:bookmarkStart w:id="55" w:name="_Toc247691518"/>
      <w:bookmarkStart w:id="56" w:name="_Toc314842502"/>
      <w:bookmarkStart w:id="57" w:name="_Toc355005425"/>
      <w:bookmarkStart w:id="58" w:name="_Toc356974704"/>
      <w:r w:rsidRPr="00254787">
        <w:t>Pharmacokinetics</w:t>
      </w:r>
      <w:bookmarkEnd w:id="54"/>
      <w:bookmarkEnd w:id="55"/>
      <w:bookmarkEnd w:id="56"/>
      <w:bookmarkEnd w:id="57"/>
      <w:bookmarkEnd w:id="58"/>
    </w:p>
    <w:p w:rsidR="00287F50" w:rsidRPr="0020620C" w:rsidRDefault="00287F50" w:rsidP="00287F50">
      <w:pPr>
        <w:pStyle w:val="Heading4"/>
      </w:pPr>
      <w:bookmarkStart w:id="59" w:name="_Ref271018934"/>
      <w:bookmarkStart w:id="60" w:name="_Ref271018924"/>
      <w:bookmarkStart w:id="61" w:name="_Ref271017296"/>
      <w:bookmarkStart w:id="62" w:name="_Toc326576768"/>
      <w:bookmarkStart w:id="63" w:name="_Toc290846238"/>
      <w:bookmarkStart w:id="64" w:name="_Toc272414614"/>
      <w:r w:rsidRPr="0020620C">
        <w:t>Studies</w:t>
      </w:r>
      <w:bookmarkEnd w:id="59"/>
      <w:bookmarkEnd w:id="60"/>
      <w:bookmarkEnd w:id="61"/>
      <w:r w:rsidRPr="0020620C">
        <w:t xml:space="preserve"> providing pharmacokinetic</w:t>
      </w:r>
      <w:r w:rsidR="009D04BB">
        <w:t xml:space="preserve"> </w:t>
      </w:r>
      <w:r w:rsidRPr="0020620C">
        <w:t>data</w:t>
      </w:r>
      <w:bookmarkEnd w:id="62"/>
      <w:bookmarkEnd w:id="63"/>
      <w:bookmarkEnd w:id="64"/>
    </w:p>
    <w:p w:rsidR="00287F50" w:rsidRPr="0020620C" w:rsidRDefault="00287F50" w:rsidP="00287F50">
      <w:r w:rsidRPr="0020620C">
        <w:t xml:space="preserve">Table </w:t>
      </w:r>
      <w:r>
        <w:t xml:space="preserve">1 </w:t>
      </w:r>
      <w:r w:rsidRPr="0020620C">
        <w:t xml:space="preserve">shows the studies relating to each </w:t>
      </w:r>
      <w:r>
        <w:t xml:space="preserve">PK </w:t>
      </w:r>
      <w:r w:rsidRPr="0020620C">
        <w:t xml:space="preserve">topic. None of the </w:t>
      </w:r>
      <w:r>
        <w:t xml:space="preserve">PK </w:t>
      </w:r>
      <w:r w:rsidRPr="0020620C">
        <w:t>studies had deficiencies that excluded their results from consideration.</w:t>
      </w:r>
    </w:p>
    <w:p w:rsidR="00287F50" w:rsidRPr="0020620C" w:rsidRDefault="00287F50" w:rsidP="00B37398">
      <w:pPr>
        <w:pStyle w:val="TableTitle"/>
      </w:pPr>
      <w:bookmarkStart w:id="65" w:name="_Ref272426277"/>
      <w:bookmarkStart w:id="66" w:name="_Toc326576908"/>
      <w:bookmarkStart w:id="67" w:name="_Toc325660228"/>
      <w:r w:rsidRPr="0020620C">
        <w:t xml:space="preserve">Table </w:t>
      </w:r>
      <w:bookmarkEnd w:id="65"/>
      <w:r>
        <w:t>1</w:t>
      </w:r>
      <w:r w:rsidRPr="0020620C">
        <w:t>. Submitted pharmacokinetic studies</w:t>
      </w:r>
      <w:bookmarkEnd w:id="66"/>
      <w:bookmarkEnd w:id="67"/>
    </w:p>
    <w:tbl>
      <w:tblPr>
        <w:tblStyle w:val="TableTGAblue"/>
        <w:tblW w:w="9039" w:type="dxa"/>
        <w:tblLook w:val="04A0"/>
      </w:tblPr>
      <w:tblGrid>
        <w:gridCol w:w="3085"/>
        <w:gridCol w:w="4536"/>
        <w:gridCol w:w="1418"/>
      </w:tblGrid>
      <w:tr w:rsidR="00287F50" w:rsidRPr="00FF32E0" w:rsidTr="00E33F2F">
        <w:trPr>
          <w:cnfStyle w:val="100000000000"/>
          <w:cantSplit/>
          <w:tblHeader/>
        </w:trPr>
        <w:tc>
          <w:tcPr>
            <w:tcW w:w="3085" w:type="dxa"/>
          </w:tcPr>
          <w:p w:rsidR="00287F50" w:rsidRPr="00FF32E0" w:rsidRDefault="00287F50" w:rsidP="009D04BB">
            <w:r w:rsidRPr="00FF32E0">
              <w:t>PK topic</w:t>
            </w:r>
          </w:p>
        </w:tc>
        <w:tc>
          <w:tcPr>
            <w:tcW w:w="4536" w:type="dxa"/>
            <w:hideMark/>
          </w:tcPr>
          <w:p w:rsidR="00287F50" w:rsidRPr="00FF32E0" w:rsidRDefault="00287F50" w:rsidP="009D04BB">
            <w:r w:rsidRPr="00FF32E0">
              <w:t>Subtopic</w:t>
            </w:r>
          </w:p>
        </w:tc>
        <w:tc>
          <w:tcPr>
            <w:tcW w:w="1418" w:type="dxa"/>
            <w:hideMark/>
          </w:tcPr>
          <w:p w:rsidR="00287F50" w:rsidRPr="00FF32E0" w:rsidRDefault="00287F50" w:rsidP="009D04BB">
            <w:r w:rsidRPr="00FF32E0">
              <w:t>Study ID</w:t>
            </w:r>
          </w:p>
        </w:tc>
      </w:tr>
      <w:tr w:rsidR="00287F50" w:rsidRPr="00FF32E0" w:rsidTr="00E33F2F">
        <w:tc>
          <w:tcPr>
            <w:tcW w:w="3085" w:type="dxa"/>
            <w:hideMark/>
          </w:tcPr>
          <w:p w:rsidR="00287F50" w:rsidRPr="00FF32E0" w:rsidRDefault="00287F50" w:rsidP="009D04BB">
            <w:r w:rsidRPr="00FF32E0">
              <w:t>PK in healthy adults</w:t>
            </w:r>
          </w:p>
        </w:tc>
        <w:tc>
          <w:tcPr>
            <w:tcW w:w="4536" w:type="dxa"/>
            <w:hideMark/>
          </w:tcPr>
          <w:p w:rsidR="00287F50" w:rsidRPr="00FF32E0" w:rsidRDefault="00287F50" w:rsidP="009D04BB">
            <w:r w:rsidRPr="00FF32E0">
              <w:t>-</w:t>
            </w:r>
          </w:p>
        </w:tc>
        <w:tc>
          <w:tcPr>
            <w:tcW w:w="1418" w:type="dxa"/>
            <w:hideMark/>
          </w:tcPr>
          <w:p w:rsidR="00287F50" w:rsidRPr="00FF32E0" w:rsidRDefault="00287F50" w:rsidP="009D04BB">
            <w:r w:rsidRPr="00FF32E0">
              <w:t>-</w:t>
            </w:r>
          </w:p>
        </w:tc>
      </w:tr>
      <w:tr w:rsidR="00287F50" w:rsidRPr="00FF32E0" w:rsidTr="00E33F2F">
        <w:tc>
          <w:tcPr>
            <w:tcW w:w="3085" w:type="dxa"/>
            <w:hideMark/>
          </w:tcPr>
          <w:p w:rsidR="00287F50" w:rsidRPr="00FF32E0" w:rsidRDefault="00287F50" w:rsidP="009D04BB">
            <w:r w:rsidRPr="00FF32E0">
              <w:t>PK in special populations</w:t>
            </w:r>
          </w:p>
        </w:tc>
        <w:tc>
          <w:tcPr>
            <w:tcW w:w="4536" w:type="dxa"/>
            <w:hideMark/>
          </w:tcPr>
          <w:p w:rsidR="00287F50" w:rsidRPr="00FF32E0" w:rsidRDefault="00287F50" w:rsidP="009D04BB">
            <w:r w:rsidRPr="00FF32E0">
              <w:t>TARGET POPULATION§ Hepatic transplantation</w:t>
            </w:r>
          </w:p>
        </w:tc>
        <w:tc>
          <w:tcPr>
            <w:tcW w:w="1418" w:type="dxa"/>
            <w:hideMark/>
          </w:tcPr>
          <w:p w:rsidR="00287F50" w:rsidRPr="00FF32E0" w:rsidRDefault="00287F50" w:rsidP="009D04BB">
            <w:r w:rsidRPr="00FF32E0">
              <w:t>B158</w:t>
            </w:r>
          </w:p>
          <w:p w:rsidR="00287F50" w:rsidRPr="00FF32E0" w:rsidRDefault="00287F50" w:rsidP="009D04BB">
            <w:r w:rsidRPr="00FF32E0">
              <w:t>H2304</w:t>
            </w:r>
          </w:p>
        </w:tc>
      </w:tr>
      <w:tr w:rsidR="00287F50" w:rsidRPr="00FF32E0" w:rsidTr="00E33F2F">
        <w:tc>
          <w:tcPr>
            <w:tcW w:w="3085" w:type="dxa"/>
            <w:hideMark/>
          </w:tcPr>
          <w:p w:rsidR="00287F50" w:rsidRPr="00FF32E0" w:rsidRDefault="00287F50" w:rsidP="009D04BB">
            <w:r w:rsidRPr="00FF32E0">
              <w:t>PK in special populations</w:t>
            </w:r>
          </w:p>
        </w:tc>
        <w:tc>
          <w:tcPr>
            <w:tcW w:w="4536" w:type="dxa"/>
            <w:hideMark/>
          </w:tcPr>
          <w:p w:rsidR="00287F50" w:rsidRPr="00FF32E0" w:rsidRDefault="00287F50" w:rsidP="009D04BB">
            <w:r w:rsidRPr="00FF32E0">
              <w:t>Hepatic Impairment</w:t>
            </w:r>
          </w:p>
        </w:tc>
        <w:tc>
          <w:tcPr>
            <w:tcW w:w="1418" w:type="dxa"/>
            <w:hideMark/>
          </w:tcPr>
          <w:p w:rsidR="00287F50" w:rsidRPr="00FF32E0" w:rsidRDefault="00287F50" w:rsidP="009D04BB">
            <w:r w:rsidRPr="00FF32E0">
              <w:t>X2102</w:t>
            </w:r>
          </w:p>
        </w:tc>
      </w:tr>
      <w:tr w:rsidR="00287F50" w:rsidRPr="00FF32E0" w:rsidTr="00E33F2F">
        <w:tc>
          <w:tcPr>
            <w:tcW w:w="3085" w:type="dxa"/>
            <w:hideMark/>
          </w:tcPr>
          <w:p w:rsidR="00287F50" w:rsidRPr="00FF32E0" w:rsidRDefault="00287F50" w:rsidP="009D04BB">
            <w:r w:rsidRPr="00FF32E0">
              <w:lastRenderedPageBreak/>
              <w:t>Gender/Genetic-related PK</w:t>
            </w:r>
          </w:p>
        </w:tc>
        <w:tc>
          <w:tcPr>
            <w:tcW w:w="4536" w:type="dxa"/>
            <w:hideMark/>
          </w:tcPr>
          <w:p w:rsidR="00287F50" w:rsidRPr="00FF32E0" w:rsidRDefault="00287F50" w:rsidP="009D04BB">
            <w:r w:rsidRPr="00FF32E0">
              <w:t>-</w:t>
            </w:r>
          </w:p>
        </w:tc>
        <w:tc>
          <w:tcPr>
            <w:tcW w:w="1418" w:type="dxa"/>
            <w:hideMark/>
          </w:tcPr>
          <w:p w:rsidR="00287F50" w:rsidRPr="00FF32E0" w:rsidRDefault="00287F50" w:rsidP="009D04BB">
            <w:r w:rsidRPr="00FF32E0">
              <w:t>-</w:t>
            </w:r>
          </w:p>
        </w:tc>
      </w:tr>
      <w:tr w:rsidR="00287F50" w:rsidRPr="00FF32E0" w:rsidTr="00E33F2F">
        <w:tc>
          <w:tcPr>
            <w:tcW w:w="3085" w:type="dxa"/>
            <w:hideMark/>
          </w:tcPr>
          <w:p w:rsidR="00287F50" w:rsidRPr="00FF32E0" w:rsidRDefault="00287F50" w:rsidP="009D04BB">
            <w:r w:rsidRPr="00FF32E0">
              <w:t>PK interactions</w:t>
            </w:r>
          </w:p>
        </w:tc>
        <w:tc>
          <w:tcPr>
            <w:tcW w:w="4536" w:type="dxa"/>
            <w:hideMark/>
          </w:tcPr>
          <w:p w:rsidR="00287F50" w:rsidRPr="00FF32E0" w:rsidRDefault="00287F50" w:rsidP="009D04BB">
            <w:proofErr w:type="spellStart"/>
            <w:r w:rsidRPr="00FF32E0">
              <w:t>Midazolam</w:t>
            </w:r>
            <w:proofErr w:type="spellEnd"/>
          </w:p>
        </w:tc>
        <w:tc>
          <w:tcPr>
            <w:tcW w:w="1418" w:type="dxa"/>
            <w:hideMark/>
          </w:tcPr>
          <w:p w:rsidR="00287F50" w:rsidRPr="00FF32E0" w:rsidRDefault="00287F50" w:rsidP="009D04BB">
            <w:r w:rsidRPr="00FF32E0">
              <w:t>X2103</w:t>
            </w:r>
          </w:p>
        </w:tc>
      </w:tr>
      <w:tr w:rsidR="00287F50" w:rsidRPr="00FF32E0" w:rsidTr="00E33F2F">
        <w:tc>
          <w:tcPr>
            <w:tcW w:w="3085" w:type="dxa"/>
          </w:tcPr>
          <w:p w:rsidR="00287F50" w:rsidRPr="00FF32E0" w:rsidRDefault="00287F50" w:rsidP="009D04BB"/>
        </w:tc>
        <w:tc>
          <w:tcPr>
            <w:tcW w:w="4536" w:type="dxa"/>
            <w:hideMark/>
          </w:tcPr>
          <w:p w:rsidR="00287F50" w:rsidRPr="00FF32E0" w:rsidRDefault="00287F50" w:rsidP="009D04BB">
            <w:r w:rsidRPr="00FF32E0">
              <w:t>Cyclosporin</w:t>
            </w:r>
          </w:p>
        </w:tc>
        <w:tc>
          <w:tcPr>
            <w:tcW w:w="1418" w:type="dxa"/>
            <w:hideMark/>
          </w:tcPr>
          <w:p w:rsidR="00287F50" w:rsidRPr="00FF32E0" w:rsidRDefault="00287F50" w:rsidP="009D04BB">
            <w:r w:rsidRPr="00FF32E0">
              <w:t>B158</w:t>
            </w:r>
          </w:p>
        </w:tc>
      </w:tr>
      <w:tr w:rsidR="00287F50" w:rsidRPr="00FF32E0" w:rsidTr="00E33F2F">
        <w:tc>
          <w:tcPr>
            <w:tcW w:w="3085" w:type="dxa"/>
          </w:tcPr>
          <w:p w:rsidR="00287F50" w:rsidRPr="00FF32E0" w:rsidRDefault="00287F50" w:rsidP="009D04BB"/>
        </w:tc>
        <w:tc>
          <w:tcPr>
            <w:tcW w:w="4536" w:type="dxa"/>
            <w:hideMark/>
          </w:tcPr>
          <w:p w:rsidR="00287F50" w:rsidRPr="00FF32E0" w:rsidRDefault="00287F50" w:rsidP="009D04BB">
            <w:r w:rsidRPr="00FF32E0">
              <w:t>Tacrolimus</w:t>
            </w:r>
          </w:p>
        </w:tc>
        <w:tc>
          <w:tcPr>
            <w:tcW w:w="1418" w:type="dxa"/>
            <w:hideMark/>
          </w:tcPr>
          <w:p w:rsidR="00287F50" w:rsidRPr="00FF32E0" w:rsidRDefault="00287F50" w:rsidP="009D04BB">
            <w:r w:rsidRPr="00FF32E0">
              <w:t>H2304</w:t>
            </w:r>
          </w:p>
        </w:tc>
      </w:tr>
      <w:tr w:rsidR="00287F50" w:rsidRPr="00FF32E0" w:rsidTr="00E33F2F">
        <w:tc>
          <w:tcPr>
            <w:tcW w:w="3085" w:type="dxa"/>
            <w:hideMark/>
          </w:tcPr>
          <w:p w:rsidR="00287F50" w:rsidRPr="00FF32E0" w:rsidRDefault="00287F50" w:rsidP="009D04BB">
            <w:r w:rsidRPr="00FF32E0">
              <w:t>Population PK</w:t>
            </w:r>
          </w:p>
        </w:tc>
        <w:tc>
          <w:tcPr>
            <w:tcW w:w="4536" w:type="dxa"/>
            <w:hideMark/>
          </w:tcPr>
          <w:p w:rsidR="00287F50" w:rsidRPr="00FF32E0" w:rsidRDefault="00287F50" w:rsidP="009D04BB">
            <w:r w:rsidRPr="00FF32E0">
              <w:t>-</w:t>
            </w:r>
          </w:p>
        </w:tc>
        <w:tc>
          <w:tcPr>
            <w:tcW w:w="1418" w:type="dxa"/>
            <w:hideMark/>
          </w:tcPr>
          <w:p w:rsidR="00287F50" w:rsidRPr="00FF32E0" w:rsidRDefault="00287F50" w:rsidP="009D04BB">
            <w:r w:rsidRPr="00FF32E0">
              <w:t>-</w:t>
            </w:r>
          </w:p>
        </w:tc>
      </w:tr>
    </w:tbl>
    <w:p w:rsidR="00D62872" w:rsidRPr="00EF789F" w:rsidRDefault="00287F50" w:rsidP="00EF789F">
      <w:pPr>
        <w:pStyle w:val="TableDescription"/>
      </w:pPr>
      <w:r w:rsidRPr="0020620C">
        <w:t>§ Subjects who would be eligible to receive the drug if approved for the proposed indication.</w:t>
      </w:r>
    </w:p>
    <w:p w:rsidR="00287F50" w:rsidRPr="0020620C" w:rsidRDefault="00287F50" w:rsidP="00A30739">
      <w:pPr>
        <w:pStyle w:val="Heading4"/>
      </w:pPr>
      <w:bookmarkStart w:id="68" w:name="_Toc326576775"/>
      <w:bookmarkStart w:id="69" w:name="_Toc290846258"/>
      <w:bookmarkStart w:id="70" w:name="_Toc272414635"/>
      <w:bookmarkStart w:id="71" w:name="_Ref271018755"/>
      <w:bookmarkStart w:id="72" w:name="_Ref271018704"/>
      <w:bookmarkStart w:id="73" w:name="_Ref269982040"/>
      <w:bookmarkStart w:id="74" w:name="_Toc241374296"/>
      <w:r w:rsidRPr="0020620C">
        <w:t>Evaluator’s overall conclusions on pharmacokinetics</w:t>
      </w:r>
      <w:bookmarkEnd w:id="68"/>
      <w:bookmarkEnd w:id="69"/>
      <w:bookmarkEnd w:id="70"/>
      <w:bookmarkEnd w:id="71"/>
      <w:bookmarkEnd w:id="72"/>
      <w:bookmarkEnd w:id="73"/>
      <w:bookmarkEnd w:id="74"/>
    </w:p>
    <w:p w:rsidR="00287F50" w:rsidRPr="0020620C" w:rsidRDefault="00287F50" w:rsidP="00A30739">
      <w:r w:rsidRPr="0020620C">
        <w:t xml:space="preserve">The dossier included PK studies in hepatic impairment and a drug interaction study with </w:t>
      </w:r>
      <w:proofErr w:type="spellStart"/>
      <w:r w:rsidRPr="0020620C">
        <w:t>midazolam</w:t>
      </w:r>
      <w:proofErr w:type="spellEnd"/>
      <w:r w:rsidRPr="0020620C">
        <w:t xml:space="preserve">. There were also some PK data from two studies in the target population of hepatic transplantation. The sponsor only proposes alterations to the </w:t>
      </w:r>
      <w:r>
        <w:t xml:space="preserve">PK </w:t>
      </w:r>
      <w:r w:rsidRPr="0020620C">
        <w:t xml:space="preserve">sections of the PI in relation to PK in hepatic impairment and the drug interaction with </w:t>
      </w:r>
      <w:proofErr w:type="spellStart"/>
      <w:r w:rsidRPr="0020620C">
        <w:t>midazolam</w:t>
      </w:r>
      <w:proofErr w:type="spellEnd"/>
      <w:r w:rsidRPr="0020620C">
        <w:t>.</w:t>
      </w:r>
    </w:p>
    <w:p w:rsidR="00287F50" w:rsidRPr="0020620C" w:rsidRDefault="00287F50" w:rsidP="00287F50">
      <w:r>
        <w:t xml:space="preserve">In the dose </w:t>
      </w:r>
      <w:r w:rsidRPr="0020620C">
        <w:t xml:space="preserve">finding </w:t>
      </w:r>
      <w:r>
        <w:t>S</w:t>
      </w:r>
      <w:r w:rsidRPr="0020620C">
        <w:t>tudy B158, the PK of everolimus was assessed whe</w:t>
      </w:r>
      <w:r>
        <w:t>n administered with cyclosporin</w:t>
      </w:r>
      <w:r w:rsidRPr="0020620C">
        <w:t xml:space="preserve"> and prednisolone in </w:t>
      </w:r>
      <w:r w:rsidRPr="006850A2">
        <w:rPr>
          <w:i/>
        </w:rPr>
        <w:t>de novo</w:t>
      </w:r>
      <w:r w:rsidRPr="0020620C">
        <w:t xml:space="preserve"> hepatic transplant patients. This found that trough everolimus concentrations were correlated with </w:t>
      </w:r>
      <w:r>
        <w:t>area under the concentration-time curve (AUC) over the dose interval (tau) at steady state (SS) (</w:t>
      </w:r>
      <w:proofErr w:type="spellStart"/>
      <w:r w:rsidRPr="0020620C">
        <w:t>AUC</w:t>
      </w:r>
      <w:r w:rsidRPr="00FC45ED">
        <w:rPr>
          <w:vertAlign w:val="subscript"/>
        </w:rPr>
        <w:t>tau,ss</w:t>
      </w:r>
      <w:proofErr w:type="spellEnd"/>
      <w:r>
        <w:t>)</w:t>
      </w:r>
      <w:r w:rsidRPr="0020620C">
        <w:t xml:space="preserve"> and so supports use of trough levels for therapeutic drug monitoring. A doubling of the dose resulted in a 1.8 fold increase in AUC</w:t>
      </w:r>
      <w:r>
        <w:t>,</w:t>
      </w:r>
      <w:r w:rsidRPr="0020620C">
        <w:t xml:space="preserve"> indicating some under proportionality. There was also a notable level of intra and inter subject variability for AUC (approximately 30% for both).</w:t>
      </w:r>
    </w:p>
    <w:p w:rsidR="00287F50" w:rsidRPr="00FC45ED" w:rsidRDefault="00287F50" w:rsidP="00287F50">
      <w:r w:rsidRPr="00FC45ED">
        <w:t xml:space="preserve">In the pivotal Phase III hepatic transplantation </w:t>
      </w:r>
      <w:r>
        <w:t>s</w:t>
      </w:r>
      <w:r w:rsidRPr="00FC45ED">
        <w:t xml:space="preserve">tudy </w:t>
      </w:r>
      <w:r>
        <w:t xml:space="preserve">(Study </w:t>
      </w:r>
      <w:r w:rsidRPr="00FC45ED">
        <w:t>H2304</w:t>
      </w:r>
      <w:r>
        <w:t>)</w:t>
      </w:r>
      <w:r w:rsidRPr="00FC45ED">
        <w:t xml:space="preserve">, a commencing everolimus dose of 1 mg twice daily (bid) (2 mg/day) was given with tacrolimus and resulted in a mean </w:t>
      </w:r>
      <w:r>
        <w:t xml:space="preserve">everolimus </w:t>
      </w:r>
      <w:r w:rsidRPr="00FC45ED">
        <w:t xml:space="preserve">trough level of 3.4 </w:t>
      </w:r>
      <w:proofErr w:type="spellStart"/>
      <w:r w:rsidRPr="00FC45ED">
        <w:t>ng</w:t>
      </w:r>
      <w:proofErr w:type="spellEnd"/>
      <w:r w:rsidRPr="00FC45ED">
        <w:t>/</w:t>
      </w:r>
      <w:proofErr w:type="spellStart"/>
      <w:r w:rsidRPr="00FC45ED">
        <w:t>mL</w:t>
      </w:r>
      <w:proofErr w:type="spellEnd"/>
      <w:r w:rsidRPr="00FC45ED">
        <w:t xml:space="preserve"> after one week, with 45% of samples in the target range (3-8 </w:t>
      </w:r>
      <w:proofErr w:type="spellStart"/>
      <w:r w:rsidRPr="00FC45ED">
        <w:t>ng</w:t>
      </w:r>
      <w:proofErr w:type="spellEnd"/>
      <w:r w:rsidRPr="00FC45ED">
        <w:t>/</w:t>
      </w:r>
      <w:proofErr w:type="spellStart"/>
      <w:r w:rsidRPr="00FC45ED">
        <w:t>mL</w:t>
      </w:r>
      <w:proofErr w:type="spellEnd"/>
      <w:r w:rsidRPr="00FC45ED">
        <w:t xml:space="preserve">). Consequently, the dose needed to be up titrated by 62% (average 1.73 mg bid) in the first month to reach target levels. </w:t>
      </w:r>
    </w:p>
    <w:p w:rsidR="00287F50" w:rsidRPr="00FC45ED" w:rsidRDefault="00287F50" w:rsidP="00287F50">
      <w:r w:rsidRPr="00FC45ED">
        <w:t xml:space="preserve">A starting dose of </w:t>
      </w:r>
      <w:r>
        <w:t xml:space="preserve">everolimus </w:t>
      </w:r>
      <w:r w:rsidRPr="00FC45ED">
        <w:t xml:space="preserve">1 mg bid with concomitant </w:t>
      </w:r>
      <w:r>
        <w:t>tacrolimus compares to the 0.75 </w:t>
      </w:r>
      <w:r w:rsidRPr="00FC45ED">
        <w:t>mg bid commencing dose with concomitant cyclosporin due to the ability of cyclosporin to increase everolimus exposure 2 to 3 fold.</w:t>
      </w:r>
    </w:p>
    <w:p w:rsidR="00287F50" w:rsidRPr="006850A2" w:rsidRDefault="00287F50" w:rsidP="00287F50">
      <w:r w:rsidRPr="0020620C">
        <w:t>The administration of everolimus in subjects with hepatic impairment (</w:t>
      </w:r>
      <w:r>
        <w:t xml:space="preserve">Study </w:t>
      </w:r>
      <w:r w:rsidRPr="0020620C">
        <w:t>X2102) resulted in a significant increase in exposure. In subjects with mild hepatic impairment the mean AUC</w:t>
      </w:r>
      <w:r>
        <w:t xml:space="preserve"> extrapolated to infinity (AUC</w:t>
      </w:r>
      <w:r w:rsidRPr="006850A2">
        <w:rPr>
          <w:vertAlign w:val="subscript"/>
        </w:rPr>
        <w:t>0-inf</w:t>
      </w:r>
      <w:r w:rsidRPr="0020620C">
        <w:t xml:space="preserve">) of </w:t>
      </w:r>
      <w:r>
        <w:t xml:space="preserve">everolimus was increased by 1.6 </w:t>
      </w:r>
      <w:r w:rsidRPr="0020620C">
        <w:t>fold</w:t>
      </w:r>
      <w:r>
        <w:t>,</w:t>
      </w:r>
      <w:r w:rsidRPr="0020620C">
        <w:t xml:space="preserve"> and in subjects with moderate and severe hepatic impairment the mean AUC</w:t>
      </w:r>
      <w:r w:rsidRPr="006850A2">
        <w:rPr>
          <w:vertAlign w:val="subscript"/>
        </w:rPr>
        <w:t>0-inf</w:t>
      </w:r>
      <w:r w:rsidRPr="0020620C">
        <w:t xml:space="preserve"> increased by 3.2 fold and 3.6 fold, respectively. There was a positive correlation between everolimus </w:t>
      </w:r>
      <w:r w:rsidRPr="006850A2">
        <w:t xml:space="preserve">exposure and bilirubin and </w:t>
      </w:r>
      <w:r>
        <w:t>International N</w:t>
      </w:r>
      <w:r w:rsidRPr="006850A2">
        <w:t xml:space="preserve">ormalisation </w:t>
      </w:r>
      <w:r>
        <w:t>R</w:t>
      </w:r>
      <w:r w:rsidRPr="006850A2">
        <w:t xml:space="preserve">atio </w:t>
      </w:r>
      <w:r>
        <w:t>(</w:t>
      </w:r>
      <w:r w:rsidRPr="006850A2">
        <w:t>INR</w:t>
      </w:r>
      <w:r>
        <w:t>, a measure of blood coagulation time)</w:t>
      </w:r>
      <w:r w:rsidRPr="006850A2">
        <w:t xml:space="preserve"> and a negative correlation with albumin, although the relationships were not strong.</w:t>
      </w:r>
    </w:p>
    <w:p w:rsidR="00287F50" w:rsidRPr="0020620C" w:rsidRDefault="00287F50" w:rsidP="00287F50">
      <w:r w:rsidRPr="0020620C">
        <w:t xml:space="preserve">When </w:t>
      </w:r>
      <w:proofErr w:type="spellStart"/>
      <w:r w:rsidRPr="0020620C">
        <w:t>midazolam</w:t>
      </w:r>
      <w:proofErr w:type="spellEnd"/>
      <w:r w:rsidRPr="0020620C">
        <w:t xml:space="preserve"> (a </w:t>
      </w:r>
      <w:proofErr w:type="spellStart"/>
      <w:r>
        <w:t>cytochrome</w:t>
      </w:r>
      <w:proofErr w:type="spellEnd"/>
      <w:r>
        <w:t xml:space="preserve"> P450 (</w:t>
      </w:r>
      <w:r w:rsidRPr="0020620C">
        <w:t>CYP</w:t>
      </w:r>
      <w:r>
        <w:t xml:space="preserve">) </w:t>
      </w:r>
      <w:r w:rsidRPr="0020620C">
        <w:t xml:space="preserve">3A4 substrate) was co-administered with everolimus, there was a 25% increase in </w:t>
      </w:r>
      <w:r>
        <w:t>the maximum concentration (</w:t>
      </w:r>
      <w:proofErr w:type="spellStart"/>
      <w:r w:rsidRPr="0020620C">
        <w:t>Cmax</w:t>
      </w:r>
      <w:proofErr w:type="spellEnd"/>
      <w:r>
        <w:t>)</w:t>
      </w:r>
      <w:r w:rsidRPr="0020620C">
        <w:t xml:space="preserve"> and </w:t>
      </w:r>
      <w:r>
        <w:t xml:space="preserve">a </w:t>
      </w:r>
      <w:r w:rsidRPr="0020620C">
        <w:t>30% increase in AUC</w:t>
      </w:r>
      <w:r>
        <w:t xml:space="preserve"> for </w:t>
      </w:r>
      <w:proofErr w:type="spellStart"/>
      <w:r>
        <w:t>midazolam</w:t>
      </w:r>
      <w:proofErr w:type="spellEnd"/>
      <w:r>
        <w:t>,</w:t>
      </w:r>
      <w:r w:rsidRPr="0020620C">
        <w:t xml:space="preserve"> with similar results for the major metabolite</w:t>
      </w:r>
      <w:r>
        <w:t>,</w:t>
      </w:r>
      <w:r w:rsidRPr="0020620C">
        <w:t xml:space="preserve"> 1</w:t>
      </w:r>
      <w:r>
        <w:noBreakHyphen/>
      </w:r>
      <w:r w:rsidRPr="0020620C">
        <w:t xml:space="preserve">hydroxymidazolam. There was little effect on the terminal half life of </w:t>
      </w:r>
      <w:proofErr w:type="spellStart"/>
      <w:r w:rsidRPr="0020620C">
        <w:t>midazolam</w:t>
      </w:r>
      <w:proofErr w:type="spellEnd"/>
      <w:r w:rsidRPr="0020620C">
        <w:t xml:space="preserve">. This demonstrates that everolimus is a weak inhibitor of CYP3A4. There was no reported effect of </w:t>
      </w:r>
      <w:proofErr w:type="spellStart"/>
      <w:r w:rsidRPr="0020620C">
        <w:t>midazolam</w:t>
      </w:r>
      <w:proofErr w:type="spellEnd"/>
      <w:r w:rsidRPr="0020620C">
        <w:t xml:space="preserve"> on the </w:t>
      </w:r>
      <w:r>
        <w:t xml:space="preserve">PK </w:t>
      </w:r>
      <w:r w:rsidRPr="0020620C">
        <w:t>of everolimus.</w:t>
      </w:r>
    </w:p>
    <w:p w:rsidR="00287F50" w:rsidRPr="0020620C" w:rsidRDefault="00287F50" w:rsidP="00287F50">
      <w:r>
        <w:lastRenderedPageBreak/>
        <w:t>The everolimus s</w:t>
      </w:r>
      <w:r w:rsidRPr="0020620C">
        <w:t xml:space="preserve">tarting dose is dictated by </w:t>
      </w:r>
      <w:r>
        <w:t xml:space="preserve">the </w:t>
      </w:r>
      <w:r w:rsidRPr="0020620C">
        <w:t xml:space="preserve">concomitant </w:t>
      </w:r>
      <w:r>
        <w:t xml:space="preserve">CNI </w:t>
      </w:r>
      <w:r w:rsidRPr="0020620C">
        <w:t>used in hepatic transplantation and, as in other transplant patients, doses must continue to be tailored to patients by close therapeutic drug monitoring.</w:t>
      </w:r>
    </w:p>
    <w:p w:rsidR="00287F50" w:rsidRDefault="00287F50" w:rsidP="00287F50">
      <w:pPr>
        <w:pStyle w:val="Heading3"/>
      </w:pPr>
      <w:bookmarkStart w:id="75" w:name="_Toc196046481"/>
      <w:bookmarkStart w:id="76" w:name="_Toc247691520"/>
      <w:bookmarkStart w:id="77" w:name="_Toc314842503"/>
      <w:bookmarkStart w:id="78" w:name="_Toc355005426"/>
      <w:bookmarkStart w:id="79" w:name="_Toc356974705"/>
      <w:r w:rsidRPr="00254787">
        <w:t>Pharmacodynamics</w:t>
      </w:r>
      <w:bookmarkEnd w:id="75"/>
      <w:bookmarkEnd w:id="76"/>
      <w:bookmarkEnd w:id="77"/>
      <w:bookmarkEnd w:id="78"/>
      <w:bookmarkEnd w:id="79"/>
    </w:p>
    <w:p w:rsidR="00287F50" w:rsidRPr="00575E8C" w:rsidRDefault="00287F50" w:rsidP="00287F50">
      <w:pPr>
        <w:pStyle w:val="Heading4"/>
      </w:pPr>
      <w:bookmarkStart w:id="80" w:name="_Toc326576777"/>
      <w:bookmarkStart w:id="81" w:name="_Toc290846260"/>
      <w:bookmarkStart w:id="82" w:name="_Toc272414637"/>
      <w:r w:rsidRPr="00575E8C">
        <w:t>Studies providing pharmacodynamic data</w:t>
      </w:r>
      <w:bookmarkEnd w:id="80"/>
      <w:bookmarkEnd w:id="81"/>
      <w:bookmarkEnd w:id="82"/>
    </w:p>
    <w:p w:rsidR="00287F50" w:rsidRPr="00575E8C" w:rsidRDefault="00287F50" w:rsidP="00287F50">
      <w:r w:rsidRPr="00575E8C">
        <w:t>There we</w:t>
      </w:r>
      <w:r>
        <w:t>re no specific pharmacodynamic (PD) s</w:t>
      </w:r>
      <w:r w:rsidRPr="00575E8C">
        <w:t>tudies in the dossier. P</w:t>
      </w:r>
      <w:r>
        <w:t xml:space="preserve">harmacodynamic </w:t>
      </w:r>
      <w:r w:rsidRPr="00575E8C">
        <w:t>data were available from two studies in hepatic transplantation (</w:t>
      </w:r>
      <w:r>
        <w:t xml:space="preserve">Studies </w:t>
      </w:r>
      <w:r w:rsidRPr="00575E8C">
        <w:t>B158 and H2304) in which the relationship</w:t>
      </w:r>
      <w:r>
        <w:t>s</w:t>
      </w:r>
      <w:r w:rsidRPr="00575E8C">
        <w:t xml:space="preserve"> between exposure and safety and efficacy were explored. </w:t>
      </w:r>
    </w:p>
    <w:p w:rsidR="00287F50" w:rsidRPr="00575E8C" w:rsidRDefault="00287F50" w:rsidP="00287F50">
      <w:pPr>
        <w:pStyle w:val="Heading4"/>
      </w:pPr>
      <w:bookmarkStart w:id="83" w:name="_Toc326576780"/>
      <w:bookmarkStart w:id="84" w:name="_Toc290846270"/>
      <w:bookmarkStart w:id="85" w:name="_Toc272414648"/>
      <w:bookmarkStart w:id="86" w:name="_Ref269983272"/>
      <w:r w:rsidRPr="00575E8C">
        <w:t xml:space="preserve">Evaluator’s overall conclusions on </w:t>
      </w:r>
      <w:proofErr w:type="spellStart"/>
      <w:r w:rsidRPr="00575E8C">
        <w:t>pharmacodynamics</w:t>
      </w:r>
      <w:bookmarkEnd w:id="83"/>
      <w:bookmarkEnd w:id="84"/>
      <w:bookmarkEnd w:id="85"/>
      <w:bookmarkEnd w:id="86"/>
      <w:proofErr w:type="spellEnd"/>
    </w:p>
    <w:p w:rsidR="00287F50" w:rsidRPr="00575E8C" w:rsidRDefault="00287F50" w:rsidP="00287F50">
      <w:r w:rsidRPr="00575E8C">
        <w:t>In hepatic transplantation patients, exposure-safety analyses (</w:t>
      </w:r>
      <w:r>
        <w:t xml:space="preserve">Study </w:t>
      </w:r>
      <w:r w:rsidRPr="00575E8C">
        <w:t>B158) found a positive relationship between increasing trough everolimus levels and increased cholesterol and reduced platelets. However</w:t>
      </w:r>
      <w:r>
        <w:t>,</w:t>
      </w:r>
      <w:r w:rsidRPr="00575E8C">
        <w:t xml:space="preserve"> no relationship was evident in </w:t>
      </w:r>
      <w:r>
        <w:t xml:space="preserve">Study </w:t>
      </w:r>
      <w:r w:rsidRPr="00575E8C">
        <w:t xml:space="preserve">H2304 when everolimus was used in combination with tacrolimus. In fact, contrary to expectations, there was a higher rate of the selected </w:t>
      </w:r>
      <w:r>
        <w:t>adverse events (</w:t>
      </w:r>
      <w:r w:rsidRPr="00575E8C">
        <w:t>AEs</w:t>
      </w:r>
      <w:r>
        <w:t>),</w:t>
      </w:r>
      <w:r w:rsidRPr="00575E8C">
        <w:t xml:space="preserve"> including infection</w:t>
      </w:r>
      <w:r>
        <w:t>,</w:t>
      </w:r>
      <w:r w:rsidRPr="00575E8C">
        <w:t xml:space="preserve"> with lower trough levels. The reason for this is unclear.</w:t>
      </w:r>
    </w:p>
    <w:p w:rsidR="00287F50" w:rsidRPr="00575E8C" w:rsidRDefault="00287F50" w:rsidP="00287F50">
      <w:r w:rsidRPr="00575E8C">
        <w:t xml:space="preserve">In hepatic transplantation patients, exposure-efficacy analyses suggested increased efficacy with increased exposure in </w:t>
      </w:r>
      <w:r>
        <w:t xml:space="preserve">Study </w:t>
      </w:r>
      <w:r w:rsidRPr="00575E8C">
        <w:t xml:space="preserve">B158, although the numbers in this analysis were small. In </w:t>
      </w:r>
      <w:r>
        <w:t xml:space="preserve">Study </w:t>
      </w:r>
      <w:r w:rsidRPr="00575E8C">
        <w:t>H2304, the highest rate of efficacy failure was noted with levels &lt;</w:t>
      </w:r>
      <w:r>
        <w:t> </w:t>
      </w:r>
      <w:r w:rsidRPr="00575E8C">
        <w:t>3</w:t>
      </w:r>
      <w:r>
        <w:t> </w:t>
      </w:r>
      <w:proofErr w:type="spellStart"/>
      <w:r w:rsidRPr="00575E8C">
        <w:t>ng</w:t>
      </w:r>
      <w:proofErr w:type="spellEnd"/>
      <w:r w:rsidRPr="00575E8C">
        <w:t>/</w:t>
      </w:r>
      <w:proofErr w:type="spellStart"/>
      <w:r w:rsidRPr="00575E8C">
        <w:t>mL</w:t>
      </w:r>
      <w:proofErr w:type="spellEnd"/>
      <w:r w:rsidRPr="00575E8C">
        <w:t xml:space="preserve">, although a trend was not evident. </w:t>
      </w:r>
    </w:p>
    <w:p w:rsidR="00287F50" w:rsidRPr="00254787" w:rsidRDefault="00287F50" w:rsidP="00287F50">
      <w:pPr>
        <w:pStyle w:val="Heading3"/>
      </w:pPr>
      <w:bookmarkStart w:id="87" w:name="_Toc163441372"/>
      <w:bookmarkStart w:id="88" w:name="_Toc196046485"/>
      <w:bookmarkStart w:id="89" w:name="_Toc247691521"/>
      <w:bookmarkStart w:id="90" w:name="_Toc314842504"/>
      <w:bookmarkStart w:id="91" w:name="_Toc355005427"/>
      <w:bookmarkStart w:id="92" w:name="_Toc356974706"/>
      <w:r w:rsidRPr="00A9097A">
        <w:t>Efficacy</w:t>
      </w:r>
      <w:bookmarkEnd w:id="87"/>
      <w:bookmarkEnd w:id="88"/>
      <w:bookmarkEnd w:id="89"/>
      <w:bookmarkEnd w:id="90"/>
      <w:bookmarkEnd w:id="91"/>
      <w:bookmarkEnd w:id="92"/>
    </w:p>
    <w:p w:rsidR="00287F50" w:rsidRPr="003F4606" w:rsidRDefault="00287F50" w:rsidP="00287F50">
      <w:pPr>
        <w:pStyle w:val="Heading4"/>
      </w:pPr>
      <w:bookmarkStart w:id="93" w:name="_Toc326576781"/>
      <w:bookmarkStart w:id="94" w:name="_Toc290846271"/>
      <w:bookmarkStart w:id="95" w:name="_Toc272414649"/>
      <w:bookmarkStart w:id="96" w:name="_Ref271214453"/>
      <w:bookmarkStart w:id="97" w:name="_Toc184439992"/>
      <w:bookmarkStart w:id="98" w:name="_Toc184440279"/>
      <w:bookmarkStart w:id="99" w:name="_Toc184444657"/>
      <w:bookmarkStart w:id="100" w:name="_Toc196046487"/>
      <w:r>
        <w:t>D</w:t>
      </w:r>
      <w:r w:rsidRPr="003F4606">
        <w:t>osage selection for the pivotal stud</w:t>
      </w:r>
      <w:r>
        <w:t>y</w:t>
      </w:r>
      <w:bookmarkEnd w:id="93"/>
      <w:bookmarkEnd w:id="94"/>
      <w:bookmarkEnd w:id="95"/>
      <w:bookmarkEnd w:id="96"/>
    </w:p>
    <w:p w:rsidR="00287F50" w:rsidRPr="003F4606" w:rsidRDefault="00287F50" w:rsidP="00287F50">
      <w:r w:rsidRPr="003F4606">
        <w:t xml:space="preserve">Study B158 was </w:t>
      </w:r>
      <w:r>
        <w:t xml:space="preserve">a </w:t>
      </w:r>
      <w:r w:rsidRPr="003F4606">
        <w:t>randomised</w:t>
      </w:r>
      <w:r>
        <w:t>,</w:t>
      </w:r>
      <w:r w:rsidRPr="003F4606">
        <w:t xml:space="preserve"> double-blind</w:t>
      </w:r>
      <w:r>
        <w:t>,</w:t>
      </w:r>
      <w:r w:rsidRPr="003F4606">
        <w:t xml:space="preserve"> parallel group, dose-finding study in 119 </w:t>
      </w:r>
      <w:r>
        <w:rPr>
          <w:i/>
        </w:rPr>
        <w:t>de </w:t>
      </w:r>
      <w:r w:rsidRPr="003A4EEC">
        <w:rPr>
          <w:i/>
        </w:rPr>
        <w:t>novo</w:t>
      </w:r>
      <w:r w:rsidRPr="003F4606">
        <w:t xml:space="preserve"> liver transplant </w:t>
      </w:r>
      <w:r>
        <w:t>recipients who received plac</w:t>
      </w:r>
      <w:r w:rsidR="00DE14BF">
        <w:t>ebo or everolimus 0.5 mg bid, 1 </w:t>
      </w:r>
      <w:r>
        <w:t>mg </w:t>
      </w:r>
      <w:r w:rsidRPr="003F4606">
        <w:t>bid or 2 m</w:t>
      </w:r>
      <w:r>
        <w:t>g bid together with cyclosporin</w:t>
      </w:r>
      <w:r w:rsidRPr="003F4606">
        <w:t xml:space="preserve"> and corticosteroids. Data from this study found a greater risk of acute rejection in patients with trough levels &lt;</w:t>
      </w:r>
      <w:r>
        <w:t> </w:t>
      </w:r>
      <w:r w:rsidRPr="003F4606">
        <w:t xml:space="preserve">3 </w:t>
      </w:r>
      <w:proofErr w:type="spellStart"/>
      <w:r w:rsidRPr="003F4606">
        <w:t>ng</w:t>
      </w:r>
      <w:proofErr w:type="spellEnd"/>
      <w:r w:rsidRPr="003F4606">
        <w:t>/</w:t>
      </w:r>
      <w:proofErr w:type="spellStart"/>
      <w:r w:rsidRPr="003F4606">
        <w:t>mL</w:t>
      </w:r>
      <w:proofErr w:type="spellEnd"/>
      <w:r w:rsidRPr="003F4606">
        <w:t xml:space="preserve"> compared to those with levels ≥</w:t>
      </w:r>
      <w:r>
        <w:t> </w:t>
      </w:r>
      <w:r w:rsidRPr="003F4606">
        <w:t xml:space="preserve">3 </w:t>
      </w:r>
      <w:proofErr w:type="spellStart"/>
      <w:r w:rsidRPr="003F4606">
        <w:t>ng</w:t>
      </w:r>
      <w:proofErr w:type="spellEnd"/>
      <w:r w:rsidRPr="003F4606">
        <w:t>/</w:t>
      </w:r>
      <w:proofErr w:type="spellStart"/>
      <w:r w:rsidRPr="003F4606">
        <w:t>mL.</w:t>
      </w:r>
      <w:proofErr w:type="spellEnd"/>
    </w:p>
    <w:p w:rsidR="00287F50" w:rsidRPr="003F4606" w:rsidRDefault="00287F50" w:rsidP="00287F50">
      <w:r w:rsidRPr="003F4606">
        <w:t xml:space="preserve">The target trough level of everolimus for the pivotal </w:t>
      </w:r>
      <w:r>
        <w:t>S</w:t>
      </w:r>
      <w:r w:rsidRPr="003F4606">
        <w:t xml:space="preserve">tudy H2304 was based on data from </w:t>
      </w:r>
      <w:r>
        <w:t xml:space="preserve">studies of </w:t>
      </w:r>
      <w:r w:rsidRPr="003F4606">
        <w:t xml:space="preserve">other transplant indications and </w:t>
      </w:r>
      <w:r>
        <w:t>S</w:t>
      </w:r>
      <w:r w:rsidRPr="003F4606">
        <w:t xml:space="preserve">tudy B158. The target level was 3-8 </w:t>
      </w:r>
      <w:proofErr w:type="spellStart"/>
      <w:r w:rsidRPr="003F4606">
        <w:t>ng</w:t>
      </w:r>
      <w:proofErr w:type="spellEnd"/>
      <w:r w:rsidRPr="003F4606">
        <w:t>/</w:t>
      </w:r>
      <w:proofErr w:type="spellStart"/>
      <w:r w:rsidRPr="003F4606">
        <w:t>mL</w:t>
      </w:r>
      <w:proofErr w:type="spellEnd"/>
      <w:r>
        <w:t>,</w:t>
      </w:r>
      <w:r w:rsidRPr="003F4606">
        <w:t xml:space="preserve"> which aligns with </w:t>
      </w:r>
      <w:r>
        <w:t xml:space="preserve">recommendations in </w:t>
      </w:r>
      <w:r w:rsidRPr="003F4606">
        <w:t xml:space="preserve">the current </w:t>
      </w:r>
      <w:r>
        <w:t xml:space="preserve">PI </w:t>
      </w:r>
      <w:r w:rsidRPr="003F4606">
        <w:t>for renal and cardiac transplantation.</w:t>
      </w:r>
    </w:p>
    <w:p w:rsidR="00287F50" w:rsidRDefault="00287F50" w:rsidP="00287F50">
      <w:r w:rsidRPr="003F4606">
        <w:t xml:space="preserve">The starting dose of 1.0 mg bid was higher than the 0.75 mg bid </w:t>
      </w:r>
      <w:r>
        <w:t xml:space="preserve">dose </w:t>
      </w:r>
      <w:r w:rsidRPr="003F4606">
        <w:t xml:space="preserve">recommended for renal and </w:t>
      </w:r>
      <w:r>
        <w:t>cardiac transplantation. This i</w:t>
      </w:r>
      <w:r w:rsidRPr="003F4606">
        <w:t>s due to the</w:t>
      </w:r>
      <w:r>
        <w:t xml:space="preserve"> concomitant use of cyclosporin</w:t>
      </w:r>
      <w:r w:rsidRPr="003F4606">
        <w:t xml:space="preserve"> in renal and cardiac transplantation </w:t>
      </w:r>
      <w:r>
        <w:t>(</w:t>
      </w:r>
      <w:r w:rsidRPr="003F4606">
        <w:t>which is known to inc</w:t>
      </w:r>
      <w:r>
        <w:t>rease everolimus concentrations),</w:t>
      </w:r>
      <w:r w:rsidRPr="003F4606">
        <w:t xml:space="preserve"> while </w:t>
      </w:r>
      <w:r>
        <w:t>in the hepatic transplantation S</w:t>
      </w:r>
      <w:r w:rsidRPr="003F4606">
        <w:t>tudy H2304</w:t>
      </w:r>
      <w:r>
        <w:t>,</w:t>
      </w:r>
      <w:r w:rsidRPr="003F4606">
        <w:t xml:space="preserve"> the concomitant CNI was tacrolimus</w:t>
      </w:r>
      <w:r>
        <w:t>,</w:t>
      </w:r>
      <w:r w:rsidRPr="003F4606">
        <w:t xml:space="preserve"> which was expected to have less of an effect on everolimus levels. </w:t>
      </w:r>
    </w:p>
    <w:p w:rsidR="00287F50" w:rsidRPr="003B534A" w:rsidRDefault="00287F50" w:rsidP="00287F50">
      <w:pPr>
        <w:pStyle w:val="Heading4"/>
      </w:pPr>
      <w:bookmarkStart w:id="101" w:name="_Toc326576783"/>
      <w:r w:rsidRPr="003B534A">
        <w:t>Hepatic transplant</w:t>
      </w:r>
      <w:bookmarkEnd w:id="101"/>
      <w:r>
        <w:t xml:space="preserve"> </w:t>
      </w:r>
      <w:bookmarkStart w:id="102" w:name="_Toc326576784"/>
      <w:bookmarkStart w:id="103" w:name="_Toc290846274"/>
      <w:bookmarkStart w:id="104" w:name="_Toc272414652"/>
      <w:bookmarkStart w:id="105" w:name="_Ref271037274"/>
      <w:r>
        <w:t>p</w:t>
      </w:r>
      <w:r w:rsidRPr="003B534A">
        <w:t>ivotal efficacy study</w:t>
      </w:r>
      <w:bookmarkEnd w:id="102"/>
      <w:r w:rsidRPr="003B534A">
        <w:t xml:space="preserve"> </w:t>
      </w:r>
      <w:bookmarkEnd w:id="103"/>
      <w:bookmarkEnd w:id="104"/>
      <w:bookmarkEnd w:id="105"/>
    </w:p>
    <w:p w:rsidR="00287F50" w:rsidRPr="003B534A" w:rsidRDefault="00287F50" w:rsidP="00287F50">
      <w:pPr>
        <w:pStyle w:val="Heading5"/>
      </w:pPr>
      <w:bookmarkStart w:id="106" w:name="_Ref243301615"/>
      <w:bookmarkStart w:id="107" w:name="_Toc326576785"/>
      <w:bookmarkStart w:id="108" w:name="_Toc290846275"/>
      <w:bookmarkStart w:id="109" w:name="_Toc272414653"/>
      <w:bookmarkStart w:id="110" w:name="_Ref271040932"/>
      <w:bookmarkStart w:id="111" w:name="_Ref271040927"/>
      <w:r w:rsidRPr="003B534A">
        <w:t xml:space="preserve">Study </w:t>
      </w:r>
      <w:bookmarkEnd w:id="106"/>
      <w:r w:rsidRPr="003B534A">
        <w:t>H2304</w:t>
      </w:r>
      <w:bookmarkEnd w:id="107"/>
      <w:bookmarkEnd w:id="108"/>
      <w:bookmarkEnd w:id="109"/>
      <w:bookmarkEnd w:id="110"/>
      <w:bookmarkEnd w:id="111"/>
    </w:p>
    <w:p w:rsidR="00287F50" w:rsidRPr="003B534A" w:rsidRDefault="00287F50" w:rsidP="00287F50">
      <w:r>
        <w:t>Study H2304 was a 24 month, P</w:t>
      </w:r>
      <w:r w:rsidRPr="003B534A">
        <w:t xml:space="preserve">hase III, multicentre, open label, randomised, controlled trial in 719 </w:t>
      </w:r>
      <w:r w:rsidRPr="003B534A">
        <w:rPr>
          <w:i/>
        </w:rPr>
        <w:t>de novo</w:t>
      </w:r>
      <w:r w:rsidRPr="003B534A">
        <w:t xml:space="preserve"> liver transplant recipients</w:t>
      </w:r>
      <w:r>
        <w:t>,</w:t>
      </w:r>
      <w:r w:rsidRPr="003B534A">
        <w:t xml:space="preserve"> which evaluated the efficacy and safety of concentration controlled everolimus with eliminated or reduced dose tacrolimus</w:t>
      </w:r>
      <w:r>
        <w:t>,</w:t>
      </w:r>
      <w:r w:rsidRPr="003B534A">
        <w:t xml:space="preserve"> compared to a standard dose tacrolimus regimen. It was conducted between January 2008 </w:t>
      </w:r>
      <w:r w:rsidRPr="003B534A">
        <w:lastRenderedPageBreak/>
        <w:t>and April 2011 (12 month data) at 89 centres in 19 countries (</w:t>
      </w:r>
      <w:r>
        <w:t xml:space="preserve">including </w:t>
      </w:r>
      <w:r w:rsidRPr="003B534A">
        <w:t xml:space="preserve">Australia, South America, North America, Western and Eastern Europe and Israel). There was a central laboratory, a central pathologist for liver biopsy review and an independent </w:t>
      </w:r>
      <w:r>
        <w:t>D</w:t>
      </w:r>
      <w:r w:rsidRPr="003B534A">
        <w:t xml:space="preserve">ata </w:t>
      </w:r>
      <w:r>
        <w:t>M</w:t>
      </w:r>
      <w:r w:rsidRPr="003B534A">
        <w:t xml:space="preserve">onitoring </w:t>
      </w:r>
      <w:r>
        <w:t>C</w:t>
      </w:r>
      <w:r w:rsidRPr="003B534A">
        <w:t xml:space="preserve">ommittee (DMC). The clinical study report </w:t>
      </w:r>
      <w:r>
        <w:t xml:space="preserve">(CSR) </w:t>
      </w:r>
      <w:r w:rsidRPr="003B534A">
        <w:t xml:space="preserve">in the dossier was for the first 12 months of treatment. </w:t>
      </w:r>
    </w:p>
    <w:p w:rsidR="00287F50" w:rsidRDefault="00287F50" w:rsidP="00287F50">
      <w:r w:rsidRPr="003B534A">
        <w:t xml:space="preserve">There were 3 treatment groups: 1. </w:t>
      </w:r>
      <w:r>
        <w:t xml:space="preserve">everolimus + </w:t>
      </w:r>
      <w:r w:rsidRPr="003B534A">
        <w:t>tacrolimus eli</w:t>
      </w:r>
      <w:r>
        <w:t>mination (the EVR + TAC elimination group, also called the ‘TAC elimination’ group); 2. everolimus + r</w:t>
      </w:r>
      <w:r w:rsidRPr="003B534A">
        <w:t>educed</w:t>
      </w:r>
      <w:r>
        <w:t xml:space="preserve"> </w:t>
      </w:r>
      <w:r w:rsidRPr="003B534A">
        <w:t>tacrolimus</w:t>
      </w:r>
      <w:r>
        <w:t xml:space="preserve"> (the EVR + reduced TAC group)</w:t>
      </w:r>
      <w:r w:rsidRPr="003B534A">
        <w:t xml:space="preserve">; and 3. </w:t>
      </w:r>
      <w:r>
        <w:t xml:space="preserve">tacrolimus alone (the </w:t>
      </w:r>
      <w:r w:rsidRPr="003B534A">
        <w:t>TAC control</w:t>
      </w:r>
      <w:r>
        <w:t xml:space="preserve"> group).</w:t>
      </w:r>
      <w:r w:rsidRPr="003B534A">
        <w:t xml:space="preserve"> The study</w:t>
      </w:r>
      <w:r>
        <w:t xml:space="preserve"> design is summarised in Figure </w:t>
      </w:r>
      <w:r w:rsidRPr="003B534A">
        <w:t>1.</w:t>
      </w:r>
    </w:p>
    <w:p w:rsidR="00287F50" w:rsidRDefault="00287F50" w:rsidP="00EF789F">
      <w:pPr>
        <w:pStyle w:val="FigureTitle"/>
      </w:pPr>
      <w:r>
        <w:t>Figure 1. Summary of Study H2304 design</w:t>
      </w:r>
    </w:p>
    <w:p w:rsidR="00287F50" w:rsidRDefault="00287F50" w:rsidP="00A30739">
      <w:r>
        <w:rPr>
          <w:noProof/>
          <w:lang w:eastAsia="en-AU"/>
        </w:rPr>
        <w:drawing>
          <wp:inline distT="0" distB="0" distL="0" distR="0">
            <wp:extent cx="5344483" cy="3241040"/>
            <wp:effectExtent l="19050" t="0" r="8567" b="0"/>
            <wp:docPr id="11" name="Picture 2" descr="Figure 1. Summary of Study H2304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5349977" cy="3244371"/>
                    </a:xfrm>
                    <a:prstGeom prst="rect">
                      <a:avLst/>
                    </a:prstGeom>
                    <a:noFill/>
                    <a:ln w="9525">
                      <a:noFill/>
                      <a:miter lim="800000"/>
                      <a:headEnd/>
                      <a:tailEnd/>
                    </a:ln>
                  </pic:spPr>
                </pic:pic>
              </a:graphicData>
            </a:graphic>
          </wp:inline>
        </w:drawing>
      </w:r>
    </w:p>
    <w:p w:rsidR="00287F50" w:rsidRPr="00CA43AE" w:rsidRDefault="00287F50" w:rsidP="00A30739">
      <w:pPr>
        <w:pStyle w:val="FigureDescription"/>
      </w:pPr>
      <w:r w:rsidRPr="00CA43AE">
        <w:t xml:space="preserve">Abbreviations: RAD: </w:t>
      </w:r>
      <w:proofErr w:type="spellStart"/>
      <w:r w:rsidRPr="00CA43AE">
        <w:t>everolimus</w:t>
      </w:r>
      <w:proofErr w:type="spellEnd"/>
      <w:r w:rsidRPr="00CA43AE">
        <w:t xml:space="preserve">; TAC: </w:t>
      </w:r>
      <w:proofErr w:type="spellStart"/>
      <w:r w:rsidRPr="00CA43AE">
        <w:t>tacrolimus</w:t>
      </w:r>
      <w:proofErr w:type="spellEnd"/>
      <w:r w:rsidRPr="00CA43AE">
        <w:t xml:space="preserve">; </w:t>
      </w:r>
      <w:proofErr w:type="spellStart"/>
      <w:r w:rsidRPr="00CA43AE">
        <w:t>txp</w:t>
      </w:r>
      <w:proofErr w:type="spellEnd"/>
      <w:r w:rsidRPr="00CA43AE">
        <w:t xml:space="preserve">: transplant; </w:t>
      </w:r>
      <w:proofErr w:type="spellStart"/>
      <w:r w:rsidRPr="00CA43AE">
        <w:t>Pred</w:t>
      </w:r>
      <w:proofErr w:type="spellEnd"/>
      <w:r w:rsidRPr="00CA43AE">
        <w:t xml:space="preserve">: prednisone; MMF: </w:t>
      </w:r>
      <w:proofErr w:type="spellStart"/>
      <w:r w:rsidRPr="00CA43AE">
        <w:t>mycophenolate</w:t>
      </w:r>
      <w:proofErr w:type="spellEnd"/>
      <w:r w:rsidRPr="00CA43AE">
        <w:t xml:space="preserve"> mofetil; HCV: hepatitis C virus</w:t>
      </w:r>
      <w:r>
        <w:t>.</w:t>
      </w:r>
    </w:p>
    <w:p w:rsidR="00287F50" w:rsidRPr="00D65625" w:rsidRDefault="00287F50" w:rsidP="00287F50">
      <w:r w:rsidRPr="00D65625">
        <w:t xml:space="preserve">The primary objective was to </w:t>
      </w:r>
      <w:r>
        <w:t>assess,</w:t>
      </w:r>
      <w:r w:rsidRPr="00D65625">
        <w:t xml:space="preserve"> at 12 months</w:t>
      </w:r>
      <w:r>
        <w:t>,</w:t>
      </w:r>
      <w:r w:rsidRPr="00D65625">
        <w:t xml:space="preserve"> the efficacy </w:t>
      </w:r>
      <w:r>
        <w:t xml:space="preserve">outcomes of </w:t>
      </w:r>
      <w:r w:rsidRPr="00D65625">
        <w:t>failure rate of treated biopsy proven acute rejection (</w:t>
      </w:r>
      <w:proofErr w:type="spellStart"/>
      <w:r w:rsidRPr="00D65625">
        <w:t>tBPAR</w:t>
      </w:r>
      <w:proofErr w:type="spellEnd"/>
      <w:r w:rsidRPr="00D65625">
        <w:t>), graft loss (GL) or death (D) with early tacrolimus minimisation (facilitated by everolimus introduction 4 wee</w:t>
      </w:r>
      <w:r>
        <w:t>ks after liver transplantation),</w:t>
      </w:r>
      <w:r w:rsidRPr="00D65625">
        <w:t xml:space="preserve"> </w:t>
      </w:r>
      <w:r>
        <w:t xml:space="preserve">compared </w:t>
      </w:r>
      <w:r w:rsidRPr="00D65625">
        <w:t>to standard exposure tacrolimus.</w:t>
      </w:r>
    </w:p>
    <w:p w:rsidR="00287F50" w:rsidRPr="00124FBC" w:rsidRDefault="00287F50" w:rsidP="00287F50">
      <w:pPr>
        <w:pStyle w:val="Heading5"/>
      </w:pPr>
      <w:bookmarkStart w:id="112" w:name="_Toc326576786"/>
      <w:bookmarkStart w:id="113" w:name="_Toc290846277"/>
      <w:bookmarkStart w:id="114" w:name="_Toc272414655"/>
      <w:bookmarkStart w:id="115" w:name="_Ref271037210"/>
      <w:bookmarkStart w:id="116" w:name="_Ref271037188"/>
      <w:bookmarkStart w:id="117" w:name="_Ref243294291"/>
      <w:bookmarkStart w:id="118" w:name="_Toc241374311"/>
      <w:r w:rsidRPr="00124FBC">
        <w:t>Other efficacy studies</w:t>
      </w:r>
      <w:bookmarkEnd w:id="112"/>
      <w:bookmarkEnd w:id="113"/>
      <w:bookmarkEnd w:id="114"/>
      <w:bookmarkEnd w:id="115"/>
      <w:bookmarkEnd w:id="116"/>
      <w:bookmarkEnd w:id="117"/>
      <w:bookmarkEnd w:id="118"/>
    </w:p>
    <w:p w:rsidR="00287F50" w:rsidRPr="00124FBC" w:rsidRDefault="00287F50" w:rsidP="00287F50">
      <w:r>
        <w:t>Study HDE10 was a 12 month, P</w:t>
      </w:r>
      <w:r w:rsidRPr="00124FBC">
        <w:t>hase III, multicentre, randomised, open label, parallel group study of the safety, tolerabilit</w:t>
      </w:r>
      <w:r>
        <w:t xml:space="preserve">y and efficacy of an everolimus </w:t>
      </w:r>
      <w:r w:rsidRPr="00124FBC">
        <w:t>based regimen compared to a CNI</w:t>
      </w:r>
      <w:r>
        <w:t xml:space="preserve"> </w:t>
      </w:r>
      <w:r w:rsidRPr="00124FBC">
        <w:t xml:space="preserve">based regimen in 203 adult patients with </w:t>
      </w:r>
      <w:r w:rsidRPr="00124FBC">
        <w:rPr>
          <w:i/>
        </w:rPr>
        <w:t>de novo</w:t>
      </w:r>
      <w:r w:rsidRPr="00124FBC">
        <w:t xml:space="preserve"> liver transplantation. The primary objective was to demonstrate, at 11 months post randomisation, superiority of re</w:t>
      </w:r>
      <w:r>
        <w:t xml:space="preserve">nal function for the everolimus </w:t>
      </w:r>
      <w:r w:rsidRPr="00124FBC">
        <w:t>based regimen with discontinuation of CNI therapy compared to</w:t>
      </w:r>
      <w:r>
        <w:t xml:space="preserve"> a CNI </w:t>
      </w:r>
      <w:r w:rsidRPr="00124FBC">
        <w:t xml:space="preserve">based regimen. </w:t>
      </w:r>
    </w:p>
    <w:p w:rsidR="00287F50" w:rsidRDefault="00287F50" w:rsidP="00287F50">
      <w:r>
        <w:t xml:space="preserve">Study </w:t>
      </w:r>
      <w:r w:rsidRPr="00124FBC">
        <w:t xml:space="preserve">H2401 was a </w:t>
      </w:r>
      <w:r>
        <w:t>P</w:t>
      </w:r>
      <w:r w:rsidRPr="00124FBC">
        <w:t>hase III, six month, multicentre, randomised, open-label study of the sa</w:t>
      </w:r>
      <w:r>
        <w:t xml:space="preserve">fety and efficacy of an everolimus </w:t>
      </w:r>
      <w:r w:rsidRPr="00124FBC">
        <w:t>based regimen compared to a CNI</w:t>
      </w:r>
      <w:r>
        <w:t xml:space="preserve"> </w:t>
      </w:r>
      <w:r w:rsidRPr="00124FBC">
        <w:t>based regimen in 145 maintenance liver transplant recipients with CNI</w:t>
      </w:r>
      <w:r>
        <w:t xml:space="preserve"> </w:t>
      </w:r>
      <w:r w:rsidRPr="00124FBC">
        <w:t xml:space="preserve">related renal impairment. The primary objective was to determine whether everolimus together with </w:t>
      </w:r>
      <w:r>
        <w:t xml:space="preserve">a </w:t>
      </w:r>
      <w:r w:rsidRPr="00124FBC">
        <w:t>reduction or discontinuation of CNI in maintenance liver transplant patients with CNI</w:t>
      </w:r>
      <w:r>
        <w:t xml:space="preserve"> </w:t>
      </w:r>
      <w:r w:rsidRPr="00124FBC">
        <w:t>related renal impairment would improve renal function</w:t>
      </w:r>
      <w:r>
        <w:t>,</w:t>
      </w:r>
      <w:r w:rsidRPr="00124FBC">
        <w:t xml:space="preserve"> as measured by the change in calculated </w:t>
      </w:r>
      <w:proofErr w:type="spellStart"/>
      <w:r w:rsidRPr="00124FBC">
        <w:t>glomerular</w:t>
      </w:r>
      <w:proofErr w:type="spellEnd"/>
      <w:r w:rsidRPr="00124FBC">
        <w:t xml:space="preserve"> filtration rate (</w:t>
      </w:r>
      <w:proofErr w:type="spellStart"/>
      <w:r w:rsidRPr="00124FBC">
        <w:t>cGFR</w:t>
      </w:r>
      <w:proofErr w:type="spellEnd"/>
      <w:r w:rsidRPr="00124FBC">
        <w:t xml:space="preserve">) from baseline to </w:t>
      </w:r>
      <w:r>
        <w:t>M</w:t>
      </w:r>
      <w:r w:rsidRPr="00124FBC">
        <w:t xml:space="preserve">onth 6. </w:t>
      </w:r>
    </w:p>
    <w:p w:rsidR="00287F50" w:rsidRPr="00124FBC" w:rsidRDefault="00287F50" w:rsidP="00287F50">
      <w:r w:rsidRPr="00124FBC">
        <w:lastRenderedPageBreak/>
        <w:t xml:space="preserve">An interim </w:t>
      </w:r>
      <w:r>
        <w:t xml:space="preserve">CSR </w:t>
      </w:r>
      <w:r w:rsidRPr="00124FBC">
        <w:t xml:space="preserve">for </w:t>
      </w:r>
      <w:r>
        <w:t xml:space="preserve">Study </w:t>
      </w:r>
      <w:r w:rsidRPr="00124FBC">
        <w:t xml:space="preserve">H2301 </w:t>
      </w:r>
      <w:r>
        <w:t>(</w:t>
      </w:r>
      <w:r w:rsidRPr="00124FBC">
        <w:t>dated August 2011</w:t>
      </w:r>
      <w:r>
        <w:t>)</w:t>
      </w:r>
      <w:r w:rsidRPr="00124FBC">
        <w:t xml:space="preserve"> was included in the dossier. </w:t>
      </w:r>
      <w:r>
        <w:t xml:space="preserve">Study </w:t>
      </w:r>
      <w:r w:rsidRPr="00124FBC">
        <w:t>H2301 was described as an exploratory study which aimed to assessed the efficacy of everolimus in inhibiting fibrosis progression in 43 liver transplant recipients with recurrent hepatitis C. It is also known as REVERT</w:t>
      </w:r>
      <w:r>
        <w:t>.</w:t>
      </w:r>
      <w:r>
        <w:rPr>
          <w:rStyle w:val="FootnoteReference"/>
        </w:rPr>
        <w:footnoteReference w:id="1"/>
      </w:r>
      <w:r>
        <w:t xml:space="preserve"> It was a 24 month</w:t>
      </w:r>
      <w:r w:rsidRPr="00124FBC">
        <w:t xml:space="preserve">, randomised, multicentre, open label, parallel group trial conducted at 6 centres in Argentina between November 2006 and January 2010. The study was terminated prematurely after the 12 </w:t>
      </w:r>
      <w:r>
        <w:t>M</w:t>
      </w:r>
      <w:r w:rsidRPr="00124FBC">
        <w:t>onth biopsy due to a high drop-out rate.</w:t>
      </w:r>
      <w:r>
        <w:t xml:space="preserve"> </w:t>
      </w:r>
      <w:r w:rsidRPr="00124FBC">
        <w:t>The primary objective was to demonstrate a slower progression of liver fibrosis</w:t>
      </w:r>
      <w:r>
        <w:t>,</w:t>
      </w:r>
      <w:r w:rsidRPr="00124FBC">
        <w:t xml:space="preserve"> as assessed by the </w:t>
      </w:r>
      <w:proofErr w:type="spellStart"/>
      <w:r w:rsidRPr="00124FBC">
        <w:t>Ishak-Knodell</w:t>
      </w:r>
      <w:proofErr w:type="spellEnd"/>
      <w:r w:rsidRPr="00124FBC">
        <w:t xml:space="preserve"> (IK) staging score</w:t>
      </w:r>
      <w:r>
        <w:t>,</w:t>
      </w:r>
      <w:r w:rsidRPr="00843712">
        <w:rPr>
          <w:vertAlign w:val="superscript"/>
        </w:rPr>
        <w:footnoteReference w:id="2"/>
      </w:r>
      <w:r>
        <w:t xml:space="preserve"> at 24 M</w:t>
      </w:r>
      <w:r w:rsidRPr="00124FBC">
        <w:t xml:space="preserve">onths post randomisation in </w:t>
      </w:r>
      <w:r>
        <w:t xml:space="preserve">HCV </w:t>
      </w:r>
      <w:r w:rsidRPr="00124FBC">
        <w:t xml:space="preserve">positive patients after </w:t>
      </w:r>
      <w:proofErr w:type="spellStart"/>
      <w:r w:rsidRPr="00124FBC">
        <w:t>orthotopic</w:t>
      </w:r>
      <w:proofErr w:type="spellEnd"/>
      <w:r w:rsidRPr="00124FBC">
        <w:t xml:space="preserve"> liver transplantation </w:t>
      </w:r>
      <w:r>
        <w:t xml:space="preserve">who were </w:t>
      </w:r>
      <w:r w:rsidRPr="00124FBC">
        <w:t xml:space="preserve">receiving everolimus versus standard treatment. </w:t>
      </w:r>
    </w:p>
    <w:p w:rsidR="00287F50" w:rsidRDefault="00287F50" w:rsidP="00287F50">
      <w:pPr>
        <w:pStyle w:val="Heading4"/>
      </w:pPr>
      <w:r w:rsidRPr="00124FBC">
        <w:t xml:space="preserve">Evaluator’s conclusions on clinical efficacy for hepatic transplantation </w:t>
      </w:r>
    </w:p>
    <w:p w:rsidR="00287F50" w:rsidRDefault="00287F50" w:rsidP="00287F50">
      <w:r w:rsidRPr="00124FBC">
        <w:t xml:space="preserve">The hepatic transplantation dossier included 4 </w:t>
      </w:r>
      <w:r>
        <w:t>P</w:t>
      </w:r>
      <w:r w:rsidRPr="00124FBC">
        <w:t xml:space="preserve">hase III studies. Study H2304 was the pivotal study and provided the most appropriate data for assessing efficacy. There were two </w:t>
      </w:r>
      <w:r>
        <w:t>s</w:t>
      </w:r>
      <w:r w:rsidRPr="00124FBC">
        <w:t>tudies</w:t>
      </w:r>
      <w:r>
        <w:t xml:space="preserve">, </w:t>
      </w:r>
      <w:r w:rsidRPr="00124FBC">
        <w:t>HDE10 and H2401</w:t>
      </w:r>
      <w:r>
        <w:t>,</w:t>
      </w:r>
      <w:r w:rsidRPr="00124FBC">
        <w:t xml:space="preserve"> which were primarily safety studies assessing change in renal function</w:t>
      </w:r>
      <w:r>
        <w:t>,</w:t>
      </w:r>
      <w:r w:rsidRPr="00124FBC">
        <w:t xml:space="preserve"> with efficacy being a secondary objective. These studies provided minimal supportive evidence. Efficacy endpoints in the</w:t>
      </w:r>
      <w:r>
        <w:t>se</w:t>
      </w:r>
      <w:r w:rsidRPr="00124FBC">
        <w:t xml:space="preserve"> 3 studies are summarised in </w:t>
      </w:r>
      <w:r>
        <w:t>Table 2.</w:t>
      </w:r>
    </w:p>
    <w:p w:rsidR="00287F50" w:rsidRDefault="00287F50" w:rsidP="00DB2CA6">
      <w:pPr>
        <w:pStyle w:val="TableTitle"/>
      </w:pPr>
      <w:r>
        <w:t>Table 2. Efficacy endpoints across studies</w:t>
      </w:r>
    </w:p>
    <w:p w:rsidR="00287F50" w:rsidRDefault="00287F50" w:rsidP="00287F50">
      <w:r w:rsidRPr="00124FBC">
        <w:rPr>
          <w:noProof/>
          <w:lang w:eastAsia="en-AU"/>
        </w:rPr>
        <w:drawing>
          <wp:inline distT="0" distB="0" distL="0" distR="0">
            <wp:extent cx="5577789" cy="1863969"/>
            <wp:effectExtent l="19050" t="0" r="3861" b="0"/>
            <wp:docPr id="122" name="Picture 2" descr="Table 2. Efficacy endpoints across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b="9669"/>
                    <a:stretch>
                      <a:fillRect/>
                    </a:stretch>
                  </pic:blipFill>
                  <pic:spPr bwMode="auto">
                    <a:xfrm>
                      <a:off x="0" y="0"/>
                      <a:ext cx="5577789" cy="1863969"/>
                    </a:xfrm>
                    <a:prstGeom prst="rect">
                      <a:avLst/>
                    </a:prstGeom>
                    <a:noFill/>
                    <a:ln w="9525">
                      <a:noFill/>
                      <a:miter lim="800000"/>
                      <a:headEnd/>
                      <a:tailEnd/>
                    </a:ln>
                  </pic:spPr>
                </pic:pic>
              </a:graphicData>
            </a:graphic>
          </wp:inline>
        </w:drawing>
      </w:r>
    </w:p>
    <w:p w:rsidR="00287F50" w:rsidRPr="00124FBC" w:rsidRDefault="00287F50" w:rsidP="00287F50">
      <w:r w:rsidRPr="00124FBC">
        <w:t>Study H2304 is an ongoing</w:t>
      </w:r>
      <w:r>
        <w:t>,</w:t>
      </w:r>
      <w:r w:rsidRPr="00124FBC">
        <w:t xml:space="preserve"> 24 month, </w:t>
      </w:r>
      <w:r>
        <w:t>P</w:t>
      </w:r>
      <w:r w:rsidRPr="00124FBC">
        <w:t xml:space="preserve">hase III, multicentre, open label, randomised, controlled trial in 719 </w:t>
      </w:r>
      <w:r w:rsidRPr="00124FBC">
        <w:rPr>
          <w:i/>
        </w:rPr>
        <w:t>de novo</w:t>
      </w:r>
      <w:r w:rsidRPr="00124FBC">
        <w:t xml:space="preserve"> liver transplant recipients. It was a non-inferiority study </w:t>
      </w:r>
      <w:r>
        <w:t xml:space="preserve">assessing </w:t>
      </w:r>
      <w:r w:rsidRPr="00124FBC">
        <w:t>the effic</w:t>
      </w:r>
      <w:r>
        <w:t xml:space="preserve">acy and safety of concentration </w:t>
      </w:r>
      <w:r w:rsidRPr="00124FBC">
        <w:t>controlled everolim</w:t>
      </w:r>
      <w:r>
        <w:t>us with reduced</w:t>
      </w:r>
      <w:r w:rsidRPr="00124FBC">
        <w:t xml:space="preserve"> or eliminated tacrolimus</w:t>
      </w:r>
      <w:r>
        <w:t xml:space="preserve"> compared</w:t>
      </w:r>
      <w:r w:rsidRPr="00124FBC">
        <w:t xml:space="preserve"> to tacrolimus alone. Treatment with everolimus commenced one month post transplantation and whole blood monitoring targeted a trough </w:t>
      </w:r>
      <w:proofErr w:type="spellStart"/>
      <w:r>
        <w:t>everolimus</w:t>
      </w:r>
      <w:proofErr w:type="spellEnd"/>
      <w:r>
        <w:t xml:space="preserve"> </w:t>
      </w:r>
      <w:r w:rsidRPr="00124FBC">
        <w:t>level of 3</w:t>
      </w:r>
      <w:r w:rsidR="00A30739">
        <w:t>-</w:t>
      </w:r>
      <w:r w:rsidRPr="00124FBC">
        <w:t>8</w:t>
      </w:r>
      <w:r>
        <w:t> </w:t>
      </w:r>
      <w:proofErr w:type="spellStart"/>
      <w:r w:rsidRPr="00124FBC">
        <w:t>ng</w:t>
      </w:r>
      <w:proofErr w:type="spellEnd"/>
      <w:r w:rsidRPr="00124FBC">
        <w:t>/</w:t>
      </w:r>
      <w:proofErr w:type="spellStart"/>
      <w:r w:rsidRPr="00124FBC">
        <w:t>mL.</w:t>
      </w:r>
      <w:proofErr w:type="spellEnd"/>
      <w:r w:rsidRPr="00124FBC">
        <w:t xml:space="preserve"> This level was lower than the target in </w:t>
      </w:r>
      <w:r>
        <w:t xml:space="preserve">Studies </w:t>
      </w:r>
      <w:r w:rsidRPr="00124FBC">
        <w:t xml:space="preserve">HDE10 and H2401 where the upper limit was 12 </w:t>
      </w:r>
      <w:proofErr w:type="spellStart"/>
      <w:r w:rsidRPr="00124FBC">
        <w:t>ng</w:t>
      </w:r>
      <w:proofErr w:type="spellEnd"/>
      <w:r w:rsidRPr="00124FBC">
        <w:t>/</w:t>
      </w:r>
      <w:proofErr w:type="spellStart"/>
      <w:r w:rsidRPr="00124FBC">
        <w:t>mL.</w:t>
      </w:r>
      <w:proofErr w:type="spellEnd"/>
      <w:r w:rsidRPr="00124FBC">
        <w:t xml:space="preserve"> For subjects in the EVR</w:t>
      </w:r>
      <w:r>
        <w:t xml:space="preserve"> </w:t>
      </w:r>
      <w:r w:rsidRPr="00124FBC">
        <w:t>+</w:t>
      </w:r>
      <w:r>
        <w:t xml:space="preserve"> r</w:t>
      </w:r>
      <w:r w:rsidRPr="00124FBC">
        <w:t xml:space="preserve">educed TAC group, the tacrolimus target level was 3-5 </w:t>
      </w:r>
      <w:proofErr w:type="spellStart"/>
      <w:r w:rsidRPr="00124FBC">
        <w:t>ng</w:t>
      </w:r>
      <w:proofErr w:type="spellEnd"/>
      <w:r w:rsidRPr="00124FBC">
        <w:t>/</w:t>
      </w:r>
      <w:proofErr w:type="spellStart"/>
      <w:r w:rsidRPr="00124FBC">
        <w:t>mL</w:t>
      </w:r>
      <w:proofErr w:type="spellEnd"/>
      <w:r w:rsidRPr="00124FBC">
        <w:t xml:space="preserve"> after 3 weeks, while the </w:t>
      </w:r>
      <w:r>
        <w:t xml:space="preserve">TAC </w:t>
      </w:r>
      <w:r w:rsidRPr="00124FBC">
        <w:t>control group’s target was 6</w:t>
      </w:r>
      <w:r>
        <w:noBreakHyphen/>
      </w:r>
      <w:r w:rsidRPr="00124FBC">
        <w:t>10</w:t>
      </w:r>
      <w:r>
        <w:t> </w:t>
      </w:r>
      <w:proofErr w:type="spellStart"/>
      <w:r w:rsidRPr="00124FBC">
        <w:t>ng</w:t>
      </w:r>
      <w:proofErr w:type="spellEnd"/>
      <w:r w:rsidRPr="00124FBC">
        <w:t>/</w:t>
      </w:r>
      <w:proofErr w:type="spellStart"/>
      <w:r w:rsidRPr="00124FBC">
        <w:t>mL</w:t>
      </w:r>
      <w:proofErr w:type="spellEnd"/>
      <w:r w:rsidRPr="00124FBC">
        <w:t xml:space="preserve"> from </w:t>
      </w:r>
      <w:r>
        <w:t>M</w:t>
      </w:r>
      <w:r w:rsidRPr="00124FBC">
        <w:t>onth 4. Corticostero</w:t>
      </w:r>
      <w:r>
        <w:t>i</w:t>
      </w:r>
      <w:r w:rsidRPr="00124FBC">
        <w:t>ds were allowed in all groups.</w:t>
      </w:r>
    </w:p>
    <w:p w:rsidR="00287F50" w:rsidRPr="00124FBC" w:rsidRDefault="00287F50" w:rsidP="00287F50">
      <w:r w:rsidRPr="00124FBC">
        <w:t>The study’s gro</w:t>
      </w:r>
      <w:r>
        <w:t>up of everolimus in combination</w:t>
      </w:r>
      <w:r w:rsidRPr="00124FBC">
        <w:t xml:space="preserve"> with TAC elimination was discontinued prematurely due to a higher rate of acute rejection and </w:t>
      </w:r>
      <w:r>
        <w:t>AE</w:t>
      </w:r>
      <w:r w:rsidRPr="00124FBC">
        <w:t>s. Disconti</w:t>
      </w:r>
      <w:r>
        <w:t>nuation of study medication by M</w:t>
      </w:r>
      <w:r w:rsidRPr="00124FBC">
        <w:t>onth 12 was 26.9% in the EVR</w:t>
      </w:r>
      <w:r>
        <w:t xml:space="preserve"> </w:t>
      </w:r>
      <w:r w:rsidRPr="00124FBC">
        <w:t>+</w:t>
      </w:r>
      <w:r>
        <w:t xml:space="preserve"> r</w:t>
      </w:r>
      <w:r w:rsidRPr="00124FBC">
        <w:t xml:space="preserve">educed TAC group, compared to 22.2% in the TAC control group and 55.8% in the </w:t>
      </w:r>
      <w:r>
        <w:t>EVR + TAC elimination group</w:t>
      </w:r>
      <w:r w:rsidRPr="00124FBC">
        <w:t>.</w:t>
      </w:r>
    </w:p>
    <w:p w:rsidR="00287F50" w:rsidRPr="00124FBC" w:rsidRDefault="00287F50" w:rsidP="00287F50">
      <w:r w:rsidRPr="00124FBC">
        <w:lastRenderedPageBreak/>
        <w:t>The study met its primary objective</w:t>
      </w:r>
      <w:r>
        <w:t>,</w:t>
      </w:r>
      <w:r w:rsidRPr="00124FBC">
        <w:t xml:space="preserve"> as treatment commencing one month post transplantation with a regimen of everolimus </w:t>
      </w:r>
      <w:r>
        <w:t xml:space="preserve">and </w:t>
      </w:r>
      <w:r w:rsidRPr="00124FBC">
        <w:t xml:space="preserve">reduced tacrolimus </w:t>
      </w:r>
      <w:r>
        <w:t xml:space="preserve">dose </w:t>
      </w:r>
      <w:r w:rsidRPr="00124FBC">
        <w:t>was found to be statistically non-inferior (NI</w:t>
      </w:r>
      <w:r>
        <w:t>;</w:t>
      </w:r>
      <w:r w:rsidRPr="00124FBC">
        <w:t xml:space="preserve"> margin 12%) to treatment with tacrolimus alone at 1</w:t>
      </w:r>
      <w:r>
        <w:t>2 M</w:t>
      </w:r>
      <w:r w:rsidRPr="00124FBC">
        <w:t>onths</w:t>
      </w:r>
      <w:r>
        <w:t>,</w:t>
      </w:r>
      <w:r w:rsidRPr="00124FBC">
        <w:t xml:space="preserve"> when measured by the composite </w:t>
      </w:r>
      <w:r>
        <w:t xml:space="preserve">efficacy </w:t>
      </w:r>
      <w:r w:rsidRPr="00124FBC">
        <w:t xml:space="preserve">endpoint of </w:t>
      </w:r>
      <w:proofErr w:type="spellStart"/>
      <w:r w:rsidRPr="00124FBC">
        <w:t>tBPAR</w:t>
      </w:r>
      <w:proofErr w:type="spellEnd"/>
      <w:r w:rsidRPr="00124FBC">
        <w:t>/GL/D (6.7% v</w:t>
      </w:r>
      <w:r>
        <w:t>er</w:t>
      </w:r>
      <w:r w:rsidRPr="00124FBC">
        <w:t>s</w:t>
      </w:r>
      <w:r>
        <w:t>us</w:t>
      </w:r>
      <w:r w:rsidRPr="00124FBC">
        <w:t xml:space="preserve"> 9.7%)</w:t>
      </w:r>
      <w:r>
        <w:t>,</w:t>
      </w:r>
      <w:r w:rsidRPr="00124FBC">
        <w:t xml:space="preserve"> with </w:t>
      </w:r>
      <w:r>
        <w:t xml:space="preserve">a </w:t>
      </w:r>
      <w:r w:rsidRPr="00124FBC">
        <w:t xml:space="preserve">difference of -3.0% (97.5% </w:t>
      </w:r>
      <w:r>
        <w:t>confidence interval (</w:t>
      </w:r>
      <w:r w:rsidRPr="00124FBC">
        <w:t>CI</w:t>
      </w:r>
      <w:r>
        <w:t>)</w:t>
      </w:r>
      <w:r w:rsidRPr="00124FBC">
        <w:t>: -8.7%, 2.6%, p</w:t>
      </w:r>
      <w:r>
        <w:t> </w:t>
      </w:r>
      <w:r w:rsidRPr="00124FBC">
        <w:t>&lt;</w:t>
      </w:r>
      <w:r>
        <w:t> </w:t>
      </w:r>
      <w:r w:rsidRPr="00124FBC">
        <w:t>0.001). Non-inferiority was also achieved on other efficacy endpoints of GL/D/loss to follow up and GL/D</w:t>
      </w:r>
      <w:r>
        <w:t>,</w:t>
      </w:r>
      <w:r w:rsidRPr="00124FBC">
        <w:t xml:space="preserve"> and </w:t>
      </w:r>
      <w:r>
        <w:t xml:space="preserve">was </w:t>
      </w:r>
      <w:r w:rsidRPr="00124FBC">
        <w:t xml:space="preserve">supported by the </w:t>
      </w:r>
      <w:r>
        <w:t>per protocol (</w:t>
      </w:r>
      <w:r w:rsidRPr="00124FBC">
        <w:t>PP</w:t>
      </w:r>
      <w:r>
        <w:t>)</w:t>
      </w:r>
      <w:r w:rsidRPr="00124FBC">
        <w:t xml:space="preserve"> analysis. There was statistically superior renal function</w:t>
      </w:r>
      <w:r>
        <w:t>,</w:t>
      </w:r>
      <w:r w:rsidRPr="00124FBC">
        <w:t xml:space="preserve"> as measured by mean change in e</w:t>
      </w:r>
      <w:r>
        <w:t xml:space="preserve">stimated </w:t>
      </w:r>
      <w:r w:rsidRPr="00124FBC">
        <w:t>GFR</w:t>
      </w:r>
      <w:r>
        <w:t xml:space="preserve"> (</w:t>
      </w:r>
      <w:proofErr w:type="spellStart"/>
      <w:r>
        <w:t>eGFR</w:t>
      </w:r>
      <w:proofErr w:type="spellEnd"/>
      <w:r>
        <w:t>),</w:t>
      </w:r>
      <w:r w:rsidRPr="00124FBC">
        <w:t xml:space="preserve"> with a difference of 8.50 mL/min/1.73 m</w:t>
      </w:r>
      <w:r w:rsidRPr="00843712">
        <w:rPr>
          <w:vertAlign w:val="superscript"/>
        </w:rPr>
        <w:t>2</w:t>
      </w:r>
      <w:r w:rsidRPr="00124FBC">
        <w:t xml:space="preserve"> (97.5% CI: 3.74, 13.27, p</w:t>
      </w:r>
      <w:r>
        <w:t> </w:t>
      </w:r>
      <w:r w:rsidRPr="00124FBC">
        <w:t>&lt;</w:t>
      </w:r>
      <w:r>
        <w:t> </w:t>
      </w:r>
      <w:r w:rsidRPr="00124FBC">
        <w:t xml:space="preserve">0.001) in favour of </w:t>
      </w:r>
      <w:r>
        <w:t xml:space="preserve">EVR </w:t>
      </w:r>
      <w:r w:rsidRPr="00124FBC">
        <w:t>+</w:t>
      </w:r>
      <w:r>
        <w:t xml:space="preserve"> r</w:t>
      </w:r>
      <w:r w:rsidRPr="00124FBC">
        <w:t xml:space="preserve">educed TAC compared to </w:t>
      </w:r>
      <w:r>
        <w:t xml:space="preserve">the </w:t>
      </w:r>
      <w:r w:rsidRPr="00124FBC">
        <w:t xml:space="preserve">TAC control group. Results of both primary and key secondary efficacy outcomes were consistent across subgroups of age, gender, race, region, </w:t>
      </w:r>
      <w:proofErr w:type="spellStart"/>
      <w:r w:rsidRPr="00124FBC">
        <w:t>eGFR</w:t>
      </w:r>
      <w:proofErr w:type="spellEnd"/>
      <w:r w:rsidRPr="00124FBC">
        <w:t xml:space="preserve">, HCV status, </w:t>
      </w:r>
      <w:r>
        <w:t>m</w:t>
      </w:r>
      <w:r w:rsidRPr="0010343B">
        <w:t xml:space="preserve">odel for </w:t>
      </w:r>
      <w:r>
        <w:t>end s</w:t>
      </w:r>
      <w:r w:rsidRPr="0010343B">
        <w:t xml:space="preserve">tage </w:t>
      </w:r>
      <w:r>
        <w:t>l</w:t>
      </w:r>
      <w:r w:rsidRPr="0010343B">
        <w:t xml:space="preserve">iver </w:t>
      </w:r>
      <w:r>
        <w:t>d</w:t>
      </w:r>
      <w:r w:rsidRPr="0010343B">
        <w:t>isease</w:t>
      </w:r>
      <w:r w:rsidRPr="00124FBC">
        <w:t xml:space="preserve"> </w:t>
      </w:r>
      <w:r>
        <w:t>(</w:t>
      </w:r>
      <w:r w:rsidRPr="00124FBC">
        <w:t>MELD</w:t>
      </w:r>
      <w:r>
        <w:t>)</w:t>
      </w:r>
      <w:r w:rsidRPr="00124FBC">
        <w:t xml:space="preserve"> score</w:t>
      </w:r>
      <w:r>
        <w:rPr>
          <w:rStyle w:val="FootnoteReference"/>
        </w:rPr>
        <w:footnoteReference w:id="3"/>
      </w:r>
      <w:r w:rsidRPr="00124FBC">
        <w:t xml:space="preserve"> and cause of </w:t>
      </w:r>
      <w:r>
        <w:t>end stage liver disease (</w:t>
      </w:r>
      <w:r w:rsidRPr="00124FBC">
        <w:t>ESLD</w:t>
      </w:r>
      <w:r>
        <w:t>)</w:t>
      </w:r>
      <w:r w:rsidRPr="00124FBC">
        <w:t>.</w:t>
      </w:r>
    </w:p>
    <w:p w:rsidR="00287F50" w:rsidRPr="00124FBC" w:rsidRDefault="00287F50" w:rsidP="00287F50">
      <w:r w:rsidRPr="00124FBC">
        <w:t>Overall, the effect appeared more related to a reduced rate of acute rejection episodes (3.7% v</w:t>
      </w:r>
      <w:r>
        <w:t>er</w:t>
      </w:r>
      <w:r w:rsidRPr="00124FBC">
        <w:t>s</w:t>
      </w:r>
      <w:r>
        <w:t>us</w:t>
      </w:r>
      <w:r w:rsidRPr="00124FBC">
        <w:t xml:space="preserve"> 10.7%) rather than reduced </w:t>
      </w:r>
      <w:r>
        <w:t xml:space="preserve">GL </w:t>
      </w:r>
      <w:r w:rsidRPr="00124FBC">
        <w:t xml:space="preserve">or </w:t>
      </w:r>
      <w:r>
        <w:t>D</w:t>
      </w:r>
      <w:r w:rsidRPr="00124FBC">
        <w:t>. The study found that a reduction of tacrolimus was possible with the addition of everolimus post hepatitis transplantation without an incr</w:t>
      </w:r>
      <w:r>
        <w:t>ease in efficacy failure at 12 M</w:t>
      </w:r>
      <w:r w:rsidRPr="00124FBC">
        <w:t>onths post transplantation. It was also found that efficacy was unacceptable when everolimus was used without continuing tacrolimus concomitantly.</w:t>
      </w:r>
    </w:p>
    <w:p w:rsidR="00287F50" w:rsidRPr="00124FBC" w:rsidRDefault="00287F50" w:rsidP="00287F50">
      <w:r w:rsidRPr="00124FBC">
        <w:t xml:space="preserve">HDE10 was a study in 203 </w:t>
      </w:r>
      <w:r w:rsidRPr="00843712">
        <w:rPr>
          <w:i/>
        </w:rPr>
        <w:t>de novo</w:t>
      </w:r>
      <w:r w:rsidRPr="00124FBC">
        <w:t xml:space="preserve"> liver transplant patients. It did not reach its primary endpoint of superiority of re</w:t>
      </w:r>
      <w:r>
        <w:t xml:space="preserve">nal function with an everolimus </w:t>
      </w:r>
      <w:r w:rsidRPr="00124FBC">
        <w:t>based immunosuppressive regimen compared to a CNI</w:t>
      </w:r>
      <w:r>
        <w:t xml:space="preserve"> </w:t>
      </w:r>
      <w:r w:rsidRPr="00124FBC">
        <w:t xml:space="preserve">based regimen. Regarding efficacy, there were no significant differences between the treatment groups in single events or in the composite </w:t>
      </w:r>
      <w:r>
        <w:t xml:space="preserve">endpoint </w:t>
      </w:r>
      <w:r w:rsidRPr="00124FBC">
        <w:t xml:space="preserve">of efficacy failure (BPAR, </w:t>
      </w:r>
      <w:r>
        <w:t>GL</w:t>
      </w:r>
      <w:r w:rsidRPr="00124FBC">
        <w:t xml:space="preserve">, </w:t>
      </w:r>
      <w:r>
        <w:t>D</w:t>
      </w:r>
      <w:r w:rsidRPr="00124FBC">
        <w:t>, loss to follow up</w:t>
      </w:r>
      <w:r>
        <w:t xml:space="preserve">; </w:t>
      </w:r>
      <w:r w:rsidRPr="00124FBC">
        <w:t>17.7% v</w:t>
      </w:r>
      <w:r>
        <w:t>er</w:t>
      </w:r>
      <w:r w:rsidRPr="00124FBC">
        <w:t>s</w:t>
      </w:r>
      <w:r>
        <w:t>us</w:t>
      </w:r>
      <w:r w:rsidRPr="00124FBC">
        <w:t xml:space="preserve"> 14.3%</w:t>
      </w:r>
      <w:r>
        <w:t>,</w:t>
      </w:r>
      <w:r w:rsidRPr="00124FBC">
        <w:t xml:space="preserve"> p</w:t>
      </w:r>
      <w:r>
        <w:t> </w:t>
      </w:r>
      <w:r w:rsidRPr="00124FBC">
        <w:t>=</w:t>
      </w:r>
      <w:r>
        <w:t> </w:t>
      </w:r>
      <w:r w:rsidRPr="00124FBC">
        <w:t xml:space="preserve">0.56). </w:t>
      </w:r>
    </w:p>
    <w:p w:rsidR="00287F50" w:rsidRPr="00124FBC" w:rsidRDefault="00287F50" w:rsidP="00287F50">
      <w:r>
        <w:t xml:space="preserve">Study </w:t>
      </w:r>
      <w:r w:rsidRPr="00124FBC">
        <w:t>H2401 examined renal function in 145 patients with CNI</w:t>
      </w:r>
      <w:r>
        <w:t xml:space="preserve"> </w:t>
      </w:r>
      <w:r w:rsidRPr="00124FBC">
        <w:t>related renal impairment (GFR 20-60 mL/min) who were</w:t>
      </w:r>
      <w:r>
        <w:t>,</w:t>
      </w:r>
      <w:r w:rsidRPr="00124FBC">
        <w:t xml:space="preserve"> on average</w:t>
      </w:r>
      <w:r>
        <w:t>,</w:t>
      </w:r>
      <w:r w:rsidRPr="00124FBC">
        <w:t xml:space="preserve"> 3 years post hepatic transplantation. Efficacy was a secondary objective and the study did not find any significant difference in efficacy </w:t>
      </w:r>
      <w:r>
        <w:t>failure between groups after 6 M</w:t>
      </w:r>
      <w:r w:rsidRPr="00124FBC">
        <w:t>onths of treatment. The number of events was very limited.</w:t>
      </w:r>
    </w:p>
    <w:p w:rsidR="00287F50" w:rsidRPr="00124FBC" w:rsidRDefault="00287F50" w:rsidP="00287F50">
      <w:r w:rsidRPr="00124FBC">
        <w:t>The dossier also included an interim report for an exploratory study in 43 liver transplant patients with recurrent HCV (</w:t>
      </w:r>
      <w:r>
        <w:t xml:space="preserve">Study </w:t>
      </w:r>
      <w:r w:rsidRPr="00124FBC">
        <w:t>H2301). This study was term</w:t>
      </w:r>
      <w:r>
        <w:t>inated early due to a high drop-</w:t>
      </w:r>
      <w:r w:rsidRPr="00124FBC">
        <w:t>out rate</w:t>
      </w:r>
      <w:r>
        <w:t>.</w:t>
      </w:r>
      <w:r w:rsidRPr="00124FBC">
        <w:t xml:space="preserve"> </w:t>
      </w:r>
      <w:r>
        <w:t>B</w:t>
      </w:r>
      <w:r w:rsidRPr="00124FBC">
        <w:t xml:space="preserve">iopsy data were available at 12 </w:t>
      </w:r>
      <w:r>
        <w:t>M</w:t>
      </w:r>
      <w:r w:rsidRPr="00124FBC">
        <w:t xml:space="preserve">onths rather than the 24 </w:t>
      </w:r>
      <w:r>
        <w:t>M</w:t>
      </w:r>
      <w:r w:rsidRPr="00124FBC">
        <w:t>onth endpoint and there were baseline imbalances between groups. There was an indication of a low</w:t>
      </w:r>
      <w:r>
        <w:t>er mean fibrosis (IK) score at M</w:t>
      </w:r>
      <w:r w:rsidRPr="00124FBC">
        <w:t xml:space="preserve">onth 12 with </w:t>
      </w:r>
      <w:r>
        <w:t xml:space="preserve">everolimus </w:t>
      </w:r>
      <w:r w:rsidRPr="00124FBC">
        <w:t>compared to CNI treatment. However, due to the factors listed</w:t>
      </w:r>
      <w:r>
        <w:t xml:space="preserve"> above</w:t>
      </w:r>
      <w:r w:rsidRPr="00124FBC">
        <w:t xml:space="preserve"> the results of this study cannot be viewed as conclusive. </w:t>
      </w:r>
    </w:p>
    <w:p w:rsidR="00287F50" w:rsidRPr="00124FBC" w:rsidRDefault="00287F50" w:rsidP="00287F50">
      <w:r w:rsidRPr="00124FBC">
        <w:t xml:space="preserve">The pivotal trial was amended to comply with </w:t>
      </w:r>
      <w:r>
        <w:t xml:space="preserve">the current European Medicines Agency (EMA) Committee for Medicinal Products for Human Use (CHMP) </w:t>
      </w:r>
      <w:r w:rsidRPr="00FF32E0">
        <w:rPr>
          <w:i/>
        </w:rPr>
        <w:t xml:space="preserve">Guidelines on the clinical investigation of </w:t>
      </w:r>
      <w:proofErr w:type="spellStart"/>
      <w:r w:rsidRPr="00FF32E0">
        <w:rPr>
          <w:i/>
        </w:rPr>
        <w:t>immunosuppressants</w:t>
      </w:r>
      <w:proofErr w:type="spellEnd"/>
      <w:r w:rsidRPr="00FF32E0">
        <w:rPr>
          <w:i/>
        </w:rPr>
        <w:t xml:space="preserve"> for solid organ transplant</w:t>
      </w:r>
      <w:r>
        <w:t xml:space="preserve"> (</w:t>
      </w:r>
      <w:r w:rsidRPr="00FF32E0">
        <w:t>CHMP/EWP/263148/06</w:t>
      </w:r>
      <w:r>
        <w:t xml:space="preserve">; July 2008; effective from 1 February 2009). </w:t>
      </w:r>
      <w:r w:rsidRPr="00124FBC">
        <w:t xml:space="preserve">The </w:t>
      </w:r>
      <w:r>
        <w:t xml:space="preserve">PI </w:t>
      </w:r>
      <w:r w:rsidRPr="00124FBC">
        <w:t>adequately summarises the clinical efficacy data in hepatic transplantation</w:t>
      </w:r>
      <w:r>
        <w:t>,</w:t>
      </w:r>
      <w:r w:rsidRPr="00124FBC">
        <w:t xml:space="preserve"> with the exception of a failure to state the risks of tacrolimus elimination. </w:t>
      </w:r>
      <w:r>
        <w:t>D</w:t>
      </w:r>
      <w:r w:rsidRPr="00124FBC">
        <w:t xml:space="preserve">etails </w:t>
      </w:r>
      <w:r>
        <w:t xml:space="preserve">of the evaluator’s comments on this and other aspects of PI </w:t>
      </w:r>
      <w:r w:rsidRPr="00124FBC">
        <w:t xml:space="preserve">are </w:t>
      </w:r>
      <w:r>
        <w:t xml:space="preserve">beyond the scope of this AusPAR. </w:t>
      </w:r>
    </w:p>
    <w:p w:rsidR="00287F50" w:rsidRPr="002E238E" w:rsidRDefault="00287F50" w:rsidP="00287F50">
      <w:pPr>
        <w:pStyle w:val="Heading3"/>
      </w:pPr>
      <w:bookmarkStart w:id="119" w:name="_Toc163441378"/>
      <w:bookmarkStart w:id="120" w:name="_Toc196046495"/>
      <w:bookmarkStart w:id="121" w:name="_Toc247691522"/>
      <w:bookmarkStart w:id="122" w:name="_Toc314842505"/>
      <w:bookmarkStart w:id="123" w:name="_Toc355005428"/>
      <w:bookmarkStart w:id="124" w:name="_Toc356974707"/>
      <w:bookmarkEnd w:id="97"/>
      <w:bookmarkEnd w:id="98"/>
      <w:bookmarkEnd w:id="99"/>
      <w:bookmarkEnd w:id="100"/>
      <w:r w:rsidRPr="002E238E">
        <w:lastRenderedPageBreak/>
        <w:t>Safety</w:t>
      </w:r>
      <w:bookmarkEnd w:id="119"/>
      <w:bookmarkEnd w:id="120"/>
      <w:bookmarkEnd w:id="121"/>
      <w:bookmarkEnd w:id="122"/>
      <w:bookmarkEnd w:id="123"/>
      <w:bookmarkEnd w:id="124"/>
    </w:p>
    <w:p w:rsidR="00287F50" w:rsidRDefault="00287F50" w:rsidP="00287F50">
      <w:pPr>
        <w:pStyle w:val="Heading4"/>
      </w:pPr>
      <w:bookmarkStart w:id="125" w:name="_Toc326576827"/>
      <w:bookmarkStart w:id="126" w:name="_Toc290846284"/>
      <w:bookmarkStart w:id="127" w:name="_Toc272414659"/>
      <w:bookmarkStart w:id="128" w:name="_Toc184440288"/>
      <w:bookmarkStart w:id="129" w:name="_Toc184444666"/>
      <w:bookmarkStart w:id="130" w:name="_Toc196046496"/>
      <w:r w:rsidRPr="00843712">
        <w:t>Studies providing evaluable safety data</w:t>
      </w:r>
      <w:bookmarkEnd w:id="125"/>
      <w:bookmarkEnd w:id="126"/>
      <w:bookmarkEnd w:id="127"/>
    </w:p>
    <w:p w:rsidR="00287F50" w:rsidRPr="00233CC4" w:rsidRDefault="00287F50" w:rsidP="00287F50">
      <w:bookmarkStart w:id="131" w:name="_Ref268776745"/>
      <w:bookmarkStart w:id="132" w:name="_Toc163441387"/>
      <w:bookmarkEnd w:id="128"/>
      <w:bookmarkEnd w:id="129"/>
      <w:bookmarkEnd w:id="130"/>
      <w:r w:rsidRPr="00843712">
        <w:t>For the hepatic transplantation indication</w:t>
      </w:r>
      <w:r>
        <w:t>,</w:t>
      </w:r>
      <w:r w:rsidRPr="00843712">
        <w:t xml:space="preserve"> the safety data comes primarily from the pivotal </w:t>
      </w:r>
      <w:r>
        <w:t>S</w:t>
      </w:r>
      <w:r w:rsidRPr="00843712">
        <w:t xml:space="preserve">tudy H2304. There was no pooling of safety data for this indication. A comparison of data from this study and the renal transplant </w:t>
      </w:r>
      <w:r>
        <w:t>S</w:t>
      </w:r>
      <w:r w:rsidRPr="00843712">
        <w:t xml:space="preserve">tudy A2309 was also provided. H2304 extension </w:t>
      </w:r>
      <w:r>
        <w:t>S</w:t>
      </w:r>
      <w:r w:rsidRPr="00843712">
        <w:t xml:space="preserve">tudy H2304E1 provided data on </w:t>
      </w:r>
      <w:r>
        <w:t xml:space="preserve">serious </w:t>
      </w:r>
      <w:r w:rsidRPr="00843712">
        <w:t xml:space="preserve">AEs </w:t>
      </w:r>
      <w:r>
        <w:t xml:space="preserve">(SAEs) </w:t>
      </w:r>
      <w:r w:rsidRPr="00843712">
        <w:t>and deaths to the cut-off of 31 May 2011.</w:t>
      </w:r>
    </w:p>
    <w:bookmarkEnd w:id="131"/>
    <w:p w:rsidR="00287F50" w:rsidRPr="00233CC4" w:rsidRDefault="00287F50" w:rsidP="00287F50">
      <w:pPr>
        <w:pStyle w:val="Heading5"/>
        <w:keepNext w:val="0"/>
      </w:pPr>
      <w:r w:rsidRPr="00233CC4">
        <w:t>Studies that assessed safety as a primary outcome</w:t>
      </w:r>
    </w:p>
    <w:p w:rsidR="00287F50" w:rsidRPr="00233CC4" w:rsidRDefault="00287F50" w:rsidP="00287F50">
      <w:r>
        <w:t xml:space="preserve">Studies </w:t>
      </w:r>
      <w:r w:rsidRPr="00233CC4">
        <w:t>HDE10 and H2401 assessed safety, in terms of renal function, as a primary outcome. These studies also provided supportive safety data in liver transplant recipients.</w:t>
      </w:r>
    </w:p>
    <w:p w:rsidR="00287F50" w:rsidRPr="00233CC4" w:rsidRDefault="00287F50" w:rsidP="00287F50">
      <w:pPr>
        <w:pStyle w:val="Heading5"/>
      </w:pPr>
      <w:r w:rsidRPr="00233CC4">
        <w:t>Dose-response and non-pivotal efficacy studies</w:t>
      </w:r>
    </w:p>
    <w:p w:rsidR="00287F50" w:rsidRPr="00233CC4" w:rsidRDefault="00287F50" w:rsidP="00287F50">
      <w:r w:rsidRPr="00233CC4">
        <w:t>The dose-response and non-pivotal efficacy studies provided safety data as follows:</w:t>
      </w:r>
    </w:p>
    <w:p w:rsidR="00287F50" w:rsidRPr="00233CC4" w:rsidRDefault="00287F50" w:rsidP="005F0A52">
      <w:pPr>
        <w:pStyle w:val="ListBullet"/>
        <w:numPr>
          <w:ilvl w:val="0"/>
          <w:numId w:val="1"/>
        </w:numPr>
      </w:pPr>
      <w:r w:rsidRPr="00233CC4">
        <w:t xml:space="preserve">Study B158 with extensions B158E1 and B158E2 (fixed dose everolimus with standard dose </w:t>
      </w:r>
      <w:r>
        <w:t>cyclosporin</w:t>
      </w:r>
      <w:r w:rsidRPr="00233CC4">
        <w:t>) provided long term data.</w:t>
      </w:r>
    </w:p>
    <w:p w:rsidR="00287F50" w:rsidRPr="00233CC4" w:rsidRDefault="00287F50" w:rsidP="005F0A52">
      <w:pPr>
        <w:pStyle w:val="ListBullet"/>
        <w:numPr>
          <w:ilvl w:val="0"/>
          <w:numId w:val="1"/>
        </w:numPr>
      </w:pPr>
      <w:r w:rsidRPr="00233CC4">
        <w:t xml:space="preserve">Study H2301 was in recurrent </w:t>
      </w:r>
      <w:r>
        <w:t xml:space="preserve">hepatitis C </w:t>
      </w:r>
      <w:r w:rsidRPr="00233CC4">
        <w:t>patients and was prematurely discontinued. Deaths and SAEs were reported.</w:t>
      </w:r>
    </w:p>
    <w:p w:rsidR="00287F50" w:rsidRPr="00233CC4" w:rsidRDefault="00287F50" w:rsidP="00287F50">
      <w:pPr>
        <w:pStyle w:val="Heading5"/>
      </w:pPr>
      <w:r w:rsidRPr="00233CC4">
        <w:t>Other studies evaluable for safety only</w:t>
      </w:r>
    </w:p>
    <w:p w:rsidR="00287F50" w:rsidRDefault="00287F50" w:rsidP="00287F50">
      <w:r>
        <w:t>Clinical pharmacology S</w:t>
      </w:r>
      <w:r w:rsidRPr="00233CC4">
        <w:t>tudies X2102 and X2103 provided little safety data. Studies not included in the dossier were B202 (single dose PK in liver transplant), A2303 (single dose PK in moderate hepatic impairment) and B258 (single dose PK in paediatric liver transplant patients)</w:t>
      </w:r>
      <w:r>
        <w:t>.</w:t>
      </w:r>
    </w:p>
    <w:p w:rsidR="00287F50" w:rsidRDefault="00287F50" w:rsidP="00287F50">
      <w:pPr>
        <w:pStyle w:val="Heading5"/>
      </w:pPr>
      <w:r>
        <w:t>Cardiac transplant study A2310 and renal transplant study A2309</w:t>
      </w:r>
    </w:p>
    <w:p w:rsidR="00287F50" w:rsidRPr="00233CC4" w:rsidRDefault="00287F50" w:rsidP="00287F50">
      <w:r w:rsidRPr="00233CC4">
        <w:t xml:space="preserve">The primary safety variable was renal function measured by </w:t>
      </w:r>
      <w:proofErr w:type="spellStart"/>
      <w:r w:rsidRPr="00233CC4">
        <w:t>cGFR</w:t>
      </w:r>
      <w:proofErr w:type="spellEnd"/>
      <w:r w:rsidRPr="00233CC4">
        <w:t xml:space="preserve"> using </w:t>
      </w:r>
      <w:r>
        <w:t>the M</w:t>
      </w:r>
      <w:r w:rsidRPr="008E4CFB">
        <w:t xml:space="preserve">odification of </w:t>
      </w:r>
      <w:r>
        <w:t>D</w:t>
      </w:r>
      <w:r w:rsidRPr="008E4CFB">
        <w:t xml:space="preserve">iet in </w:t>
      </w:r>
      <w:r>
        <w:t>R</w:t>
      </w:r>
      <w:r w:rsidRPr="008E4CFB">
        <w:t>enal Disease</w:t>
      </w:r>
      <w:r w:rsidRPr="00233CC4">
        <w:t xml:space="preserve"> </w:t>
      </w:r>
      <w:r>
        <w:t>(</w:t>
      </w:r>
      <w:r w:rsidRPr="00233CC4">
        <w:t>MDRD</w:t>
      </w:r>
      <w:r>
        <w:t>)</w:t>
      </w:r>
      <w:r w:rsidRPr="00233CC4">
        <w:t xml:space="preserve"> formula</w:t>
      </w:r>
      <w:r w:rsidRPr="008E4CFB">
        <w:rPr>
          <w:vertAlign w:val="superscript"/>
        </w:rPr>
        <w:footnoteReference w:id="4"/>
      </w:r>
      <w:r w:rsidRPr="00233CC4">
        <w:t xml:space="preserve"> in both studies (</w:t>
      </w:r>
      <w:r>
        <w:t xml:space="preserve">another formula, known as the </w:t>
      </w:r>
      <w:proofErr w:type="spellStart"/>
      <w:r w:rsidRPr="00233CC4">
        <w:t>Nankivell</w:t>
      </w:r>
      <w:proofErr w:type="spellEnd"/>
      <w:r w:rsidRPr="00233CC4">
        <w:t xml:space="preserve"> </w:t>
      </w:r>
      <w:r>
        <w:t xml:space="preserve">formula, </w:t>
      </w:r>
      <w:r w:rsidRPr="00233CC4">
        <w:t xml:space="preserve">was also used in A2309). Mid-stream spot urine was analysed for protein/creatinine ratio to assess proteinuria. Collection of AEs and SAEs together with monitoring of haematology, blood chemistry, urine, vital signs and physical examination were all undertaken. </w:t>
      </w:r>
      <w:r>
        <w:t>Electrocardiograms (</w:t>
      </w:r>
      <w:r w:rsidRPr="00233CC4">
        <w:t>ECGs</w:t>
      </w:r>
      <w:r>
        <w:t>)</w:t>
      </w:r>
      <w:r w:rsidRPr="00233CC4">
        <w:t xml:space="preserve"> were conducted in A2310. Infections, severe rejection episodes, major cardiac events, wound healing events and other events of special interest were also assessed in both studies.</w:t>
      </w:r>
    </w:p>
    <w:p w:rsidR="00287F50" w:rsidRDefault="00287F50" w:rsidP="00287F50">
      <w:pPr>
        <w:pStyle w:val="Heading5"/>
        <w:keepNext w:val="0"/>
      </w:pPr>
      <w:r>
        <w:t>Patient exposure</w:t>
      </w:r>
    </w:p>
    <w:p w:rsidR="00287F50" w:rsidRPr="00233CC4" w:rsidRDefault="00287F50" w:rsidP="00287F50">
      <w:r w:rsidRPr="00233CC4">
        <w:t xml:space="preserve">In the controlled hepatic transplantation studies 759 patients </w:t>
      </w:r>
      <w:r>
        <w:t xml:space="preserve">were </w:t>
      </w:r>
      <w:r w:rsidRPr="00233CC4">
        <w:t>exposed to everolimus (</w:t>
      </w:r>
      <w:r>
        <w:t xml:space="preserve">see </w:t>
      </w:r>
      <w:r w:rsidRPr="00233CC4">
        <w:t xml:space="preserve">Table </w:t>
      </w:r>
      <w:r>
        <w:t>3</w:t>
      </w:r>
      <w:r w:rsidRPr="00233CC4">
        <w:t xml:space="preserve"> below).</w:t>
      </w:r>
    </w:p>
    <w:p w:rsidR="00287F50" w:rsidRPr="00233CC4" w:rsidRDefault="00287F50" w:rsidP="008C7449">
      <w:pPr>
        <w:pStyle w:val="TableTitle"/>
      </w:pPr>
      <w:r>
        <w:t>Table 3</w:t>
      </w:r>
      <w:r w:rsidRPr="00233CC4">
        <w:t xml:space="preserve">. Exposure to everolimus and </w:t>
      </w:r>
      <w:r>
        <w:t>comparators in clinical studies</w:t>
      </w:r>
    </w:p>
    <w:tbl>
      <w:tblPr>
        <w:tblStyle w:val="TableTGAblue"/>
        <w:tblW w:w="9322" w:type="dxa"/>
        <w:tblInd w:w="-29" w:type="dxa"/>
        <w:tblLayout w:type="fixed"/>
        <w:tblLook w:val="04A0"/>
      </w:tblPr>
      <w:tblGrid>
        <w:gridCol w:w="1599"/>
        <w:gridCol w:w="1417"/>
        <w:gridCol w:w="1276"/>
        <w:gridCol w:w="1134"/>
        <w:gridCol w:w="992"/>
        <w:gridCol w:w="1559"/>
        <w:gridCol w:w="1345"/>
      </w:tblGrid>
      <w:tr w:rsidR="00287F50" w:rsidRPr="008807FF" w:rsidTr="0015373F">
        <w:trPr>
          <w:cnfStyle w:val="100000000000"/>
          <w:tblHeader/>
        </w:trPr>
        <w:tc>
          <w:tcPr>
            <w:tcW w:w="1599" w:type="dxa"/>
            <w:tcMar>
              <w:left w:w="0" w:type="dxa"/>
              <w:right w:w="0" w:type="dxa"/>
            </w:tcMar>
            <w:hideMark/>
          </w:tcPr>
          <w:p w:rsidR="00287F50" w:rsidRPr="008807FF" w:rsidRDefault="00287F50" w:rsidP="0015373F">
            <w:pPr>
              <w:rPr>
                <w:sz w:val="18"/>
                <w:szCs w:val="18"/>
                <w:lang w:eastAsia="zh-TW"/>
              </w:rPr>
            </w:pPr>
            <w:r w:rsidRPr="008807FF">
              <w:rPr>
                <w:sz w:val="18"/>
                <w:szCs w:val="18"/>
                <w:lang w:eastAsia="zh-TW"/>
              </w:rPr>
              <w:t>Study type/</w:t>
            </w:r>
            <w:r w:rsidR="0015373F">
              <w:rPr>
                <w:b w:val="0"/>
                <w:sz w:val="18"/>
                <w:szCs w:val="18"/>
                <w:lang w:eastAsia="zh-TW"/>
              </w:rPr>
              <w:br/>
            </w:r>
            <w:r w:rsidRPr="008807FF">
              <w:rPr>
                <w:sz w:val="18"/>
                <w:szCs w:val="18"/>
                <w:lang w:eastAsia="zh-TW"/>
              </w:rPr>
              <w:t>Indication</w:t>
            </w:r>
          </w:p>
        </w:tc>
        <w:tc>
          <w:tcPr>
            <w:tcW w:w="4819" w:type="dxa"/>
            <w:gridSpan w:val="4"/>
            <w:tcMar>
              <w:left w:w="0" w:type="dxa"/>
              <w:right w:w="0" w:type="dxa"/>
            </w:tcMar>
            <w:hideMark/>
          </w:tcPr>
          <w:p w:rsidR="00287F50" w:rsidRPr="008807FF" w:rsidRDefault="00287F50" w:rsidP="0015373F">
            <w:pPr>
              <w:rPr>
                <w:b w:val="0"/>
                <w:sz w:val="18"/>
                <w:szCs w:val="18"/>
                <w:lang w:eastAsia="zh-TW"/>
              </w:rPr>
            </w:pPr>
            <w:r w:rsidRPr="008807FF">
              <w:rPr>
                <w:sz w:val="18"/>
                <w:szCs w:val="18"/>
                <w:lang w:eastAsia="zh-TW"/>
              </w:rPr>
              <w:t>Controlled studies</w:t>
            </w:r>
          </w:p>
        </w:tc>
        <w:tc>
          <w:tcPr>
            <w:tcW w:w="1559" w:type="dxa"/>
            <w:tcMar>
              <w:left w:w="0" w:type="dxa"/>
              <w:right w:w="0" w:type="dxa"/>
            </w:tcMar>
            <w:hideMark/>
          </w:tcPr>
          <w:p w:rsidR="00287F50" w:rsidRPr="008807FF" w:rsidRDefault="00287F50" w:rsidP="0015373F">
            <w:pPr>
              <w:rPr>
                <w:sz w:val="18"/>
                <w:szCs w:val="18"/>
                <w:lang w:eastAsia="zh-TW"/>
              </w:rPr>
            </w:pPr>
            <w:r w:rsidRPr="008807FF">
              <w:rPr>
                <w:sz w:val="18"/>
                <w:szCs w:val="18"/>
                <w:lang w:eastAsia="zh-TW"/>
              </w:rPr>
              <w:t>Uncontrolled</w:t>
            </w:r>
            <w:r w:rsidR="0015373F">
              <w:rPr>
                <w:b w:val="0"/>
                <w:sz w:val="18"/>
                <w:szCs w:val="18"/>
                <w:lang w:eastAsia="zh-TW"/>
              </w:rPr>
              <w:br/>
            </w:r>
            <w:r w:rsidRPr="008807FF">
              <w:rPr>
                <w:sz w:val="18"/>
                <w:szCs w:val="18"/>
                <w:lang w:eastAsia="zh-TW"/>
              </w:rPr>
              <w:t>studies</w:t>
            </w:r>
          </w:p>
        </w:tc>
        <w:tc>
          <w:tcPr>
            <w:tcW w:w="1345" w:type="dxa"/>
            <w:tcMar>
              <w:left w:w="0" w:type="dxa"/>
              <w:right w:w="0" w:type="dxa"/>
            </w:tcMar>
            <w:hideMark/>
          </w:tcPr>
          <w:p w:rsidR="00287F50" w:rsidRPr="008807FF" w:rsidRDefault="00287F50" w:rsidP="0015373F">
            <w:pPr>
              <w:rPr>
                <w:sz w:val="18"/>
                <w:szCs w:val="18"/>
                <w:lang w:eastAsia="zh-TW"/>
              </w:rPr>
            </w:pPr>
            <w:r w:rsidRPr="008807FF">
              <w:rPr>
                <w:sz w:val="18"/>
                <w:szCs w:val="18"/>
                <w:lang w:eastAsia="zh-TW"/>
              </w:rPr>
              <w:t>Total</w:t>
            </w:r>
            <w:r w:rsidR="0015373F">
              <w:rPr>
                <w:b w:val="0"/>
                <w:sz w:val="18"/>
                <w:szCs w:val="18"/>
                <w:lang w:eastAsia="zh-TW"/>
              </w:rPr>
              <w:br/>
            </w:r>
            <w:proofErr w:type="spellStart"/>
            <w:r w:rsidRPr="008807FF">
              <w:rPr>
                <w:sz w:val="18"/>
                <w:szCs w:val="18"/>
                <w:lang w:eastAsia="zh-TW"/>
              </w:rPr>
              <w:t>Everolimus</w:t>
            </w:r>
            <w:proofErr w:type="spellEnd"/>
          </w:p>
        </w:tc>
      </w:tr>
      <w:tr w:rsidR="00287F50" w:rsidRPr="008807FF" w:rsidTr="0015373F">
        <w:tc>
          <w:tcPr>
            <w:tcW w:w="1599" w:type="dxa"/>
            <w:tcMar>
              <w:left w:w="0" w:type="dxa"/>
              <w:right w:w="0" w:type="dxa"/>
            </w:tcMar>
          </w:tcPr>
          <w:p w:rsidR="00287F50" w:rsidRPr="008807FF" w:rsidRDefault="00287F50" w:rsidP="0015373F">
            <w:pPr>
              <w:rPr>
                <w:sz w:val="18"/>
                <w:szCs w:val="18"/>
                <w:lang w:eastAsia="zh-TW"/>
              </w:rPr>
            </w:pPr>
          </w:p>
        </w:tc>
        <w:tc>
          <w:tcPr>
            <w:tcW w:w="1417" w:type="dxa"/>
            <w:tcMar>
              <w:left w:w="0" w:type="dxa"/>
              <w:right w:w="0" w:type="dxa"/>
            </w:tcMar>
            <w:hideMark/>
          </w:tcPr>
          <w:p w:rsidR="00287F50" w:rsidRPr="008807FF" w:rsidRDefault="00287F50" w:rsidP="0015373F">
            <w:pPr>
              <w:rPr>
                <w:sz w:val="18"/>
                <w:szCs w:val="18"/>
                <w:lang w:eastAsia="zh-TW"/>
              </w:rPr>
            </w:pPr>
            <w:proofErr w:type="spellStart"/>
            <w:r w:rsidRPr="008807FF">
              <w:rPr>
                <w:sz w:val="18"/>
                <w:szCs w:val="18"/>
                <w:lang w:eastAsia="zh-TW"/>
              </w:rPr>
              <w:t>Everolimus</w:t>
            </w:r>
            <w:proofErr w:type="spellEnd"/>
          </w:p>
        </w:tc>
        <w:tc>
          <w:tcPr>
            <w:tcW w:w="1276" w:type="dxa"/>
            <w:tcMar>
              <w:left w:w="0" w:type="dxa"/>
              <w:right w:w="0" w:type="dxa"/>
            </w:tcMar>
          </w:tcPr>
          <w:p w:rsidR="00287F50" w:rsidRPr="008807FF" w:rsidRDefault="00287F50" w:rsidP="0015373F">
            <w:pPr>
              <w:rPr>
                <w:sz w:val="18"/>
                <w:szCs w:val="18"/>
                <w:lang w:eastAsia="zh-TW"/>
              </w:rPr>
            </w:pPr>
            <w:r w:rsidRPr="008807FF">
              <w:rPr>
                <w:sz w:val="18"/>
                <w:szCs w:val="18"/>
                <w:lang w:eastAsia="zh-TW"/>
              </w:rPr>
              <w:t>CNI</w:t>
            </w:r>
          </w:p>
          <w:p w:rsidR="00287F50" w:rsidRPr="008807FF" w:rsidRDefault="00287F50" w:rsidP="0015373F">
            <w:pPr>
              <w:rPr>
                <w:sz w:val="18"/>
                <w:szCs w:val="18"/>
                <w:lang w:eastAsia="zh-TW"/>
              </w:rPr>
            </w:pPr>
            <w:r w:rsidRPr="008807FF">
              <w:rPr>
                <w:sz w:val="18"/>
                <w:szCs w:val="18"/>
                <w:lang w:eastAsia="zh-TW"/>
              </w:rPr>
              <w:t>(TAC/</w:t>
            </w:r>
            <w:proofErr w:type="spellStart"/>
            <w:r w:rsidRPr="008807FF">
              <w:rPr>
                <w:sz w:val="18"/>
                <w:szCs w:val="18"/>
                <w:lang w:eastAsia="zh-TW"/>
              </w:rPr>
              <w:t>CsA</w:t>
            </w:r>
            <w:proofErr w:type="spellEnd"/>
            <w:r w:rsidRPr="008807FF">
              <w:rPr>
                <w:sz w:val="18"/>
                <w:szCs w:val="18"/>
                <w:lang w:eastAsia="zh-TW"/>
              </w:rPr>
              <w:t>)</w:t>
            </w:r>
          </w:p>
        </w:tc>
        <w:tc>
          <w:tcPr>
            <w:tcW w:w="1134" w:type="dxa"/>
            <w:tcMar>
              <w:left w:w="0" w:type="dxa"/>
              <w:right w:w="0" w:type="dxa"/>
            </w:tcMar>
            <w:hideMark/>
          </w:tcPr>
          <w:p w:rsidR="00287F50" w:rsidRPr="008807FF" w:rsidRDefault="00287F50" w:rsidP="0015373F">
            <w:pPr>
              <w:rPr>
                <w:sz w:val="18"/>
                <w:szCs w:val="18"/>
                <w:lang w:eastAsia="zh-TW"/>
              </w:rPr>
            </w:pPr>
            <w:proofErr w:type="spellStart"/>
            <w:r w:rsidRPr="008807FF">
              <w:rPr>
                <w:sz w:val="18"/>
                <w:szCs w:val="18"/>
                <w:lang w:eastAsia="zh-TW"/>
              </w:rPr>
              <w:t>Mycoph</w:t>
            </w:r>
            <w:r w:rsidR="0028625B" w:rsidRPr="008807FF">
              <w:rPr>
                <w:sz w:val="18"/>
                <w:szCs w:val="18"/>
                <w:lang w:eastAsia="zh-TW"/>
              </w:rPr>
              <w:t>-</w:t>
            </w:r>
            <w:r w:rsidRPr="008807FF">
              <w:rPr>
                <w:sz w:val="18"/>
                <w:szCs w:val="18"/>
                <w:lang w:eastAsia="zh-TW"/>
              </w:rPr>
              <w:t>enolate</w:t>
            </w:r>
            <w:proofErr w:type="spellEnd"/>
          </w:p>
        </w:tc>
        <w:tc>
          <w:tcPr>
            <w:tcW w:w="992" w:type="dxa"/>
            <w:tcMar>
              <w:left w:w="0" w:type="dxa"/>
              <w:right w:w="0" w:type="dxa"/>
            </w:tcMar>
            <w:hideMark/>
          </w:tcPr>
          <w:p w:rsidR="00287F50" w:rsidRPr="008807FF" w:rsidRDefault="00287F50" w:rsidP="0015373F">
            <w:pPr>
              <w:rPr>
                <w:sz w:val="18"/>
                <w:szCs w:val="18"/>
                <w:lang w:eastAsia="zh-TW"/>
              </w:rPr>
            </w:pPr>
            <w:r w:rsidRPr="008807FF">
              <w:rPr>
                <w:sz w:val="18"/>
                <w:szCs w:val="18"/>
                <w:lang w:eastAsia="zh-TW"/>
              </w:rPr>
              <w:t>Placebo</w:t>
            </w:r>
          </w:p>
        </w:tc>
        <w:tc>
          <w:tcPr>
            <w:tcW w:w="1559" w:type="dxa"/>
            <w:tcMar>
              <w:left w:w="0" w:type="dxa"/>
              <w:right w:w="0" w:type="dxa"/>
            </w:tcMar>
            <w:hideMark/>
          </w:tcPr>
          <w:p w:rsidR="00287F50" w:rsidRPr="008807FF" w:rsidRDefault="00287F50" w:rsidP="0015373F">
            <w:pPr>
              <w:rPr>
                <w:sz w:val="18"/>
                <w:szCs w:val="18"/>
                <w:lang w:eastAsia="zh-TW"/>
              </w:rPr>
            </w:pPr>
            <w:proofErr w:type="spellStart"/>
            <w:r w:rsidRPr="008807FF">
              <w:rPr>
                <w:sz w:val="18"/>
                <w:szCs w:val="18"/>
                <w:lang w:eastAsia="zh-TW"/>
              </w:rPr>
              <w:t>Everolimus</w:t>
            </w:r>
            <w:proofErr w:type="spellEnd"/>
            <w:r w:rsidRPr="008807FF">
              <w:rPr>
                <w:sz w:val="18"/>
                <w:szCs w:val="18"/>
                <w:lang w:eastAsia="zh-TW"/>
              </w:rPr>
              <w:t xml:space="preserve"> </w:t>
            </w:r>
          </w:p>
        </w:tc>
        <w:tc>
          <w:tcPr>
            <w:tcW w:w="1345" w:type="dxa"/>
            <w:tcMar>
              <w:left w:w="0" w:type="dxa"/>
              <w:right w:w="0" w:type="dxa"/>
            </w:tcMar>
          </w:tcPr>
          <w:p w:rsidR="00287F50" w:rsidRPr="008807FF" w:rsidRDefault="00287F50" w:rsidP="0015373F">
            <w:pPr>
              <w:rPr>
                <w:sz w:val="18"/>
                <w:szCs w:val="18"/>
                <w:lang w:eastAsia="zh-TW"/>
              </w:rPr>
            </w:pPr>
          </w:p>
        </w:tc>
      </w:tr>
      <w:tr w:rsidR="00287F50" w:rsidRPr="008807FF" w:rsidTr="0015373F">
        <w:tc>
          <w:tcPr>
            <w:tcW w:w="1599" w:type="dxa"/>
            <w:tcMar>
              <w:left w:w="0" w:type="dxa"/>
              <w:right w:w="0" w:type="dxa"/>
            </w:tcMar>
            <w:hideMark/>
          </w:tcPr>
          <w:p w:rsidR="00287F50" w:rsidRPr="008807FF" w:rsidRDefault="00287F50" w:rsidP="0015373F">
            <w:pPr>
              <w:rPr>
                <w:rFonts w:asciiTheme="minorHAnsi" w:hAnsiTheme="minorHAnsi"/>
                <w:sz w:val="18"/>
                <w:szCs w:val="18"/>
                <w:lang w:eastAsia="zh-TW"/>
              </w:rPr>
            </w:pPr>
            <w:r w:rsidRPr="008807FF">
              <w:rPr>
                <w:rFonts w:asciiTheme="minorHAnsi" w:hAnsiTheme="minorHAnsi"/>
                <w:sz w:val="18"/>
                <w:szCs w:val="18"/>
                <w:lang w:eastAsia="zh-TW"/>
              </w:rPr>
              <w:t xml:space="preserve">Clinical </w:t>
            </w:r>
            <w:r w:rsidRPr="008807FF">
              <w:rPr>
                <w:rFonts w:asciiTheme="minorHAnsi" w:hAnsiTheme="minorHAnsi"/>
                <w:sz w:val="18"/>
                <w:szCs w:val="18"/>
                <w:lang w:eastAsia="zh-TW"/>
              </w:rPr>
              <w:lastRenderedPageBreak/>
              <w:t>pharmacology</w:t>
            </w:r>
          </w:p>
        </w:tc>
        <w:tc>
          <w:tcPr>
            <w:tcW w:w="1417" w:type="dxa"/>
            <w:tcMar>
              <w:left w:w="0" w:type="dxa"/>
              <w:right w:w="0" w:type="dxa"/>
            </w:tcMar>
          </w:tcPr>
          <w:p w:rsidR="00287F50" w:rsidRPr="008807FF" w:rsidRDefault="00287F50" w:rsidP="0015373F">
            <w:pPr>
              <w:rPr>
                <w:rFonts w:asciiTheme="minorHAnsi" w:hAnsiTheme="minorHAnsi"/>
                <w:sz w:val="18"/>
                <w:szCs w:val="18"/>
                <w:lang w:eastAsia="zh-TW"/>
              </w:rPr>
            </w:pPr>
          </w:p>
        </w:tc>
        <w:tc>
          <w:tcPr>
            <w:tcW w:w="1276" w:type="dxa"/>
            <w:tcMar>
              <w:left w:w="0" w:type="dxa"/>
              <w:right w:w="0" w:type="dxa"/>
            </w:tcMar>
          </w:tcPr>
          <w:p w:rsidR="00287F50" w:rsidRPr="008807FF" w:rsidRDefault="00287F50" w:rsidP="0015373F">
            <w:pPr>
              <w:rPr>
                <w:rFonts w:asciiTheme="minorHAnsi" w:hAnsiTheme="minorHAnsi"/>
                <w:sz w:val="18"/>
                <w:szCs w:val="18"/>
                <w:lang w:eastAsia="zh-TW"/>
              </w:rPr>
            </w:pPr>
          </w:p>
        </w:tc>
        <w:tc>
          <w:tcPr>
            <w:tcW w:w="1134" w:type="dxa"/>
            <w:tcMar>
              <w:left w:w="0" w:type="dxa"/>
              <w:right w:w="0" w:type="dxa"/>
            </w:tcMar>
          </w:tcPr>
          <w:p w:rsidR="00287F50" w:rsidRPr="008807FF" w:rsidRDefault="00287F50" w:rsidP="0015373F">
            <w:pPr>
              <w:rPr>
                <w:rFonts w:asciiTheme="minorHAnsi" w:hAnsiTheme="minorHAnsi"/>
                <w:sz w:val="18"/>
                <w:szCs w:val="18"/>
                <w:lang w:eastAsia="zh-TW"/>
              </w:rPr>
            </w:pPr>
          </w:p>
        </w:tc>
        <w:tc>
          <w:tcPr>
            <w:tcW w:w="992" w:type="dxa"/>
            <w:tcMar>
              <w:left w:w="0" w:type="dxa"/>
              <w:right w:w="0" w:type="dxa"/>
            </w:tcMar>
          </w:tcPr>
          <w:p w:rsidR="00287F50" w:rsidRPr="008807FF" w:rsidRDefault="00287F50" w:rsidP="0015373F">
            <w:pPr>
              <w:rPr>
                <w:rFonts w:asciiTheme="minorHAnsi" w:hAnsiTheme="minorHAnsi"/>
                <w:sz w:val="18"/>
                <w:szCs w:val="18"/>
                <w:lang w:eastAsia="zh-TW"/>
              </w:rPr>
            </w:pPr>
          </w:p>
        </w:tc>
        <w:tc>
          <w:tcPr>
            <w:tcW w:w="1559" w:type="dxa"/>
            <w:tcMar>
              <w:left w:w="0" w:type="dxa"/>
              <w:right w:w="0" w:type="dxa"/>
            </w:tcMar>
            <w:hideMark/>
          </w:tcPr>
          <w:p w:rsidR="00287F50" w:rsidRPr="008807FF" w:rsidRDefault="00287F50" w:rsidP="0015373F">
            <w:pPr>
              <w:rPr>
                <w:rFonts w:asciiTheme="minorHAnsi" w:hAnsiTheme="minorHAnsi"/>
                <w:sz w:val="18"/>
                <w:szCs w:val="18"/>
                <w:lang w:eastAsia="zh-TW"/>
              </w:rPr>
            </w:pPr>
            <w:r w:rsidRPr="008807FF">
              <w:rPr>
                <w:rFonts w:asciiTheme="minorHAnsi" w:hAnsiTheme="minorHAnsi"/>
                <w:sz w:val="18"/>
                <w:szCs w:val="18"/>
                <w:lang w:eastAsia="zh-TW"/>
              </w:rPr>
              <w:t>59</w:t>
            </w:r>
          </w:p>
        </w:tc>
        <w:tc>
          <w:tcPr>
            <w:tcW w:w="1345" w:type="dxa"/>
            <w:tcMar>
              <w:left w:w="0" w:type="dxa"/>
              <w:right w:w="0" w:type="dxa"/>
            </w:tcMar>
            <w:hideMark/>
          </w:tcPr>
          <w:p w:rsidR="00287F50" w:rsidRPr="008807FF" w:rsidRDefault="00287F50" w:rsidP="0015373F">
            <w:pPr>
              <w:rPr>
                <w:rFonts w:asciiTheme="minorHAnsi" w:hAnsiTheme="minorHAnsi"/>
                <w:sz w:val="18"/>
                <w:szCs w:val="18"/>
                <w:lang w:eastAsia="zh-TW"/>
              </w:rPr>
            </w:pPr>
            <w:r w:rsidRPr="008807FF">
              <w:rPr>
                <w:rFonts w:asciiTheme="minorHAnsi" w:hAnsiTheme="minorHAnsi"/>
                <w:sz w:val="18"/>
                <w:szCs w:val="18"/>
                <w:lang w:eastAsia="zh-TW"/>
              </w:rPr>
              <w:t>59</w:t>
            </w:r>
          </w:p>
        </w:tc>
      </w:tr>
      <w:tr w:rsidR="00287F50" w:rsidRPr="008807FF" w:rsidTr="0015373F">
        <w:tc>
          <w:tcPr>
            <w:tcW w:w="1599" w:type="dxa"/>
            <w:tcMar>
              <w:left w:w="0" w:type="dxa"/>
              <w:right w:w="0" w:type="dxa"/>
            </w:tcMar>
            <w:hideMark/>
          </w:tcPr>
          <w:p w:rsidR="00287F50" w:rsidRPr="008807FF" w:rsidRDefault="00287F50" w:rsidP="0015373F">
            <w:pPr>
              <w:rPr>
                <w:rFonts w:asciiTheme="minorHAnsi" w:hAnsiTheme="minorHAnsi"/>
                <w:sz w:val="18"/>
                <w:szCs w:val="18"/>
                <w:lang w:eastAsia="zh-TW"/>
              </w:rPr>
            </w:pPr>
            <w:r w:rsidRPr="008807FF">
              <w:rPr>
                <w:rFonts w:asciiTheme="minorHAnsi" w:hAnsiTheme="minorHAnsi"/>
                <w:sz w:val="18"/>
                <w:szCs w:val="18"/>
                <w:lang w:eastAsia="zh-TW"/>
              </w:rPr>
              <w:lastRenderedPageBreak/>
              <w:t>Hepatic transplant</w:t>
            </w:r>
          </w:p>
        </w:tc>
        <w:tc>
          <w:tcPr>
            <w:tcW w:w="1417" w:type="dxa"/>
            <w:tcMar>
              <w:left w:w="0" w:type="dxa"/>
              <w:right w:w="0" w:type="dxa"/>
            </w:tcMar>
          </w:tcPr>
          <w:p w:rsidR="00287F50" w:rsidRPr="008807FF" w:rsidRDefault="00287F50" w:rsidP="0015373F">
            <w:pPr>
              <w:rPr>
                <w:rFonts w:asciiTheme="minorHAnsi" w:hAnsiTheme="minorHAnsi"/>
                <w:sz w:val="18"/>
                <w:szCs w:val="18"/>
                <w:lang w:eastAsia="zh-TW"/>
              </w:rPr>
            </w:pPr>
          </w:p>
        </w:tc>
        <w:tc>
          <w:tcPr>
            <w:tcW w:w="1276" w:type="dxa"/>
            <w:tcMar>
              <w:left w:w="0" w:type="dxa"/>
              <w:right w:w="0" w:type="dxa"/>
            </w:tcMar>
          </w:tcPr>
          <w:p w:rsidR="00287F50" w:rsidRPr="008807FF" w:rsidRDefault="00287F50" w:rsidP="0015373F">
            <w:pPr>
              <w:rPr>
                <w:rFonts w:asciiTheme="minorHAnsi" w:hAnsiTheme="minorHAnsi"/>
                <w:sz w:val="18"/>
                <w:szCs w:val="18"/>
                <w:lang w:eastAsia="zh-TW"/>
              </w:rPr>
            </w:pPr>
          </w:p>
        </w:tc>
        <w:tc>
          <w:tcPr>
            <w:tcW w:w="1134" w:type="dxa"/>
            <w:tcMar>
              <w:left w:w="0" w:type="dxa"/>
              <w:right w:w="0" w:type="dxa"/>
            </w:tcMar>
          </w:tcPr>
          <w:p w:rsidR="00287F50" w:rsidRPr="008807FF" w:rsidRDefault="00287F50" w:rsidP="0015373F">
            <w:pPr>
              <w:rPr>
                <w:rFonts w:asciiTheme="minorHAnsi" w:hAnsiTheme="minorHAnsi"/>
                <w:sz w:val="18"/>
                <w:szCs w:val="18"/>
                <w:lang w:eastAsia="zh-TW"/>
              </w:rPr>
            </w:pPr>
          </w:p>
        </w:tc>
        <w:tc>
          <w:tcPr>
            <w:tcW w:w="992" w:type="dxa"/>
            <w:tcMar>
              <w:left w:w="0" w:type="dxa"/>
              <w:right w:w="0" w:type="dxa"/>
            </w:tcMar>
          </w:tcPr>
          <w:p w:rsidR="00287F50" w:rsidRPr="008807FF" w:rsidRDefault="00287F50" w:rsidP="0015373F">
            <w:pPr>
              <w:rPr>
                <w:rFonts w:asciiTheme="minorHAnsi" w:hAnsiTheme="minorHAnsi"/>
                <w:sz w:val="18"/>
                <w:szCs w:val="18"/>
                <w:lang w:eastAsia="zh-TW"/>
              </w:rPr>
            </w:pPr>
          </w:p>
        </w:tc>
        <w:tc>
          <w:tcPr>
            <w:tcW w:w="1559" w:type="dxa"/>
            <w:tcMar>
              <w:left w:w="0" w:type="dxa"/>
              <w:right w:w="0" w:type="dxa"/>
            </w:tcMar>
          </w:tcPr>
          <w:p w:rsidR="00287F50" w:rsidRPr="008807FF" w:rsidRDefault="00287F50" w:rsidP="0015373F">
            <w:pPr>
              <w:rPr>
                <w:rFonts w:asciiTheme="minorHAnsi" w:hAnsiTheme="minorHAnsi"/>
                <w:sz w:val="18"/>
                <w:szCs w:val="18"/>
                <w:lang w:eastAsia="zh-TW"/>
              </w:rPr>
            </w:pPr>
          </w:p>
        </w:tc>
        <w:tc>
          <w:tcPr>
            <w:tcW w:w="1345" w:type="dxa"/>
            <w:tcMar>
              <w:left w:w="0" w:type="dxa"/>
              <w:right w:w="0" w:type="dxa"/>
            </w:tcMar>
          </w:tcPr>
          <w:p w:rsidR="00287F50" w:rsidRPr="008807FF" w:rsidRDefault="00287F50" w:rsidP="0015373F">
            <w:pPr>
              <w:rPr>
                <w:rFonts w:asciiTheme="minorHAnsi" w:hAnsiTheme="minorHAnsi"/>
                <w:sz w:val="18"/>
                <w:szCs w:val="18"/>
                <w:lang w:eastAsia="zh-TW"/>
              </w:rPr>
            </w:pPr>
          </w:p>
        </w:tc>
      </w:tr>
      <w:tr w:rsidR="00287F50" w:rsidRPr="008807FF" w:rsidTr="0015373F">
        <w:tc>
          <w:tcPr>
            <w:tcW w:w="1599" w:type="dxa"/>
            <w:tcMar>
              <w:left w:w="0" w:type="dxa"/>
              <w:right w:w="0" w:type="dxa"/>
            </w:tcMar>
            <w:hideMark/>
          </w:tcPr>
          <w:p w:rsidR="00287F50" w:rsidRPr="008807FF" w:rsidRDefault="00287F50" w:rsidP="0015373F">
            <w:pPr>
              <w:rPr>
                <w:rFonts w:asciiTheme="minorHAnsi" w:hAnsiTheme="minorHAnsi"/>
                <w:sz w:val="18"/>
                <w:szCs w:val="18"/>
                <w:lang w:eastAsia="zh-TW"/>
              </w:rPr>
            </w:pPr>
            <w:r w:rsidRPr="008807FF">
              <w:rPr>
                <w:rFonts w:asciiTheme="minorHAnsi" w:hAnsiTheme="minorHAnsi"/>
                <w:sz w:val="18"/>
                <w:szCs w:val="18"/>
                <w:lang w:eastAsia="zh-TW"/>
              </w:rPr>
              <w:t>H2304</w:t>
            </w:r>
          </w:p>
        </w:tc>
        <w:tc>
          <w:tcPr>
            <w:tcW w:w="1417" w:type="dxa"/>
            <w:tcMar>
              <w:left w:w="0" w:type="dxa"/>
              <w:right w:w="0" w:type="dxa"/>
            </w:tcMar>
            <w:hideMark/>
          </w:tcPr>
          <w:p w:rsidR="00287F50" w:rsidRPr="008807FF" w:rsidRDefault="00287F50" w:rsidP="0015373F">
            <w:pPr>
              <w:rPr>
                <w:rFonts w:asciiTheme="minorHAnsi" w:hAnsiTheme="minorHAnsi"/>
                <w:sz w:val="18"/>
                <w:szCs w:val="18"/>
                <w:lang w:eastAsia="zh-TW"/>
              </w:rPr>
            </w:pPr>
            <w:r w:rsidRPr="008807FF">
              <w:rPr>
                <w:rFonts w:asciiTheme="minorHAnsi" w:hAnsiTheme="minorHAnsi"/>
                <w:sz w:val="18"/>
                <w:szCs w:val="18"/>
                <w:lang w:eastAsia="zh-TW"/>
              </w:rPr>
              <w:t>475</w:t>
            </w:r>
          </w:p>
        </w:tc>
        <w:tc>
          <w:tcPr>
            <w:tcW w:w="1276" w:type="dxa"/>
            <w:tcMar>
              <w:left w:w="0" w:type="dxa"/>
              <w:right w:w="0" w:type="dxa"/>
            </w:tcMar>
            <w:hideMark/>
          </w:tcPr>
          <w:p w:rsidR="00287F50" w:rsidRPr="008807FF" w:rsidRDefault="00287F50" w:rsidP="0015373F">
            <w:pPr>
              <w:rPr>
                <w:rFonts w:asciiTheme="minorHAnsi" w:hAnsiTheme="minorHAnsi"/>
                <w:sz w:val="18"/>
                <w:szCs w:val="18"/>
                <w:lang w:eastAsia="zh-TW"/>
              </w:rPr>
            </w:pPr>
            <w:r w:rsidRPr="008807FF">
              <w:rPr>
                <w:rFonts w:asciiTheme="minorHAnsi" w:hAnsiTheme="minorHAnsi"/>
                <w:sz w:val="18"/>
                <w:szCs w:val="18"/>
                <w:lang w:eastAsia="zh-TW"/>
              </w:rPr>
              <w:t>241 (TAC)</w:t>
            </w:r>
          </w:p>
        </w:tc>
        <w:tc>
          <w:tcPr>
            <w:tcW w:w="1134" w:type="dxa"/>
            <w:tcMar>
              <w:left w:w="0" w:type="dxa"/>
              <w:right w:w="0" w:type="dxa"/>
            </w:tcMar>
          </w:tcPr>
          <w:p w:rsidR="00287F50" w:rsidRPr="008807FF" w:rsidRDefault="00287F50" w:rsidP="0015373F">
            <w:pPr>
              <w:rPr>
                <w:rFonts w:asciiTheme="minorHAnsi" w:hAnsiTheme="minorHAnsi"/>
                <w:sz w:val="18"/>
                <w:szCs w:val="18"/>
                <w:lang w:eastAsia="zh-TW"/>
              </w:rPr>
            </w:pPr>
          </w:p>
        </w:tc>
        <w:tc>
          <w:tcPr>
            <w:tcW w:w="992" w:type="dxa"/>
            <w:tcMar>
              <w:left w:w="0" w:type="dxa"/>
              <w:right w:w="0" w:type="dxa"/>
            </w:tcMar>
          </w:tcPr>
          <w:p w:rsidR="00287F50" w:rsidRPr="008807FF" w:rsidRDefault="00287F50" w:rsidP="0015373F">
            <w:pPr>
              <w:rPr>
                <w:rFonts w:asciiTheme="minorHAnsi" w:hAnsiTheme="minorHAnsi"/>
                <w:sz w:val="18"/>
                <w:szCs w:val="18"/>
                <w:lang w:eastAsia="zh-TW"/>
              </w:rPr>
            </w:pPr>
          </w:p>
        </w:tc>
        <w:tc>
          <w:tcPr>
            <w:tcW w:w="1559" w:type="dxa"/>
            <w:tcMar>
              <w:left w:w="0" w:type="dxa"/>
              <w:right w:w="0" w:type="dxa"/>
            </w:tcMar>
          </w:tcPr>
          <w:p w:rsidR="00287F50" w:rsidRPr="008807FF" w:rsidRDefault="00287F50" w:rsidP="0015373F">
            <w:pPr>
              <w:rPr>
                <w:rFonts w:asciiTheme="minorHAnsi" w:hAnsiTheme="minorHAnsi"/>
                <w:sz w:val="18"/>
                <w:szCs w:val="18"/>
                <w:lang w:eastAsia="zh-TW"/>
              </w:rPr>
            </w:pPr>
          </w:p>
        </w:tc>
        <w:tc>
          <w:tcPr>
            <w:tcW w:w="1345" w:type="dxa"/>
            <w:tcMar>
              <w:left w:w="0" w:type="dxa"/>
              <w:right w:w="0" w:type="dxa"/>
            </w:tcMar>
            <w:hideMark/>
          </w:tcPr>
          <w:p w:rsidR="00287F50" w:rsidRPr="008807FF" w:rsidRDefault="00287F50" w:rsidP="0015373F">
            <w:pPr>
              <w:rPr>
                <w:rFonts w:asciiTheme="minorHAnsi" w:hAnsiTheme="minorHAnsi"/>
                <w:sz w:val="18"/>
                <w:szCs w:val="18"/>
                <w:lang w:eastAsia="zh-TW"/>
              </w:rPr>
            </w:pPr>
            <w:r w:rsidRPr="008807FF">
              <w:rPr>
                <w:rFonts w:asciiTheme="minorHAnsi" w:hAnsiTheme="minorHAnsi"/>
                <w:sz w:val="18"/>
                <w:szCs w:val="18"/>
                <w:lang w:eastAsia="zh-TW"/>
              </w:rPr>
              <w:t>475</w:t>
            </w:r>
          </w:p>
        </w:tc>
      </w:tr>
      <w:tr w:rsidR="00287F50" w:rsidRPr="008807FF" w:rsidTr="0015373F">
        <w:tc>
          <w:tcPr>
            <w:tcW w:w="1599" w:type="dxa"/>
            <w:tcMar>
              <w:left w:w="0" w:type="dxa"/>
              <w:right w:w="0" w:type="dxa"/>
            </w:tcMar>
            <w:hideMark/>
          </w:tcPr>
          <w:p w:rsidR="00287F50" w:rsidRPr="008807FF" w:rsidRDefault="00287F50" w:rsidP="0015373F">
            <w:pPr>
              <w:rPr>
                <w:rFonts w:asciiTheme="minorHAnsi" w:hAnsiTheme="minorHAnsi"/>
                <w:sz w:val="18"/>
                <w:szCs w:val="18"/>
                <w:lang w:eastAsia="zh-TW"/>
              </w:rPr>
            </w:pPr>
            <w:r w:rsidRPr="008807FF">
              <w:rPr>
                <w:rFonts w:asciiTheme="minorHAnsi" w:hAnsiTheme="minorHAnsi"/>
                <w:sz w:val="18"/>
                <w:szCs w:val="18"/>
                <w:lang w:eastAsia="zh-TW"/>
              </w:rPr>
              <w:t>HDE10</w:t>
            </w:r>
          </w:p>
        </w:tc>
        <w:tc>
          <w:tcPr>
            <w:tcW w:w="1417" w:type="dxa"/>
            <w:tcMar>
              <w:left w:w="0" w:type="dxa"/>
              <w:right w:w="0" w:type="dxa"/>
            </w:tcMar>
            <w:hideMark/>
          </w:tcPr>
          <w:p w:rsidR="00287F50" w:rsidRPr="008807FF" w:rsidRDefault="00287F50" w:rsidP="0015373F">
            <w:pPr>
              <w:rPr>
                <w:rFonts w:asciiTheme="minorHAnsi" w:hAnsiTheme="minorHAnsi"/>
                <w:sz w:val="18"/>
                <w:szCs w:val="18"/>
                <w:lang w:eastAsia="zh-TW"/>
              </w:rPr>
            </w:pPr>
            <w:r w:rsidRPr="008807FF">
              <w:rPr>
                <w:rFonts w:asciiTheme="minorHAnsi" w:hAnsiTheme="minorHAnsi"/>
                <w:sz w:val="18"/>
                <w:szCs w:val="18"/>
                <w:lang w:eastAsia="zh-TW"/>
              </w:rPr>
              <w:t>101</w:t>
            </w:r>
          </w:p>
        </w:tc>
        <w:tc>
          <w:tcPr>
            <w:tcW w:w="1276" w:type="dxa"/>
            <w:tcMar>
              <w:left w:w="0" w:type="dxa"/>
              <w:right w:w="0" w:type="dxa"/>
            </w:tcMar>
            <w:hideMark/>
          </w:tcPr>
          <w:p w:rsidR="00287F50" w:rsidRPr="008807FF" w:rsidRDefault="00287F50" w:rsidP="0015373F">
            <w:pPr>
              <w:rPr>
                <w:rFonts w:asciiTheme="minorHAnsi" w:hAnsiTheme="minorHAnsi"/>
                <w:sz w:val="18"/>
                <w:szCs w:val="18"/>
                <w:lang w:eastAsia="zh-TW"/>
              </w:rPr>
            </w:pPr>
            <w:r w:rsidRPr="008807FF">
              <w:rPr>
                <w:rFonts w:asciiTheme="minorHAnsi" w:hAnsiTheme="minorHAnsi"/>
                <w:sz w:val="18"/>
                <w:szCs w:val="18"/>
                <w:lang w:eastAsia="zh-TW"/>
              </w:rPr>
              <w:t>102 (either)</w:t>
            </w:r>
          </w:p>
        </w:tc>
        <w:tc>
          <w:tcPr>
            <w:tcW w:w="1134" w:type="dxa"/>
            <w:tcMar>
              <w:left w:w="0" w:type="dxa"/>
              <w:right w:w="0" w:type="dxa"/>
            </w:tcMar>
          </w:tcPr>
          <w:p w:rsidR="00287F50" w:rsidRPr="008807FF" w:rsidRDefault="00287F50" w:rsidP="0015373F">
            <w:pPr>
              <w:rPr>
                <w:rFonts w:asciiTheme="minorHAnsi" w:hAnsiTheme="minorHAnsi"/>
                <w:sz w:val="18"/>
                <w:szCs w:val="18"/>
                <w:lang w:eastAsia="zh-TW"/>
              </w:rPr>
            </w:pPr>
          </w:p>
        </w:tc>
        <w:tc>
          <w:tcPr>
            <w:tcW w:w="992" w:type="dxa"/>
            <w:tcMar>
              <w:left w:w="0" w:type="dxa"/>
              <w:right w:w="0" w:type="dxa"/>
            </w:tcMar>
          </w:tcPr>
          <w:p w:rsidR="00287F50" w:rsidRPr="008807FF" w:rsidRDefault="00287F50" w:rsidP="0015373F">
            <w:pPr>
              <w:rPr>
                <w:rFonts w:asciiTheme="minorHAnsi" w:hAnsiTheme="minorHAnsi"/>
                <w:sz w:val="18"/>
                <w:szCs w:val="18"/>
                <w:lang w:eastAsia="zh-TW"/>
              </w:rPr>
            </w:pPr>
          </w:p>
        </w:tc>
        <w:tc>
          <w:tcPr>
            <w:tcW w:w="1559" w:type="dxa"/>
            <w:tcMar>
              <w:left w:w="0" w:type="dxa"/>
              <w:right w:w="0" w:type="dxa"/>
            </w:tcMar>
          </w:tcPr>
          <w:p w:rsidR="00287F50" w:rsidRPr="008807FF" w:rsidRDefault="00287F50" w:rsidP="0015373F">
            <w:pPr>
              <w:rPr>
                <w:rFonts w:asciiTheme="minorHAnsi" w:hAnsiTheme="minorHAnsi"/>
                <w:sz w:val="18"/>
                <w:szCs w:val="18"/>
                <w:lang w:eastAsia="zh-TW"/>
              </w:rPr>
            </w:pPr>
          </w:p>
        </w:tc>
        <w:tc>
          <w:tcPr>
            <w:tcW w:w="1345" w:type="dxa"/>
            <w:tcMar>
              <w:left w:w="0" w:type="dxa"/>
              <w:right w:w="0" w:type="dxa"/>
            </w:tcMar>
            <w:hideMark/>
          </w:tcPr>
          <w:p w:rsidR="00287F50" w:rsidRPr="008807FF" w:rsidRDefault="00287F50" w:rsidP="0015373F">
            <w:pPr>
              <w:rPr>
                <w:rFonts w:asciiTheme="minorHAnsi" w:hAnsiTheme="minorHAnsi"/>
                <w:sz w:val="18"/>
                <w:szCs w:val="18"/>
                <w:lang w:eastAsia="zh-TW"/>
              </w:rPr>
            </w:pPr>
            <w:r w:rsidRPr="008807FF">
              <w:rPr>
                <w:rFonts w:asciiTheme="minorHAnsi" w:hAnsiTheme="minorHAnsi"/>
                <w:sz w:val="18"/>
                <w:szCs w:val="18"/>
                <w:lang w:eastAsia="zh-TW"/>
              </w:rPr>
              <w:t>101</w:t>
            </w:r>
          </w:p>
        </w:tc>
      </w:tr>
      <w:tr w:rsidR="00287F50" w:rsidRPr="008807FF" w:rsidTr="0015373F">
        <w:tc>
          <w:tcPr>
            <w:tcW w:w="1599" w:type="dxa"/>
            <w:tcMar>
              <w:left w:w="0" w:type="dxa"/>
              <w:right w:w="0" w:type="dxa"/>
            </w:tcMar>
            <w:hideMark/>
          </w:tcPr>
          <w:p w:rsidR="00287F50" w:rsidRPr="008807FF" w:rsidRDefault="00287F50" w:rsidP="0015373F">
            <w:pPr>
              <w:rPr>
                <w:rFonts w:asciiTheme="minorHAnsi" w:hAnsiTheme="minorHAnsi"/>
                <w:sz w:val="18"/>
                <w:szCs w:val="18"/>
                <w:lang w:eastAsia="zh-TW"/>
              </w:rPr>
            </w:pPr>
            <w:r w:rsidRPr="008807FF">
              <w:rPr>
                <w:rFonts w:asciiTheme="minorHAnsi" w:hAnsiTheme="minorHAnsi"/>
                <w:sz w:val="18"/>
                <w:szCs w:val="18"/>
                <w:lang w:eastAsia="zh-TW"/>
              </w:rPr>
              <w:t>H2401</w:t>
            </w:r>
          </w:p>
        </w:tc>
        <w:tc>
          <w:tcPr>
            <w:tcW w:w="1417" w:type="dxa"/>
            <w:tcMar>
              <w:left w:w="0" w:type="dxa"/>
              <w:right w:w="0" w:type="dxa"/>
            </w:tcMar>
            <w:hideMark/>
          </w:tcPr>
          <w:p w:rsidR="00287F50" w:rsidRPr="008807FF" w:rsidRDefault="00287F50" w:rsidP="0015373F">
            <w:pPr>
              <w:rPr>
                <w:rFonts w:asciiTheme="minorHAnsi" w:hAnsiTheme="minorHAnsi"/>
                <w:sz w:val="18"/>
                <w:szCs w:val="18"/>
                <w:lang w:eastAsia="zh-TW"/>
              </w:rPr>
            </w:pPr>
            <w:r w:rsidRPr="008807FF">
              <w:rPr>
                <w:rFonts w:asciiTheme="minorHAnsi" w:hAnsiTheme="minorHAnsi"/>
                <w:sz w:val="18"/>
                <w:szCs w:val="18"/>
                <w:lang w:eastAsia="zh-TW"/>
              </w:rPr>
              <w:t>72</w:t>
            </w:r>
          </w:p>
        </w:tc>
        <w:tc>
          <w:tcPr>
            <w:tcW w:w="1276" w:type="dxa"/>
            <w:tcMar>
              <w:left w:w="0" w:type="dxa"/>
              <w:right w:w="0" w:type="dxa"/>
            </w:tcMar>
            <w:hideMark/>
          </w:tcPr>
          <w:p w:rsidR="00287F50" w:rsidRPr="008807FF" w:rsidRDefault="00287F50" w:rsidP="0015373F">
            <w:pPr>
              <w:rPr>
                <w:rFonts w:asciiTheme="minorHAnsi" w:hAnsiTheme="minorHAnsi"/>
                <w:sz w:val="18"/>
                <w:szCs w:val="18"/>
                <w:lang w:eastAsia="zh-TW"/>
              </w:rPr>
            </w:pPr>
            <w:r w:rsidRPr="008807FF">
              <w:rPr>
                <w:rFonts w:asciiTheme="minorHAnsi" w:hAnsiTheme="minorHAnsi"/>
                <w:sz w:val="18"/>
                <w:szCs w:val="18"/>
                <w:lang w:eastAsia="zh-TW"/>
              </w:rPr>
              <w:t>73 (either)</w:t>
            </w:r>
          </w:p>
        </w:tc>
        <w:tc>
          <w:tcPr>
            <w:tcW w:w="1134" w:type="dxa"/>
            <w:tcMar>
              <w:left w:w="0" w:type="dxa"/>
              <w:right w:w="0" w:type="dxa"/>
            </w:tcMar>
          </w:tcPr>
          <w:p w:rsidR="00287F50" w:rsidRPr="008807FF" w:rsidRDefault="00287F50" w:rsidP="0015373F">
            <w:pPr>
              <w:rPr>
                <w:rFonts w:asciiTheme="minorHAnsi" w:hAnsiTheme="minorHAnsi"/>
                <w:sz w:val="18"/>
                <w:szCs w:val="18"/>
                <w:lang w:eastAsia="zh-TW"/>
              </w:rPr>
            </w:pPr>
          </w:p>
        </w:tc>
        <w:tc>
          <w:tcPr>
            <w:tcW w:w="992" w:type="dxa"/>
            <w:tcMar>
              <w:left w:w="0" w:type="dxa"/>
              <w:right w:w="0" w:type="dxa"/>
            </w:tcMar>
          </w:tcPr>
          <w:p w:rsidR="00287F50" w:rsidRPr="008807FF" w:rsidRDefault="00287F50" w:rsidP="0015373F">
            <w:pPr>
              <w:rPr>
                <w:rFonts w:asciiTheme="minorHAnsi" w:hAnsiTheme="minorHAnsi"/>
                <w:sz w:val="18"/>
                <w:szCs w:val="18"/>
                <w:lang w:eastAsia="zh-TW"/>
              </w:rPr>
            </w:pPr>
          </w:p>
        </w:tc>
        <w:tc>
          <w:tcPr>
            <w:tcW w:w="1559" w:type="dxa"/>
            <w:tcMar>
              <w:left w:w="0" w:type="dxa"/>
              <w:right w:w="0" w:type="dxa"/>
            </w:tcMar>
          </w:tcPr>
          <w:p w:rsidR="00287F50" w:rsidRPr="008807FF" w:rsidRDefault="00287F50" w:rsidP="0015373F">
            <w:pPr>
              <w:rPr>
                <w:rFonts w:asciiTheme="minorHAnsi" w:hAnsiTheme="minorHAnsi"/>
                <w:sz w:val="18"/>
                <w:szCs w:val="18"/>
                <w:lang w:eastAsia="zh-TW"/>
              </w:rPr>
            </w:pPr>
          </w:p>
        </w:tc>
        <w:tc>
          <w:tcPr>
            <w:tcW w:w="1345" w:type="dxa"/>
            <w:tcMar>
              <w:left w:w="0" w:type="dxa"/>
              <w:right w:w="0" w:type="dxa"/>
            </w:tcMar>
            <w:hideMark/>
          </w:tcPr>
          <w:p w:rsidR="00287F50" w:rsidRPr="008807FF" w:rsidRDefault="00287F50" w:rsidP="0015373F">
            <w:pPr>
              <w:rPr>
                <w:rFonts w:asciiTheme="minorHAnsi" w:hAnsiTheme="minorHAnsi"/>
                <w:sz w:val="18"/>
                <w:szCs w:val="18"/>
                <w:lang w:eastAsia="zh-TW"/>
              </w:rPr>
            </w:pPr>
            <w:r w:rsidRPr="008807FF">
              <w:rPr>
                <w:rFonts w:asciiTheme="minorHAnsi" w:hAnsiTheme="minorHAnsi"/>
                <w:sz w:val="18"/>
                <w:szCs w:val="18"/>
                <w:lang w:eastAsia="zh-TW"/>
              </w:rPr>
              <w:t>72</w:t>
            </w:r>
          </w:p>
        </w:tc>
      </w:tr>
      <w:tr w:rsidR="00287F50" w:rsidRPr="008807FF" w:rsidTr="0015373F">
        <w:tc>
          <w:tcPr>
            <w:tcW w:w="1599" w:type="dxa"/>
            <w:tcMar>
              <w:left w:w="0" w:type="dxa"/>
              <w:right w:w="0" w:type="dxa"/>
            </w:tcMar>
            <w:hideMark/>
          </w:tcPr>
          <w:p w:rsidR="00287F50" w:rsidRPr="008807FF" w:rsidRDefault="00287F50" w:rsidP="0015373F">
            <w:pPr>
              <w:rPr>
                <w:rFonts w:asciiTheme="minorHAnsi" w:hAnsiTheme="minorHAnsi"/>
                <w:sz w:val="18"/>
                <w:szCs w:val="18"/>
                <w:lang w:eastAsia="zh-TW"/>
              </w:rPr>
            </w:pPr>
            <w:r w:rsidRPr="008807FF">
              <w:rPr>
                <w:rFonts w:asciiTheme="minorHAnsi" w:hAnsiTheme="minorHAnsi"/>
                <w:sz w:val="18"/>
                <w:szCs w:val="18"/>
                <w:lang w:eastAsia="zh-TW"/>
              </w:rPr>
              <w:t xml:space="preserve">H2301 </w:t>
            </w:r>
          </w:p>
        </w:tc>
        <w:tc>
          <w:tcPr>
            <w:tcW w:w="1417" w:type="dxa"/>
            <w:tcMar>
              <w:left w:w="0" w:type="dxa"/>
              <w:right w:w="0" w:type="dxa"/>
            </w:tcMar>
            <w:hideMark/>
          </w:tcPr>
          <w:p w:rsidR="00287F50" w:rsidRPr="008807FF" w:rsidRDefault="00287F50" w:rsidP="0015373F">
            <w:pPr>
              <w:rPr>
                <w:rFonts w:asciiTheme="minorHAnsi" w:hAnsiTheme="minorHAnsi"/>
                <w:sz w:val="18"/>
                <w:szCs w:val="18"/>
                <w:lang w:eastAsia="zh-TW"/>
              </w:rPr>
            </w:pPr>
            <w:r w:rsidRPr="008807FF">
              <w:rPr>
                <w:rFonts w:asciiTheme="minorHAnsi" w:hAnsiTheme="minorHAnsi"/>
                <w:sz w:val="18"/>
                <w:szCs w:val="18"/>
                <w:lang w:eastAsia="zh-TW"/>
              </w:rPr>
              <w:t>22</w:t>
            </w:r>
          </w:p>
        </w:tc>
        <w:tc>
          <w:tcPr>
            <w:tcW w:w="1276" w:type="dxa"/>
            <w:tcMar>
              <w:left w:w="0" w:type="dxa"/>
              <w:right w:w="0" w:type="dxa"/>
            </w:tcMar>
            <w:hideMark/>
          </w:tcPr>
          <w:p w:rsidR="00287F50" w:rsidRPr="008807FF" w:rsidRDefault="00287F50" w:rsidP="0015373F">
            <w:pPr>
              <w:rPr>
                <w:rFonts w:asciiTheme="minorHAnsi" w:hAnsiTheme="minorHAnsi"/>
                <w:sz w:val="18"/>
                <w:szCs w:val="18"/>
                <w:lang w:eastAsia="zh-TW"/>
              </w:rPr>
            </w:pPr>
            <w:r w:rsidRPr="008807FF">
              <w:rPr>
                <w:rFonts w:asciiTheme="minorHAnsi" w:hAnsiTheme="minorHAnsi"/>
                <w:sz w:val="18"/>
                <w:szCs w:val="18"/>
                <w:lang w:eastAsia="zh-TW"/>
              </w:rPr>
              <w:t>21 (either)</w:t>
            </w:r>
          </w:p>
        </w:tc>
        <w:tc>
          <w:tcPr>
            <w:tcW w:w="1134" w:type="dxa"/>
            <w:tcMar>
              <w:left w:w="0" w:type="dxa"/>
              <w:right w:w="0" w:type="dxa"/>
            </w:tcMar>
          </w:tcPr>
          <w:p w:rsidR="00287F50" w:rsidRPr="008807FF" w:rsidRDefault="00287F50" w:rsidP="0015373F">
            <w:pPr>
              <w:rPr>
                <w:rFonts w:asciiTheme="minorHAnsi" w:hAnsiTheme="minorHAnsi"/>
                <w:sz w:val="18"/>
                <w:szCs w:val="18"/>
                <w:lang w:eastAsia="zh-TW"/>
              </w:rPr>
            </w:pPr>
          </w:p>
        </w:tc>
        <w:tc>
          <w:tcPr>
            <w:tcW w:w="992" w:type="dxa"/>
            <w:tcMar>
              <w:left w:w="0" w:type="dxa"/>
              <w:right w:w="0" w:type="dxa"/>
            </w:tcMar>
          </w:tcPr>
          <w:p w:rsidR="00287F50" w:rsidRPr="008807FF" w:rsidRDefault="00287F50" w:rsidP="0015373F">
            <w:pPr>
              <w:rPr>
                <w:rFonts w:asciiTheme="minorHAnsi" w:hAnsiTheme="minorHAnsi"/>
                <w:sz w:val="18"/>
                <w:szCs w:val="18"/>
                <w:lang w:eastAsia="zh-TW"/>
              </w:rPr>
            </w:pPr>
          </w:p>
        </w:tc>
        <w:tc>
          <w:tcPr>
            <w:tcW w:w="1559" w:type="dxa"/>
            <w:tcMar>
              <w:left w:w="0" w:type="dxa"/>
              <w:right w:w="0" w:type="dxa"/>
            </w:tcMar>
          </w:tcPr>
          <w:p w:rsidR="00287F50" w:rsidRPr="008807FF" w:rsidRDefault="00287F50" w:rsidP="0015373F">
            <w:pPr>
              <w:rPr>
                <w:rFonts w:asciiTheme="minorHAnsi" w:hAnsiTheme="minorHAnsi"/>
                <w:sz w:val="18"/>
                <w:szCs w:val="18"/>
                <w:lang w:eastAsia="zh-TW"/>
              </w:rPr>
            </w:pPr>
          </w:p>
        </w:tc>
        <w:tc>
          <w:tcPr>
            <w:tcW w:w="1345" w:type="dxa"/>
            <w:tcMar>
              <w:left w:w="0" w:type="dxa"/>
              <w:right w:w="0" w:type="dxa"/>
            </w:tcMar>
            <w:hideMark/>
          </w:tcPr>
          <w:p w:rsidR="00287F50" w:rsidRPr="008807FF" w:rsidRDefault="00287F50" w:rsidP="0015373F">
            <w:pPr>
              <w:rPr>
                <w:rFonts w:asciiTheme="minorHAnsi" w:hAnsiTheme="minorHAnsi"/>
                <w:sz w:val="18"/>
                <w:szCs w:val="18"/>
                <w:lang w:eastAsia="zh-TW"/>
              </w:rPr>
            </w:pPr>
            <w:r w:rsidRPr="008807FF">
              <w:rPr>
                <w:rFonts w:asciiTheme="minorHAnsi" w:hAnsiTheme="minorHAnsi"/>
                <w:sz w:val="18"/>
                <w:szCs w:val="18"/>
                <w:lang w:eastAsia="zh-TW"/>
              </w:rPr>
              <w:t>22</w:t>
            </w:r>
          </w:p>
        </w:tc>
      </w:tr>
      <w:tr w:rsidR="00287F50" w:rsidRPr="008807FF" w:rsidTr="0015373F">
        <w:tc>
          <w:tcPr>
            <w:tcW w:w="1599" w:type="dxa"/>
            <w:tcMar>
              <w:left w:w="0" w:type="dxa"/>
              <w:right w:w="0" w:type="dxa"/>
            </w:tcMar>
            <w:hideMark/>
          </w:tcPr>
          <w:p w:rsidR="00287F50" w:rsidRPr="008807FF" w:rsidRDefault="00287F50" w:rsidP="0015373F">
            <w:pPr>
              <w:rPr>
                <w:rFonts w:asciiTheme="minorHAnsi" w:hAnsiTheme="minorHAnsi"/>
                <w:sz w:val="18"/>
                <w:szCs w:val="18"/>
                <w:lang w:eastAsia="zh-TW"/>
              </w:rPr>
            </w:pPr>
            <w:r w:rsidRPr="008807FF">
              <w:rPr>
                <w:rFonts w:asciiTheme="minorHAnsi" w:hAnsiTheme="minorHAnsi"/>
                <w:sz w:val="18"/>
                <w:szCs w:val="18"/>
                <w:lang w:eastAsia="zh-TW"/>
              </w:rPr>
              <w:t xml:space="preserve">B158 </w:t>
            </w:r>
          </w:p>
        </w:tc>
        <w:tc>
          <w:tcPr>
            <w:tcW w:w="1417" w:type="dxa"/>
            <w:tcMar>
              <w:left w:w="0" w:type="dxa"/>
              <w:right w:w="0" w:type="dxa"/>
            </w:tcMar>
            <w:hideMark/>
          </w:tcPr>
          <w:p w:rsidR="00287F50" w:rsidRPr="008807FF" w:rsidRDefault="00287F50" w:rsidP="0015373F">
            <w:pPr>
              <w:rPr>
                <w:rFonts w:asciiTheme="minorHAnsi" w:hAnsiTheme="minorHAnsi"/>
                <w:sz w:val="18"/>
                <w:szCs w:val="18"/>
                <w:lang w:eastAsia="zh-TW"/>
              </w:rPr>
            </w:pPr>
            <w:r w:rsidRPr="008807FF">
              <w:rPr>
                <w:rFonts w:asciiTheme="minorHAnsi" w:hAnsiTheme="minorHAnsi"/>
                <w:sz w:val="18"/>
                <w:szCs w:val="18"/>
                <w:lang w:eastAsia="zh-TW"/>
              </w:rPr>
              <w:t>89</w:t>
            </w:r>
          </w:p>
        </w:tc>
        <w:tc>
          <w:tcPr>
            <w:tcW w:w="1276" w:type="dxa"/>
            <w:tcMar>
              <w:left w:w="0" w:type="dxa"/>
              <w:right w:w="0" w:type="dxa"/>
            </w:tcMar>
          </w:tcPr>
          <w:p w:rsidR="00287F50" w:rsidRPr="008807FF" w:rsidRDefault="00287F50" w:rsidP="0015373F">
            <w:pPr>
              <w:rPr>
                <w:rFonts w:asciiTheme="minorHAnsi" w:hAnsiTheme="minorHAnsi"/>
                <w:sz w:val="18"/>
                <w:szCs w:val="18"/>
                <w:lang w:eastAsia="zh-TW"/>
              </w:rPr>
            </w:pPr>
          </w:p>
        </w:tc>
        <w:tc>
          <w:tcPr>
            <w:tcW w:w="1134" w:type="dxa"/>
            <w:tcMar>
              <w:left w:w="0" w:type="dxa"/>
              <w:right w:w="0" w:type="dxa"/>
            </w:tcMar>
          </w:tcPr>
          <w:p w:rsidR="00287F50" w:rsidRPr="008807FF" w:rsidRDefault="00287F50" w:rsidP="0015373F">
            <w:pPr>
              <w:rPr>
                <w:rFonts w:asciiTheme="minorHAnsi" w:hAnsiTheme="minorHAnsi"/>
                <w:sz w:val="18"/>
                <w:szCs w:val="18"/>
                <w:lang w:eastAsia="zh-TW"/>
              </w:rPr>
            </w:pPr>
          </w:p>
        </w:tc>
        <w:tc>
          <w:tcPr>
            <w:tcW w:w="992" w:type="dxa"/>
            <w:tcMar>
              <w:left w:w="0" w:type="dxa"/>
              <w:right w:w="0" w:type="dxa"/>
            </w:tcMar>
            <w:hideMark/>
          </w:tcPr>
          <w:p w:rsidR="00287F50" w:rsidRPr="008807FF" w:rsidRDefault="00287F50" w:rsidP="0015373F">
            <w:pPr>
              <w:rPr>
                <w:rFonts w:asciiTheme="minorHAnsi" w:hAnsiTheme="minorHAnsi"/>
                <w:sz w:val="18"/>
                <w:szCs w:val="18"/>
                <w:lang w:eastAsia="zh-TW"/>
              </w:rPr>
            </w:pPr>
            <w:r w:rsidRPr="008807FF">
              <w:rPr>
                <w:rFonts w:asciiTheme="minorHAnsi" w:hAnsiTheme="minorHAnsi"/>
                <w:sz w:val="18"/>
                <w:szCs w:val="18"/>
                <w:lang w:eastAsia="zh-TW"/>
              </w:rPr>
              <w:t>30</w:t>
            </w:r>
          </w:p>
        </w:tc>
        <w:tc>
          <w:tcPr>
            <w:tcW w:w="1559" w:type="dxa"/>
            <w:tcMar>
              <w:left w:w="0" w:type="dxa"/>
              <w:right w:w="0" w:type="dxa"/>
            </w:tcMar>
          </w:tcPr>
          <w:p w:rsidR="00287F50" w:rsidRPr="008807FF" w:rsidRDefault="00287F50" w:rsidP="0015373F">
            <w:pPr>
              <w:rPr>
                <w:rFonts w:asciiTheme="minorHAnsi" w:hAnsiTheme="minorHAnsi"/>
                <w:sz w:val="18"/>
                <w:szCs w:val="18"/>
                <w:lang w:eastAsia="zh-TW"/>
              </w:rPr>
            </w:pPr>
          </w:p>
        </w:tc>
        <w:tc>
          <w:tcPr>
            <w:tcW w:w="1345" w:type="dxa"/>
            <w:tcMar>
              <w:left w:w="0" w:type="dxa"/>
              <w:right w:w="0" w:type="dxa"/>
            </w:tcMar>
            <w:hideMark/>
          </w:tcPr>
          <w:p w:rsidR="00287F50" w:rsidRPr="008807FF" w:rsidRDefault="00287F50" w:rsidP="0015373F">
            <w:pPr>
              <w:rPr>
                <w:rFonts w:asciiTheme="minorHAnsi" w:hAnsiTheme="minorHAnsi"/>
                <w:sz w:val="18"/>
                <w:szCs w:val="18"/>
                <w:lang w:eastAsia="zh-TW"/>
              </w:rPr>
            </w:pPr>
            <w:r w:rsidRPr="008807FF">
              <w:rPr>
                <w:rFonts w:asciiTheme="minorHAnsi" w:hAnsiTheme="minorHAnsi"/>
                <w:sz w:val="18"/>
                <w:szCs w:val="18"/>
                <w:lang w:eastAsia="zh-TW"/>
              </w:rPr>
              <w:t>89</w:t>
            </w:r>
          </w:p>
        </w:tc>
      </w:tr>
      <w:tr w:rsidR="00287F50" w:rsidRPr="008807FF" w:rsidTr="0015373F">
        <w:tc>
          <w:tcPr>
            <w:tcW w:w="1599" w:type="dxa"/>
            <w:tcMar>
              <w:left w:w="0" w:type="dxa"/>
              <w:right w:w="0" w:type="dxa"/>
            </w:tcMar>
            <w:hideMark/>
          </w:tcPr>
          <w:p w:rsidR="00287F50" w:rsidRPr="008807FF" w:rsidRDefault="00287F50" w:rsidP="0015373F">
            <w:pPr>
              <w:rPr>
                <w:rFonts w:asciiTheme="minorHAnsi" w:hAnsiTheme="minorHAnsi"/>
                <w:sz w:val="18"/>
                <w:szCs w:val="18"/>
                <w:lang w:eastAsia="zh-TW"/>
              </w:rPr>
            </w:pPr>
            <w:r w:rsidRPr="008807FF">
              <w:rPr>
                <w:rFonts w:asciiTheme="minorHAnsi" w:hAnsiTheme="minorHAnsi"/>
                <w:sz w:val="18"/>
                <w:szCs w:val="18"/>
                <w:lang w:eastAsia="zh-TW"/>
              </w:rPr>
              <w:t xml:space="preserve">Subtotal Hepatic </w:t>
            </w:r>
            <w:proofErr w:type="spellStart"/>
            <w:r w:rsidRPr="008807FF">
              <w:rPr>
                <w:rFonts w:asciiTheme="minorHAnsi" w:hAnsiTheme="minorHAnsi"/>
                <w:sz w:val="18"/>
                <w:szCs w:val="18"/>
                <w:lang w:eastAsia="zh-TW"/>
              </w:rPr>
              <w:t>Tx</w:t>
            </w:r>
            <w:proofErr w:type="spellEnd"/>
          </w:p>
        </w:tc>
        <w:tc>
          <w:tcPr>
            <w:tcW w:w="1417" w:type="dxa"/>
            <w:tcMar>
              <w:left w:w="0" w:type="dxa"/>
              <w:right w:w="0" w:type="dxa"/>
            </w:tcMar>
            <w:hideMark/>
          </w:tcPr>
          <w:p w:rsidR="00287F50" w:rsidRPr="008807FF" w:rsidRDefault="00287F50" w:rsidP="0015373F">
            <w:pPr>
              <w:rPr>
                <w:rFonts w:asciiTheme="minorHAnsi" w:hAnsiTheme="minorHAnsi"/>
                <w:sz w:val="18"/>
                <w:szCs w:val="18"/>
                <w:lang w:eastAsia="zh-TW"/>
              </w:rPr>
            </w:pPr>
            <w:r w:rsidRPr="008807FF">
              <w:rPr>
                <w:rFonts w:asciiTheme="minorHAnsi" w:hAnsiTheme="minorHAnsi"/>
                <w:sz w:val="18"/>
                <w:szCs w:val="18"/>
                <w:lang w:eastAsia="zh-TW"/>
              </w:rPr>
              <w:t>759</w:t>
            </w:r>
          </w:p>
        </w:tc>
        <w:tc>
          <w:tcPr>
            <w:tcW w:w="1276" w:type="dxa"/>
            <w:tcMar>
              <w:left w:w="0" w:type="dxa"/>
              <w:right w:w="0" w:type="dxa"/>
            </w:tcMar>
          </w:tcPr>
          <w:p w:rsidR="00287F50" w:rsidRPr="008807FF" w:rsidRDefault="00287F50" w:rsidP="0015373F">
            <w:pPr>
              <w:rPr>
                <w:rFonts w:asciiTheme="minorHAnsi" w:hAnsiTheme="minorHAnsi"/>
                <w:sz w:val="18"/>
                <w:szCs w:val="18"/>
                <w:lang w:eastAsia="zh-TW"/>
              </w:rPr>
            </w:pPr>
          </w:p>
        </w:tc>
        <w:tc>
          <w:tcPr>
            <w:tcW w:w="1134" w:type="dxa"/>
            <w:tcMar>
              <w:left w:w="0" w:type="dxa"/>
              <w:right w:w="0" w:type="dxa"/>
            </w:tcMar>
          </w:tcPr>
          <w:p w:rsidR="00287F50" w:rsidRPr="008807FF" w:rsidRDefault="00287F50" w:rsidP="0015373F">
            <w:pPr>
              <w:rPr>
                <w:rFonts w:asciiTheme="minorHAnsi" w:hAnsiTheme="minorHAnsi"/>
                <w:sz w:val="18"/>
                <w:szCs w:val="18"/>
                <w:lang w:eastAsia="zh-TW"/>
              </w:rPr>
            </w:pPr>
          </w:p>
        </w:tc>
        <w:tc>
          <w:tcPr>
            <w:tcW w:w="992" w:type="dxa"/>
            <w:tcMar>
              <w:left w:w="0" w:type="dxa"/>
              <w:right w:w="0" w:type="dxa"/>
            </w:tcMar>
          </w:tcPr>
          <w:p w:rsidR="00287F50" w:rsidRPr="008807FF" w:rsidRDefault="00287F50" w:rsidP="0015373F">
            <w:pPr>
              <w:rPr>
                <w:rFonts w:asciiTheme="minorHAnsi" w:hAnsiTheme="minorHAnsi"/>
                <w:sz w:val="18"/>
                <w:szCs w:val="18"/>
                <w:lang w:eastAsia="zh-TW"/>
              </w:rPr>
            </w:pPr>
          </w:p>
        </w:tc>
        <w:tc>
          <w:tcPr>
            <w:tcW w:w="1559" w:type="dxa"/>
            <w:tcMar>
              <w:left w:w="0" w:type="dxa"/>
              <w:right w:w="0" w:type="dxa"/>
            </w:tcMar>
          </w:tcPr>
          <w:p w:rsidR="00287F50" w:rsidRPr="008807FF" w:rsidRDefault="00287F50" w:rsidP="0015373F">
            <w:pPr>
              <w:rPr>
                <w:rFonts w:asciiTheme="minorHAnsi" w:hAnsiTheme="minorHAnsi"/>
                <w:sz w:val="18"/>
                <w:szCs w:val="18"/>
                <w:lang w:eastAsia="zh-TW"/>
              </w:rPr>
            </w:pPr>
          </w:p>
        </w:tc>
        <w:tc>
          <w:tcPr>
            <w:tcW w:w="1345" w:type="dxa"/>
            <w:tcMar>
              <w:left w:w="0" w:type="dxa"/>
              <w:right w:w="0" w:type="dxa"/>
            </w:tcMar>
            <w:hideMark/>
          </w:tcPr>
          <w:p w:rsidR="00287F50" w:rsidRPr="008807FF" w:rsidRDefault="00287F50" w:rsidP="0015373F">
            <w:pPr>
              <w:rPr>
                <w:rFonts w:asciiTheme="minorHAnsi" w:hAnsiTheme="minorHAnsi"/>
                <w:sz w:val="18"/>
                <w:szCs w:val="18"/>
                <w:lang w:eastAsia="zh-TW"/>
              </w:rPr>
            </w:pPr>
            <w:r w:rsidRPr="008807FF">
              <w:rPr>
                <w:rFonts w:asciiTheme="minorHAnsi" w:hAnsiTheme="minorHAnsi"/>
                <w:sz w:val="18"/>
                <w:szCs w:val="18"/>
                <w:lang w:eastAsia="zh-TW"/>
              </w:rPr>
              <w:t>818</w:t>
            </w:r>
          </w:p>
        </w:tc>
      </w:tr>
      <w:tr w:rsidR="00287F50" w:rsidRPr="008807FF" w:rsidTr="0015373F">
        <w:tc>
          <w:tcPr>
            <w:tcW w:w="1599" w:type="dxa"/>
            <w:tcMar>
              <w:left w:w="0" w:type="dxa"/>
              <w:right w:w="0" w:type="dxa"/>
            </w:tcMar>
            <w:hideMark/>
          </w:tcPr>
          <w:p w:rsidR="00287F50" w:rsidRPr="008807FF" w:rsidRDefault="00287F50" w:rsidP="0015373F">
            <w:pPr>
              <w:rPr>
                <w:rFonts w:asciiTheme="minorHAnsi" w:hAnsiTheme="minorHAnsi"/>
                <w:sz w:val="18"/>
                <w:szCs w:val="18"/>
                <w:lang w:eastAsia="zh-TW"/>
              </w:rPr>
            </w:pPr>
            <w:r w:rsidRPr="008807FF">
              <w:rPr>
                <w:rFonts w:asciiTheme="minorHAnsi" w:hAnsiTheme="minorHAnsi"/>
                <w:sz w:val="18"/>
                <w:szCs w:val="18"/>
                <w:lang w:eastAsia="zh-TW"/>
              </w:rPr>
              <w:t>Cardiac transplant</w:t>
            </w:r>
          </w:p>
        </w:tc>
        <w:tc>
          <w:tcPr>
            <w:tcW w:w="1417" w:type="dxa"/>
            <w:tcMar>
              <w:left w:w="0" w:type="dxa"/>
              <w:right w:w="0" w:type="dxa"/>
            </w:tcMar>
          </w:tcPr>
          <w:p w:rsidR="00287F50" w:rsidRPr="008807FF" w:rsidRDefault="00287F50" w:rsidP="0015373F">
            <w:pPr>
              <w:rPr>
                <w:rFonts w:asciiTheme="minorHAnsi" w:hAnsiTheme="minorHAnsi"/>
                <w:sz w:val="18"/>
                <w:szCs w:val="18"/>
                <w:lang w:eastAsia="zh-TW"/>
              </w:rPr>
            </w:pPr>
          </w:p>
        </w:tc>
        <w:tc>
          <w:tcPr>
            <w:tcW w:w="1276" w:type="dxa"/>
            <w:tcMar>
              <w:left w:w="0" w:type="dxa"/>
              <w:right w:w="0" w:type="dxa"/>
            </w:tcMar>
          </w:tcPr>
          <w:p w:rsidR="00287F50" w:rsidRPr="008807FF" w:rsidRDefault="00287F50" w:rsidP="0015373F">
            <w:pPr>
              <w:rPr>
                <w:rFonts w:asciiTheme="minorHAnsi" w:hAnsiTheme="minorHAnsi"/>
                <w:sz w:val="18"/>
                <w:szCs w:val="18"/>
                <w:lang w:eastAsia="zh-TW"/>
              </w:rPr>
            </w:pPr>
          </w:p>
        </w:tc>
        <w:tc>
          <w:tcPr>
            <w:tcW w:w="1134" w:type="dxa"/>
            <w:tcMar>
              <w:left w:w="0" w:type="dxa"/>
              <w:right w:w="0" w:type="dxa"/>
            </w:tcMar>
          </w:tcPr>
          <w:p w:rsidR="00287F50" w:rsidRPr="008807FF" w:rsidRDefault="00287F50" w:rsidP="0015373F">
            <w:pPr>
              <w:rPr>
                <w:rFonts w:asciiTheme="minorHAnsi" w:hAnsiTheme="minorHAnsi"/>
                <w:sz w:val="18"/>
                <w:szCs w:val="18"/>
                <w:lang w:eastAsia="zh-TW"/>
              </w:rPr>
            </w:pPr>
          </w:p>
        </w:tc>
        <w:tc>
          <w:tcPr>
            <w:tcW w:w="992" w:type="dxa"/>
            <w:tcMar>
              <w:left w:w="0" w:type="dxa"/>
              <w:right w:w="0" w:type="dxa"/>
            </w:tcMar>
          </w:tcPr>
          <w:p w:rsidR="00287F50" w:rsidRPr="008807FF" w:rsidRDefault="00287F50" w:rsidP="0015373F">
            <w:pPr>
              <w:rPr>
                <w:rFonts w:asciiTheme="minorHAnsi" w:hAnsiTheme="minorHAnsi"/>
                <w:sz w:val="18"/>
                <w:szCs w:val="18"/>
                <w:lang w:eastAsia="zh-TW"/>
              </w:rPr>
            </w:pPr>
          </w:p>
        </w:tc>
        <w:tc>
          <w:tcPr>
            <w:tcW w:w="1559" w:type="dxa"/>
            <w:tcMar>
              <w:left w:w="0" w:type="dxa"/>
              <w:right w:w="0" w:type="dxa"/>
            </w:tcMar>
          </w:tcPr>
          <w:p w:rsidR="00287F50" w:rsidRPr="008807FF" w:rsidRDefault="00287F50" w:rsidP="0015373F">
            <w:pPr>
              <w:rPr>
                <w:rFonts w:asciiTheme="minorHAnsi" w:hAnsiTheme="minorHAnsi"/>
                <w:sz w:val="18"/>
                <w:szCs w:val="18"/>
                <w:lang w:eastAsia="zh-TW"/>
              </w:rPr>
            </w:pPr>
          </w:p>
        </w:tc>
        <w:tc>
          <w:tcPr>
            <w:tcW w:w="1345" w:type="dxa"/>
            <w:tcMar>
              <w:left w:w="0" w:type="dxa"/>
              <w:right w:w="0" w:type="dxa"/>
            </w:tcMar>
          </w:tcPr>
          <w:p w:rsidR="00287F50" w:rsidRPr="008807FF" w:rsidRDefault="00287F50" w:rsidP="0015373F">
            <w:pPr>
              <w:rPr>
                <w:rFonts w:asciiTheme="minorHAnsi" w:hAnsiTheme="minorHAnsi"/>
                <w:sz w:val="18"/>
                <w:szCs w:val="18"/>
                <w:lang w:eastAsia="zh-TW"/>
              </w:rPr>
            </w:pPr>
          </w:p>
        </w:tc>
      </w:tr>
      <w:tr w:rsidR="00287F50" w:rsidRPr="008807FF" w:rsidTr="0015373F">
        <w:tc>
          <w:tcPr>
            <w:tcW w:w="1599" w:type="dxa"/>
            <w:tcMar>
              <w:left w:w="0" w:type="dxa"/>
              <w:right w:w="0" w:type="dxa"/>
            </w:tcMar>
            <w:hideMark/>
          </w:tcPr>
          <w:p w:rsidR="00287F50" w:rsidRPr="008807FF" w:rsidRDefault="00287F50" w:rsidP="0015373F">
            <w:pPr>
              <w:rPr>
                <w:rFonts w:asciiTheme="minorHAnsi" w:hAnsiTheme="minorHAnsi"/>
                <w:sz w:val="18"/>
                <w:szCs w:val="18"/>
                <w:lang w:eastAsia="zh-TW"/>
              </w:rPr>
            </w:pPr>
            <w:r w:rsidRPr="008807FF">
              <w:rPr>
                <w:rFonts w:asciiTheme="minorHAnsi" w:hAnsiTheme="minorHAnsi"/>
                <w:sz w:val="18"/>
                <w:szCs w:val="18"/>
                <w:lang w:eastAsia="zh-TW"/>
              </w:rPr>
              <w:t>A2310</w:t>
            </w:r>
          </w:p>
        </w:tc>
        <w:tc>
          <w:tcPr>
            <w:tcW w:w="1417" w:type="dxa"/>
            <w:tcMar>
              <w:left w:w="0" w:type="dxa"/>
              <w:right w:w="0" w:type="dxa"/>
            </w:tcMar>
            <w:hideMark/>
          </w:tcPr>
          <w:p w:rsidR="00287F50" w:rsidRPr="008807FF" w:rsidRDefault="00287F50" w:rsidP="0015373F">
            <w:pPr>
              <w:rPr>
                <w:rFonts w:asciiTheme="minorHAnsi" w:hAnsiTheme="minorHAnsi"/>
                <w:sz w:val="18"/>
                <w:szCs w:val="18"/>
                <w:lang w:eastAsia="zh-TW"/>
              </w:rPr>
            </w:pPr>
            <w:r w:rsidRPr="008807FF">
              <w:rPr>
                <w:rFonts w:asciiTheme="minorHAnsi" w:hAnsiTheme="minorHAnsi"/>
                <w:sz w:val="18"/>
                <w:szCs w:val="18"/>
                <w:lang w:eastAsia="zh-TW"/>
              </w:rPr>
              <w:t>444</w:t>
            </w:r>
          </w:p>
        </w:tc>
        <w:tc>
          <w:tcPr>
            <w:tcW w:w="1276" w:type="dxa"/>
            <w:tcMar>
              <w:left w:w="0" w:type="dxa"/>
              <w:right w:w="0" w:type="dxa"/>
            </w:tcMar>
            <w:hideMark/>
          </w:tcPr>
          <w:p w:rsidR="00287F50" w:rsidRPr="008807FF" w:rsidRDefault="00287F50" w:rsidP="0015373F">
            <w:pPr>
              <w:rPr>
                <w:rFonts w:asciiTheme="minorHAnsi" w:hAnsiTheme="minorHAnsi"/>
                <w:sz w:val="18"/>
                <w:szCs w:val="18"/>
                <w:lang w:eastAsia="zh-TW"/>
              </w:rPr>
            </w:pPr>
            <w:r w:rsidRPr="008807FF">
              <w:rPr>
                <w:rFonts w:asciiTheme="minorHAnsi" w:hAnsiTheme="minorHAnsi"/>
                <w:sz w:val="18"/>
                <w:szCs w:val="18"/>
                <w:lang w:eastAsia="zh-TW"/>
              </w:rPr>
              <w:t>*</w:t>
            </w:r>
            <w:proofErr w:type="spellStart"/>
            <w:r w:rsidRPr="008807FF">
              <w:rPr>
                <w:rFonts w:asciiTheme="minorHAnsi" w:hAnsiTheme="minorHAnsi"/>
                <w:sz w:val="18"/>
                <w:szCs w:val="18"/>
                <w:lang w:eastAsia="zh-TW"/>
              </w:rPr>
              <w:t>CsA</w:t>
            </w:r>
            <w:proofErr w:type="spellEnd"/>
          </w:p>
        </w:tc>
        <w:tc>
          <w:tcPr>
            <w:tcW w:w="1134" w:type="dxa"/>
            <w:tcMar>
              <w:left w:w="0" w:type="dxa"/>
              <w:right w:w="0" w:type="dxa"/>
            </w:tcMar>
            <w:hideMark/>
          </w:tcPr>
          <w:p w:rsidR="00287F50" w:rsidRPr="008807FF" w:rsidRDefault="00287F50" w:rsidP="0015373F">
            <w:pPr>
              <w:rPr>
                <w:rFonts w:asciiTheme="minorHAnsi" w:hAnsiTheme="minorHAnsi"/>
                <w:sz w:val="18"/>
                <w:szCs w:val="18"/>
                <w:lang w:eastAsia="zh-TW"/>
              </w:rPr>
            </w:pPr>
            <w:r w:rsidRPr="008807FF">
              <w:rPr>
                <w:rFonts w:asciiTheme="minorHAnsi" w:hAnsiTheme="minorHAnsi"/>
                <w:sz w:val="18"/>
                <w:szCs w:val="18"/>
                <w:lang w:eastAsia="zh-TW"/>
              </w:rPr>
              <w:t>271</w:t>
            </w:r>
          </w:p>
        </w:tc>
        <w:tc>
          <w:tcPr>
            <w:tcW w:w="992" w:type="dxa"/>
            <w:tcMar>
              <w:left w:w="0" w:type="dxa"/>
              <w:right w:w="0" w:type="dxa"/>
            </w:tcMar>
          </w:tcPr>
          <w:p w:rsidR="00287F50" w:rsidRPr="008807FF" w:rsidRDefault="00287F50" w:rsidP="0015373F">
            <w:pPr>
              <w:rPr>
                <w:rFonts w:asciiTheme="minorHAnsi" w:hAnsiTheme="minorHAnsi"/>
                <w:sz w:val="18"/>
                <w:szCs w:val="18"/>
                <w:lang w:eastAsia="zh-TW"/>
              </w:rPr>
            </w:pPr>
          </w:p>
        </w:tc>
        <w:tc>
          <w:tcPr>
            <w:tcW w:w="1559" w:type="dxa"/>
            <w:tcMar>
              <w:left w:w="0" w:type="dxa"/>
              <w:right w:w="0" w:type="dxa"/>
            </w:tcMar>
          </w:tcPr>
          <w:p w:rsidR="00287F50" w:rsidRPr="008807FF" w:rsidRDefault="00287F50" w:rsidP="0015373F">
            <w:pPr>
              <w:rPr>
                <w:rFonts w:asciiTheme="minorHAnsi" w:hAnsiTheme="minorHAnsi"/>
                <w:sz w:val="18"/>
                <w:szCs w:val="18"/>
                <w:lang w:eastAsia="zh-TW"/>
              </w:rPr>
            </w:pPr>
          </w:p>
        </w:tc>
        <w:tc>
          <w:tcPr>
            <w:tcW w:w="1345" w:type="dxa"/>
            <w:tcMar>
              <w:left w:w="0" w:type="dxa"/>
              <w:right w:w="0" w:type="dxa"/>
            </w:tcMar>
            <w:hideMark/>
          </w:tcPr>
          <w:p w:rsidR="00287F50" w:rsidRPr="008807FF" w:rsidRDefault="00287F50" w:rsidP="0015373F">
            <w:pPr>
              <w:rPr>
                <w:rFonts w:asciiTheme="minorHAnsi" w:hAnsiTheme="minorHAnsi"/>
                <w:sz w:val="18"/>
                <w:szCs w:val="18"/>
                <w:lang w:eastAsia="zh-TW"/>
              </w:rPr>
            </w:pPr>
            <w:r w:rsidRPr="008807FF">
              <w:rPr>
                <w:rFonts w:asciiTheme="minorHAnsi" w:hAnsiTheme="minorHAnsi"/>
                <w:sz w:val="18"/>
                <w:szCs w:val="18"/>
                <w:lang w:eastAsia="zh-TW"/>
              </w:rPr>
              <w:t>444</w:t>
            </w:r>
          </w:p>
        </w:tc>
      </w:tr>
      <w:tr w:rsidR="00287F50" w:rsidRPr="008807FF" w:rsidTr="0015373F">
        <w:tc>
          <w:tcPr>
            <w:tcW w:w="1599" w:type="dxa"/>
            <w:tcMar>
              <w:left w:w="0" w:type="dxa"/>
              <w:right w:w="0" w:type="dxa"/>
            </w:tcMar>
            <w:hideMark/>
          </w:tcPr>
          <w:p w:rsidR="00287F50" w:rsidRPr="008807FF" w:rsidRDefault="00287F50" w:rsidP="0015373F">
            <w:pPr>
              <w:rPr>
                <w:rFonts w:asciiTheme="minorHAnsi" w:hAnsiTheme="minorHAnsi"/>
                <w:sz w:val="18"/>
                <w:szCs w:val="18"/>
                <w:lang w:eastAsia="zh-TW"/>
              </w:rPr>
            </w:pPr>
            <w:r w:rsidRPr="008807FF">
              <w:rPr>
                <w:rFonts w:asciiTheme="minorHAnsi" w:hAnsiTheme="minorHAnsi"/>
                <w:sz w:val="18"/>
                <w:szCs w:val="18"/>
                <w:lang w:eastAsia="zh-TW"/>
              </w:rPr>
              <w:t>Renal transplant</w:t>
            </w:r>
          </w:p>
        </w:tc>
        <w:tc>
          <w:tcPr>
            <w:tcW w:w="1417" w:type="dxa"/>
            <w:tcMar>
              <w:left w:w="0" w:type="dxa"/>
              <w:right w:w="0" w:type="dxa"/>
            </w:tcMar>
          </w:tcPr>
          <w:p w:rsidR="00287F50" w:rsidRPr="008807FF" w:rsidRDefault="00287F50" w:rsidP="0015373F">
            <w:pPr>
              <w:rPr>
                <w:rFonts w:asciiTheme="minorHAnsi" w:hAnsiTheme="minorHAnsi"/>
                <w:sz w:val="18"/>
                <w:szCs w:val="18"/>
                <w:lang w:eastAsia="zh-TW"/>
              </w:rPr>
            </w:pPr>
          </w:p>
        </w:tc>
        <w:tc>
          <w:tcPr>
            <w:tcW w:w="1276" w:type="dxa"/>
            <w:tcMar>
              <w:left w:w="0" w:type="dxa"/>
              <w:right w:w="0" w:type="dxa"/>
            </w:tcMar>
          </w:tcPr>
          <w:p w:rsidR="00287F50" w:rsidRPr="008807FF" w:rsidRDefault="00287F50" w:rsidP="0015373F">
            <w:pPr>
              <w:rPr>
                <w:rFonts w:asciiTheme="minorHAnsi" w:hAnsiTheme="minorHAnsi"/>
                <w:sz w:val="18"/>
                <w:szCs w:val="18"/>
                <w:lang w:eastAsia="zh-TW"/>
              </w:rPr>
            </w:pPr>
          </w:p>
        </w:tc>
        <w:tc>
          <w:tcPr>
            <w:tcW w:w="1134" w:type="dxa"/>
            <w:tcMar>
              <w:left w:w="0" w:type="dxa"/>
              <w:right w:w="0" w:type="dxa"/>
            </w:tcMar>
          </w:tcPr>
          <w:p w:rsidR="00287F50" w:rsidRPr="008807FF" w:rsidRDefault="00287F50" w:rsidP="0015373F">
            <w:pPr>
              <w:rPr>
                <w:rFonts w:asciiTheme="minorHAnsi" w:hAnsiTheme="minorHAnsi"/>
                <w:sz w:val="18"/>
                <w:szCs w:val="18"/>
                <w:lang w:eastAsia="zh-TW"/>
              </w:rPr>
            </w:pPr>
          </w:p>
        </w:tc>
        <w:tc>
          <w:tcPr>
            <w:tcW w:w="992" w:type="dxa"/>
            <w:tcMar>
              <w:left w:w="0" w:type="dxa"/>
              <w:right w:w="0" w:type="dxa"/>
            </w:tcMar>
          </w:tcPr>
          <w:p w:rsidR="00287F50" w:rsidRPr="008807FF" w:rsidRDefault="00287F50" w:rsidP="0015373F">
            <w:pPr>
              <w:rPr>
                <w:rFonts w:asciiTheme="minorHAnsi" w:hAnsiTheme="minorHAnsi"/>
                <w:sz w:val="18"/>
                <w:szCs w:val="18"/>
                <w:lang w:eastAsia="zh-TW"/>
              </w:rPr>
            </w:pPr>
          </w:p>
        </w:tc>
        <w:tc>
          <w:tcPr>
            <w:tcW w:w="1559" w:type="dxa"/>
            <w:tcMar>
              <w:left w:w="0" w:type="dxa"/>
              <w:right w:w="0" w:type="dxa"/>
            </w:tcMar>
          </w:tcPr>
          <w:p w:rsidR="00287F50" w:rsidRPr="008807FF" w:rsidRDefault="00287F50" w:rsidP="0015373F">
            <w:pPr>
              <w:rPr>
                <w:rFonts w:asciiTheme="minorHAnsi" w:hAnsiTheme="minorHAnsi"/>
                <w:sz w:val="18"/>
                <w:szCs w:val="18"/>
                <w:lang w:eastAsia="zh-TW"/>
              </w:rPr>
            </w:pPr>
          </w:p>
        </w:tc>
        <w:tc>
          <w:tcPr>
            <w:tcW w:w="1345" w:type="dxa"/>
            <w:tcMar>
              <w:left w:w="0" w:type="dxa"/>
              <w:right w:w="0" w:type="dxa"/>
            </w:tcMar>
          </w:tcPr>
          <w:p w:rsidR="00287F50" w:rsidRPr="008807FF" w:rsidRDefault="00287F50" w:rsidP="0015373F">
            <w:pPr>
              <w:rPr>
                <w:rFonts w:asciiTheme="minorHAnsi" w:hAnsiTheme="minorHAnsi"/>
                <w:sz w:val="18"/>
                <w:szCs w:val="18"/>
                <w:lang w:eastAsia="zh-TW"/>
              </w:rPr>
            </w:pPr>
          </w:p>
        </w:tc>
      </w:tr>
      <w:tr w:rsidR="00287F50" w:rsidRPr="008807FF" w:rsidTr="0015373F">
        <w:tc>
          <w:tcPr>
            <w:tcW w:w="1599" w:type="dxa"/>
            <w:tcMar>
              <w:left w:w="0" w:type="dxa"/>
              <w:right w:w="0" w:type="dxa"/>
            </w:tcMar>
            <w:hideMark/>
          </w:tcPr>
          <w:p w:rsidR="00287F50" w:rsidRPr="008807FF" w:rsidRDefault="00287F50" w:rsidP="0015373F">
            <w:pPr>
              <w:rPr>
                <w:rFonts w:asciiTheme="minorHAnsi" w:hAnsiTheme="minorHAnsi"/>
                <w:sz w:val="18"/>
                <w:szCs w:val="18"/>
                <w:lang w:eastAsia="zh-TW"/>
              </w:rPr>
            </w:pPr>
            <w:r w:rsidRPr="008807FF">
              <w:rPr>
                <w:rFonts w:asciiTheme="minorHAnsi" w:hAnsiTheme="minorHAnsi"/>
                <w:sz w:val="18"/>
                <w:szCs w:val="18"/>
                <w:lang w:eastAsia="zh-TW"/>
              </w:rPr>
              <w:t>A2309</w:t>
            </w:r>
          </w:p>
        </w:tc>
        <w:tc>
          <w:tcPr>
            <w:tcW w:w="1417" w:type="dxa"/>
            <w:tcMar>
              <w:left w:w="0" w:type="dxa"/>
              <w:right w:w="0" w:type="dxa"/>
            </w:tcMar>
            <w:hideMark/>
          </w:tcPr>
          <w:p w:rsidR="00287F50" w:rsidRPr="008807FF" w:rsidRDefault="00287F50" w:rsidP="0015373F">
            <w:pPr>
              <w:rPr>
                <w:rFonts w:asciiTheme="minorHAnsi" w:hAnsiTheme="minorHAnsi"/>
                <w:sz w:val="18"/>
                <w:szCs w:val="18"/>
                <w:lang w:eastAsia="zh-TW"/>
              </w:rPr>
            </w:pPr>
            <w:r w:rsidRPr="008807FF">
              <w:rPr>
                <w:rFonts w:asciiTheme="minorHAnsi" w:hAnsiTheme="minorHAnsi"/>
                <w:sz w:val="18"/>
                <w:szCs w:val="18"/>
                <w:lang w:eastAsia="zh-TW"/>
              </w:rPr>
              <w:t>552</w:t>
            </w:r>
          </w:p>
        </w:tc>
        <w:tc>
          <w:tcPr>
            <w:tcW w:w="1276" w:type="dxa"/>
            <w:tcMar>
              <w:left w:w="0" w:type="dxa"/>
              <w:right w:w="0" w:type="dxa"/>
            </w:tcMar>
            <w:hideMark/>
          </w:tcPr>
          <w:p w:rsidR="00287F50" w:rsidRPr="008807FF" w:rsidRDefault="00287F50" w:rsidP="0015373F">
            <w:pPr>
              <w:rPr>
                <w:rFonts w:asciiTheme="minorHAnsi" w:hAnsiTheme="minorHAnsi"/>
                <w:sz w:val="18"/>
                <w:szCs w:val="18"/>
                <w:lang w:eastAsia="zh-TW"/>
              </w:rPr>
            </w:pPr>
            <w:r w:rsidRPr="008807FF">
              <w:rPr>
                <w:rFonts w:asciiTheme="minorHAnsi" w:hAnsiTheme="minorHAnsi"/>
                <w:sz w:val="18"/>
                <w:szCs w:val="18"/>
                <w:lang w:eastAsia="zh-TW"/>
              </w:rPr>
              <w:t>*</w:t>
            </w:r>
            <w:proofErr w:type="spellStart"/>
            <w:r w:rsidRPr="008807FF">
              <w:rPr>
                <w:rFonts w:asciiTheme="minorHAnsi" w:hAnsiTheme="minorHAnsi"/>
                <w:sz w:val="18"/>
                <w:szCs w:val="18"/>
                <w:lang w:eastAsia="zh-TW"/>
              </w:rPr>
              <w:t>CsA</w:t>
            </w:r>
            <w:proofErr w:type="spellEnd"/>
          </w:p>
        </w:tc>
        <w:tc>
          <w:tcPr>
            <w:tcW w:w="1134" w:type="dxa"/>
            <w:tcMar>
              <w:left w:w="0" w:type="dxa"/>
              <w:right w:w="0" w:type="dxa"/>
            </w:tcMar>
            <w:hideMark/>
          </w:tcPr>
          <w:p w:rsidR="00287F50" w:rsidRPr="008807FF" w:rsidRDefault="00287F50" w:rsidP="0015373F">
            <w:pPr>
              <w:rPr>
                <w:rFonts w:asciiTheme="minorHAnsi" w:hAnsiTheme="minorHAnsi"/>
                <w:sz w:val="18"/>
                <w:szCs w:val="18"/>
                <w:lang w:eastAsia="zh-TW"/>
              </w:rPr>
            </w:pPr>
            <w:r w:rsidRPr="008807FF">
              <w:rPr>
                <w:rFonts w:asciiTheme="minorHAnsi" w:hAnsiTheme="minorHAnsi"/>
                <w:sz w:val="18"/>
                <w:szCs w:val="18"/>
                <w:lang w:eastAsia="zh-TW"/>
              </w:rPr>
              <w:t>273</w:t>
            </w:r>
          </w:p>
        </w:tc>
        <w:tc>
          <w:tcPr>
            <w:tcW w:w="992" w:type="dxa"/>
            <w:tcMar>
              <w:left w:w="0" w:type="dxa"/>
              <w:right w:w="0" w:type="dxa"/>
            </w:tcMar>
          </w:tcPr>
          <w:p w:rsidR="00287F50" w:rsidRPr="008807FF" w:rsidRDefault="00287F50" w:rsidP="0015373F">
            <w:pPr>
              <w:rPr>
                <w:rFonts w:asciiTheme="minorHAnsi" w:hAnsiTheme="minorHAnsi"/>
                <w:sz w:val="18"/>
                <w:szCs w:val="18"/>
                <w:lang w:eastAsia="zh-TW"/>
              </w:rPr>
            </w:pPr>
          </w:p>
        </w:tc>
        <w:tc>
          <w:tcPr>
            <w:tcW w:w="1559" w:type="dxa"/>
            <w:tcMar>
              <w:left w:w="0" w:type="dxa"/>
              <w:right w:w="0" w:type="dxa"/>
            </w:tcMar>
          </w:tcPr>
          <w:p w:rsidR="00287F50" w:rsidRPr="008807FF" w:rsidRDefault="00287F50" w:rsidP="0015373F">
            <w:pPr>
              <w:rPr>
                <w:rFonts w:asciiTheme="minorHAnsi" w:hAnsiTheme="minorHAnsi"/>
                <w:sz w:val="18"/>
                <w:szCs w:val="18"/>
                <w:lang w:eastAsia="zh-TW"/>
              </w:rPr>
            </w:pPr>
          </w:p>
        </w:tc>
        <w:tc>
          <w:tcPr>
            <w:tcW w:w="1345" w:type="dxa"/>
            <w:tcMar>
              <w:left w:w="0" w:type="dxa"/>
              <w:right w:w="0" w:type="dxa"/>
            </w:tcMar>
            <w:hideMark/>
          </w:tcPr>
          <w:p w:rsidR="00287F50" w:rsidRPr="008807FF" w:rsidRDefault="00287F50" w:rsidP="0015373F">
            <w:pPr>
              <w:rPr>
                <w:rFonts w:asciiTheme="minorHAnsi" w:hAnsiTheme="minorHAnsi"/>
                <w:sz w:val="18"/>
                <w:szCs w:val="18"/>
                <w:lang w:eastAsia="zh-TW"/>
              </w:rPr>
            </w:pPr>
            <w:r w:rsidRPr="008807FF">
              <w:rPr>
                <w:rFonts w:asciiTheme="minorHAnsi" w:hAnsiTheme="minorHAnsi"/>
                <w:sz w:val="18"/>
                <w:szCs w:val="18"/>
                <w:lang w:eastAsia="zh-TW"/>
              </w:rPr>
              <w:t>552</w:t>
            </w:r>
          </w:p>
        </w:tc>
      </w:tr>
      <w:tr w:rsidR="00287F50" w:rsidRPr="008807FF" w:rsidTr="0015373F">
        <w:tc>
          <w:tcPr>
            <w:tcW w:w="1599" w:type="dxa"/>
            <w:tcMar>
              <w:left w:w="0" w:type="dxa"/>
              <w:right w:w="0" w:type="dxa"/>
            </w:tcMar>
            <w:hideMark/>
          </w:tcPr>
          <w:p w:rsidR="00287F50" w:rsidRPr="008807FF" w:rsidRDefault="00287F50" w:rsidP="0015373F">
            <w:pPr>
              <w:rPr>
                <w:rFonts w:asciiTheme="minorHAnsi" w:hAnsiTheme="minorHAnsi"/>
                <w:sz w:val="18"/>
                <w:szCs w:val="18"/>
                <w:lang w:eastAsia="zh-TW"/>
              </w:rPr>
            </w:pPr>
            <w:r w:rsidRPr="008807FF">
              <w:rPr>
                <w:rFonts w:asciiTheme="minorHAnsi" w:hAnsiTheme="minorHAnsi"/>
                <w:sz w:val="18"/>
                <w:szCs w:val="18"/>
                <w:lang w:eastAsia="zh-TW"/>
              </w:rPr>
              <w:t>TOTAL</w:t>
            </w:r>
          </w:p>
        </w:tc>
        <w:tc>
          <w:tcPr>
            <w:tcW w:w="1417" w:type="dxa"/>
            <w:tcMar>
              <w:left w:w="0" w:type="dxa"/>
              <w:right w:w="0" w:type="dxa"/>
            </w:tcMar>
            <w:hideMark/>
          </w:tcPr>
          <w:p w:rsidR="00287F50" w:rsidRPr="008807FF" w:rsidRDefault="00287F50" w:rsidP="0015373F">
            <w:pPr>
              <w:rPr>
                <w:rFonts w:asciiTheme="minorHAnsi" w:hAnsiTheme="minorHAnsi"/>
                <w:sz w:val="18"/>
                <w:szCs w:val="18"/>
                <w:lang w:eastAsia="zh-TW"/>
              </w:rPr>
            </w:pPr>
            <w:r w:rsidRPr="008807FF">
              <w:rPr>
                <w:rFonts w:asciiTheme="minorHAnsi" w:hAnsiTheme="minorHAnsi"/>
                <w:sz w:val="18"/>
                <w:szCs w:val="18"/>
                <w:lang w:eastAsia="zh-TW"/>
              </w:rPr>
              <w:t>1755</w:t>
            </w:r>
          </w:p>
        </w:tc>
        <w:tc>
          <w:tcPr>
            <w:tcW w:w="1276" w:type="dxa"/>
            <w:tcMar>
              <w:left w:w="0" w:type="dxa"/>
              <w:right w:w="0" w:type="dxa"/>
            </w:tcMar>
          </w:tcPr>
          <w:p w:rsidR="00287F50" w:rsidRPr="008807FF" w:rsidRDefault="00287F50" w:rsidP="0015373F">
            <w:pPr>
              <w:rPr>
                <w:rFonts w:asciiTheme="minorHAnsi" w:hAnsiTheme="minorHAnsi"/>
                <w:sz w:val="18"/>
                <w:szCs w:val="18"/>
                <w:lang w:eastAsia="zh-TW"/>
              </w:rPr>
            </w:pPr>
          </w:p>
        </w:tc>
        <w:tc>
          <w:tcPr>
            <w:tcW w:w="1134" w:type="dxa"/>
            <w:tcMar>
              <w:left w:w="0" w:type="dxa"/>
              <w:right w:w="0" w:type="dxa"/>
            </w:tcMar>
          </w:tcPr>
          <w:p w:rsidR="00287F50" w:rsidRPr="008807FF" w:rsidRDefault="00287F50" w:rsidP="0015373F">
            <w:pPr>
              <w:rPr>
                <w:rFonts w:asciiTheme="minorHAnsi" w:hAnsiTheme="minorHAnsi"/>
                <w:sz w:val="18"/>
                <w:szCs w:val="18"/>
                <w:lang w:eastAsia="zh-TW"/>
              </w:rPr>
            </w:pPr>
          </w:p>
        </w:tc>
        <w:tc>
          <w:tcPr>
            <w:tcW w:w="992" w:type="dxa"/>
            <w:tcMar>
              <w:left w:w="0" w:type="dxa"/>
              <w:right w:w="0" w:type="dxa"/>
            </w:tcMar>
          </w:tcPr>
          <w:p w:rsidR="00287F50" w:rsidRPr="008807FF" w:rsidRDefault="00287F50" w:rsidP="0015373F">
            <w:pPr>
              <w:rPr>
                <w:rFonts w:asciiTheme="minorHAnsi" w:hAnsiTheme="minorHAnsi"/>
                <w:sz w:val="18"/>
                <w:szCs w:val="18"/>
                <w:lang w:eastAsia="zh-TW"/>
              </w:rPr>
            </w:pPr>
          </w:p>
        </w:tc>
        <w:tc>
          <w:tcPr>
            <w:tcW w:w="1559" w:type="dxa"/>
            <w:tcMar>
              <w:left w:w="0" w:type="dxa"/>
              <w:right w:w="0" w:type="dxa"/>
            </w:tcMar>
          </w:tcPr>
          <w:p w:rsidR="00287F50" w:rsidRPr="008807FF" w:rsidRDefault="00287F50" w:rsidP="0015373F">
            <w:pPr>
              <w:rPr>
                <w:rFonts w:asciiTheme="minorHAnsi" w:hAnsiTheme="minorHAnsi"/>
                <w:sz w:val="18"/>
                <w:szCs w:val="18"/>
                <w:lang w:eastAsia="zh-TW"/>
              </w:rPr>
            </w:pPr>
          </w:p>
        </w:tc>
        <w:tc>
          <w:tcPr>
            <w:tcW w:w="1345" w:type="dxa"/>
            <w:tcMar>
              <w:left w:w="0" w:type="dxa"/>
              <w:right w:w="0" w:type="dxa"/>
            </w:tcMar>
            <w:hideMark/>
          </w:tcPr>
          <w:p w:rsidR="00287F50" w:rsidRPr="008807FF" w:rsidRDefault="00287F50" w:rsidP="0015373F">
            <w:pPr>
              <w:rPr>
                <w:rFonts w:asciiTheme="minorHAnsi" w:hAnsiTheme="minorHAnsi"/>
                <w:sz w:val="18"/>
                <w:szCs w:val="18"/>
                <w:lang w:eastAsia="zh-TW"/>
              </w:rPr>
            </w:pPr>
            <w:r w:rsidRPr="008807FF">
              <w:rPr>
                <w:rFonts w:asciiTheme="minorHAnsi" w:hAnsiTheme="minorHAnsi"/>
                <w:sz w:val="18"/>
                <w:szCs w:val="18"/>
                <w:lang w:eastAsia="zh-TW"/>
              </w:rPr>
              <w:t>1814</w:t>
            </w:r>
          </w:p>
        </w:tc>
      </w:tr>
    </w:tbl>
    <w:p w:rsidR="0084642A" w:rsidRPr="0084642A" w:rsidRDefault="00287F50" w:rsidP="00A30739">
      <w:pPr>
        <w:pStyle w:val="TableDescription"/>
      </w:pPr>
      <w:r w:rsidRPr="00CA43AE">
        <w:t xml:space="preserve">*Treatment was </w:t>
      </w:r>
      <w:proofErr w:type="spellStart"/>
      <w:r w:rsidRPr="00CA43AE">
        <w:t>everolimus</w:t>
      </w:r>
      <w:proofErr w:type="spellEnd"/>
      <w:r w:rsidRPr="00CA43AE">
        <w:t xml:space="preserve"> + reduced dose </w:t>
      </w:r>
      <w:proofErr w:type="spellStart"/>
      <w:r w:rsidRPr="00CA43AE">
        <w:t>cyclosporin</w:t>
      </w:r>
      <w:proofErr w:type="spellEnd"/>
      <w:r w:rsidRPr="00CA43AE">
        <w:t xml:space="preserve"> (</w:t>
      </w:r>
      <w:proofErr w:type="spellStart"/>
      <w:r w:rsidRPr="00CA43AE">
        <w:t>CsA</w:t>
      </w:r>
      <w:proofErr w:type="spellEnd"/>
      <w:r w:rsidRPr="00CA43AE">
        <w:t xml:space="preserve">) or </w:t>
      </w:r>
      <w:proofErr w:type="spellStart"/>
      <w:r w:rsidRPr="00CA43AE">
        <w:t>myophenolate</w:t>
      </w:r>
      <w:proofErr w:type="spellEnd"/>
      <w:r w:rsidRPr="00CA43AE">
        <w:t xml:space="preserve"> +standard dose </w:t>
      </w:r>
      <w:proofErr w:type="spellStart"/>
      <w:r w:rsidRPr="00CA43AE">
        <w:t>CsA</w:t>
      </w:r>
      <w:proofErr w:type="spellEnd"/>
      <w:r w:rsidRPr="00CA43AE">
        <w:t>.</w:t>
      </w:r>
      <w:bookmarkStart w:id="133" w:name="_Toc326576880"/>
      <w:bookmarkStart w:id="134" w:name="_Toc290846329"/>
      <w:bookmarkStart w:id="135" w:name="_Toc272414691"/>
      <w:bookmarkStart w:id="136" w:name="_Toc241374328"/>
    </w:p>
    <w:p w:rsidR="00287F50" w:rsidRPr="00233CC4" w:rsidRDefault="00287F50" w:rsidP="00A30739">
      <w:pPr>
        <w:pStyle w:val="Heading4"/>
      </w:pPr>
      <w:r w:rsidRPr="00233CC4">
        <w:lastRenderedPageBreak/>
        <w:t>Evaluator’s overall conclusions on clinical safety</w:t>
      </w:r>
      <w:bookmarkEnd w:id="133"/>
      <w:bookmarkEnd w:id="134"/>
      <w:bookmarkEnd w:id="135"/>
      <w:bookmarkEnd w:id="136"/>
    </w:p>
    <w:p w:rsidR="00287F50" w:rsidRPr="00233CC4" w:rsidRDefault="00287F50" w:rsidP="0084642A">
      <w:pPr>
        <w:pStyle w:val="Heading5"/>
      </w:pPr>
      <w:r w:rsidRPr="00233CC4">
        <w:t>Hepatic transplantation</w:t>
      </w:r>
    </w:p>
    <w:p w:rsidR="00287F50" w:rsidRDefault="00287F50" w:rsidP="0084642A">
      <w:pPr>
        <w:keepNext/>
      </w:pPr>
      <w:r w:rsidRPr="00233CC4">
        <w:t>For the hepatic transplantation indication, the safety data comes primarily from the pivotal study (H2304) in 719 patients</w:t>
      </w:r>
      <w:r>
        <w:t>,</w:t>
      </w:r>
      <w:r w:rsidRPr="00233CC4">
        <w:t xml:space="preserve"> of who 475 received everolimus. In addition, there were two hepatic transplant studies which examined renal safety as the primary outcome. In total, the hepatic transplant studies in the dossier included 759 patients exposed to everolimus. There was no pooling of safety data for this indication. The safety data from two other major studies, one in renal (A2309) and the other in cardiac (A2310) transplant patients was also reviewed. While the 3 main studies (H2304, A2309, A2310) were 24 month studies, all </w:t>
      </w:r>
      <w:r>
        <w:t>data presented was from the 12 M</w:t>
      </w:r>
      <w:r w:rsidRPr="00233CC4">
        <w:t>onth analyses. The mean exposure in H2304 was 284, 223 and 290 days</w:t>
      </w:r>
      <w:r>
        <w:t>, respectively,</w:t>
      </w:r>
      <w:r w:rsidRPr="00233CC4">
        <w:t xml:space="preserve"> in the EVR</w:t>
      </w:r>
      <w:r>
        <w:t xml:space="preserve"> </w:t>
      </w:r>
      <w:r w:rsidRPr="00233CC4">
        <w:t>+</w:t>
      </w:r>
      <w:r>
        <w:t xml:space="preserve"> </w:t>
      </w:r>
      <w:r w:rsidRPr="00233CC4">
        <w:t xml:space="preserve">reduced TAC, </w:t>
      </w:r>
      <w:r>
        <w:t>EVR + TAC elimination group</w:t>
      </w:r>
      <w:r w:rsidRPr="00233CC4">
        <w:t xml:space="preserve"> and TAC control groups. A comparison of notable events in H2304, HDE10 and A2309 is </w:t>
      </w:r>
      <w:r>
        <w:t xml:space="preserve">shown </w:t>
      </w:r>
      <w:r w:rsidRPr="00233CC4">
        <w:t xml:space="preserve">in </w:t>
      </w:r>
      <w:r>
        <w:t xml:space="preserve">Table 4. </w:t>
      </w:r>
    </w:p>
    <w:p w:rsidR="00287F50" w:rsidRDefault="00287F50" w:rsidP="00DB2CA6">
      <w:pPr>
        <w:pStyle w:val="TableTitle"/>
      </w:pPr>
      <w:r>
        <w:t>Table 4. Frequency of notable events across studies</w:t>
      </w:r>
    </w:p>
    <w:p w:rsidR="00287F50" w:rsidRPr="00233CC4" w:rsidRDefault="00287F50" w:rsidP="00A30739">
      <w:r w:rsidRPr="00CA43AE">
        <w:rPr>
          <w:noProof/>
          <w:lang w:eastAsia="en-AU"/>
        </w:rPr>
        <w:drawing>
          <wp:inline distT="0" distB="0" distL="0" distR="0">
            <wp:extent cx="5263662" cy="3336172"/>
            <wp:effectExtent l="19050" t="0" r="0" b="0"/>
            <wp:docPr id="277" name="Picture 1" descr="Table 4. Frequency of notable events across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l="746" b="8642"/>
                    <a:stretch>
                      <a:fillRect/>
                    </a:stretch>
                  </pic:blipFill>
                  <pic:spPr bwMode="auto">
                    <a:xfrm>
                      <a:off x="0" y="0"/>
                      <a:ext cx="5263662" cy="3336172"/>
                    </a:xfrm>
                    <a:prstGeom prst="rect">
                      <a:avLst/>
                    </a:prstGeom>
                    <a:noFill/>
                    <a:ln w="9525">
                      <a:noFill/>
                      <a:miter lim="800000"/>
                      <a:headEnd/>
                      <a:tailEnd/>
                    </a:ln>
                  </pic:spPr>
                </pic:pic>
              </a:graphicData>
            </a:graphic>
          </wp:inline>
        </w:drawing>
      </w:r>
    </w:p>
    <w:p w:rsidR="00287F50" w:rsidRPr="00233CC4" w:rsidRDefault="00287F50" w:rsidP="00287F50">
      <w:r w:rsidRPr="00233CC4">
        <w:t>Adverse events were virtually universal in the transplant studies. In H2304 over 12 months, the most commonly reported AEs were diarrhoea, headache, pyrexia, hypertension, peripheral oedema, nausea, abdo</w:t>
      </w:r>
      <w:r>
        <w:t>minal pain, hepatitis C, leukop</w:t>
      </w:r>
      <w:r w:rsidRPr="00233CC4">
        <w:t>enia, anaemia, fatigue and tremor.</w:t>
      </w:r>
    </w:p>
    <w:p w:rsidR="00287F50" w:rsidRPr="00233CC4" w:rsidRDefault="00287F50" w:rsidP="00287F50">
      <w:r w:rsidRPr="00233CC4">
        <w:t>In H2304, AEs tended to be moderate (49%) or severe (31%) and the rate of severe events was greater than in the TAC control group (20.3%). The higher rate of severe AEs wa</w:t>
      </w:r>
      <w:r>
        <w:t>s also found in the supportive S</w:t>
      </w:r>
      <w:r w:rsidRPr="00233CC4">
        <w:t xml:space="preserve">tudy HDE10 (52% </w:t>
      </w:r>
      <w:r>
        <w:t>versus</w:t>
      </w:r>
      <w:r w:rsidRPr="00233CC4">
        <w:t xml:space="preserve"> 35%).</w:t>
      </w:r>
    </w:p>
    <w:p w:rsidR="00287F50" w:rsidRPr="00233CC4" w:rsidRDefault="00287F50" w:rsidP="00287F50">
      <w:r w:rsidRPr="00233CC4">
        <w:t xml:space="preserve">Compared to </w:t>
      </w:r>
      <w:r>
        <w:t xml:space="preserve">the </w:t>
      </w:r>
      <w:r w:rsidRPr="00233CC4">
        <w:t>renal transplant study, there was a lower rate of anaemia</w:t>
      </w:r>
      <w:r>
        <w:t>,</w:t>
      </w:r>
      <w:r w:rsidRPr="00233CC4">
        <w:t xml:space="preserve"> </w:t>
      </w:r>
      <w:proofErr w:type="spellStart"/>
      <w:r w:rsidRPr="00233CC4">
        <w:t>angioedema</w:t>
      </w:r>
      <w:proofErr w:type="spellEnd"/>
      <w:r w:rsidRPr="00233CC4">
        <w:t>, ca</w:t>
      </w:r>
      <w:r>
        <w:t xml:space="preserve">rdiovascular events, </w:t>
      </w:r>
      <w:proofErr w:type="spellStart"/>
      <w:r>
        <w:t>hyperlipida</w:t>
      </w:r>
      <w:r w:rsidRPr="00233CC4">
        <w:t>emia</w:t>
      </w:r>
      <w:proofErr w:type="spellEnd"/>
      <w:r w:rsidRPr="00233CC4">
        <w:t xml:space="preserve">, peripheral oedema, </w:t>
      </w:r>
      <w:proofErr w:type="spellStart"/>
      <w:r w:rsidRPr="00233CC4">
        <w:t>proteinu</w:t>
      </w:r>
      <w:r>
        <w:t>ria</w:t>
      </w:r>
      <w:proofErr w:type="spellEnd"/>
      <w:r>
        <w:t>, renal failure, thrombotic/</w:t>
      </w:r>
      <w:proofErr w:type="spellStart"/>
      <w:r w:rsidRPr="00233CC4">
        <w:t>thromoboembolic</w:t>
      </w:r>
      <w:proofErr w:type="spellEnd"/>
      <w:r w:rsidRPr="00233CC4">
        <w:t xml:space="preserve"> events</w:t>
      </w:r>
      <w:r>
        <w:t>,</w:t>
      </w:r>
      <w:r w:rsidRPr="00233CC4">
        <w:t xml:space="preserve"> and wound healing complications. Hepatic transplant patients had more </w:t>
      </w:r>
      <w:proofErr w:type="spellStart"/>
      <w:r w:rsidRPr="00233CC4">
        <w:t>incisional</w:t>
      </w:r>
      <w:proofErr w:type="spellEnd"/>
      <w:r w:rsidRPr="00233CC4">
        <w:t xml:space="preserve"> hernia, </w:t>
      </w:r>
      <w:proofErr w:type="spellStart"/>
      <w:r w:rsidRPr="00233CC4">
        <w:t>ascites</w:t>
      </w:r>
      <w:proofErr w:type="spellEnd"/>
      <w:r w:rsidRPr="00233CC4">
        <w:t>, thrombocytopenia and new onset diabetes</w:t>
      </w:r>
      <w:r>
        <w:t>.</w:t>
      </w:r>
      <w:r w:rsidRPr="00233CC4">
        <w:t xml:space="preserve"> </w:t>
      </w:r>
    </w:p>
    <w:p w:rsidR="00287F50" w:rsidRPr="00233CC4" w:rsidRDefault="00287F50" w:rsidP="00287F50">
      <w:r w:rsidRPr="00233CC4">
        <w:t>In H2304</w:t>
      </w:r>
      <w:r>
        <w:t>,</w:t>
      </w:r>
      <w:r w:rsidRPr="00233CC4">
        <w:t xml:space="preserve"> the mortality rate was slightly higher in the everolimus groups (3.7%</w:t>
      </w:r>
      <w:r>
        <w:t xml:space="preserve"> and</w:t>
      </w:r>
      <w:r w:rsidRPr="00233CC4">
        <w:t xml:space="preserve"> 3.5%</w:t>
      </w:r>
      <w:r>
        <w:t>,</w:t>
      </w:r>
      <w:r w:rsidRPr="00233CC4">
        <w:t xml:space="preserve"> </w:t>
      </w:r>
      <w:r>
        <w:t>versus</w:t>
      </w:r>
      <w:r w:rsidRPr="00233CC4">
        <w:t xml:space="preserve"> 2.5%</w:t>
      </w:r>
      <w:r>
        <w:t xml:space="preserve"> in the TAC control group</w:t>
      </w:r>
      <w:r w:rsidRPr="00233CC4">
        <w:t>)</w:t>
      </w:r>
      <w:r>
        <w:t>,</w:t>
      </w:r>
      <w:r w:rsidRPr="00233CC4">
        <w:t xml:space="preserve"> although adjudication </w:t>
      </w:r>
      <w:r>
        <w:t xml:space="preserve">considered </w:t>
      </w:r>
      <w:r w:rsidRPr="00233CC4">
        <w:t>only 2 deaths in everolimus treated patients were treatment-related (</w:t>
      </w:r>
      <w:r>
        <w:t xml:space="preserve">due to </w:t>
      </w:r>
      <w:proofErr w:type="spellStart"/>
      <w:r w:rsidRPr="00233CC4">
        <w:t>biliary</w:t>
      </w:r>
      <w:proofErr w:type="spellEnd"/>
      <w:r w:rsidRPr="00233CC4">
        <w:t xml:space="preserve"> </w:t>
      </w:r>
      <w:r w:rsidRPr="00233CC4">
        <w:lastRenderedPageBreak/>
        <w:t>complications/</w:t>
      </w:r>
      <w:proofErr w:type="spellStart"/>
      <w:r w:rsidRPr="00233CC4">
        <w:t>cholangiosepsis</w:t>
      </w:r>
      <w:proofErr w:type="spellEnd"/>
      <w:r w:rsidRPr="00233CC4">
        <w:t>/cerebral infarction and interstitial lung disease). Most deaths were related to liver complications or infection.</w:t>
      </w:r>
    </w:p>
    <w:p w:rsidR="00287F50" w:rsidRPr="00233CC4" w:rsidRDefault="00287F50" w:rsidP="00287F50">
      <w:r>
        <w:t xml:space="preserve">Serious </w:t>
      </w:r>
      <w:r w:rsidRPr="00233CC4">
        <w:t xml:space="preserve">AE rates were higher in the everolimus groups in the liver transplant studies, particularly the </w:t>
      </w:r>
      <w:r>
        <w:t xml:space="preserve">EVR + TAC elimination group </w:t>
      </w:r>
      <w:r w:rsidRPr="00233CC4">
        <w:t xml:space="preserve">in H2304 (56.5% </w:t>
      </w:r>
      <w:r>
        <w:t>versus</w:t>
      </w:r>
      <w:r w:rsidRPr="00233CC4">
        <w:t xml:space="preserve"> 43.2%</w:t>
      </w:r>
      <w:r>
        <w:t xml:space="preserve"> in the control group</w:t>
      </w:r>
      <w:r w:rsidRPr="00233CC4">
        <w:t xml:space="preserve">). There were higher rates of pyrexia, </w:t>
      </w:r>
      <w:proofErr w:type="spellStart"/>
      <w:r w:rsidRPr="00233CC4">
        <w:t>cholangitis</w:t>
      </w:r>
      <w:proofErr w:type="spellEnd"/>
      <w:r w:rsidRPr="00233CC4">
        <w:t xml:space="preserve">, </w:t>
      </w:r>
      <w:proofErr w:type="spellStart"/>
      <w:r w:rsidRPr="00233CC4">
        <w:t>cholestasis</w:t>
      </w:r>
      <w:proofErr w:type="spellEnd"/>
      <w:r w:rsidRPr="00233CC4">
        <w:t xml:space="preserve">, hepatitis C, </w:t>
      </w:r>
      <w:proofErr w:type="spellStart"/>
      <w:r w:rsidRPr="00233CC4">
        <w:t>incisional</w:t>
      </w:r>
      <w:proofErr w:type="spellEnd"/>
      <w:r w:rsidRPr="00233CC4">
        <w:t xml:space="preserve"> hernia, renal failure and serious bacterial infection. Graft loss rates were low</w:t>
      </w:r>
      <w:r>
        <w:t>,</w:t>
      </w:r>
      <w:r w:rsidRPr="00233CC4">
        <w:t xml:space="preserve"> but </w:t>
      </w:r>
      <w:r>
        <w:t xml:space="preserve">were </w:t>
      </w:r>
      <w:r w:rsidRPr="00233CC4">
        <w:t xml:space="preserve">higher with everolimus (2.4% </w:t>
      </w:r>
      <w:r>
        <w:t xml:space="preserve">and </w:t>
      </w:r>
      <w:r w:rsidRPr="00233CC4">
        <w:t>2.2%</w:t>
      </w:r>
      <w:r>
        <w:t>,</w:t>
      </w:r>
      <w:r w:rsidRPr="00233CC4">
        <w:t xml:space="preserve"> </w:t>
      </w:r>
      <w:r>
        <w:t>versus</w:t>
      </w:r>
      <w:r w:rsidRPr="00233CC4">
        <w:t xml:space="preserve"> 1.2%</w:t>
      </w:r>
      <w:r>
        <w:t xml:space="preserve"> in the TAC control group</w:t>
      </w:r>
      <w:r w:rsidRPr="00233CC4">
        <w:t>).</w:t>
      </w:r>
    </w:p>
    <w:p w:rsidR="00287F50" w:rsidRPr="00233CC4" w:rsidRDefault="00287F50" w:rsidP="00287F50">
      <w:r w:rsidRPr="00233CC4">
        <w:t xml:space="preserve">Premature discontinuation due to AEs occurred in one quarter of patients treated with everolimus and reduced </w:t>
      </w:r>
      <w:r>
        <w:t xml:space="preserve">dose tacrolimus </w:t>
      </w:r>
      <w:r w:rsidRPr="00233CC4">
        <w:t xml:space="preserve">and this was higher than the control regimen (25.7% </w:t>
      </w:r>
      <w:r>
        <w:t>versus</w:t>
      </w:r>
      <w:r w:rsidRPr="00233CC4">
        <w:t xml:space="preserve"> 14.1%). Higher AE discontinuation rates with everolimus were also seen in HDE10 (29.7% </w:t>
      </w:r>
      <w:r>
        <w:t>versus</w:t>
      </w:r>
      <w:r w:rsidRPr="00233CC4">
        <w:t xml:space="preserve"> 13.7%). These rates were similar to the discontinuation rates seen in the renal and cardiac transplant studies. The main reasons for discontinuation that occurred at a higher rate than </w:t>
      </w:r>
      <w:r>
        <w:t xml:space="preserve">in </w:t>
      </w:r>
      <w:r w:rsidRPr="00233CC4">
        <w:t>the control group were</w:t>
      </w:r>
      <w:r>
        <w:t>:</w:t>
      </w:r>
      <w:r w:rsidRPr="00233CC4">
        <w:t xml:space="preserve"> proteinuria, hepat</w:t>
      </w:r>
      <w:r>
        <w:t xml:space="preserve">itis C, graft loss and </w:t>
      </w:r>
      <w:proofErr w:type="spellStart"/>
      <w:r>
        <w:t>pancyotp</w:t>
      </w:r>
      <w:r w:rsidRPr="00233CC4">
        <w:t>enia</w:t>
      </w:r>
      <w:proofErr w:type="spellEnd"/>
      <w:r w:rsidRPr="00233CC4">
        <w:t>.</w:t>
      </w:r>
    </w:p>
    <w:p w:rsidR="00287F50" w:rsidRPr="00233CC4" w:rsidRDefault="00287F50" w:rsidP="00287F50">
      <w:r w:rsidRPr="00233CC4">
        <w:t>In H2304</w:t>
      </w:r>
      <w:r>
        <w:t>,</w:t>
      </w:r>
      <w:r w:rsidRPr="00233CC4">
        <w:t xml:space="preserve"> renal function was a main secondary objective and the </w:t>
      </w:r>
      <w:r>
        <w:t xml:space="preserve">EVR </w:t>
      </w:r>
      <w:r w:rsidRPr="00233CC4">
        <w:t>+</w:t>
      </w:r>
      <w:r>
        <w:t> </w:t>
      </w:r>
      <w:r w:rsidRPr="00233CC4">
        <w:t>reduced TAC regimen resulted in a statistically superior renal function (</w:t>
      </w:r>
      <w:proofErr w:type="spellStart"/>
      <w:r w:rsidRPr="00233CC4">
        <w:t>cGFR</w:t>
      </w:r>
      <w:proofErr w:type="spellEnd"/>
      <w:r w:rsidRPr="00342352">
        <w:t xml:space="preserve"> </w:t>
      </w:r>
      <w:r>
        <w:t>of 8.5 </w:t>
      </w:r>
      <w:proofErr w:type="spellStart"/>
      <w:r w:rsidRPr="00233CC4">
        <w:t>mL</w:t>
      </w:r>
      <w:proofErr w:type="spellEnd"/>
      <w:r w:rsidRPr="00233CC4">
        <w:t>/min/1</w:t>
      </w:r>
      <w:r>
        <w:t>.</w:t>
      </w:r>
      <w:r w:rsidRPr="00233CC4">
        <w:t>73</w:t>
      </w:r>
      <w:r>
        <w:t xml:space="preserve"> </w:t>
      </w:r>
      <w:r w:rsidRPr="00233CC4">
        <w:t>m</w:t>
      </w:r>
      <w:r w:rsidRPr="00AE3DC7">
        <w:rPr>
          <w:vertAlign w:val="superscript"/>
        </w:rPr>
        <w:t>2</w:t>
      </w:r>
      <w:r w:rsidRPr="00233CC4">
        <w:t xml:space="preserve"> (97.5% CI: 3.74, 13.27)) at </w:t>
      </w:r>
      <w:r>
        <w:t>M</w:t>
      </w:r>
      <w:r w:rsidRPr="00233CC4">
        <w:t>o</w:t>
      </w:r>
      <w:r>
        <w:t xml:space="preserve">nth 12 when </w:t>
      </w:r>
      <w:r w:rsidRPr="00233CC4">
        <w:t xml:space="preserve">compared to the standard tacrolimus regimen. An improvement in renal function was seen from </w:t>
      </w:r>
      <w:r>
        <w:t>M</w:t>
      </w:r>
      <w:r w:rsidRPr="00233CC4">
        <w:t>onth 2 onwards. The result was robust across other renal function assessment methods and patient subgroups.</w:t>
      </w:r>
    </w:p>
    <w:p w:rsidR="00287F50" w:rsidRPr="00233CC4" w:rsidRDefault="00287F50" w:rsidP="00287F50">
      <w:r w:rsidRPr="00233CC4">
        <w:t>HDE10 assessed the effect on renal fu</w:t>
      </w:r>
      <w:r>
        <w:t xml:space="preserve">nction of an everolimus based regimen compared to a CNI </w:t>
      </w:r>
      <w:r w:rsidRPr="00233CC4">
        <w:t xml:space="preserve">based regimen in 203 patients with </w:t>
      </w:r>
      <w:r w:rsidRPr="00886C33">
        <w:rPr>
          <w:i/>
        </w:rPr>
        <w:t>de novo</w:t>
      </w:r>
      <w:r w:rsidRPr="00233CC4">
        <w:t xml:space="preserve"> liver transplantation. The study did not meet its primary endpoint </w:t>
      </w:r>
      <w:r>
        <w:t xml:space="preserve">since </w:t>
      </w:r>
      <w:r w:rsidRPr="00233CC4">
        <w:t xml:space="preserve">after 11 </w:t>
      </w:r>
      <w:r>
        <w:t>Months of treatment</w:t>
      </w:r>
      <w:r w:rsidRPr="00233CC4">
        <w:t xml:space="preserve"> the </w:t>
      </w:r>
      <w:proofErr w:type="spellStart"/>
      <w:r w:rsidRPr="00233CC4">
        <w:t>cGFR</w:t>
      </w:r>
      <w:proofErr w:type="spellEnd"/>
      <w:r w:rsidRPr="00233CC4">
        <w:t xml:space="preserve"> </w:t>
      </w:r>
      <w:r>
        <w:t xml:space="preserve">measured by the </w:t>
      </w:r>
      <w:r w:rsidRPr="00233CC4">
        <w:t>Cockcroft-</w:t>
      </w:r>
      <w:proofErr w:type="spellStart"/>
      <w:r w:rsidRPr="00233CC4">
        <w:t>Gault</w:t>
      </w:r>
      <w:proofErr w:type="spellEnd"/>
      <w:r w:rsidRPr="00233CC4">
        <w:t xml:space="preserve"> </w:t>
      </w:r>
      <w:r>
        <w:t xml:space="preserve">method </w:t>
      </w:r>
      <w:r w:rsidRPr="00233CC4">
        <w:t>was not significantly different bet</w:t>
      </w:r>
      <w:r>
        <w:t>w</w:t>
      </w:r>
      <w:r w:rsidRPr="00233CC4">
        <w:t>een the everolimus and CNI group (</w:t>
      </w:r>
      <w:r>
        <w:t>least squares (</w:t>
      </w:r>
      <w:r w:rsidRPr="00233CC4">
        <w:t>LS</w:t>
      </w:r>
      <w:r>
        <w:t>)</w:t>
      </w:r>
      <w:r w:rsidRPr="00233CC4">
        <w:t xml:space="preserve"> mean difference of -2.92 mL/min, 95% CI: -10.66, 4.81). Secondary analyses of the PP population and using different methods for calculating the GFR also found no significant differences.</w:t>
      </w:r>
    </w:p>
    <w:p w:rsidR="00287F50" w:rsidRPr="00233CC4" w:rsidRDefault="00287F50" w:rsidP="00287F50">
      <w:r w:rsidRPr="00233CC4">
        <w:t>H2401 examined renal function in 145 patients with CNI</w:t>
      </w:r>
      <w:r>
        <w:t xml:space="preserve"> </w:t>
      </w:r>
      <w:r w:rsidRPr="00233CC4">
        <w:t>related renal impairment (</w:t>
      </w:r>
      <w:proofErr w:type="spellStart"/>
      <w:r w:rsidRPr="00233CC4">
        <w:t>cGFR</w:t>
      </w:r>
      <w:proofErr w:type="spellEnd"/>
      <w:r w:rsidRPr="00233CC4">
        <w:t xml:space="preserve"> 20-60 </w:t>
      </w:r>
      <w:proofErr w:type="spellStart"/>
      <w:r w:rsidRPr="00233CC4">
        <w:t>mL</w:t>
      </w:r>
      <w:proofErr w:type="spellEnd"/>
      <w:r w:rsidRPr="00233CC4">
        <w:t>/min) who were</w:t>
      </w:r>
      <w:r>
        <w:t>,</w:t>
      </w:r>
      <w:r w:rsidRPr="00233CC4">
        <w:t xml:space="preserve"> on average</w:t>
      </w:r>
      <w:r>
        <w:t>,</w:t>
      </w:r>
      <w:r w:rsidRPr="00233CC4">
        <w:t xml:space="preserve"> 3 years post hepatic transplantation. The study did not meet its primary endpoint as there was no significant difference in renal function (as estimated by Cockcroft-</w:t>
      </w:r>
      <w:proofErr w:type="spellStart"/>
      <w:r w:rsidRPr="00233CC4">
        <w:t>Gault</w:t>
      </w:r>
      <w:proofErr w:type="spellEnd"/>
      <w:r w:rsidRPr="00233CC4">
        <w:t xml:space="preserve"> formula) after 6 </w:t>
      </w:r>
      <w:r>
        <w:t>M</w:t>
      </w:r>
      <w:r w:rsidRPr="00233CC4">
        <w:t>onths</w:t>
      </w:r>
      <w:r>
        <w:t>’</w:t>
      </w:r>
      <w:r w:rsidRPr="00233CC4">
        <w:t xml:space="preserve"> treatment in the everolimus group (with CNI withdrawal) compared to continuing on the CNI</w:t>
      </w:r>
      <w:r>
        <w:t xml:space="preserve"> </w:t>
      </w:r>
      <w:r w:rsidRPr="00233CC4">
        <w:t xml:space="preserve">based regimen. </w:t>
      </w:r>
      <w:r>
        <w:t>Twelve M</w:t>
      </w:r>
      <w:r w:rsidRPr="00233CC4">
        <w:t>onth follow up still found no difference in renal function.</w:t>
      </w:r>
    </w:p>
    <w:p w:rsidR="00287F50" w:rsidRPr="00233CC4" w:rsidRDefault="00287F50" w:rsidP="00287F50">
      <w:r w:rsidRPr="00233CC4">
        <w:t>In hepatic transplantation patients, renal failure/impairment AEs occurred at a slightly lower rate in the everolimus</w:t>
      </w:r>
      <w:r>
        <w:t xml:space="preserve"> </w:t>
      </w:r>
      <w:r w:rsidRPr="00233CC4">
        <w:t>based regimens than in the control groups. Proteinuria levels and AE rates were higher with everolimus treatment.</w:t>
      </w:r>
    </w:p>
    <w:p w:rsidR="00287F50" w:rsidRPr="00233CC4" w:rsidRDefault="00287F50" w:rsidP="00287F50">
      <w:r w:rsidRPr="00233CC4">
        <w:t>For other events of clinical significance (comparing EVR</w:t>
      </w:r>
      <w:r>
        <w:t> </w:t>
      </w:r>
      <w:r w:rsidRPr="00233CC4">
        <w:t>+</w:t>
      </w:r>
      <w:r>
        <w:t> </w:t>
      </w:r>
      <w:r w:rsidRPr="00233CC4">
        <w:t xml:space="preserve">reduced TAC </w:t>
      </w:r>
      <w:r>
        <w:t>versus</w:t>
      </w:r>
      <w:r w:rsidRPr="00233CC4">
        <w:t xml:space="preserve"> TAC control group in H2304) it was found that there was no higher rate of malignancy (2.4% </w:t>
      </w:r>
      <w:r>
        <w:t>versus</w:t>
      </w:r>
      <w:r w:rsidRPr="00233CC4">
        <w:t xml:space="preserve"> 4.6%), major cardiovascular events (2.0% </w:t>
      </w:r>
      <w:r>
        <w:t>versus</w:t>
      </w:r>
      <w:r w:rsidRPr="00233CC4">
        <w:t xml:space="preserve"> 3.7%) or gastrointestinal haemorrhage or perforation. Patients received </w:t>
      </w:r>
      <w:r>
        <w:t xml:space="preserve">prophylaxis for </w:t>
      </w:r>
      <w:proofErr w:type="spellStart"/>
      <w:r w:rsidRPr="00233CC4">
        <w:t>pneumocystitis</w:t>
      </w:r>
      <w:proofErr w:type="spellEnd"/>
      <w:r w:rsidRPr="00233CC4">
        <w:t xml:space="preserve"> and </w:t>
      </w:r>
      <w:r>
        <w:t>cytomegalovirus (</w:t>
      </w:r>
      <w:r w:rsidRPr="00233CC4">
        <w:t>CMV</w:t>
      </w:r>
      <w:r>
        <w:t>)</w:t>
      </w:r>
      <w:r w:rsidRPr="00233CC4">
        <w:t xml:space="preserve"> (if required) in H2304. The everolimus treated patients did have higher rates of infections in all three hepatic transplant studies (50.2% </w:t>
      </w:r>
      <w:r>
        <w:t>versus</w:t>
      </w:r>
      <w:r w:rsidRPr="00233CC4">
        <w:t xml:space="preserve"> 43.6%) and discontinuation due to infections was also higher (5.3% </w:t>
      </w:r>
      <w:r>
        <w:t>versus</w:t>
      </w:r>
      <w:r w:rsidRPr="00233CC4">
        <w:t xml:space="preserve"> 2.1%)</w:t>
      </w:r>
      <w:r>
        <w:t>.</w:t>
      </w:r>
    </w:p>
    <w:p w:rsidR="00287F50" w:rsidRPr="00233CC4" w:rsidRDefault="00287F50" w:rsidP="00287F50">
      <w:r w:rsidRPr="00233CC4">
        <w:t xml:space="preserve">Recurrent hepatitis C was higher in the everolimus group (11.4% </w:t>
      </w:r>
      <w:r>
        <w:t>versus</w:t>
      </w:r>
      <w:r w:rsidRPr="00233CC4">
        <w:t xml:space="preserve"> 7.9%)</w:t>
      </w:r>
      <w:r>
        <w:t>,</w:t>
      </w:r>
      <w:r w:rsidRPr="00233CC4">
        <w:t xml:space="preserve"> while the hepatitis C activity index was not higher and the mean change from baseline to </w:t>
      </w:r>
      <w:r>
        <w:t>M</w:t>
      </w:r>
      <w:r w:rsidRPr="00233CC4">
        <w:t>onth 12 in HCV viral load was similar. Data on the impact of evero</w:t>
      </w:r>
      <w:r>
        <w:t xml:space="preserve">limus on liver fibrosis was </w:t>
      </w:r>
      <w:proofErr w:type="spellStart"/>
      <w:r>
        <w:t>non</w:t>
      </w:r>
      <w:r>
        <w:noBreakHyphen/>
      </w:r>
      <w:r w:rsidRPr="00233CC4">
        <w:t>conclusive</w:t>
      </w:r>
      <w:proofErr w:type="spellEnd"/>
      <w:r w:rsidRPr="00233CC4">
        <w:t>.</w:t>
      </w:r>
    </w:p>
    <w:p w:rsidR="00287F50" w:rsidRPr="00233CC4" w:rsidRDefault="00287F50" w:rsidP="00287F50">
      <w:r w:rsidRPr="00233CC4">
        <w:t xml:space="preserve">There was a higher rate of thromboembolic events </w:t>
      </w:r>
      <w:r>
        <w:t xml:space="preserve">in the everolimus group versus the control group </w:t>
      </w:r>
      <w:r w:rsidRPr="00233CC4">
        <w:t xml:space="preserve">(5.3% </w:t>
      </w:r>
      <w:r>
        <w:t>versus</w:t>
      </w:r>
      <w:r w:rsidRPr="00233CC4">
        <w:t xml:space="preserve"> 3.7%)</w:t>
      </w:r>
      <w:r>
        <w:t>,</w:t>
      </w:r>
      <w:r w:rsidRPr="00233CC4">
        <w:t xml:space="preserve"> although the risk of hepatic artery thrombosis appears to be reduced by delayed treatment commencement, with only one case post randomisation in the </w:t>
      </w:r>
      <w:r>
        <w:t>EVR + TAC elimination group</w:t>
      </w:r>
      <w:r w:rsidRPr="00233CC4">
        <w:t>.</w:t>
      </w:r>
    </w:p>
    <w:p w:rsidR="00287F50" w:rsidRPr="00233CC4" w:rsidRDefault="00287F50" w:rsidP="00287F50">
      <w:r w:rsidRPr="00233CC4">
        <w:lastRenderedPageBreak/>
        <w:t xml:space="preserve">The rate of peripheral oedema was higher (19.6% </w:t>
      </w:r>
      <w:r>
        <w:t>versus</w:t>
      </w:r>
      <w:r w:rsidRPr="00233CC4">
        <w:t xml:space="preserve"> 12.4%), although </w:t>
      </w:r>
      <w:proofErr w:type="spellStart"/>
      <w:r w:rsidRPr="00233CC4">
        <w:t>ascites</w:t>
      </w:r>
      <w:proofErr w:type="spellEnd"/>
      <w:r w:rsidRPr="00233CC4">
        <w:t xml:space="preserve"> and pleural effusion rates were similar. Wound healing complications were also more frequent (11.0% </w:t>
      </w:r>
      <w:r>
        <w:t>versus</w:t>
      </w:r>
      <w:r w:rsidRPr="00233CC4">
        <w:t xml:space="preserve"> 7.9%)</w:t>
      </w:r>
      <w:r>
        <w:t>,</w:t>
      </w:r>
      <w:r w:rsidRPr="00233CC4">
        <w:t xml:space="preserve"> as were hernias (11.0% </w:t>
      </w:r>
      <w:r>
        <w:t>versus</w:t>
      </w:r>
      <w:r w:rsidRPr="00233CC4">
        <w:t xml:space="preserve"> 7.5%)</w:t>
      </w:r>
      <w:r>
        <w:t>;</w:t>
      </w:r>
      <w:r w:rsidRPr="00233CC4">
        <w:t xml:space="preserve"> however</w:t>
      </w:r>
      <w:r>
        <w:t>,</w:t>
      </w:r>
      <w:r w:rsidRPr="00233CC4">
        <w:t xml:space="preserve"> the rates were lower than </w:t>
      </w:r>
      <w:r>
        <w:t xml:space="preserve">in </w:t>
      </w:r>
      <w:r w:rsidRPr="00233CC4">
        <w:t>the renal transplant study where treatment was initiated earlier.</w:t>
      </w:r>
    </w:p>
    <w:p w:rsidR="00287F50" w:rsidRPr="00233CC4" w:rsidRDefault="00287F50" w:rsidP="00287F50">
      <w:r w:rsidRPr="00233CC4">
        <w:t xml:space="preserve">The increased risk of new onset diabetes was generally high (about one third of patients) with a slightly higher rate in the everolimus group (32.0% </w:t>
      </w:r>
      <w:r>
        <w:t>versus</w:t>
      </w:r>
      <w:r w:rsidRPr="00233CC4">
        <w:t xml:space="preserve"> 28.6%).</w:t>
      </w:r>
    </w:p>
    <w:p w:rsidR="00287F50" w:rsidRPr="00233CC4" w:rsidRDefault="00287F50" w:rsidP="00287F50">
      <w:r w:rsidRPr="00233CC4">
        <w:t>Stomatitis and mouth ulcers were more frequent</w:t>
      </w:r>
      <w:r>
        <w:t>,</w:t>
      </w:r>
      <w:r w:rsidRPr="00233CC4">
        <w:t xml:space="preserve"> as is known to occur with </w:t>
      </w:r>
      <w:proofErr w:type="spellStart"/>
      <w:r w:rsidRPr="00233CC4">
        <w:t>mTOR</w:t>
      </w:r>
      <w:proofErr w:type="spellEnd"/>
      <w:r w:rsidRPr="00233CC4">
        <w:t xml:space="preserve"> inhibitors.</w:t>
      </w:r>
      <w:r>
        <w:t xml:space="preserve"> </w:t>
      </w:r>
      <w:r w:rsidRPr="00233CC4">
        <w:t xml:space="preserve">The known risks of </w:t>
      </w:r>
      <w:proofErr w:type="spellStart"/>
      <w:r w:rsidRPr="00233CC4">
        <w:t>angioedema</w:t>
      </w:r>
      <w:proofErr w:type="spellEnd"/>
      <w:r w:rsidRPr="00233CC4">
        <w:t xml:space="preserve"> and interstitial lung disease were rare in the liver transplant studies.</w:t>
      </w:r>
    </w:p>
    <w:p w:rsidR="00287F50" w:rsidRPr="00233CC4" w:rsidRDefault="00287F50" w:rsidP="00287F50">
      <w:r w:rsidRPr="00233CC4">
        <w:t>Anaemia rates and notably low haemoglobin rates were similar in H2304. Thrombocytopenia rates were higher</w:t>
      </w:r>
      <w:r>
        <w:t>,</w:t>
      </w:r>
      <w:r w:rsidRPr="00233CC4">
        <w:t xml:space="preserve"> although notably low pla</w:t>
      </w:r>
      <w:r>
        <w:t xml:space="preserve">telets were infrequent. </w:t>
      </w:r>
      <w:proofErr w:type="spellStart"/>
      <w:r>
        <w:t>Neutrop</w:t>
      </w:r>
      <w:r w:rsidRPr="00233CC4">
        <w:t>enia</w:t>
      </w:r>
      <w:proofErr w:type="spellEnd"/>
      <w:r w:rsidRPr="00233CC4">
        <w:t xml:space="preserve"> and </w:t>
      </w:r>
      <w:proofErr w:type="spellStart"/>
      <w:r w:rsidRPr="00233CC4">
        <w:t>pancytopenia</w:t>
      </w:r>
      <w:proofErr w:type="spellEnd"/>
      <w:r w:rsidRPr="00233CC4">
        <w:t xml:space="preserve"> rates were higher (2.4% </w:t>
      </w:r>
      <w:r>
        <w:t>versus</w:t>
      </w:r>
      <w:r w:rsidRPr="00233CC4">
        <w:t xml:space="preserve"> 0.8% and 3.7% </w:t>
      </w:r>
      <w:r>
        <w:t>versus</w:t>
      </w:r>
      <w:r w:rsidRPr="00233CC4">
        <w:t xml:space="preserve"> 0.8%, respectively)</w:t>
      </w:r>
      <w:r>
        <w:t>,</w:t>
      </w:r>
      <w:r w:rsidRPr="00233CC4">
        <w:t xml:space="preserve"> as was notably low </w:t>
      </w:r>
      <w:r>
        <w:t xml:space="preserve">white blood cells </w:t>
      </w:r>
      <w:r w:rsidRPr="00233CC4">
        <w:t xml:space="preserve">(13.5% </w:t>
      </w:r>
      <w:r>
        <w:t>versus</w:t>
      </w:r>
      <w:r w:rsidRPr="00233CC4">
        <w:t xml:space="preserve"> 6.6%). There were higher rates of increased </w:t>
      </w:r>
      <w:proofErr w:type="spellStart"/>
      <w:r>
        <w:t>a</w:t>
      </w:r>
      <w:r w:rsidRPr="00A57020">
        <w:t>spartate</w:t>
      </w:r>
      <w:proofErr w:type="spellEnd"/>
      <w:r w:rsidRPr="00A57020">
        <w:t xml:space="preserve"> </w:t>
      </w:r>
      <w:proofErr w:type="spellStart"/>
      <w:r w:rsidRPr="00A57020">
        <w:t>aminotransferase</w:t>
      </w:r>
      <w:proofErr w:type="spellEnd"/>
      <w:r w:rsidRPr="00233CC4">
        <w:t xml:space="preserve"> </w:t>
      </w:r>
      <w:r>
        <w:t>(</w:t>
      </w:r>
      <w:r w:rsidRPr="00233CC4">
        <w:t>AST</w:t>
      </w:r>
      <w:r>
        <w:t>)</w:t>
      </w:r>
      <w:r w:rsidRPr="00233CC4">
        <w:t xml:space="preserve"> and </w:t>
      </w:r>
      <w:proofErr w:type="spellStart"/>
      <w:r>
        <w:t>a</w:t>
      </w:r>
      <w:r w:rsidRPr="00A57020">
        <w:t>lanine</w:t>
      </w:r>
      <w:proofErr w:type="spellEnd"/>
      <w:r w:rsidRPr="00A57020">
        <w:t xml:space="preserve"> </w:t>
      </w:r>
      <w:proofErr w:type="spellStart"/>
      <w:r w:rsidRPr="00A57020">
        <w:t>aminotransferase</w:t>
      </w:r>
      <w:proofErr w:type="spellEnd"/>
      <w:r w:rsidRPr="00233CC4">
        <w:t xml:space="preserve"> </w:t>
      </w:r>
      <w:r>
        <w:t>(</w:t>
      </w:r>
      <w:r w:rsidRPr="00233CC4">
        <w:t>ALT</w:t>
      </w:r>
      <w:r>
        <w:t>),</w:t>
      </w:r>
      <w:r w:rsidRPr="00233CC4">
        <w:t xml:space="preserve"> though </w:t>
      </w:r>
      <w:proofErr w:type="spellStart"/>
      <w:r w:rsidRPr="00233CC4">
        <w:t>Hy’s</w:t>
      </w:r>
      <w:proofErr w:type="spellEnd"/>
      <w:r w:rsidRPr="00233CC4">
        <w:t xml:space="preserve"> Law</w:t>
      </w:r>
      <w:r>
        <w:rPr>
          <w:rStyle w:val="FootnoteReference"/>
        </w:rPr>
        <w:footnoteReference w:id="5"/>
      </w:r>
      <w:r w:rsidRPr="00233CC4">
        <w:t xml:space="preserve"> cases were no greater in the everolimus groups. </w:t>
      </w:r>
      <w:proofErr w:type="spellStart"/>
      <w:r w:rsidRPr="00233CC4">
        <w:t>Hyperlipidaemia</w:t>
      </w:r>
      <w:proofErr w:type="spellEnd"/>
      <w:r w:rsidRPr="00233CC4">
        <w:t xml:space="preserve"> (cholesterol and triglycerides) was notable with everolimus treatment. </w:t>
      </w:r>
    </w:p>
    <w:p w:rsidR="00287F50" w:rsidRPr="00233CC4" w:rsidRDefault="00287F50" w:rsidP="00287F50">
      <w:r w:rsidRPr="00233CC4">
        <w:t>While females had higher rates of some AEs, the overall rate was similar</w:t>
      </w:r>
      <w:r>
        <w:t xml:space="preserve"> between genders</w:t>
      </w:r>
      <w:r w:rsidRPr="00233CC4">
        <w:t xml:space="preserve">, as it was between those aged &lt; 60 </w:t>
      </w:r>
      <w:r>
        <w:t xml:space="preserve">years </w:t>
      </w:r>
      <w:r w:rsidRPr="00233CC4">
        <w:t>and ≥</w:t>
      </w:r>
      <w:r>
        <w:t> </w:t>
      </w:r>
      <w:r w:rsidRPr="00233CC4">
        <w:t>6</w:t>
      </w:r>
      <w:r>
        <w:t xml:space="preserve">0 years. There were too few </w:t>
      </w:r>
      <w:proofErr w:type="spellStart"/>
      <w:r>
        <w:t>non</w:t>
      </w:r>
      <w:r>
        <w:noBreakHyphen/>
      </w:r>
      <w:r w:rsidRPr="00233CC4">
        <w:t>Caucasians</w:t>
      </w:r>
      <w:proofErr w:type="spellEnd"/>
      <w:r w:rsidRPr="00233CC4">
        <w:t xml:space="preserve"> to draw safety conclusions in other racial groups.</w:t>
      </w:r>
    </w:p>
    <w:p w:rsidR="00287F50" w:rsidRDefault="00287F50" w:rsidP="00287F50">
      <w:pPr>
        <w:pStyle w:val="Heading3"/>
      </w:pPr>
      <w:bookmarkStart w:id="137" w:name="_Toc255919423"/>
      <w:bookmarkStart w:id="138" w:name="_Toc241374329"/>
      <w:bookmarkStart w:id="139" w:name="_Toc270320087"/>
      <w:bookmarkStart w:id="140" w:name="_Toc314842506"/>
      <w:bookmarkStart w:id="141" w:name="_Toc355005429"/>
      <w:bookmarkStart w:id="142" w:name="_Toc356974708"/>
      <w:r>
        <w:t>List of questions</w:t>
      </w:r>
      <w:bookmarkEnd w:id="137"/>
      <w:bookmarkEnd w:id="138"/>
      <w:bookmarkEnd w:id="139"/>
      <w:bookmarkEnd w:id="140"/>
      <w:bookmarkEnd w:id="141"/>
      <w:bookmarkEnd w:id="142"/>
    </w:p>
    <w:p w:rsidR="00287F50" w:rsidRPr="00233CC4" w:rsidRDefault="00287F50" w:rsidP="00287F50">
      <w:r>
        <w:t>None.</w:t>
      </w:r>
    </w:p>
    <w:p w:rsidR="00287F50" w:rsidRPr="006E137C" w:rsidRDefault="00287F50" w:rsidP="00287F50">
      <w:pPr>
        <w:pStyle w:val="Heading3"/>
      </w:pPr>
      <w:bookmarkStart w:id="143" w:name="_Toc247691523"/>
      <w:bookmarkStart w:id="144" w:name="_Toc314842507"/>
      <w:bookmarkStart w:id="145" w:name="_Toc355005430"/>
      <w:bookmarkStart w:id="146" w:name="_Toc356974709"/>
      <w:bookmarkStart w:id="147" w:name="_Toc184440295"/>
      <w:bookmarkStart w:id="148" w:name="_Toc184444673"/>
      <w:bookmarkStart w:id="149" w:name="_Toc196046503"/>
      <w:bookmarkEnd w:id="132"/>
      <w:r>
        <w:t>Clinical summary and conclusions</w:t>
      </w:r>
      <w:bookmarkEnd w:id="143"/>
      <w:bookmarkEnd w:id="144"/>
      <w:bookmarkEnd w:id="145"/>
      <w:bookmarkEnd w:id="146"/>
    </w:p>
    <w:p w:rsidR="00287F50" w:rsidRPr="00E74F16" w:rsidRDefault="00287F50" w:rsidP="00287F50">
      <w:pPr>
        <w:pStyle w:val="Heading4"/>
      </w:pPr>
      <w:bookmarkStart w:id="150" w:name="_Toc196046504"/>
      <w:bookmarkStart w:id="151" w:name="_Toc163441390"/>
      <w:bookmarkEnd w:id="147"/>
      <w:bookmarkEnd w:id="148"/>
      <w:bookmarkEnd w:id="149"/>
      <w:r>
        <w:t>B</w:t>
      </w:r>
      <w:r w:rsidRPr="00E74F16">
        <w:t xml:space="preserve">enefit-risk assessment </w:t>
      </w:r>
    </w:p>
    <w:p w:rsidR="00287F50" w:rsidRDefault="00287F50" w:rsidP="00287F50">
      <w:pPr>
        <w:pStyle w:val="Heading5"/>
      </w:pPr>
      <w:r>
        <w:t>Assessment of benefits</w:t>
      </w:r>
    </w:p>
    <w:p w:rsidR="00287F50" w:rsidRPr="00E74F16" w:rsidRDefault="00287F50" w:rsidP="00287F50">
      <w:r w:rsidRPr="00E74F16">
        <w:t xml:space="preserve">The benefits of everolimus in the proposed usage </w:t>
      </w:r>
      <w:r>
        <w:t>(h</w:t>
      </w:r>
      <w:r w:rsidRPr="00E74F16">
        <w:t>epatic transplantation</w:t>
      </w:r>
      <w:r>
        <w:t xml:space="preserve">) </w:t>
      </w:r>
      <w:r w:rsidRPr="00E74F16">
        <w:t>are:</w:t>
      </w:r>
    </w:p>
    <w:p w:rsidR="00287F50" w:rsidRPr="00E74F16" w:rsidRDefault="00287F50" w:rsidP="005F0A52">
      <w:pPr>
        <w:pStyle w:val="ListBullet"/>
        <w:numPr>
          <w:ilvl w:val="0"/>
          <w:numId w:val="1"/>
        </w:numPr>
      </w:pPr>
      <w:r w:rsidRPr="00E74F16">
        <w:t xml:space="preserve">Treatment with everolimus allowed a reduction in tacrolimus exposure without affecting efficacy in terms of prevention of the composite endpoint of </w:t>
      </w:r>
      <w:proofErr w:type="spellStart"/>
      <w:r w:rsidRPr="00E74F16">
        <w:t>t</w:t>
      </w:r>
      <w:r>
        <w:t>BPAR</w:t>
      </w:r>
      <w:proofErr w:type="spellEnd"/>
      <w:r w:rsidRPr="00E74F16">
        <w:t xml:space="preserve">, </w:t>
      </w:r>
      <w:r>
        <w:t xml:space="preserve">GL </w:t>
      </w:r>
      <w:r w:rsidRPr="00E74F16">
        <w:t xml:space="preserve">and </w:t>
      </w:r>
      <w:r>
        <w:t xml:space="preserve">D </w:t>
      </w:r>
      <w:r w:rsidRPr="00E74F16">
        <w:t>at 12 months post-transplantation.</w:t>
      </w:r>
    </w:p>
    <w:p w:rsidR="00287F50" w:rsidRPr="00E74F16" w:rsidRDefault="00287F50" w:rsidP="005F0A52">
      <w:pPr>
        <w:pStyle w:val="ListBullet"/>
        <w:numPr>
          <w:ilvl w:val="0"/>
          <w:numId w:val="1"/>
        </w:numPr>
      </w:pPr>
      <w:r w:rsidRPr="00E74F16">
        <w:t xml:space="preserve">The everolimus and reduced dose tacrolimus regimen resulted in significantly fewer episodes of acute rejection than the standard dose tacrolimus regimen (3.7% </w:t>
      </w:r>
      <w:r>
        <w:t>versus</w:t>
      </w:r>
      <w:r w:rsidRPr="00E74F16">
        <w:t xml:space="preserve"> 10.7%).</w:t>
      </w:r>
    </w:p>
    <w:p w:rsidR="00287F50" w:rsidRPr="00E74F16" w:rsidRDefault="00287F50" w:rsidP="005F0A52">
      <w:pPr>
        <w:pStyle w:val="ListBullet"/>
        <w:numPr>
          <w:ilvl w:val="0"/>
          <w:numId w:val="1"/>
        </w:numPr>
      </w:pPr>
      <w:r w:rsidRPr="00E74F16">
        <w:t xml:space="preserve">Efficacy results were consistent across subgroups of age, gender, region, </w:t>
      </w:r>
      <w:proofErr w:type="spellStart"/>
      <w:r w:rsidRPr="00E74F16">
        <w:t>eGFR</w:t>
      </w:r>
      <w:proofErr w:type="spellEnd"/>
      <w:r w:rsidRPr="00E74F16">
        <w:t>, HCV status, MELD score and cause of ESLD.</w:t>
      </w:r>
    </w:p>
    <w:p w:rsidR="00287F50" w:rsidRPr="00E74F16" w:rsidRDefault="00287F50" w:rsidP="005F0A52">
      <w:pPr>
        <w:pStyle w:val="ListBullet"/>
        <w:numPr>
          <w:ilvl w:val="0"/>
          <w:numId w:val="1"/>
        </w:numPr>
      </w:pPr>
      <w:r>
        <w:t xml:space="preserve">Over the 12 months post </w:t>
      </w:r>
      <w:r w:rsidRPr="00E74F16">
        <w:t>transplantation, the decline in renal function (</w:t>
      </w:r>
      <w:proofErr w:type="spellStart"/>
      <w:r w:rsidRPr="00E74F16">
        <w:t>eGFR</w:t>
      </w:r>
      <w:proofErr w:type="spellEnd"/>
      <w:r w:rsidRPr="00E74F16">
        <w:t xml:space="preserve"> by MDRD-4</w:t>
      </w:r>
      <w:r>
        <w:t xml:space="preserve"> (with 4 variables</w:t>
      </w:r>
      <w:r w:rsidRPr="00E74F16">
        <w:t>)</w:t>
      </w:r>
      <w:r>
        <w:t>)</w:t>
      </w:r>
      <w:r w:rsidRPr="00E74F16">
        <w:t xml:space="preserve"> with everolimus and reduced dose tacrolimus treatment was significantly less than with standard dose tacrolimus (-2.2 mL/min/1.73 m</w:t>
      </w:r>
      <w:r w:rsidRPr="005C69A4">
        <w:rPr>
          <w:vertAlign w:val="superscript"/>
        </w:rPr>
        <w:t>2</w:t>
      </w:r>
      <w:r>
        <w:rPr>
          <w:vertAlign w:val="superscript"/>
        </w:rPr>
        <w:t xml:space="preserve"> </w:t>
      </w:r>
      <w:r>
        <w:t>versus -10.7 </w:t>
      </w:r>
      <w:r w:rsidRPr="00E74F16">
        <w:t>mL/min/1.73 m</w:t>
      </w:r>
      <w:r w:rsidRPr="005C69A4">
        <w:rPr>
          <w:vertAlign w:val="superscript"/>
        </w:rPr>
        <w:t>2</w:t>
      </w:r>
      <w:r w:rsidRPr="00E74F16">
        <w:t xml:space="preserve">). The finding was consistent across other methods of renal function assessment and patient subgroups. The rate of renal failure/impairment AEs was slightly lower with everolimus. </w:t>
      </w:r>
    </w:p>
    <w:p w:rsidR="00287F50" w:rsidRPr="00E74F16" w:rsidRDefault="00287F50" w:rsidP="005F0A52">
      <w:pPr>
        <w:pStyle w:val="ListBullet"/>
        <w:numPr>
          <w:ilvl w:val="0"/>
          <w:numId w:val="1"/>
        </w:numPr>
      </w:pPr>
      <w:r w:rsidRPr="00E74F16">
        <w:lastRenderedPageBreak/>
        <w:t xml:space="preserve">There were lower rates of malignancy in the everolimus and reduced dose tacrolimus group compared to the standard dose tacrolimus regimen (2.4% </w:t>
      </w:r>
      <w:r>
        <w:t>versus</w:t>
      </w:r>
      <w:r w:rsidRPr="00E74F16">
        <w:t xml:space="preserve"> 4.6%).</w:t>
      </w:r>
    </w:p>
    <w:p w:rsidR="00287F50" w:rsidRDefault="00287F50" w:rsidP="00287F50">
      <w:pPr>
        <w:pStyle w:val="Heading5"/>
      </w:pPr>
      <w:r>
        <w:t>Assessment of risks</w:t>
      </w:r>
    </w:p>
    <w:p w:rsidR="00287F50" w:rsidRPr="00C646CE" w:rsidRDefault="00287F50" w:rsidP="00287F50">
      <w:r w:rsidRPr="00C646CE">
        <w:t xml:space="preserve">The risks of everolimus in the proposed usage </w:t>
      </w:r>
      <w:r>
        <w:t>(h</w:t>
      </w:r>
      <w:r w:rsidRPr="00E74F16">
        <w:t>epatic transplantation</w:t>
      </w:r>
      <w:r>
        <w:t xml:space="preserve">) </w:t>
      </w:r>
      <w:r w:rsidRPr="00C646CE">
        <w:t>are:</w:t>
      </w:r>
    </w:p>
    <w:p w:rsidR="00287F50" w:rsidRPr="00E74F16" w:rsidRDefault="00287F50" w:rsidP="005F0A52">
      <w:pPr>
        <w:pStyle w:val="ListBullet"/>
        <w:numPr>
          <w:ilvl w:val="0"/>
          <w:numId w:val="1"/>
        </w:numPr>
      </w:pPr>
      <w:r w:rsidRPr="00E74F16">
        <w:t>Treatment with everolimus does not allow elimination of concomitant tacrolimus. Elimination of tacrolimus resulted in an unacceptable increased risk of acute rejection and treatment discontinuation.</w:t>
      </w:r>
    </w:p>
    <w:p w:rsidR="00287F50" w:rsidRPr="00E74F16" w:rsidRDefault="00287F50" w:rsidP="005F0A52">
      <w:pPr>
        <w:pStyle w:val="ListBullet"/>
        <w:numPr>
          <w:ilvl w:val="0"/>
          <w:numId w:val="1"/>
        </w:numPr>
      </w:pPr>
      <w:r w:rsidRPr="00E74F16">
        <w:t>There was an increased risk of efficacy failure with everolimus trough levels &lt;</w:t>
      </w:r>
      <w:r>
        <w:t> </w:t>
      </w:r>
      <w:r w:rsidRPr="00E74F16">
        <w:t>3</w:t>
      </w:r>
      <w:r>
        <w:t> </w:t>
      </w:r>
      <w:proofErr w:type="spellStart"/>
      <w:r w:rsidRPr="00E74F16">
        <w:t>ng</w:t>
      </w:r>
      <w:proofErr w:type="spellEnd"/>
      <w:r w:rsidRPr="00E74F16">
        <w:t>/</w:t>
      </w:r>
      <w:proofErr w:type="spellStart"/>
      <w:r w:rsidRPr="00E74F16">
        <w:t>mL</w:t>
      </w:r>
      <w:proofErr w:type="spellEnd"/>
      <w:r w:rsidRPr="00E74F16">
        <w:t xml:space="preserve"> and higher doses than recommended have an unacceptable safety profile. Everolimus treatment needs to be concentration-controlled th</w:t>
      </w:r>
      <w:r>
        <w:t>r</w:t>
      </w:r>
      <w:r w:rsidRPr="00E74F16">
        <w:t xml:space="preserve">ough active therapeutic drug monitoring. </w:t>
      </w:r>
    </w:p>
    <w:p w:rsidR="00287F50" w:rsidRPr="00E74F16" w:rsidRDefault="00287F50" w:rsidP="005F0A52">
      <w:pPr>
        <w:pStyle w:val="ListBullet"/>
        <w:numPr>
          <w:ilvl w:val="0"/>
          <w:numId w:val="1"/>
        </w:numPr>
      </w:pPr>
      <w:r w:rsidRPr="00E74F16">
        <w:t>Adverse events are virtually universal in this patient population</w:t>
      </w:r>
      <w:r>
        <w:t>.</w:t>
      </w:r>
      <w:r w:rsidRPr="00E74F16">
        <w:t xml:space="preserve"> </w:t>
      </w:r>
      <w:r>
        <w:t>O</w:t>
      </w:r>
      <w:r w:rsidRPr="00E74F16">
        <w:t>ver the 12 months, the most commonly reported AEs were diarrhoea, headache, pyrexia, hypertension, peripheral oedema, nausea, abdominal pain, hepatitis C, leukopenia, anaemia, fatigue and tremor.</w:t>
      </w:r>
    </w:p>
    <w:p w:rsidR="00287F50" w:rsidRPr="00E74F16" w:rsidRDefault="00287F50" w:rsidP="005F0A52">
      <w:pPr>
        <w:pStyle w:val="ListBullet"/>
        <w:numPr>
          <w:ilvl w:val="0"/>
          <w:numId w:val="1"/>
        </w:numPr>
      </w:pPr>
      <w:r w:rsidRPr="00E74F16">
        <w:t xml:space="preserve">Compared to the renal transplantation study, there were higher rates of </w:t>
      </w:r>
      <w:proofErr w:type="spellStart"/>
      <w:r w:rsidRPr="00E74F16">
        <w:t>incisional</w:t>
      </w:r>
      <w:proofErr w:type="spellEnd"/>
      <w:r w:rsidRPr="00E74F16">
        <w:t xml:space="preserve"> hernia, </w:t>
      </w:r>
      <w:proofErr w:type="spellStart"/>
      <w:r w:rsidRPr="00E74F16">
        <w:t>ascites</w:t>
      </w:r>
      <w:proofErr w:type="spellEnd"/>
      <w:r w:rsidRPr="00E74F16">
        <w:t xml:space="preserve">, thrombocytopenia and new onset diabetes. There were, however, lower risks of </w:t>
      </w:r>
      <w:proofErr w:type="spellStart"/>
      <w:r w:rsidRPr="00E74F16">
        <w:t>hyperlipidaemia</w:t>
      </w:r>
      <w:proofErr w:type="spellEnd"/>
      <w:r w:rsidRPr="00E74F16">
        <w:t xml:space="preserve">, peripheral oedema, </w:t>
      </w:r>
      <w:proofErr w:type="spellStart"/>
      <w:r w:rsidRPr="00E74F16">
        <w:t>proteinuria</w:t>
      </w:r>
      <w:proofErr w:type="spellEnd"/>
      <w:r w:rsidRPr="00E74F16">
        <w:t xml:space="preserve">, </w:t>
      </w:r>
      <w:proofErr w:type="spellStart"/>
      <w:r w:rsidRPr="00E74F16">
        <w:t>angioedema</w:t>
      </w:r>
      <w:proofErr w:type="spellEnd"/>
      <w:r w:rsidRPr="00E74F16">
        <w:t>, cardiovascular events, renal failure excluding proteinuria, anaemia and thromboembolic events.</w:t>
      </w:r>
    </w:p>
    <w:p w:rsidR="00287F50" w:rsidRPr="00E74F16" w:rsidRDefault="00287F50" w:rsidP="005F0A52">
      <w:pPr>
        <w:pStyle w:val="ListBullet"/>
        <w:numPr>
          <w:ilvl w:val="0"/>
          <w:numId w:val="1"/>
        </w:numPr>
      </w:pPr>
      <w:r w:rsidRPr="00E74F16">
        <w:t xml:space="preserve">There was a higher rate of severe AEs (31% </w:t>
      </w:r>
      <w:r>
        <w:t>versus</w:t>
      </w:r>
      <w:r w:rsidRPr="00E74F16">
        <w:t xml:space="preserve"> 20%) and SAEs (50% </w:t>
      </w:r>
      <w:r>
        <w:t>versus</w:t>
      </w:r>
      <w:r w:rsidRPr="00E74F16">
        <w:t xml:space="preserve"> 43%) with everolimus and reduced tacrolimus compared to the tacrolimus control regimen. There was also a higher rate of premature discontinuation due to AEs (26% </w:t>
      </w:r>
      <w:r>
        <w:t>versus</w:t>
      </w:r>
      <w:r w:rsidRPr="00E74F16">
        <w:t xml:space="preserve"> 14%).</w:t>
      </w:r>
    </w:p>
    <w:p w:rsidR="00287F50" w:rsidRPr="00E74F16" w:rsidRDefault="00287F50" w:rsidP="005F0A52">
      <w:pPr>
        <w:pStyle w:val="ListBullet"/>
        <w:numPr>
          <w:ilvl w:val="0"/>
          <w:numId w:val="1"/>
        </w:numPr>
      </w:pPr>
      <w:r w:rsidRPr="00E74F16">
        <w:t xml:space="preserve">There was an increase risk of thromboembolic events (5.3% </w:t>
      </w:r>
      <w:r>
        <w:t>versus</w:t>
      </w:r>
      <w:r w:rsidRPr="00E74F16">
        <w:t xml:space="preserve"> 3.7%), however major cardiovascular events were not more prevalent (2.0% </w:t>
      </w:r>
      <w:r>
        <w:t>versus</w:t>
      </w:r>
      <w:r w:rsidRPr="00E74F16">
        <w:t xml:space="preserve"> 3.7%) and the delayed treatment commencement </w:t>
      </w:r>
      <w:r>
        <w:t>(</w:t>
      </w:r>
      <w:r w:rsidRPr="00E74F16">
        <w:t>at one month post transplantation</w:t>
      </w:r>
      <w:r>
        <w:t>)</w:t>
      </w:r>
      <w:r w:rsidRPr="00E74F16">
        <w:t xml:space="preserve"> appears to have reduced the potential risk of hepatic artery thrombosis. </w:t>
      </w:r>
    </w:p>
    <w:p w:rsidR="00287F50" w:rsidRPr="00E74F16" w:rsidRDefault="00287F50" w:rsidP="005F0A52">
      <w:pPr>
        <w:pStyle w:val="ListBullet"/>
        <w:numPr>
          <w:ilvl w:val="0"/>
          <w:numId w:val="1"/>
        </w:numPr>
      </w:pPr>
      <w:r w:rsidRPr="00E74F16">
        <w:t>About one third of patients developed new onset diabetes mellitus</w:t>
      </w:r>
      <w:r>
        <w:t>,</w:t>
      </w:r>
      <w:r w:rsidRPr="00E74F16">
        <w:t xml:space="preserve"> with a slightly higher rate than </w:t>
      </w:r>
      <w:r>
        <w:t xml:space="preserve">in </w:t>
      </w:r>
      <w:r w:rsidRPr="00E74F16">
        <w:t>the tacrolimus control group.</w:t>
      </w:r>
    </w:p>
    <w:p w:rsidR="00287F50" w:rsidRPr="00E74F16" w:rsidRDefault="00287F50" w:rsidP="005F0A52">
      <w:pPr>
        <w:pStyle w:val="ListBullet"/>
        <w:numPr>
          <w:ilvl w:val="0"/>
          <w:numId w:val="1"/>
        </w:numPr>
      </w:pPr>
      <w:r w:rsidRPr="00E74F16">
        <w:t>Other known risks with everolimus were present</w:t>
      </w:r>
      <w:r>
        <w:t>,</w:t>
      </w:r>
      <w:r w:rsidRPr="00E74F16">
        <w:t xml:space="preserve"> including stomatitis and mouth ulcers, wound healing events, interstitial lung disease, </w:t>
      </w:r>
      <w:proofErr w:type="spellStart"/>
      <w:r w:rsidRPr="00E74F16">
        <w:t>angioedema</w:t>
      </w:r>
      <w:proofErr w:type="spellEnd"/>
      <w:r w:rsidRPr="00E74F16">
        <w:t>, pleural effusion and infections.</w:t>
      </w:r>
    </w:p>
    <w:p w:rsidR="00287F50" w:rsidRPr="00E74F16" w:rsidRDefault="00287F50" w:rsidP="005F0A52">
      <w:pPr>
        <w:pStyle w:val="ListBullet"/>
        <w:numPr>
          <w:ilvl w:val="0"/>
          <w:numId w:val="1"/>
        </w:numPr>
      </w:pPr>
      <w:r w:rsidRPr="00E74F16">
        <w:t>There are no long term efficacy data.</w:t>
      </w:r>
    </w:p>
    <w:p w:rsidR="00287F50" w:rsidRPr="00E74F16" w:rsidRDefault="00287F50" w:rsidP="005F0A52">
      <w:pPr>
        <w:pStyle w:val="ListBullet"/>
        <w:numPr>
          <w:ilvl w:val="0"/>
          <w:numId w:val="1"/>
        </w:numPr>
      </w:pPr>
      <w:r w:rsidRPr="00E74F16">
        <w:t>There are only limited data on non-Caucasians.</w:t>
      </w:r>
    </w:p>
    <w:p w:rsidR="00287F50" w:rsidRPr="00E74F16" w:rsidRDefault="00287F50" w:rsidP="00287F50">
      <w:pPr>
        <w:pStyle w:val="Heading5"/>
      </w:pPr>
      <w:bookmarkStart w:id="152" w:name="_Toc326576884"/>
      <w:bookmarkStart w:id="153" w:name="_Toc290846333"/>
      <w:bookmarkStart w:id="154" w:name="_Toc272414695"/>
      <w:bookmarkStart w:id="155" w:name="_Toc241374335"/>
      <w:bookmarkStart w:id="156" w:name="_Toc236802597"/>
      <w:r>
        <w:t>A</w:t>
      </w:r>
      <w:r w:rsidRPr="00E74F16">
        <w:t>ssessment of benefit-risk balance</w:t>
      </w:r>
      <w:bookmarkEnd w:id="152"/>
      <w:bookmarkEnd w:id="153"/>
      <w:bookmarkEnd w:id="154"/>
      <w:bookmarkEnd w:id="155"/>
      <w:bookmarkEnd w:id="156"/>
    </w:p>
    <w:p w:rsidR="00287F50" w:rsidRDefault="00287F50" w:rsidP="0085334C">
      <w:pPr>
        <w:pStyle w:val="Heading6"/>
      </w:pPr>
      <w:r>
        <w:t>Use in hepatic transplantation</w:t>
      </w:r>
    </w:p>
    <w:p w:rsidR="00287F50" w:rsidRPr="00E74F16" w:rsidRDefault="00287F50" w:rsidP="00287F50">
      <w:r w:rsidRPr="00E74F16">
        <w:t>In Au</w:t>
      </w:r>
      <w:r>
        <w:t>stralia and New Zealand in 2010</w:t>
      </w:r>
      <w:r w:rsidRPr="00E74F16">
        <w:t xml:space="preserve"> there were 192 liver transplants in adults, with chronic viral hepatitis (HCV and </w:t>
      </w:r>
      <w:r>
        <w:t>hepatitis B virus</w:t>
      </w:r>
      <w:r w:rsidRPr="00E74F16">
        <w:t xml:space="preserve">) being the most common primary indication. The one year survival in the 2005-2009 patient cohort was 92% for adults with an overall survival at 5 years </w:t>
      </w:r>
      <w:r>
        <w:t>of</w:t>
      </w:r>
      <w:r w:rsidRPr="00E74F16">
        <w:t xml:space="preserve"> 75%</w:t>
      </w:r>
      <w:r>
        <w:t>.</w:t>
      </w:r>
      <w:r>
        <w:rPr>
          <w:rStyle w:val="FootnoteReference"/>
        </w:rPr>
        <w:footnoteReference w:id="6"/>
      </w:r>
      <w:r w:rsidRPr="00E74F16">
        <w:t xml:space="preserve"> The treatment of liver transplantation is a balancing act between the risk of rejection and the risk of toxicity from treatment. This occurs in a patient population that may tolerate a high risk of </w:t>
      </w:r>
      <w:r>
        <w:t>AE</w:t>
      </w:r>
      <w:r w:rsidRPr="00E74F16">
        <w:t xml:space="preserve">s due to the very serious nature of their condition. Nevertheless, with improvement in management of acute rejection, there </w:t>
      </w:r>
      <w:r>
        <w:lastRenderedPageBreak/>
        <w:t>is now a need to reduce</w:t>
      </w:r>
      <w:r w:rsidRPr="00E74F16">
        <w:t xml:space="preserve"> the long term complications of </w:t>
      </w:r>
      <w:proofErr w:type="spellStart"/>
      <w:r>
        <w:t>immuno</w:t>
      </w:r>
      <w:r w:rsidRPr="00E74F16">
        <w:t>suppression</w:t>
      </w:r>
      <w:proofErr w:type="spellEnd"/>
      <w:r w:rsidRPr="00E74F16">
        <w:t xml:space="preserve"> including renal disease, </w:t>
      </w:r>
      <w:proofErr w:type="spellStart"/>
      <w:r w:rsidRPr="00E74F16">
        <w:t>hyperlipidaemia</w:t>
      </w:r>
      <w:proofErr w:type="spellEnd"/>
      <w:r w:rsidRPr="00E74F16">
        <w:t>, diabetes and malignancy.</w:t>
      </w:r>
    </w:p>
    <w:p w:rsidR="00287F50" w:rsidRPr="00E74F16" w:rsidRDefault="00287F50" w:rsidP="00287F50">
      <w:r w:rsidRPr="00E74F16">
        <w:t xml:space="preserve">The clinical development program of everolimus in liver transplantation consisted of one main pivotal </w:t>
      </w:r>
      <w:r>
        <w:t>S</w:t>
      </w:r>
      <w:r w:rsidRPr="00E74F16">
        <w:t xml:space="preserve">tudy H2304 and two supportive studies. There was a small study in hepatitis C patients which was terminated prematurely and did not provide conclusive results. The pivotal </w:t>
      </w:r>
      <w:r>
        <w:t>S</w:t>
      </w:r>
      <w:r w:rsidRPr="00E74F16">
        <w:t xml:space="preserve">tudy H2304 was in 719 patients with </w:t>
      </w:r>
      <w:r w:rsidRPr="00F311C0">
        <w:rPr>
          <w:i/>
        </w:rPr>
        <w:t>de novo</w:t>
      </w:r>
      <w:r w:rsidRPr="00E74F16">
        <w:t xml:space="preserve"> liver transplantation</w:t>
      </w:r>
      <w:r>
        <w:t>,</w:t>
      </w:r>
      <w:r w:rsidRPr="00E74F16">
        <w:t xml:space="preserve"> of whom 475 were exposed to everolimus. The design, including primary efficacy endpoint, was in line with current EMA guidelines</w:t>
      </w:r>
      <w:r>
        <w:rPr>
          <w:rStyle w:val="FootnoteReference"/>
        </w:rPr>
        <w:footnoteReference w:id="7"/>
      </w:r>
      <w:r w:rsidRPr="00E74F16">
        <w:t xml:space="preserve"> as it was amended following the implementation of the guidelines on </w:t>
      </w:r>
      <w:proofErr w:type="spellStart"/>
      <w:r>
        <w:t>immune</w:t>
      </w:r>
      <w:r w:rsidRPr="00E74F16">
        <w:t>suppressants</w:t>
      </w:r>
      <w:proofErr w:type="spellEnd"/>
      <w:r w:rsidRPr="00E74F16">
        <w:t xml:space="preserve"> for solid organ transplantation. </w:t>
      </w:r>
    </w:p>
    <w:p w:rsidR="00287F50" w:rsidRPr="00E74F16" w:rsidRDefault="00287F50" w:rsidP="00287F50">
      <w:r>
        <w:t xml:space="preserve">For </w:t>
      </w:r>
      <w:r w:rsidRPr="00E74F16">
        <w:t>decisions based on on</w:t>
      </w:r>
      <w:r>
        <w:t>ly one pivotal efficacy study, G</w:t>
      </w:r>
      <w:r w:rsidRPr="00E74F16">
        <w:t>uidelines</w:t>
      </w:r>
      <w:r>
        <w:rPr>
          <w:rStyle w:val="FootnoteReference"/>
        </w:rPr>
        <w:footnoteReference w:id="8"/>
      </w:r>
      <w:r w:rsidRPr="00E74F16">
        <w:t xml:space="preserve"> state </w:t>
      </w:r>
      <w:r>
        <w:t xml:space="preserve">the study </w:t>
      </w:r>
      <w:r w:rsidRPr="00E74F16">
        <w:t xml:space="preserve">should be large, </w:t>
      </w:r>
      <w:proofErr w:type="spellStart"/>
      <w:r w:rsidRPr="00E74F16">
        <w:t>multicentre</w:t>
      </w:r>
      <w:r>
        <w:t>d</w:t>
      </w:r>
      <w:proofErr w:type="spellEnd"/>
      <w:r w:rsidRPr="00E74F16">
        <w:t>, well-controlled, internally consistent</w:t>
      </w:r>
      <w:r>
        <w:t>,</w:t>
      </w:r>
      <w:r w:rsidRPr="00E74F16">
        <w:t xml:space="preserve"> and have robust results which are consistent across study subsets as well as being statistically persuasive. The results also need to be clinically relevant and able to be extrapolated to the target population. Study H2304 was found to meet these methodological considerations and so the evaluator believes its results are valid for us</w:t>
      </w:r>
      <w:r>
        <w:t>e</w:t>
      </w:r>
      <w:r w:rsidRPr="00E74F16">
        <w:t xml:space="preserve"> in assessment of the proposed usage. </w:t>
      </w:r>
    </w:p>
    <w:p w:rsidR="00287F50" w:rsidRPr="00E74F16" w:rsidRDefault="00287F50" w:rsidP="00287F50">
      <w:r w:rsidRPr="00E74F16">
        <w:t xml:space="preserve">Given the non-inferiority design of the pivotal study, it was important to see that the results from the </w:t>
      </w:r>
      <w:r>
        <w:t>intention to treat (</w:t>
      </w:r>
      <w:r w:rsidRPr="00E74F16">
        <w:t>ITT</w:t>
      </w:r>
      <w:r>
        <w:t>)</w:t>
      </w:r>
      <w:r w:rsidRPr="00E74F16">
        <w:t xml:space="preserve"> population were supported by the PP population as this allows a more robust interpretation of the data</w:t>
      </w:r>
      <w:r>
        <w:t>.</w:t>
      </w:r>
      <w:r>
        <w:rPr>
          <w:rStyle w:val="FootnoteReference"/>
        </w:rPr>
        <w:footnoteReference w:id="9"/>
      </w:r>
      <w:r w:rsidRPr="00E74F16">
        <w:t xml:space="preserve"> The open label design was necessary for therapeutic drug monitor, however it could have introduced bias particularly in safety event ascertainment. As the primary safety endpoint was renal function based on spot urine analysis</w:t>
      </w:r>
      <w:r>
        <w:t>,</w:t>
      </w:r>
      <w:r w:rsidRPr="00E74F16">
        <w:t xml:space="preserve"> this should not have been greatly affected by such bias.</w:t>
      </w:r>
    </w:p>
    <w:p w:rsidR="00287F50" w:rsidRPr="00E74F16" w:rsidRDefault="00287F50" w:rsidP="00287F50">
      <w:r w:rsidRPr="00E74F16">
        <w:t xml:space="preserve">Study H2304 found that everolimus treatment allowed a reduction in the dose of tacrolimus without an increase in rejection and with a beneficial effect on renal function. The efficacy impact was most notable on a reduced rate of acute rejection rather than a reduction in mortality or </w:t>
      </w:r>
      <w:r>
        <w:t>GL</w:t>
      </w:r>
      <w:r w:rsidRPr="00E74F16">
        <w:t xml:space="preserve">. It was shown that everolimus cannot replace tacrolimus due to an unacceptably high efficacy failure rate (24.2%) in the treatment arm where concomitant tacrolimus was eliminated. This risk needs to be brought to the attention of prescribers. In addition, as the efficacy data was derived from a set treatment regimen with tacrolimus, the evaluator believes this should be reflected in the indication. </w:t>
      </w:r>
    </w:p>
    <w:p w:rsidR="00287F50" w:rsidRPr="00E74F16" w:rsidRDefault="00287F50" w:rsidP="00287F50">
      <w:r w:rsidRPr="00E74F16">
        <w:t xml:space="preserve">In the hepatic transplantation population, the safety risks of adding everolimus to reduced dose tacrolimus treatment were notable, with increased rates of severe AEs, SAEs and premature discontinuation due to AEs compared to </w:t>
      </w:r>
      <w:r>
        <w:t xml:space="preserve">rates in </w:t>
      </w:r>
      <w:r w:rsidRPr="00E74F16">
        <w:t xml:space="preserve">those treated with the tacrolimus control regimen. There were also the significant </w:t>
      </w:r>
      <w:r>
        <w:t>AE</w:t>
      </w:r>
      <w:r w:rsidRPr="00E74F16">
        <w:t>s which were, however, not unexpected as the safety profile of everolimus has been delineated in the renal and cardiac transplantation patient populations. In comparisons of data from H2304 and A2309, the safety profile was no worse than in renal transplantation</w:t>
      </w:r>
      <w:r>
        <w:t>,</w:t>
      </w:r>
      <w:r w:rsidRPr="00E74F16">
        <w:t xml:space="preserve"> with the exception of increased risks of </w:t>
      </w:r>
      <w:proofErr w:type="spellStart"/>
      <w:r w:rsidRPr="00E74F16">
        <w:t>incisional</w:t>
      </w:r>
      <w:proofErr w:type="spellEnd"/>
      <w:r w:rsidRPr="00E74F16">
        <w:t xml:space="preserve"> hernia, </w:t>
      </w:r>
      <w:proofErr w:type="spellStart"/>
      <w:r w:rsidRPr="00E74F16">
        <w:t>ascites</w:t>
      </w:r>
      <w:proofErr w:type="spellEnd"/>
      <w:r w:rsidRPr="00E74F16">
        <w:t xml:space="preserve">, thrombocytopenia and new onset diabetes. The delay in treatment commencement </w:t>
      </w:r>
      <w:r>
        <w:t xml:space="preserve">(to one month post </w:t>
      </w:r>
      <w:r w:rsidRPr="00E74F16">
        <w:t>transplantation</w:t>
      </w:r>
      <w:r>
        <w:t>)</w:t>
      </w:r>
      <w:r w:rsidRPr="00E74F16">
        <w:t xml:space="preserve"> appears to have assisted in reducing events of hepatic artery thrombosis and wound healing complications where the rate was lower than in the renal transplant study. There are other risks of peripheral oedema, mouth ulcers and erectile dysfunction which, while appearing less severe, may have a major impact on a patient’s quality of life.</w:t>
      </w:r>
    </w:p>
    <w:p w:rsidR="00287F50" w:rsidRDefault="00287F50" w:rsidP="00287F50">
      <w:r w:rsidRPr="00E74F16">
        <w:lastRenderedPageBreak/>
        <w:t xml:space="preserve">The drug interaction study with </w:t>
      </w:r>
      <w:proofErr w:type="spellStart"/>
      <w:r w:rsidRPr="00E74F16">
        <w:t>midazolam</w:t>
      </w:r>
      <w:proofErr w:type="spellEnd"/>
      <w:r w:rsidRPr="00E74F16">
        <w:t xml:space="preserve"> found that </w:t>
      </w:r>
      <w:proofErr w:type="spellStart"/>
      <w:r w:rsidRPr="00E74F16">
        <w:t>everolimus</w:t>
      </w:r>
      <w:proofErr w:type="spellEnd"/>
      <w:r w:rsidRPr="00E74F16">
        <w:t xml:space="preserve"> is a weak inhibitor of CYP3A4 and as such the possibility of an interaction between everolimus and contraceptive hormones is unlikely.</w:t>
      </w:r>
    </w:p>
    <w:p w:rsidR="00287F50" w:rsidRPr="00E74F16" w:rsidRDefault="00287F50" w:rsidP="00287F50">
      <w:pPr>
        <w:pStyle w:val="Heading5"/>
      </w:pPr>
      <w:r>
        <w:t xml:space="preserve">Additional safety considerations </w:t>
      </w:r>
    </w:p>
    <w:p w:rsidR="00287F50" w:rsidRPr="00E74F16" w:rsidRDefault="00287F50" w:rsidP="00287F50">
      <w:r w:rsidRPr="00585AA1">
        <w:t>In hepatic impairment, the use of Child-Pugh scores</w:t>
      </w:r>
      <w:r w:rsidRPr="00585AA1">
        <w:rPr>
          <w:rStyle w:val="FootnoteReference"/>
        </w:rPr>
        <w:footnoteReference w:id="10"/>
      </w:r>
      <w:r w:rsidRPr="00585AA1">
        <w:t xml:space="preserve"> was believed to offer a more conservative scale for reduction of dose compared to the use of bilirubin or INR level. Given the results from study X2102, the sponsor proposed dosage based on the Child-Pugh classification of hepatic impairment as follows: two thirds </w:t>
      </w:r>
      <w:r>
        <w:t xml:space="preserve">the normal dose </w:t>
      </w:r>
      <w:r w:rsidRPr="00585AA1">
        <w:t xml:space="preserve">for mild impairment and half </w:t>
      </w:r>
      <w:r>
        <w:t xml:space="preserve">the normal dose </w:t>
      </w:r>
      <w:r w:rsidRPr="00585AA1">
        <w:t xml:space="preserve">for moderate or severe impairment. The rationale for the dose to be only reduced by half in severe hepatic impairment was that if the exposure is too low there may be a risk of acute organ rejection. </w:t>
      </w:r>
      <w:r>
        <w:t>Although t</w:t>
      </w:r>
      <w:r w:rsidRPr="00585AA1">
        <w:t xml:space="preserve">his appears </w:t>
      </w:r>
      <w:r>
        <w:t xml:space="preserve">to be </w:t>
      </w:r>
      <w:r w:rsidRPr="00585AA1">
        <w:t xml:space="preserve">too high a dose, the evaluator acknowledges the potential counter risk of acute rejection and </w:t>
      </w:r>
      <w:r>
        <w:t xml:space="preserve">assessed </w:t>
      </w:r>
      <w:r w:rsidRPr="00585AA1">
        <w:t>that the risk may in part be mitigated by the therapeutic drug monitoring. In general, for subjects with Child-Pugh C (severe) hepatic impaired status, the administration of everolimus should be with extreme caution and only when it is in the best interest of the subject. Vigilant therapeutic drug monitoring will be critical in these patients and these factors need to be adequately outlined in the PI.</w:t>
      </w:r>
    </w:p>
    <w:p w:rsidR="00287F50" w:rsidRPr="00E74F16" w:rsidRDefault="00287F50" w:rsidP="00287F50">
      <w:r w:rsidRPr="00E74F16">
        <w:t>The cardiac and renal transplantation studies demonstrated significant and unacceptable risks when the everolimus 3.0 mg per day dose was used wi</w:t>
      </w:r>
      <w:r>
        <w:t>th target trough levels of 6</w:t>
      </w:r>
      <w:r>
        <w:noBreakHyphen/>
        <w:t>12 </w:t>
      </w:r>
      <w:proofErr w:type="spellStart"/>
      <w:r w:rsidRPr="00E74F16">
        <w:t>ng</w:t>
      </w:r>
      <w:proofErr w:type="spellEnd"/>
      <w:r w:rsidRPr="00E74F16">
        <w:t>/</w:t>
      </w:r>
      <w:proofErr w:type="spellStart"/>
      <w:r w:rsidRPr="00E74F16">
        <w:t>mL.</w:t>
      </w:r>
      <w:proofErr w:type="spellEnd"/>
      <w:r w:rsidRPr="00E74F16">
        <w:t xml:space="preserve"> This risk must be thoroughly specified in the </w:t>
      </w:r>
      <w:r>
        <w:t xml:space="preserve">PI </w:t>
      </w:r>
      <w:r w:rsidRPr="00E74F16">
        <w:t xml:space="preserve">and communication plans. In addition, in cardiac transplant patients receiving induction with thymoglobulin there was an increased risk of death with the lower and recommended 1.5 mg dose. This risk needs is included in the </w:t>
      </w:r>
      <w:r>
        <w:t xml:space="preserve">PI </w:t>
      </w:r>
      <w:r w:rsidRPr="00E74F16">
        <w:t>under a specific precaution.</w:t>
      </w:r>
    </w:p>
    <w:p w:rsidR="00287F50" w:rsidRPr="00E74F16" w:rsidRDefault="00287F50" w:rsidP="00287F50">
      <w:r w:rsidRPr="00E74F16">
        <w:t xml:space="preserve">Pericardial effusions were notable in cardiac transplant patients and there was an increased risk of </w:t>
      </w:r>
      <w:proofErr w:type="spellStart"/>
      <w:r w:rsidRPr="00E74F16">
        <w:t>haemodynamic</w:t>
      </w:r>
      <w:proofErr w:type="spellEnd"/>
      <w:r w:rsidRPr="00E74F16">
        <w:t xml:space="preserve"> compromise and requirement for surgical intervention as well as of resultant study drug discontinuation. Such risks need to added to the precautions in the </w:t>
      </w:r>
      <w:r>
        <w:t>PI</w:t>
      </w:r>
      <w:r w:rsidRPr="00E74F16">
        <w:t>.</w:t>
      </w:r>
    </w:p>
    <w:p w:rsidR="00287F50" w:rsidRPr="00E74F16" w:rsidRDefault="00287F50" w:rsidP="00287F50">
      <w:r w:rsidRPr="00E74F16">
        <w:t xml:space="preserve">In the cardiac transplant study, efficacy was comparable to the mycophenolate control regimen and there were positive effects on cardiac graft </w:t>
      </w:r>
      <w:proofErr w:type="spellStart"/>
      <w:r w:rsidRPr="00E74F16">
        <w:t>va</w:t>
      </w:r>
      <w:r>
        <w:t>sculopathy</w:t>
      </w:r>
      <w:proofErr w:type="spellEnd"/>
      <w:r>
        <w:t>. There was however,</w:t>
      </w:r>
      <w:r w:rsidRPr="00E74F16">
        <w:t xml:space="preserve"> deterioration in renal function with everolimus which was not evident in the hepatic or renal studies. It </w:t>
      </w:r>
      <w:r>
        <w:t xml:space="preserve">was considered by </w:t>
      </w:r>
      <w:r w:rsidRPr="00E74F16">
        <w:t>the sponsor that this risk was due to non-compliance by investigators to suf</w:t>
      </w:r>
      <w:r>
        <w:t>ficiently lower the cyclosporin</w:t>
      </w:r>
      <w:r w:rsidRPr="00E74F16">
        <w:t xml:space="preserve"> dose to the recommended levels. This reticence on the part of treating physicians may perhaps be due to a fear of graft rejection. Unless this poorer effect on renal function is appropriately addressed</w:t>
      </w:r>
      <w:r>
        <w:t>,</w:t>
      </w:r>
      <w:r w:rsidRPr="00E74F16">
        <w:t xml:space="preserve"> the evaluator contends that there appears no overwhelming reason why the everolimus regimen should be adopted. In order to ensure a potentially positive benefit-risk balance for everolimus in cardiac transplant, adherence to the reduced do</w:t>
      </w:r>
      <w:r>
        <w:t>se target levels of cyclosporin</w:t>
      </w:r>
      <w:r w:rsidRPr="00E74F16">
        <w:t xml:space="preserve"> will need to be achieved and renal function monitored.</w:t>
      </w:r>
    </w:p>
    <w:p w:rsidR="00287F50" w:rsidRPr="00E74F16" w:rsidRDefault="00287F50" w:rsidP="00287F50">
      <w:r w:rsidRPr="00E74F16">
        <w:t>The c</w:t>
      </w:r>
      <w:r>
        <w:t>yclosporin</w:t>
      </w:r>
      <w:r w:rsidRPr="00E74F16">
        <w:t xml:space="preserve"> trough levels used in A2309 and A2310 have been included in the proposed </w:t>
      </w:r>
      <w:r>
        <w:t xml:space="preserve">PI </w:t>
      </w:r>
      <w:r w:rsidRPr="00E74F16">
        <w:t xml:space="preserve">for both cardiac and renal transplant patients. The risk of everolimus and </w:t>
      </w:r>
      <w:r>
        <w:t xml:space="preserve">CNI </w:t>
      </w:r>
      <w:r w:rsidRPr="00E74F16">
        <w:t>induced renal dysfunction is also addressed. This, however</w:t>
      </w:r>
      <w:r>
        <w:t>,</w:t>
      </w:r>
      <w:r w:rsidRPr="00E74F16">
        <w:t xml:space="preserve"> may not be sufficient and the evaluator recommends further communication and education on these risks and dosing recommendations.</w:t>
      </w:r>
    </w:p>
    <w:p w:rsidR="00287F50" w:rsidRPr="00E74F16" w:rsidRDefault="00287F50" w:rsidP="00287F50">
      <w:r w:rsidRPr="00E74F16">
        <w:t>Therapeutic drug monitoring will be crucial, not just for ever</w:t>
      </w:r>
      <w:r>
        <w:t>olimus but also for cyclosporin</w:t>
      </w:r>
      <w:r w:rsidRPr="00E74F16">
        <w:t>. The factors contributi</w:t>
      </w:r>
      <w:r>
        <w:t xml:space="preserve">ng to this are: the risk of CNI </w:t>
      </w:r>
      <w:r w:rsidRPr="00E74F16">
        <w:t>induced renal dysfunction; the dru</w:t>
      </w:r>
      <w:r>
        <w:t xml:space="preserve">g interaction with cyclosporin </w:t>
      </w:r>
      <w:r w:rsidRPr="00E74F16">
        <w:t xml:space="preserve">which results in increased everolimus levels so </w:t>
      </w:r>
      <w:r>
        <w:t xml:space="preserve">the </w:t>
      </w:r>
      <w:r>
        <w:lastRenderedPageBreak/>
        <w:t>dose changes in cyclosporin</w:t>
      </w:r>
      <w:r w:rsidRPr="00E74F16">
        <w:t xml:space="preserve"> must lead to a careful monitoring of everolimus; the relatively long half life of everolimus which means that physicians must wait 5 days to measure trough levels after dose changes; and the increased risk of acute rejection if tro</w:t>
      </w:r>
      <w:r>
        <w:t xml:space="preserve">ugh levels fall below 3 </w:t>
      </w:r>
      <w:proofErr w:type="spellStart"/>
      <w:r>
        <w:t>ng</w:t>
      </w:r>
      <w:proofErr w:type="spellEnd"/>
      <w:r>
        <w:t>/</w:t>
      </w:r>
      <w:proofErr w:type="spellStart"/>
      <w:r>
        <w:t>mL.</w:t>
      </w:r>
      <w:proofErr w:type="spellEnd"/>
      <w:r>
        <w:t xml:space="preserve"> </w:t>
      </w:r>
      <w:r w:rsidRPr="00E74F16">
        <w:t>Again</w:t>
      </w:r>
      <w:r>
        <w:t>,</w:t>
      </w:r>
      <w:r w:rsidRPr="00E74F16">
        <w:t xml:space="preserve"> prescribers need to be made aware of these factors.</w:t>
      </w:r>
    </w:p>
    <w:p w:rsidR="00287F50" w:rsidRPr="00E74F16" w:rsidRDefault="00287F50" w:rsidP="00287F50">
      <w:r w:rsidRPr="00E74F16">
        <w:t>Cardiovascular events are a major cause of mortality in renal transplant patients and treatment with everolimus resulted in significant</w:t>
      </w:r>
      <w:r>
        <w:t>ly</w:t>
      </w:r>
      <w:r w:rsidRPr="00E74F16">
        <w:t xml:space="preserve"> increased rates of the risk factors of diabetes, </w:t>
      </w:r>
      <w:proofErr w:type="spellStart"/>
      <w:r w:rsidRPr="00E74F16">
        <w:t>hyperlipidaemia</w:t>
      </w:r>
      <w:proofErr w:type="spellEnd"/>
      <w:r w:rsidRPr="00E74F16">
        <w:t xml:space="preserve"> and </w:t>
      </w:r>
      <w:proofErr w:type="spellStart"/>
      <w:r w:rsidRPr="00E74F16">
        <w:t>thrombogenicity</w:t>
      </w:r>
      <w:proofErr w:type="spellEnd"/>
      <w:r w:rsidRPr="00E74F16">
        <w:t>. It is therefore feasible that this treatment may not have such an evident benefit in the longer term. Such potential effects need to be assessed and so it will be ver</w:t>
      </w:r>
      <w:r>
        <w:t>y important to evaluate the 24 M</w:t>
      </w:r>
      <w:r w:rsidRPr="00E74F16">
        <w:t>onth data from the three studies as well as any further long term extensions. Collection of prospective long term data should be considered.</w:t>
      </w:r>
    </w:p>
    <w:p w:rsidR="00287F50" w:rsidRPr="00E74F16" w:rsidRDefault="00287F50" w:rsidP="00287F50">
      <w:r w:rsidRPr="00E74F16">
        <w:t>In renal transplantation, the everolimus regimen resulted in comparable efficacy and renal function, wi</w:t>
      </w:r>
      <w:r>
        <w:t>th reduced rates of cyclosporin</w:t>
      </w:r>
      <w:r w:rsidRPr="00E74F16">
        <w:t>-related events and CMV infections. On the other hand</w:t>
      </w:r>
      <w:r>
        <w:t>,</w:t>
      </w:r>
      <w:r w:rsidRPr="00E74F16">
        <w:t xml:space="preserve"> there were greater risks of discontinuation due to AEs as well as of events such as graft thrombosis, proteinuria, new onset diabetes, interstitial lung disease, thrombocytop</w:t>
      </w:r>
      <w:r>
        <w:t xml:space="preserve">enia and </w:t>
      </w:r>
      <w:proofErr w:type="spellStart"/>
      <w:r>
        <w:t>hyperlipida</w:t>
      </w:r>
      <w:r w:rsidRPr="00E74F16">
        <w:t>emia</w:t>
      </w:r>
      <w:proofErr w:type="spellEnd"/>
      <w:r w:rsidRPr="00E74F16">
        <w:t xml:space="preserve">. In the context of significant toxicities with immunosuppressant drugs, the evaluator finds that the data from A2309 continue to support the current indication in renal transplantation. Treatment with everolimus 1.5 mg using therapeutic drug monitoring targeting trough levels of 3-8 </w:t>
      </w:r>
      <w:proofErr w:type="spellStart"/>
      <w:r w:rsidRPr="00E74F16">
        <w:t>ng</w:t>
      </w:r>
      <w:proofErr w:type="spellEnd"/>
      <w:r w:rsidRPr="00E74F16">
        <w:t>/</w:t>
      </w:r>
      <w:proofErr w:type="spellStart"/>
      <w:r w:rsidRPr="00E74F16">
        <w:t>mL</w:t>
      </w:r>
      <w:proofErr w:type="spellEnd"/>
      <w:r w:rsidRPr="00E74F16">
        <w:t xml:space="preserve"> in combination wi</w:t>
      </w:r>
      <w:r>
        <w:t>th reduced doses of cyclosporin</w:t>
      </w:r>
      <w:r w:rsidRPr="00E74F16">
        <w:t xml:space="preserve"> represents an alternative to a combination of </w:t>
      </w:r>
      <w:proofErr w:type="spellStart"/>
      <w:r w:rsidRPr="00E74F16">
        <w:t>myocophenolat</w:t>
      </w:r>
      <w:r>
        <w:t>e</w:t>
      </w:r>
      <w:proofErr w:type="spellEnd"/>
      <w:r>
        <w:t xml:space="preserve"> and standard dose cyclosporin</w:t>
      </w:r>
      <w:r w:rsidRPr="00E74F16">
        <w:t xml:space="preserve">. </w:t>
      </w:r>
    </w:p>
    <w:p w:rsidR="00287F50" w:rsidRPr="00E74F16" w:rsidRDefault="00287F50" w:rsidP="00287F50">
      <w:r w:rsidRPr="00E74F16">
        <w:t>In cardiac transplantation the results from study A2310 are not as compelling. While the everolimus regimen a</w:t>
      </w:r>
      <w:r>
        <w:t>llowed reduction in cyclosporin</w:t>
      </w:r>
      <w:r w:rsidRPr="00E74F16">
        <w:t xml:space="preserve">, maintained efficacy, reduced cardiac allograft </w:t>
      </w:r>
      <w:proofErr w:type="spellStart"/>
      <w:r w:rsidRPr="00E74F16">
        <w:t>vasculopathy</w:t>
      </w:r>
      <w:proofErr w:type="spellEnd"/>
      <w:r w:rsidRPr="00E74F16">
        <w:t xml:space="preserve"> and reduced CMV associated disease, it was at a cost of significant safety concerns as outlined above. These risks will need to be managed by more stringent labelling, communication and education</w:t>
      </w:r>
      <w:r>
        <w:t>,</w:t>
      </w:r>
      <w:r w:rsidRPr="00E74F16">
        <w:t xml:space="preserve"> and ongoing close pharmacovigilance </w:t>
      </w:r>
      <w:r>
        <w:t xml:space="preserve">(PV) </w:t>
      </w:r>
      <w:r w:rsidRPr="00E74F16">
        <w:t>monitoring.</w:t>
      </w:r>
    </w:p>
    <w:p w:rsidR="00287F50" w:rsidRDefault="00287F50" w:rsidP="00287F50">
      <w:pPr>
        <w:pStyle w:val="Heading5"/>
      </w:pPr>
      <w:r>
        <w:t>Conclusion regarding use in hepatic transplant</w:t>
      </w:r>
    </w:p>
    <w:p w:rsidR="00287F50" w:rsidRPr="00E74F16" w:rsidRDefault="00287F50" w:rsidP="00287F50">
      <w:r w:rsidRPr="00E74F16">
        <w:t xml:space="preserve">In conclusion, the evaluator finds the benefit-risk balance of everolimus, given the proposed usage in hepatic transplantation, is favourable subject to adoption of changes to the proposed </w:t>
      </w:r>
      <w:r>
        <w:t>PI</w:t>
      </w:r>
      <w:r>
        <w:rPr>
          <w:rStyle w:val="FootnoteReference"/>
        </w:rPr>
        <w:footnoteReference w:id="11"/>
      </w:r>
      <w:r>
        <w:t xml:space="preserve"> </w:t>
      </w:r>
      <w:r w:rsidRPr="00E74F16">
        <w:t xml:space="preserve">and a risk management plan </w:t>
      </w:r>
      <w:r>
        <w:t xml:space="preserve">(RMP) </w:t>
      </w:r>
      <w:r w:rsidRPr="00E74F16">
        <w:t>that takes into account the issues discussed.</w:t>
      </w:r>
    </w:p>
    <w:p w:rsidR="00287F50" w:rsidRPr="00E74F16" w:rsidRDefault="00287F50" w:rsidP="00287F50">
      <w:r w:rsidRPr="00E74F16">
        <w:t xml:space="preserve">There is a manifest need to communicate the serious risks with everolimus to all those involved in organ transplantation. This needs to be fully captured within the </w:t>
      </w:r>
      <w:r>
        <w:t>RMP</w:t>
      </w:r>
      <w:r w:rsidRPr="00E74F16">
        <w:t xml:space="preserve">. </w:t>
      </w:r>
    </w:p>
    <w:p w:rsidR="00287F50" w:rsidRPr="00E74F16" w:rsidRDefault="00287F50" w:rsidP="00287F50">
      <w:r w:rsidRPr="00E74F16">
        <w:t xml:space="preserve">There is also an evident lack of long term data. The 24 months data from the three main transplants studies, together with any extensions, will be important to better delineate longer term risks of </w:t>
      </w:r>
      <w:proofErr w:type="spellStart"/>
      <w:r w:rsidRPr="00E74F16">
        <w:t>immunosuppression</w:t>
      </w:r>
      <w:proofErr w:type="spellEnd"/>
      <w:r w:rsidRPr="00E74F16">
        <w:t xml:space="preserve">, such as chronic rejection, malignancy, renal function and cardiovascular disease. </w:t>
      </w:r>
    </w:p>
    <w:p w:rsidR="00287F50" w:rsidRPr="00E74F16" w:rsidRDefault="00287F50" w:rsidP="00670467">
      <w:pPr>
        <w:pStyle w:val="Heading4"/>
      </w:pPr>
      <w:r w:rsidRPr="00670467">
        <w:t>Recommendation</w:t>
      </w:r>
      <w:r w:rsidRPr="00E74F16">
        <w:t xml:space="preserve"> regarding authorisation</w:t>
      </w:r>
    </w:p>
    <w:p w:rsidR="00287F50" w:rsidRPr="00E74F16" w:rsidRDefault="00287F50" w:rsidP="00287F50">
      <w:r w:rsidRPr="00E74F16">
        <w:t>The evaluator recommends extension of the indication for everolimus (C</w:t>
      </w:r>
      <w:r>
        <w:t>ertican</w:t>
      </w:r>
      <w:r w:rsidRPr="00E74F16">
        <w:t xml:space="preserve">) to include hepatic transplant patients. This is subject to the proposed changes to the draft </w:t>
      </w:r>
      <w:r>
        <w:t xml:space="preserve">PI </w:t>
      </w:r>
      <w:r w:rsidRPr="00E74F16">
        <w:t xml:space="preserve">being satisfactorily addressed. In addition, a condition of this indication extension should be the submission of the further data from </w:t>
      </w:r>
      <w:r>
        <w:t>S</w:t>
      </w:r>
      <w:r w:rsidRPr="00E74F16">
        <w:t>tudy H2304 as it becomes availa</w:t>
      </w:r>
      <w:r>
        <w:t>ble. This includes the data to Month 24 and then the extension S</w:t>
      </w:r>
      <w:r w:rsidRPr="00E74F16">
        <w:t>tudy data. These need to be evaluated to ensure no alterations to the risk-benefit balance.</w:t>
      </w:r>
    </w:p>
    <w:p w:rsidR="00287F50" w:rsidRDefault="00287F50" w:rsidP="00287F50">
      <w:r w:rsidRPr="00E74F16">
        <w:lastRenderedPageBreak/>
        <w:t xml:space="preserve">The proposed changes to the </w:t>
      </w:r>
      <w:r>
        <w:t xml:space="preserve">PI </w:t>
      </w:r>
      <w:r w:rsidRPr="00E74F16">
        <w:t xml:space="preserve">in relation to data from studies A2309 and A2310 are acceptable, apart from </w:t>
      </w:r>
      <w:r>
        <w:t xml:space="preserve">recommended </w:t>
      </w:r>
      <w:r w:rsidRPr="00E74F16">
        <w:t xml:space="preserve">alterations </w:t>
      </w:r>
      <w:r>
        <w:t>not described in this AusPAR. The 24 M</w:t>
      </w:r>
      <w:r w:rsidRPr="00E74F16">
        <w:t xml:space="preserve">onth data from these two studies must be submitted for evaluation as soon as available. </w:t>
      </w:r>
    </w:p>
    <w:p w:rsidR="00287F50" w:rsidRDefault="00287F50" w:rsidP="00287F50">
      <w:r w:rsidRPr="00AF3181">
        <w:t xml:space="preserve">Concerning the wording of the proposed indication, </w:t>
      </w:r>
      <w:r>
        <w:t xml:space="preserve">the evaluator noted that the sponsor proposed the following: </w:t>
      </w:r>
    </w:p>
    <w:p w:rsidR="00287F50" w:rsidRPr="00C646CE" w:rsidRDefault="00287F50" w:rsidP="00287F50">
      <w:pPr>
        <w:ind w:left="720"/>
        <w:rPr>
          <w:i/>
        </w:rPr>
      </w:pPr>
      <w:r w:rsidRPr="00C646CE">
        <w:rPr>
          <w:i/>
        </w:rPr>
        <w:t xml:space="preserve">Certican is indicated for the prophylaxis of organ rejection in adult patients at mild to moderate immunological risk receiving an </w:t>
      </w:r>
      <w:proofErr w:type="spellStart"/>
      <w:r w:rsidRPr="00C646CE">
        <w:rPr>
          <w:i/>
        </w:rPr>
        <w:t>allogeneic</w:t>
      </w:r>
      <w:proofErr w:type="spellEnd"/>
      <w:r w:rsidRPr="00C646CE">
        <w:rPr>
          <w:i/>
        </w:rPr>
        <w:t xml:space="preserve"> renal cardiac or hepatic transplant.</w:t>
      </w:r>
    </w:p>
    <w:p w:rsidR="00287F50" w:rsidRPr="00C646CE" w:rsidRDefault="00287F50" w:rsidP="00287F50">
      <w:r>
        <w:t>The efficacy data in the three</w:t>
      </w:r>
      <w:r w:rsidRPr="00C646CE">
        <w:t xml:space="preserve"> main transplant studies (A2310, A2309 and H2304) was obtained with a specific concomitant medication regimen in each study. The evaluator believes that this should be included in the indication as data with other regimens is either not available or not supportive of the indication. It is therefore recommended that the indication include wording to the effect of:</w:t>
      </w:r>
    </w:p>
    <w:p w:rsidR="00287F50" w:rsidRPr="00C646CE" w:rsidRDefault="00287F50" w:rsidP="00287F50">
      <w:pPr>
        <w:ind w:left="720"/>
        <w:rPr>
          <w:i/>
        </w:rPr>
      </w:pPr>
      <w:r w:rsidRPr="00C646CE">
        <w:rPr>
          <w:i/>
        </w:rPr>
        <w:t xml:space="preserve">In hepatic transplantation Certican should be used in combination with tacrolimus and corticosteroids. </w:t>
      </w:r>
    </w:p>
    <w:p w:rsidR="00287F50" w:rsidRPr="00C646CE" w:rsidRDefault="00287F50" w:rsidP="00287F50">
      <w:pPr>
        <w:ind w:left="720"/>
        <w:rPr>
          <w:i/>
        </w:rPr>
      </w:pPr>
      <w:r w:rsidRPr="00C646CE">
        <w:rPr>
          <w:i/>
        </w:rPr>
        <w:t xml:space="preserve">In renal and cardiac transplantation Certican should be used in combination with cyclosporine </w:t>
      </w:r>
      <w:proofErr w:type="spellStart"/>
      <w:r w:rsidRPr="00C646CE">
        <w:rPr>
          <w:i/>
        </w:rPr>
        <w:t>microemulsion</w:t>
      </w:r>
      <w:proofErr w:type="spellEnd"/>
      <w:r w:rsidRPr="00C646CE">
        <w:rPr>
          <w:i/>
        </w:rPr>
        <w:t xml:space="preserve"> and corticosteroids.</w:t>
      </w:r>
    </w:p>
    <w:p w:rsidR="00287F50" w:rsidRPr="00E41208" w:rsidRDefault="00287F50" w:rsidP="00287F50">
      <w:pPr>
        <w:pStyle w:val="Heading2"/>
      </w:pPr>
      <w:bookmarkStart w:id="157" w:name="_Toc247691524"/>
      <w:bookmarkStart w:id="158" w:name="_Toc314842508"/>
      <w:bookmarkStart w:id="159" w:name="_Toc355005431"/>
      <w:bookmarkStart w:id="160" w:name="_Toc356974710"/>
      <w:r w:rsidRPr="00E41208">
        <w:t xml:space="preserve">V. Pharmacovigilance </w:t>
      </w:r>
      <w:r>
        <w:t>f</w:t>
      </w:r>
      <w:r w:rsidRPr="00E41208">
        <w:t>indings</w:t>
      </w:r>
      <w:bookmarkEnd w:id="157"/>
      <w:bookmarkEnd w:id="158"/>
      <w:bookmarkEnd w:id="159"/>
      <w:bookmarkEnd w:id="160"/>
    </w:p>
    <w:p w:rsidR="00287F50" w:rsidRDefault="00287F50" w:rsidP="00287F50">
      <w:pPr>
        <w:pStyle w:val="Heading3"/>
        <w:rPr>
          <w:lang w:eastAsia="en-AU"/>
        </w:rPr>
      </w:pPr>
      <w:bookmarkStart w:id="161" w:name="_Toc247691526"/>
      <w:bookmarkStart w:id="162" w:name="_Toc314842509"/>
      <w:bookmarkStart w:id="163" w:name="_Toc355005432"/>
      <w:bookmarkStart w:id="164" w:name="_Toc356974711"/>
      <w:r>
        <w:rPr>
          <w:lang w:eastAsia="en-AU"/>
        </w:rPr>
        <w:t>Risk management plan</w:t>
      </w:r>
      <w:bookmarkEnd w:id="161"/>
      <w:bookmarkEnd w:id="162"/>
      <w:bookmarkEnd w:id="163"/>
      <w:bookmarkEnd w:id="164"/>
    </w:p>
    <w:p w:rsidR="00287F50" w:rsidRPr="007A66B9" w:rsidRDefault="00287F50" w:rsidP="00287F50">
      <w:r w:rsidRPr="007A66B9">
        <w:t xml:space="preserve">The sponsor submitted a RMP (Version 2.0 (release date 14 Oct 2011), with the </w:t>
      </w:r>
      <w:r>
        <w:t xml:space="preserve">RMP </w:t>
      </w:r>
      <w:r w:rsidRPr="007A66B9">
        <w:t>Australian Implementation Version 2.1 (release date 16 August 2012)</w:t>
      </w:r>
      <w:r>
        <w:t xml:space="preserve">), </w:t>
      </w:r>
      <w:r w:rsidRPr="007A66B9">
        <w:t xml:space="preserve">which was reviewed by the TGA’s Office of Product Review (OPR). A summary of the RMP is shown </w:t>
      </w:r>
      <w:r>
        <w:t xml:space="preserve">at </w:t>
      </w:r>
      <w:r w:rsidRPr="007A66B9">
        <w:t xml:space="preserve">Table </w:t>
      </w:r>
      <w:r>
        <w:t>5</w:t>
      </w:r>
      <w:r w:rsidRPr="007A66B9">
        <w:t>.</w:t>
      </w:r>
    </w:p>
    <w:p w:rsidR="00287F50" w:rsidRPr="007A66B9" w:rsidRDefault="00287F50" w:rsidP="00AF44AA">
      <w:pPr>
        <w:pStyle w:val="TableTitle"/>
      </w:pPr>
      <w:r>
        <w:t>Table 5. Summary of Risk Management Plan</w:t>
      </w:r>
    </w:p>
    <w:tbl>
      <w:tblPr>
        <w:tblStyle w:val="TableTGAblue"/>
        <w:tblW w:w="0" w:type="auto"/>
        <w:tblLook w:val="04A0"/>
      </w:tblPr>
      <w:tblGrid>
        <w:gridCol w:w="2305"/>
        <w:gridCol w:w="2580"/>
        <w:gridCol w:w="3835"/>
      </w:tblGrid>
      <w:tr w:rsidR="00287F50" w:rsidRPr="00300443" w:rsidTr="00AF44AA">
        <w:trPr>
          <w:cnfStyle w:val="100000000000"/>
          <w:cantSplit/>
          <w:tblHeader/>
        </w:trPr>
        <w:tc>
          <w:tcPr>
            <w:tcW w:w="0" w:type="auto"/>
            <w:tcMar>
              <w:top w:w="28" w:type="dxa"/>
            </w:tcMar>
          </w:tcPr>
          <w:p w:rsidR="00287F50" w:rsidRPr="00300443" w:rsidRDefault="00287F50" w:rsidP="00AF44AA">
            <w:r w:rsidRPr="00300443">
              <w:t>Safety Concern</w:t>
            </w:r>
          </w:p>
        </w:tc>
        <w:tc>
          <w:tcPr>
            <w:tcW w:w="0" w:type="auto"/>
            <w:tcMar>
              <w:top w:w="28" w:type="dxa"/>
            </w:tcMar>
          </w:tcPr>
          <w:p w:rsidR="00287F50" w:rsidRPr="00300443" w:rsidRDefault="00287F50" w:rsidP="00AF44AA">
            <w:r w:rsidRPr="00300443">
              <w:t>Proposed Pharmacovigilance (PV) activities</w:t>
            </w:r>
          </w:p>
        </w:tc>
        <w:tc>
          <w:tcPr>
            <w:tcW w:w="0" w:type="auto"/>
            <w:tcMar>
              <w:top w:w="28" w:type="dxa"/>
            </w:tcMar>
          </w:tcPr>
          <w:p w:rsidR="00287F50" w:rsidRPr="00300443" w:rsidRDefault="00287F50" w:rsidP="00AF44AA">
            <w:r w:rsidRPr="00300443">
              <w:t xml:space="preserve">Proposed risk minimisation activities </w:t>
            </w:r>
            <w:r w:rsidRPr="00670467">
              <w:t>(modified by incorporating information from Australian-specific Annex)</w:t>
            </w:r>
          </w:p>
        </w:tc>
      </w:tr>
      <w:tr w:rsidR="00287F50" w:rsidRPr="00300443" w:rsidTr="00AF44AA">
        <w:tc>
          <w:tcPr>
            <w:tcW w:w="0" w:type="auto"/>
            <w:gridSpan w:val="3"/>
            <w:tcMar>
              <w:top w:w="28" w:type="dxa"/>
            </w:tcMar>
          </w:tcPr>
          <w:p w:rsidR="00287F50" w:rsidRPr="00300443" w:rsidRDefault="00287F50" w:rsidP="00AF44AA">
            <w:r w:rsidRPr="00300443">
              <w:rPr>
                <w:b/>
              </w:rPr>
              <w:t>Important identified risks</w:t>
            </w:r>
          </w:p>
        </w:tc>
      </w:tr>
      <w:tr w:rsidR="00287F50" w:rsidRPr="00300443" w:rsidTr="00AF44AA">
        <w:tc>
          <w:tcPr>
            <w:tcW w:w="0" w:type="auto"/>
            <w:tcMar>
              <w:top w:w="28" w:type="dxa"/>
            </w:tcMar>
          </w:tcPr>
          <w:p w:rsidR="00287F50" w:rsidRPr="00300443" w:rsidRDefault="00287F50" w:rsidP="00AF44AA">
            <w:r w:rsidRPr="00300443">
              <w:t>Everolimus and CNI induced renal function</w:t>
            </w:r>
          </w:p>
        </w:tc>
        <w:tc>
          <w:tcPr>
            <w:tcW w:w="0" w:type="auto"/>
            <w:tcMar>
              <w:top w:w="28" w:type="dxa"/>
            </w:tcMar>
          </w:tcPr>
          <w:p w:rsidR="0028625B" w:rsidRPr="00AF44AA" w:rsidRDefault="00287F50" w:rsidP="00AF44AA">
            <w:r w:rsidRPr="00300443">
              <w:t>Routine PV including cumulative analysis in PSUR.</w:t>
            </w:r>
          </w:p>
          <w:p w:rsidR="00287F50" w:rsidRPr="00300443" w:rsidRDefault="00287F50" w:rsidP="00AF44AA">
            <w:r w:rsidRPr="00707E49">
              <w:rPr>
                <w:b/>
              </w:rPr>
              <w:t>Additional PV</w:t>
            </w:r>
            <w:r w:rsidRPr="00300443">
              <w:t>:</w:t>
            </w:r>
            <w:r w:rsidR="00AF44AA">
              <w:br/>
            </w:r>
            <w:r w:rsidRPr="00300443">
              <w:t>Study CRAD001A2310</w:t>
            </w:r>
          </w:p>
        </w:tc>
        <w:tc>
          <w:tcPr>
            <w:tcW w:w="0" w:type="auto"/>
            <w:tcMar>
              <w:top w:w="28" w:type="dxa"/>
            </w:tcMar>
          </w:tcPr>
          <w:p w:rsidR="00287F50" w:rsidRPr="00300443" w:rsidRDefault="00287F50" w:rsidP="00AF44AA">
            <w:r w:rsidRPr="00707E49">
              <w:rPr>
                <w:b/>
              </w:rPr>
              <w:t>Routine</w:t>
            </w:r>
            <w:r w:rsidRPr="00300443">
              <w:t>:</w:t>
            </w:r>
          </w:p>
          <w:p w:rsidR="00287F50" w:rsidRPr="00300443" w:rsidRDefault="00287F50" w:rsidP="00AF44AA">
            <w:r w:rsidRPr="00300443">
              <w:t xml:space="preserve">Precautions </w:t>
            </w:r>
            <w:proofErr w:type="spellStart"/>
            <w:r w:rsidRPr="00300443">
              <w:rPr>
                <w:i/>
              </w:rPr>
              <w:t>Everolimus</w:t>
            </w:r>
            <w:proofErr w:type="spellEnd"/>
            <w:r w:rsidRPr="00300443">
              <w:rPr>
                <w:i/>
              </w:rPr>
              <w:t xml:space="preserve"> and </w:t>
            </w:r>
            <w:proofErr w:type="spellStart"/>
            <w:r w:rsidRPr="00300443">
              <w:rPr>
                <w:i/>
              </w:rPr>
              <w:t>calcineurin</w:t>
            </w:r>
            <w:proofErr w:type="spellEnd"/>
            <w:r w:rsidRPr="00300443">
              <w:rPr>
                <w:i/>
              </w:rPr>
              <w:t xml:space="preserve"> inhibitor-induced renal dysfunction</w:t>
            </w:r>
            <w:r w:rsidRPr="00300443">
              <w:t xml:space="preserve"> section of PI.</w:t>
            </w:r>
          </w:p>
        </w:tc>
      </w:tr>
      <w:tr w:rsidR="00287F50" w:rsidRPr="00300443" w:rsidTr="00AF44AA">
        <w:tc>
          <w:tcPr>
            <w:tcW w:w="0" w:type="auto"/>
            <w:tcMar>
              <w:top w:w="28" w:type="dxa"/>
            </w:tcMar>
          </w:tcPr>
          <w:p w:rsidR="00287F50" w:rsidRPr="00300443" w:rsidRDefault="00287F50" w:rsidP="00AF44AA">
            <w:r w:rsidRPr="00300443">
              <w:t xml:space="preserve">Increased proteinuria in </w:t>
            </w:r>
            <w:r w:rsidRPr="00901DFC">
              <w:rPr>
                <w:i/>
              </w:rPr>
              <w:t>de novo</w:t>
            </w:r>
            <w:r w:rsidRPr="00300443">
              <w:t xml:space="preserve"> renal transplant recipients</w:t>
            </w:r>
          </w:p>
        </w:tc>
        <w:tc>
          <w:tcPr>
            <w:tcW w:w="0" w:type="auto"/>
            <w:tcMar>
              <w:top w:w="28" w:type="dxa"/>
            </w:tcMar>
          </w:tcPr>
          <w:p w:rsidR="00287F50" w:rsidRPr="00300443" w:rsidRDefault="00287F50" w:rsidP="00AF44AA">
            <w:r w:rsidRPr="00300443">
              <w:t>Routine PV including cumulative analysis in PSUR.</w:t>
            </w:r>
          </w:p>
        </w:tc>
        <w:tc>
          <w:tcPr>
            <w:tcW w:w="0" w:type="auto"/>
            <w:tcMar>
              <w:top w:w="28" w:type="dxa"/>
            </w:tcMar>
          </w:tcPr>
          <w:p w:rsidR="00287F50" w:rsidRPr="00300443" w:rsidRDefault="00287F50" w:rsidP="00AF44AA">
            <w:r w:rsidRPr="00707E49">
              <w:rPr>
                <w:b/>
              </w:rPr>
              <w:t>Routine</w:t>
            </w:r>
            <w:r w:rsidRPr="00300443">
              <w:t>:</w:t>
            </w:r>
          </w:p>
          <w:p w:rsidR="00287F50" w:rsidRPr="00300443" w:rsidRDefault="00287F50" w:rsidP="00AF44AA">
            <w:r w:rsidRPr="00300443">
              <w:t xml:space="preserve">Precautions </w:t>
            </w:r>
            <w:r w:rsidRPr="00300443">
              <w:rPr>
                <w:i/>
              </w:rPr>
              <w:t>Proteinuria</w:t>
            </w:r>
            <w:r w:rsidRPr="00300443">
              <w:t xml:space="preserve"> section, and Adverse Effects section of PI.</w:t>
            </w:r>
          </w:p>
        </w:tc>
      </w:tr>
      <w:tr w:rsidR="00287F50" w:rsidRPr="00300443" w:rsidTr="00AF44AA">
        <w:tc>
          <w:tcPr>
            <w:tcW w:w="0" w:type="auto"/>
            <w:tcMar>
              <w:top w:w="28" w:type="dxa"/>
            </w:tcMar>
          </w:tcPr>
          <w:p w:rsidR="00287F50" w:rsidRPr="00300443" w:rsidRDefault="00287F50" w:rsidP="00AF44AA">
            <w:r w:rsidRPr="00300443">
              <w:lastRenderedPageBreak/>
              <w:t>Wound-healing complications</w:t>
            </w:r>
          </w:p>
        </w:tc>
        <w:tc>
          <w:tcPr>
            <w:tcW w:w="0" w:type="auto"/>
            <w:tcMar>
              <w:top w:w="28" w:type="dxa"/>
            </w:tcMar>
          </w:tcPr>
          <w:p w:rsidR="00287F50" w:rsidRPr="00300443" w:rsidRDefault="00287F50" w:rsidP="00AF44AA">
            <w:r w:rsidRPr="00300443">
              <w:t>Routine PV including cumulative analysis in PSUR.</w:t>
            </w:r>
          </w:p>
        </w:tc>
        <w:tc>
          <w:tcPr>
            <w:tcW w:w="0" w:type="auto"/>
            <w:tcMar>
              <w:top w:w="28" w:type="dxa"/>
            </w:tcMar>
          </w:tcPr>
          <w:p w:rsidR="00287F50" w:rsidRPr="00300443" w:rsidRDefault="00287F50" w:rsidP="00AF44AA">
            <w:r w:rsidRPr="00707E49">
              <w:rPr>
                <w:b/>
              </w:rPr>
              <w:t>Routine</w:t>
            </w:r>
            <w:r w:rsidRPr="00300443">
              <w:t>:</w:t>
            </w:r>
          </w:p>
          <w:p w:rsidR="00287F50" w:rsidRPr="00300443" w:rsidRDefault="00287F50" w:rsidP="00AF44AA">
            <w:r w:rsidRPr="00300443">
              <w:t xml:space="preserve">Precautions </w:t>
            </w:r>
            <w:r w:rsidRPr="00300443">
              <w:rPr>
                <w:i/>
              </w:rPr>
              <w:t>Wound-healing complications</w:t>
            </w:r>
            <w:r w:rsidRPr="00300443">
              <w:t xml:space="preserve"> section, and Adverse Effects section of PI.</w:t>
            </w:r>
          </w:p>
        </w:tc>
      </w:tr>
      <w:tr w:rsidR="00287F50" w:rsidRPr="00300443" w:rsidTr="00AF44AA">
        <w:tc>
          <w:tcPr>
            <w:tcW w:w="0" w:type="auto"/>
            <w:tcMar>
              <w:top w:w="28" w:type="dxa"/>
            </w:tcMar>
          </w:tcPr>
          <w:p w:rsidR="00287F50" w:rsidRPr="00300443" w:rsidRDefault="00287F50" w:rsidP="00AF44AA">
            <w:proofErr w:type="spellStart"/>
            <w:r w:rsidRPr="00300443">
              <w:t>Hyperlipidemia</w:t>
            </w:r>
            <w:proofErr w:type="spellEnd"/>
          </w:p>
        </w:tc>
        <w:tc>
          <w:tcPr>
            <w:tcW w:w="0" w:type="auto"/>
            <w:tcMar>
              <w:top w:w="28" w:type="dxa"/>
            </w:tcMar>
          </w:tcPr>
          <w:p w:rsidR="00287F50" w:rsidRPr="00300443" w:rsidRDefault="00287F50" w:rsidP="00AF44AA">
            <w:r w:rsidRPr="00300443">
              <w:t>Routine PV including cumulative analysis in PSUR.</w:t>
            </w:r>
          </w:p>
        </w:tc>
        <w:tc>
          <w:tcPr>
            <w:tcW w:w="0" w:type="auto"/>
            <w:tcMar>
              <w:top w:w="28" w:type="dxa"/>
            </w:tcMar>
          </w:tcPr>
          <w:p w:rsidR="00287F50" w:rsidRPr="00300443" w:rsidRDefault="00287F50" w:rsidP="00AF44AA">
            <w:r w:rsidRPr="00707E49">
              <w:rPr>
                <w:b/>
              </w:rPr>
              <w:t>Routine</w:t>
            </w:r>
            <w:r w:rsidRPr="00300443">
              <w:t>:</w:t>
            </w:r>
          </w:p>
          <w:p w:rsidR="00287F50" w:rsidRPr="00300443" w:rsidRDefault="00287F50" w:rsidP="00AF44AA">
            <w:r w:rsidRPr="00300443">
              <w:t xml:space="preserve">Precautions </w:t>
            </w:r>
            <w:proofErr w:type="spellStart"/>
            <w:r w:rsidRPr="00300443">
              <w:rPr>
                <w:i/>
              </w:rPr>
              <w:t>Hyperlipidemia</w:t>
            </w:r>
            <w:proofErr w:type="spellEnd"/>
            <w:r w:rsidRPr="00300443">
              <w:t xml:space="preserve"> section, and Adverse Effects section of PI.</w:t>
            </w:r>
          </w:p>
        </w:tc>
      </w:tr>
      <w:tr w:rsidR="00287F50" w:rsidRPr="00300443" w:rsidTr="00AF44AA">
        <w:trPr>
          <w:cantSplit/>
        </w:trPr>
        <w:tc>
          <w:tcPr>
            <w:tcW w:w="0" w:type="auto"/>
            <w:tcMar>
              <w:top w:w="28" w:type="dxa"/>
            </w:tcMar>
          </w:tcPr>
          <w:p w:rsidR="00287F50" w:rsidRPr="00300443" w:rsidRDefault="00287F50" w:rsidP="00AF44AA">
            <w:r w:rsidRPr="00300443">
              <w:t>Renal graft thrombosis</w:t>
            </w:r>
          </w:p>
        </w:tc>
        <w:tc>
          <w:tcPr>
            <w:tcW w:w="0" w:type="auto"/>
            <w:tcMar>
              <w:top w:w="28" w:type="dxa"/>
            </w:tcMar>
          </w:tcPr>
          <w:p w:rsidR="00287F50" w:rsidRPr="00300443" w:rsidRDefault="00287F50" w:rsidP="00AF44AA">
            <w:r w:rsidRPr="00300443">
              <w:t>Routine PV including cumulative analysis in PSUR.</w:t>
            </w:r>
          </w:p>
        </w:tc>
        <w:tc>
          <w:tcPr>
            <w:tcW w:w="0" w:type="auto"/>
            <w:tcMar>
              <w:top w:w="28" w:type="dxa"/>
            </w:tcMar>
          </w:tcPr>
          <w:p w:rsidR="00287F50" w:rsidRPr="00300443" w:rsidRDefault="00287F50" w:rsidP="00AF44AA">
            <w:r w:rsidRPr="00707E49">
              <w:rPr>
                <w:b/>
              </w:rPr>
              <w:t>Routine</w:t>
            </w:r>
            <w:r w:rsidRPr="00300443">
              <w:t>:</w:t>
            </w:r>
          </w:p>
          <w:p w:rsidR="00287F50" w:rsidRPr="00300443" w:rsidRDefault="00287F50" w:rsidP="00AF44AA">
            <w:r w:rsidRPr="00300443">
              <w:t xml:space="preserve">Precautions </w:t>
            </w:r>
            <w:r w:rsidRPr="00300443">
              <w:rPr>
                <w:i/>
              </w:rPr>
              <w:t>Renal graft thrombosis</w:t>
            </w:r>
            <w:r w:rsidRPr="00300443">
              <w:t xml:space="preserve"> section, and Adverse Effects section of PI.</w:t>
            </w:r>
          </w:p>
        </w:tc>
      </w:tr>
      <w:tr w:rsidR="00287F50" w:rsidRPr="00300443" w:rsidTr="00AF44AA">
        <w:tc>
          <w:tcPr>
            <w:tcW w:w="0" w:type="auto"/>
            <w:tcMar>
              <w:top w:w="28" w:type="dxa"/>
            </w:tcMar>
          </w:tcPr>
          <w:p w:rsidR="00287F50" w:rsidRPr="00300443" w:rsidRDefault="00287F50" w:rsidP="00AF44AA">
            <w:r w:rsidRPr="00300443">
              <w:t>New onset diabetes mellitus</w:t>
            </w:r>
          </w:p>
        </w:tc>
        <w:tc>
          <w:tcPr>
            <w:tcW w:w="0" w:type="auto"/>
            <w:tcMar>
              <w:top w:w="28" w:type="dxa"/>
            </w:tcMar>
          </w:tcPr>
          <w:p w:rsidR="00287F50" w:rsidRPr="00300443" w:rsidRDefault="00287F50" w:rsidP="00AF44AA">
            <w:r w:rsidRPr="00300443">
              <w:t>Routine PV including cumulative analysis in PSUR.</w:t>
            </w:r>
          </w:p>
        </w:tc>
        <w:tc>
          <w:tcPr>
            <w:tcW w:w="0" w:type="auto"/>
            <w:tcMar>
              <w:top w:w="28" w:type="dxa"/>
            </w:tcMar>
          </w:tcPr>
          <w:p w:rsidR="00287F50" w:rsidRPr="00300443" w:rsidRDefault="00287F50" w:rsidP="00AF44AA">
            <w:r w:rsidRPr="00707E49">
              <w:rPr>
                <w:b/>
              </w:rPr>
              <w:t>Routine</w:t>
            </w:r>
            <w:r w:rsidRPr="00300443">
              <w:t>:</w:t>
            </w:r>
          </w:p>
          <w:p w:rsidR="00287F50" w:rsidRPr="00300443" w:rsidRDefault="00287F50" w:rsidP="00AF44AA">
            <w:r w:rsidRPr="00300443">
              <w:t xml:space="preserve">Precautions </w:t>
            </w:r>
            <w:r w:rsidRPr="00300443">
              <w:rPr>
                <w:i/>
              </w:rPr>
              <w:t>New onset diabetes mellitus</w:t>
            </w:r>
            <w:r w:rsidRPr="00300443">
              <w:t xml:space="preserve"> section, and Adverse Effects section of PI.</w:t>
            </w:r>
          </w:p>
        </w:tc>
      </w:tr>
      <w:tr w:rsidR="00287F50" w:rsidRPr="00300443" w:rsidTr="00AF44AA">
        <w:tc>
          <w:tcPr>
            <w:tcW w:w="0" w:type="auto"/>
            <w:tcMar>
              <w:top w:w="28" w:type="dxa"/>
            </w:tcMar>
          </w:tcPr>
          <w:p w:rsidR="00287F50" w:rsidRPr="00300443" w:rsidRDefault="00287F50" w:rsidP="00AF44AA">
            <w:r w:rsidRPr="00300443">
              <w:t xml:space="preserve">Thrombotic </w:t>
            </w:r>
            <w:proofErr w:type="spellStart"/>
            <w:r w:rsidRPr="00300443">
              <w:t>microangiopathy</w:t>
            </w:r>
            <w:proofErr w:type="spellEnd"/>
          </w:p>
        </w:tc>
        <w:tc>
          <w:tcPr>
            <w:tcW w:w="0" w:type="auto"/>
            <w:tcMar>
              <w:top w:w="28" w:type="dxa"/>
            </w:tcMar>
          </w:tcPr>
          <w:p w:rsidR="00287F50" w:rsidRPr="00300443" w:rsidRDefault="00287F50" w:rsidP="00AF44AA">
            <w:r w:rsidRPr="00300443">
              <w:t>Routine PV including cumulative analysis in PSUR.</w:t>
            </w:r>
          </w:p>
        </w:tc>
        <w:tc>
          <w:tcPr>
            <w:tcW w:w="0" w:type="auto"/>
            <w:tcMar>
              <w:top w:w="28" w:type="dxa"/>
            </w:tcMar>
          </w:tcPr>
          <w:p w:rsidR="00287F50" w:rsidRPr="00300443" w:rsidRDefault="00287F50" w:rsidP="00AF44AA">
            <w:r w:rsidRPr="00707E49">
              <w:rPr>
                <w:b/>
              </w:rPr>
              <w:t>Routine</w:t>
            </w:r>
            <w:r w:rsidRPr="00300443">
              <w:t>:</w:t>
            </w:r>
          </w:p>
          <w:p w:rsidR="00287F50" w:rsidRPr="00300443" w:rsidRDefault="00287F50" w:rsidP="00AF44AA">
            <w:r w:rsidRPr="00300443">
              <w:t xml:space="preserve">Precautions </w:t>
            </w:r>
            <w:r w:rsidRPr="00300443">
              <w:rPr>
                <w:i/>
              </w:rPr>
              <w:t xml:space="preserve">Thrombotic </w:t>
            </w:r>
            <w:proofErr w:type="spellStart"/>
            <w:r w:rsidRPr="00300443">
              <w:rPr>
                <w:i/>
              </w:rPr>
              <w:t>microangiopathy</w:t>
            </w:r>
            <w:proofErr w:type="spellEnd"/>
            <w:r w:rsidRPr="00300443">
              <w:rPr>
                <w:i/>
              </w:rPr>
              <w:t xml:space="preserve">/Thrombotic thrombocytopenic purpure/Haemolytic uraemic syndrome </w:t>
            </w:r>
            <w:r w:rsidRPr="00300443">
              <w:t>section, and Adverse Effects section of PI.</w:t>
            </w:r>
          </w:p>
        </w:tc>
      </w:tr>
      <w:tr w:rsidR="00287F50" w:rsidRPr="00300443" w:rsidTr="00AF44AA">
        <w:tc>
          <w:tcPr>
            <w:tcW w:w="0" w:type="auto"/>
            <w:tcMar>
              <w:top w:w="28" w:type="dxa"/>
            </w:tcMar>
          </w:tcPr>
          <w:p w:rsidR="00287F50" w:rsidRPr="00300443" w:rsidRDefault="00287F50" w:rsidP="00AF44AA">
            <w:r w:rsidRPr="00300443">
              <w:t xml:space="preserve">Interstitial lung disease </w:t>
            </w:r>
          </w:p>
        </w:tc>
        <w:tc>
          <w:tcPr>
            <w:tcW w:w="0" w:type="auto"/>
            <w:tcMar>
              <w:top w:w="28" w:type="dxa"/>
            </w:tcMar>
          </w:tcPr>
          <w:p w:rsidR="00287F50" w:rsidRPr="00300443" w:rsidRDefault="00287F50" w:rsidP="00AF44AA">
            <w:r w:rsidRPr="00300443">
              <w:t>Routine PV including cumulative analysis in PSUR.</w:t>
            </w:r>
          </w:p>
        </w:tc>
        <w:tc>
          <w:tcPr>
            <w:tcW w:w="0" w:type="auto"/>
            <w:tcMar>
              <w:top w:w="28" w:type="dxa"/>
            </w:tcMar>
          </w:tcPr>
          <w:p w:rsidR="00287F50" w:rsidRPr="00300443" w:rsidRDefault="00287F50" w:rsidP="00AF44AA">
            <w:r w:rsidRPr="00707E49">
              <w:rPr>
                <w:b/>
              </w:rPr>
              <w:t>Routine</w:t>
            </w:r>
            <w:r w:rsidRPr="00300443">
              <w:t>:</w:t>
            </w:r>
          </w:p>
          <w:p w:rsidR="00287F50" w:rsidRPr="00300443" w:rsidRDefault="00287F50" w:rsidP="00AF44AA">
            <w:r w:rsidRPr="00300443">
              <w:t xml:space="preserve">Precautions </w:t>
            </w:r>
            <w:r w:rsidRPr="00300443">
              <w:rPr>
                <w:i/>
              </w:rPr>
              <w:t xml:space="preserve">Interstitial lung disease/non-infectious </w:t>
            </w:r>
            <w:proofErr w:type="spellStart"/>
            <w:r w:rsidRPr="00300443">
              <w:rPr>
                <w:i/>
              </w:rPr>
              <w:t>pneumonitis</w:t>
            </w:r>
            <w:proofErr w:type="spellEnd"/>
            <w:r w:rsidRPr="00300443">
              <w:t xml:space="preserve"> section, and Adverse Effects section of PI.</w:t>
            </w:r>
          </w:p>
        </w:tc>
      </w:tr>
      <w:tr w:rsidR="00287F50" w:rsidRPr="00300443" w:rsidTr="00AF44AA">
        <w:tc>
          <w:tcPr>
            <w:tcW w:w="0" w:type="auto"/>
            <w:tcMar>
              <w:top w:w="28" w:type="dxa"/>
            </w:tcMar>
          </w:tcPr>
          <w:p w:rsidR="00287F50" w:rsidRPr="00300443" w:rsidRDefault="00287F50" w:rsidP="00AF44AA">
            <w:r w:rsidRPr="00300443">
              <w:t>Infections</w:t>
            </w:r>
          </w:p>
        </w:tc>
        <w:tc>
          <w:tcPr>
            <w:tcW w:w="0" w:type="auto"/>
            <w:tcMar>
              <w:top w:w="28" w:type="dxa"/>
            </w:tcMar>
          </w:tcPr>
          <w:p w:rsidR="00287F50" w:rsidRPr="00300443" w:rsidRDefault="00287F50" w:rsidP="00AF44AA">
            <w:r w:rsidRPr="00300443">
              <w:t>Routine PV including cumulative analysis in PSUR.</w:t>
            </w:r>
          </w:p>
        </w:tc>
        <w:tc>
          <w:tcPr>
            <w:tcW w:w="0" w:type="auto"/>
            <w:tcMar>
              <w:top w:w="28" w:type="dxa"/>
            </w:tcMar>
          </w:tcPr>
          <w:p w:rsidR="00287F50" w:rsidRPr="00300443" w:rsidRDefault="00287F50" w:rsidP="00AF44AA">
            <w:r w:rsidRPr="00707E49">
              <w:rPr>
                <w:b/>
              </w:rPr>
              <w:t>Routine</w:t>
            </w:r>
            <w:r w:rsidRPr="00300443">
              <w:t>:</w:t>
            </w:r>
          </w:p>
          <w:p w:rsidR="00287F50" w:rsidRPr="00300443" w:rsidRDefault="00287F50" w:rsidP="00AF44AA">
            <w:r w:rsidRPr="00300443">
              <w:t xml:space="preserve">Precautions </w:t>
            </w:r>
            <w:r w:rsidRPr="00300443">
              <w:rPr>
                <w:i/>
              </w:rPr>
              <w:t xml:space="preserve">Serious and opportunistic infections </w:t>
            </w:r>
            <w:r w:rsidRPr="00300443">
              <w:t>section, and Adverse Effects section of PI.</w:t>
            </w:r>
          </w:p>
        </w:tc>
      </w:tr>
      <w:tr w:rsidR="00287F50" w:rsidRPr="00300443" w:rsidTr="00AF44AA">
        <w:tc>
          <w:tcPr>
            <w:tcW w:w="0" w:type="auto"/>
            <w:tcMar>
              <w:top w:w="28" w:type="dxa"/>
            </w:tcMar>
          </w:tcPr>
          <w:p w:rsidR="00287F50" w:rsidRPr="00300443" w:rsidRDefault="00287F50" w:rsidP="00AF44AA">
            <w:r w:rsidRPr="00300443">
              <w:t>Malignancies</w:t>
            </w:r>
          </w:p>
        </w:tc>
        <w:tc>
          <w:tcPr>
            <w:tcW w:w="0" w:type="auto"/>
            <w:tcMar>
              <w:top w:w="28" w:type="dxa"/>
            </w:tcMar>
          </w:tcPr>
          <w:p w:rsidR="00287F50" w:rsidRPr="00300443" w:rsidRDefault="00287F50" w:rsidP="00AF44AA">
            <w:r w:rsidRPr="00300443">
              <w:t>Routine PV including cumulative analysis in PSUR.</w:t>
            </w:r>
          </w:p>
        </w:tc>
        <w:tc>
          <w:tcPr>
            <w:tcW w:w="0" w:type="auto"/>
            <w:tcMar>
              <w:top w:w="28" w:type="dxa"/>
            </w:tcMar>
          </w:tcPr>
          <w:p w:rsidR="00287F50" w:rsidRPr="00300443" w:rsidRDefault="00287F50" w:rsidP="00AF44AA">
            <w:r w:rsidRPr="00707E49">
              <w:rPr>
                <w:b/>
              </w:rPr>
              <w:t>Routine</w:t>
            </w:r>
            <w:r w:rsidRPr="00300443">
              <w:t>:</w:t>
            </w:r>
          </w:p>
          <w:p w:rsidR="00287F50" w:rsidRPr="00300443" w:rsidRDefault="00287F50" w:rsidP="00AF44AA">
            <w:r w:rsidRPr="00300443">
              <w:t xml:space="preserve">Precautions </w:t>
            </w:r>
            <w:r w:rsidRPr="00300443">
              <w:rPr>
                <w:i/>
              </w:rPr>
              <w:t xml:space="preserve">Lymphomas and other malignancies </w:t>
            </w:r>
            <w:r w:rsidRPr="00300443">
              <w:t>section, and Adverse Effects section of PI.</w:t>
            </w:r>
          </w:p>
        </w:tc>
      </w:tr>
      <w:tr w:rsidR="00287F50" w:rsidRPr="00300443" w:rsidTr="00AF44AA">
        <w:tc>
          <w:tcPr>
            <w:tcW w:w="0" w:type="auto"/>
            <w:tcMar>
              <w:top w:w="28" w:type="dxa"/>
            </w:tcMar>
          </w:tcPr>
          <w:p w:rsidR="00287F50" w:rsidRPr="00300443" w:rsidRDefault="00287F50" w:rsidP="00AF44AA">
            <w:proofErr w:type="spellStart"/>
            <w:r w:rsidRPr="00300443">
              <w:lastRenderedPageBreak/>
              <w:t>Angioedema</w:t>
            </w:r>
            <w:proofErr w:type="spellEnd"/>
          </w:p>
        </w:tc>
        <w:tc>
          <w:tcPr>
            <w:tcW w:w="0" w:type="auto"/>
            <w:tcMar>
              <w:top w:w="28" w:type="dxa"/>
            </w:tcMar>
          </w:tcPr>
          <w:p w:rsidR="00287F50" w:rsidRPr="00300443" w:rsidRDefault="00287F50" w:rsidP="00AF44AA">
            <w:r w:rsidRPr="00300443">
              <w:t xml:space="preserve">Routine PV including cumulative analysis in PSUR. </w:t>
            </w:r>
          </w:p>
        </w:tc>
        <w:tc>
          <w:tcPr>
            <w:tcW w:w="0" w:type="auto"/>
            <w:tcMar>
              <w:top w:w="28" w:type="dxa"/>
            </w:tcMar>
          </w:tcPr>
          <w:p w:rsidR="00287F50" w:rsidRPr="00300443" w:rsidRDefault="00287F50" w:rsidP="00AF44AA">
            <w:r w:rsidRPr="00707E49">
              <w:rPr>
                <w:b/>
              </w:rPr>
              <w:t>Routine</w:t>
            </w:r>
            <w:r w:rsidRPr="00300443">
              <w:t>:</w:t>
            </w:r>
          </w:p>
          <w:p w:rsidR="00287F50" w:rsidRPr="00300443" w:rsidRDefault="00287F50" w:rsidP="00AF44AA">
            <w:r w:rsidRPr="00300443">
              <w:t xml:space="preserve">Precautions </w:t>
            </w:r>
            <w:proofErr w:type="spellStart"/>
            <w:r w:rsidRPr="00300443">
              <w:rPr>
                <w:i/>
              </w:rPr>
              <w:t>Angioedema</w:t>
            </w:r>
            <w:proofErr w:type="spellEnd"/>
            <w:r w:rsidRPr="00300443">
              <w:t xml:space="preserve"> section, and Adverse Effects section of PI.</w:t>
            </w:r>
          </w:p>
        </w:tc>
      </w:tr>
      <w:tr w:rsidR="00287F50" w:rsidRPr="00300443" w:rsidTr="00AF44AA">
        <w:tc>
          <w:tcPr>
            <w:tcW w:w="0" w:type="auto"/>
            <w:tcMar>
              <w:top w:w="28" w:type="dxa"/>
            </w:tcMar>
          </w:tcPr>
          <w:p w:rsidR="00287F50" w:rsidRPr="00300443" w:rsidRDefault="00287F50" w:rsidP="00AF44AA">
            <w:r w:rsidRPr="00300443">
              <w:t>Oedema/oedema peripheral</w:t>
            </w:r>
          </w:p>
        </w:tc>
        <w:tc>
          <w:tcPr>
            <w:tcW w:w="0" w:type="auto"/>
            <w:tcMar>
              <w:top w:w="28" w:type="dxa"/>
            </w:tcMar>
          </w:tcPr>
          <w:p w:rsidR="00287F50" w:rsidRPr="00300443" w:rsidRDefault="00287F50" w:rsidP="00AF44AA">
            <w:r w:rsidRPr="00300443">
              <w:t>Routine PV including cumulative analysis in PSUR.</w:t>
            </w:r>
          </w:p>
        </w:tc>
        <w:tc>
          <w:tcPr>
            <w:tcW w:w="0" w:type="auto"/>
            <w:tcMar>
              <w:top w:w="28" w:type="dxa"/>
            </w:tcMar>
          </w:tcPr>
          <w:p w:rsidR="00287F50" w:rsidRPr="00300443" w:rsidRDefault="00287F50" w:rsidP="00AF44AA">
            <w:r w:rsidRPr="00707E49">
              <w:rPr>
                <w:b/>
              </w:rPr>
              <w:t>Routine</w:t>
            </w:r>
            <w:r w:rsidRPr="00300443">
              <w:t>:</w:t>
            </w:r>
          </w:p>
          <w:p w:rsidR="00287F50" w:rsidRPr="00300443" w:rsidRDefault="00287F50" w:rsidP="00AF44AA">
            <w:r w:rsidRPr="00300443">
              <w:t>Adverse Effects section of PI.</w:t>
            </w:r>
          </w:p>
        </w:tc>
      </w:tr>
      <w:tr w:rsidR="00287F50" w:rsidRPr="00300443" w:rsidTr="00AF44AA">
        <w:tc>
          <w:tcPr>
            <w:tcW w:w="0" w:type="auto"/>
            <w:gridSpan w:val="3"/>
            <w:tcMar>
              <w:top w:w="28" w:type="dxa"/>
            </w:tcMar>
          </w:tcPr>
          <w:p w:rsidR="00287F50" w:rsidRPr="00300443" w:rsidRDefault="00287F50" w:rsidP="00AF44AA">
            <w:pPr>
              <w:rPr>
                <w:u w:val="single"/>
              </w:rPr>
            </w:pPr>
            <w:r w:rsidRPr="00300443">
              <w:rPr>
                <w:b/>
              </w:rPr>
              <w:t>Important identified interactions</w:t>
            </w:r>
          </w:p>
        </w:tc>
      </w:tr>
      <w:tr w:rsidR="00287F50" w:rsidRPr="00300443" w:rsidTr="00AF44AA">
        <w:tc>
          <w:tcPr>
            <w:tcW w:w="0" w:type="auto"/>
            <w:tcMar>
              <w:top w:w="28" w:type="dxa"/>
            </w:tcMar>
          </w:tcPr>
          <w:p w:rsidR="00287F50" w:rsidRPr="00300443" w:rsidRDefault="00287F50" w:rsidP="00AF44AA">
            <w:r w:rsidRPr="00300443">
              <w:t>Interaction cytochrome CYP3A4 modifiers</w:t>
            </w:r>
          </w:p>
        </w:tc>
        <w:tc>
          <w:tcPr>
            <w:tcW w:w="0" w:type="auto"/>
            <w:tcMar>
              <w:top w:w="28" w:type="dxa"/>
            </w:tcMar>
          </w:tcPr>
          <w:p w:rsidR="00287F50" w:rsidRPr="00300443" w:rsidRDefault="00287F50" w:rsidP="00AF44AA">
            <w:r w:rsidRPr="00300443">
              <w:t>Routine PV</w:t>
            </w:r>
          </w:p>
        </w:tc>
        <w:tc>
          <w:tcPr>
            <w:tcW w:w="0" w:type="auto"/>
            <w:tcMar>
              <w:top w:w="28" w:type="dxa"/>
            </w:tcMar>
          </w:tcPr>
          <w:p w:rsidR="00287F50" w:rsidRPr="00300443" w:rsidRDefault="00287F50" w:rsidP="00AF44AA">
            <w:r w:rsidRPr="00300443">
              <w:t xml:space="preserve">Co-administration with strong CYP3A4-inhibitors (such as </w:t>
            </w:r>
            <w:proofErr w:type="spellStart"/>
            <w:r w:rsidRPr="00300443">
              <w:t>ketoconazol</w:t>
            </w:r>
            <w:proofErr w:type="spellEnd"/>
            <w:r w:rsidRPr="00300443">
              <w:t xml:space="preserve">, </w:t>
            </w:r>
            <w:proofErr w:type="spellStart"/>
            <w:r w:rsidRPr="00300443">
              <w:t>itraconazole</w:t>
            </w:r>
            <w:proofErr w:type="spellEnd"/>
            <w:r w:rsidRPr="00300443">
              <w:t xml:space="preserve">, </w:t>
            </w:r>
            <w:proofErr w:type="spellStart"/>
            <w:r w:rsidRPr="00300443">
              <w:t>voriconazole</w:t>
            </w:r>
            <w:proofErr w:type="spellEnd"/>
            <w:r w:rsidRPr="00300443">
              <w:t xml:space="preserve">, </w:t>
            </w:r>
            <w:proofErr w:type="spellStart"/>
            <w:r w:rsidRPr="00300443">
              <w:t>clarithromycin</w:t>
            </w:r>
            <w:proofErr w:type="spellEnd"/>
            <w:r w:rsidRPr="00300443">
              <w:t xml:space="preserve">, </w:t>
            </w:r>
            <w:proofErr w:type="spellStart"/>
            <w:r w:rsidRPr="00300443">
              <w:t>telithromycin</w:t>
            </w:r>
            <w:proofErr w:type="spellEnd"/>
            <w:r w:rsidRPr="00300443">
              <w:t xml:space="preserve">, </w:t>
            </w:r>
            <w:proofErr w:type="spellStart"/>
            <w:r w:rsidRPr="00300443">
              <w:t>ritonavir</w:t>
            </w:r>
            <w:proofErr w:type="spellEnd"/>
            <w:r w:rsidRPr="00300443">
              <w:t xml:space="preserve">) and inducers (such as </w:t>
            </w:r>
            <w:proofErr w:type="spellStart"/>
            <w:r w:rsidRPr="00300443">
              <w:t>rifampicin</w:t>
            </w:r>
            <w:proofErr w:type="spellEnd"/>
            <w:r w:rsidRPr="00300443">
              <w:t xml:space="preserve">, </w:t>
            </w:r>
            <w:proofErr w:type="spellStart"/>
            <w:r w:rsidRPr="00300443">
              <w:t>rifabutin</w:t>
            </w:r>
            <w:proofErr w:type="spellEnd"/>
            <w:r w:rsidRPr="00300443">
              <w:t>) is not recommended</w:t>
            </w:r>
            <w:r>
              <w:t>.</w:t>
            </w:r>
          </w:p>
        </w:tc>
      </w:tr>
      <w:tr w:rsidR="00287F50" w:rsidRPr="00300443" w:rsidTr="00AF44AA">
        <w:tc>
          <w:tcPr>
            <w:tcW w:w="0" w:type="auto"/>
            <w:gridSpan w:val="3"/>
            <w:tcMar>
              <w:top w:w="28" w:type="dxa"/>
            </w:tcMar>
          </w:tcPr>
          <w:p w:rsidR="00287F50" w:rsidRPr="00300443" w:rsidRDefault="00287F50" w:rsidP="00AF44AA">
            <w:r w:rsidRPr="00300443">
              <w:rPr>
                <w:b/>
              </w:rPr>
              <w:t>Important potential risks</w:t>
            </w:r>
          </w:p>
        </w:tc>
      </w:tr>
      <w:tr w:rsidR="00287F50" w:rsidRPr="00300443" w:rsidTr="00AF44AA">
        <w:tc>
          <w:tcPr>
            <w:tcW w:w="0" w:type="auto"/>
            <w:tcMar>
              <w:top w:w="28" w:type="dxa"/>
            </w:tcMar>
          </w:tcPr>
          <w:p w:rsidR="00287F50" w:rsidRPr="00300443" w:rsidRDefault="00287F50" w:rsidP="00AF44AA">
            <w:proofErr w:type="spellStart"/>
            <w:r w:rsidRPr="00300443">
              <w:t>Teratogenicity</w:t>
            </w:r>
            <w:proofErr w:type="spellEnd"/>
          </w:p>
        </w:tc>
        <w:tc>
          <w:tcPr>
            <w:tcW w:w="0" w:type="auto"/>
            <w:tcMar>
              <w:top w:w="28" w:type="dxa"/>
            </w:tcMar>
          </w:tcPr>
          <w:p w:rsidR="00287F50" w:rsidRPr="00300443" w:rsidRDefault="00287F50" w:rsidP="00AF44AA">
            <w:r w:rsidRPr="00300443">
              <w:t>Routine PV including cumulative analysis in PSUR.</w:t>
            </w:r>
          </w:p>
        </w:tc>
        <w:tc>
          <w:tcPr>
            <w:tcW w:w="0" w:type="auto"/>
            <w:tcMar>
              <w:top w:w="28" w:type="dxa"/>
            </w:tcMar>
          </w:tcPr>
          <w:p w:rsidR="00287F50" w:rsidRPr="00300443" w:rsidRDefault="00287F50" w:rsidP="00AF44AA">
            <w:r w:rsidRPr="00707E49">
              <w:rPr>
                <w:b/>
              </w:rPr>
              <w:t>Routine</w:t>
            </w:r>
            <w:r w:rsidRPr="00300443">
              <w:t>:</w:t>
            </w:r>
          </w:p>
          <w:p w:rsidR="00287F50" w:rsidRPr="00300443" w:rsidRDefault="00287F50" w:rsidP="00AF44AA">
            <w:r w:rsidRPr="00300443">
              <w:t xml:space="preserve">Precautions </w:t>
            </w:r>
            <w:r w:rsidRPr="00300443">
              <w:rPr>
                <w:i/>
              </w:rPr>
              <w:t>Use in Pregnancy (Category C)</w:t>
            </w:r>
            <w:r w:rsidRPr="00300443">
              <w:t xml:space="preserve"> section of PI.</w:t>
            </w:r>
          </w:p>
        </w:tc>
      </w:tr>
      <w:tr w:rsidR="00287F50" w:rsidRPr="00300443" w:rsidTr="00AF44AA">
        <w:tc>
          <w:tcPr>
            <w:tcW w:w="0" w:type="auto"/>
            <w:gridSpan w:val="3"/>
            <w:tcMar>
              <w:top w:w="28" w:type="dxa"/>
            </w:tcMar>
          </w:tcPr>
          <w:p w:rsidR="00287F50" w:rsidRPr="00300443" w:rsidRDefault="00287F50" w:rsidP="00AF44AA">
            <w:r w:rsidRPr="00300443">
              <w:rPr>
                <w:b/>
              </w:rPr>
              <w:t>Important missing information</w:t>
            </w:r>
          </w:p>
        </w:tc>
      </w:tr>
      <w:tr w:rsidR="00287F50" w:rsidRPr="00300443" w:rsidTr="00AF44AA">
        <w:tc>
          <w:tcPr>
            <w:tcW w:w="0" w:type="auto"/>
            <w:tcMar>
              <w:top w:w="28" w:type="dxa"/>
            </w:tcMar>
          </w:tcPr>
          <w:p w:rsidR="00287F50" w:rsidRPr="00300443" w:rsidRDefault="00287F50" w:rsidP="00AF44AA">
            <w:r w:rsidRPr="00300443">
              <w:t>Exposure in pregnancy, during breast-feeding</w:t>
            </w:r>
          </w:p>
        </w:tc>
        <w:tc>
          <w:tcPr>
            <w:tcW w:w="0" w:type="auto"/>
            <w:tcMar>
              <w:top w:w="28" w:type="dxa"/>
            </w:tcMar>
          </w:tcPr>
          <w:p w:rsidR="00287F50" w:rsidRPr="00300443" w:rsidRDefault="00287F50" w:rsidP="00AF44AA">
            <w:r w:rsidRPr="00300443">
              <w:t>Routine PV.</w:t>
            </w:r>
          </w:p>
        </w:tc>
        <w:tc>
          <w:tcPr>
            <w:tcW w:w="0" w:type="auto"/>
            <w:tcMar>
              <w:top w:w="28" w:type="dxa"/>
            </w:tcMar>
          </w:tcPr>
          <w:p w:rsidR="00287F50" w:rsidRPr="00300443" w:rsidRDefault="00287F50" w:rsidP="00AF44AA">
            <w:r w:rsidRPr="00707E49">
              <w:rPr>
                <w:b/>
              </w:rPr>
              <w:t>Routine</w:t>
            </w:r>
            <w:r w:rsidRPr="00300443">
              <w:t>:</w:t>
            </w:r>
          </w:p>
          <w:p w:rsidR="00287F50" w:rsidRPr="00300443" w:rsidRDefault="00287F50" w:rsidP="00AF44AA">
            <w:r w:rsidRPr="00300443">
              <w:t xml:space="preserve">Precautions </w:t>
            </w:r>
            <w:r w:rsidRPr="00300443">
              <w:rPr>
                <w:i/>
              </w:rPr>
              <w:t>Use in Pregnancy (Category C)</w:t>
            </w:r>
            <w:r w:rsidRPr="00300443">
              <w:t xml:space="preserve"> section of PI.</w:t>
            </w:r>
          </w:p>
        </w:tc>
      </w:tr>
      <w:tr w:rsidR="00287F50" w:rsidRPr="00300443" w:rsidTr="00AF44AA">
        <w:tc>
          <w:tcPr>
            <w:tcW w:w="0" w:type="auto"/>
            <w:tcMar>
              <w:top w:w="28" w:type="dxa"/>
            </w:tcMar>
          </w:tcPr>
          <w:p w:rsidR="00287F50" w:rsidRPr="00300443" w:rsidRDefault="00287F50" w:rsidP="00AF44AA">
            <w:r w:rsidRPr="00300443">
              <w:t>Use in a paediatric population</w:t>
            </w:r>
          </w:p>
        </w:tc>
        <w:tc>
          <w:tcPr>
            <w:tcW w:w="0" w:type="auto"/>
            <w:tcMar>
              <w:top w:w="28" w:type="dxa"/>
            </w:tcMar>
          </w:tcPr>
          <w:p w:rsidR="00287F50" w:rsidRPr="00300443" w:rsidRDefault="00287F50" w:rsidP="00AF44AA">
            <w:r w:rsidRPr="00300443">
              <w:t>Routine PV.</w:t>
            </w:r>
          </w:p>
          <w:p w:rsidR="00287F50" w:rsidRPr="00300443" w:rsidRDefault="00287F50" w:rsidP="00AF44AA">
            <w:r w:rsidRPr="00300443">
              <w:t xml:space="preserve">Paediatric Investigational Plan </w:t>
            </w:r>
          </w:p>
        </w:tc>
        <w:tc>
          <w:tcPr>
            <w:tcW w:w="0" w:type="auto"/>
            <w:tcMar>
              <w:top w:w="28" w:type="dxa"/>
            </w:tcMar>
          </w:tcPr>
          <w:p w:rsidR="00287F50" w:rsidRPr="00300443" w:rsidRDefault="00287F50" w:rsidP="00AF44AA">
            <w:r w:rsidRPr="00707E49">
              <w:rPr>
                <w:b/>
              </w:rPr>
              <w:t>Routine</w:t>
            </w:r>
            <w:r w:rsidRPr="00300443">
              <w:t>:</w:t>
            </w:r>
          </w:p>
          <w:p w:rsidR="00287F50" w:rsidRPr="00300443" w:rsidRDefault="00287F50" w:rsidP="00AF44AA">
            <w:r w:rsidRPr="00300443">
              <w:t>Dosage and Administration</w:t>
            </w:r>
            <w:r w:rsidRPr="00300443">
              <w:rPr>
                <w:i/>
              </w:rPr>
              <w:t xml:space="preserve"> – Administration via </w:t>
            </w:r>
            <w:proofErr w:type="spellStart"/>
            <w:r w:rsidRPr="00300443">
              <w:rPr>
                <w:i/>
              </w:rPr>
              <w:t>nasogastric</w:t>
            </w:r>
            <w:proofErr w:type="spellEnd"/>
            <w:r w:rsidRPr="00300443">
              <w:rPr>
                <w:i/>
              </w:rPr>
              <w:t xml:space="preserve"> tube</w:t>
            </w:r>
            <w:r w:rsidRPr="00300443">
              <w:t xml:space="preserve"> section of PI.</w:t>
            </w:r>
          </w:p>
        </w:tc>
      </w:tr>
      <w:tr w:rsidR="00287F50" w:rsidRPr="00300443" w:rsidTr="00AF44AA">
        <w:tc>
          <w:tcPr>
            <w:tcW w:w="0" w:type="auto"/>
            <w:tcMar>
              <w:top w:w="28" w:type="dxa"/>
            </w:tcMar>
          </w:tcPr>
          <w:p w:rsidR="00287F50" w:rsidRPr="00300443" w:rsidRDefault="00287F50" w:rsidP="00AF44AA">
            <w:r w:rsidRPr="00300443">
              <w:t>Severe liver function impairment</w:t>
            </w:r>
          </w:p>
        </w:tc>
        <w:tc>
          <w:tcPr>
            <w:tcW w:w="0" w:type="auto"/>
            <w:tcMar>
              <w:top w:w="28" w:type="dxa"/>
            </w:tcMar>
          </w:tcPr>
          <w:p w:rsidR="00287F50" w:rsidRPr="00300443" w:rsidRDefault="00287F50" w:rsidP="00AF44AA">
            <w:r w:rsidRPr="00300443">
              <w:t>Routine PV.</w:t>
            </w:r>
          </w:p>
          <w:p w:rsidR="00287F50" w:rsidRPr="00300443" w:rsidRDefault="00287F50" w:rsidP="00AF44AA"/>
        </w:tc>
        <w:tc>
          <w:tcPr>
            <w:tcW w:w="0" w:type="auto"/>
            <w:tcMar>
              <w:top w:w="28" w:type="dxa"/>
            </w:tcMar>
          </w:tcPr>
          <w:p w:rsidR="00287F50" w:rsidRPr="00300443" w:rsidRDefault="00287F50" w:rsidP="00AF44AA">
            <w:r w:rsidRPr="00707E49">
              <w:rPr>
                <w:b/>
              </w:rPr>
              <w:t>Routine</w:t>
            </w:r>
            <w:r w:rsidRPr="00300443">
              <w:t>:</w:t>
            </w:r>
          </w:p>
          <w:p w:rsidR="00287F50" w:rsidRPr="00300443" w:rsidRDefault="00287F50" w:rsidP="00AF44AA">
            <w:r w:rsidRPr="00300443">
              <w:t xml:space="preserve">Precautions </w:t>
            </w:r>
            <w:r w:rsidRPr="00300443">
              <w:rPr>
                <w:i/>
              </w:rPr>
              <w:t>Liver function impairment</w:t>
            </w:r>
            <w:r w:rsidRPr="00300443">
              <w:t xml:space="preserve"> section, and Dosage and Administration</w:t>
            </w:r>
            <w:r w:rsidRPr="00300443">
              <w:rPr>
                <w:i/>
              </w:rPr>
              <w:t xml:space="preserve"> – Patients with impaired hepatic function</w:t>
            </w:r>
            <w:r w:rsidRPr="00300443">
              <w:t xml:space="preserve"> section of PI.</w:t>
            </w:r>
          </w:p>
        </w:tc>
      </w:tr>
    </w:tbl>
    <w:p w:rsidR="00AF44AA" w:rsidRDefault="00AF44AA" w:rsidP="00AF44AA">
      <w:pPr>
        <w:rPr>
          <w:szCs w:val="21"/>
          <w:lang w:eastAsia="en-AU"/>
        </w:rPr>
      </w:pPr>
      <w:r>
        <w:rPr>
          <w:lang w:eastAsia="en-AU"/>
        </w:rPr>
        <w:br w:type="page"/>
      </w:r>
    </w:p>
    <w:p w:rsidR="00287F50" w:rsidRDefault="00287F50" w:rsidP="00670467">
      <w:pPr>
        <w:pStyle w:val="Heading4"/>
        <w:keepNext w:val="0"/>
        <w:rPr>
          <w:lang w:eastAsia="en-AU"/>
        </w:rPr>
      </w:pPr>
      <w:r>
        <w:rPr>
          <w:lang w:eastAsia="en-AU"/>
        </w:rPr>
        <w:lastRenderedPageBreak/>
        <w:t>Safety specification</w:t>
      </w:r>
    </w:p>
    <w:p w:rsidR="00287F50" w:rsidRPr="007A66B9" w:rsidRDefault="00287F50" w:rsidP="00670467">
      <w:r w:rsidRPr="007A66B9">
        <w:t xml:space="preserve">Subject to the evaluation of the clinical aspects of the Safety Specifications by the </w:t>
      </w:r>
      <w:r>
        <w:t>Office of Medicines Safety (</w:t>
      </w:r>
      <w:r w:rsidRPr="007A66B9">
        <w:t>OMA</w:t>
      </w:r>
      <w:r>
        <w:t>)</w:t>
      </w:r>
      <w:r w:rsidRPr="007A66B9">
        <w:t xml:space="preserve">, the </w:t>
      </w:r>
      <w:r>
        <w:t>summary of o</w:t>
      </w:r>
      <w:r w:rsidRPr="007A66B9">
        <w:t xml:space="preserve">ngoing </w:t>
      </w:r>
      <w:r>
        <w:t>s</w:t>
      </w:r>
      <w:r w:rsidRPr="007A66B9">
        <w:t xml:space="preserve">afety </w:t>
      </w:r>
      <w:r>
        <w:t>c</w:t>
      </w:r>
      <w:r w:rsidRPr="007A66B9">
        <w:t xml:space="preserve">oncerns </w:t>
      </w:r>
      <w:r>
        <w:t xml:space="preserve">is as </w:t>
      </w:r>
      <w:r w:rsidRPr="007A66B9">
        <w:t xml:space="preserve">specified in Table </w:t>
      </w:r>
      <w:r>
        <w:t xml:space="preserve">5, above. </w:t>
      </w:r>
      <w:r w:rsidRPr="007A66B9">
        <w:t xml:space="preserve">Pursuant to the evaluation of the clinical aspects of the safety specifications, it is recommended that the summary of the </w:t>
      </w:r>
      <w:r>
        <w:t>o</w:t>
      </w:r>
      <w:r w:rsidRPr="007A66B9">
        <w:t xml:space="preserve">ngoing </w:t>
      </w:r>
      <w:r>
        <w:t>s</w:t>
      </w:r>
      <w:r w:rsidRPr="007A66B9">
        <w:t xml:space="preserve">afety </w:t>
      </w:r>
      <w:r>
        <w:t>c</w:t>
      </w:r>
      <w:r w:rsidRPr="007A66B9">
        <w:t xml:space="preserve">oncerns be revised as </w:t>
      </w:r>
      <w:r>
        <w:t xml:space="preserve">recommended </w:t>
      </w:r>
      <w:r w:rsidRPr="007A66B9">
        <w:t>by the clinical evaluator. Th</w:t>
      </w:r>
      <w:r>
        <w:t>e recommended revisions include</w:t>
      </w:r>
      <w:r w:rsidRPr="007A66B9">
        <w:t xml:space="preserve"> the addition of the following safety concerns: pericardial infusion, </w:t>
      </w:r>
      <w:proofErr w:type="spellStart"/>
      <w:r w:rsidRPr="007A66B9">
        <w:t>haemodynamic</w:t>
      </w:r>
      <w:proofErr w:type="spellEnd"/>
      <w:r w:rsidRPr="007A66B9">
        <w:t xml:space="preserve"> compromise, </w:t>
      </w:r>
      <w:proofErr w:type="spellStart"/>
      <w:r w:rsidRPr="007A66B9">
        <w:t>leukopenia</w:t>
      </w:r>
      <w:proofErr w:type="spellEnd"/>
      <w:r w:rsidRPr="007A66B9">
        <w:t xml:space="preserve">, thrombocytopenia, </w:t>
      </w:r>
      <w:proofErr w:type="spellStart"/>
      <w:r w:rsidRPr="007A66B9">
        <w:t>pancytopenia</w:t>
      </w:r>
      <w:proofErr w:type="spellEnd"/>
      <w:r w:rsidRPr="007A66B9">
        <w:t xml:space="preserve">, and to broaden the important identified risk ‘Increased proteinuria in </w:t>
      </w:r>
      <w:r w:rsidRPr="007A66B9">
        <w:rPr>
          <w:i/>
        </w:rPr>
        <w:t>de novo</w:t>
      </w:r>
      <w:r w:rsidRPr="007A66B9">
        <w:t xml:space="preserve"> renal transplant recipients’ to ‘proteinuria’. In addition, it is recommended that ‘long-term safety’ is added as an area of missing information of the safety specifications for ongoing monitoring.</w:t>
      </w:r>
    </w:p>
    <w:p w:rsidR="00287F50" w:rsidRDefault="00287F50" w:rsidP="00670467">
      <w:pPr>
        <w:pStyle w:val="Heading4"/>
        <w:rPr>
          <w:lang w:eastAsia="en-AU"/>
        </w:rPr>
      </w:pPr>
      <w:r w:rsidRPr="00670467">
        <w:t>Pharmacovigilance</w:t>
      </w:r>
      <w:r>
        <w:rPr>
          <w:lang w:eastAsia="en-AU"/>
        </w:rPr>
        <w:t xml:space="preserve"> plan</w:t>
      </w:r>
    </w:p>
    <w:p w:rsidR="00287F50" w:rsidRPr="00D3338B" w:rsidRDefault="00287F50" w:rsidP="00670467">
      <w:pPr>
        <w:keepNext/>
      </w:pPr>
      <w:r w:rsidRPr="00D3338B">
        <w:t xml:space="preserve">Routine </w:t>
      </w:r>
      <w:r>
        <w:t xml:space="preserve">PV </w:t>
      </w:r>
      <w:r w:rsidRPr="00D3338B">
        <w:t xml:space="preserve">activities are proposed for all ongoing safety concerns. In addition, three studies, including two as part of the EMA </w:t>
      </w:r>
      <w:r w:rsidRPr="00901DFC">
        <w:t xml:space="preserve">Paediatric Investigational Plan </w:t>
      </w:r>
      <w:r>
        <w:t>(</w:t>
      </w:r>
      <w:r w:rsidRPr="00D3338B">
        <w:t>PIP</w:t>
      </w:r>
      <w:r>
        <w:t>)</w:t>
      </w:r>
      <w:r w:rsidRPr="00D3338B">
        <w:t xml:space="preserve"> are proposed as additional </w:t>
      </w:r>
      <w:r>
        <w:t xml:space="preserve">PV </w:t>
      </w:r>
      <w:r w:rsidRPr="00D3338B">
        <w:t>activities for the important identified risk ‘Everolimus and CNI induced renal dysfunction’ and the area of missing information ‘Use in paediatric population’.</w:t>
      </w:r>
    </w:p>
    <w:p w:rsidR="00287F50" w:rsidRDefault="00287F50" w:rsidP="00287F50">
      <w:pPr>
        <w:pStyle w:val="Heading4"/>
        <w:rPr>
          <w:lang w:eastAsia="en-AU"/>
        </w:rPr>
      </w:pPr>
      <w:r>
        <w:rPr>
          <w:lang w:eastAsia="en-AU"/>
        </w:rPr>
        <w:t>Risk minimisation activities</w:t>
      </w:r>
    </w:p>
    <w:p w:rsidR="00287F50" w:rsidRPr="007A66B9" w:rsidRDefault="00287F50" w:rsidP="00287F50">
      <w:bookmarkStart w:id="165" w:name="_Toc247691527"/>
      <w:r>
        <w:t>The sponsor proposed</w:t>
      </w:r>
      <w:r w:rsidRPr="007A66B9">
        <w:t xml:space="preserve"> that routine risk minimisation activities in the form of safety information/precautionary statements provided in the PI and Consumer Medicine Information (CMI) are sufficient.</w:t>
      </w:r>
      <w:r>
        <w:t xml:space="preserve"> </w:t>
      </w:r>
      <w:r w:rsidRPr="007A66B9">
        <w:t>This may not be acceptable because additional safety concerns have been identified for inclusion as safety specifications of the RMP</w:t>
      </w:r>
      <w:r>
        <w:t xml:space="preserve"> (see </w:t>
      </w:r>
      <w:r w:rsidRPr="00036167">
        <w:rPr>
          <w:i/>
        </w:rPr>
        <w:t>Safety specification</w:t>
      </w:r>
      <w:r>
        <w:t>, above)</w:t>
      </w:r>
      <w:r w:rsidRPr="007A66B9">
        <w:t xml:space="preserve">. </w:t>
      </w:r>
    </w:p>
    <w:p w:rsidR="00287F50" w:rsidRDefault="00287F50" w:rsidP="00287F50">
      <w:pPr>
        <w:pStyle w:val="Heading4"/>
        <w:rPr>
          <w:lang w:eastAsia="en-AU"/>
        </w:rPr>
      </w:pPr>
      <w:r>
        <w:rPr>
          <w:lang w:eastAsia="en-AU"/>
        </w:rPr>
        <w:t>Summary of recommendations</w:t>
      </w:r>
    </w:p>
    <w:p w:rsidR="00287F50" w:rsidRPr="00EB0A16" w:rsidRDefault="00287F50" w:rsidP="00287F50">
      <w:r w:rsidRPr="00EB0A16">
        <w:t xml:space="preserve">The OPR provides these recommendations in the context that the submitted RMP is supportive to the application: </w:t>
      </w:r>
    </w:p>
    <w:p w:rsidR="00287F50" w:rsidRPr="00EB0A16" w:rsidRDefault="00287F50" w:rsidP="005F0A52">
      <w:pPr>
        <w:pStyle w:val="ListBullet"/>
        <w:numPr>
          <w:ilvl w:val="0"/>
          <w:numId w:val="1"/>
        </w:numPr>
      </w:pPr>
      <w:r w:rsidRPr="00EB0A16">
        <w:t xml:space="preserve">the implementation of the Safety RMP Version 2.0 (release date 14 Oct 2011), with the Safety </w:t>
      </w:r>
      <w:r>
        <w:t xml:space="preserve">RMP </w:t>
      </w:r>
      <w:r w:rsidRPr="00EB0A16">
        <w:t>Australian Implementation Version 2.1 (release date 16 August 2012), and any subsequent updates is imposed as a condition of registration with the provisions as stated below.</w:t>
      </w:r>
    </w:p>
    <w:p w:rsidR="00287F50" w:rsidRPr="00EB0A16" w:rsidRDefault="00287F50" w:rsidP="00287F50">
      <w:pPr>
        <w:rPr>
          <w:highlight w:val="cyan"/>
        </w:rPr>
      </w:pPr>
      <w:r w:rsidRPr="00EB0A16">
        <w:t>If this submission is approved, it is recommended that the Delegate considers requesting the sponsor address the following deficiencies, unless an acceptable justification has been provided for why any of these changes are not required:</w:t>
      </w:r>
    </w:p>
    <w:p w:rsidR="00287F50" w:rsidRPr="00DB2CA6" w:rsidRDefault="00670467" w:rsidP="00DB2CA6">
      <w:pPr>
        <w:pStyle w:val="Heading5"/>
        <w:rPr>
          <w:b w:val="0"/>
        </w:rPr>
      </w:pPr>
      <w:r w:rsidRPr="00DB2CA6">
        <w:rPr>
          <w:b w:val="0"/>
        </w:rPr>
        <w:t>Safety c</w:t>
      </w:r>
      <w:r w:rsidR="00287F50" w:rsidRPr="00DB2CA6">
        <w:rPr>
          <w:b w:val="0"/>
        </w:rPr>
        <w:t>oncerns:</w:t>
      </w:r>
    </w:p>
    <w:p w:rsidR="00287F50" w:rsidRPr="00EB0A16" w:rsidRDefault="00287F50" w:rsidP="005F0A52">
      <w:pPr>
        <w:pStyle w:val="ListBullet"/>
        <w:numPr>
          <w:ilvl w:val="0"/>
          <w:numId w:val="1"/>
        </w:numPr>
      </w:pPr>
      <w:r w:rsidRPr="00EB0A16">
        <w:t xml:space="preserve">To revise the safety specifications as recommended by the clinical evaluator, to ensure that these safety concerns are formalised in the RMP for ongoing monitoring commitment. This includes the addition of the following safety concerns: pericardial infusion, </w:t>
      </w:r>
      <w:proofErr w:type="spellStart"/>
      <w:r w:rsidRPr="00EB0A16">
        <w:t>haemodynamic</w:t>
      </w:r>
      <w:proofErr w:type="spellEnd"/>
      <w:r w:rsidRPr="00EB0A16">
        <w:t xml:space="preserve"> compromise, </w:t>
      </w:r>
      <w:proofErr w:type="spellStart"/>
      <w:r w:rsidRPr="00EB0A16">
        <w:t>leukopenia</w:t>
      </w:r>
      <w:proofErr w:type="spellEnd"/>
      <w:r w:rsidRPr="00EB0A16">
        <w:t xml:space="preserve">, thrombocytopenia, </w:t>
      </w:r>
      <w:proofErr w:type="spellStart"/>
      <w:r w:rsidRPr="00EB0A16">
        <w:t>pancytopenia</w:t>
      </w:r>
      <w:proofErr w:type="spellEnd"/>
      <w:r w:rsidRPr="00EB0A16">
        <w:t xml:space="preserve">, and to broaden the important identified risk ‘increased proteinuria in </w:t>
      </w:r>
      <w:r w:rsidRPr="00BE4C22">
        <w:rPr>
          <w:i/>
        </w:rPr>
        <w:t>de novo</w:t>
      </w:r>
      <w:r w:rsidRPr="00EB0A16">
        <w:t xml:space="preserve"> renal transplant recipients’ to ‘proteinuria’. In addition, it is recommended that ‘long-term safety’ is added as an area of missing information of the safety specifications for ongoing monitoring.</w:t>
      </w:r>
    </w:p>
    <w:p w:rsidR="00287F50" w:rsidRPr="00DB2CA6" w:rsidRDefault="00287F50" w:rsidP="00DB2CA6">
      <w:pPr>
        <w:pStyle w:val="Heading5"/>
        <w:rPr>
          <w:b w:val="0"/>
        </w:rPr>
      </w:pPr>
      <w:r w:rsidRPr="00DB2CA6">
        <w:rPr>
          <w:b w:val="0"/>
        </w:rPr>
        <w:lastRenderedPageBreak/>
        <w:t>Pharmacovigilance activities:</w:t>
      </w:r>
    </w:p>
    <w:p w:rsidR="00287F50" w:rsidRPr="00EB0A16" w:rsidRDefault="00287F50" w:rsidP="005F0A52">
      <w:pPr>
        <w:pStyle w:val="ListBullet"/>
        <w:keepNext/>
        <w:numPr>
          <w:ilvl w:val="0"/>
          <w:numId w:val="1"/>
        </w:numPr>
      </w:pPr>
      <w:r w:rsidRPr="00EB0A16">
        <w:t xml:space="preserve">To propose adequate and appropriate </w:t>
      </w:r>
      <w:r>
        <w:t xml:space="preserve">PV </w:t>
      </w:r>
      <w:r w:rsidRPr="00EB0A16">
        <w:t xml:space="preserve">activities for each of the relevant additional safety concerns: pericardial infusion, </w:t>
      </w:r>
      <w:proofErr w:type="spellStart"/>
      <w:r w:rsidRPr="00EB0A16">
        <w:t>haemodynamic</w:t>
      </w:r>
      <w:proofErr w:type="spellEnd"/>
      <w:r w:rsidRPr="00EB0A16">
        <w:t xml:space="preserve"> compromise, </w:t>
      </w:r>
      <w:proofErr w:type="spellStart"/>
      <w:r w:rsidRPr="00EB0A16">
        <w:t>leukopenia</w:t>
      </w:r>
      <w:proofErr w:type="spellEnd"/>
      <w:r w:rsidRPr="00EB0A16">
        <w:t>, th</w:t>
      </w:r>
      <w:r>
        <w:t xml:space="preserve">rombocytopenia, </w:t>
      </w:r>
      <w:proofErr w:type="spellStart"/>
      <w:r>
        <w:t>pancytopenia</w:t>
      </w:r>
      <w:proofErr w:type="spellEnd"/>
      <w:r>
        <w:t xml:space="preserve">, </w:t>
      </w:r>
      <w:proofErr w:type="spellStart"/>
      <w:r w:rsidRPr="00EB0A16">
        <w:t>proteinuria</w:t>
      </w:r>
      <w:proofErr w:type="spellEnd"/>
      <w:r w:rsidRPr="00EB0A16">
        <w:t xml:space="preserve"> and </w:t>
      </w:r>
      <w:r>
        <w:t>long-term safety</w:t>
      </w:r>
      <w:r w:rsidRPr="00EB0A16">
        <w:t>.</w:t>
      </w:r>
    </w:p>
    <w:p w:rsidR="00287F50" w:rsidRPr="00EB0A16" w:rsidRDefault="00287F50" w:rsidP="005F0A52">
      <w:pPr>
        <w:pStyle w:val="ListBullet"/>
        <w:numPr>
          <w:ilvl w:val="0"/>
          <w:numId w:val="1"/>
        </w:numPr>
      </w:pPr>
      <w:r w:rsidRPr="00EB0A16">
        <w:t xml:space="preserve">To incorporate the information relevant to the </w:t>
      </w:r>
      <w:r>
        <w:t xml:space="preserve">PIP </w:t>
      </w:r>
      <w:r w:rsidRPr="00EB0A16">
        <w:t xml:space="preserve">changes approved by the EMA and the results from Study CRAD001A2310 in a future update to the RMP. </w:t>
      </w:r>
    </w:p>
    <w:p w:rsidR="00287F50" w:rsidRPr="00DB2CA6" w:rsidRDefault="00287F50" w:rsidP="00DB2CA6">
      <w:pPr>
        <w:pStyle w:val="Heading5"/>
        <w:rPr>
          <w:b w:val="0"/>
        </w:rPr>
      </w:pPr>
      <w:r w:rsidRPr="00DB2CA6">
        <w:rPr>
          <w:b w:val="0"/>
        </w:rPr>
        <w:t>Risk minimisation activities:</w:t>
      </w:r>
    </w:p>
    <w:p w:rsidR="00287F50" w:rsidRPr="00EB0A16" w:rsidRDefault="00287F50" w:rsidP="005F0A52">
      <w:pPr>
        <w:pStyle w:val="ListBullet"/>
        <w:numPr>
          <w:ilvl w:val="0"/>
          <w:numId w:val="1"/>
        </w:numPr>
      </w:pPr>
      <w:r w:rsidRPr="00EB0A16">
        <w:t xml:space="preserve">To propose adequate and appropriate risk minimisation activities for each of the relevant additional safety concerns: pericardial infusion, </w:t>
      </w:r>
      <w:proofErr w:type="spellStart"/>
      <w:r w:rsidRPr="00EB0A16">
        <w:t>haemodynamic</w:t>
      </w:r>
      <w:proofErr w:type="spellEnd"/>
      <w:r w:rsidRPr="00EB0A16">
        <w:t xml:space="preserve"> compromise, </w:t>
      </w:r>
      <w:proofErr w:type="spellStart"/>
      <w:r w:rsidRPr="00EB0A16">
        <w:t>leukopenia</w:t>
      </w:r>
      <w:proofErr w:type="spellEnd"/>
      <w:r w:rsidRPr="00EB0A16">
        <w:t xml:space="preserve">, thrombocytopenia, </w:t>
      </w:r>
      <w:proofErr w:type="spellStart"/>
      <w:r w:rsidRPr="00EB0A16">
        <w:t>pancytopenia</w:t>
      </w:r>
      <w:proofErr w:type="spellEnd"/>
      <w:r w:rsidRPr="00EB0A16">
        <w:t>, ‘</w:t>
      </w:r>
      <w:proofErr w:type="spellStart"/>
      <w:r w:rsidRPr="00EB0A16">
        <w:t>proteinuria</w:t>
      </w:r>
      <w:proofErr w:type="spellEnd"/>
      <w:r w:rsidRPr="00EB0A16">
        <w:t>’ and ‘long-term safety’.</w:t>
      </w:r>
    </w:p>
    <w:p w:rsidR="00287F50" w:rsidRPr="00EB0A16" w:rsidRDefault="00287F50" w:rsidP="005F0A52">
      <w:pPr>
        <w:pStyle w:val="ListBullet"/>
        <w:numPr>
          <w:ilvl w:val="0"/>
          <w:numId w:val="1"/>
        </w:numPr>
      </w:pPr>
      <w:r w:rsidRPr="00EB0A16">
        <w:t>To propose adequate and appropriate additional risk minimisation activities (</w:t>
      </w:r>
      <w:r>
        <w:t xml:space="preserve">for example, </w:t>
      </w:r>
      <w:r w:rsidRPr="00EB0A16">
        <w:t xml:space="preserve">in the form of educational materials or </w:t>
      </w:r>
      <w:r>
        <w:t>“</w:t>
      </w:r>
      <w:r w:rsidRPr="00EB0A16">
        <w:t>Dear Healthcare Professional</w:t>
      </w:r>
      <w:r>
        <w:t xml:space="preserve"> (HCP)” </w:t>
      </w:r>
      <w:r w:rsidRPr="00EB0A16">
        <w:t>communications as recommended by the clinical evaluator, particularly to inform of and manage the serious risks associated with the use of Certican and to highlight the importance of careful therapeutic drug monitoring for not only ever</w:t>
      </w:r>
      <w:r>
        <w:t>olimus but also for cyclosporin</w:t>
      </w:r>
      <w:r w:rsidRPr="00EB0A16">
        <w:t xml:space="preserve"> and tacrolimus. An appropriate strategy to assess the effectiveness of the proposed risk minimisation strategy should also be provided.</w:t>
      </w:r>
    </w:p>
    <w:p w:rsidR="00287F50" w:rsidRPr="00EB0A16" w:rsidRDefault="00287F50" w:rsidP="00287F50">
      <w:r>
        <w:t xml:space="preserve">The OPR reviewer also recommended several revisions to the PI and CMI; details of these are beyond the scope of this AusPAR. </w:t>
      </w:r>
    </w:p>
    <w:p w:rsidR="00287F50" w:rsidRPr="00792A32" w:rsidRDefault="00287F50" w:rsidP="00287F50">
      <w:pPr>
        <w:pStyle w:val="Heading2"/>
      </w:pPr>
      <w:bookmarkStart w:id="166" w:name="_Toc314842510"/>
      <w:bookmarkStart w:id="167" w:name="_Toc355005433"/>
      <w:bookmarkStart w:id="168" w:name="_Toc356974712"/>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150"/>
      <w:bookmarkEnd w:id="165"/>
      <w:bookmarkEnd w:id="166"/>
      <w:bookmarkEnd w:id="167"/>
      <w:bookmarkEnd w:id="168"/>
    </w:p>
    <w:p w:rsidR="00287F50" w:rsidRDefault="00287F50" w:rsidP="00287F50">
      <w:bookmarkStart w:id="169" w:name="_Toc247691528"/>
      <w:r>
        <w:t xml:space="preserve">The submission was summarised in the following </w:t>
      </w:r>
      <w:r w:rsidRPr="00EF5C48">
        <w:t xml:space="preserve">Delegate’s </w:t>
      </w:r>
      <w:r>
        <w:t>overview</w:t>
      </w:r>
      <w:r w:rsidRPr="00EF5C48">
        <w:t xml:space="preserve"> and recommendation</w:t>
      </w:r>
      <w:r>
        <w:t>s:</w:t>
      </w:r>
    </w:p>
    <w:p w:rsidR="00287F50" w:rsidRDefault="00287F50" w:rsidP="00287F50">
      <w:pPr>
        <w:pStyle w:val="Heading3"/>
      </w:pPr>
      <w:bookmarkStart w:id="170" w:name="_Toc314842511"/>
      <w:bookmarkStart w:id="171" w:name="_Toc355005434"/>
      <w:bookmarkStart w:id="172" w:name="_Toc356974713"/>
      <w:r>
        <w:t>Quality</w:t>
      </w:r>
      <w:bookmarkEnd w:id="169"/>
      <w:bookmarkEnd w:id="170"/>
      <w:bookmarkEnd w:id="171"/>
      <w:bookmarkEnd w:id="172"/>
    </w:p>
    <w:p w:rsidR="00287F50" w:rsidRDefault="00287F50" w:rsidP="00287F50">
      <w:r>
        <w:t>There was no requirement for a quality evaluation in a submission of this type.</w:t>
      </w:r>
    </w:p>
    <w:p w:rsidR="00287F50" w:rsidRDefault="00287F50" w:rsidP="00287F50">
      <w:pPr>
        <w:pStyle w:val="Heading3"/>
      </w:pPr>
      <w:bookmarkStart w:id="173" w:name="_Toc314842512"/>
      <w:bookmarkStart w:id="174" w:name="_Toc355005435"/>
      <w:bookmarkStart w:id="175" w:name="_Toc356974714"/>
      <w:r>
        <w:t>Nonclinical</w:t>
      </w:r>
      <w:bookmarkEnd w:id="173"/>
      <w:bookmarkEnd w:id="174"/>
      <w:bookmarkEnd w:id="175"/>
    </w:p>
    <w:p w:rsidR="00287F50" w:rsidRDefault="00287F50" w:rsidP="00287F50">
      <w:r>
        <w:t>There was no requirement for a nonclinical evaluation in a submission of this type.</w:t>
      </w:r>
    </w:p>
    <w:p w:rsidR="00287F50" w:rsidRDefault="00287F50" w:rsidP="00287F50">
      <w:pPr>
        <w:pStyle w:val="Heading3"/>
      </w:pPr>
      <w:bookmarkStart w:id="176" w:name="_Toc247691530"/>
      <w:bookmarkStart w:id="177" w:name="_Toc314842513"/>
      <w:bookmarkStart w:id="178" w:name="_Toc355005436"/>
      <w:bookmarkStart w:id="179" w:name="_Toc356974715"/>
      <w:r>
        <w:t>Clinical</w:t>
      </w:r>
      <w:bookmarkEnd w:id="176"/>
      <w:bookmarkEnd w:id="177"/>
      <w:bookmarkEnd w:id="178"/>
      <w:bookmarkEnd w:id="179"/>
    </w:p>
    <w:p w:rsidR="00287F50" w:rsidRDefault="00287F50" w:rsidP="00287F50">
      <w:r>
        <w:t>Everolimus was first registered in Australia in 2005 with the trade name Certican. The approved indication is:</w:t>
      </w:r>
    </w:p>
    <w:p w:rsidR="00287F50" w:rsidRDefault="00287F50" w:rsidP="00287F50">
      <w:pPr>
        <w:ind w:left="720"/>
        <w:rPr>
          <w:i/>
        </w:rPr>
      </w:pPr>
      <w:r>
        <w:rPr>
          <w:i/>
        </w:rPr>
        <w:t xml:space="preserve">For the prophylaxis of organ rejection in adult patients at mild to moderate immunological risk receiving an </w:t>
      </w:r>
      <w:proofErr w:type="spellStart"/>
      <w:r>
        <w:rPr>
          <w:i/>
        </w:rPr>
        <w:t>allogeneic</w:t>
      </w:r>
      <w:proofErr w:type="spellEnd"/>
      <w:r>
        <w:rPr>
          <w:i/>
        </w:rPr>
        <w:t xml:space="preserve"> renal or cardiac transplant.</w:t>
      </w:r>
    </w:p>
    <w:p w:rsidR="00287F50" w:rsidRDefault="00287F50" w:rsidP="00287F50">
      <w:r w:rsidRPr="00504113">
        <w:t>Th</w:t>
      </w:r>
      <w:r>
        <w:t xml:space="preserve">is </w:t>
      </w:r>
      <w:r w:rsidRPr="00504113">
        <w:t xml:space="preserve">application </w:t>
      </w:r>
      <w:r>
        <w:t xml:space="preserve">seeks approval for several different changes: </w:t>
      </w:r>
    </w:p>
    <w:p w:rsidR="00287F50" w:rsidRDefault="00287F50" w:rsidP="005F0A52">
      <w:pPr>
        <w:pStyle w:val="Numberbullet0"/>
        <w:numPr>
          <w:ilvl w:val="0"/>
          <w:numId w:val="2"/>
        </w:numPr>
      </w:pPr>
      <w:r w:rsidRPr="00504113">
        <w:t xml:space="preserve">Extension of indications for </w:t>
      </w:r>
      <w:r>
        <w:t>everolimus (</w:t>
      </w:r>
      <w:r w:rsidRPr="00504113">
        <w:t>C</w:t>
      </w:r>
      <w:r>
        <w:t>ertican</w:t>
      </w:r>
      <w:r w:rsidRPr="00504113">
        <w:t xml:space="preserve">) to include recipients of </w:t>
      </w:r>
      <w:proofErr w:type="spellStart"/>
      <w:r w:rsidRPr="00504113">
        <w:t>allogenic</w:t>
      </w:r>
      <w:proofErr w:type="spellEnd"/>
      <w:r w:rsidRPr="00504113">
        <w:t xml:space="preserve"> hepatic transplants in addition to the current recipients of </w:t>
      </w:r>
      <w:proofErr w:type="spellStart"/>
      <w:r w:rsidRPr="00504113">
        <w:t>allogenic</w:t>
      </w:r>
      <w:proofErr w:type="spellEnd"/>
      <w:r w:rsidRPr="00504113">
        <w:t xml:space="preserve"> renal and cardiac transplants.</w:t>
      </w:r>
      <w:r>
        <w:t xml:space="preserve"> The proposed revised indication is:</w:t>
      </w:r>
    </w:p>
    <w:p w:rsidR="00287F50" w:rsidRPr="00504113" w:rsidRDefault="00287F50" w:rsidP="00287F50">
      <w:pPr>
        <w:pStyle w:val="Numberbullet0"/>
        <w:ind w:left="425"/>
        <w:rPr>
          <w:i/>
        </w:rPr>
      </w:pPr>
      <w:r w:rsidRPr="00504113">
        <w:rPr>
          <w:i/>
        </w:rPr>
        <w:t xml:space="preserve">Certican is indicated for the prophylaxis of organ rejection in adult patients at mild to moderate immunological risk receiving an </w:t>
      </w:r>
      <w:proofErr w:type="spellStart"/>
      <w:r w:rsidRPr="00504113">
        <w:rPr>
          <w:i/>
        </w:rPr>
        <w:t>allogeneic</w:t>
      </w:r>
      <w:proofErr w:type="spellEnd"/>
      <w:r w:rsidRPr="00504113">
        <w:rPr>
          <w:i/>
        </w:rPr>
        <w:t xml:space="preserve"> renal, cardiac or hepatic transplant.</w:t>
      </w:r>
    </w:p>
    <w:p w:rsidR="00287F50" w:rsidRPr="00504113" w:rsidRDefault="00287F50" w:rsidP="005F0A52">
      <w:pPr>
        <w:pStyle w:val="Numberbullet0"/>
        <w:numPr>
          <w:ilvl w:val="0"/>
          <w:numId w:val="2"/>
        </w:numPr>
      </w:pPr>
      <w:r w:rsidRPr="00504113">
        <w:t xml:space="preserve">Changes to the </w:t>
      </w:r>
      <w:r>
        <w:t xml:space="preserve">PI </w:t>
      </w:r>
      <w:r w:rsidRPr="00504113">
        <w:t>in relation to cardiac transplant recipients.</w:t>
      </w:r>
    </w:p>
    <w:p w:rsidR="00287F50" w:rsidRPr="00504113" w:rsidRDefault="00287F50" w:rsidP="005F0A52">
      <w:pPr>
        <w:pStyle w:val="Numberbullet0"/>
        <w:numPr>
          <w:ilvl w:val="0"/>
          <w:numId w:val="2"/>
        </w:numPr>
      </w:pPr>
      <w:r w:rsidRPr="00504113">
        <w:lastRenderedPageBreak/>
        <w:t xml:space="preserve">Change of the </w:t>
      </w:r>
      <w:r w:rsidRPr="00504113">
        <w:rPr>
          <w:i/>
        </w:rPr>
        <w:t>Dosage and Administration</w:t>
      </w:r>
      <w:r w:rsidRPr="00504113">
        <w:t xml:space="preserve"> section of the </w:t>
      </w:r>
      <w:r>
        <w:t xml:space="preserve">PI </w:t>
      </w:r>
      <w:r w:rsidRPr="00504113">
        <w:t>based on a study in renal transplant recipients.</w:t>
      </w:r>
    </w:p>
    <w:p w:rsidR="00287F50" w:rsidRPr="00504113" w:rsidRDefault="00287F50" w:rsidP="005F0A52">
      <w:pPr>
        <w:pStyle w:val="Numberbullet0"/>
        <w:numPr>
          <w:ilvl w:val="0"/>
          <w:numId w:val="2"/>
        </w:numPr>
      </w:pPr>
      <w:r w:rsidRPr="00504113">
        <w:t xml:space="preserve">Other changes to the </w:t>
      </w:r>
      <w:r>
        <w:t>PI</w:t>
      </w:r>
      <w:r w:rsidRPr="00504113">
        <w:t>.</w:t>
      </w:r>
    </w:p>
    <w:p w:rsidR="00287F50" w:rsidRDefault="00287F50" w:rsidP="00287F50">
      <w:r>
        <w:t xml:space="preserve">This AusPAR includes only the discussions in the overview relevant to the proposed extension of indications to include use of Certican in recipients of </w:t>
      </w:r>
      <w:proofErr w:type="spellStart"/>
      <w:r>
        <w:t>allogenic</w:t>
      </w:r>
      <w:proofErr w:type="spellEnd"/>
      <w:r>
        <w:t xml:space="preserve"> hepatic transplants.</w:t>
      </w:r>
    </w:p>
    <w:p w:rsidR="00287F50" w:rsidRPr="00E741BA" w:rsidRDefault="00287F50" w:rsidP="00287F50">
      <w:pPr>
        <w:pStyle w:val="Heading4"/>
      </w:pPr>
      <w:r w:rsidRPr="00E741BA">
        <w:t xml:space="preserve">Extension of indications to include use in recipients of </w:t>
      </w:r>
      <w:proofErr w:type="spellStart"/>
      <w:r w:rsidRPr="00E741BA">
        <w:t>allogenic</w:t>
      </w:r>
      <w:proofErr w:type="spellEnd"/>
      <w:r w:rsidRPr="00E741BA">
        <w:t xml:space="preserve"> hepatic transplants</w:t>
      </w:r>
    </w:p>
    <w:p w:rsidR="00287F50" w:rsidRPr="00E72BD6" w:rsidRDefault="00287F50" w:rsidP="00287F50">
      <w:r w:rsidRPr="00E72BD6">
        <w:t xml:space="preserve">The submitted data relating to use in hepatic transplantation include PK, PD, interactions, efficacy, and safety. In addition, the reporting of the pivotal clinical study was complex, with introduction of everolimus late after hepatic transplantation and modification of the design part way through the study. </w:t>
      </w:r>
    </w:p>
    <w:p w:rsidR="00287F50" w:rsidRPr="00E741BA" w:rsidRDefault="00287F50" w:rsidP="00287F50">
      <w:pPr>
        <w:pStyle w:val="Heading5"/>
      </w:pPr>
      <w:r w:rsidRPr="00E741BA">
        <w:t>Pharmacokinetics.</w:t>
      </w:r>
    </w:p>
    <w:p w:rsidR="00287F50" w:rsidRPr="00E741BA" w:rsidRDefault="00287F50" w:rsidP="00287F50">
      <w:pPr>
        <w:pStyle w:val="Heading6"/>
      </w:pPr>
      <w:r w:rsidRPr="00E741BA">
        <w:t xml:space="preserve">Pharmacokinetics in patients with liver transplants. </w:t>
      </w:r>
    </w:p>
    <w:p w:rsidR="00287F50" w:rsidRPr="00E741BA" w:rsidRDefault="00287F50" w:rsidP="00287F50">
      <w:pPr>
        <w:keepNext/>
      </w:pPr>
      <w:r w:rsidRPr="00E741BA">
        <w:t>No new bioavailability, bioequivalence</w:t>
      </w:r>
      <w:r>
        <w:t>,</w:t>
      </w:r>
      <w:r w:rsidRPr="00E741BA">
        <w:t xml:space="preserve"> or food effect data</w:t>
      </w:r>
      <w:r>
        <w:t xml:space="preserve"> were submitted</w:t>
      </w:r>
      <w:r w:rsidRPr="00E741BA">
        <w:t xml:space="preserve">. A previously submitted single dose PK </w:t>
      </w:r>
      <w:r>
        <w:t>S</w:t>
      </w:r>
      <w:r w:rsidRPr="00E741BA">
        <w:t xml:space="preserve">tudy (B202) assessed factors which might alter the absorption of everolimus in liver transplantation. These included external bile diversion, administration </w:t>
      </w:r>
      <w:r w:rsidRPr="00903B5F">
        <w:rPr>
          <w:i/>
        </w:rPr>
        <w:t>via</w:t>
      </w:r>
      <w:r w:rsidRPr="00E741BA">
        <w:t xml:space="preserve"> a </w:t>
      </w:r>
      <w:proofErr w:type="spellStart"/>
      <w:r w:rsidRPr="00E741BA">
        <w:t>nasogastric</w:t>
      </w:r>
      <w:proofErr w:type="spellEnd"/>
      <w:r w:rsidRPr="00E741BA">
        <w:t xml:space="preserve"> or </w:t>
      </w:r>
      <w:proofErr w:type="spellStart"/>
      <w:r w:rsidRPr="00E741BA">
        <w:t>nasoduodenal</w:t>
      </w:r>
      <w:proofErr w:type="spellEnd"/>
      <w:r w:rsidRPr="00E741BA">
        <w:t xml:space="preserve"> tube and time post-transplant. The sponsor reported that these factors did not significantly alter the </w:t>
      </w:r>
      <w:r>
        <w:t xml:space="preserve">PK </w:t>
      </w:r>
      <w:r w:rsidRPr="00E741BA">
        <w:t>of everolimus.</w:t>
      </w:r>
    </w:p>
    <w:p w:rsidR="00287F50" w:rsidRPr="00E741BA" w:rsidRDefault="00287F50" w:rsidP="00287F50">
      <w:r w:rsidRPr="00E741BA">
        <w:t xml:space="preserve">A secondary objective of </w:t>
      </w:r>
      <w:r>
        <w:t>S</w:t>
      </w:r>
      <w:r w:rsidRPr="00E741BA">
        <w:t xml:space="preserve">tudy B158 related to </w:t>
      </w:r>
      <w:r>
        <w:t xml:space="preserve">PK </w:t>
      </w:r>
      <w:r w:rsidRPr="00E741BA">
        <w:t>and included</w:t>
      </w:r>
      <w:r>
        <w:t xml:space="preserve"> characterisation of the SS </w:t>
      </w:r>
      <w:r w:rsidRPr="00E741BA">
        <w:t xml:space="preserve">PK of everolimus in </w:t>
      </w:r>
      <w:r w:rsidRPr="00DA7043">
        <w:rPr>
          <w:i/>
        </w:rPr>
        <w:t>de novo</w:t>
      </w:r>
      <w:r w:rsidRPr="00E741BA">
        <w:t xml:space="preserve"> liver allograft recipients</w:t>
      </w:r>
      <w:r>
        <w:t>,</w:t>
      </w:r>
      <w:r w:rsidRPr="00E741BA">
        <w:t xml:space="preserve"> exploration of the exposure-response relationships with reference to acute rejection episodes and changes in pertinent laboratory parameters</w:t>
      </w:r>
      <w:r>
        <w:t>,</w:t>
      </w:r>
      <w:r w:rsidRPr="00E741BA">
        <w:t xml:space="preserve"> and assessment </w:t>
      </w:r>
      <w:r>
        <w:t xml:space="preserve">of </w:t>
      </w:r>
      <w:r w:rsidRPr="00E741BA">
        <w:t xml:space="preserve">the influence of </w:t>
      </w:r>
      <w:r>
        <w:t xml:space="preserve">SS </w:t>
      </w:r>
      <w:r w:rsidRPr="00E741BA">
        <w:t>everoli</w:t>
      </w:r>
      <w:r>
        <w:t>mus on SS cyclosporin</w:t>
      </w:r>
      <w:r w:rsidRPr="00E741BA">
        <w:t xml:space="preserve"> PK. The average whole blood concentration before </w:t>
      </w:r>
      <w:r>
        <w:t xml:space="preserve">the </w:t>
      </w:r>
      <w:r w:rsidRPr="00E741BA">
        <w:t xml:space="preserve">morning dose at </w:t>
      </w:r>
      <w:r>
        <w:t>SS (</w:t>
      </w:r>
      <w:r w:rsidRPr="00E741BA">
        <w:t>C</w:t>
      </w:r>
      <w:r w:rsidRPr="00903B5F">
        <w:rPr>
          <w:vertAlign w:val="subscript"/>
        </w:rPr>
        <w:t>0,ss</w:t>
      </w:r>
      <w:r w:rsidRPr="00E741BA">
        <w:t>) ove</w:t>
      </w:r>
      <w:r>
        <w:t>r 6 months of treatment was 3.0 </w:t>
      </w:r>
      <w:r w:rsidRPr="00E741BA">
        <w:t>±</w:t>
      </w:r>
      <w:r>
        <w:t> </w:t>
      </w:r>
      <w:r w:rsidRPr="00E741BA">
        <w:t xml:space="preserve">1.7 </w:t>
      </w:r>
      <w:proofErr w:type="spellStart"/>
      <w:r w:rsidRPr="00E741BA">
        <w:t>ng</w:t>
      </w:r>
      <w:proofErr w:type="spellEnd"/>
      <w:r w:rsidRPr="00E741BA">
        <w:t>/ml at 1 mg,</w:t>
      </w:r>
      <w:r>
        <w:t xml:space="preserve"> 5.8 </w:t>
      </w:r>
      <w:r w:rsidRPr="00E741BA">
        <w:t>±</w:t>
      </w:r>
      <w:r>
        <w:t> </w:t>
      </w:r>
      <w:r w:rsidRPr="00E741BA">
        <w:t xml:space="preserve">5.0 </w:t>
      </w:r>
      <w:proofErr w:type="spellStart"/>
      <w:r w:rsidRPr="00E741BA">
        <w:t>ng</w:t>
      </w:r>
      <w:proofErr w:type="spellEnd"/>
      <w:r w:rsidRPr="00E741BA">
        <w:t>/ml at 2</w:t>
      </w:r>
      <w:r>
        <w:t xml:space="preserve"> mg, and 8.9 ± 5.0 </w:t>
      </w:r>
      <w:proofErr w:type="spellStart"/>
      <w:r w:rsidRPr="00E741BA">
        <w:t>ng</w:t>
      </w:r>
      <w:proofErr w:type="spellEnd"/>
      <w:r w:rsidRPr="00E741BA">
        <w:t xml:space="preserve">/ml at 4 mg. At </w:t>
      </w:r>
      <w:r>
        <w:t>M</w:t>
      </w:r>
      <w:r w:rsidRPr="00E741BA">
        <w:t xml:space="preserve">onth 3, </w:t>
      </w:r>
      <w:proofErr w:type="spellStart"/>
      <w:r w:rsidRPr="00E741BA">
        <w:t>Tmax</w:t>
      </w:r>
      <w:proofErr w:type="spellEnd"/>
      <w:r w:rsidRPr="0034172D">
        <w:t xml:space="preserve"> </w:t>
      </w:r>
      <w:r>
        <w:t xml:space="preserve">at SS </w:t>
      </w:r>
      <w:r w:rsidRPr="00E741BA">
        <w:t>was 1.6 h, 1.9 h and 1.2 h</w:t>
      </w:r>
      <w:r>
        <w:t>, respectively</w:t>
      </w:r>
      <w:r w:rsidRPr="00E741BA">
        <w:t xml:space="preserve"> in the three groups. Trough everolimus concentrations were correlated with </w:t>
      </w:r>
      <w:proofErr w:type="spellStart"/>
      <w:r w:rsidRPr="00E741BA">
        <w:t>AUC</w:t>
      </w:r>
      <w:r w:rsidRPr="00903B5F">
        <w:rPr>
          <w:vertAlign w:val="subscript"/>
        </w:rPr>
        <w:t>tau</w:t>
      </w:r>
      <w:r>
        <w:rPr>
          <w:vertAlign w:val="subscript"/>
        </w:rPr>
        <w:t>,ss</w:t>
      </w:r>
      <w:proofErr w:type="spellEnd"/>
      <w:r w:rsidRPr="00E741BA">
        <w:t xml:space="preserve"> (</w:t>
      </w:r>
      <w:r>
        <w:t xml:space="preserve">correlation coefficient </w:t>
      </w:r>
      <w:r w:rsidRPr="00E741BA">
        <w:t>=</w:t>
      </w:r>
      <w:r>
        <w:t> </w:t>
      </w:r>
      <w:r w:rsidRPr="00E741BA">
        <w:t xml:space="preserve">0.91). The regression slope for dose versus </w:t>
      </w:r>
      <w:proofErr w:type="spellStart"/>
      <w:r w:rsidRPr="00E741BA">
        <w:t>AUC</w:t>
      </w:r>
      <w:r w:rsidRPr="00903B5F">
        <w:rPr>
          <w:vertAlign w:val="subscript"/>
        </w:rPr>
        <w:t>tau,ss</w:t>
      </w:r>
      <w:proofErr w:type="spellEnd"/>
      <w:r w:rsidRPr="00E741BA">
        <w:t xml:space="preserve"> was 0.75 (90%</w:t>
      </w:r>
      <w:r>
        <w:t xml:space="preserve"> </w:t>
      </w:r>
      <w:r w:rsidRPr="00E741BA">
        <w:t xml:space="preserve">CI: 0.57, 0.92) at </w:t>
      </w:r>
      <w:r>
        <w:t>W</w:t>
      </w:r>
      <w:r w:rsidRPr="00E741BA">
        <w:t xml:space="preserve">eek 1, 0.80 (90% CI: 0.58, 1.02) at </w:t>
      </w:r>
      <w:r>
        <w:t>M</w:t>
      </w:r>
      <w:r w:rsidRPr="00E741BA">
        <w:t xml:space="preserve">onth 2 and 0.82 (90% CI: 0.65, 0.98) at </w:t>
      </w:r>
      <w:r>
        <w:t>M</w:t>
      </w:r>
      <w:r w:rsidRPr="00E741BA">
        <w:t>onth 3. This relationship found that doubling the dose resulted in a 1.8 fold increase in AUC</w:t>
      </w:r>
      <w:r>
        <w:t>,</w:t>
      </w:r>
      <w:r w:rsidRPr="00E741BA">
        <w:t xml:space="preserve"> which indicated some under proportionality. There was a notable level of intra-subject (31.5% for </w:t>
      </w:r>
      <w:proofErr w:type="spellStart"/>
      <w:r w:rsidRPr="00E741BA">
        <w:t>AUC</w:t>
      </w:r>
      <w:r w:rsidRPr="00903B5F">
        <w:rPr>
          <w:vertAlign w:val="subscript"/>
        </w:rPr>
        <w:t>tau,ss</w:t>
      </w:r>
      <w:proofErr w:type="spellEnd"/>
      <w:r w:rsidRPr="00E741BA">
        <w:t xml:space="preserve">) and inter-subject (26.7% for </w:t>
      </w:r>
      <w:proofErr w:type="spellStart"/>
      <w:r w:rsidRPr="00E741BA">
        <w:t>AUC</w:t>
      </w:r>
      <w:r w:rsidRPr="00903B5F">
        <w:rPr>
          <w:vertAlign w:val="subscript"/>
        </w:rPr>
        <w:t>tau,ss</w:t>
      </w:r>
      <w:proofErr w:type="spellEnd"/>
      <w:r w:rsidRPr="00E741BA">
        <w:t>)</w:t>
      </w:r>
      <w:r>
        <w:t xml:space="preserve"> </w:t>
      </w:r>
      <w:r w:rsidRPr="00E741BA">
        <w:t>variability</w:t>
      </w:r>
      <w:r>
        <w:t>.</w:t>
      </w:r>
    </w:p>
    <w:p w:rsidR="00287F50" w:rsidRPr="00E741BA" w:rsidRDefault="00287F50" w:rsidP="00287F50">
      <w:r w:rsidRPr="00E741BA">
        <w:t xml:space="preserve">Some </w:t>
      </w:r>
      <w:r>
        <w:t xml:space="preserve">PK </w:t>
      </w:r>
      <w:r w:rsidRPr="00E741BA">
        <w:t xml:space="preserve">data also came from the pivotal efficacy </w:t>
      </w:r>
      <w:r>
        <w:t>S</w:t>
      </w:r>
      <w:r w:rsidRPr="00E741BA">
        <w:t xml:space="preserve">tudy H2304. Everolimus was given together with tacrolimus and whole blood trough levels monitored for dose adjustment. In the </w:t>
      </w:r>
      <w:r>
        <w:t>EVR + </w:t>
      </w:r>
      <w:r w:rsidRPr="00E741BA">
        <w:t xml:space="preserve">reduced TAC group, everolimus dose commenced at 1 mg bid with target levels of 3-8 </w:t>
      </w:r>
      <w:proofErr w:type="spellStart"/>
      <w:r w:rsidRPr="00E741BA">
        <w:t>ng</w:t>
      </w:r>
      <w:proofErr w:type="spellEnd"/>
      <w:r w:rsidRPr="00E741BA">
        <w:t>/</w:t>
      </w:r>
      <w:proofErr w:type="spellStart"/>
      <w:r w:rsidRPr="00E741BA">
        <w:t>mL.</w:t>
      </w:r>
      <w:proofErr w:type="spellEnd"/>
      <w:r w:rsidRPr="00E741BA">
        <w:t xml:space="preserve"> When </w:t>
      </w:r>
      <w:r>
        <w:t xml:space="preserve">the </w:t>
      </w:r>
      <w:r w:rsidRPr="00E741BA">
        <w:t>everolimus target was met</w:t>
      </w:r>
      <w:r>
        <w:t>,</w:t>
      </w:r>
      <w:r w:rsidRPr="00E741BA">
        <w:t xml:space="preserve"> </w:t>
      </w:r>
      <w:r>
        <w:t xml:space="preserve">the </w:t>
      </w:r>
      <w:r w:rsidRPr="00E741BA">
        <w:t>tacrolimus dose was tapered from full exposure (≥</w:t>
      </w:r>
      <w:r>
        <w:t> </w:t>
      </w:r>
      <w:r w:rsidRPr="00E741BA">
        <w:t xml:space="preserve">8 </w:t>
      </w:r>
      <w:proofErr w:type="spellStart"/>
      <w:r w:rsidRPr="00E741BA">
        <w:t>ng</w:t>
      </w:r>
      <w:proofErr w:type="spellEnd"/>
      <w:r w:rsidRPr="00E741BA">
        <w:t>/</w:t>
      </w:r>
      <w:proofErr w:type="spellStart"/>
      <w:r w:rsidRPr="00E741BA">
        <w:t>mL</w:t>
      </w:r>
      <w:proofErr w:type="spellEnd"/>
      <w:r w:rsidRPr="00E741BA">
        <w:t xml:space="preserve">) to trough levels of 3-5 </w:t>
      </w:r>
      <w:proofErr w:type="spellStart"/>
      <w:r w:rsidRPr="00E741BA">
        <w:t>ng</w:t>
      </w:r>
      <w:proofErr w:type="spellEnd"/>
      <w:r w:rsidRPr="00E741BA">
        <w:t>/</w:t>
      </w:r>
      <w:proofErr w:type="spellStart"/>
      <w:r w:rsidRPr="00E741BA">
        <w:t>mL.</w:t>
      </w:r>
      <w:proofErr w:type="spellEnd"/>
      <w:r w:rsidRPr="00E741BA">
        <w:t xml:space="preserve"> After one week, the mean everolimus C</w:t>
      </w:r>
      <w:r w:rsidRPr="00903B5F">
        <w:rPr>
          <w:vertAlign w:val="subscript"/>
        </w:rPr>
        <w:t>0,ss</w:t>
      </w:r>
      <w:r w:rsidRPr="00E741BA">
        <w:t xml:space="preserve"> was 3.4 </w:t>
      </w:r>
      <w:proofErr w:type="spellStart"/>
      <w:r w:rsidRPr="00E741BA">
        <w:t>ng</w:t>
      </w:r>
      <w:proofErr w:type="spellEnd"/>
      <w:r w:rsidRPr="00E741BA">
        <w:t>/</w:t>
      </w:r>
      <w:proofErr w:type="spellStart"/>
      <w:r w:rsidRPr="00E741BA">
        <w:t>mL</w:t>
      </w:r>
      <w:proofErr w:type="spellEnd"/>
      <w:r w:rsidRPr="00E741BA">
        <w:t xml:space="preserve"> with 48.4% of patients in the target window and over the first month there was a 62% increase in dose (1.73 mg bid) to reach a mean C</w:t>
      </w:r>
      <w:r w:rsidRPr="00903B5F">
        <w:rPr>
          <w:vertAlign w:val="subscript"/>
        </w:rPr>
        <w:t>0,ss</w:t>
      </w:r>
      <w:r>
        <w:t xml:space="preserve"> of 4.8 </w:t>
      </w:r>
      <w:proofErr w:type="spellStart"/>
      <w:r w:rsidRPr="00E741BA">
        <w:t>ng</w:t>
      </w:r>
      <w:proofErr w:type="spellEnd"/>
      <w:r w:rsidRPr="00E741BA">
        <w:t>/</w:t>
      </w:r>
      <w:proofErr w:type="spellStart"/>
      <w:r w:rsidRPr="00E741BA">
        <w:t>mL</w:t>
      </w:r>
      <w:proofErr w:type="spellEnd"/>
      <w:r w:rsidRPr="00E741BA">
        <w:t xml:space="preserve"> and 79% of trough levels within the target range. Between 6 and 12 months, the mean C</w:t>
      </w:r>
      <w:r w:rsidRPr="00903B5F">
        <w:rPr>
          <w:vertAlign w:val="subscript"/>
        </w:rPr>
        <w:t>0,ss</w:t>
      </w:r>
      <w:r w:rsidRPr="00E741BA">
        <w:t xml:space="preserve"> was 5.6 </w:t>
      </w:r>
      <w:proofErr w:type="spellStart"/>
      <w:r w:rsidRPr="00E741BA">
        <w:t>ng</w:t>
      </w:r>
      <w:proofErr w:type="spellEnd"/>
      <w:r w:rsidRPr="00E741BA">
        <w:t>/</w:t>
      </w:r>
      <w:proofErr w:type="spellStart"/>
      <w:r w:rsidRPr="00E741BA">
        <w:t>mL</w:t>
      </w:r>
      <w:proofErr w:type="spellEnd"/>
      <w:r w:rsidRPr="00E741BA">
        <w:t xml:space="preserve"> with 80% within the target range. </w:t>
      </w:r>
    </w:p>
    <w:p w:rsidR="00287F50" w:rsidRPr="00E741BA" w:rsidRDefault="00287F50" w:rsidP="00287F50">
      <w:pPr>
        <w:pStyle w:val="Heading6"/>
      </w:pPr>
      <w:r w:rsidRPr="00E741BA">
        <w:t>Pharmacokinetic interaction studies</w:t>
      </w:r>
    </w:p>
    <w:p w:rsidR="00287F50" w:rsidRPr="00E741BA" w:rsidRDefault="00287F50" w:rsidP="00287F50">
      <w:proofErr w:type="spellStart"/>
      <w:r w:rsidRPr="00903B5F">
        <w:rPr>
          <w:i/>
        </w:rPr>
        <w:t>Midazolam</w:t>
      </w:r>
      <w:proofErr w:type="spellEnd"/>
      <w:r w:rsidRPr="00E741BA">
        <w:t xml:space="preserve">: </w:t>
      </w:r>
      <w:r>
        <w:t>The i</w:t>
      </w:r>
      <w:r w:rsidRPr="00E741BA">
        <w:t xml:space="preserve">nteraction between </w:t>
      </w:r>
      <w:proofErr w:type="spellStart"/>
      <w:r w:rsidRPr="00E741BA">
        <w:t>everolimus</w:t>
      </w:r>
      <w:proofErr w:type="spellEnd"/>
      <w:r w:rsidRPr="00E741BA">
        <w:t xml:space="preserve"> and </w:t>
      </w:r>
      <w:proofErr w:type="spellStart"/>
      <w:r w:rsidRPr="00E741BA">
        <w:t>midazolam</w:t>
      </w:r>
      <w:proofErr w:type="spellEnd"/>
      <w:r w:rsidRPr="00E741BA">
        <w:t xml:space="preserve"> was investigated in healthy male volunteers after 5 days of everolimus 10 mg daily to ensure therapeutic everolimus concentrations. Co-administration increased the </w:t>
      </w:r>
      <w:proofErr w:type="spellStart"/>
      <w:r w:rsidRPr="00E741BA">
        <w:t>midazolam</w:t>
      </w:r>
      <w:proofErr w:type="spellEnd"/>
      <w:r w:rsidRPr="00E741BA">
        <w:t xml:space="preserve"> </w:t>
      </w:r>
      <w:proofErr w:type="spellStart"/>
      <w:r w:rsidRPr="00E741BA">
        <w:t>Cmax</w:t>
      </w:r>
      <w:proofErr w:type="spellEnd"/>
      <w:r w:rsidRPr="00E741BA">
        <w:t xml:space="preserve"> by 25% (90% CI: 1.14</w:t>
      </w:r>
      <w:r>
        <w:t xml:space="preserve">, </w:t>
      </w:r>
      <w:r w:rsidRPr="00E741BA">
        <w:t>1.37) and the overall exposure (AUC</w:t>
      </w:r>
      <w:r w:rsidRPr="00F666D5">
        <w:rPr>
          <w:vertAlign w:val="subscript"/>
        </w:rPr>
        <w:t>0-inf</w:t>
      </w:r>
      <w:r w:rsidRPr="00E741BA">
        <w:t>) by 30% (90% CI: 1.22</w:t>
      </w:r>
      <w:r>
        <w:t xml:space="preserve">, </w:t>
      </w:r>
      <w:r w:rsidRPr="00E741BA">
        <w:t xml:space="preserve">1.39). There was a decrease in </w:t>
      </w:r>
      <w:proofErr w:type="spellStart"/>
      <w:r w:rsidRPr="00E741BA">
        <w:t>midazolam</w:t>
      </w:r>
      <w:proofErr w:type="spellEnd"/>
      <w:r w:rsidRPr="00E741BA">
        <w:t xml:space="preserve"> clearance by 23% with c</w:t>
      </w:r>
      <w:r>
        <w:t>o-administration (63.45 ± 25.91 </w:t>
      </w:r>
      <w:r w:rsidRPr="00E741BA">
        <w:t>L/h compared to 82.24 ± 32.37 L/h when given alone)</w:t>
      </w:r>
      <w:r>
        <w:t>,</w:t>
      </w:r>
      <w:r w:rsidRPr="00E741BA">
        <w:t xml:space="preserve"> while the terminal half life was similar (5.33 ±</w:t>
      </w:r>
      <w:r>
        <w:t> </w:t>
      </w:r>
      <w:r w:rsidRPr="00E741BA">
        <w:t>1.79 h alone compared to 5.40 ±</w:t>
      </w:r>
      <w:r>
        <w:t> </w:t>
      </w:r>
      <w:r w:rsidRPr="00E741BA">
        <w:t xml:space="preserve">1.63 h with everolimus). The major metabolite of </w:t>
      </w:r>
      <w:proofErr w:type="spellStart"/>
      <w:r w:rsidRPr="00E741BA">
        <w:lastRenderedPageBreak/>
        <w:t>midazolam</w:t>
      </w:r>
      <w:proofErr w:type="spellEnd"/>
      <w:r w:rsidRPr="00E741BA">
        <w:t>, 1-hydroxymidazolam, also increased with co-administration</w:t>
      </w:r>
      <w:r>
        <w:t>,</w:t>
      </w:r>
      <w:r w:rsidRPr="00E741BA">
        <w:t xml:space="preserve"> with a 20% increase in </w:t>
      </w:r>
      <w:proofErr w:type="spellStart"/>
      <w:r w:rsidRPr="00E741BA">
        <w:t>Cmax</w:t>
      </w:r>
      <w:proofErr w:type="spellEnd"/>
      <w:r w:rsidRPr="00E741BA">
        <w:t xml:space="preserve"> and 25% increase in AUC</w:t>
      </w:r>
      <w:r w:rsidRPr="00F666D5">
        <w:rPr>
          <w:vertAlign w:val="subscript"/>
        </w:rPr>
        <w:t>0-inf</w:t>
      </w:r>
      <w:r w:rsidRPr="00E741BA">
        <w:t>.</w:t>
      </w:r>
    </w:p>
    <w:p w:rsidR="00287F50" w:rsidRPr="00E741BA" w:rsidRDefault="00287F50" w:rsidP="00287F50">
      <w:r w:rsidRPr="00E741BA">
        <w:t xml:space="preserve">The PK parameters of everolimus when administered with </w:t>
      </w:r>
      <w:proofErr w:type="spellStart"/>
      <w:r w:rsidRPr="00E741BA">
        <w:t>midazolam</w:t>
      </w:r>
      <w:proofErr w:type="spellEnd"/>
      <w:r w:rsidRPr="00E741BA">
        <w:t xml:space="preserve"> included a median </w:t>
      </w:r>
      <w:proofErr w:type="spellStart"/>
      <w:r w:rsidRPr="00E741BA">
        <w:t>Tmax</w:t>
      </w:r>
      <w:proofErr w:type="spellEnd"/>
      <w:r w:rsidRPr="00E741BA">
        <w:t xml:space="preserve"> of 2.0 h (range 1.0-4.0 h), </w:t>
      </w:r>
      <w:proofErr w:type="spellStart"/>
      <w:r w:rsidRPr="00E741BA">
        <w:t>Cmax</w:t>
      </w:r>
      <w:proofErr w:type="spellEnd"/>
      <w:r w:rsidRPr="00E741BA">
        <w:t xml:space="preserve"> of 53.80 ±</w:t>
      </w:r>
      <w:r>
        <w:t> </w:t>
      </w:r>
      <w:r w:rsidRPr="00E741BA">
        <w:t xml:space="preserve">11.56 </w:t>
      </w:r>
      <w:proofErr w:type="spellStart"/>
      <w:r w:rsidRPr="00E741BA">
        <w:t>ng</w:t>
      </w:r>
      <w:proofErr w:type="spellEnd"/>
      <w:r w:rsidRPr="00E741BA">
        <w:t>/</w:t>
      </w:r>
      <w:proofErr w:type="spellStart"/>
      <w:r w:rsidRPr="00E741BA">
        <w:t>mL</w:t>
      </w:r>
      <w:proofErr w:type="spellEnd"/>
      <w:r w:rsidRPr="00E741BA">
        <w:t>,</w:t>
      </w:r>
      <w:r>
        <w:t xml:space="preserve"> minimum concentration (</w:t>
      </w:r>
      <w:proofErr w:type="spellStart"/>
      <w:r w:rsidRPr="00E741BA">
        <w:t>Cmin</w:t>
      </w:r>
      <w:proofErr w:type="spellEnd"/>
      <w:r>
        <w:t>)</w:t>
      </w:r>
      <w:r w:rsidRPr="00E741BA">
        <w:t xml:space="preserve"> of 9.06 ±</w:t>
      </w:r>
      <w:r>
        <w:t xml:space="preserve"> 2.28 </w:t>
      </w:r>
      <w:proofErr w:type="spellStart"/>
      <w:r>
        <w:t>ng</w:t>
      </w:r>
      <w:proofErr w:type="spellEnd"/>
      <w:r>
        <w:t>/</w:t>
      </w:r>
      <w:proofErr w:type="spellStart"/>
      <w:r>
        <w:t>mL</w:t>
      </w:r>
      <w:proofErr w:type="spellEnd"/>
      <w:r>
        <w:t xml:space="preserve"> and mean exposure (</w:t>
      </w:r>
      <w:r w:rsidRPr="00E741BA">
        <w:t>AUC</w:t>
      </w:r>
      <w:r>
        <w:t xml:space="preserve"> over time 0 to the last measurement point) of 418.0 </w:t>
      </w:r>
      <w:r w:rsidRPr="00E741BA">
        <w:t>±</w:t>
      </w:r>
      <w:r>
        <w:t> 186.64 </w:t>
      </w:r>
      <w:proofErr w:type="spellStart"/>
      <w:r w:rsidRPr="00E741BA">
        <w:t>ng</w:t>
      </w:r>
      <w:r>
        <w:t>.</w:t>
      </w:r>
      <w:r w:rsidRPr="00E741BA">
        <w:t>h</w:t>
      </w:r>
      <w:proofErr w:type="spellEnd"/>
      <w:r w:rsidRPr="00E741BA">
        <w:t>/</w:t>
      </w:r>
      <w:proofErr w:type="spellStart"/>
      <w:r w:rsidRPr="00E741BA">
        <w:t>mL.</w:t>
      </w:r>
      <w:proofErr w:type="spellEnd"/>
      <w:r w:rsidRPr="00E741BA">
        <w:t xml:space="preserve"> The sponsor claimed that these everolimus results are compatible with monotherapy.</w:t>
      </w:r>
    </w:p>
    <w:p w:rsidR="00287F50" w:rsidRPr="00E741BA" w:rsidRDefault="00287F50" w:rsidP="00287F50">
      <w:r w:rsidRPr="00F666D5">
        <w:rPr>
          <w:i/>
        </w:rPr>
        <w:t xml:space="preserve">Cyclosporin: </w:t>
      </w:r>
      <w:r w:rsidRPr="00E741BA">
        <w:t>Study B158 examined 4</w:t>
      </w:r>
      <w:r>
        <w:t>54 evaluable trough cyclosporin</w:t>
      </w:r>
      <w:r w:rsidRPr="00E741BA">
        <w:t xml:space="preserve"> levels in 94 patients with </w:t>
      </w:r>
      <w:r w:rsidRPr="00F666D5">
        <w:rPr>
          <w:i/>
        </w:rPr>
        <w:t>de novo</w:t>
      </w:r>
      <w:r w:rsidRPr="00E741BA">
        <w:t xml:space="preserve"> hepatic transplant. There was som</w:t>
      </w:r>
      <w:r>
        <w:t>e down titration of cyclosporin</w:t>
      </w:r>
      <w:r w:rsidRPr="00E741BA">
        <w:t xml:space="preserve"> dose over time. The average dose at </w:t>
      </w:r>
      <w:r>
        <w:t>W</w:t>
      </w:r>
      <w:r w:rsidRPr="00E741BA">
        <w:t>eek 1 was 347 ±</w:t>
      </w:r>
      <w:r>
        <w:t> </w:t>
      </w:r>
      <w:r w:rsidRPr="00E741BA">
        <w:t xml:space="preserve">161 mg bid, in </w:t>
      </w:r>
      <w:r>
        <w:t>M</w:t>
      </w:r>
      <w:r w:rsidRPr="00E741BA">
        <w:t xml:space="preserve">onth 3 </w:t>
      </w:r>
      <w:r>
        <w:t xml:space="preserve">it </w:t>
      </w:r>
      <w:r w:rsidRPr="00E741BA">
        <w:t>was 172 ±</w:t>
      </w:r>
      <w:r>
        <w:t> 72 mg bid</w:t>
      </w:r>
      <w:r w:rsidRPr="00E741BA">
        <w:t xml:space="preserve"> and in </w:t>
      </w:r>
      <w:r>
        <w:t>M</w:t>
      </w:r>
      <w:r w:rsidRPr="00E741BA">
        <w:t xml:space="preserve">onth 6 </w:t>
      </w:r>
      <w:r>
        <w:t xml:space="preserve">it </w:t>
      </w:r>
      <w:r w:rsidRPr="00E741BA">
        <w:t>was 152 ±</w:t>
      </w:r>
      <w:r>
        <w:t> </w:t>
      </w:r>
      <w:r w:rsidRPr="00E741BA">
        <w:t>67 mg bid</w:t>
      </w:r>
      <w:r>
        <w:t>;</w:t>
      </w:r>
      <w:r w:rsidRPr="00E741BA">
        <w:t xml:space="preserve"> corresponding trough levels </w:t>
      </w:r>
      <w:r>
        <w:t xml:space="preserve">were, respectively, </w:t>
      </w:r>
      <w:r w:rsidRPr="00E741BA">
        <w:t xml:space="preserve">258 ± 121 </w:t>
      </w:r>
      <w:proofErr w:type="spellStart"/>
      <w:r w:rsidRPr="00E741BA">
        <w:t>ng</w:t>
      </w:r>
      <w:proofErr w:type="spellEnd"/>
      <w:r w:rsidRPr="00E741BA">
        <w:t>/</w:t>
      </w:r>
      <w:proofErr w:type="spellStart"/>
      <w:r w:rsidRPr="00E741BA">
        <w:t>mL</w:t>
      </w:r>
      <w:proofErr w:type="spellEnd"/>
      <w:r w:rsidRPr="00E741BA">
        <w:t>, 211</w:t>
      </w:r>
      <w:r>
        <w:t xml:space="preserve"> </w:t>
      </w:r>
      <w:r w:rsidRPr="00E741BA">
        <w:t xml:space="preserve">± 95 </w:t>
      </w:r>
      <w:proofErr w:type="spellStart"/>
      <w:r w:rsidRPr="00E741BA">
        <w:t>ng</w:t>
      </w:r>
      <w:proofErr w:type="spellEnd"/>
      <w:r w:rsidRPr="00E741BA">
        <w:t>/</w:t>
      </w:r>
      <w:proofErr w:type="spellStart"/>
      <w:r w:rsidRPr="00E741BA">
        <w:t>mL</w:t>
      </w:r>
      <w:proofErr w:type="spellEnd"/>
      <w:r w:rsidRPr="00E741BA">
        <w:t xml:space="preserve"> and 188 ± 87 </w:t>
      </w:r>
      <w:proofErr w:type="spellStart"/>
      <w:r w:rsidRPr="00E741BA">
        <w:t>ng</w:t>
      </w:r>
      <w:proofErr w:type="spellEnd"/>
      <w:r w:rsidRPr="00E741BA">
        <w:t>/</w:t>
      </w:r>
      <w:proofErr w:type="spellStart"/>
      <w:r w:rsidRPr="00E741BA">
        <w:t>mL</w:t>
      </w:r>
      <w:proofErr w:type="spellEnd"/>
      <w:r w:rsidRPr="00E741BA">
        <w:t xml:space="preserve"> (all </w:t>
      </w:r>
      <w:proofErr w:type="spellStart"/>
      <w:r w:rsidRPr="00E741BA">
        <w:t>everolimus</w:t>
      </w:r>
      <w:proofErr w:type="spellEnd"/>
      <w:r w:rsidRPr="00E741BA">
        <w:t xml:space="preserve"> doses combine</w:t>
      </w:r>
      <w:r>
        <w:t>d). The cyclosporin</w:t>
      </w:r>
      <w:r w:rsidRPr="00E741BA">
        <w:t xml:space="preserve"> trough levels in the placebo group were 277 ±</w:t>
      </w:r>
      <w:r>
        <w:t> </w:t>
      </w:r>
      <w:r w:rsidRPr="00E741BA">
        <w:t xml:space="preserve">121 </w:t>
      </w:r>
      <w:proofErr w:type="spellStart"/>
      <w:r w:rsidRPr="00E741BA">
        <w:t>ng</w:t>
      </w:r>
      <w:proofErr w:type="spellEnd"/>
      <w:r w:rsidRPr="00E741BA">
        <w:t>/</w:t>
      </w:r>
      <w:proofErr w:type="spellStart"/>
      <w:r w:rsidRPr="00E741BA">
        <w:t>mL</w:t>
      </w:r>
      <w:proofErr w:type="spellEnd"/>
      <w:r w:rsidRPr="00E741BA">
        <w:t xml:space="preserve"> at </w:t>
      </w:r>
      <w:r>
        <w:t>Week 1, 213 </w:t>
      </w:r>
      <w:r w:rsidRPr="00E741BA">
        <w:t>±</w:t>
      </w:r>
      <w:r>
        <w:t> </w:t>
      </w:r>
      <w:r w:rsidRPr="00E741BA">
        <w:t xml:space="preserve">88 </w:t>
      </w:r>
      <w:proofErr w:type="spellStart"/>
      <w:r w:rsidRPr="00E741BA">
        <w:t>ng</w:t>
      </w:r>
      <w:proofErr w:type="spellEnd"/>
      <w:r w:rsidRPr="00E741BA">
        <w:t>/</w:t>
      </w:r>
      <w:proofErr w:type="spellStart"/>
      <w:r w:rsidRPr="00E741BA">
        <w:t>mL</w:t>
      </w:r>
      <w:proofErr w:type="spellEnd"/>
      <w:r w:rsidRPr="00E741BA">
        <w:t xml:space="preserve"> at </w:t>
      </w:r>
      <w:r>
        <w:t>M</w:t>
      </w:r>
      <w:r w:rsidRPr="00E741BA">
        <w:t>onth 3 and 207 ±</w:t>
      </w:r>
      <w:r>
        <w:t> </w:t>
      </w:r>
      <w:r w:rsidRPr="00E741BA">
        <w:t xml:space="preserve">84 </w:t>
      </w:r>
      <w:proofErr w:type="spellStart"/>
      <w:r w:rsidRPr="00E741BA">
        <w:t>ng</w:t>
      </w:r>
      <w:proofErr w:type="spellEnd"/>
      <w:r w:rsidRPr="00E741BA">
        <w:t>/</w:t>
      </w:r>
      <w:proofErr w:type="spellStart"/>
      <w:r w:rsidRPr="00E741BA">
        <w:t>mL</w:t>
      </w:r>
      <w:proofErr w:type="spellEnd"/>
      <w:r w:rsidRPr="00E741BA">
        <w:t xml:space="preserve"> at </w:t>
      </w:r>
      <w:r>
        <w:t>M</w:t>
      </w:r>
      <w:r w:rsidRPr="00E741BA">
        <w:t xml:space="preserve">onth 6. These </w:t>
      </w:r>
      <w:r>
        <w:t xml:space="preserve">cyclosporin </w:t>
      </w:r>
      <w:r w:rsidRPr="00E741BA">
        <w:t>levels in the placebo group were similar to those found in the everolimus group.</w:t>
      </w:r>
    </w:p>
    <w:p w:rsidR="00287F50" w:rsidRDefault="00287F50" w:rsidP="00287F50">
      <w:r w:rsidRPr="00F666D5">
        <w:rPr>
          <w:i/>
        </w:rPr>
        <w:t>Tacrolimus:</w:t>
      </w:r>
      <w:r>
        <w:t xml:space="preserve"> There was n</w:t>
      </w:r>
      <w:r w:rsidRPr="00E741BA">
        <w:t xml:space="preserve">o </w:t>
      </w:r>
      <w:r>
        <w:t xml:space="preserve">specific interaction study. </w:t>
      </w:r>
      <w:r w:rsidRPr="00E741BA">
        <w:t xml:space="preserve">In the pivotal efficacy study there was a tacrolimus control arm with target concentrations of 8-12 </w:t>
      </w:r>
      <w:proofErr w:type="spellStart"/>
      <w:r w:rsidRPr="00E741BA">
        <w:t>ng</w:t>
      </w:r>
      <w:proofErr w:type="spellEnd"/>
      <w:r w:rsidRPr="00E741BA">
        <w:t>/</w:t>
      </w:r>
      <w:proofErr w:type="spellStart"/>
      <w:r w:rsidRPr="00E741BA">
        <w:t>mL</w:t>
      </w:r>
      <w:proofErr w:type="spellEnd"/>
      <w:r w:rsidRPr="00E741BA">
        <w:t xml:space="preserve"> as well as the </w:t>
      </w:r>
      <w:r>
        <w:t xml:space="preserve">EVR + reduced TAC </w:t>
      </w:r>
      <w:r w:rsidRPr="00E741BA">
        <w:t>group with a target l</w:t>
      </w:r>
      <w:r>
        <w:t xml:space="preserve">evel of 3-5 </w:t>
      </w:r>
      <w:proofErr w:type="spellStart"/>
      <w:r>
        <w:t>ng</w:t>
      </w:r>
      <w:proofErr w:type="spellEnd"/>
      <w:r>
        <w:t>/</w:t>
      </w:r>
      <w:proofErr w:type="spellStart"/>
      <w:r>
        <w:t>mL.</w:t>
      </w:r>
      <w:proofErr w:type="spellEnd"/>
      <w:r>
        <w:t xml:space="preserve"> Mean levels </w:t>
      </w:r>
      <w:r w:rsidRPr="00E741BA">
        <w:t>f</w:t>
      </w:r>
      <w:r>
        <w:t>rom</w:t>
      </w:r>
      <w:r w:rsidRPr="00E741BA">
        <w:t xml:space="preserve"> the 12 month study are in Figure </w:t>
      </w:r>
      <w:r>
        <w:t>2</w:t>
      </w:r>
      <w:r w:rsidRPr="00E741BA">
        <w:t xml:space="preserve">. Down titration of tacrolimus took about 3 months to reach stable mean level of 5.7 </w:t>
      </w:r>
      <w:proofErr w:type="spellStart"/>
      <w:r w:rsidRPr="00E741BA">
        <w:t>ng</w:t>
      </w:r>
      <w:proofErr w:type="spellEnd"/>
      <w:r w:rsidRPr="00E741BA">
        <w:t>/</w:t>
      </w:r>
      <w:proofErr w:type="spellStart"/>
      <w:r w:rsidRPr="00E741BA">
        <w:t>mL.</w:t>
      </w:r>
      <w:proofErr w:type="spellEnd"/>
      <w:r w:rsidRPr="00E741BA">
        <w:t xml:space="preserve"> There were 45 subjects with targets above the upper level of the range. </w:t>
      </w:r>
    </w:p>
    <w:p w:rsidR="00287F50" w:rsidRPr="00E741BA" w:rsidRDefault="00287F50" w:rsidP="00287F50">
      <w:pPr>
        <w:pStyle w:val="FigureTitle"/>
        <w:keepNext/>
      </w:pPr>
      <w:r>
        <w:t xml:space="preserve">Figure 2. Mean tacrolimus concentrations. Study </w:t>
      </w:r>
      <w:r w:rsidRPr="00E741BA">
        <w:t>H2304</w:t>
      </w:r>
    </w:p>
    <w:p w:rsidR="00287F50" w:rsidRPr="00E741BA" w:rsidRDefault="00287F50" w:rsidP="00287F50">
      <w:r w:rsidRPr="00E741BA">
        <w:rPr>
          <w:noProof/>
          <w:lang w:eastAsia="en-AU"/>
        </w:rPr>
        <w:drawing>
          <wp:inline distT="0" distB="0" distL="0" distR="0">
            <wp:extent cx="5189765" cy="2306562"/>
            <wp:effectExtent l="19050" t="0" r="0" b="0"/>
            <wp:docPr id="3" name="Picture 6" descr="Figure 2. Mean tacrolimus concentrations. Study H2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srcRect/>
                    <a:stretch>
                      <a:fillRect/>
                    </a:stretch>
                  </pic:blipFill>
                  <pic:spPr bwMode="auto">
                    <a:xfrm>
                      <a:off x="0" y="0"/>
                      <a:ext cx="5189765" cy="2306562"/>
                    </a:xfrm>
                    <a:prstGeom prst="rect">
                      <a:avLst/>
                    </a:prstGeom>
                    <a:noFill/>
                    <a:ln w="9525">
                      <a:noFill/>
                      <a:miter lim="800000"/>
                      <a:headEnd/>
                      <a:tailEnd/>
                    </a:ln>
                  </pic:spPr>
                </pic:pic>
              </a:graphicData>
            </a:graphic>
          </wp:inline>
        </w:drawing>
      </w:r>
    </w:p>
    <w:p w:rsidR="00287F50" w:rsidRPr="00E741BA" w:rsidRDefault="00287F50" w:rsidP="00287F50">
      <w:pPr>
        <w:pStyle w:val="Heading5"/>
      </w:pPr>
      <w:r w:rsidRPr="00E741BA">
        <w:t>Pharmacodynamics.</w:t>
      </w:r>
    </w:p>
    <w:p w:rsidR="00287F50" w:rsidRPr="00E741BA" w:rsidRDefault="00287F50" w:rsidP="00287F50">
      <w:r w:rsidRPr="00E741BA">
        <w:t xml:space="preserve">Exposure-efficacy analyses were conducted in the pivotal hepatic transplantation </w:t>
      </w:r>
      <w:r>
        <w:t>S</w:t>
      </w:r>
      <w:r w:rsidRPr="00E741BA">
        <w:t>tudy H2304. This was a 24 month</w:t>
      </w:r>
      <w:r>
        <w:t>,</w:t>
      </w:r>
      <w:r w:rsidRPr="00E741BA">
        <w:t xml:space="preserve"> multicentre, open label, randomised, controlled study in 719 </w:t>
      </w:r>
      <w:r w:rsidRPr="0070669C">
        <w:rPr>
          <w:i/>
        </w:rPr>
        <w:t>de novo</w:t>
      </w:r>
      <w:r w:rsidRPr="00E741BA">
        <w:t xml:space="preserve"> hepatic transplant patient who were randomised to one of 3 groups</w:t>
      </w:r>
      <w:r>
        <w:t>:</w:t>
      </w:r>
      <w:r w:rsidRPr="00E741BA">
        <w:t xml:space="preserve"> </w:t>
      </w:r>
      <w:r>
        <w:t>EVR + reduced TAC</w:t>
      </w:r>
      <w:r w:rsidRPr="00E741BA">
        <w:t xml:space="preserve">, </w:t>
      </w:r>
      <w:r>
        <w:t xml:space="preserve">EVR + TAC elimination group </w:t>
      </w:r>
      <w:r w:rsidRPr="00E741BA">
        <w:t xml:space="preserve">and </w:t>
      </w:r>
      <w:r>
        <w:t xml:space="preserve">TAC </w:t>
      </w:r>
      <w:r w:rsidRPr="00E741BA">
        <w:t xml:space="preserve">control. Trough </w:t>
      </w:r>
      <w:r>
        <w:t xml:space="preserve">everolimus </w:t>
      </w:r>
      <w:r w:rsidRPr="00E741BA">
        <w:t xml:space="preserve">and </w:t>
      </w:r>
      <w:r>
        <w:t xml:space="preserve">tacrolimus </w:t>
      </w:r>
      <w:r w:rsidRPr="00E741BA">
        <w:t xml:space="preserve">levels were collected for making dose adjustment decisions. For the primary efficacy composite outcome of </w:t>
      </w:r>
      <w:proofErr w:type="spellStart"/>
      <w:r w:rsidRPr="00E741BA">
        <w:t>tBPAR</w:t>
      </w:r>
      <w:proofErr w:type="spellEnd"/>
      <w:r w:rsidRPr="00E741BA">
        <w:t>/GL/</w:t>
      </w:r>
      <w:r>
        <w:t>D</w:t>
      </w:r>
      <w:r w:rsidRPr="00E741BA">
        <w:t xml:space="preserve">, the rates in the </w:t>
      </w:r>
      <w:r>
        <w:t xml:space="preserve">EVR + reduced TAC </w:t>
      </w:r>
      <w:r w:rsidRPr="00E741BA">
        <w:t>group were 17.6%, 5.3%, 15.4% in those with an average trough (C</w:t>
      </w:r>
      <w:r w:rsidRPr="0070669C">
        <w:rPr>
          <w:vertAlign w:val="subscript"/>
        </w:rPr>
        <w:t>0</w:t>
      </w:r>
      <w:r w:rsidRPr="00E741BA">
        <w:t>) everolimus level of &lt;</w:t>
      </w:r>
      <w:r>
        <w:t> </w:t>
      </w:r>
      <w:r w:rsidRPr="00E741BA">
        <w:t>3, 3-8 and &gt;</w:t>
      </w:r>
      <w:r>
        <w:t> </w:t>
      </w:r>
      <w:r w:rsidRPr="00E741BA">
        <w:t xml:space="preserve">8 </w:t>
      </w:r>
      <w:proofErr w:type="spellStart"/>
      <w:r w:rsidRPr="00E741BA">
        <w:t>ng</w:t>
      </w:r>
      <w:proofErr w:type="spellEnd"/>
      <w:r w:rsidRPr="00E741BA">
        <w:t>/</w:t>
      </w:r>
      <w:proofErr w:type="spellStart"/>
      <w:r w:rsidRPr="00E741BA">
        <w:t>mL</w:t>
      </w:r>
      <w:proofErr w:type="spellEnd"/>
      <w:r w:rsidRPr="00E741BA">
        <w:t>, respectively. In patients with high everolimus levels (&gt;</w:t>
      </w:r>
      <w:r>
        <w:t> </w:t>
      </w:r>
      <w:r w:rsidRPr="00E741BA">
        <w:t xml:space="preserve">8 </w:t>
      </w:r>
      <w:proofErr w:type="spellStart"/>
      <w:r w:rsidRPr="00E741BA">
        <w:t>ng</w:t>
      </w:r>
      <w:proofErr w:type="spellEnd"/>
      <w:r w:rsidRPr="00E741BA">
        <w:t>/</w:t>
      </w:r>
      <w:proofErr w:type="spellStart"/>
      <w:r w:rsidRPr="00E741BA">
        <w:t>mL</w:t>
      </w:r>
      <w:proofErr w:type="spellEnd"/>
      <w:r w:rsidRPr="00E741BA">
        <w:t xml:space="preserve">) there was one </w:t>
      </w:r>
      <w:proofErr w:type="spellStart"/>
      <w:r w:rsidRPr="00E741BA">
        <w:t>tBPAR</w:t>
      </w:r>
      <w:proofErr w:type="spellEnd"/>
      <w:r w:rsidRPr="00E741BA">
        <w:t xml:space="preserve">, one GL and no </w:t>
      </w:r>
      <w:r>
        <w:t>D</w:t>
      </w:r>
      <w:r w:rsidRPr="00E741BA">
        <w:t>.</w:t>
      </w:r>
    </w:p>
    <w:p w:rsidR="00287F50" w:rsidRPr="00E741BA" w:rsidRDefault="00287F50" w:rsidP="00287F50">
      <w:r w:rsidRPr="00E741BA">
        <w:t>Exposure-effica</w:t>
      </w:r>
      <w:r>
        <w:t>c</w:t>
      </w:r>
      <w:r w:rsidRPr="00E741BA">
        <w:t>y rel</w:t>
      </w:r>
      <w:r>
        <w:t>ationship was also assessed in S</w:t>
      </w:r>
      <w:r w:rsidRPr="00E741BA">
        <w:t xml:space="preserve">tudy B158. Efficacy was assessed on </w:t>
      </w:r>
      <w:proofErr w:type="spellStart"/>
      <w:r w:rsidRPr="00E741BA">
        <w:t>tBPAR</w:t>
      </w:r>
      <w:proofErr w:type="spellEnd"/>
      <w:r w:rsidRPr="00E741BA">
        <w:t xml:space="preserve"> between </w:t>
      </w:r>
      <w:r>
        <w:t xml:space="preserve">Day 1 and 225 post </w:t>
      </w:r>
      <w:r w:rsidRPr="00E741BA">
        <w:t xml:space="preserve">transplantation. Exposure was assessed on the geometric mean everolimus trough levels at </w:t>
      </w:r>
      <w:r>
        <w:t xml:space="preserve">SS </w:t>
      </w:r>
      <w:r w:rsidRPr="00E741BA">
        <w:t>divided into groups of &lt;</w:t>
      </w:r>
      <w:r>
        <w:t> </w:t>
      </w:r>
      <w:r w:rsidRPr="00E741BA">
        <w:t>3</w:t>
      </w:r>
      <w:r>
        <w:t xml:space="preserve"> </w:t>
      </w:r>
      <w:proofErr w:type="spellStart"/>
      <w:r>
        <w:t>ng</w:t>
      </w:r>
      <w:proofErr w:type="spellEnd"/>
      <w:r>
        <w:t>/</w:t>
      </w:r>
      <w:proofErr w:type="spellStart"/>
      <w:r>
        <w:t>mL</w:t>
      </w:r>
      <w:proofErr w:type="spellEnd"/>
      <w:r>
        <w:t>, 3 6 </w:t>
      </w:r>
      <w:proofErr w:type="spellStart"/>
      <w:r>
        <w:t>ng</w:t>
      </w:r>
      <w:proofErr w:type="spellEnd"/>
      <w:r>
        <w:t>/</w:t>
      </w:r>
      <w:proofErr w:type="spellStart"/>
      <w:r>
        <w:t>mL</w:t>
      </w:r>
      <w:proofErr w:type="spellEnd"/>
      <w:r>
        <w:t xml:space="preserve"> </w:t>
      </w:r>
      <w:r w:rsidRPr="00E741BA">
        <w:t>and &gt;</w:t>
      </w:r>
      <w:r>
        <w:t> 6 </w:t>
      </w:r>
      <w:proofErr w:type="spellStart"/>
      <w:r w:rsidRPr="00E741BA">
        <w:t>ng</w:t>
      </w:r>
      <w:proofErr w:type="spellEnd"/>
      <w:r w:rsidRPr="00E741BA">
        <w:t>/</w:t>
      </w:r>
      <w:proofErr w:type="spellStart"/>
      <w:r w:rsidRPr="00E741BA">
        <w:t>mL.</w:t>
      </w:r>
      <w:proofErr w:type="spellEnd"/>
      <w:r w:rsidRPr="00E741BA">
        <w:t xml:space="preserve"> Freedom from </w:t>
      </w:r>
      <w:proofErr w:type="spellStart"/>
      <w:r w:rsidRPr="00E741BA">
        <w:t>tBPAR</w:t>
      </w:r>
      <w:proofErr w:type="spellEnd"/>
      <w:r w:rsidRPr="00E741BA">
        <w:t xml:space="preserve"> was</w:t>
      </w:r>
      <w:r>
        <w:t xml:space="preserve"> 63%, 50%, 86% and 88% in the </w:t>
      </w:r>
      <w:r>
        <w:lastRenderedPageBreak/>
        <w:t>0 </w:t>
      </w:r>
      <w:proofErr w:type="spellStart"/>
      <w:r w:rsidRPr="00E741BA">
        <w:t>ng</w:t>
      </w:r>
      <w:proofErr w:type="spellEnd"/>
      <w:r w:rsidRPr="00E741BA">
        <w:t>/</w:t>
      </w:r>
      <w:proofErr w:type="spellStart"/>
      <w:r w:rsidRPr="00E741BA">
        <w:t>mL</w:t>
      </w:r>
      <w:proofErr w:type="spellEnd"/>
      <w:r w:rsidRPr="00E741BA">
        <w:t xml:space="preserve"> (placebo), &lt;</w:t>
      </w:r>
      <w:r>
        <w:t> </w:t>
      </w:r>
      <w:r w:rsidRPr="00E741BA">
        <w:t xml:space="preserve">3 </w:t>
      </w:r>
      <w:proofErr w:type="spellStart"/>
      <w:r w:rsidRPr="00E741BA">
        <w:t>ng</w:t>
      </w:r>
      <w:proofErr w:type="spellEnd"/>
      <w:r w:rsidRPr="00E741BA">
        <w:t>/</w:t>
      </w:r>
      <w:proofErr w:type="spellStart"/>
      <w:r w:rsidRPr="00E741BA">
        <w:t>mL</w:t>
      </w:r>
      <w:proofErr w:type="spellEnd"/>
      <w:r w:rsidRPr="00E741BA">
        <w:t xml:space="preserve">, 3-6 </w:t>
      </w:r>
      <w:proofErr w:type="spellStart"/>
      <w:r w:rsidRPr="00E741BA">
        <w:t>ng</w:t>
      </w:r>
      <w:proofErr w:type="spellEnd"/>
      <w:r w:rsidRPr="00E741BA">
        <w:t>/</w:t>
      </w:r>
      <w:proofErr w:type="spellStart"/>
      <w:r w:rsidRPr="00E741BA">
        <w:t>mL</w:t>
      </w:r>
      <w:proofErr w:type="spellEnd"/>
      <w:r w:rsidRPr="00E741BA">
        <w:t xml:space="preserve"> and &gt;</w:t>
      </w:r>
      <w:r>
        <w:t> </w:t>
      </w:r>
      <w:r w:rsidRPr="00E741BA">
        <w:t xml:space="preserve">6 </w:t>
      </w:r>
      <w:proofErr w:type="spellStart"/>
      <w:r>
        <w:t>n</w:t>
      </w:r>
      <w:r w:rsidRPr="00E741BA">
        <w:t>g</w:t>
      </w:r>
      <w:proofErr w:type="spellEnd"/>
      <w:r w:rsidRPr="00E741BA">
        <w:t>/</w:t>
      </w:r>
      <w:proofErr w:type="spellStart"/>
      <w:r w:rsidRPr="00E741BA">
        <w:t>mL</w:t>
      </w:r>
      <w:proofErr w:type="spellEnd"/>
      <w:r w:rsidRPr="00E741BA">
        <w:t xml:space="preserve"> exposure groups, respectively. Logistic regression suggested increased efficacy with increased exposure (p</w:t>
      </w:r>
      <w:r>
        <w:t> </w:t>
      </w:r>
      <w:r w:rsidRPr="00E741BA">
        <w:t>=</w:t>
      </w:r>
      <w:r>
        <w:t> </w:t>
      </w:r>
      <w:r w:rsidRPr="00E741BA">
        <w:t xml:space="preserve">0.0137). The </w:t>
      </w:r>
      <w:r>
        <w:t xml:space="preserve">clinical </w:t>
      </w:r>
      <w:r w:rsidRPr="00E741BA">
        <w:t xml:space="preserve">evaluator </w:t>
      </w:r>
      <w:r>
        <w:t xml:space="preserve">noted </w:t>
      </w:r>
      <w:r w:rsidRPr="00E741BA">
        <w:t xml:space="preserve">that the numbers in each group were small and so </w:t>
      </w:r>
      <w:r>
        <w:t xml:space="preserve">the </w:t>
      </w:r>
      <w:r w:rsidRPr="00E741BA">
        <w:t>data need</w:t>
      </w:r>
      <w:r>
        <w:t>s</w:t>
      </w:r>
      <w:r w:rsidRPr="00E741BA">
        <w:t xml:space="preserve"> to be interpreted with caution.</w:t>
      </w:r>
    </w:p>
    <w:p w:rsidR="00287F50" w:rsidRPr="00E741BA" w:rsidRDefault="00287F50" w:rsidP="00287F50">
      <w:r w:rsidRPr="00E741BA">
        <w:t xml:space="preserve">In hepatic transplantation patients, exposure-efficacy analyses suggested increased efficacy with increased exposure </w:t>
      </w:r>
      <w:r>
        <w:t xml:space="preserve">(Study </w:t>
      </w:r>
      <w:r w:rsidRPr="00E741BA">
        <w:t>B158</w:t>
      </w:r>
      <w:r>
        <w:t>)</w:t>
      </w:r>
      <w:r w:rsidRPr="00E741BA">
        <w:t xml:space="preserve">, although the numbers in this analysis were small. In </w:t>
      </w:r>
      <w:r>
        <w:t xml:space="preserve">Study </w:t>
      </w:r>
      <w:r w:rsidRPr="00E741BA">
        <w:t>H2304, the highest rate of efficacy failure was noted with levels &lt;</w:t>
      </w:r>
      <w:r>
        <w:t> </w:t>
      </w:r>
      <w:r w:rsidRPr="00E741BA">
        <w:t xml:space="preserve">3 </w:t>
      </w:r>
      <w:proofErr w:type="spellStart"/>
      <w:r w:rsidRPr="00E741BA">
        <w:t>ng</w:t>
      </w:r>
      <w:proofErr w:type="spellEnd"/>
      <w:r w:rsidRPr="00E741BA">
        <w:t>/</w:t>
      </w:r>
      <w:proofErr w:type="spellStart"/>
      <w:r w:rsidRPr="00E741BA">
        <w:t>mL</w:t>
      </w:r>
      <w:proofErr w:type="spellEnd"/>
      <w:r w:rsidRPr="00E741BA">
        <w:t xml:space="preserve">, although a trend was not evident. </w:t>
      </w:r>
    </w:p>
    <w:p w:rsidR="00287F50" w:rsidRPr="00E741BA" w:rsidRDefault="00287F50" w:rsidP="00287F50">
      <w:pPr>
        <w:pStyle w:val="Heading4"/>
      </w:pPr>
      <w:r w:rsidRPr="00E741BA">
        <w:t>Efficacy</w:t>
      </w:r>
      <w:r>
        <w:t xml:space="preserve"> in hepatic transplant</w:t>
      </w:r>
    </w:p>
    <w:p w:rsidR="00287F50" w:rsidRPr="00E741BA" w:rsidRDefault="00287F50" w:rsidP="00287F50">
      <w:pPr>
        <w:pStyle w:val="Heading5"/>
      </w:pPr>
      <w:r w:rsidRPr="00E741BA">
        <w:t xml:space="preserve">Pivotal efficacy study </w:t>
      </w:r>
    </w:p>
    <w:p w:rsidR="00287F50" w:rsidRDefault="00287F50" w:rsidP="00287F50">
      <w:r>
        <w:t xml:space="preserve">Study </w:t>
      </w:r>
      <w:r w:rsidRPr="00E741BA">
        <w:t xml:space="preserve">H2304 was a 24 month, </w:t>
      </w:r>
      <w:r>
        <w:t>P</w:t>
      </w:r>
      <w:r w:rsidRPr="00E741BA">
        <w:t xml:space="preserve">hase III, multicentre, open label, randomised, controlled trial in 719 </w:t>
      </w:r>
      <w:r w:rsidRPr="00B95309">
        <w:rPr>
          <w:i/>
        </w:rPr>
        <w:t>de novo</w:t>
      </w:r>
      <w:r w:rsidRPr="00E741BA">
        <w:t xml:space="preserve"> liver transplant recipients</w:t>
      </w:r>
      <w:r>
        <w:t>,</w:t>
      </w:r>
      <w:r w:rsidRPr="00E741BA">
        <w:t xml:space="preserve"> which evaluated the efficacy and safety of concentration controlled everolimus with eliminated or reduced dose tacrolimus</w:t>
      </w:r>
      <w:r>
        <w:t>,</w:t>
      </w:r>
      <w:r w:rsidRPr="00E741BA">
        <w:t xml:space="preserve"> compared to a standard dose tacrolimus regimen. Subjects had a screening period prior to transplantation, a baseline period of 3 to 7 days post</w:t>
      </w:r>
      <w:r>
        <w:t xml:space="preserve"> </w:t>
      </w:r>
      <w:r w:rsidRPr="00E741BA">
        <w:t>transplantation and a run-in period to 30 days (±</w:t>
      </w:r>
      <w:r>
        <w:t> </w:t>
      </w:r>
      <w:r w:rsidRPr="00E741BA">
        <w:t>5 da</w:t>
      </w:r>
      <w:r>
        <w:t xml:space="preserve">ys) post </w:t>
      </w:r>
      <w:r w:rsidRPr="00E741BA">
        <w:t>transplantation. In the baseline period,</w:t>
      </w:r>
      <w:r>
        <w:t xml:space="preserve"> patients received a tacrolimus </w:t>
      </w:r>
      <w:r w:rsidRPr="00E741BA">
        <w:t xml:space="preserve">based regimen with corticosteroids and with or without mycophenolate mofetil (MMF) according to the local practice. </w:t>
      </w:r>
      <w:r>
        <w:t>M</w:t>
      </w:r>
      <w:r w:rsidRPr="00E741BA">
        <w:t xml:space="preserve">ycophenolate mofetil was discontinued at randomisation. Patients were stratified on HCV status and renal function which was assessed by the abbreviated MDRD formula. There were 3 treatment groups: 1. </w:t>
      </w:r>
      <w:r>
        <w:t xml:space="preserve">EVR + TAC </w:t>
      </w:r>
      <w:r w:rsidRPr="00E741BA">
        <w:t>elimination; 2. EVR + reduced TAC; and 3. TAC control</w:t>
      </w:r>
      <w:r>
        <w:t>. The study design is summarised in Figure 1 of this AusPAR, above.</w:t>
      </w:r>
    </w:p>
    <w:p w:rsidR="00287F50" w:rsidRPr="007D653C" w:rsidRDefault="00287F50" w:rsidP="00287F50">
      <w:r w:rsidRPr="007D653C">
        <w:t>After completion of 24 months on study, patients could co</w:t>
      </w:r>
      <w:r>
        <w:t>ntinue in a 12 month extension S</w:t>
      </w:r>
      <w:r w:rsidRPr="007D653C">
        <w:t>tudy (H2304E1). In April 2010, the DMC</w:t>
      </w:r>
      <w:r>
        <w:t xml:space="preserve"> </w:t>
      </w:r>
      <w:r w:rsidRPr="007D653C">
        <w:t>recommended ceasing enrolment in the group from which</w:t>
      </w:r>
      <w:r>
        <w:t xml:space="preserve"> tacrolimus had been eliminated</w:t>
      </w:r>
      <w:r w:rsidRPr="007D653C">
        <w:t xml:space="preserve"> due to an increased rate of acute rejection and discontinuation in this group. At this point, 690 patients had been randomised. There was no further randomisation into this group and enrolled patients</w:t>
      </w:r>
      <w:r>
        <w:t xml:space="preserve"> who had not reached D</w:t>
      </w:r>
      <w:r w:rsidRPr="007D653C">
        <w:t>ay 180 post-randomisation were discontinued and switched to local standard treatment. Those who were &gt; 180 days post-randomisation could continue on treatment or swap to local standard treatment. The remaining eligible patients (n = 51) were randomised equally to groups 2 and 3.</w:t>
      </w:r>
    </w:p>
    <w:p w:rsidR="00287F50" w:rsidRPr="00E741BA" w:rsidRDefault="00287F50" w:rsidP="00287F50">
      <w:r w:rsidRPr="00E741BA">
        <w:t>In addition, changes were made to align with recent CHMP guidelines</w:t>
      </w:r>
      <w:r>
        <w:t>.</w:t>
      </w:r>
      <w:r>
        <w:rPr>
          <w:rStyle w:val="FootnoteReference"/>
        </w:rPr>
        <w:footnoteReference w:id="12"/>
      </w:r>
      <w:r w:rsidRPr="00E741BA">
        <w:t xml:space="preserve"> To assess the early impact of TAC minimisation, the primary endpoint was changed from </w:t>
      </w:r>
      <w:r>
        <w:t>GL</w:t>
      </w:r>
      <w:r w:rsidRPr="00E741BA">
        <w:t>/</w:t>
      </w:r>
      <w:r>
        <w:t>D</w:t>
      </w:r>
      <w:r w:rsidRPr="00E741BA">
        <w:t xml:space="preserve">/loss to follow up to </w:t>
      </w:r>
      <w:proofErr w:type="spellStart"/>
      <w:r w:rsidRPr="00E741BA">
        <w:t>tBPAR</w:t>
      </w:r>
      <w:proofErr w:type="spellEnd"/>
      <w:r w:rsidRPr="00E741BA">
        <w:t>/</w:t>
      </w:r>
      <w:r>
        <w:t>GL</w:t>
      </w:r>
      <w:r w:rsidRPr="00E741BA">
        <w:t>/</w:t>
      </w:r>
      <w:r>
        <w:t>D</w:t>
      </w:r>
      <w:r w:rsidRPr="00E741BA">
        <w:t xml:space="preserve">. This resulted in a change in the </w:t>
      </w:r>
      <w:r>
        <w:t xml:space="preserve">NI </w:t>
      </w:r>
      <w:r w:rsidRPr="00E741BA">
        <w:t>margin from 10% to 12%.</w:t>
      </w:r>
    </w:p>
    <w:p w:rsidR="00287F50" w:rsidRPr="00E741BA" w:rsidRDefault="00287F50" w:rsidP="00287F50">
      <w:r w:rsidRPr="00E741BA">
        <w:t>Everolimus was taken each 12 h</w:t>
      </w:r>
      <w:r>
        <w:t xml:space="preserve"> </w:t>
      </w:r>
      <w:r w:rsidRPr="00E741BA">
        <w:t xml:space="preserve">together with tacrolimus. Drug level monitoring was mandated in the study. Central everolimus levels were used to adjust everolimus dosing and local tacrolimus levels were used to adjust tacrolimus dosing. </w:t>
      </w:r>
    </w:p>
    <w:p w:rsidR="00287F50" w:rsidRPr="00E741BA" w:rsidRDefault="00287F50" w:rsidP="00287F50">
      <w:r w:rsidRPr="00E741BA">
        <w:t xml:space="preserve">In group 1, </w:t>
      </w:r>
      <w:r>
        <w:t>the EVR + TAC elimination group</w:t>
      </w:r>
      <w:r w:rsidRPr="00E741BA">
        <w:t>, patients received low dose tacrolimus (until Month 4, then tacrolimus was eliminated) + everolimus + corticosteroids. Everolimus commenced within 24 h</w:t>
      </w:r>
      <w:r>
        <w:t xml:space="preserve"> </w:t>
      </w:r>
      <w:r w:rsidRPr="00E741BA">
        <w:t>of randomisation at 1.0 mg bid (2 mg daily) and everolimus whole blood trough levels (taken 5 d</w:t>
      </w:r>
      <w:r>
        <w:t>ays</w:t>
      </w:r>
      <w:r w:rsidRPr="00E741BA">
        <w:t xml:space="preserve"> ±</w:t>
      </w:r>
      <w:r>
        <w:t> </w:t>
      </w:r>
      <w:r w:rsidRPr="00E741BA">
        <w:t>2 d</w:t>
      </w:r>
      <w:r>
        <w:t>ays</w:t>
      </w:r>
      <w:r w:rsidRPr="00E741BA">
        <w:t xml:space="preserve"> post dose change) were targeted to be maintained between 3-8 </w:t>
      </w:r>
      <w:proofErr w:type="spellStart"/>
      <w:r w:rsidRPr="00E741BA">
        <w:t>ng</w:t>
      </w:r>
      <w:proofErr w:type="spellEnd"/>
      <w:r w:rsidRPr="00E741BA">
        <w:t>/</w:t>
      </w:r>
      <w:proofErr w:type="spellStart"/>
      <w:r w:rsidRPr="00E741BA">
        <w:t>mL.</w:t>
      </w:r>
      <w:proofErr w:type="spellEnd"/>
      <w:r w:rsidRPr="00E741BA">
        <w:t xml:space="preserve"> When everolimus trough levels were confirmed</w:t>
      </w:r>
      <w:r>
        <w:t xml:space="preserve"> to be in the target range (3</w:t>
      </w:r>
      <w:r>
        <w:noBreakHyphen/>
        <w:t>8 </w:t>
      </w:r>
      <w:proofErr w:type="spellStart"/>
      <w:r w:rsidRPr="00E741BA">
        <w:t>ng</w:t>
      </w:r>
      <w:proofErr w:type="spellEnd"/>
      <w:r w:rsidRPr="00E741BA">
        <w:t>/</w:t>
      </w:r>
      <w:proofErr w:type="spellStart"/>
      <w:r w:rsidRPr="00E741BA">
        <w:t>mL</w:t>
      </w:r>
      <w:proofErr w:type="spellEnd"/>
      <w:r w:rsidRPr="00E741BA">
        <w:t xml:space="preserve">), </w:t>
      </w:r>
      <w:proofErr w:type="spellStart"/>
      <w:r w:rsidRPr="00E741BA">
        <w:t>tacrolimus</w:t>
      </w:r>
      <w:proofErr w:type="spellEnd"/>
      <w:r w:rsidRPr="00E741BA">
        <w:t xml:space="preserve"> tapering started, with a tacrolimus whole blood trough level target of 3-5 </w:t>
      </w:r>
      <w:proofErr w:type="spellStart"/>
      <w:r w:rsidRPr="00E741BA">
        <w:t>ng</w:t>
      </w:r>
      <w:proofErr w:type="spellEnd"/>
      <w:r w:rsidRPr="00E741BA">
        <w:t>/</w:t>
      </w:r>
      <w:proofErr w:type="spellStart"/>
      <w:r w:rsidRPr="00E741BA">
        <w:t>mL</w:t>
      </w:r>
      <w:proofErr w:type="spellEnd"/>
      <w:r w:rsidRPr="00E741BA">
        <w:t xml:space="preserve"> by three weeks after randomisation. At </w:t>
      </w:r>
      <w:r>
        <w:t>D</w:t>
      </w:r>
      <w:r w:rsidRPr="00E741BA">
        <w:t>ay 120 (</w:t>
      </w:r>
      <w:r>
        <w:t>M</w:t>
      </w:r>
      <w:r w:rsidRPr="00E741BA">
        <w:t xml:space="preserve">onth 4) everolimus whole blood trough levels were targeted to 6-10 </w:t>
      </w:r>
      <w:proofErr w:type="spellStart"/>
      <w:r w:rsidRPr="00E741BA">
        <w:t>ng</w:t>
      </w:r>
      <w:proofErr w:type="spellEnd"/>
      <w:r w:rsidRPr="00E741BA">
        <w:t>/</w:t>
      </w:r>
      <w:proofErr w:type="spellStart"/>
      <w:r w:rsidRPr="00E741BA">
        <w:t>mL</w:t>
      </w:r>
      <w:proofErr w:type="spellEnd"/>
      <w:r w:rsidRPr="00E741BA">
        <w:t xml:space="preserve"> and when in this range, tacrolimus elimination started and was completed by the end of </w:t>
      </w:r>
      <w:r>
        <w:t>M</w:t>
      </w:r>
      <w:r w:rsidRPr="00E741BA">
        <w:t>onth 4 post-</w:t>
      </w:r>
      <w:r w:rsidRPr="00E741BA">
        <w:lastRenderedPageBreak/>
        <w:t xml:space="preserve">transplantation. </w:t>
      </w:r>
      <w:r>
        <w:t>T</w:t>
      </w:r>
      <w:r w:rsidRPr="00E741BA">
        <w:t xml:space="preserve">acrolimus elimination did not commence until there was evidence of a functioning allograft (AST, ALT and total </w:t>
      </w:r>
      <w:r>
        <w:t xml:space="preserve">bilirubin </w:t>
      </w:r>
      <w:r w:rsidRPr="00E741BA">
        <w:t>≤</w:t>
      </w:r>
      <w:r>
        <w:t> </w:t>
      </w:r>
      <w:r w:rsidRPr="00E741BA">
        <w:t>3</w:t>
      </w:r>
      <w:r>
        <w:t> </w:t>
      </w:r>
      <w:r w:rsidRPr="00E741BA">
        <w:t xml:space="preserve">x </w:t>
      </w:r>
      <w:r>
        <w:t>the upper limit of normal (U</w:t>
      </w:r>
      <w:r w:rsidRPr="00E741BA">
        <w:t>LN</w:t>
      </w:r>
      <w:r>
        <w:t>)</w:t>
      </w:r>
      <w:r w:rsidRPr="00E741BA">
        <w:t xml:space="preserve"> and </w:t>
      </w:r>
      <w:r>
        <w:t xml:space="preserve">alkaline </w:t>
      </w:r>
      <w:proofErr w:type="spellStart"/>
      <w:r>
        <w:t>phosphatase</w:t>
      </w:r>
      <w:proofErr w:type="spellEnd"/>
      <w:r>
        <w:t xml:space="preserve"> (</w:t>
      </w:r>
      <w:r w:rsidRPr="00E741BA">
        <w:t>ALP</w:t>
      </w:r>
      <w:r>
        <w:t>)</w:t>
      </w:r>
      <w:r w:rsidRPr="00E741BA">
        <w:t xml:space="preserve"> and </w:t>
      </w:r>
      <w:r>
        <w:t xml:space="preserve">gamma glutamate </w:t>
      </w:r>
      <w:proofErr w:type="spellStart"/>
      <w:r>
        <w:t>transferase</w:t>
      </w:r>
      <w:proofErr w:type="spellEnd"/>
      <w:r>
        <w:t xml:space="preserve"> (</w:t>
      </w:r>
      <w:r w:rsidRPr="00E741BA">
        <w:t>GGT</w:t>
      </w:r>
      <w:r>
        <w:t>)</w:t>
      </w:r>
      <w:r w:rsidRPr="00E741BA">
        <w:t xml:space="preserve"> ≤</w:t>
      </w:r>
      <w:r>
        <w:t> </w:t>
      </w:r>
      <w:r w:rsidRPr="00E741BA">
        <w:t>5xULN)</w:t>
      </w:r>
      <w:r>
        <w:t>.</w:t>
      </w:r>
    </w:p>
    <w:p w:rsidR="00287F50" w:rsidRPr="00E741BA" w:rsidRDefault="00287F50" w:rsidP="00287F50">
      <w:r w:rsidRPr="00E741BA">
        <w:t>In group 2, EVR</w:t>
      </w:r>
      <w:r>
        <w:t xml:space="preserve"> </w:t>
      </w:r>
      <w:r w:rsidRPr="00E741BA">
        <w:t>+</w:t>
      </w:r>
      <w:r>
        <w:t xml:space="preserve"> </w:t>
      </w:r>
      <w:r w:rsidRPr="00E741BA">
        <w:t xml:space="preserve">reduced TAC, patients received low dose tacrolimus + everolimus + corticosteroids. Everolimus was commenced (as per group 1) at 1.0 mg bid and the target trough level of 3-8 </w:t>
      </w:r>
      <w:proofErr w:type="spellStart"/>
      <w:r w:rsidRPr="00E741BA">
        <w:t>ng</w:t>
      </w:r>
      <w:proofErr w:type="spellEnd"/>
      <w:r w:rsidRPr="00E741BA">
        <w:t>/</w:t>
      </w:r>
      <w:proofErr w:type="spellStart"/>
      <w:r w:rsidRPr="00E741BA">
        <w:t>mL</w:t>
      </w:r>
      <w:proofErr w:type="spellEnd"/>
      <w:r w:rsidRPr="00E741BA">
        <w:t xml:space="preserve"> was to be maintained for the duration of the study. The dose could be altered to maintain this level. As in group 1, </w:t>
      </w:r>
      <w:r>
        <w:t>tacrolimus</w:t>
      </w:r>
      <w:r w:rsidRPr="00E741BA">
        <w:t xml:space="preserve"> </w:t>
      </w:r>
      <w:r>
        <w:t xml:space="preserve">dose </w:t>
      </w:r>
      <w:r w:rsidRPr="00E741BA">
        <w:t xml:space="preserve">tapering began when everolimus was at this level to target a level of 3-5 </w:t>
      </w:r>
      <w:proofErr w:type="spellStart"/>
      <w:r w:rsidRPr="00E741BA">
        <w:t>ng</w:t>
      </w:r>
      <w:proofErr w:type="spellEnd"/>
      <w:r w:rsidRPr="00E741BA">
        <w:t>/</w:t>
      </w:r>
      <w:proofErr w:type="spellStart"/>
      <w:r w:rsidRPr="00E741BA">
        <w:t>mL.</w:t>
      </w:r>
      <w:proofErr w:type="spellEnd"/>
      <w:r w:rsidRPr="00E741BA">
        <w:t xml:space="preserve"> It was maintained at this level for the study duration.</w:t>
      </w:r>
    </w:p>
    <w:p w:rsidR="00287F50" w:rsidRPr="00E741BA" w:rsidRDefault="00287F50" w:rsidP="00287F50">
      <w:r w:rsidRPr="00E741BA">
        <w:t xml:space="preserve">In group 3, </w:t>
      </w:r>
      <w:r>
        <w:t xml:space="preserve">the </w:t>
      </w:r>
      <w:r w:rsidRPr="00E741BA">
        <w:t>TAC control</w:t>
      </w:r>
      <w:r>
        <w:t xml:space="preserve"> group</w:t>
      </w:r>
      <w:r w:rsidRPr="00E741BA">
        <w:t>, patients received tacrolimus + corticosteroids. T</w:t>
      </w:r>
      <w:r>
        <w:t>acrolimus</w:t>
      </w:r>
      <w:r w:rsidRPr="00E741BA">
        <w:t xml:space="preserve"> trough levels were targeted at 8-12 </w:t>
      </w:r>
      <w:proofErr w:type="spellStart"/>
      <w:r w:rsidRPr="00E741BA">
        <w:t>ng</w:t>
      </w:r>
      <w:proofErr w:type="spellEnd"/>
      <w:r w:rsidRPr="00E741BA">
        <w:t>/</w:t>
      </w:r>
      <w:proofErr w:type="spellStart"/>
      <w:r w:rsidRPr="00E741BA">
        <w:t>mL</w:t>
      </w:r>
      <w:proofErr w:type="spellEnd"/>
      <w:r w:rsidRPr="00E741BA">
        <w:t xml:space="preserve"> to </w:t>
      </w:r>
      <w:r>
        <w:t>Month 4 then decreased to 6</w:t>
      </w:r>
      <w:r>
        <w:noBreakHyphen/>
      </w:r>
      <w:r w:rsidRPr="00E741BA">
        <w:t>10</w:t>
      </w:r>
      <w:r>
        <w:t> </w:t>
      </w:r>
      <w:proofErr w:type="spellStart"/>
      <w:r w:rsidRPr="00E741BA">
        <w:t>ng</w:t>
      </w:r>
      <w:proofErr w:type="spellEnd"/>
      <w:r w:rsidRPr="00E741BA">
        <w:t>/</w:t>
      </w:r>
      <w:proofErr w:type="spellStart"/>
      <w:r w:rsidRPr="00E741BA">
        <w:t>mL</w:t>
      </w:r>
      <w:proofErr w:type="spellEnd"/>
      <w:r w:rsidRPr="00E741BA">
        <w:t xml:space="preserve"> for the rest of the study.</w:t>
      </w:r>
      <w:r>
        <w:t xml:space="preserve"> </w:t>
      </w:r>
      <w:r w:rsidRPr="00E741BA">
        <w:t xml:space="preserve">Corticosteroids were commenced at or prior to transplantation according to local practice. Treatment was </w:t>
      </w:r>
      <w:r>
        <w:t>required to continue until 180 D</w:t>
      </w:r>
      <w:r w:rsidRPr="00E741BA">
        <w:t>ays post transplantation.</w:t>
      </w:r>
    </w:p>
    <w:p w:rsidR="00287F50" w:rsidRPr="00E741BA" w:rsidRDefault="00287F50" w:rsidP="00287F50">
      <w:r w:rsidRPr="00E741BA">
        <w:t xml:space="preserve">Dose reduction of everolimus was permitted if there were decreases in </w:t>
      </w:r>
      <w:r>
        <w:t xml:space="preserve">white blood cells </w:t>
      </w:r>
      <w:r w:rsidRPr="00E741BA">
        <w:t>or platelets, increases in cholesterol or triglycerides, or AEs. Reduction was by 0.25 mg intervals. Everolimus was discontinued if trough levels ≥</w:t>
      </w:r>
      <w:r>
        <w:t> </w:t>
      </w:r>
      <w:r w:rsidRPr="00E741BA">
        <w:t xml:space="preserve">3 </w:t>
      </w:r>
      <w:proofErr w:type="spellStart"/>
      <w:r w:rsidRPr="00E741BA">
        <w:t>ng</w:t>
      </w:r>
      <w:proofErr w:type="spellEnd"/>
      <w:r w:rsidRPr="00E741BA">
        <w:t>/</w:t>
      </w:r>
      <w:proofErr w:type="spellStart"/>
      <w:r w:rsidRPr="00E741BA">
        <w:t>mL</w:t>
      </w:r>
      <w:proofErr w:type="spellEnd"/>
      <w:r w:rsidRPr="00E741BA">
        <w:t xml:space="preserve"> could not be maintained due to toxicity. Everolimus was interrupted during antibody treatment of rejection episodes and switched to tacrolimus during surgical treatment. </w:t>
      </w:r>
    </w:p>
    <w:p w:rsidR="00287F50" w:rsidRPr="00E741BA" w:rsidRDefault="00287F50" w:rsidP="00287F50">
      <w:r w:rsidRPr="00E741BA">
        <w:t xml:space="preserve">Rescue medication was based on local practice. All patients received </w:t>
      </w:r>
      <w:proofErr w:type="spellStart"/>
      <w:r w:rsidRPr="00E741BA">
        <w:t>pneumocystis</w:t>
      </w:r>
      <w:proofErr w:type="spellEnd"/>
      <w:r w:rsidRPr="00E741BA">
        <w:t xml:space="preserve"> prophylaxis. C</w:t>
      </w:r>
      <w:r>
        <w:t xml:space="preserve">ytomegalovirus </w:t>
      </w:r>
      <w:r w:rsidRPr="00E741BA">
        <w:t xml:space="preserve">and hepatitis B prophylaxis was as per local practice. Oral </w:t>
      </w:r>
      <w:proofErr w:type="spellStart"/>
      <w:r w:rsidRPr="00E741BA">
        <w:t>candida</w:t>
      </w:r>
      <w:proofErr w:type="spellEnd"/>
      <w:r w:rsidRPr="00E741BA">
        <w:t xml:space="preserve"> treatment was topical and HCV treatment was only given for histological evidence of recurrent disease.</w:t>
      </w:r>
    </w:p>
    <w:p w:rsidR="00287F50" w:rsidRPr="00E741BA" w:rsidRDefault="00287F50" w:rsidP="00287F50">
      <w:r w:rsidRPr="00E741BA">
        <w:t>There were 1378 patients screened, 1147 received a liver</w:t>
      </w:r>
      <w:r>
        <w:t xml:space="preserve"> transplant and entered the </w:t>
      </w:r>
      <w:proofErr w:type="spellStart"/>
      <w:r>
        <w:t>run</w:t>
      </w:r>
      <w:r>
        <w:noBreakHyphen/>
      </w:r>
      <w:r w:rsidRPr="00E741BA">
        <w:t>in</w:t>
      </w:r>
      <w:proofErr w:type="spellEnd"/>
      <w:r w:rsidRPr="00E741BA">
        <w:t xml:space="preserve"> period and 719 were randomised to study treatment. The screen failure and randomisation failure rates were 16.8% and 37.3%, respectively. The main reasons for randomisation failure were inadequate allograft function (5.9%), tacrolimus levels</w:t>
      </w:r>
      <w:r>
        <w:t xml:space="preserve"> </w:t>
      </w:r>
      <w:r w:rsidRPr="00E741BA">
        <w:t>&lt;</w:t>
      </w:r>
      <w:r>
        <w:t> </w:t>
      </w:r>
      <w:r w:rsidRPr="00E741BA">
        <w:t>8</w:t>
      </w:r>
      <w:r>
        <w:t> </w:t>
      </w:r>
      <w:proofErr w:type="spellStart"/>
      <w:r w:rsidRPr="00E741BA">
        <w:t>ng</w:t>
      </w:r>
      <w:proofErr w:type="spellEnd"/>
      <w:r w:rsidRPr="00E741BA">
        <w:t>/</w:t>
      </w:r>
      <w:proofErr w:type="spellStart"/>
      <w:r w:rsidRPr="00E741BA">
        <w:t>mL</w:t>
      </w:r>
      <w:proofErr w:type="spellEnd"/>
      <w:r w:rsidRPr="00E741BA">
        <w:t xml:space="preserve"> (5.7%), medical/surgical condition (5.5%), requiring critical care (3.6%), inadequate renal function (3.5%), antibody induction therapy (3.0%) and other (15.1%).</w:t>
      </w:r>
    </w:p>
    <w:p w:rsidR="00287F50" w:rsidRPr="00E741BA" w:rsidRDefault="00287F50" w:rsidP="00287F50">
      <w:r w:rsidRPr="00E741BA">
        <w:t>There were 231, 245 and 243 patients in the EVR</w:t>
      </w:r>
      <w:r>
        <w:t xml:space="preserve"> </w:t>
      </w:r>
      <w:r w:rsidRPr="00E741BA">
        <w:t>+</w:t>
      </w:r>
      <w:r>
        <w:t xml:space="preserve"> </w:t>
      </w:r>
      <w:r w:rsidRPr="00E741BA">
        <w:t>TAC elimination, EVR</w:t>
      </w:r>
      <w:r>
        <w:t> </w:t>
      </w:r>
      <w:r w:rsidRPr="00E741BA">
        <w:t>+</w:t>
      </w:r>
      <w:r>
        <w:t> </w:t>
      </w:r>
      <w:r w:rsidRPr="00E741BA">
        <w:t xml:space="preserve">reduced TAC and TAC control groups, respectively, and the study medication completion rates were 44.2%, 73.1% and 77.8%, respectively. </w:t>
      </w:r>
    </w:p>
    <w:p w:rsidR="00287F50" w:rsidRPr="00E741BA" w:rsidRDefault="00287F50" w:rsidP="00287F50">
      <w:r w:rsidRPr="00E741BA">
        <w:t>The submitted data were for the first 12 months of treatment.</w:t>
      </w:r>
    </w:p>
    <w:p w:rsidR="00287F50" w:rsidRPr="00E741BA" w:rsidRDefault="00287F50" w:rsidP="00287F50">
      <w:r w:rsidRPr="00E741BA">
        <w:t>In the EVR</w:t>
      </w:r>
      <w:r>
        <w:t> </w:t>
      </w:r>
      <w:r w:rsidRPr="00E741BA">
        <w:t>+</w:t>
      </w:r>
      <w:r>
        <w:t> </w:t>
      </w:r>
      <w:r w:rsidRPr="00E741BA">
        <w:t xml:space="preserve">reduced TAC group to </w:t>
      </w:r>
      <w:r>
        <w:t>M</w:t>
      </w:r>
      <w:r w:rsidRPr="00E741BA">
        <w:t xml:space="preserve">onth 2, 48.4% of patients were within the target everolimus trough level of 3-8 </w:t>
      </w:r>
      <w:proofErr w:type="spellStart"/>
      <w:r w:rsidRPr="00E741BA">
        <w:t>ng</w:t>
      </w:r>
      <w:proofErr w:type="spellEnd"/>
      <w:r w:rsidRPr="00E741BA">
        <w:t>/</w:t>
      </w:r>
      <w:proofErr w:type="spellStart"/>
      <w:r w:rsidRPr="00E741BA">
        <w:t>mL.</w:t>
      </w:r>
      <w:proofErr w:type="spellEnd"/>
      <w:r w:rsidRPr="00E741BA">
        <w:t xml:space="preserve"> From </w:t>
      </w:r>
      <w:r>
        <w:t>M</w:t>
      </w:r>
      <w:r w:rsidRPr="00E741BA">
        <w:t xml:space="preserve">onth 2 to 12 the proportion within target was between 78% and 82%. </w:t>
      </w:r>
      <w:r>
        <w:t>B</w:t>
      </w:r>
      <w:r w:rsidRPr="00E741BA">
        <w:t xml:space="preserve">etween </w:t>
      </w:r>
      <w:r>
        <w:t>W</w:t>
      </w:r>
      <w:r w:rsidRPr="00E741BA">
        <w:t xml:space="preserve">eek 5 and </w:t>
      </w:r>
      <w:r>
        <w:t>M</w:t>
      </w:r>
      <w:r w:rsidRPr="00E741BA">
        <w:t xml:space="preserve">onth 12 in this group </w:t>
      </w:r>
      <w:r>
        <w:t>t</w:t>
      </w:r>
      <w:r w:rsidRPr="00E741BA">
        <w:t>he mean everolimus trou</w:t>
      </w:r>
      <w:r>
        <w:t>gh level ranged from 3.4 to 6.3 </w:t>
      </w:r>
      <w:proofErr w:type="spellStart"/>
      <w:r w:rsidRPr="00E741BA">
        <w:t>ng</w:t>
      </w:r>
      <w:proofErr w:type="spellEnd"/>
      <w:r w:rsidRPr="00E741BA">
        <w:t>/</w:t>
      </w:r>
      <w:proofErr w:type="spellStart"/>
      <w:r w:rsidRPr="00E741BA">
        <w:t>mL.</w:t>
      </w:r>
      <w:proofErr w:type="spellEnd"/>
      <w:r w:rsidRPr="00E741BA">
        <w:t xml:space="preserve"> </w:t>
      </w:r>
    </w:p>
    <w:p w:rsidR="00287F50" w:rsidRPr="00E741BA" w:rsidRDefault="00287F50" w:rsidP="00287F50">
      <w:r w:rsidRPr="00E741BA">
        <w:t>In the EVR</w:t>
      </w:r>
      <w:r>
        <w:t> </w:t>
      </w:r>
      <w:r w:rsidRPr="00E741BA">
        <w:t>+</w:t>
      </w:r>
      <w:r>
        <w:t> </w:t>
      </w:r>
      <w:r w:rsidRPr="00E741BA">
        <w:t xml:space="preserve">reduced TAC group prior to </w:t>
      </w:r>
      <w:r>
        <w:t>M</w:t>
      </w:r>
      <w:r w:rsidRPr="00E741BA">
        <w:t>onth 2, only 9-19% of patients had tacrolimus levels after tapering within the trough targ</w:t>
      </w:r>
      <w:r>
        <w:t xml:space="preserve">et level of 3-5 </w:t>
      </w:r>
      <w:proofErr w:type="spellStart"/>
      <w:r>
        <w:t>ng</w:t>
      </w:r>
      <w:proofErr w:type="spellEnd"/>
      <w:r>
        <w:t>/</w:t>
      </w:r>
      <w:proofErr w:type="spellStart"/>
      <w:r>
        <w:t>mL.</w:t>
      </w:r>
      <w:proofErr w:type="spellEnd"/>
      <w:r>
        <w:t xml:space="preserve"> Between M</w:t>
      </w:r>
      <w:r w:rsidRPr="00E741BA">
        <w:t xml:space="preserve">onths 2 and 12, the proportion within the target range was between 32% </w:t>
      </w:r>
      <w:r>
        <w:t>(</w:t>
      </w:r>
      <w:r w:rsidRPr="00E741BA">
        <w:t xml:space="preserve">at </w:t>
      </w:r>
      <w:r>
        <w:t>M</w:t>
      </w:r>
      <w:r w:rsidRPr="00E741BA">
        <w:t>onth 2</w:t>
      </w:r>
      <w:r>
        <w:t>)</w:t>
      </w:r>
      <w:r w:rsidRPr="00E741BA">
        <w:t xml:space="preserve"> and 48% </w:t>
      </w:r>
      <w:r>
        <w:t>(</w:t>
      </w:r>
      <w:r w:rsidRPr="00E741BA">
        <w:t xml:space="preserve">at </w:t>
      </w:r>
      <w:r>
        <w:t>M</w:t>
      </w:r>
      <w:r w:rsidRPr="00E741BA">
        <w:t>onth 12</w:t>
      </w:r>
      <w:r>
        <w:t>)</w:t>
      </w:r>
      <w:r w:rsidRPr="00E741BA">
        <w:t xml:space="preserve">. At </w:t>
      </w:r>
      <w:r>
        <w:t>M</w:t>
      </w:r>
      <w:r w:rsidRPr="00E741BA">
        <w:t xml:space="preserve">onth 12, 16% were below, 48% </w:t>
      </w:r>
      <w:r>
        <w:t xml:space="preserve">were </w:t>
      </w:r>
      <w:r w:rsidRPr="00E741BA">
        <w:t xml:space="preserve">within and 36% </w:t>
      </w:r>
      <w:r>
        <w:t xml:space="preserve">were </w:t>
      </w:r>
      <w:r w:rsidRPr="00E741BA">
        <w:t xml:space="preserve">above TAC target. In the TAC control group, 54% were within the target range at </w:t>
      </w:r>
      <w:r>
        <w:t>M</w:t>
      </w:r>
      <w:r w:rsidRPr="00E741BA">
        <w:t xml:space="preserve">onth 12 with 19% above target and 27% below target. The </w:t>
      </w:r>
      <w:r>
        <w:t xml:space="preserve">CER </w:t>
      </w:r>
      <w:r w:rsidRPr="00E741BA">
        <w:t xml:space="preserve">notes that </w:t>
      </w:r>
      <w:r w:rsidRPr="00AD1CCD">
        <w:rPr>
          <w:i/>
        </w:rPr>
        <w:t>‘This finding may indicate some reticence by the investigators to reduce tacrolimus to protocol defined levels in this open label study’</w:t>
      </w:r>
      <w:r>
        <w:t>.</w:t>
      </w:r>
    </w:p>
    <w:p w:rsidR="00287F50" w:rsidRPr="00E741BA" w:rsidRDefault="00287F50" w:rsidP="00287F50">
      <w:r w:rsidRPr="00E741BA">
        <w:t xml:space="preserve">The </w:t>
      </w:r>
      <w:r>
        <w:t>r</w:t>
      </w:r>
      <w:r w:rsidRPr="00E741BA">
        <w:t xml:space="preserve">esult for the </w:t>
      </w:r>
      <w:r>
        <w:t>p</w:t>
      </w:r>
      <w:r w:rsidRPr="00E741BA">
        <w:t xml:space="preserve">rimary </w:t>
      </w:r>
      <w:r>
        <w:t>e</w:t>
      </w:r>
      <w:r w:rsidRPr="00E741BA">
        <w:t>fficacy outcome (rate of the composite primary endpoint (</w:t>
      </w:r>
      <w:proofErr w:type="spellStart"/>
      <w:r w:rsidRPr="00E741BA">
        <w:t>tBPAR</w:t>
      </w:r>
      <w:proofErr w:type="spellEnd"/>
      <w:r w:rsidRPr="00E741BA">
        <w:t xml:space="preserve">/GL/D) at </w:t>
      </w:r>
      <w:r>
        <w:t>M</w:t>
      </w:r>
      <w:r w:rsidRPr="00E741BA">
        <w:t>onth 12) was slightly lower in the EVR</w:t>
      </w:r>
      <w:r>
        <w:t> </w:t>
      </w:r>
      <w:r w:rsidRPr="00E741BA">
        <w:t>+</w:t>
      </w:r>
      <w:r>
        <w:t> </w:t>
      </w:r>
      <w:r w:rsidRPr="00E741BA">
        <w:t xml:space="preserve">reduced TAC group compared to the TAC control group (6.7% </w:t>
      </w:r>
      <w:r>
        <w:t xml:space="preserve">versus </w:t>
      </w:r>
      <w:r w:rsidRPr="00E741BA">
        <w:t>9.7%)</w:t>
      </w:r>
      <w:r>
        <w:t>,</w:t>
      </w:r>
      <w:r w:rsidRPr="00E741BA">
        <w:t xml:space="preserve"> with a difference of -3.0% (97.5% CI: -8.7%, 2.6%). As the upper bound of the CI was less than the NI margin of 12%, the EVR</w:t>
      </w:r>
      <w:r>
        <w:t> </w:t>
      </w:r>
      <w:r w:rsidRPr="00E741BA">
        <w:t>+</w:t>
      </w:r>
      <w:r>
        <w:t> </w:t>
      </w:r>
      <w:r w:rsidRPr="00E741BA">
        <w:t>reduced TAC treatment was found to be non-inferior to TAC control (p</w:t>
      </w:r>
      <w:r>
        <w:t> </w:t>
      </w:r>
      <w:r w:rsidRPr="00E741BA">
        <w:t>&lt;</w:t>
      </w:r>
      <w:r>
        <w:t> </w:t>
      </w:r>
      <w:r w:rsidRPr="00E741BA">
        <w:t>0.001).</w:t>
      </w:r>
    </w:p>
    <w:p w:rsidR="00287F50" w:rsidRPr="00653E11" w:rsidRDefault="00287F50" w:rsidP="00287F50">
      <w:r w:rsidRPr="00653E11">
        <w:lastRenderedPageBreak/>
        <w:t xml:space="preserve">In the PP population analysis, the rate of </w:t>
      </w:r>
      <w:proofErr w:type="spellStart"/>
      <w:r w:rsidRPr="00653E11">
        <w:t>tBPAR</w:t>
      </w:r>
      <w:proofErr w:type="spellEnd"/>
      <w:r w:rsidRPr="00653E11">
        <w:t>/GL/D was 1.9% and 5.0% in the EVR + reduced TAC and TAC control groups, respectively, with a difference of -3.1% (97.5% CI: -7.6%, 1.5%). Again, this result was non-inferior and statistically significant (p &lt; 0.001). The Kaplan</w:t>
      </w:r>
      <w:r>
        <w:t>-</w:t>
      </w:r>
      <w:r w:rsidRPr="00653E11">
        <w:t xml:space="preserve">Meier plot for the primary endpoint is shown in Figure </w:t>
      </w:r>
      <w:r>
        <w:t>3</w:t>
      </w:r>
      <w:r w:rsidRPr="00653E11">
        <w:t>.</w:t>
      </w:r>
    </w:p>
    <w:p w:rsidR="00287F50" w:rsidRPr="00AD1CCD" w:rsidRDefault="00287F50" w:rsidP="00287F50">
      <w:pPr>
        <w:pStyle w:val="FigureTitle"/>
        <w:keepNext/>
      </w:pPr>
      <w:r w:rsidRPr="00AD1CCD">
        <w:t xml:space="preserve">Figure </w:t>
      </w:r>
      <w:r>
        <w:t>3</w:t>
      </w:r>
      <w:r w:rsidRPr="00AD1CCD">
        <w:t xml:space="preserve">. Kaplan-Meier plot for the proportion of patients free from primary composite efficacy failure </w:t>
      </w:r>
      <w:proofErr w:type="spellStart"/>
      <w:r w:rsidRPr="00AD1CCD">
        <w:t>tBPAR</w:t>
      </w:r>
      <w:proofErr w:type="spellEnd"/>
      <w:r w:rsidRPr="00AD1CCD">
        <w:t>, graft loss or death (ITT population – 12 month analysis)</w:t>
      </w:r>
    </w:p>
    <w:p w:rsidR="00287F50" w:rsidRPr="00E741BA" w:rsidRDefault="00287F50" w:rsidP="00DB2CA6">
      <w:r w:rsidRPr="00E741BA">
        <w:rPr>
          <w:noProof/>
          <w:lang w:eastAsia="en-AU"/>
        </w:rPr>
        <w:drawing>
          <wp:inline distT="0" distB="0" distL="0" distR="0">
            <wp:extent cx="5124450" cy="2570480"/>
            <wp:effectExtent l="19050" t="0" r="0" b="0"/>
            <wp:docPr id="6" name="Picture 22" descr="Figure 3. Kaplan-Meier plot for the proportion of patients free from primary composite efficacy failure tBPAR, graft loss or death (ITT population – 12 month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cstate="print"/>
                    <a:srcRect b="9804"/>
                    <a:stretch>
                      <a:fillRect/>
                    </a:stretch>
                  </pic:blipFill>
                  <pic:spPr bwMode="auto">
                    <a:xfrm>
                      <a:off x="0" y="0"/>
                      <a:ext cx="5124450" cy="2570480"/>
                    </a:xfrm>
                    <a:prstGeom prst="rect">
                      <a:avLst/>
                    </a:prstGeom>
                    <a:noFill/>
                    <a:ln w="9525">
                      <a:noFill/>
                      <a:miter lim="800000"/>
                      <a:headEnd/>
                      <a:tailEnd/>
                    </a:ln>
                  </pic:spPr>
                </pic:pic>
              </a:graphicData>
            </a:graphic>
          </wp:inline>
        </w:drawing>
      </w:r>
    </w:p>
    <w:p w:rsidR="00287F50" w:rsidRDefault="00287F50" w:rsidP="00287F50">
      <w:r>
        <w:t>At 12 M</w:t>
      </w:r>
      <w:r w:rsidRPr="00E741BA">
        <w:t xml:space="preserve">onths, the rate of </w:t>
      </w:r>
      <w:r>
        <w:t>GL</w:t>
      </w:r>
      <w:r w:rsidRPr="00E741BA">
        <w:t xml:space="preserve"> (2.4% </w:t>
      </w:r>
      <w:r>
        <w:t xml:space="preserve">versus </w:t>
      </w:r>
      <w:r w:rsidRPr="00E741BA">
        <w:t xml:space="preserve">1.2%) and </w:t>
      </w:r>
      <w:r>
        <w:t xml:space="preserve">D </w:t>
      </w:r>
      <w:r w:rsidRPr="00E741BA">
        <w:t xml:space="preserve">(3.7% </w:t>
      </w:r>
      <w:r>
        <w:t xml:space="preserve">versus </w:t>
      </w:r>
      <w:r w:rsidRPr="00E741BA">
        <w:t>2.5%) was higher in the EVR</w:t>
      </w:r>
      <w:r>
        <w:t> </w:t>
      </w:r>
      <w:r w:rsidRPr="00E741BA">
        <w:t>+</w:t>
      </w:r>
      <w:r>
        <w:t> </w:t>
      </w:r>
      <w:r w:rsidRPr="00E741BA">
        <w:t xml:space="preserve">reduced TAC </w:t>
      </w:r>
      <w:r>
        <w:t xml:space="preserve">group </w:t>
      </w:r>
      <w:r w:rsidRPr="00E741BA">
        <w:t>compared to the TAC control group, however the risk difference was not statistically significant (p</w:t>
      </w:r>
      <w:r>
        <w:t> </w:t>
      </w:r>
      <w:r w:rsidRPr="00E741BA">
        <w:t>=</w:t>
      </w:r>
      <w:r>
        <w:t> </w:t>
      </w:r>
      <w:r w:rsidRPr="00E741BA">
        <w:t>0.504 and p</w:t>
      </w:r>
      <w:r>
        <w:t> </w:t>
      </w:r>
      <w:r w:rsidRPr="00E741BA">
        <w:t>=</w:t>
      </w:r>
      <w:r>
        <w:t> </w:t>
      </w:r>
      <w:r w:rsidRPr="00E741BA">
        <w:t>0.602, respectively). The rate of acute rejection was lower in the EVR</w:t>
      </w:r>
      <w:r>
        <w:t> </w:t>
      </w:r>
      <w:r w:rsidRPr="00E741BA">
        <w:t>+</w:t>
      </w:r>
      <w:r>
        <w:t> </w:t>
      </w:r>
      <w:r w:rsidRPr="00E741BA">
        <w:t xml:space="preserve">reduced TAC group compared to the TAC control group (3.7% </w:t>
      </w:r>
      <w:r>
        <w:t xml:space="preserve">versus </w:t>
      </w:r>
      <w:r w:rsidRPr="00E741BA">
        <w:t>10.7%) with a significant ris</w:t>
      </w:r>
      <w:r>
        <w:t>k difference of -7.0% (95% CI: </w:t>
      </w:r>
      <w:r>
        <w:noBreakHyphen/>
        <w:t xml:space="preserve">11.6%, </w:t>
      </w:r>
      <w:r>
        <w:noBreakHyphen/>
      </w:r>
      <w:r w:rsidRPr="00E741BA">
        <w:t>2.5%, p</w:t>
      </w:r>
      <w:r>
        <w:t> </w:t>
      </w:r>
      <w:r w:rsidRPr="00E741BA">
        <w:t>=</w:t>
      </w:r>
      <w:r>
        <w:t> </w:t>
      </w:r>
      <w:r w:rsidRPr="00E741BA">
        <w:t>0.003). This finding was consistent across the other definitions of acute rejection (treated, biopsy proven</w:t>
      </w:r>
      <w:r>
        <w:t>,</w:t>
      </w:r>
      <w:r w:rsidRPr="00E741BA">
        <w:t xml:space="preserve"> and treated biopsy proven). The Kaplan</w:t>
      </w:r>
      <w:r>
        <w:t>-</w:t>
      </w:r>
      <w:r w:rsidRPr="00E741BA">
        <w:t>Meier plot of pati</w:t>
      </w:r>
      <w:r>
        <w:t xml:space="preserve">ents free from </w:t>
      </w:r>
      <w:proofErr w:type="spellStart"/>
      <w:r>
        <w:t>tBPAR</w:t>
      </w:r>
      <w:proofErr w:type="spellEnd"/>
      <w:r>
        <w:t xml:space="preserve"> at the 12 M</w:t>
      </w:r>
      <w:r w:rsidRPr="00E741BA">
        <w:t xml:space="preserve">onth analysis by treatment </w:t>
      </w:r>
      <w:r>
        <w:t xml:space="preserve">(Figure 4) </w:t>
      </w:r>
      <w:r w:rsidRPr="00E741BA">
        <w:t>shows the poorer outcome in the EVR</w:t>
      </w:r>
      <w:r>
        <w:t> </w:t>
      </w:r>
      <w:r w:rsidRPr="00E741BA">
        <w:t>+</w:t>
      </w:r>
      <w:r>
        <w:t> </w:t>
      </w:r>
      <w:r w:rsidRPr="00E741BA">
        <w:t>TAC elimination group.</w:t>
      </w:r>
    </w:p>
    <w:p w:rsidR="00287F50" w:rsidRPr="00E741BA" w:rsidRDefault="00287F50" w:rsidP="00287F50">
      <w:pPr>
        <w:pStyle w:val="FigureTitle"/>
        <w:keepNext/>
      </w:pPr>
      <w:r w:rsidRPr="00AD1CCD">
        <w:t xml:space="preserve">Figure </w:t>
      </w:r>
      <w:r>
        <w:t>4</w:t>
      </w:r>
      <w:r w:rsidRPr="00AD1CCD">
        <w:t xml:space="preserve">. Kaplan-Meier plot for the proportion of patients free from </w:t>
      </w:r>
      <w:proofErr w:type="spellStart"/>
      <w:r w:rsidRPr="00AD1CCD">
        <w:t>tBPAR</w:t>
      </w:r>
      <w:proofErr w:type="spellEnd"/>
      <w:r>
        <w:t xml:space="preserve"> </w:t>
      </w:r>
      <w:r w:rsidRPr="00AD1CCD">
        <w:t>(ITT population – 12 month analysis)</w:t>
      </w:r>
    </w:p>
    <w:p w:rsidR="00287F50" w:rsidRPr="00E741BA" w:rsidRDefault="00287F50" w:rsidP="00DB2CA6">
      <w:r w:rsidRPr="00E741BA">
        <w:rPr>
          <w:noProof/>
          <w:lang w:eastAsia="en-AU"/>
        </w:rPr>
        <w:drawing>
          <wp:inline distT="0" distB="0" distL="0" distR="0">
            <wp:extent cx="4036060" cy="2534742"/>
            <wp:effectExtent l="19050" t="0" r="2540" b="0"/>
            <wp:docPr id="8" name="Picture 32" descr="Figure 4. Kaplan-Meier plot for the proportion of patients free from tBPAR (ITT population – 12 month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cstate="print"/>
                    <a:srcRect l="558" b="5645"/>
                    <a:stretch>
                      <a:fillRect/>
                    </a:stretch>
                  </pic:blipFill>
                  <pic:spPr bwMode="auto">
                    <a:xfrm>
                      <a:off x="0" y="0"/>
                      <a:ext cx="4037138" cy="2535419"/>
                    </a:xfrm>
                    <a:prstGeom prst="rect">
                      <a:avLst/>
                    </a:prstGeom>
                    <a:noFill/>
                    <a:ln w="9525">
                      <a:noFill/>
                      <a:miter lim="800000"/>
                      <a:headEnd/>
                      <a:tailEnd/>
                    </a:ln>
                  </pic:spPr>
                </pic:pic>
              </a:graphicData>
            </a:graphic>
          </wp:inline>
        </w:drawing>
      </w:r>
    </w:p>
    <w:p w:rsidR="00287F50" w:rsidRPr="00E654CA" w:rsidRDefault="00287F50" w:rsidP="00287F50">
      <w:r w:rsidRPr="00E654CA">
        <w:t xml:space="preserve">Concerning renal function in this study, the adjusted LS mean change in </w:t>
      </w:r>
      <w:proofErr w:type="spellStart"/>
      <w:r w:rsidRPr="00E654CA">
        <w:t>eGFR</w:t>
      </w:r>
      <w:proofErr w:type="spellEnd"/>
      <w:r w:rsidRPr="00E654CA">
        <w:t xml:space="preserve"> (MDRD-4) from randomisation to Month 12 in the ITT population was </w:t>
      </w:r>
      <w:r>
        <w:noBreakHyphen/>
      </w:r>
      <w:r w:rsidRPr="00E654CA">
        <w:t>2.23 mL/min/1.73 m</w:t>
      </w:r>
      <w:r w:rsidRPr="005C69A4">
        <w:rPr>
          <w:vertAlign w:val="superscript"/>
        </w:rPr>
        <w:t>2</w:t>
      </w:r>
      <w:r w:rsidRPr="00E654CA">
        <w:t xml:space="preserve"> in the </w:t>
      </w:r>
      <w:r w:rsidRPr="00E654CA">
        <w:lastRenderedPageBreak/>
        <w:t>EVR + reduced TAC group, c</w:t>
      </w:r>
      <w:r>
        <w:t xml:space="preserve">ompared to </w:t>
      </w:r>
      <w:r>
        <w:noBreakHyphen/>
        <w:t>1.51 </w:t>
      </w:r>
      <w:r w:rsidRPr="00E654CA">
        <w:t>mL/min/1.73 m</w:t>
      </w:r>
      <w:r w:rsidRPr="005C69A4">
        <w:rPr>
          <w:vertAlign w:val="superscript"/>
        </w:rPr>
        <w:t>2</w:t>
      </w:r>
      <w:r w:rsidRPr="00E654CA">
        <w:t xml:space="preserve"> in the </w:t>
      </w:r>
      <w:r>
        <w:t xml:space="preserve">EVR + </w:t>
      </w:r>
      <w:r w:rsidRPr="00E654CA">
        <w:t xml:space="preserve">TAC elimination group </w:t>
      </w:r>
      <w:r>
        <w:t xml:space="preserve">and </w:t>
      </w:r>
      <w:r>
        <w:noBreakHyphen/>
      </w:r>
      <w:r w:rsidRPr="00E654CA">
        <w:t>10.73 mL/min/1.73 m</w:t>
      </w:r>
      <w:r w:rsidRPr="005C69A4">
        <w:rPr>
          <w:vertAlign w:val="superscript"/>
        </w:rPr>
        <w:t>2</w:t>
      </w:r>
      <w:r w:rsidRPr="00E654CA">
        <w:t xml:space="preserve"> in the TAC control group. The difference between the EVR + reduced TAC and TAC control group was 8.50 mL/min/1.73</w:t>
      </w:r>
      <w:r>
        <w:t xml:space="preserve"> </w:t>
      </w:r>
      <w:r w:rsidRPr="00E654CA">
        <w:t>m</w:t>
      </w:r>
      <w:r w:rsidRPr="00E654CA">
        <w:rPr>
          <w:vertAlign w:val="superscript"/>
        </w:rPr>
        <w:t>2</w:t>
      </w:r>
      <w:r w:rsidRPr="00E654CA">
        <w:t xml:space="preserve"> (97.5% CI: 3.74, 13.27)</w:t>
      </w:r>
      <w:r>
        <w:t>,</w:t>
      </w:r>
      <w:r w:rsidRPr="00E654CA">
        <w:t xml:space="preserve"> which was non-inferio</w:t>
      </w:r>
      <w:r>
        <w:t>r (</w:t>
      </w:r>
      <w:r>
        <w:noBreakHyphen/>
      </w:r>
      <w:r w:rsidRPr="00E654CA">
        <w:t>6 NI margin) and also statistically superior (p &lt; 0.001). Results from the PP population were similar with a LS mean difference of 10.40 mL/min/1.73 m</w:t>
      </w:r>
      <w:r w:rsidRPr="005C69A4">
        <w:rPr>
          <w:vertAlign w:val="superscript"/>
        </w:rPr>
        <w:t>2</w:t>
      </w:r>
      <w:r w:rsidRPr="00E654CA">
        <w:t xml:space="preserve"> (97.5% CI: 4.76, 16.05, p &lt; 0.0001). This effect on </w:t>
      </w:r>
      <w:proofErr w:type="spellStart"/>
      <w:r w:rsidRPr="00E654CA">
        <w:t>eGFR</w:t>
      </w:r>
      <w:proofErr w:type="spellEnd"/>
      <w:r w:rsidRPr="00E654CA">
        <w:t xml:space="preserve"> was statistically superior from Month 2 through to Month 12 in the ITT population. Similar results were also found when renal function was assessed by serum </w:t>
      </w:r>
      <w:proofErr w:type="spellStart"/>
      <w:r w:rsidRPr="00E654CA">
        <w:t>creatinine</w:t>
      </w:r>
      <w:proofErr w:type="spellEnd"/>
      <w:r w:rsidRPr="00E654CA">
        <w:t xml:space="preserve"> or when </w:t>
      </w:r>
      <w:proofErr w:type="spellStart"/>
      <w:r w:rsidRPr="00E654CA">
        <w:t>eGFR</w:t>
      </w:r>
      <w:proofErr w:type="spellEnd"/>
      <w:r w:rsidRPr="00E654CA">
        <w:t xml:space="preserve"> was estimated by </w:t>
      </w:r>
      <w:r>
        <w:t xml:space="preserve">several </w:t>
      </w:r>
      <w:r w:rsidRPr="00E654CA">
        <w:t>other methods.</w:t>
      </w:r>
    </w:p>
    <w:p w:rsidR="00287F50" w:rsidRPr="00653E11" w:rsidRDefault="00287F50" w:rsidP="00287F50">
      <w:r w:rsidRPr="00653E11">
        <w:t xml:space="preserve">Results of both primary and key secondary efficacy outcomes were consistent across subgroups of age, gender, race, region, </w:t>
      </w:r>
      <w:proofErr w:type="spellStart"/>
      <w:r w:rsidRPr="00653E11">
        <w:t>eGFR</w:t>
      </w:r>
      <w:proofErr w:type="spellEnd"/>
      <w:r w:rsidRPr="00653E11">
        <w:t>, HCV status, MELD score and cause of ESLD. Elimination of tacrolimus when patients were treated with everolimus was associated with a significant risk of efficacy failure and treatment with the regimen was required to be prematurely terminated.</w:t>
      </w:r>
    </w:p>
    <w:p w:rsidR="00287F50" w:rsidRPr="00E741BA" w:rsidRDefault="00287F50" w:rsidP="00287F50">
      <w:pPr>
        <w:pStyle w:val="Heading5"/>
      </w:pPr>
      <w:r w:rsidRPr="00E741BA">
        <w:t>Other efficacy studies</w:t>
      </w:r>
    </w:p>
    <w:p w:rsidR="00287F50" w:rsidRPr="00E741BA" w:rsidRDefault="00287F50" w:rsidP="00287F50">
      <w:r>
        <w:t>Study HDE10 was a 12 month, P</w:t>
      </w:r>
      <w:r w:rsidRPr="00E741BA">
        <w:t xml:space="preserve">hase III, multicentre, randomised, open label, parallel group study of the safety, tolerability and efficacy of an everolimus-based regimen compared to a CNI-based regimen in 203 adult patients with </w:t>
      </w:r>
      <w:r w:rsidRPr="00653E11">
        <w:rPr>
          <w:i/>
        </w:rPr>
        <w:t>de novo</w:t>
      </w:r>
      <w:r w:rsidRPr="00E741BA">
        <w:t xml:space="preserve"> liver transplantation. </w:t>
      </w:r>
    </w:p>
    <w:p w:rsidR="00287F50" w:rsidRPr="00E741BA" w:rsidRDefault="00287F50" w:rsidP="00287F50">
      <w:r w:rsidRPr="00E741BA">
        <w:t>The primary objective was to demonstrate, at 11 months post randomisation, superiority of renal function for the e</w:t>
      </w:r>
      <w:r>
        <w:t xml:space="preserve">verolimus </w:t>
      </w:r>
      <w:r w:rsidRPr="00E741BA">
        <w:t>based regimen with discontinuation o</w:t>
      </w:r>
      <w:r>
        <w:t xml:space="preserve">f CNI therapy compared to a CNI </w:t>
      </w:r>
      <w:r w:rsidRPr="00E741BA">
        <w:t xml:space="preserve">based regimen. Efficacy was a secondary objective. Patients received </w:t>
      </w:r>
      <w:proofErr w:type="spellStart"/>
      <w:r w:rsidRPr="00E741BA">
        <w:t>basilixiumab</w:t>
      </w:r>
      <w:proofErr w:type="spellEnd"/>
      <w:r w:rsidRPr="00E741BA">
        <w:t xml:space="preserve"> induction treatment and then at </w:t>
      </w:r>
      <w:r>
        <w:t>W</w:t>
      </w:r>
      <w:r w:rsidRPr="00E741BA">
        <w:t xml:space="preserve">eek 4, if eligible, were randomised to either continued CNI therapy or </w:t>
      </w:r>
      <w:r>
        <w:t xml:space="preserve">everolimus </w:t>
      </w:r>
      <w:r w:rsidRPr="00E741BA">
        <w:t xml:space="preserve">(1.5 mg bid) treatment with tapering CNI dose (reduced by 70% of dose then discontinued). </w:t>
      </w:r>
      <w:r>
        <w:t xml:space="preserve">The everolimus </w:t>
      </w:r>
      <w:r w:rsidRPr="00E741BA">
        <w:t xml:space="preserve">target level was 5-12 </w:t>
      </w:r>
      <w:proofErr w:type="spellStart"/>
      <w:r w:rsidRPr="00E741BA">
        <w:t>ng</w:t>
      </w:r>
      <w:proofErr w:type="spellEnd"/>
      <w:r w:rsidRPr="00E741BA">
        <w:t>/</w:t>
      </w:r>
      <w:proofErr w:type="spellStart"/>
      <w:r w:rsidRPr="00E741BA">
        <w:t>mL.</w:t>
      </w:r>
      <w:proofErr w:type="spellEnd"/>
    </w:p>
    <w:p w:rsidR="00287F50" w:rsidRPr="00E741BA" w:rsidRDefault="00287F50" w:rsidP="00287F50">
      <w:r w:rsidRPr="00E741BA">
        <w:t>The study did not reach its primary endpoint of superiority of re</w:t>
      </w:r>
      <w:r>
        <w:t xml:space="preserve">nal function with an everolimus </w:t>
      </w:r>
      <w:r w:rsidRPr="00E741BA">
        <w:t xml:space="preserve">based immunosuppressive regimen. For the secondary objectives relating to efficacy, </w:t>
      </w:r>
      <w:r>
        <w:t>t</w:t>
      </w:r>
      <w:r w:rsidRPr="00E741BA">
        <w:t xml:space="preserve">here were no significant differences between the treatment groups in single events or in the composite </w:t>
      </w:r>
      <w:r>
        <w:t xml:space="preserve">event </w:t>
      </w:r>
      <w:r w:rsidRPr="00E741BA">
        <w:t xml:space="preserve">of efficacy failure (BPAR, </w:t>
      </w:r>
      <w:r>
        <w:t>GL</w:t>
      </w:r>
      <w:r w:rsidRPr="00E741BA">
        <w:t xml:space="preserve">, </w:t>
      </w:r>
      <w:r>
        <w:t>D</w:t>
      </w:r>
      <w:r w:rsidRPr="00E741BA">
        <w:t xml:space="preserve">, loss to follow up) (17.7% </w:t>
      </w:r>
      <w:r>
        <w:t xml:space="preserve">versus </w:t>
      </w:r>
      <w:r w:rsidRPr="00E741BA">
        <w:t>14.3% p</w:t>
      </w:r>
      <w:r>
        <w:t> </w:t>
      </w:r>
      <w:r w:rsidRPr="00E741BA">
        <w:t>=</w:t>
      </w:r>
      <w:r>
        <w:t> </w:t>
      </w:r>
      <w:r w:rsidRPr="00E741BA">
        <w:t>0.56). There w</w:t>
      </w:r>
      <w:r>
        <w:t>ere</w:t>
      </w:r>
      <w:r w:rsidRPr="00E741BA">
        <w:t xml:space="preserve"> also no significant differences</w:t>
      </w:r>
      <w:r>
        <w:t xml:space="preserve"> in these endpoints on Kaplan-</w:t>
      </w:r>
      <w:r w:rsidRPr="00E741BA">
        <w:t>Meier estimates.</w:t>
      </w:r>
    </w:p>
    <w:p w:rsidR="00287F50" w:rsidRPr="00E741BA" w:rsidRDefault="00287F50" w:rsidP="00287F50">
      <w:r w:rsidRPr="00E741BA">
        <w:t xml:space="preserve">Study H2401 was a </w:t>
      </w:r>
      <w:r>
        <w:t>P</w:t>
      </w:r>
      <w:r w:rsidRPr="00E741BA">
        <w:t xml:space="preserve">hase III, </w:t>
      </w:r>
      <w:r>
        <w:t xml:space="preserve">6 </w:t>
      </w:r>
      <w:r w:rsidRPr="00E741BA">
        <w:t xml:space="preserve">month, multicentre, randomised, open-label study of the safety and efficacy of everolimus-based regimen compared to a CNI-based regimen in 145 maintenance liver transplant recipients with CNI-related renal impairment. The primary objective was to determine whether everolimus together with reduction or discontinuation of CNI in maintenance liver transplant patients with CNI-related renal impairment would improve renal function as measured by the change in </w:t>
      </w:r>
      <w:proofErr w:type="spellStart"/>
      <w:r w:rsidRPr="00E741BA">
        <w:t>cGFR</w:t>
      </w:r>
      <w:proofErr w:type="spellEnd"/>
      <w:r w:rsidRPr="00E741BA">
        <w:t xml:space="preserve"> from baseline to </w:t>
      </w:r>
      <w:r>
        <w:t>M</w:t>
      </w:r>
      <w:r w:rsidRPr="00E741BA">
        <w:t xml:space="preserve">onth 6. Measures of efficacy (BPAR, </w:t>
      </w:r>
      <w:r>
        <w:t>GL</w:t>
      </w:r>
      <w:r w:rsidRPr="00E741BA">
        <w:t xml:space="preserve"> and </w:t>
      </w:r>
      <w:r>
        <w:t>D</w:t>
      </w:r>
      <w:r w:rsidRPr="00E741BA">
        <w:t xml:space="preserve">) and safety were secondary objectives. Patients were followed up again at 12 months. </w:t>
      </w:r>
    </w:p>
    <w:p w:rsidR="00287F50" w:rsidRPr="00E741BA" w:rsidRDefault="00287F50" w:rsidP="00287F50">
      <w:r w:rsidRPr="00E741BA">
        <w:t xml:space="preserve">At 6 </w:t>
      </w:r>
      <w:r>
        <w:t>m</w:t>
      </w:r>
      <w:r w:rsidRPr="00E741BA">
        <w:t>onths, the composite efficacy failure (BPAR/GL/D) rate was 2.8% (n</w:t>
      </w:r>
      <w:r>
        <w:t> </w:t>
      </w:r>
      <w:r w:rsidRPr="00E741BA">
        <w:t>=</w:t>
      </w:r>
      <w:r>
        <w:t> </w:t>
      </w:r>
      <w:r w:rsidRPr="00E741BA">
        <w:t>2) in the everolimus group and 1.4% (n</w:t>
      </w:r>
      <w:r>
        <w:t> </w:t>
      </w:r>
      <w:r w:rsidRPr="00E741BA">
        <w:t>=</w:t>
      </w:r>
      <w:r>
        <w:t> </w:t>
      </w:r>
      <w:r w:rsidRPr="00E741BA">
        <w:t>1) in the CNI control group. The difference of 1.5% (95% CI: -3.2, 6.0%) was not significant (p</w:t>
      </w:r>
      <w:r>
        <w:t> </w:t>
      </w:r>
      <w:r w:rsidRPr="00E741BA">
        <w:t>=</w:t>
      </w:r>
      <w:r>
        <w:t> </w:t>
      </w:r>
      <w:r w:rsidRPr="00E741BA">
        <w:t xml:space="preserve">0.552). In the follow up from 7 to 12 </w:t>
      </w:r>
      <w:r>
        <w:t>m</w:t>
      </w:r>
      <w:r w:rsidRPr="00E741BA">
        <w:t xml:space="preserve">onths, there were a further 2 deaths and 2 cases of acute rejection in the EVR group and 2 deaths in the CNI control group. It was noted that after </w:t>
      </w:r>
      <w:r>
        <w:t>M</w:t>
      </w:r>
      <w:r w:rsidRPr="00E741BA">
        <w:t>onth 6</w:t>
      </w:r>
      <w:r>
        <w:t>,</w:t>
      </w:r>
      <w:r w:rsidRPr="00E741BA">
        <w:t xml:space="preserve"> other immunosuppressant therapies were allowed.</w:t>
      </w:r>
    </w:p>
    <w:p w:rsidR="00287F50" w:rsidRPr="00E741BA" w:rsidRDefault="00287F50" w:rsidP="00287F50">
      <w:r w:rsidRPr="00E741BA">
        <w:t>Study H2301</w:t>
      </w:r>
      <w:r>
        <w:t>:</w:t>
      </w:r>
      <w:r w:rsidRPr="00E741BA">
        <w:t xml:space="preserve"> An interim </w:t>
      </w:r>
      <w:r>
        <w:t xml:space="preserve">CSR </w:t>
      </w:r>
      <w:r w:rsidRPr="00E741BA">
        <w:t>for H2301</w:t>
      </w:r>
      <w:r>
        <w:t xml:space="preserve"> (</w:t>
      </w:r>
      <w:r w:rsidRPr="00E741BA">
        <w:t>dated August 2011</w:t>
      </w:r>
      <w:r>
        <w:t>)</w:t>
      </w:r>
      <w:r w:rsidRPr="00E741BA">
        <w:t xml:space="preserve"> was included in the dossier. H2301 was described as an exploratory study which aimed to assess the efficacy of everolimus in inhibiting fibrosis progression in 43 liver transplant recipients with recurrent hepatitis C. </w:t>
      </w:r>
      <w:r>
        <w:t>It was a 24 month</w:t>
      </w:r>
      <w:r w:rsidRPr="00E741BA">
        <w:t xml:space="preserve">, randomised, multicentre, open label, parallel group trial conducted at 6 centres in Argentina between November 2006 and January </w:t>
      </w:r>
      <w:r w:rsidRPr="00E741BA">
        <w:lastRenderedPageBreak/>
        <w:t>2010. The study was terminated prematurely after the 12 month biopsy due to a high drop-out rate.</w:t>
      </w:r>
    </w:p>
    <w:p w:rsidR="00287F50" w:rsidRPr="00E741BA" w:rsidRDefault="00287F50" w:rsidP="00287F50">
      <w:r w:rsidRPr="00E741BA">
        <w:t xml:space="preserve">This exploratory study in 43 liver transplant patients with recurrent HCV was terminated early due to a high drop-out rate, particularly due to AEs, and only an interim </w:t>
      </w:r>
      <w:r>
        <w:t xml:space="preserve">CSR </w:t>
      </w:r>
      <w:r w:rsidRPr="00E741BA">
        <w:t xml:space="preserve">was provided. Data were primarily based on 32 biopsies at 12 months, rather than at 24 months. In addition, the groups were not well balanced at baseline. The data showed a lower mean fibrosis (IK) score at </w:t>
      </w:r>
      <w:r>
        <w:t>M</w:t>
      </w:r>
      <w:r w:rsidRPr="00E741BA">
        <w:t xml:space="preserve">onth 12 with </w:t>
      </w:r>
      <w:r>
        <w:t xml:space="preserve">everolimus </w:t>
      </w:r>
      <w:r w:rsidRPr="00E741BA">
        <w:t>compared to CNI treatment. However, due to the factors listed, the results of this study cannot be viewed as conclusive.</w:t>
      </w:r>
    </w:p>
    <w:p w:rsidR="00287F50" w:rsidRPr="00E741BA" w:rsidRDefault="00287F50" w:rsidP="00287F50">
      <w:r w:rsidRPr="00E741BA">
        <w:t xml:space="preserve">There were no </w:t>
      </w:r>
      <w:r>
        <w:t xml:space="preserve">efficacy </w:t>
      </w:r>
      <w:r w:rsidRPr="00E741BA">
        <w:t>analyses across trials.</w:t>
      </w:r>
    </w:p>
    <w:p w:rsidR="00287F50" w:rsidRPr="00E741BA" w:rsidRDefault="00287F50" w:rsidP="00287F50">
      <w:pPr>
        <w:pStyle w:val="Heading5"/>
      </w:pPr>
      <w:r w:rsidRPr="00E741BA">
        <w:t>Efficacy conclusions</w:t>
      </w:r>
    </w:p>
    <w:p w:rsidR="00287F50" w:rsidRPr="00E741BA" w:rsidRDefault="00287F50" w:rsidP="00287F50">
      <w:r w:rsidRPr="00E741BA">
        <w:t>The pivotal study met its primary objective as treatment commencing one month post transplantatio</w:t>
      </w:r>
      <w:r>
        <w:t>n with a regimen of everolimus and</w:t>
      </w:r>
      <w:r w:rsidRPr="00E741BA">
        <w:t xml:space="preserve"> reduced tacrolimus </w:t>
      </w:r>
      <w:r>
        <w:t xml:space="preserve">dose </w:t>
      </w:r>
      <w:r w:rsidRPr="00E741BA">
        <w:t xml:space="preserve">was found to be statistically non-inferior (NI margin 12%) to treatment with tacrolimus alone at 12 months when measured by the composite endpoint of </w:t>
      </w:r>
      <w:proofErr w:type="spellStart"/>
      <w:r w:rsidRPr="00E741BA">
        <w:t>tBPAR</w:t>
      </w:r>
      <w:proofErr w:type="spellEnd"/>
      <w:r w:rsidRPr="00E741BA">
        <w:t xml:space="preserve">/GL/D (6.7% </w:t>
      </w:r>
      <w:r>
        <w:t>versus</w:t>
      </w:r>
      <w:r w:rsidRPr="00E741BA">
        <w:t xml:space="preserve"> 9.7%) with </w:t>
      </w:r>
      <w:r>
        <w:t xml:space="preserve">a </w:t>
      </w:r>
      <w:r w:rsidRPr="00E741BA">
        <w:t>difference of -3.0% (97.5% CI: -8.7%, 2.6%, p</w:t>
      </w:r>
      <w:r>
        <w:t> </w:t>
      </w:r>
      <w:r w:rsidRPr="00E741BA">
        <w:t>&lt;</w:t>
      </w:r>
      <w:r>
        <w:t> </w:t>
      </w:r>
      <w:r w:rsidRPr="00E741BA">
        <w:t>0.001). Non-inferiority was also achieved on other efficacy endpoints of GL/D/loss to follow up and GL/D</w:t>
      </w:r>
      <w:r>
        <w:t>,</w:t>
      </w:r>
      <w:r w:rsidRPr="00E741BA">
        <w:t xml:space="preserve"> and </w:t>
      </w:r>
      <w:r>
        <w:t xml:space="preserve">was </w:t>
      </w:r>
      <w:r w:rsidRPr="00E741BA">
        <w:t xml:space="preserve">supported by the PP analysis. There was statistically superior renal function as measured by mean change in </w:t>
      </w:r>
      <w:proofErr w:type="spellStart"/>
      <w:r w:rsidRPr="00E741BA">
        <w:t>eGFR</w:t>
      </w:r>
      <w:proofErr w:type="spellEnd"/>
      <w:r w:rsidRPr="00E741BA">
        <w:t xml:space="preserve"> with a difference of 8.50 mL/min/1.73 m</w:t>
      </w:r>
      <w:r w:rsidRPr="005C69A4">
        <w:rPr>
          <w:vertAlign w:val="superscript"/>
        </w:rPr>
        <w:t>2</w:t>
      </w:r>
      <w:r w:rsidRPr="00E741BA">
        <w:t xml:space="preserve"> (97.5% CI: 3.74, 13.27, p&lt;0.001) in favour of </w:t>
      </w:r>
      <w:r>
        <w:t xml:space="preserve">the EVR </w:t>
      </w:r>
      <w:r w:rsidRPr="00E741BA">
        <w:t xml:space="preserve">+ reduced TAC </w:t>
      </w:r>
      <w:r>
        <w:t xml:space="preserve">group </w:t>
      </w:r>
      <w:r w:rsidRPr="00E741BA">
        <w:t xml:space="preserve">compared to </w:t>
      </w:r>
      <w:r>
        <w:t xml:space="preserve">the </w:t>
      </w:r>
      <w:r w:rsidRPr="00E741BA">
        <w:t>TAC control.</w:t>
      </w:r>
    </w:p>
    <w:p w:rsidR="00287F50" w:rsidRPr="00E741BA" w:rsidRDefault="00287F50" w:rsidP="00287F50">
      <w:r w:rsidRPr="00E741BA">
        <w:t xml:space="preserve">Overall, the effect appeared more related to a reduced rate of acute rejection episodes (3.7% </w:t>
      </w:r>
      <w:r>
        <w:t>versus 10.7%)</w:t>
      </w:r>
      <w:r w:rsidRPr="00E741BA">
        <w:t xml:space="preserve"> rather than reduced </w:t>
      </w:r>
      <w:r>
        <w:t xml:space="preserve">GL </w:t>
      </w:r>
      <w:r w:rsidRPr="00E741BA">
        <w:t xml:space="preserve">or </w:t>
      </w:r>
      <w:r>
        <w:t>D</w:t>
      </w:r>
      <w:r w:rsidRPr="00E741BA">
        <w:t>. The study found that a reduction of tacrolimus was possible with the addition of everolimus post hepatitis transplantation without an increase in efficacy failure at 12 months post transplantation. It was also found that efficacy was unacceptable when everolimus was used without continuing tacrolimus concomitantly.</w:t>
      </w:r>
    </w:p>
    <w:p w:rsidR="00287F50" w:rsidRPr="00E741BA" w:rsidRDefault="00287F50" w:rsidP="00287F50">
      <w:r w:rsidRPr="00E741BA">
        <w:t xml:space="preserve">The </w:t>
      </w:r>
      <w:r>
        <w:t xml:space="preserve">PI </w:t>
      </w:r>
      <w:r w:rsidRPr="00E741BA">
        <w:t>adequately summarises the clinical efficacy data in hepatic transplantation with the exception of a failure to state the risks of tacrolimus elimination.</w:t>
      </w:r>
    </w:p>
    <w:p w:rsidR="00287F50" w:rsidRPr="00E741BA" w:rsidRDefault="00287F50" w:rsidP="00287F50">
      <w:r w:rsidRPr="00E741BA">
        <w:t>One supportive study (HDE10) did not reach its primary endpoint of superiority of renal function with an everolimus</w:t>
      </w:r>
      <w:r>
        <w:t xml:space="preserve"> </w:t>
      </w:r>
      <w:r w:rsidRPr="00E741BA">
        <w:t>based immunosuppressive r</w:t>
      </w:r>
      <w:r>
        <w:t xml:space="preserve">egimen compared to a CNI </w:t>
      </w:r>
      <w:r w:rsidRPr="00E741BA">
        <w:t xml:space="preserve">based regimen. Regarding efficacy, there were no significant differences between the treatment groups in single events or in the composite of efficacy failure (BPAR, </w:t>
      </w:r>
      <w:r>
        <w:t>GL</w:t>
      </w:r>
      <w:r w:rsidRPr="00E741BA">
        <w:t xml:space="preserve">, </w:t>
      </w:r>
      <w:r>
        <w:t>D</w:t>
      </w:r>
      <w:r w:rsidRPr="00E741BA">
        <w:t xml:space="preserve">, loss to follow up) (17.7% </w:t>
      </w:r>
      <w:r>
        <w:t>versus</w:t>
      </w:r>
      <w:r w:rsidRPr="00E741BA">
        <w:t xml:space="preserve"> 14.3% p</w:t>
      </w:r>
      <w:r>
        <w:t> </w:t>
      </w:r>
      <w:r w:rsidRPr="00E741BA">
        <w:t>=</w:t>
      </w:r>
      <w:r>
        <w:t> </w:t>
      </w:r>
      <w:r w:rsidRPr="00E741BA">
        <w:t xml:space="preserve">0.56). </w:t>
      </w:r>
    </w:p>
    <w:p w:rsidR="00287F50" w:rsidRPr="00E741BA" w:rsidRDefault="00287F50" w:rsidP="00287F50">
      <w:r w:rsidRPr="00E741BA">
        <w:t>The two other studies do not add to the pivotal findings.</w:t>
      </w:r>
    </w:p>
    <w:p w:rsidR="00287F50" w:rsidRPr="00E741BA" w:rsidRDefault="00287F50" w:rsidP="00287F50">
      <w:pPr>
        <w:pStyle w:val="Heading4"/>
      </w:pPr>
      <w:r w:rsidRPr="00E741BA">
        <w:t>Safety in re</w:t>
      </w:r>
      <w:r>
        <w:t>cipients of hepatic transplants</w:t>
      </w:r>
    </w:p>
    <w:p w:rsidR="00287F50" w:rsidRPr="00E741BA" w:rsidRDefault="00287F50" w:rsidP="00287F50">
      <w:r w:rsidRPr="00E741BA">
        <w:t xml:space="preserve">In the controlled hepatic transplantation studies in the dossier there were 759 patients exposed to everolimus </w:t>
      </w:r>
      <w:r>
        <w:t xml:space="preserve">(see Table 3 of this AusPAR, above) </w:t>
      </w:r>
    </w:p>
    <w:p w:rsidR="00287F50" w:rsidRPr="00A56717" w:rsidRDefault="00287F50" w:rsidP="00287F50">
      <w:r w:rsidRPr="00A56717">
        <w:t>In Study H2304, AEs were reported in 94.7%, 93.9% and 95.0% of the EVR</w:t>
      </w:r>
      <w:r>
        <w:t> </w:t>
      </w:r>
      <w:r w:rsidRPr="00A56717">
        <w:t>+</w:t>
      </w:r>
      <w:r>
        <w:t> </w:t>
      </w:r>
      <w:r w:rsidRPr="00A56717">
        <w:t xml:space="preserve">reduced TAC, </w:t>
      </w:r>
      <w:r>
        <w:t xml:space="preserve">EVR + </w:t>
      </w:r>
      <w:r w:rsidRPr="00A56717">
        <w:t xml:space="preserve">TAC elimination and TAC control groups, respectively. The most commonly reported primary </w:t>
      </w:r>
      <w:r>
        <w:t>System Organ Classes (</w:t>
      </w:r>
      <w:r w:rsidRPr="00A56717">
        <w:t>SOCs</w:t>
      </w:r>
      <w:r>
        <w:t>)</w:t>
      </w:r>
      <w:r w:rsidRPr="00A56717">
        <w:t xml:space="preserve"> were gastrointestinal disorders, infections/infestations, metabolism/nutrition disorders and general/administrative site conditions. Infections/infestations (50.2% </w:t>
      </w:r>
      <w:r>
        <w:t>versus</w:t>
      </w:r>
      <w:r w:rsidRPr="00A56717">
        <w:t xml:space="preserve"> 43.6%) and blood/lymphatic disorders (26.9% </w:t>
      </w:r>
      <w:r>
        <w:t>versus</w:t>
      </w:r>
      <w:r w:rsidRPr="00A56717">
        <w:t xml:space="preserve"> 19.5%) were notably more frequent in the everolimus 1.5 mg than the control group.</w:t>
      </w:r>
    </w:p>
    <w:p w:rsidR="00287F50" w:rsidRPr="00A56717" w:rsidRDefault="00287F50" w:rsidP="00287F50">
      <w:r w:rsidRPr="00A56717">
        <w:t xml:space="preserve">In H2304 over 12 months, the commonly reported AEs (rates for the </w:t>
      </w:r>
      <w:r>
        <w:t xml:space="preserve">everolimus </w:t>
      </w:r>
      <w:r w:rsidRPr="00A56717">
        <w:t xml:space="preserve">1.5 mg </w:t>
      </w:r>
      <w:r>
        <w:t>versus</w:t>
      </w:r>
      <w:r w:rsidRPr="00A56717">
        <w:t xml:space="preserve"> TAC control group) were diarrhoea (19.2% </w:t>
      </w:r>
      <w:r>
        <w:t>versus</w:t>
      </w:r>
      <w:r w:rsidRPr="00A56717">
        <w:t xml:space="preserve"> 20.7%), headache (19.2% </w:t>
      </w:r>
      <w:r>
        <w:t>versus</w:t>
      </w:r>
      <w:r w:rsidRPr="00A56717">
        <w:t xml:space="preserve"> 19.1%), pyrexia (13.1% </w:t>
      </w:r>
      <w:r>
        <w:t xml:space="preserve">versus </w:t>
      </w:r>
      <w:r w:rsidRPr="00A56717">
        <w:t xml:space="preserve">10.4%), hypertension (17.1% </w:t>
      </w:r>
      <w:r>
        <w:t>versus</w:t>
      </w:r>
      <w:r w:rsidRPr="00A56717">
        <w:t xml:space="preserve"> 15.8%), peripheral oedema (17.6% </w:t>
      </w:r>
      <w:r>
        <w:t>versus</w:t>
      </w:r>
      <w:r w:rsidRPr="00A56717">
        <w:t xml:space="preserve"> 10.8%), nausea (13.5% </w:t>
      </w:r>
      <w:r>
        <w:t>versus</w:t>
      </w:r>
      <w:r w:rsidRPr="00A56717">
        <w:t xml:space="preserve"> 11.6%) and abdominal pain (13.1% </w:t>
      </w:r>
      <w:r>
        <w:t>versus</w:t>
      </w:r>
      <w:r w:rsidRPr="00A56717">
        <w:t xml:space="preserve"> 9.1%)</w:t>
      </w:r>
      <w:r>
        <w:t>.</w:t>
      </w:r>
      <w:r w:rsidRPr="00A56717">
        <w:t xml:space="preserve"> </w:t>
      </w:r>
    </w:p>
    <w:p w:rsidR="00287F50" w:rsidRPr="00A56717" w:rsidRDefault="00287F50" w:rsidP="00287F50">
      <w:r w:rsidRPr="00A56717">
        <w:lastRenderedPageBreak/>
        <w:t>The rate of mild, moderate and severe AEs</w:t>
      </w:r>
      <w:r>
        <w:t xml:space="preserve"> </w:t>
      </w:r>
      <w:r w:rsidRPr="00A56717">
        <w:t>was</w:t>
      </w:r>
      <w:r>
        <w:t>,</w:t>
      </w:r>
      <w:r w:rsidRPr="00A56717">
        <w:t xml:space="preserve"> </w:t>
      </w:r>
      <w:r>
        <w:t>respectively,</w:t>
      </w:r>
      <w:r w:rsidRPr="00A56717">
        <w:t xml:space="preserve"> 14.3%, 49.0% and 31.4% in the everolimus 1.5 mg group. These proportions were similar in the everolimus 3.0 mg group, while in the TAC control group there were more mild and less severe AEs (27.8%, 46.5% and 20.3%</w:t>
      </w:r>
      <w:r>
        <w:t>, respectively</w:t>
      </w:r>
      <w:r w:rsidRPr="00A56717">
        <w:t>).</w:t>
      </w:r>
    </w:p>
    <w:p w:rsidR="00287F50" w:rsidRDefault="00287F50" w:rsidP="00287F50">
      <w:r w:rsidRPr="00A56717">
        <w:t xml:space="preserve">Compared to </w:t>
      </w:r>
      <w:r>
        <w:t xml:space="preserve">Study </w:t>
      </w:r>
      <w:r w:rsidRPr="00A56717">
        <w:t>A2309 in renal transplant (</w:t>
      </w:r>
      <w:r>
        <w:t xml:space="preserve">everolimus </w:t>
      </w:r>
      <w:r w:rsidRPr="00A56717">
        <w:t>+</w:t>
      </w:r>
      <w:r>
        <w:t> </w:t>
      </w:r>
      <w:r w:rsidRPr="00A56717">
        <w:t xml:space="preserve">reduced </w:t>
      </w:r>
      <w:r>
        <w:t xml:space="preserve">cyclosporin </w:t>
      </w:r>
      <w:r w:rsidRPr="00A56717">
        <w:t xml:space="preserve">group), the most frequent AEs did not occur at a higher rate in </w:t>
      </w:r>
      <w:r>
        <w:t xml:space="preserve">Study </w:t>
      </w:r>
      <w:r w:rsidRPr="00A56717">
        <w:t>H2304 (EVR</w:t>
      </w:r>
      <w:r>
        <w:t> </w:t>
      </w:r>
      <w:r w:rsidRPr="00A56717">
        <w:t>+</w:t>
      </w:r>
      <w:r>
        <w:t> </w:t>
      </w:r>
      <w:r w:rsidRPr="00A56717">
        <w:t>reduced TAC group) (</w:t>
      </w:r>
      <w:r>
        <w:t>Table 6).</w:t>
      </w:r>
    </w:p>
    <w:p w:rsidR="00287F50" w:rsidRPr="008B6034" w:rsidRDefault="00287F50" w:rsidP="00DB2CA6">
      <w:pPr>
        <w:pStyle w:val="TableTitle"/>
      </w:pPr>
      <w:r>
        <w:t>Table 6</w:t>
      </w:r>
      <w:r w:rsidRPr="008B6034">
        <w:t>. Number (%) of patients with most frequent (≥ 10% in any treatment group) AEs including infections by primary SOC, preferred term and treatment in Study H2304 compared to Study A2309 (Study H2304, Safety population – 12 month analysis; Study A2309, Safety population – 12 month analysis)</w:t>
      </w:r>
    </w:p>
    <w:p w:rsidR="00287F50" w:rsidRPr="00E741BA" w:rsidRDefault="00287F50" w:rsidP="00DB2CA6">
      <w:r w:rsidRPr="00E741BA">
        <w:rPr>
          <w:noProof/>
          <w:lang w:eastAsia="en-AU"/>
        </w:rPr>
        <w:drawing>
          <wp:inline distT="0" distB="0" distL="0" distR="0">
            <wp:extent cx="4955721" cy="4205259"/>
            <wp:effectExtent l="19050" t="0" r="0" b="0"/>
            <wp:docPr id="10" name="Picture 7" descr="Table 6. Number (%) of patients with most frequent (≥ 10% in any treatment group) AEs including infections by primary SOC, preferred term and treatment in Study H2304 compared to Study A2309 (Study H2304, Safety population – 12 month analysis; Study A2309, Safety population – 12 month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srcRect b="3440"/>
                    <a:stretch>
                      <a:fillRect/>
                    </a:stretch>
                  </pic:blipFill>
                  <pic:spPr bwMode="auto">
                    <a:xfrm>
                      <a:off x="0" y="0"/>
                      <a:ext cx="4959689" cy="4208626"/>
                    </a:xfrm>
                    <a:prstGeom prst="rect">
                      <a:avLst/>
                    </a:prstGeom>
                    <a:noFill/>
                    <a:ln w="9525">
                      <a:noFill/>
                      <a:miter lim="800000"/>
                      <a:headEnd/>
                      <a:tailEnd/>
                    </a:ln>
                  </pic:spPr>
                </pic:pic>
              </a:graphicData>
            </a:graphic>
          </wp:inline>
        </w:drawing>
      </w:r>
    </w:p>
    <w:p w:rsidR="00287F50" w:rsidRPr="00E741BA" w:rsidRDefault="00287F50" w:rsidP="006E50E7">
      <w:pPr>
        <w:spacing w:before="360"/>
      </w:pPr>
      <w:r w:rsidRPr="00E741BA">
        <w:t xml:space="preserve">The </w:t>
      </w:r>
      <w:r>
        <w:t xml:space="preserve">CER </w:t>
      </w:r>
      <w:r w:rsidRPr="00E741BA">
        <w:t xml:space="preserve">notes that in </w:t>
      </w:r>
      <w:r>
        <w:t xml:space="preserve">Study </w:t>
      </w:r>
      <w:r w:rsidRPr="00E741BA">
        <w:t xml:space="preserve">H2304 there was a delay </w:t>
      </w:r>
      <w:r>
        <w:t xml:space="preserve">of one month </w:t>
      </w:r>
      <w:r w:rsidRPr="00E741BA">
        <w:t>post transplantation prior</w:t>
      </w:r>
      <w:r>
        <w:t xml:space="preserve"> </w:t>
      </w:r>
      <w:r w:rsidRPr="00E741BA">
        <w:t xml:space="preserve">to commencing everolimus. The sponsor states this has assisted in reducing wound healing complications.  </w:t>
      </w:r>
    </w:p>
    <w:p w:rsidR="00287F50" w:rsidRPr="00E741BA" w:rsidRDefault="00287F50" w:rsidP="00287F50">
      <w:r w:rsidRPr="00E741BA">
        <w:t xml:space="preserve">Concerning infections, the rate of infections was highest in the </w:t>
      </w:r>
      <w:r>
        <w:t xml:space="preserve">EVR + </w:t>
      </w:r>
      <w:r w:rsidRPr="00E741BA">
        <w:t>TAC elimination group (49.4%, 53.0% and 45.6%</w:t>
      </w:r>
      <w:r>
        <w:t>, respectively,</w:t>
      </w:r>
      <w:r w:rsidRPr="00E741BA">
        <w:t xml:space="preserve"> in </w:t>
      </w:r>
      <w:r>
        <w:t xml:space="preserve">the </w:t>
      </w:r>
      <w:r w:rsidRPr="00E741BA">
        <w:t>EVR</w:t>
      </w:r>
      <w:r>
        <w:t> </w:t>
      </w:r>
      <w:r w:rsidRPr="00E741BA">
        <w:t>+</w:t>
      </w:r>
      <w:r>
        <w:t xml:space="preserve"> </w:t>
      </w:r>
      <w:r w:rsidRPr="00E741BA">
        <w:t xml:space="preserve">reduced TAC, </w:t>
      </w:r>
      <w:r>
        <w:t>EVR + </w:t>
      </w:r>
      <w:r w:rsidRPr="00E741BA">
        <w:t xml:space="preserve">TAC elimination and TAC control groups). The most frequent infections were </w:t>
      </w:r>
      <w:r w:rsidRPr="008B6034">
        <w:rPr>
          <w:i/>
        </w:rPr>
        <w:t>E</w:t>
      </w:r>
      <w:r>
        <w:rPr>
          <w:i/>
        </w:rPr>
        <w:t>scherichia</w:t>
      </w:r>
      <w:r w:rsidRPr="008B6034">
        <w:rPr>
          <w:i/>
        </w:rPr>
        <w:t xml:space="preserve"> coli</w:t>
      </w:r>
      <w:r w:rsidRPr="00E741BA">
        <w:t>, HCV and unknown organism In H2304, randomisation was stratified by HCV status.</w:t>
      </w:r>
    </w:p>
    <w:p w:rsidR="00287F50" w:rsidRPr="00E741BA" w:rsidRDefault="00287F50" w:rsidP="00287F50">
      <w:r w:rsidRPr="00E741BA">
        <w:t xml:space="preserve">Rates of specific interest AEs in H2304 and A2309 </w:t>
      </w:r>
      <w:r>
        <w:t>we</w:t>
      </w:r>
      <w:r w:rsidRPr="00E741BA">
        <w:t>re compared</w:t>
      </w:r>
      <w:r>
        <w:t>.</w:t>
      </w:r>
      <w:r w:rsidRPr="00E741BA">
        <w:t xml:space="preserve"> </w:t>
      </w:r>
      <w:r>
        <w:t>T</w:t>
      </w:r>
      <w:r w:rsidRPr="00E741BA">
        <w:t>he hepatic transplantation patients</w:t>
      </w:r>
      <w:r>
        <w:t xml:space="preserve"> showed</w:t>
      </w:r>
      <w:r w:rsidRPr="00E741BA">
        <w:t xml:space="preserve"> a lower rate of anaemia</w:t>
      </w:r>
      <w:r>
        <w:t>,</w:t>
      </w:r>
      <w:r w:rsidRPr="00E741BA">
        <w:t xml:space="preserve"> </w:t>
      </w:r>
      <w:proofErr w:type="spellStart"/>
      <w:r w:rsidRPr="00E741BA">
        <w:t>angioedema</w:t>
      </w:r>
      <w:proofErr w:type="spellEnd"/>
      <w:r w:rsidRPr="00E741BA">
        <w:t xml:space="preserve">, cardiovascular events, </w:t>
      </w:r>
      <w:proofErr w:type="spellStart"/>
      <w:r w:rsidRPr="00E741BA">
        <w:t>hyperlipidaemia</w:t>
      </w:r>
      <w:proofErr w:type="spellEnd"/>
      <w:r w:rsidRPr="00E741BA">
        <w:t xml:space="preserve">, peripheral oedema, </w:t>
      </w:r>
      <w:proofErr w:type="spellStart"/>
      <w:r w:rsidRPr="00E741BA">
        <w:t>proteinuria</w:t>
      </w:r>
      <w:proofErr w:type="spellEnd"/>
      <w:r w:rsidRPr="00E741BA">
        <w:t>, renal failure, thrombotic/</w:t>
      </w:r>
      <w:proofErr w:type="spellStart"/>
      <w:r w:rsidRPr="00E741BA">
        <w:t>thromoboembolic</w:t>
      </w:r>
      <w:proofErr w:type="spellEnd"/>
      <w:r w:rsidRPr="00E741BA">
        <w:t xml:space="preserve"> events and wound hea</w:t>
      </w:r>
      <w:r>
        <w:t>ling complications</w:t>
      </w:r>
      <w:r w:rsidRPr="00E741BA">
        <w:t xml:space="preserve">. Hepatic transplant patients </w:t>
      </w:r>
      <w:r>
        <w:t xml:space="preserve">versus renal implant patients </w:t>
      </w:r>
      <w:r w:rsidRPr="00E741BA">
        <w:t xml:space="preserve">had higher rates of </w:t>
      </w:r>
      <w:proofErr w:type="spellStart"/>
      <w:r w:rsidRPr="00E741BA">
        <w:t>incisional</w:t>
      </w:r>
      <w:proofErr w:type="spellEnd"/>
      <w:r w:rsidRPr="00E741BA">
        <w:t xml:space="preserve"> hernia (6.9% </w:t>
      </w:r>
      <w:r>
        <w:t>versus</w:t>
      </w:r>
      <w:r w:rsidRPr="00E741BA">
        <w:t xml:space="preserve"> 1.8%), </w:t>
      </w:r>
      <w:proofErr w:type="spellStart"/>
      <w:r w:rsidRPr="00E741BA">
        <w:t>ascites</w:t>
      </w:r>
      <w:proofErr w:type="spellEnd"/>
      <w:r w:rsidRPr="00E741BA">
        <w:t xml:space="preserve"> (4.1% </w:t>
      </w:r>
      <w:r>
        <w:t>versus</w:t>
      </w:r>
      <w:r w:rsidRPr="00E741BA">
        <w:t xml:space="preserve"> 0.4%), thrombocytopenia (5.7% </w:t>
      </w:r>
      <w:r>
        <w:t>versus</w:t>
      </w:r>
      <w:r w:rsidRPr="00E741BA">
        <w:t xml:space="preserve"> 2.9%) and new onset diabetes (19.6% </w:t>
      </w:r>
      <w:r>
        <w:t>versus</w:t>
      </w:r>
      <w:r w:rsidRPr="00E741BA">
        <w:t xml:space="preserve"> 9.1%)</w:t>
      </w:r>
      <w:r>
        <w:t>.</w:t>
      </w:r>
    </w:p>
    <w:p w:rsidR="00287F50" w:rsidRPr="00E741BA" w:rsidRDefault="00287F50" w:rsidP="00287F50">
      <w:r w:rsidRPr="00E741BA">
        <w:lastRenderedPageBreak/>
        <w:t xml:space="preserve">In Study HDE10, the AE rate was 97% and 94% in the </w:t>
      </w:r>
      <w:r>
        <w:t>everolimus</w:t>
      </w:r>
      <w:r w:rsidRPr="00E741BA">
        <w:t xml:space="preserve"> and CNI groups, respectively. The most frequent SOCs were similar to H2304</w:t>
      </w:r>
      <w:r>
        <w:t>,</w:t>
      </w:r>
      <w:r w:rsidRPr="00E741BA">
        <w:t xml:space="preserve"> with rates generally higher in the EVR than CNI groups. AEs with a ≥</w:t>
      </w:r>
      <w:r>
        <w:t> </w:t>
      </w:r>
      <w:r w:rsidRPr="00E741BA">
        <w:t xml:space="preserve">10% difference between groups were diarrhoea (27.7% </w:t>
      </w:r>
      <w:r>
        <w:t>versus</w:t>
      </w:r>
      <w:r w:rsidRPr="00E741BA">
        <w:t xml:space="preserve"> 13.7%), hepatic enzyme increased (22.8% </w:t>
      </w:r>
      <w:r>
        <w:t>versus 11.8%), hypercholesterol</w:t>
      </w:r>
      <w:r w:rsidRPr="00E741BA">
        <w:t xml:space="preserve">emia (22.8% </w:t>
      </w:r>
      <w:r>
        <w:t>versus</w:t>
      </w:r>
      <w:r w:rsidRPr="00E741BA">
        <w:t xml:space="preserve"> 10.8%), leukopenia (20.8% </w:t>
      </w:r>
      <w:r>
        <w:t>versus</w:t>
      </w:r>
      <w:r w:rsidRPr="00E741BA">
        <w:t xml:space="preserve"> 9.8%) and headache (19.8% </w:t>
      </w:r>
      <w:r>
        <w:t>versus</w:t>
      </w:r>
      <w:r w:rsidRPr="00E741BA">
        <w:t xml:space="preserve"> 9.8%). Other higher AEs were</w:t>
      </w:r>
      <w:r>
        <w:t>:</w:t>
      </w:r>
      <w:r w:rsidRPr="00E741BA">
        <w:t xml:space="preserve"> oral herpes, sinusitis, wound infection, stomatitis, hypertension and anaemia. Infections were more frequent with everolimus (72.3% </w:t>
      </w:r>
      <w:r>
        <w:t>versus</w:t>
      </w:r>
      <w:r w:rsidRPr="00E741BA">
        <w:t xml:space="preserve"> 54.9%).</w:t>
      </w:r>
    </w:p>
    <w:p w:rsidR="00287F50" w:rsidRPr="00E741BA" w:rsidRDefault="00287F50" w:rsidP="00287F50">
      <w:r>
        <w:t>In the 6 m</w:t>
      </w:r>
      <w:r w:rsidRPr="00E741BA">
        <w:t xml:space="preserve">onths of H2401, the AE rate was again higher in the </w:t>
      </w:r>
      <w:r>
        <w:t xml:space="preserve">everolimus </w:t>
      </w:r>
      <w:r w:rsidRPr="00E741BA">
        <w:t xml:space="preserve">than CNI group (96% </w:t>
      </w:r>
      <w:r>
        <w:t>versus</w:t>
      </w:r>
      <w:r w:rsidRPr="00E741BA">
        <w:t xml:space="preserve"> 70%).</w:t>
      </w:r>
    </w:p>
    <w:p w:rsidR="00287F50" w:rsidRPr="00E741BA" w:rsidRDefault="00287F50" w:rsidP="00287F50">
      <w:r w:rsidRPr="00E741BA">
        <w:t xml:space="preserve">In the combined hepatic transplant studies, </w:t>
      </w:r>
      <w:r>
        <w:t>m</w:t>
      </w:r>
      <w:r w:rsidRPr="00E741BA">
        <w:t xml:space="preserve">alignancy rate was not higher in the everolimus than in the TAC control group in H2304 (2.4%, 3.0% </w:t>
      </w:r>
      <w:r>
        <w:t>versus</w:t>
      </w:r>
      <w:r w:rsidRPr="00E741BA">
        <w:t xml:space="preserve"> 4.6%). There was one recurrence of </w:t>
      </w:r>
      <w:proofErr w:type="spellStart"/>
      <w:r w:rsidRPr="00E741BA">
        <w:t>hepatocellular</w:t>
      </w:r>
      <w:proofErr w:type="spellEnd"/>
      <w:r w:rsidRPr="00E741BA">
        <w:t xml:space="preserve"> carcinoma (HCC) in the </w:t>
      </w:r>
      <w:r>
        <w:t xml:space="preserve">EVR + </w:t>
      </w:r>
      <w:r w:rsidRPr="00E741BA">
        <w:t xml:space="preserve">TAC elimination group and one in the TAC control group. In HDE10, neoplasm SOC AEs were lower in the </w:t>
      </w:r>
      <w:r>
        <w:t xml:space="preserve">everolimus </w:t>
      </w:r>
      <w:r w:rsidRPr="00E741BA">
        <w:t xml:space="preserve">than </w:t>
      </w:r>
      <w:r>
        <w:t xml:space="preserve">in the </w:t>
      </w:r>
      <w:r w:rsidRPr="00E741BA">
        <w:t xml:space="preserve">CNI group (4.0% </w:t>
      </w:r>
      <w:r>
        <w:t>versus</w:t>
      </w:r>
      <w:r w:rsidRPr="00E741BA">
        <w:t xml:space="preserve"> 8.8%). </w:t>
      </w:r>
    </w:p>
    <w:p w:rsidR="00287F50" w:rsidRPr="00E741BA" w:rsidRDefault="00287F50" w:rsidP="00287F50">
      <w:r w:rsidRPr="008B2D30">
        <w:t>Hepatitis C</w:t>
      </w:r>
      <w:r>
        <w:t>:</w:t>
      </w:r>
      <w:r w:rsidRPr="00E741BA">
        <w:t xml:space="preserve"> The mean hepatitis activity index (HAI) score at </w:t>
      </w:r>
      <w:r>
        <w:t>M</w:t>
      </w:r>
      <w:r w:rsidRPr="00E741BA">
        <w:t>onth 12 in H2304 was 3.4, 4.6. and 4.5 in the EVR</w:t>
      </w:r>
      <w:r>
        <w:t> </w:t>
      </w:r>
      <w:r w:rsidRPr="00E741BA">
        <w:t>+</w:t>
      </w:r>
      <w:r>
        <w:t> </w:t>
      </w:r>
      <w:r w:rsidRPr="00E741BA">
        <w:t xml:space="preserve">reduced TAC, </w:t>
      </w:r>
      <w:r>
        <w:t xml:space="preserve">EVR + </w:t>
      </w:r>
      <w:r w:rsidRPr="00E741BA">
        <w:t xml:space="preserve">TAC elimination and TAC control groups, respectively. Viral load increased over 12 months, although the mean change was similar between groups. (0.54, 0.51 and 0.51). In H2301, the HCV viral load at </w:t>
      </w:r>
      <w:r>
        <w:t>M</w:t>
      </w:r>
      <w:r w:rsidRPr="00E741BA">
        <w:t>onth 12 and mean change from baseline were similar between groups.</w:t>
      </w:r>
    </w:p>
    <w:p w:rsidR="00287F50" w:rsidRPr="00E741BA" w:rsidRDefault="00287F50" w:rsidP="00287F50">
      <w:r w:rsidRPr="00E741BA">
        <w:t xml:space="preserve">Hepatic artery thrombosis was reported in one </w:t>
      </w:r>
      <w:r>
        <w:t xml:space="preserve">EVR + </w:t>
      </w:r>
      <w:r w:rsidRPr="00E741BA">
        <w:t xml:space="preserve">TAC elimination group patient. During </w:t>
      </w:r>
      <w:r>
        <w:t xml:space="preserve">the </w:t>
      </w:r>
      <w:r w:rsidRPr="00E741BA">
        <w:t>post transplantation phase (prior to study medication) there were 14 cases recorded.</w:t>
      </w:r>
    </w:p>
    <w:p w:rsidR="00287F50" w:rsidRPr="00E741BA" w:rsidRDefault="00287F50" w:rsidP="00287F50">
      <w:r w:rsidRPr="00E741BA">
        <w:t xml:space="preserve">The </w:t>
      </w:r>
      <w:r>
        <w:t>clinical evaluator assessed</w:t>
      </w:r>
      <w:r w:rsidRPr="00E741BA">
        <w:t xml:space="preserve"> </w:t>
      </w:r>
      <w:r>
        <w:t xml:space="preserve">the </w:t>
      </w:r>
      <w:r w:rsidRPr="00E741BA">
        <w:t xml:space="preserve">risks of everolimus for use in </w:t>
      </w:r>
      <w:r>
        <w:t>h</w:t>
      </w:r>
      <w:r w:rsidRPr="00E741BA">
        <w:t>epatic transplantation as:</w:t>
      </w:r>
    </w:p>
    <w:p w:rsidR="00287F50" w:rsidRPr="008B2D30" w:rsidRDefault="00287F50" w:rsidP="005F0A52">
      <w:pPr>
        <w:pStyle w:val="ListBullet"/>
        <w:numPr>
          <w:ilvl w:val="0"/>
          <w:numId w:val="1"/>
        </w:numPr>
      </w:pPr>
      <w:r w:rsidRPr="008B2D30">
        <w:t>Treatment with everolimus does not allow elimination of concomitant tacrolimus. Elimination of tacrolimus resulted in an unacceptable increased risk of acute rejection and treatment discontinuation.</w:t>
      </w:r>
    </w:p>
    <w:p w:rsidR="00287F50" w:rsidRPr="008B2D30" w:rsidRDefault="00287F50" w:rsidP="005F0A52">
      <w:pPr>
        <w:pStyle w:val="ListBullet"/>
        <w:numPr>
          <w:ilvl w:val="0"/>
          <w:numId w:val="1"/>
        </w:numPr>
      </w:pPr>
      <w:r w:rsidRPr="008B2D30">
        <w:t>There was an increased risk of efficacy failure with everolimus trough levels &lt;</w:t>
      </w:r>
      <w:r>
        <w:t> </w:t>
      </w:r>
      <w:r w:rsidRPr="008B2D30">
        <w:t>3</w:t>
      </w:r>
      <w:r>
        <w:t> </w:t>
      </w:r>
      <w:proofErr w:type="spellStart"/>
      <w:r w:rsidRPr="008B2D30">
        <w:t>ng</w:t>
      </w:r>
      <w:proofErr w:type="spellEnd"/>
      <w:r w:rsidRPr="008B2D30">
        <w:t>/</w:t>
      </w:r>
      <w:proofErr w:type="spellStart"/>
      <w:r w:rsidRPr="008B2D30">
        <w:t>mL</w:t>
      </w:r>
      <w:proofErr w:type="spellEnd"/>
      <w:r w:rsidRPr="008B2D30">
        <w:t xml:space="preserve"> and higher doses than recommended have an unacceptable safety profile. Everolimus treatment needs to be concentration-controlled th</w:t>
      </w:r>
      <w:r>
        <w:t>r</w:t>
      </w:r>
      <w:r w:rsidRPr="008B2D30">
        <w:t xml:space="preserve">ough active therapeutic drug monitoring. </w:t>
      </w:r>
    </w:p>
    <w:p w:rsidR="00287F50" w:rsidRPr="008B2D30" w:rsidRDefault="00287F50" w:rsidP="005F0A52">
      <w:pPr>
        <w:pStyle w:val="ListBullet"/>
        <w:numPr>
          <w:ilvl w:val="0"/>
          <w:numId w:val="1"/>
        </w:numPr>
      </w:pPr>
      <w:r w:rsidRPr="008B2D30">
        <w:t>Adverse events are virtually universal in this patient population and</w:t>
      </w:r>
      <w:r>
        <w:t>,</w:t>
      </w:r>
      <w:r w:rsidRPr="008B2D30">
        <w:t xml:space="preserve"> over the 12 months, the most commonly reported AEs were diarrhoea, headache, pyrexia, hypertension, peripheral oedema, nausea, abdominal pain, hepatitis C, leukopenia, anaemia, fatigue and tremor.</w:t>
      </w:r>
    </w:p>
    <w:p w:rsidR="00287F50" w:rsidRPr="008B2D30" w:rsidRDefault="00287F50" w:rsidP="005F0A52">
      <w:pPr>
        <w:pStyle w:val="ListBullet"/>
        <w:numPr>
          <w:ilvl w:val="0"/>
          <w:numId w:val="1"/>
        </w:numPr>
      </w:pPr>
      <w:r w:rsidRPr="008B2D30">
        <w:t xml:space="preserve">Compared to the renal transplantation study, there were higher rates of </w:t>
      </w:r>
      <w:proofErr w:type="spellStart"/>
      <w:r w:rsidRPr="008B2D30">
        <w:t>incisional</w:t>
      </w:r>
      <w:proofErr w:type="spellEnd"/>
      <w:r w:rsidRPr="008B2D30">
        <w:t xml:space="preserve"> hernia, </w:t>
      </w:r>
      <w:proofErr w:type="spellStart"/>
      <w:r w:rsidRPr="008B2D30">
        <w:t>ascites</w:t>
      </w:r>
      <w:proofErr w:type="spellEnd"/>
      <w:r w:rsidRPr="008B2D30">
        <w:t xml:space="preserve">, thrombocytopenia and new onset diabetes. There were, however, lower risks of </w:t>
      </w:r>
      <w:proofErr w:type="spellStart"/>
      <w:r w:rsidRPr="008B2D30">
        <w:t>hyperlipidaemia</w:t>
      </w:r>
      <w:proofErr w:type="spellEnd"/>
      <w:r w:rsidRPr="008B2D30">
        <w:t xml:space="preserve">, peripheral oedema, </w:t>
      </w:r>
      <w:proofErr w:type="spellStart"/>
      <w:r w:rsidRPr="008B2D30">
        <w:t>proteinuria</w:t>
      </w:r>
      <w:proofErr w:type="spellEnd"/>
      <w:r w:rsidRPr="008B2D30">
        <w:t xml:space="preserve">, </w:t>
      </w:r>
      <w:proofErr w:type="spellStart"/>
      <w:r w:rsidRPr="008B2D30">
        <w:t>angioedema</w:t>
      </w:r>
      <w:proofErr w:type="spellEnd"/>
      <w:r w:rsidRPr="008B2D30">
        <w:t>, cardiovascular events, renal failure excluding proteinuria, anaemia and thromboembolic events.</w:t>
      </w:r>
    </w:p>
    <w:p w:rsidR="00287F50" w:rsidRPr="008B2D30" w:rsidRDefault="00287F50" w:rsidP="005F0A52">
      <w:pPr>
        <w:pStyle w:val="ListBullet"/>
        <w:numPr>
          <w:ilvl w:val="0"/>
          <w:numId w:val="1"/>
        </w:numPr>
      </w:pPr>
      <w:r w:rsidRPr="008B2D30">
        <w:t>There was a higher rate of severe A</w:t>
      </w:r>
      <w:r>
        <w:t>E</w:t>
      </w:r>
      <w:r w:rsidRPr="008B2D30">
        <w:t xml:space="preserve">s (31% </w:t>
      </w:r>
      <w:r>
        <w:t>versus</w:t>
      </w:r>
      <w:r w:rsidRPr="008B2D30">
        <w:t xml:space="preserve"> 20%) and SAEs (50% </w:t>
      </w:r>
      <w:r>
        <w:t>versus</w:t>
      </w:r>
      <w:r w:rsidRPr="008B2D30">
        <w:t xml:space="preserve"> 43%) with everolimus and reduced </w:t>
      </w:r>
      <w:r>
        <w:t xml:space="preserve">dose </w:t>
      </w:r>
      <w:r w:rsidRPr="008B2D30">
        <w:t>tacrolimus</w:t>
      </w:r>
      <w:r>
        <w:t>,</w:t>
      </w:r>
      <w:r w:rsidRPr="008B2D30">
        <w:t xml:space="preserve"> compared to the tacrolimus control regimen. There was also a higher rate of premature discontinuation due to A</w:t>
      </w:r>
      <w:r>
        <w:t>E</w:t>
      </w:r>
      <w:r w:rsidRPr="008B2D30">
        <w:t xml:space="preserve">s (26% </w:t>
      </w:r>
      <w:r>
        <w:t>versus</w:t>
      </w:r>
      <w:r w:rsidRPr="008B2D30">
        <w:t xml:space="preserve"> 14%).</w:t>
      </w:r>
    </w:p>
    <w:p w:rsidR="00287F50" w:rsidRPr="008B2D30" w:rsidRDefault="00287F50" w:rsidP="005F0A52">
      <w:pPr>
        <w:pStyle w:val="ListBullet"/>
        <w:numPr>
          <w:ilvl w:val="0"/>
          <w:numId w:val="1"/>
        </w:numPr>
      </w:pPr>
      <w:r w:rsidRPr="008B2D30">
        <w:t xml:space="preserve">There was an increase risk of thromboembolic events (5.3% </w:t>
      </w:r>
      <w:r>
        <w:t>versus</w:t>
      </w:r>
      <w:r w:rsidRPr="008B2D30">
        <w:t xml:space="preserve"> 3.7%), however major cardiovascular events were not more prevalent (2.0% </w:t>
      </w:r>
      <w:r>
        <w:t>versus</w:t>
      </w:r>
      <w:r w:rsidRPr="008B2D30">
        <w:t xml:space="preserve"> 3.7%) and the delayed treatment commencement </w:t>
      </w:r>
      <w:r>
        <w:t>(</w:t>
      </w:r>
      <w:r w:rsidRPr="008B2D30">
        <w:t>at one month post transplantation</w:t>
      </w:r>
      <w:r>
        <w:t>)</w:t>
      </w:r>
      <w:r w:rsidRPr="008B2D30">
        <w:t xml:space="preserve"> appears to have reduced the potential risk of hepatic artery thrombosis. </w:t>
      </w:r>
    </w:p>
    <w:p w:rsidR="00287F50" w:rsidRPr="008B2D30" w:rsidRDefault="00287F50" w:rsidP="005F0A52">
      <w:pPr>
        <w:pStyle w:val="ListBullet"/>
        <w:numPr>
          <w:ilvl w:val="0"/>
          <w:numId w:val="1"/>
        </w:numPr>
      </w:pPr>
      <w:r w:rsidRPr="008B2D30">
        <w:lastRenderedPageBreak/>
        <w:t xml:space="preserve">About one third of patients developed new onset diabetes mellitus with a slightly higher rate than </w:t>
      </w:r>
      <w:r>
        <w:t xml:space="preserve">in </w:t>
      </w:r>
      <w:r w:rsidRPr="008B2D30">
        <w:t>the tacrolimus control group.</w:t>
      </w:r>
    </w:p>
    <w:p w:rsidR="00287F50" w:rsidRPr="008B2D30" w:rsidRDefault="00287F50" w:rsidP="005F0A52">
      <w:pPr>
        <w:pStyle w:val="ListBullet"/>
        <w:numPr>
          <w:ilvl w:val="0"/>
          <w:numId w:val="1"/>
        </w:numPr>
      </w:pPr>
      <w:r w:rsidRPr="008B2D30">
        <w:t>Other known risks with everolimus were present</w:t>
      </w:r>
      <w:r>
        <w:t>,</w:t>
      </w:r>
      <w:r w:rsidRPr="008B2D30">
        <w:t xml:space="preserve"> including stomatitis and mouth ulcers, wound healing events, interstitial lung disease, </w:t>
      </w:r>
      <w:proofErr w:type="spellStart"/>
      <w:r w:rsidRPr="008B2D30">
        <w:t>angioedema</w:t>
      </w:r>
      <w:proofErr w:type="spellEnd"/>
      <w:r w:rsidRPr="008B2D30">
        <w:t>, pleural effusion and infections.</w:t>
      </w:r>
    </w:p>
    <w:p w:rsidR="00287F50" w:rsidRPr="008B2D30" w:rsidRDefault="00287F50" w:rsidP="005F0A52">
      <w:pPr>
        <w:pStyle w:val="ListBullet"/>
        <w:numPr>
          <w:ilvl w:val="0"/>
          <w:numId w:val="1"/>
        </w:numPr>
      </w:pPr>
      <w:r w:rsidRPr="008B2D30">
        <w:t>There are no long term efficacy data.</w:t>
      </w:r>
    </w:p>
    <w:p w:rsidR="00287F50" w:rsidRPr="00E741BA" w:rsidRDefault="00287F50" w:rsidP="005F0A52">
      <w:pPr>
        <w:pStyle w:val="ListBullet"/>
        <w:numPr>
          <w:ilvl w:val="0"/>
          <w:numId w:val="1"/>
        </w:numPr>
      </w:pPr>
      <w:r w:rsidRPr="00E741BA">
        <w:t>There are only limited data on non-Caucasians.</w:t>
      </w:r>
    </w:p>
    <w:p w:rsidR="00287F50" w:rsidRPr="00E741BA" w:rsidRDefault="00287F50" w:rsidP="00287F50">
      <w:r w:rsidRPr="00E741BA">
        <w:t xml:space="preserve">The </w:t>
      </w:r>
      <w:r>
        <w:t>clinical evaluator assessed</w:t>
      </w:r>
      <w:r w:rsidRPr="00E741BA">
        <w:t xml:space="preserve"> </w:t>
      </w:r>
      <w:r>
        <w:t xml:space="preserve">the </w:t>
      </w:r>
      <w:r w:rsidRPr="00E741BA">
        <w:t>benefits in hepatic transplantation as</w:t>
      </w:r>
      <w:r>
        <w:t>:</w:t>
      </w:r>
    </w:p>
    <w:p w:rsidR="00287F50" w:rsidRPr="00E741BA" w:rsidRDefault="00287F50" w:rsidP="005F0A52">
      <w:pPr>
        <w:pStyle w:val="ListBullet"/>
        <w:numPr>
          <w:ilvl w:val="0"/>
          <w:numId w:val="1"/>
        </w:numPr>
      </w:pPr>
      <w:r w:rsidRPr="00E741BA">
        <w:t xml:space="preserve">Treatment with everolimus allowed a reduction in tacrolimus exposure without affecting efficacy in terms of prevention of the composite endpoint of </w:t>
      </w:r>
      <w:proofErr w:type="spellStart"/>
      <w:r w:rsidRPr="00E741BA">
        <w:t>t</w:t>
      </w:r>
      <w:r>
        <w:t>BPAR</w:t>
      </w:r>
      <w:proofErr w:type="spellEnd"/>
      <w:r w:rsidRPr="00E741BA">
        <w:t xml:space="preserve">, </w:t>
      </w:r>
      <w:r>
        <w:t xml:space="preserve">GL </w:t>
      </w:r>
      <w:r w:rsidRPr="00E741BA">
        <w:t xml:space="preserve">and </w:t>
      </w:r>
      <w:r>
        <w:t xml:space="preserve">D </w:t>
      </w:r>
      <w:r w:rsidRPr="00E741BA">
        <w:t>at 12 months post-transplantation.</w:t>
      </w:r>
    </w:p>
    <w:p w:rsidR="00287F50" w:rsidRPr="00E741BA" w:rsidRDefault="00287F50" w:rsidP="005F0A52">
      <w:pPr>
        <w:pStyle w:val="ListBullet"/>
        <w:numPr>
          <w:ilvl w:val="0"/>
          <w:numId w:val="1"/>
        </w:numPr>
      </w:pPr>
      <w:r w:rsidRPr="00E741BA">
        <w:t xml:space="preserve">The everolimus and reduced dose tacrolimus regimen resulted in significantly fewer episodes of acute rejection than the standard dose tacrolimus regimen (3.7% </w:t>
      </w:r>
      <w:r>
        <w:t>versus</w:t>
      </w:r>
      <w:r w:rsidRPr="00E741BA">
        <w:t xml:space="preserve"> 10.7%).</w:t>
      </w:r>
    </w:p>
    <w:p w:rsidR="00287F50" w:rsidRPr="00E741BA" w:rsidRDefault="00287F50" w:rsidP="005F0A52">
      <w:pPr>
        <w:pStyle w:val="ListBullet"/>
        <w:numPr>
          <w:ilvl w:val="0"/>
          <w:numId w:val="1"/>
        </w:numPr>
      </w:pPr>
      <w:r w:rsidRPr="00E741BA">
        <w:t xml:space="preserve">Efficacy results were consistent across subgroups of age, gender, region, </w:t>
      </w:r>
      <w:proofErr w:type="spellStart"/>
      <w:r w:rsidRPr="00E741BA">
        <w:t>eGFR</w:t>
      </w:r>
      <w:proofErr w:type="spellEnd"/>
      <w:r w:rsidRPr="00E741BA">
        <w:t>, HCV status, MELD score and cause of ESLD.</w:t>
      </w:r>
    </w:p>
    <w:p w:rsidR="00287F50" w:rsidRPr="00E741BA" w:rsidRDefault="00287F50" w:rsidP="005F0A52">
      <w:pPr>
        <w:pStyle w:val="ListBullet"/>
        <w:numPr>
          <w:ilvl w:val="0"/>
          <w:numId w:val="1"/>
        </w:numPr>
      </w:pPr>
      <w:r>
        <w:t xml:space="preserve">Over the 12 months post </w:t>
      </w:r>
      <w:r w:rsidRPr="00E741BA">
        <w:t>transplantation, the decline in renal function (</w:t>
      </w:r>
      <w:proofErr w:type="spellStart"/>
      <w:r w:rsidRPr="00E741BA">
        <w:t>eGFR</w:t>
      </w:r>
      <w:proofErr w:type="spellEnd"/>
      <w:r w:rsidRPr="00E741BA">
        <w:t xml:space="preserve"> by MDRD-4) with everolimus and reduced dose tacrolimus treatment was significantly less than with standard dose tacrolimus (-2.2 </w:t>
      </w:r>
      <w:r>
        <w:t>versus</w:t>
      </w:r>
      <w:r w:rsidRPr="00E741BA">
        <w:t xml:space="preserve"> -10.7 mL/min/1.73 m</w:t>
      </w:r>
      <w:r w:rsidRPr="005C69A4">
        <w:rPr>
          <w:vertAlign w:val="superscript"/>
        </w:rPr>
        <w:t>2</w:t>
      </w:r>
      <w:r w:rsidRPr="00E741BA">
        <w:t xml:space="preserve">). The finding was consistent across other methods of renal function assessment and patient subgroups. The rate of renal failure/impairment AEs was slightly lower with everolimus. </w:t>
      </w:r>
    </w:p>
    <w:p w:rsidR="00287F50" w:rsidRDefault="00287F50" w:rsidP="005F0A52">
      <w:pPr>
        <w:pStyle w:val="ListBullet"/>
        <w:numPr>
          <w:ilvl w:val="0"/>
          <w:numId w:val="1"/>
        </w:numPr>
      </w:pPr>
      <w:r w:rsidRPr="00E741BA">
        <w:t xml:space="preserve">There were lower rates of malignancy in the </w:t>
      </w:r>
      <w:r>
        <w:t xml:space="preserve">EVR + reduced TAC group </w:t>
      </w:r>
      <w:r w:rsidRPr="00E741BA">
        <w:t xml:space="preserve">compared to the standard dose tacrolimus regimen (2.4% </w:t>
      </w:r>
      <w:r>
        <w:t>versus</w:t>
      </w:r>
      <w:r w:rsidRPr="00E741BA">
        <w:t xml:space="preserve"> 4.6%).</w:t>
      </w:r>
    </w:p>
    <w:p w:rsidR="00287F50" w:rsidRPr="00E741BA" w:rsidRDefault="00287F50" w:rsidP="00287F50">
      <w:pPr>
        <w:pStyle w:val="Heading4"/>
      </w:pPr>
      <w:r>
        <w:t>Clinical evaluator’s recommendation</w:t>
      </w:r>
    </w:p>
    <w:p w:rsidR="00287F50" w:rsidRPr="008B2D30" w:rsidRDefault="00287F50" w:rsidP="00287F50">
      <w:r w:rsidRPr="008B2D30">
        <w:t>The</w:t>
      </w:r>
      <w:r>
        <w:t xml:space="preserve"> clinical</w:t>
      </w:r>
      <w:r w:rsidRPr="008B2D30">
        <w:t xml:space="preserve"> evaluator recommend</w:t>
      </w:r>
      <w:r>
        <w:t>ed</w:t>
      </w:r>
      <w:r w:rsidRPr="008B2D30">
        <w:t xml:space="preserve"> approval of the extension of the indication for everolimus (Certican) to include hepatic transplant patients. This is subject to the proposed changes to the draft</w:t>
      </w:r>
      <w:r>
        <w:t xml:space="preserve"> PI</w:t>
      </w:r>
      <w:r w:rsidRPr="008B2D30">
        <w:t xml:space="preserve"> being satisfactorily addressed. </w:t>
      </w:r>
    </w:p>
    <w:p w:rsidR="00287F50" w:rsidRPr="008B2D30" w:rsidRDefault="00287F50" w:rsidP="00287F50">
      <w:r w:rsidRPr="008B2D30">
        <w:t xml:space="preserve">In addition, a condition of this indication extension should be the submission of the further data from </w:t>
      </w:r>
      <w:r>
        <w:t>S</w:t>
      </w:r>
      <w:r w:rsidRPr="008B2D30">
        <w:t xml:space="preserve">tudy H2304 as it becomes available. This includes the data to </w:t>
      </w:r>
      <w:r>
        <w:t>M</w:t>
      </w:r>
      <w:r w:rsidRPr="008B2D30">
        <w:t xml:space="preserve">onth 24 and then the extension </w:t>
      </w:r>
      <w:r>
        <w:t>S</w:t>
      </w:r>
      <w:r w:rsidRPr="008B2D30">
        <w:t xml:space="preserve">tudy data. These need to be evaluated to ensure no alterations to the risk-benefit balance. </w:t>
      </w:r>
    </w:p>
    <w:p w:rsidR="00287F50" w:rsidRPr="008B2D30" w:rsidRDefault="00287F50" w:rsidP="00287F50">
      <w:r w:rsidRPr="008B2D30">
        <w:t xml:space="preserve">The evaluator has highlighted that the rationale for the dose to be only reduced by half in severe hepatic impairment was that if the exposure is too low there may be a risk of acute organ rejection. This appears </w:t>
      </w:r>
      <w:r>
        <w:t xml:space="preserve">to be </w:t>
      </w:r>
      <w:r w:rsidRPr="008B2D30">
        <w:t xml:space="preserve">too high a dose, however the evaluator acknowledges the potential counter risk of acute rejection and </w:t>
      </w:r>
      <w:r>
        <w:t xml:space="preserve">assessed </w:t>
      </w:r>
      <w:r w:rsidRPr="008B2D30">
        <w:t xml:space="preserve">that the risk may in part be mitigated by the therapeutic drug monitoring. In general, for subjects with Child-Pugh C (severe) hepatic impaired status, the administration of everolimus should be with extreme caution and only when it is in the best interest of the subject. Vigilant therapeutic drug monitoring will be critical in these patients and these factors need to be adequately outlined in the </w:t>
      </w:r>
      <w:r>
        <w:t>PI</w:t>
      </w:r>
      <w:r w:rsidRPr="008B2D30">
        <w:t>.</w:t>
      </w:r>
    </w:p>
    <w:p w:rsidR="00287F50" w:rsidRPr="008B2D30" w:rsidRDefault="00287F50" w:rsidP="00287F50">
      <w:r>
        <w:t>The Delegate discussed additional a</w:t>
      </w:r>
      <w:r w:rsidRPr="008B2D30">
        <w:t>mendments to the PI</w:t>
      </w:r>
      <w:r>
        <w:t xml:space="preserve"> regarding </w:t>
      </w:r>
      <w:r w:rsidRPr="008B2D30">
        <w:t>hepatic transplantation</w:t>
      </w:r>
      <w:r>
        <w:t xml:space="preserve"> and other changes; details of these are beyond the scope of this AusPAR.</w:t>
      </w:r>
    </w:p>
    <w:p w:rsidR="00287F50" w:rsidRDefault="00287F50" w:rsidP="00287F50">
      <w:pPr>
        <w:pStyle w:val="Heading3"/>
        <w:rPr>
          <w:lang w:eastAsia="en-AU"/>
        </w:rPr>
      </w:pPr>
      <w:bookmarkStart w:id="180" w:name="_Toc314842514"/>
      <w:bookmarkStart w:id="181" w:name="_Toc355005437"/>
      <w:bookmarkStart w:id="182" w:name="_Toc356974716"/>
      <w:r>
        <w:rPr>
          <w:lang w:eastAsia="en-AU"/>
        </w:rPr>
        <w:lastRenderedPageBreak/>
        <w:t>Risk management plan</w:t>
      </w:r>
      <w:bookmarkEnd w:id="180"/>
      <w:bookmarkEnd w:id="181"/>
      <w:bookmarkEnd w:id="182"/>
    </w:p>
    <w:p w:rsidR="00287F50" w:rsidRPr="008B2D30" w:rsidRDefault="00287F50" w:rsidP="00287F50">
      <w:pPr>
        <w:rPr>
          <w:i/>
        </w:rPr>
      </w:pPr>
      <w:bookmarkStart w:id="183" w:name="_Toc247691531"/>
      <w:bookmarkStart w:id="184" w:name="_Toc314842515"/>
      <w:bookmarkStart w:id="185" w:name="_Toc196046505"/>
      <w:bookmarkStart w:id="186" w:name="_Toc196046949"/>
      <w:r w:rsidRPr="00E741BA">
        <w:t xml:space="preserve">The </w:t>
      </w:r>
      <w:r>
        <w:t xml:space="preserve">RMP </w:t>
      </w:r>
      <w:r w:rsidRPr="00E741BA">
        <w:t xml:space="preserve">evaluation noted the </w:t>
      </w:r>
      <w:r>
        <w:t xml:space="preserve">clinical evaluator’s </w:t>
      </w:r>
      <w:r w:rsidRPr="00E741BA">
        <w:t>comment that</w:t>
      </w:r>
      <w:r>
        <w:t>:</w:t>
      </w:r>
      <w:r w:rsidRPr="00E741BA">
        <w:t xml:space="preserve"> </w:t>
      </w:r>
      <w:r w:rsidRPr="008B2D30">
        <w:rPr>
          <w:i/>
        </w:rPr>
        <w:t xml:space="preserve">“There is a manifest need to communicate the serious risks with everolimus to all those involved in organ transplantation. This needs to be fully captured within the </w:t>
      </w:r>
      <w:r>
        <w:rPr>
          <w:i/>
        </w:rPr>
        <w:t>RMP</w:t>
      </w:r>
      <w:r w:rsidRPr="008B2D30">
        <w:rPr>
          <w:i/>
        </w:rPr>
        <w:t xml:space="preserve">. </w:t>
      </w:r>
    </w:p>
    <w:p w:rsidR="00287F50" w:rsidRPr="008B2D30" w:rsidRDefault="00287F50" w:rsidP="00287F50">
      <w:pPr>
        <w:rPr>
          <w:i/>
        </w:rPr>
      </w:pPr>
      <w:r w:rsidRPr="008B2D30">
        <w:rPr>
          <w:i/>
        </w:rPr>
        <w:t xml:space="preserve">There is also an evident lack of long term data. The 24 months data from the three main transplants studies, together with any extensions, will be important to better delineate longer term risks of </w:t>
      </w:r>
      <w:proofErr w:type="spellStart"/>
      <w:r w:rsidRPr="008B2D30">
        <w:rPr>
          <w:i/>
        </w:rPr>
        <w:t>immunosuppression</w:t>
      </w:r>
      <w:proofErr w:type="spellEnd"/>
      <w:r w:rsidRPr="008B2D30">
        <w:rPr>
          <w:i/>
        </w:rPr>
        <w:t>, such as chronic rejection, malignancy, renal function and cardiovascular disease.”</w:t>
      </w:r>
    </w:p>
    <w:p w:rsidR="00287F50" w:rsidRDefault="00287F50" w:rsidP="00D80724">
      <w:r>
        <w:t>The RMP evaluation report has made recommendations as follows:</w:t>
      </w:r>
    </w:p>
    <w:p w:rsidR="00287F50" w:rsidRDefault="00287F50" w:rsidP="00D80724">
      <w:pPr>
        <w:rPr>
          <w:highlight w:val="cyan"/>
        </w:rPr>
      </w:pPr>
      <w:r>
        <w:t>If this submission is approved, it is recommended that the Delegate considers requesting the sponsor address the following deficiencies, unless an acceptable justification has been provided for why any of these changes are not required:</w:t>
      </w:r>
    </w:p>
    <w:p w:rsidR="00287F50" w:rsidRDefault="00D80724" w:rsidP="00D80724">
      <w:pPr>
        <w:pStyle w:val="Heading6"/>
        <w:keepNext w:val="0"/>
      </w:pPr>
      <w:r>
        <w:t>Safety c</w:t>
      </w:r>
      <w:r w:rsidR="00287F50">
        <w:t>oncerns:</w:t>
      </w:r>
    </w:p>
    <w:p w:rsidR="00287F50" w:rsidRDefault="00287F50" w:rsidP="0028625B">
      <w:pPr>
        <w:pStyle w:val="ListBullet"/>
      </w:pPr>
      <w:r>
        <w:t xml:space="preserve">To revise the safety specifications as recommended by the clinical evaluator, to ensure that </w:t>
      </w:r>
      <w:r w:rsidRPr="0028625B">
        <w:t>these</w:t>
      </w:r>
      <w:r>
        <w:t xml:space="preserve"> safety concerns are formalised in the RMP for ongoing monitoring commitment. This includes the addition of the following safety concerns: pericardial infusion, </w:t>
      </w:r>
      <w:proofErr w:type="spellStart"/>
      <w:r>
        <w:t>haemodynamic</w:t>
      </w:r>
      <w:proofErr w:type="spellEnd"/>
      <w:r>
        <w:t xml:space="preserve"> compromise, </w:t>
      </w:r>
      <w:proofErr w:type="spellStart"/>
      <w:r>
        <w:t>leukopenia</w:t>
      </w:r>
      <w:proofErr w:type="spellEnd"/>
      <w:r>
        <w:t xml:space="preserve">, thrombocytopenia, </w:t>
      </w:r>
      <w:proofErr w:type="spellStart"/>
      <w:r>
        <w:t>pancytopenia</w:t>
      </w:r>
      <w:proofErr w:type="spellEnd"/>
      <w:r>
        <w:t xml:space="preserve">, and to broaden the important identified risk ‘increased proteinuria in </w:t>
      </w:r>
      <w:r w:rsidRPr="00D012E4">
        <w:rPr>
          <w:i/>
        </w:rPr>
        <w:t>de novo</w:t>
      </w:r>
      <w:r>
        <w:t xml:space="preserve"> renal transplant recipients’ to ‘proteinuria’. In addition, it is recommended that ‘long-term safety’ is added as an area of missing information of the safety specifications for ongoing monitoring.</w:t>
      </w:r>
    </w:p>
    <w:p w:rsidR="00287F50" w:rsidRDefault="00287F50" w:rsidP="00287F50">
      <w:pPr>
        <w:pStyle w:val="Heading6"/>
      </w:pPr>
      <w:r>
        <w:t>Pharmacovigilance activities:</w:t>
      </w:r>
    </w:p>
    <w:p w:rsidR="00287F50" w:rsidRDefault="00287F50" w:rsidP="0028625B">
      <w:pPr>
        <w:pStyle w:val="ListBullet"/>
      </w:pPr>
      <w:r>
        <w:t xml:space="preserve">To propose adequate and appropriate PV activities for each of the relevant additional safety </w:t>
      </w:r>
      <w:r w:rsidRPr="0028625B">
        <w:t>concerns</w:t>
      </w:r>
      <w:r>
        <w:t xml:space="preserve">: pericardial infusion, </w:t>
      </w:r>
      <w:proofErr w:type="spellStart"/>
      <w:r>
        <w:t>haemodynamic</w:t>
      </w:r>
      <w:proofErr w:type="spellEnd"/>
      <w:r>
        <w:t xml:space="preserve"> compromise, </w:t>
      </w:r>
      <w:proofErr w:type="spellStart"/>
      <w:r>
        <w:t>leukopenia</w:t>
      </w:r>
      <w:proofErr w:type="spellEnd"/>
      <w:r>
        <w:t xml:space="preserve">, thrombocytopenia, </w:t>
      </w:r>
      <w:proofErr w:type="spellStart"/>
      <w:r>
        <w:t>pancytopenia</w:t>
      </w:r>
      <w:proofErr w:type="spellEnd"/>
      <w:r>
        <w:t>, ‘</w:t>
      </w:r>
      <w:proofErr w:type="spellStart"/>
      <w:r>
        <w:t>proteinuria</w:t>
      </w:r>
      <w:proofErr w:type="spellEnd"/>
      <w:r>
        <w:t>’ and ‘long-term safety’.</w:t>
      </w:r>
    </w:p>
    <w:p w:rsidR="00287F50" w:rsidRDefault="00287F50" w:rsidP="005F0A52">
      <w:pPr>
        <w:pStyle w:val="ListBullet"/>
        <w:numPr>
          <w:ilvl w:val="0"/>
          <w:numId w:val="7"/>
        </w:numPr>
      </w:pPr>
      <w:r>
        <w:t xml:space="preserve">To incorporate the information relevant to the PIP changes approved by the EMA and the results from Study CRAD001A2310 in a future update to the RMP. </w:t>
      </w:r>
    </w:p>
    <w:p w:rsidR="00287F50" w:rsidRDefault="00287F50" w:rsidP="00287F50">
      <w:pPr>
        <w:pStyle w:val="Heading6"/>
      </w:pPr>
      <w:r>
        <w:t>Risk minimisation activities:</w:t>
      </w:r>
    </w:p>
    <w:p w:rsidR="00287F50" w:rsidRDefault="00287F50" w:rsidP="005F0A52">
      <w:pPr>
        <w:pStyle w:val="ListBullet"/>
        <w:numPr>
          <w:ilvl w:val="0"/>
          <w:numId w:val="7"/>
        </w:numPr>
      </w:pPr>
      <w:r>
        <w:t xml:space="preserve">To propose adequate and appropriate risk minimisation activities for each of the relevant additional safety concerns: pericardial infusion, </w:t>
      </w:r>
      <w:proofErr w:type="spellStart"/>
      <w:r>
        <w:t>haemodynamic</w:t>
      </w:r>
      <w:proofErr w:type="spellEnd"/>
      <w:r>
        <w:t xml:space="preserve"> compromise, </w:t>
      </w:r>
      <w:proofErr w:type="spellStart"/>
      <w:r>
        <w:t>leukopenia</w:t>
      </w:r>
      <w:proofErr w:type="spellEnd"/>
      <w:r>
        <w:t xml:space="preserve">, thrombocytopenia, </w:t>
      </w:r>
      <w:proofErr w:type="spellStart"/>
      <w:r>
        <w:t>pancytopenia</w:t>
      </w:r>
      <w:proofErr w:type="spellEnd"/>
      <w:r>
        <w:t>, ‘</w:t>
      </w:r>
      <w:proofErr w:type="spellStart"/>
      <w:r>
        <w:t>proteinuria</w:t>
      </w:r>
      <w:proofErr w:type="spellEnd"/>
      <w:r>
        <w:t>’ and ‘long-term safety’.</w:t>
      </w:r>
    </w:p>
    <w:p w:rsidR="00287F50" w:rsidRDefault="00287F50" w:rsidP="005F0A52">
      <w:pPr>
        <w:pStyle w:val="ListBullet"/>
        <w:numPr>
          <w:ilvl w:val="0"/>
          <w:numId w:val="7"/>
        </w:numPr>
      </w:pPr>
      <w:r>
        <w:t>To propose adequate and appropriate additional risk minimisation activities (for example, in the form of educational materials or “Dear HCP” communications), particularly to inform of and manage the serious risks associated with the use of Certican and to highlight the importance of careful therapeutic drug monitoring for not only everolimus but also for cyclosporin and tacrolimus. An appropriate strategy to assess the effectiveness of the proposed risk minimisation strategy should also be provided.</w:t>
      </w:r>
    </w:p>
    <w:p w:rsidR="00287F50" w:rsidRDefault="00287F50" w:rsidP="00D80724">
      <w:pPr>
        <w:pStyle w:val="Heading3"/>
        <w:keepNext w:val="0"/>
      </w:pPr>
      <w:bookmarkStart w:id="187" w:name="_Toc355005438"/>
      <w:bookmarkStart w:id="188" w:name="_Toc356974717"/>
      <w:r>
        <w:t>Risk-benefit analysis</w:t>
      </w:r>
      <w:bookmarkEnd w:id="183"/>
      <w:bookmarkEnd w:id="184"/>
      <w:bookmarkEnd w:id="187"/>
      <w:bookmarkEnd w:id="188"/>
    </w:p>
    <w:p w:rsidR="00287F50" w:rsidRDefault="00287F50" w:rsidP="00D80724">
      <w:pPr>
        <w:pStyle w:val="Heading4"/>
        <w:keepNext w:val="0"/>
      </w:pPr>
      <w:r>
        <w:t>Delegate considerations</w:t>
      </w:r>
    </w:p>
    <w:p w:rsidR="00287F50" w:rsidRPr="00E741BA" w:rsidRDefault="00287F50" w:rsidP="00D80724">
      <w:r>
        <w:t xml:space="preserve">The Delegate </w:t>
      </w:r>
      <w:r w:rsidRPr="00E741BA">
        <w:t xml:space="preserve">noted that the care of patients after liver transplant in Australia will be supervised by a small number of physicians and surgeons with specialist expertise in this area. This provides an assurance that the matters relating to safe </w:t>
      </w:r>
      <w:r>
        <w:t xml:space="preserve">use should be well understood. </w:t>
      </w:r>
      <w:r w:rsidRPr="00E741BA">
        <w:t xml:space="preserve">There are needs for reported </w:t>
      </w:r>
      <w:r>
        <w:t>AE</w:t>
      </w:r>
      <w:r w:rsidRPr="00E741BA">
        <w:t xml:space="preserve">s to be closely monitored, for information </w:t>
      </w:r>
      <w:r w:rsidRPr="00E741BA">
        <w:lastRenderedPageBreak/>
        <w:t>about safe use to be communicated effectively</w:t>
      </w:r>
      <w:r>
        <w:t>,</w:t>
      </w:r>
      <w:r w:rsidRPr="00E741BA">
        <w:t xml:space="preserve"> and for information about longer-term use to be assessed as it becomes available.</w:t>
      </w:r>
    </w:p>
    <w:p w:rsidR="00287F50" w:rsidRPr="007E4D29" w:rsidRDefault="00287F50" w:rsidP="00D80724">
      <w:pPr>
        <w:pStyle w:val="Heading4"/>
      </w:pPr>
      <w:r>
        <w:t>P</w:t>
      </w:r>
      <w:r w:rsidRPr="00AB3BD5">
        <w:t>roposed action</w:t>
      </w:r>
    </w:p>
    <w:p w:rsidR="00287F50" w:rsidRPr="00E741BA" w:rsidRDefault="00287F50" w:rsidP="00D80724">
      <w:pPr>
        <w:keepNext/>
      </w:pPr>
      <w:r>
        <w:t>T</w:t>
      </w:r>
      <w:r w:rsidRPr="00E741BA">
        <w:t xml:space="preserve">he Delegate </w:t>
      </w:r>
      <w:r>
        <w:t xml:space="preserve">proposed to </w:t>
      </w:r>
      <w:r w:rsidRPr="00E741BA">
        <w:t xml:space="preserve">approve the </w:t>
      </w:r>
      <w:r>
        <w:t>e</w:t>
      </w:r>
      <w:r w:rsidRPr="00E741BA">
        <w:t xml:space="preserve">xtension of </w:t>
      </w:r>
      <w:r>
        <w:t>i</w:t>
      </w:r>
      <w:r w:rsidRPr="00E741BA">
        <w:t>ndications to include hepatic transplantation</w:t>
      </w:r>
      <w:r>
        <w:t>,</w:t>
      </w:r>
      <w:r w:rsidRPr="00E741BA">
        <w:t xml:space="preserve"> subject to the following conditions:</w:t>
      </w:r>
    </w:p>
    <w:p w:rsidR="00287F50" w:rsidRPr="00B837B9" w:rsidRDefault="00287F50" w:rsidP="0028625B">
      <w:pPr>
        <w:pStyle w:val="ListBullet"/>
      </w:pPr>
      <w:r w:rsidRPr="00B837B9">
        <w:t xml:space="preserve">that the </w:t>
      </w:r>
      <w:r w:rsidRPr="0028625B">
        <w:t>sponsor</w:t>
      </w:r>
      <w:r w:rsidRPr="00B837B9">
        <w:t xml:space="preserve"> will address to the satisfaction of the TGA the requested amendments (or justifications) for the further amendment of the RMP Version 2.0 (release date 14 Oct 2011), with the Safety </w:t>
      </w:r>
      <w:r>
        <w:t xml:space="preserve">RMP </w:t>
      </w:r>
      <w:r w:rsidRPr="00B837B9">
        <w:t>Australian Implementation Version 2.1 (release date 16 August 2012);</w:t>
      </w:r>
    </w:p>
    <w:p w:rsidR="00287F50" w:rsidRPr="00B837B9" w:rsidRDefault="00287F50" w:rsidP="005F0A52">
      <w:pPr>
        <w:pStyle w:val="ListBullet"/>
        <w:numPr>
          <w:ilvl w:val="0"/>
          <w:numId w:val="1"/>
        </w:numPr>
      </w:pPr>
      <w:r w:rsidRPr="00B837B9">
        <w:t>that the sponsor will amend the PI</w:t>
      </w:r>
      <w:r>
        <w:t xml:space="preserve"> </w:t>
      </w:r>
      <w:r w:rsidRPr="00B837B9">
        <w:t>to the satisfaction of the TGA;</w:t>
      </w:r>
    </w:p>
    <w:p w:rsidR="00287F50" w:rsidRPr="00B837B9" w:rsidRDefault="00287F50" w:rsidP="005F0A52">
      <w:pPr>
        <w:pStyle w:val="ListBullet"/>
        <w:numPr>
          <w:ilvl w:val="0"/>
          <w:numId w:val="1"/>
        </w:numPr>
      </w:pPr>
      <w:r w:rsidRPr="00B837B9">
        <w:t>that the sponsor will commit to su</w:t>
      </w:r>
      <w:r>
        <w:t>bmit to TGA the reports of S</w:t>
      </w:r>
      <w:r w:rsidRPr="00B837B9">
        <w:t xml:space="preserve">tudy H2304 to </w:t>
      </w:r>
      <w:r>
        <w:t>Month 24 and then the extension S</w:t>
      </w:r>
      <w:r w:rsidRPr="00B837B9">
        <w:t>tudy data within three months of the reports being signed by the Principal Investigator;</w:t>
      </w:r>
    </w:p>
    <w:p w:rsidR="00287F50" w:rsidRDefault="00287F50" w:rsidP="005F0A52">
      <w:pPr>
        <w:pStyle w:val="ListBullet"/>
        <w:numPr>
          <w:ilvl w:val="0"/>
          <w:numId w:val="1"/>
        </w:numPr>
      </w:pPr>
      <w:r w:rsidRPr="00B837B9">
        <w:t>that the sponsor will commit to submit to TGA the report of the for</w:t>
      </w:r>
      <w:r>
        <w:t>e</w:t>
      </w:r>
      <w:r w:rsidRPr="00B837B9">
        <w:t xml:space="preserve">shadowed </w:t>
      </w:r>
      <w:r w:rsidRPr="00E837DE">
        <w:rPr>
          <w:i/>
        </w:rPr>
        <w:t>“open label, single arm, multicentre, prospective, observational study to evaluate safety/tolerability and efficacy of everolimus in combination with reduced CNI in de novo paediatric full-size liver allograft recipients, and sequentially in paediatric split liver recipients, from 1 months to 18 years old”</w:t>
      </w:r>
      <w:r w:rsidRPr="00B837B9">
        <w:t xml:space="preserve"> within three months of the reports being signed by the Principal Investigator.</w:t>
      </w:r>
    </w:p>
    <w:p w:rsidR="00287F50" w:rsidRPr="00B837B9" w:rsidRDefault="00287F50" w:rsidP="00287F50">
      <w:pPr>
        <w:pStyle w:val="Heading5"/>
      </w:pPr>
      <w:r>
        <w:t>Indication wording</w:t>
      </w:r>
    </w:p>
    <w:p w:rsidR="00287F50" w:rsidRDefault="00287F50" w:rsidP="00287F50">
      <w:r>
        <w:t>The extended indications statement proposed by the sponsor is:</w:t>
      </w:r>
    </w:p>
    <w:p w:rsidR="00287F50" w:rsidRDefault="00287F50" w:rsidP="00287F50">
      <w:pPr>
        <w:ind w:left="720"/>
        <w:rPr>
          <w:i/>
        </w:rPr>
      </w:pPr>
      <w:r>
        <w:rPr>
          <w:i/>
        </w:rPr>
        <w:t xml:space="preserve">Certican is indicated for the prophylaxis of organ rejection in adult patients at mild to moderate immunological risk receiving an </w:t>
      </w:r>
      <w:proofErr w:type="spellStart"/>
      <w:r>
        <w:rPr>
          <w:i/>
        </w:rPr>
        <w:t>allogeneic</w:t>
      </w:r>
      <w:proofErr w:type="spellEnd"/>
      <w:r>
        <w:rPr>
          <w:i/>
        </w:rPr>
        <w:t xml:space="preserve"> renal, cardiac or hepatic transplant.</w:t>
      </w:r>
    </w:p>
    <w:p w:rsidR="00287F50" w:rsidRDefault="00287F50" w:rsidP="00287F50">
      <w:r>
        <w:t>The CER expresses concern that the efficacy data in the 3 main transplant studies (A2310, A2309 and H2304) were obtained with a specific concomitant medication regimen in each study. The clinical evaluator believes that this should be included in the indication as data with other regimens is either not available or not supportive of the indication. The evaluator therefore recommended that the indication include wording to the effect of:</w:t>
      </w:r>
    </w:p>
    <w:p w:rsidR="00287F50" w:rsidRDefault="00287F50" w:rsidP="00287F50">
      <w:pPr>
        <w:ind w:left="720"/>
        <w:rPr>
          <w:i/>
        </w:rPr>
      </w:pPr>
      <w:r>
        <w:rPr>
          <w:i/>
        </w:rPr>
        <w:t xml:space="preserve">In hepatic transplantation Certican should be used in combination with tacrolimus and corticosteroids. </w:t>
      </w:r>
    </w:p>
    <w:p w:rsidR="00287F50" w:rsidRDefault="00287F50" w:rsidP="00287F50">
      <w:pPr>
        <w:ind w:left="720"/>
        <w:rPr>
          <w:i/>
        </w:rPr>
      </w:pPr>
      <w:r>
        <w:rPr>
          <w:i/>
        </w:rPr>
        <w:t xml:space="preserve">In renal and cardiac transplantation Certican should be used in combination with </w:t>
      </w:r>
      <w:proofErr w:type="spellStart"/>
      <w:r>
        <w:rPr>
          <w:i/>
        </w:rPr>
        <w:t>cyclosporin</w:t>
      </w:r>
      <w:proofErr w:type="spellEnd"/>
      <w:r>
        <w:rPr>
          <w:i/>
        </w:rPr>
        <w:t xml:space="preserve"> </w:t>
      </w:r>
      <w:proofErr w:type="spellStart"/>
      <w:r>
        <w:rPr>
          <w:i/>
        </w:rPr>
        <w:t>microemulsion</w:t>
      </w:r>
      <w:proofErr w:type="spellEnd"/>
      <w:r>
        <w:rPr>
          <w:i/>
        </w:rPr>
        <w:t xml:space="preserve"> and corticosteroids.</w:t>
      </w:r>
    </w:p>
    <w:p w:rsidR="00287F50" w:rsidRDefault="00287F50" w:rsidP="00287F50">
      <w:r>
        <w:t>In the Delegate’s opinion, this direct type of instruction is unusual. An alternative wording for the indications is proposed for consideration:</w:t>
      </w:r>
    </w:p>
    <w:p w:rsidR="00287F50" w:rsidRDefault="00287F50" w:rsidP="00287F50">
      <w:pPr>
        <w:ind w:left="720"/>
        <w:rPr>
          <w:i/>
        </w:rPr>
      </w:pPr>
      <w:r>
        <w:rPr>
          <w:i/>
        </w:rPr>
        <w:t xml:space="preserve">Certican is indicated for the prophylaxis of organ rejection in adult patients at mild to moderate immunological risk receiving an </w:t>
      </w:r>
      <w:proofErr w:type="spellStart"/>
      <w:r>
        <w:rPr>
          <w:i/>
        </w:rPr>
        <w:t>allogeneic</w:t>
      </w:r>
      <w:proofErr w:type="spellEnd"/>
      <w:r>
        <w:rPr>
          <w:i/>
        </w:rPr>
        <w:t xml:space="preserve"> renal; cardiac or hepatic transplant (See Precautions). </w:t>
      </w:r>
    </w:p>
    <w:p w:rsidR="00287F50" w:rsidRDefault="00287F50" w:rsidP="00287F50">
      <w:r>
        <w:t xml:space="preserve">The </w:t>
      </w:r>
      <w:r>
        <w:rPr>
          <w:i/>
        </w:rPr>
        <w:t>Precautions</w:t>
      </w:r>
      <w:r>
        <w:t xml:space="preserve"> section of the PI would then have the following, or similar, words.</w:t>
      </w:r>
    </w:p>
    <w:p w:rsidR="00287F50" w:rsidRDefault="00287F50" w:rsidP="00287F50">
      <w:pPr>
        <w:ind w:left="720"/>
        <w:rPr>
          <w:i/>
        </w:rPr>
      </w:pPr>
      <w:r>
        <w:rPr>
          <w:i/>
        </w:rPr>
        <w:t xml:space="preserve">The clinical development of Certican has involved use of specific combinations of medicines. In hepatic transplantation Certican should be used in combination with tacrolimus and corticosteroids. In renal and cardiac transplantation Certican should be used in combination with </w:t>
      </w:r>
      <w:proofErr w:type="spellStart"/>
      <w:r>
        <w:rPr>
          <w:i/>
        </w:rPr>
        <w:t>cyclosporin</w:t>
      </w:r>
      <w:proofErr w:type="spellEnd"/>
      <w:r>
        <w:rPr>
          <w:i/>
        </w:rPr>
        <w:t xml:space="preserve"> </w:t>
      </w:r>
      <w:proofErr w:type="spellStart"/>
      <w:r>
        <w:rPr>
          <w:i/>
        </w:rPr>
        <w:t>microemulsion</w:t>
      </w:r>
      <w:proofErr w:type="spellEnd"/>
      <w:r>
        <w:rPr>
          <w:i/>
        </w:rPr>
        <w:t xml:space="preserve"> and corticosteroids. Information about other combinations is lacking.</w:t>
      </w:r>
    </w:p>
    <w:p w:rsidR="00287F50" w:rsidRPr="00E741BA" w:rsidRDefault="00287F50" w:rsidP="00287F50">
      <w:r>
        <w:lastRenderedPageBreak/>
        <w:t>The Delegate proposed to seek the advice of the Advisory Committee on Prescription Medicines (ACPM) concerning the preferred form for expressing the restricted nature of the sources of clinical data. The Delegate also sought general advice on this application from the ACPM</w:t>
      </w:r>
      <w:r w:rsidRPr="00E741BA">
        <w:t>.</w:t>
      </w:r>
    </w:p>
    <w:p w:rsidR="00287F50" w:rsidRDefault="00287F50" w:rsidP="00287F50">
      <w:pPr>
        <w:pStyle w:val="Heading4"/>
      </w:pPr>
      <w:r>
        <w:t>Response from Sponsor</w:t>
      </w:r>
    </w:p>
    <w:p w:rsidR="00287F50" w:rsidRPr="003D6C42" w:rsidRDefault="00287F50" w:rsidP="00287F50">
      <w:r w:rsidRPr="003D6C42">
        <w:t xml:space="preserve">The Delegate </w:t>
      </w:r>
      <w:r>
        <w:t xml:space="preserve">proposes to seek </w:t>
      </w:r>
      <w:r w:rsidRPr="003D6C42">
        <w:t>the ACPM’s advice on the preferred form for expressing the restricted nature of clinical data in the P</w:t>
      </w:r>
      <w:r>
        <w:t>I</w:t>
      </w:r>
      <w:r w:rsidRPr="003D6C42">
        <w:t xml:space="preserve">. Novartis accepts the form for the indications and changes to the </w:t>
      </w:r>
      <w:r w:rsidRPr="007E4D29">
        <w:rPr>
          <w:i/>
        </w:rPr>
        <w:t>Precautions</w:t>
      </w:r>
      <w:r w:rsidRPr="003D6C42">
        <w:t xml:space="preserve"> section that were recommended by the Delegate, rather the changes recommended by the </w:t>
      </w:r>
      <w:r>
        <w:t>clinical e</w:t>
      </w:r>
      <w:r w:rsidRPr="003D6C42">
        <w:t xml:space="preserve">valuator. Presented below are the reasons the Delegate’s proposal </w:t>
      </w:r>
      <w:r>
        <w:t xml:space="preserve">is considered </w:t>
      </w:r>
      <w:r w:rsidRPr="003D6C42">
        <w:t xml:space="preserve">to be the more appropriate. </w:t>
      </w:r>
    </w:p>
    <w:p w:rsidR="00287F50" w:rsidRPr="003D6C42" w:rsidRDefault="00287F50" w:rsidP="00287F50">
      <w:pPr>
        <w:pStyle w:val="Heading4"/>
      </w:pPr>
      <w:r>
        <w:t>P</w:t>
      </w:r>
      <w:r w:rsidRPr="003D6C42">
        <w:t xml:space="preserve">roposed </w:t>
      </w:r>
      <w:r>
        <w:t>i</w:t>
      </w:r>
      <w:r w:rsidRPr="003D6C42">
        <w:t>ndication</w:t>
      </w:r>
    </w:p>
    <w:p w:rsidR="00287F50" w:rsidRPr="003D6C42" w:rsidRDefault="00287F50" w:rsidP="00287F50">
      <w:pPr>
        <w:keepNext/>
      </w:pPr>
      <w:r w:rsidRPr="003D6C42">
        <w:t xml:space="preserve">The Delegate, in </w:t>
      </w:r>
      <w:r>
        <w:t xml:space="preserve">the </w:t>
      </w:r>
      <w:r w:rsidRPr="003D6C42">
        <w:t>overview, proposes to approve a slightly modified indication for Certican to that which was proposed by Novartis. Novartis accepts th</w:t>
      </w:r>
      <w:r>
        <w:t>e Delegate’s recommendations. The sponsor</w:t>
      </w:r>
      <w:r w:rsidRPr="003D6C42">
        <w:t xml:space="preserve"> propose a slight modification to the wording </w:t>
      </w:r>
      <w:r>
        <w:t xml:space="preserve">of the </w:t>
      </w:r>
      <w:r w:rsidRPr="003D6C42">
        <w:t>indication for consideration by the ACPM (underlined text below):</w:t>
      </w:r>
    </w:p>
    <w:p w:rsidR="00287F50" w:rsidRPr="003D6C42" w:rsidRDefault="00287F50" w:rsidP="00287F50">
      <w:pPr>
        <w:ind w:left="720"/>
        <w:rPr>
          <w:i/>
        </w:rPr>
      </w:pPr>
      <w:r w:rsidRPr="003D6C42">
        <w:rPr>
          <w:i/>
        </w:rPr>
        <w:t xml:space="preserve">Certican is indicated for the prophylaxis of organ rejection in adult patients at mild to moderate immunological risk receiving an </w:t>
      </w:r>
      <w:proofErr w:type="spellStart"/>
      <w:r w:rsidRPr="003D6C42">
        <w:rPr>
          <w:i/>
        </w:rPr>
        <w:t>allogeneic</w:t>
      </w:r>
      <w:proofErr w:type="spellEnd"/>
      <w:r w:rsidRPr="003D6C42">
        <w:rPr>
          <w:i/>
        </w:rPr>
        <w:t xml:space="preserve"> renal or cardiac transplant </w:t>
      </w:r>
      <w:r w:rsidRPr="00410C12">
        <w:rPr>
          <w:b/>
          <w:i/>
        </w:rPr>
        <w:t xml:space="preserve">and in adult patients receiving an </w:t>
      </w:r>
      <w:proofErr w:type="spellStart"/>
      <w:r w:rsidRPr="00410C12">
        <w:rPr>
          <w:b/>
          <w:i/>
        </w:rPr>
        <w:t>allogeneic</w:t>
      </w:r>
      <w:proofErr w:type="spellEnd"/>
      <w:r w:rsidRPr="00410C12">
        <w:rPr>
          <w:b/>
          <w:i/>
        </w:rPr>
        <w:t xml:space="preserve"> hepatic transplant</w:t>
      </w:r>
      <w:r w:rsidRPr="003D6C42">
        <w:rPr>
          <w:i/>
        </w:rPr>
        <w:t>.</w:t>
      </w:r>
    </w:p>
    <w:p w:rsidR="00287F50" w:rsidRPr="003D6C42" w:rsidRDefault="00287F50" w:rsidP="00287F50">
      <w:r w:rsidRPr="003D6C42">
        <w:t xml:space="preserve">Novartis also accepts the Delegate’s proposal to include the text regarding the specific concomitant medications in the </w:t>
      </w:r>
      <w:r w:rsidRPr="0049346F">
        <w:rPr>
          <w:i/>
        </w:rPr>
        <w:t>Precautions</w:t>
      </w:r>
      <w:r w:rsidRPr="003D6C42">
        <w:t xml:space="preserve"> section of the PI. </w:t>
      </w:r>
      <w:r>
        <w:t xml:space="preserve">Novartis </w:t>
      </w:r>
      <w:r w:rsidRPr="003D6C42">
        <w:t>share</w:t>
      </w:r>
      <w:r>
        <w:t>s</w:t>
      </w:r>
      <w:r w:rsidRPr="003D6C42">
        <w:t xml:space="preserve"> the Delegate’s view that it would be unusual to include such direct instructions in the indication section as proposed by the </w:t>
      </w:r>
      <w:r>
        <w:t>c</w:t>
      </w:r>
      <w:r w:rsidRPr="003D6C42">
        <w:t xml:space="preserve">linical </w:t>
      </w:r>
      <w:r>
        <w:t>e</w:t>
      </w:r>
      <w:r w:rsidRPr="003D6C42">
        <w:t xml:space="preserve">valuator. Detailed information on concomitant medication is comprehensively reported in the appropriate sections of the PI. In relation to current use in renal and cardiac transplant, details of the use of specific combinations already appear in the </w:t>
      </w:r>
      <w:r w:rsidRPr="0049346F">
        <w:rPr>
          <w:i/>
        </w:rPr>
        <w:t>Clinical Trials</w:t>
      </w:r>
      <w:r w:rsidRPr="003D6C42">
        <w:t xml:space="preserve"> and </w:t>
      </w:r>
      <w:r w:rsidRPr="0049346F">
        <w:rPr>
          <w:i/>
        </w:rPr>
        <w:t>Dosage and Administration</w:t>
      </w:r>
      <w:r w:rsidRPr="003D6C42">
        <w:t xml:space="preserve"> sections. Pending the approval of the current application to extend use to hepatic transplantation, similar instructions on the use of concomitant medications would be included in </w:t>
      </w:r>
      <w:r w:rsidRPr="0049346F">
        <w:rPr>
          <w:i/>
        </w:rPr>
        <w:t>Precautions</w:t>
      </w:r>
      <w:r w:rsidRPr="003D6C42">
        <w:t xml:space="preserve"> sections of the PI. As the information will appear in all the appropriate sections of the PI, it would also seem unnecessary to include a cross-reference in the indications. It is worth noting that the wording proposed by the Delegate for the current application to extend the indication to hepatic transplantation is entirely consistent with the TGA advice </w:t>
      </w:r>
      <w:r>
        <w:t xml:space="preserve">for the </w:t>
      </w:r>
      <w:r w:rsidRPr="003D6C42">
        <w:t xml:space="preserve">original application to register Certican in that </w:t>
      </w:r>
      <w:r>
        <w:t xml:space="preserve">the Delegate’s overview for that application stated </w:t>
      </w:r>
      <w:r>
        <w:rPr>
          <w:i/>
        </w:rPr>
        <w:t>‘</w:t>
      </w:r>
      <w:r w:rsidRPr="003D6C42">
        <w:rPr>
          <w:i/>
        </w:rPr>
        <w:t xml:space="preserve">… it would be appropriate to limit the indication to be consistent with that for </w:t>
      </w:r>
      <w:proofErr w:type="spellStart"/>
      <w:r w:rsidRPr="003D6C42">
        <w:rPr>
          <w:i/>
        </w:rPr>
        <w:t>sirolimus</w:t>
      </w:r>
      <w:proofErr w:type="spellEnd"/>
      <w:r w:rsidRPr="003D6C42">
        <w:rPr>
          <w:i/>
        </w:rPr>
        <w:t>.</w:t>
      </w:r>
      <w:r>
        <w:rPr>
          <w:i/>
        </w:rPr>
        <w:t>’</w:t>
      </w:r>
      <w:r w:rsidRPr="003D6C42">
        <w:t xml:space="preserve"> It is also consistent with the TGA approved indication for </w:t>
      </w:r>
      <w:r>
        <w:t xml:space="preserve">the </w:t>
      </w:r>
      <w:r w:rsidRPr="003D6C42">
        <w:t xml:space="preserve">similar compounds </w:t>
      </w:r>
      <w:proofErr w:type="spellStart"/>
      <w:r w:rsidRPr="003D6C42">
        <w:t>tacrolimus</w:t>
      </w:r>
      <w:proofErr w:type="spellEnd"/>
      <w:r w:rsidRPr="003D6C42">
        <w:t xml:space="preserve"> (</w:t>
      </w:r>
      <w:proofErr w:type="spellStart"/>
      <w:r w:rsidRPr="003D6C42">
        <w:t>Prograf</w:t>
      </w:r>
      <w:proofErr w:type="spellEnd"/>
      <w:r w:rsidRPr="003D6C42">
        <w:t xml:space="preserve">) and </w:t>
      </w:r>
      <w:proofErr w:type="spellStart"/>
      <w:r w:rsidRPr="003D6C42">
        <w:t>sirolimus</w:t>
      </w:r>
      <w:proofErr w:type="spellEnd"/>
      <w:r w:rsidRPr="003D6C42">
        <w:t xml:space="preserve"> (</w:t>
      </w:r>
      <w:proofErr w:type="spellStart"/>
      <w:r w:rsidRPr="003D6C42">
        <w:t>Rapamune</w:t>
      </w:r>
      <w:proofErr w:type="spellEnd"/>
      <w:r w:rsidRPr="003D6C42">
        <w:t>).</w:t>
      </w:r>
    </w:p>
    <w:p w:rsidR="00287F50" w:rsidRPr="003D6C42" w:rsidRDefault="00287F50" w:rsidP="00287F50">
      <w:r>
        <w:t xml:space="preserve">Novartis </w:t>
      </w:r>
      <w:r w:rsidRPr="003D6C42">
        <w:t>propose</w:t>
      </w:r>
      <w:r>
        <w:t>s</w:t>
      </w:r>
      <w:r w:rsidRPr="003D6C42">
        <w:t xml:space="preserve"> a slight modification to the wording in relation to the proposed extension, which </w:t>
      </w:r>
      <w:r>
        <w:t xml:space="preserve">is </w:t>
      </w:r>
      <w:r w:rsidRPr="003D6C42">
        <w:t>believe</w:t>
      </w:r>
      <w:r>
        <w:t>d</w:t>
      </w:r>
      <w:r w:rsidRPr="003D6C42">
        <w:t xml:space="preserve"> </w:t>
      </w:r>
      <w:r>
        <w:t>to more accurately reflect</w:t>
      </w:r>
      <w:r w:rsidRPr="003D6C42">
        <w:t xml:space="preserve"> the supporting data. In the EU, the indication was approved without </w:t>
      </w:r>
      <w:r w:rsidRPr="003D6C42">
        <w:rPr>
          <w:i/>
        </w:rPr>
        <w:t>“mild to moderate immunological risk”</w:t>
      </w:r>
      <w:r w:rsidRPr="003D6C42">
        <w:t xml:space="preserve"> for hepatic transplant to more accurately reflect the submitted data and clinical practice. EU discussions highlighted that it was not the intent of Novartis to specify immunological considerations in the indication statement as strictly this is not medically accurate. </w:t>
      </w:r>
      <w:proofErr w:type="spellStart"/>
      <w:r w:rsidRPr="003D6C42">
        <w:t>Histocompatibility</w:t>
      </w:r>
      <w:proofErr w:type="spellEnd"/>
      <w:r w:rsidRPr="003D6C42">
        <w:t xml:space="preserve"> testing is commonly used to minimise allograft rejection and to reduce donor-specific immune responses in kidney transplantation, however, this is not typically performed in liver transplantation. The study population in the pivot</w:t>
      </w:r>
      <w:r>
        <w:t>al S</w:t>
      </w:r>
      <w:r w:rsidRPr="003D6C42">
        <w:t xml:space="preserve">tudy H2304 was not selected based on immunological considerations. In </w:t>
      </w:r>
      <w:r>
        <w:t>Study H2304 the non</w:t>
      </w:r>
      <w:r w:rsidR="00410C12">
        <w:t>-</w:t>
      </w:r>
      <w:r w:rsidRPr="003D6C42">
        <w:t>inferiority of the primary efficacy endpoint for EVR</w:t>
      </w:r>
      <w:r>
        <w:t> </w:t>
      </w:r>
      <w:r w:rsidRPr="003D6C42">
        <w:t>+</w:t>
      </w:r>
      <w:r>
        <w:t> r</w:t>
      </w:r>
      <w:r w:rsidRPr="003D6C42">
        <w:t>educed TAC compared to TAC Control was demonstrated, even for the (non-immunologic) high risk subgroups such as donor age ≥</w:t>
      </w:r>
      <w:r>
        <w:t> </w:t>
      </w:r>
      <w:r w:rsidRPr="003D6C42">
        <w:t>60</w:t>
      </w:r>
      <w:r>
        <w:t xml:space="preserve"> years</w:t>
      </w:r>
      <w:r w:rsidRPr="003D6C42">
        <w:t>, recipient age ≥</w:t>
      </w:r>
      <w:r>
        <w:t> </w:t>
      </w:r>
      <w:r w:rsidRPr="003D6C42">
        <w:t>60</w:t>
      </w:r>
      <w:r>
        <w:t xml:space="preserve"> years</w:t>
      </w:r>
      <w:r w:rsidRPr="003D6C42">
        <w:t xml:space="preserve">, </w:t>
      </w:r>
      <w:r>
        <w:t>c</w:t>
      </w:r>
      <w:r w:rsidRPr="00574DC4">
        <w:t>old ischemic time</w:t>
      </w:r>
      <w:r>
        <w:t xml:space="preserve"> (</w:t>
      </w:r>
      <w:r w:rsidRPr="003D6C42">
        <w:t>CIT</w:t>
      </w:r>
      <w:r>
        <w:t>)</w:t>
      </w:r>
      <w:r w:rsidRPr="003D6C42">
        <w:t xml:space="preserve"> &gt;</w:t>
      </w:r>
      <w:r>
        <w:t> </w:t>
      </w:r>
      <w:r w:rsidRPr="003D6C42">
        <w:t>6 h</w:t>
      </w:r>
      <w:r>
        <w:t>,</w:t>
      </w:r>
      <w:r w:rsidRPr="003D6C42">
        <w:t xml:space="preserve"> and MELD score 20</w:t>
      </w:r>
      <w:r>
        <w:noBreakHyphen/>
      </w:r>
      <w:r w:rsidRPr="003D6C42">
        <w:t xml:space="preserve">24. Therefore, no specifications in terms of immunological risk categories should be proposed </w:t>
      </w:r>
      <w:r w:rsidRPr="003D6C42">
        <w:lastRenderedPageBreak/>
        <w:t xml:space="preserve">for liver transplant recipients. For these reasons, Novartis would like to include </w:t>
      </w:r>
      <w:r w:rsidRPr="00410C12">
        <w:rPr>
          <w:i/>
        </w:rPr>
        <w:t>“</w:t>
      </w:r>
      <w:r w:rsidRPr="00410C12">
        <w:rPr>
          <w:b/>
          <w:i/>
        </w:rPr>
        <w:t xml:space="preserve">and in adult patients receiving an </w:t>
      </w:r>
      <w:proofErr w:type="spellStart"/>
      <w:r w:rsidRPr="00410C12">
        <w:rPr>
          <w:b/>
          <w:i/>
        </w:rPr>
        <w:t>allogenic</w:t>
      </w:r>
      <w:proofErr w:type="spellEnd"/>
      <w:r w:rsidRPr="00410C12">
        <w:rPr>
          <w:b/>
          <w:i/>
        </w:rPr>
        <w:t xml:space="preserve"> hepatic transplant</w:t>
      </w:r>
      <w:r w:rsidRPr="003D6C42">
        <w:t xml:space="preserve">” to the indication statement for ACPM consideration. </w:t>
      </w:r>
    </w:p>
    <w:p w:rsidR="00287F50" w:rsidRPr="003D6C42" w:rsidRDefault="00287F50" w:rsidP="00287F50">
      <w:r w:rsidRPr="003D6C42">
        <w:t>In summary, consistent with the Delegate’s proposal</w:t>
      </w:r>
      <w:r>
        <w:t>,</w:t>
      </w:r>
      <w:r w:rsidRPr="003D6C42">
        <w:t xml:space="preserve"> the original Delegate’s approval </w:t>
      </w:r>
      <w:r>
        <w:t>for Certican</w:t>
      </w:r>
      <w:r w:rsidRPr="003D6C42">
        <w:t xml:space="preserve"> </w:t>
      </w:r>
      <w:r>
        <w:t xml:space="preserve">and the </w:t>
      </w:r>
      <w:r w:rsidRPr="003D6C42">
        <w:t xml:space="preserve">concomitant medication information in the </w:t>
      </w:r>
      <w:r w:rsidRPr="0049346F">
        <w:rPr>
          <w:i/>
        </w:rPr>
        <w:t>Clinical Trials</w:t>
      </w:r>
      <w:r w:rsidRPr="003D6C42">
        <w:t xml:space="preserve">, </w:t>
      </w:r>
      <w:r w:rsidRPr="0049346F">
        <w:rPr>
          <w:i/>
        </w:rPr>
        <w:t>Precautions</w:t>
      </w:r>
      <w:r w:rsidRPr="003D6C42">
        <w:t xml:space="preserve"> and </w:t>
      </w:r>
      <w:r w:rsidRPr="0049346F">
        <w:rPr>
          <w:i/>
        </w:rPr>
        <w:t>Dosage and Administration</w:t>
      </w:r>
      <w:r w:rsidRPr="003D6C42">
        <w:t xml:space="preserve"> sections of the PI, Novartis believes that the proposed indication statement for hepatic transplant is appropriate and warranted. </w:t>
      </w:r>
    </w:p>
    <w:p w:rsidR="00287F50" w:rsidRPr="003D6C42" w:rsidRDefault="00287F50" w:rsidP="00D80724">
      <w:pPr>
        <w:pStyle w:val="Heading4"/>
        <w:keepNext w:val="0"/>
      </w:pPr>
      <w:r w:rsidRPr="00574DC4">
        <w:t>PI statement</w:t>
      </w:r>
      <w:r>
        <w:t>s</w:t>
      </w:r>
      <w:r w:rsidRPr="00574DC4">
        <w:t xml:space="preserve"> </w:t>
      </w:r>
    </w:p>
    <w:p w:rsidR="00287F50" w:rsidRPr="00E63D1C" w:rsidRDefault="00287F50" w:rsidP="00D80724">
      <w:r>
        <w:t xml:space="preserve">The sponsor commented on revisions </w:t>
      </w:r>
      <w:r w:rsidRPr="00E63D1C">
        <w:t xml:space="preserve">under </w:t>
      </w:r>
      <w:r w:rsidRPr="00E63D1C">
        <w:rPr>
          <w:i/>
        </w:rPr>
        <w:t>Pharmacology</w:t>
      </w:r>
      <w:r w:rsidRPr="00E63D1C">
        <w:t xml:space="preserve">, </w:t>
      </w:r>
      <w:r w:rsidRPr="00E63D1C">
        <w:rPr>
          <w:i/>
        </w:rPr>
        <w:t>Clinical Trials</w:t>
      </w:r>
      <w:r w:rsidRPr="00E63D1C">
        <w:t xml:space="preserve">, </w:t>
      </w:r>
      <w:r w:rsidRPr="00E63D1C">
        <w:rPr>
          <w:i/>
        </w:rPr>
        <w:t>Precautions</w:t>
      </w:r>
      <w:r w:rsidRPr="00E63D1C">
        <w:t xml:space="preserve">, </w:t>
      </w:r>
      <w:r w:rsidRPr="00E63D1C">
        <w:rPr>
          <w:i/>
        </w:rPr>
        <w:t>Adverse Effects</w:t>
      </w:r>
      <w:r w:rsidRPr="00E63D1C">
        <w:t xml:space="preserve">, and </w:t>
      </w:r>
      <w:r w:rsidRPr="00E63D1C">
        <w:rPr>
          <w:i/>
        </w:rPr>
        <w:t>Dosage and Administration</w:t>
      </w:r>
      <w:r w:rsidRPr="00E63D1C">
        <w:t xml:space="preserve"> </w:t>
      </w:r>
      <w:r>
        <w:t xml:space="preserve">sections of the PI. </w:t>
      </w:r>
      <w:r w:rsidRPr="00E63D1C">
        <w:t xml:space="preserve">Details of </w:t>
      </w:r>
      <w:r>
        <w:t xml:space="preserve">these </w:t>
      </w:r>
      <w:r w:rsidRPr="00E63D1C">
        <w:t xml:space="preserve">are beyond the scope of this AusPAR. </w:t>
      </w:r>
    </w:p>
    <w:p w:rsidR="00287F50" w:rsidRDefault="00287F50" w:rsidP="00287F50">
      <w:pPr>
        <w:pStyle w:val="Heading4"/>
      </w:pPr>
      <w:r>
        <w:t xml:space="preserve">Other issues raised in the Delegate’s overview </w:t>
      </w:r>
    </w:p>
    <w:p w:rsidR="00287F50" w:rsidRPr="00E63D1C" w:rsidRDefault="00287F50" w:rsidP="00410C12">
      <w:pPr>
        <w:pStyle w:val="Heading5"/>
      </w:pPr>
      <w:r w:rsidRPr="00E63D1C">
        <w:t>Delegates overview:</w:t>
      </w:r>
    </w:p>
    <w:p w:rsidR="00287F50" w:rsidRPr="00E63D1C" w:rsidRDefault="00287F50" w:rsidP="00287F50">
      <w:pPr>
        <w:rPr>
          <w:i/>
        </w:rPr>
      </w:pPr>
      <w:r>
        <w:rPr>
          <w:i/>
        </w:rPr>
        <w:t xml:space="preserve">Safety Concerns: </w:t>
      </w:r>
      <w:r w:rsidRPr="00E63D1C">
        <w:rPr>
          <w:i/>
        </w:rPr>
        <w:t xml:space="preserve">To revise the safety specifications as recommended by the clinical evaluator, to ensure that these safety concerns are formalised in the RMP for ongoing monitoring commitment. This includes the addition of the following safety concerns: pericardial infusion, </w:t>
      </w:r>
      <w:proofErr w:type="spellStart"/>
      <w:r w:rsidRPr="00E63D1C">
        <w:rPr>
          <w:i/>
        </w:rPr>
        <w:t>haemodynamic</w:t>
      </w:r>
      <w:proofErr w:type="spellEnd"/>
      <w:r w:rsidRPr="00E63D1C">
        <w:rPr>
          <w:i/>
        </w:rPr>
        <w:t xml:space="preserve"> compromise, </w:t>
      </w:r>
      <w:proofErr w:type="spellStart"/>
      <w:r w:rsidRPr="00E63D1C">
        <w:rPr>
          <w:i/>
        </w:rPr>
        <w:t>leukopenia</w:t>
      </w:r>
      <w:proofErr w:type="spellEnd"/>
      <w:r w:rsidRPr="00E63D1C">
        <w:rPr>
          <w:i/>
        </w:rPr>
        <w:t xml:space="preserve">, thrombocytopenia, </w:t>
      </w:r>
      <w:proofErr w:type="spellStart"/>
      <w:r w:rsidRPr="00E63D1C">
        <w:rPr>
          <w:i/>
        </w:rPr>
        <w:t>pancytopenia</w:t>
      </w:r>
      <w:proofErr w:type="spellEnd"/>
      <w:r w:rsidRPr="00E63D1C">
        <w:rPr>
          <w:i/>
        </w:rPr>
        <w:t xml:space="preserve">, broaden the important identified risk ‘increased proteinuria in de novo renal transplant recipients’ to ‘proteinuria’. </w:t>
      </w:r>
    </w:p>
    <w:p w:rsidR="00287F50" w:rsidRPr="00574DC4" w:rsidRDefault="00287F50" w:rsidP="00410C12">
      <w:pPr>
        <w:pStyle w:val="Heading4"/>
      </w:pPr>
      <w:r w:rsidRPr="00574DC4">
        <w:t>Sponsor’s response:</w:t>
      </w:r>
    </w:p>
    <w:p w:rsidR="00287F50" w:rsidRPr="003D6C42" w:rsidRDefault="00287F50" w:rsidP="00287F50">
      <w:r w:rsidRPr="003D6C42">
        <w:rPr>
          <w:b/>
          <w:i/>
        </w:rPr>
        <w:t>Pericardial effusion</w:t>
      </w:r>
      <w:r w:rsidRPr="003D6C42">
        <w:t xml:space="preserve"> is a common procedural related complication after cardiac transplantation and occurs in approximately 10-20% of pat</w:t>
      </w:r>
      <w:r>
        <w:t>ients, essentially within 30</w:t>
      </w:r>
      <w:r>
        <w:noBreakHyphen/>
        <w:t>60 </w:t>
      </w:r>
      <w:r w:rsidRPr="003D6C42">
        <w:t>days post-transplant. This has been confirmed by the results of the heart transplant study A2310. Kaplan-Meier estimates demonstrate that the majority of the effusion events occurred within the first month after heart transplantation (</w:t>
      </w:r>
      <w:r>
        <w:t xml:space="preserve">Study </w:t>
      </w:r>
      <w:r w:rsidRPr="003D6C42">
        <w:t xml:space="preserve">A2310). Pericardial effusion did require more interventional therapy (approximately </w:t>
      </w:r>
      <w:r>
        <w:t xml:space="preserve">3 </w:t>
      </w:r>
      <w:r w:rsidRPr="003D6C42">
        <w:t xml:space="preserve">fold increase in surgery and </w:t>
      </w:r>
      <w:proofErr w:type="spellStart"/>
      <w:r w:rsidRPr="003D6C42">
        <w:t>thoracentesis</w:t>
      </w:r>
      <w:proofErr w:type="spellEnd"/>
      <w:r w:rsidRPr="003D6C42">
        <w:t>) in A2310. Subsequently</w:t>
      </w:r>
      <w:r>
        <w:t>,</w:t>
      </w:r>
      <w:r w:rsidRPr="003D6C42">
        <w:t xml:space="preserve"> pericardial and</w:t>
      </w:r>
      <w:r>
        <w:t>,</w:t>
      </w:r>
      <w:r w:rsidRPr="003D6C42">
        <w:t xml:space="preserve"> in addition</w:t>
      </w:r>
      <w:r>
        <w:t>,</w:t>
      </w:r>
      <w:r w:rsidRPr="003D6C42">
        <w:t xml:space="preserve"> pleural effusions are included as adverse drug reaction</w:t>
      </w:r>
      <w:r>
        <w:t>s</w:t>
      </w:r>
      <w:r w:rsidRPr="003D6C42">
        <w:t xml:space="preserve"> in the proposed Australian Certican PI, reflecting the finding that both events may occur in the postoperative period after heart transplantation. </w:t>
      </w:r>
    </w:p>
    <w:p w:rsidR="00287F50" w:rsidRPr="003D6C42" w:rsidRDefault="00287F50" w:rsidP="00287F50">
      <w:r w:rsidRPr="003D6C42">
        <w:t>The res</w:t>
      </w:r>
      <w:r>
        <w:t>ults from the liver transplant S</w:t>
      </w:r>
      <w:r w:rsidRPr="003D6C42">
        <w:t>tudy H2304 (</w:t>
      </w:r>
      <w:r>
        <w:t>EVR + reduced tacrolimus</w:t>
      </w:r>
      <w:r w:rsidRPr="003D6C42">
        <w:t xml:space="preserve"> </w:t>
      </w:r>
      <w:r>
        <w:t>(n </w:t>
      </w:r>
      <w:r w:rsidRPr="003D6C42">
        <w:t>=</w:t>
      </w:r>
      <w:r>
        <w:t> </w:t>
      </w:r>
      <w:r w:rsidRPr="003D6C42">
        <w:t>245</w:t>
      </w:r>
      <w:r>
        <w:t>)</w:t>
      </w:r>
      <w:r w:rsidRPr="003D6C42">
        <w:t xml:space="preserve"> </w:t>
      </w:r>
      <w:r>
        <w:t>versus</w:t>
      </w:r>
      <w:r w:rsidRPr="003D6C42">
        <w:t xml:space="preserve"> </w:t>
      </w:r>
      <w:r>
        <w:t>EVR + TAC elimination (n </w:t>
      </w:r>
      <w:r w:rsidRPr="003D6C42">
        <w:t>=</w:t>
      </w:r>
      <w:r>
        <w:t> </w:t>
      </w:r>
      <w:r w:rsidRPr="003D6C42">
        <w:t>230</w:t>
      </w:r>
      <w:r>
        <w:t>)</w:t>
      </w:r>
      <w:r w:rsidRPr="003D6C42">
        <w:t xml:space="preserve"> </w:t>
      </w:r>
      <w:r>
        <w:t>versus</w:t>
      </w:r>
      <w:r w:rsidRPr="003D6C42">
        <w:t xml:space="preserve"> TAC control </w:t>
      </w:r>
      <w:r>
        <w:t>(n </w:t>
      </w:r>
      <w:r w:rsidRPr="003D6C42">
        <w:t>=</w:t>
      </w:r>
      <w:r>
        <w:t> </w:t>
      </w:r>
      <w:r w:rsidRPr="003D6C42">
        <w:t>241</w:t>
      </w:r>
      <w:r>
        <w:t>)</w:t>
      </w:r>
      <w:r w:rsidRPr="003D6C42">
        <w:t xml:space="preserve">) did not show any evidence for a risk of pericardial effusions in liver transplantation (0.4% </w:t>
      </w:r>
      <w:r>
        <w:t>versus</w:t>
      </w:r>
      <w:r w:rsidRPr="003D6C42">
        <w:t xml:space="preserve"> 0.4% </w:t>
      </w:r>
      <w:r>
        <w:t>versus</w:t>
      </w:r>
      <w:r w:rsidRPr="003D6C42">
        <w:t xml:space="preserve"> 0.8%). Consequently</w:t>
      </w:r>
      <w:r>
        <w:t>,</w:t>
      </w:r>
      <w:r w:rsidRPr="003D6C42">
        <w:t xml:space="preserve"> pericardial effusion is considered in the Australian PI as </w:t>
      </w:r>
      <w:r>
        <w:t xml:space="preserve">an </w:t>
      </w:r>
      <w:r w:rsidRPr="003D6C42">
        <w:t xml:space="preserve">Adverse Drug Reaction (ADR) specific for the heart transplant population and is considered to be related to an impaired wound healing in the postoperative period. Similar, pericardial effusion is addressed in the RMP </w:t>
      </w:r>
      <w:r>
        <w:t xml:space="preserve">(for example, in the </w:t>
      </w:r>
      <w:r w:rsidRPr="003D6C42">
        <w:t>safety specification</w:t>
      </w:r>
      <w:r>
        <w:t>s</w:t>
      </w:r>
      <w:r w:rsidRPr="003D6C42">
        <w:t xml:space="preserve">) under the identified risk </w:t>
      </w:r>
      <w:r>
        <w:t>‘</w:t>
      </w:r>
      <w:r w:rsidRPr="003D6C42">
        <w:t>wound healing complications</w:t>
      </w:r>
      <w:r>
        <w:t>’</w:t>
      </w:r>
      <w:r w:rsidRPr="003D6C42">
        <w:t xml:space="preserve"> also specifically for heart transplant patients. Details on pericardial effusion events (including </w:t>
      </w:r>
      <w:r w:rsidRPr="00922903">
        <w:t xml:space="preserve">Medical Dictionary for Regulatory Activities </w:t>
      </w:r>
      <w:r>
        <w:t>(</w:t>
      </w:r>
      <w:proofErr w:type="spellStart"/>
      <w:r w:rsidRPr="003D6C42">
        <w:t>MedDRA</w:t>
      </w:r>
      <w:proofErr w:type="spellEnd"/>
      <w:r>
        <w:t>)</w:t>
      </w:r>
      <w:r w:rsidRPr="003D6C42">
        <w:t xml:space="preserve"> terms: </w:t>
      </w:r>
      <w:r>
        <w:t>preferred terms (</w:t>
      </w:r>
      <w:r w:rsidRPr="003D6C42">
        <w:t>PTs</w:t>
      </w:r>
      <w:r>
        <w:t>)</w:t>
      </w:r>
      <w:r w:rsidRPr="003D6C42">
        <w:t xml:space="preserve"> of </w:t>
      </w:r>
      <w:r>
        <w:t>c</w:t>
      </w:r>
      <w:r w:rsidRPr="003D6C42">
        <w:t xml:space="preserve">ardiac </w:t>
      </w:r>
      <w:proofErr w:type="spellStart"/>
      <w:r w:rsidRPr="003D6C42">
        <w:t>tamponade</w:t>
      </w:r>
      <w:proofErr w:type="spellEnd"/>
      <w:r w:rsidRPr="003D6C42">
        <w:t xml:space="preserve">, </w:t>
      </w:r>
      <w:r>
        <w:t>p</w:t>
      </w:r>
      <w:r w:rsidRPr="003D6C42">
        <w:t xml:space="preserve">ericardial effusion, and </w:t>
      </w:r>
      <w:r>
        <w:t>p</w:t>
      </w:r>
      <w:r w:rsidRPr="003D6C42">
        <w:t xml:space="preserve">ericardial haemorrhage) are given in the RMP. </w:t>
      </w:r>
    </w:p>
    <w:p w:rsidR="00287F50" w:rsidRPr="003D6C42" w:rsidRDefault="00287F50" w:rsidP="00287F50">
      <w:r w:rsidRPr="003D6C42">
        <w:t>Hemodynamic comp</w:t>
      </w:r>
      <w:r>
        <w:t>romise in the heart transplant S</w:t>
      </w:r>
      <w:r w:rsidRPr="003D6C42">
        <w:t xml:space="preserve">tudy A2310 was either a symptom of rejection and </w:t>
      </w:r>
      <w:r>
        <w:t xml:space="preserve">was </w:t>
      </w:r>
      <w:r w:rsidRPr="003D6C42">
        <w:t>included as such in the composite efficacy endpoint</w:t>
      </w:r>
      <w:r>
        <w:t>,</w:t>
      </w:r>
      <w:r w:rsidRPr="003D6C42">
        <w:t xml:space="preserve"> or a symptom of pericardial effusion, which is addressed in the Australian PI and in the RMP under the topic </w:t>
      </w:r>
      <w:r>
        <w:t>‘</w:t>
      </w:r>
      <w:r w:rsidRPr="003D6C42">
        <w:t>wound healing complications</w:t>
      </w:r>
      <w:r>
        <w:t>’</w:t>
      </w:r>
      <w:r w:rsidRPr="003D6C42">
        <w:t xml:space="preserve">. </w:t>
      </w:r>
    </w:p>
    <w:p w:rsidR="00287F50" w:rsidRPr="003D6C42" w:rsidRDefault="00287F50" w:rsidP="00287F50">
      <w:r w:rsidRPr="003D6C42">
        <w:rPr>
          <w:b/>
          <w:i/>
        </w:rPr>
        <w:lastRenderedPageBreak/>
        <w:t>Haematological events:</w:t>
      </w:r>
      <w:r>
        <w:t xml:space="preserve"> </w:t>
      </w:r>
      <w:proofErr w:type="spellStart"/>
      <w:r>
        <w:t>Leukopenia</w:t>
      </w:r>
      <w:proofErr w:type="spellEnd"/>
      <w:r>
        <w:t>, thrombocytopenia</w:t>
      </w:r>
      <w:r w:rsidRPr="003D6C42">
        <w:t xml:space="preserve"> and </w:t>
      </w:r>
      <w:proofErr w:type="spellStart"/>
      <w:r w:rsidRPr="003D6C42">
        <w:t>pancytopenia</w:t>
      </w:r>
      <w:proofErr w:type="spellEnd"/>
      <w:r w:rsidRPr="003D6C42">
        <w:t xml:space="preserve"> are frequently observed laboratory abnormalities in transplant patients</w:t>
      </w:r>
      <w:r>
        <w:t>,</w:t>
      </w:r>
      <w:r w:rsidRPr="003D6C42">
        <w:t xml:space="preserve"> mostly as </w:t>
      </w:r>
      <w:r>
        <w:t xml:space="preserve">AEs </w:t>
      </w:r>
      <w:r w:rsidRPr="003D6C42">
        <w:t xml:space="preserve">of the immunosuppressive drugs </w:t>
      </w:r>
      <w:r>
        <w:t xml:space="preserve">(for example, due to </w:t>
      </w:r>
      <w:r w:rsidRPr="003D6C42">
        <w:t xml:space="preserve">an </w:t>
      </w:r>
      <w:proofErr w:type="spellStart"/>
      <w:r w:rsidRPr="003D6C42">
        <w:t>antiproliferative</w:t>
      </w:r>
      <w:proofErr w:type="spellEnd"/>
      <w:r w:rsidRPr="003D6C42">
        <w:t xml:space="preserve"> effect of </w:t>
      </w:r>
      <w:proofErr w:type="spellStart"/>
      <w:r w:rsidRPr="003D6C42">
        <w:t>mTOR</w:t>
      </w:r>
      <w:proofErr w:type="spellEnd"/>
      <w:r w:rsidRPr="003D6C42">
        <w:t xml:space="preserve"> inhibition</w:t>
      </w:r>
      <w:r>
        <w:t>)</w:t>
      </w:r>
      <w:r w:rsidRPr="003D6C42">
        <w:t xml:space="preserve">. Most of these events obtained from Certican clinical trials were not serious and </w:t>
      </w:r>
      <w:r>
        <w:t xml:space="preserve">were </w:t>
      </w:r>
      <w:r w:rsidRPr="003D6C42">
        <w:t xml:space="preserve">of mild to moderate severity only. The haematological events are sufficiently addressed in the Certican Australian PI. </w:t>
      </w:r>
    </w:p>
    <w:p w:rsidR="00287F50" w:rsidRPr="003D6C42" w:rsidRDefault="00287F50" w:rsidP="00287F50">
      <w:r w:rsidRPr="003D6C42">
        <w:t xml:space="preserve">As a separate entity the concomitant administration of Certican with a CNI may increase the risk of CNI-induced thrombotic </w:t>
      </w:r>
      <w:proofErr w:type="spellStart"/>
      <w:r w:rsidRPr="003D6C42">
        <w:t>microangiopathy</w:t>
      </w:r>
      <w:proofErr w:type="spellEnd"/>
      <w:r w:rsidRPr="003D6C42">
        <w:t xml:space="preserve"> with a secondary thrombocytopenia, and mechanical injury to erythrocytes. With few exceptions, the condition presents in the early post-transplant period. This important identified risk of thrombotic </w:t>
      </w:r>
      <w:proofErr w:type="spellStart"/>
      <w:r w:rsidRPr="003D6C42">
        <w:t>microangiopathies</w:t>
      </w:r>
      <w:proofErr w:type="spellEnd"/>
      <w:r w:rsidRPr="003D6C42">
        <w:t xml:space="preserve"> (TMA) is included in the RMP and also addressed in the Australian PI. </w:t>
      </w:r>
    </w:p>
    <w:p w:rsidR="00287F50" w:rsidRPr="003D6C42" w:rsidRDefault="00287F50" w:rsidP="00287F50">
      <w:r w:rsidRPr="003D6C42">
        <w:t xml:space="preserve">Assessment of haematological parameters belongs to the standard procedures in transplant patients. The Certican label </w:t>
      </w:r>
      <w:r>
        <w:t xml:space="preserve">(PI) </w:t>
      </w:r>
      <w:r w:rsidRPr="003D6C42">
        <w:t xml:space="preserve">correctly informs about haematological events. Thus it is not deemed necessary to include </w:t>
      </w:r>
      <w:proofErr w:type="spellStart"/>
      <w:r w:rsidRPr="003D6C42">
        <w:t>leukopenia</w:t>
      </w:r>
      <w:proofErr w:type="spellEnd"/>
      <w:r w:rsidRPr="003D6C42">
        <w:t xml:space="preserve">, thrombocytopenia, and </w:t>
      </w:r>
      <w:proofErr w:type="spellStart"/>
      <w:r w:rsidRPr="003D6C42">
        <w:t>pancytopenia</w:t>
      </w:r>
      <w:proofErr w:type="spellEnd"/>
      <w:r w:rsidRPr="003D6C42">
        <w:t xml:space="preserve"> in the RMP. </w:t>
      </w:r>
    </w:p>
    <w:p w:rsidR="00287F50" w:rsidRPr="00E63D1C" w:rsidRDefault="00287F50" w:rsidP="00410C12">
      <w:pPr>
        <w:pStyle w:val="Heading5"/>
      </w:pPr>
      <w:r w:rsidRPr="00E63D1C">
        <w:t>Delegates overview:</w:t>
      </w:r>
    </w:p>
    <w:p w:rsidR="00287F50" w:rsidRPr="00E63D1C" w:rsidRDefault="00287F50" w:rsidP="00D80724">
      <w:pPr>
        <w:rPr>
          <w:i/>
        </w:rPr>
      </w:pPr>
      <w:r w:rsidRPr="00E63D1C">
        <w:rPr>
          <w:i/>
        </w:rPr>
        <w:t>Safety concerns</w:t>
      </w:r>
      <w:r>
        <w:rPr>
          <w:i/>
        </w:rPr>
        <w:t>:</w:t>
      </w:r>
      <w:r w:rsidRPr="00E63D1C">
        <w:rPr>
          <w:i/>
        </w:rPr>
        <w:t xml:space="preserve"> In addition, it is recommended that ‘long-term safety’ is added as an area of missing information of the safety specifications for ongoing monitoring. </w:t>
      </w:r>
    </w:p>
    <w:p w:rsidR="00287F50" w:rsidRDefault="00287F50" w:rsidP="00410C12">
      <w:pPr>
        <w:pStyle w:val="Heading4"/>
      </w:pPr>
      <w:r>
        <w:t>Sponsor’s response:</w:t>
      </w:r>
    </w:p>
    <w:p w:rsidR="00287F50" w:rsidRPr="003D6C42" w:rsidRDefault="00287F50" w:rsidP="00287F50">
      <w:r w:rsidRPr="003D6C42">
        <w:t xml:space="preserve">Certican is approved in over </w:t>
      </w:r>
      <w:r>
        <w:t>85 countries for use in cardiac</w:t>
      </w:r>
      <w:r w:rsidRPr="003D6C42">
        <w:t xml:space="preserve"> and renal transplantation. On 17</w:t>
      </w:r>
      <w:r w:rsidRPr="00A85F30">
        <w:rPr>
          <w:vertAlign w:val="superscript"/>
        </w:rPr>
        <w:t>th</w:t>
      </w:r>
      <w:r>
        <w:t xml:space="preserve"> </w:t>
      </w:r>
      <w:r w:rsidRPr="003D6C42">
        <w:t>October 2012 the approval to extend use to liver transplantation recipients was granted in Europe for all countries participating in the Mutual Recognition Procedure (MRP). The safety profile is well established</w:t>
      </w:r>
      <w:r>
        <w:t>. I</w:t>
      </w:r>
      <w:r w:rsidRPr="003D6C42">
        <w:t xml:space="preserve">nformation on effects of long term treatment has regularly been evaluated in all PSURs, including the most recent PSUR 9 </w:t>
      </w:r>
      <w:r>
        <w:t>(1</w:t>
      </w:r>
      <w:r>
        <w:rPr>
          <w:vertAlign w:val="superscript"/>
        </w:rPr>
        <w:t xml:space="preserve"> </w:t>
      </w:r>
      <w:r>
        <w:t xml:space="preserve">August 2012 to 31 </w:t>
      </w:r>
      <w:r w:rsidRPr="003D6C42">
        <w:t>Jul</w:t>
      </w:r>
      <w:r>
        <w:t xml:space="preserve">y </w:t>
      </w:r>
      <w:r w:rsidRPr="003D6C42">
        <w:t>2012) without any additional safety findings. The overall safety profile of everolimus in the liver transplant indication is comparable to the safety profile in the other transplant indications.</w:t>
      </w:r>
    </w:p>
    <w:p w:rsidR="00287F50" w:rsidRPr="003D6C42" w:rsidRDefault="00287F50" w:rsidP="00287F50">
      <w:r w:rsidRPr="003D6C42">
        <w:t>Long</w:t>
      </w:r>
      <w:r>
        <w:t xml:space="preserve"> </w:t>
      </w:r>
      <w:r w:rsidRPr="003D6C42">
        <w:t>term safety is not considered as an area of missing information and the addition of this topic to the RMP is not warranted given the broad experience with the drug. As part of the routine on-going monitoring and to address specific questions on the risk of wound healing complications, the</w:t>
      </w:r>
      <w:r>
        <w:t xml:space="preserve"> extension S</w:t>
      </w:r>
      <w:r w:rsidRPr="003D6C42">
        <w:t xml:space="preserve">tudy H2304E1 is included in the </w:t>
      </w:r>
      <w:r>
        <w:t xml:space="preserve">RMP </w:t>
      </w:r>
      <w:r w:rsidRPr="003D6C42">
        <w:t xml:space="preserve">as </w:t>
      </w:r>
      <w:r>
        <w:t xml:space="preserve">PV </w:t>
      </w:r>
      <w:r w:rsidRPr="003D6C42">
        <w:t>activity.</w:t>
      </w:r>
    </w:p>
    <w:p w:rsidR="00287F50" w:rsidRPr="00E63D1C" w:rsidRDefault="00287F50" w:rsidP="00410C12">
      <w:pPr>
        <w:pStyle w:val="Heading5"/>
      </w:pPr>
      <w:r w:rsidRPr="00E63D1C">
        <w:t>Delegates overview:</w:t>
      </w:r>
    </w:p>
    <w:p w:rsidR="00287F50" w:rsidRPr="00E63D1C" w:rsidRDefault="00287F50" w:rsidP="00287F50">
      <w:pPr>
        <w:rPr>
          <w:i/>
        </w:rPr>
      </w:pPr>
      <w:r w:rsidRPr="00E63D1C">
        <w:rPr>
          <w:i/>
        </w:rPr>
        <w:t>Pharmacovigilance activities</w:t>
      </w:r>
      <w:r>
        <w:rPr>
          <w:i/>
        </w:rPr>
        <w:t xml:space="preserve">: </w:t>
      </w:r>
      <w:r w:rsidRPr="00E63D1C">
        <w:rPr>
          <w:i/>
        </w:rPr>
        <w:t xml:space="preserve">To propose adequate and appropriate </w:t>
      </w:r>
      <w:r>
        <w:rPr>
          <w:i/>
        </w:rPr>
        <w:t xml:space="preserve">PV </w:t>
      </w:r>
      <w:r w:rsidRPr="00E63D1C">
        <w:rPr>
          <w:i/>
        </w:rPr>
        <w:t xml:space="preserve">activities for each of the relevant additional safety concerns: pericardial effusion, </w:t>
      </w:r>
      <w:proofErr w:type="spellStart"/>
      <w:r w:rsidRPr="00E63D1C">
        <w:rPr>
          <w:i/>
        </w:rPr>
        <w:t>haemodynamic</w:t>
      </w:r>
      <w:proofErr w:type="spellEnd"/>
      <w:r w:rsidRPr="00E63D1C">
        <w:rPr>
          <w:i/>
        </w:rPr>
        <w:t xml:space="preserve"> compromise, </w:t>
      </w:r>
      <w:proofErr w:type="spellStart"/>
      <w:r w:rsidRPr="00E63D1C">
        <w:rPr>
          <w:i/>
        </w:rPr>
        <w:t>leukopenia</w:t>
      </w:r>
      <w:proofErr w:type="spellEnd"/>
      <w:r w:rsidRPr="00E63D1C">
        <w:rPr>
          <w:i/>
        </w:rPr>
        <w:t xml:space="preserve">, thrombocytopenia, </w:t>
      </w:r>
      <w:proofErr w:type="spellStart"/>
      <w:r w:rsidRPr="00E63D1C">
        <w:rPr>
          <w:i/>
        </w:rPr>
        <w:t>pancytopenia</w:t>
      </w:r>
      <w:proofErr w:type="spellEnd"/>
      <w:r w:rsidRPr="00E63D1C">
        <w:rPr>
          <w:i/>
        </w:rPr>
        <w:t xml:space="preserve">, </w:t>
      </w:r>
      <w:proofErr w:type="spellStart"/>
      <w:r w:rsidRPr="00E63D1C">
        <w:rPr>
          <w:i/>
        </w:rPr>
        <w:t>proteinuria</w:t>
      </w:r>
      <w:proofErr w:type="spellEnd"/>
      <w:r w:rsidRPr="00E63D1C">
        <w:rPr>
          <w:i/>
        </w:rPr>
        <w:t xml:space="preserve"> and long term safety.</w:t>
      </w:r>
    </w:p>
    <w:p w:rsidR="00287F50" w:rsidRDefault="00287F50" w:rsidP="00410C12">
      <w:pPr>
        <w:pStyle w:val="Heading5"/>
      </w:pPr>
      <w:r>
        <w:t>Sponsor’s response:</w:t>
      </w:r>
    </w:p>
    <w:p w:rsidR="00287F50" w:rsidRPr="003D6C42" w:rsidRDefault="00287F50" w:rsidP="00287F50">
      <w:r w:rsidRPr="003D6C42">
        <w:t>For the reasons mentioned above, Novartis believes that these risks are adequately addressed in the Australian PI and the RMP for Certican. Close monitoring</w:t>
      </w:r>
      <w:r>
        <w:t>,</w:t>
      </w:r>
      <w:r w:rsidRPr="003D6C42">
        <w:t xml:space="preserve"> including review in PSURs</w:t>
      </w:r>
      <w:r>
        <w:t>,</w:t>
      </w:r>
      <w:r w:rsidRPr="003D6C42">
        <w:t xml:space="preserve"> will be performed for the identified risks of wound healing complications (including pericardial effusion) and proteinuria. For all other safety topics</w:t>
      </w:r>
      <w:r>
        <w:t>,</w:t>
      </w:r>
      <w:r w:rsidRPr="003D6C42">
        <w:t xml:space="preserve"> routine monitoring is considered appropriate and will be re-evaluated upon receipt of relevant new information.</w:t>
      </w:r>
    </w:p>
    <w:p w:rsidR="00287F50" w:rsidRPr="00E63D1C" w:rsidRDefault="00287F50" w:rsidP="00410C12">
      <w:pPr>
        <w:pStyle w:val="Heading5"/>
      </w:pPr>
      <w:r w:rsidRPr="00E63D1C">
        <w:t xml:space="preserve">Delegates overview: </w:t>
      </w:r>
    </w:p>
    <w:p w:rsidR="00287F50" w:rsidRPr="00E63D1C" w:rsidRDefault="00287F50" w:rsidP="00D80724">
      <w:pPr>
        <w:rPr>
          <w:i/>
        </w:rPr>
      </w:pPr>
      <w:r w:rsidRPr="00E63D1C">
        <w:rPr>
          <w:i/>
        </w:rPr>
        <w:t xml:space="preserve">Pharmacovigilance activities: To incorporate the information relevant to the </w:t>
      </w:r>
      <w:r>
        <w:rPr>
          <w:i/>
        </w:rPr>
        <w:t xml:space="preserve">PIP </w:t>
      </w:r>
      <w:r w:rsidRPr="00E63D1C">
        <w:rPr>
          <w:i/>
        </w:rPr>
        <w:t>changes approved by the EMA and the results from study CRAD001A2310 in a future update of the RMP.</w:t>
      </w:r>
    </w:p>
    <w:p w:rsidR="00287F50" w:rsidRDefault="00287F50" w:rsidP="00410C12">
      <w:pPr>
        <w:pStyle w:val="Heading4"/>
      </w:pPr>
      <w:r>
        <w:lastRenderedPageBreak/>
        <w:t>Sponsor’s response:</w:t>
      </w:r>
    </w:p>
    <w:p w:rsidR="00287F50" w:rsidRPr="003D6C42" w:rsidRDefault="00287F50" w:rsidP="00287F50">
      <w:r w:rsidRPr="003D6C42">
        <w:t xml:space="preserve">Information relevant to the </w:t>
      </w:r>
      <w:r>
        <w:t xml:space="preserve">PIP </w:t>
      </w:r>
      <w:r w:rsidRPr="003D6C42">
        <w:t>has been included in the most recent version of the RMP. This updated RMP v2.0 for implementation will be submitted to TGA. A copy of the most recent EMA/</w:t>
      </w:r>
      <w:r>
        <w:t>Paediatric Committee (</w:t>
      </w:r>
      <w:r w:rsidRPr="003D6C42">
        <w:t>PDCO</w:t>
      </w:r>
      <w:r>
        <w:t>)</w:t>
      </w:r>
      <w:r w:rsidRPr="003D6C42">
        <w:t xml:space="preserve"> opinion will also be submitted to TGA.</w:t>
      </w:r>
    </w:p>
    <w:p w:rsidR="00287F50" w:rsidRDefault="00287F50" w:rsidP="00287F50">
      <w:r>
        <w:t>The 24 month CSR for S</w:t>
      </w:r>
      <w:r w:rsidRPr="003D6C42">
        <w:t>tudy A2310 is also available and will be submitted to TGA.</w:t>
      </w:r>
    </w:p>
    <w:p w:rsidR="00287F50" w:rsidRPr="00E63D1C" w:rsidRDefault="00287F50" w:rsidP="00410C12">
      <w:pPr>
        <w:pStyle w:val="Heading5"/>
      </w:pPr>
      <w:r w:rsidRPr="00E63D1C">
        <w:t>Delegates overview:</w:t>
      </w:r>
    </w:p>
    <w:p w:rsidR="00287F50" w:rsidRPr="00E63D1C" w:rsidRDefault="00287F50" w:rsidP="00D80724">
      <w:pPr>
        <w:keepNext/>
        <w:rPr>
          <w:i/>
        </w:rPr>
      </w:pPr>
      <w:r w:rsidRPr="00E63D1C">
        <w:rPr>
          <w:i/>
        </w:rPr>
        <w:t xml:space="preserve">Risk minimisation activities: To propose adequate and appropriate risk minimisation activities for each of the relevant additional safety concerns: pericardial effusion, </w:t>
      </w:r>
      <w:proofErr w:type="spellStart"/>
      <w:r w:rsidRPr="00E63D1C">
        <w:rPr>
          <w:i/>
        </w:rPr>
        <w:t>haemodynamic</w:t>
      </w:r>
      <w:proofErr w:type="spellEnd"/>
      <w:r w:rsidRPr="00E63D1C">
        <w:rPr>
          <w:i/>
        </w:rPr>
        <w:t xml:space="preserve"> compromise, </w:t>
      </w:r>
      <w:proofErr w:type="spellStart"/>
      <w:r w:rsidRPr="00E63D1C">
        <w:rPr>
          <w:i/>
        </w:rPr>
        <w:t>leukopenia</w:t>
      </w:r>
      <w:proofErr w:type="spellEnd"/>
      <w:r w:rsidRPr="00E63D1C">
        <w:rPr>
          <w:i/>
        </w:rPr>
        <w:t>, t</w:t>
      </w:r>
      <w:r>
        <w:rPr>
          <w:i/>
        </w:rPr>
        <w:t xml:space="preserve">hrombocytopenia, </w:t>
      </w:r>
      <w:proofErr w:type="spellStart"/>
      <w:r>
        <w:rPr>
          <w:i/>
        </w:rPr>
        <w:t>pancytopenia</w:t>
      </w:r>
      <w:proofErr w:type="spellEnd"/>
      <w:r>
        <w:rPr>
          <w:i/>
        </w:rPr>
        <w:t xml:space="preserve">, </w:t>
      </w:r>
      <w:proofErr w:type="spellStart"/>
      <w:r w:rsidRPr="00E63D1C">
        <w:rPr>
          <w:i/>
        </w:rPr>
        <w:t>proteinuria</w:t>
      </w:r>
      <w:proofErr w:type="spellEnd"/>
      <w:r w:rsidRPr="00E63D1C">
        <w:rPr>
          <w:i/>
        </w:rPr>
        <w:t xml:space="preserve"> and long term safety.</w:t>
      </w:r>
    </w:p>
    <w:p w:rsidR="00287F50" w:rsidRDefault="00287F50" w:rsidP="00410C12">
      <w:pPr>
        <w:pStyle w:val="Heading4"/>
      </w:pPr>
      <w:r>
        <w:t>Sponsor’s response:</w:t>
      </w:r>
    </w:p>
    <w:p w:rsidR="00287F50" w:rsidRPr="003D6C42" w:rsidRDefault="00287F50" w:rsidP="00287F50">
      <w:pPr>
        <w:keepNext/>
      </w:pPr>
      <w:r w:rsidRPr="003D6C42">
        <w:t xml:space="preserve">The RMP includes proteinuria as </w:t>
      </w:r>
      <w:r>
        <w:t xml:space="preserve">an </w:t>
      </w:r>
      <w:r w:rsidRPr="003D6C42">
        <w:t xml:space="preserve">important identified risk in </w:t>
      </w:r>
      <w:r>
        <w:t xml:space="preserve">the </w:t>
      </w:r>
      <w:r w:rsidRPr="003D6C42">
        <w:t xml:space="preserve">use of Certican. Details on this risk are communicated </w:t>
      </w:r>
      <w:r w:rsidRPr="00A85F30">
        <w:rPr>
          <w:i/>
        </w:rPr>
        <w:t>via</w:t>
      </w:r>
      <w:r w:rsidRPr="003D6C42">
        <w:t xml:space="preserve"> the </w:t>
      </w:r>
      <w:r w:rsidRPr="00A85F30">
        <w:rPr>
          <w:i/>
        </w:rPr>
        <w:t>Precaution</w:t>
      </w:r>
      <w:r w:rsidRPr="003D6C42">
        <w:t xml:space="preserve"> section Australian PI as well as </w:t>
      </w:r>
      <w:r>
        <w:t xml:space="preserve">in </w:t>
      </w:r>
      <w:r w:rsidRPr="003D6C42">
        <w:t xml:space="preserve">the </w:t>
      </w:r>
      <w:r>
        <w:t>‘</w:t>
      </w:r>
      <w:r w:rsidRPr="003D6C42">
        <w:t>undesirable event</w:t>
      </w:r>
      <w:r>
        <w:t>’</w:t>
      </w:r>
      <w:r w:rsidRPr="003D6C42">
        <w:t xml:space="preserve"> section. Pericardial effusion is relevant for cardiac transplant patients only and </w:t>
      </w:r>
      <w:r>
        <w:t xml:space="preserve">is </w:t>
      </w:r>
      <w:r w:rsidRPr="003D6C42">
        <w:t xml:space="preserve">addressed in the RMP as part of the wound healing complications. As far as the hemodynamic compromise in the cardiac transplant </w:t>
      </w:r>
      <w:r>
        <w:t>S</w:t>
      </w:r>
      <w:r w:rsidRPr="003D6C42">
        <w:t>tudy A2310 is concerned</w:t>
      </w:r>
      <w:r>
        <w:t>,</w:t>
      </w:r>
      <w:r w:rsidRPr="003D6C42">
        <w:t xml:space="preserve"> it was either associated with rejection reactions or a symptom of pericardial effusion. For </w:t>
      </w:r>
      <w:proofErr w:type="spellStart"/>
      <w:r w:rsidRPr="003D6C42">
        <w:t>leukopenia</w:t>
      </w:r>
      <w:proofErr w:type="spellEnd"/>
      <w:r w:rsidRPr="003D6C42">
        <w:t xml:space="preserve">, thrombocytopenia, and </w:t>
      </w:r>
      <w:proofErr w:type="spellStart"/>
      <w:r w:rsidRPr="003D6C42">
        <w:t>pancytopenia</w:t>
      </w:r>
      <w:proofErr w:type="spellEnd"/>
      <w:r w:rsidRPr="003D6C42">
        <w:t>, the PI is considered as</w:t>
      </w:r>
      <w:r>
        <w:t xml:space="preserve"> an</w:t>
      </w:r>
      <w:r w:rsidRPr="003D6C42">
        <w:t xml:space="preserve"> adequate tool to communicate relevant informat</w:t>
      </w:r>
      <w:r>
        <w:t xml:space="preserve">ion to the physicians. The long </w:t>
      </w:r>
      <w:r w:rsidRPr="003D6C42">
        <w:t xml:space="preserve">term safety of Certican is well described and covered in the PSURs. No additional activities are warranted at present. </w:t>
      </w:r>
    </w:p>
    <w:p w:rsidR="00287F50" w:rsidRPr="00E63D1C" w:rsidRDefault="00287F50" w:rsidP="00410C12">
      <w:pPr>
        <w:pStyle w:val="Heading5"/>
      </w:pPr>
      <w:r w:rsidRPr="00E63D1C">
        <w:t>Delegates overview:</w:t>
      </w:r>
    </w:p>
    <w:p w:rsidR="00287F50" w:rsidRPr="00E63D1C" w:rsidRDefault="00287F50" w:rsidP="00287F50">
      <w:pPr>
        <w:rPr>
          <w:i/>
        </w:rPr>
      </w:pPr>
      <w:r w:rsidRPr="00E63D1C">
        <w:rPr>
          <w:i/>
        </w:rPr>
        <w:t>Risk minimisation activities: To propose adequate and appropriate additional r</w:t>
      </w:r>
      <w:r>
        <w:rPr>
          <w:i/>
        </w:rPr>
        <w:t>isk minimisation activities (for example,</w:t>
      </w:r>
      <w:r w:rsidRPr="00E63D1C">
        <w:rPr>
          <w:i/>
        </w:rPr>
        <w:t xml:space="preserve"> in the form of educational material or </w:t>
      </w:r>
      <w:r>
        <w:rPr>
          <w:i/>
        </w:rPr>
        <w:t>“</w:t>
      </w:r>
      <w:r w:rsidRPr="00E63D1C">
        <w:rPr>
          <w:i/>
        </w:rPr>
        <w:t xml:space="preserve">Dear </w:t>
      </w:r>
      <w:r>
        <w:rPr>
          <w:i/>
        </w:rPr>
        <w:t xml:space="preserve">HCP” </w:t>
      </w:r>
      <w:r w:rsidRPr="00E63D1C">
        <w:rPr>
          <w:i/>
        </w:rPr>
        <w:t xml:space="preserve">communications) as recommended by the clinical evaluator, particularly to inform of and manage the serious risks associated with the use of Certican and </w:t>
      </w:r>
      <w:r>
        <w:rPr>
          <w:i/>
        </w:rPr>
        <w:t xml:space="preserve">to </w:t>
      </w:r>
      <w:r w:rsidRPr="00E63D1C">
        <w:rPr>
          <w:i/>
        </w:rPr>
        <w:t xml:space="preserve">highlight the importance of careful therapeutic drug monitoring for not only everolimus but also for cyclosporin and tacrolimus. An appropriate strategy to assess the effectiveness of the proposed risk minimisation strategy should also be provided. </w:t>
      </w:r>
    </w:p>
    <w:p w:rsidR="00287F50" w:rsidRDefault="00287F50" w:rsidP="00410C12">
      <w:pPr>
        <w:pStyle w:val="Heading4"/>
      </w:pPr>
      <w:r>
        <w:t>Sponsor’s response:</w:t>
      </w:r>
    </w:p>
    <w:p w:rsidR="00287F50" w:rsidRPr="003D6C42" w:rsidRDefault="00287F50" w:rsidP="00287F50">
      <w:r w:rsidRPr="003D6C42">
        <w:t xml:space="preserve">Novartis accepts to address serious risks associated with the use of Certican in a “Dear </w:t>
      </w:r>
      <w:r>
        <w:t>HCP” communication</w:t>
      </w:r>
      <w:r w:rsidRPr="003D6C42">
        <w:t>, highlighting the importance of careful therapeutic drug monitor</w:t>
      </w:r>
      <w:r>
        <w:t>ing for everolimus, cyclosporin</w:t>
      </w:r>
      <w:r w:rsidRPr="003D6C42">
        <w:t xml:space="preserve"> and tacrolimus. This HCP letter will be provided to the Delegate for discussion. All safety topics will routinely be monitored and will be re-evaluated upon receipt of relevant new information. In addition</w:t>
      </w:r>
      <w:r>
        <w:t>,</w:t>
      </w:r>
      <w:r w:rsidRPr="003D6C42">
        <w:t xml:space="preserve"> the RMP identified risks will be closely monitored including review in PSURs. </w:t>
      </w:r>
    </w:p>
    <w:p w:rsidR="00287F50" w:rsidRPr="00E63D1C" w:rsidRDefault="00287F50" w:rsidP="00410C12">
      <w:pPr>
        <w:pStyle w:val="Heading5"/>
      </w:pPr>
      <w:r w:rsidRPr="00E63D1C">
        <w:t>Delegates overview:</w:t>
      </w:r>
    </w:p>
    <w:p w:rsidR="00287F50" w:rsidRPr="00E862D5" w:rsidRDefault="00287F50" w:rsidP="00287F50">
      <w:pPr>
        <w:rPr>
          <w:i/>
        </w:rPr>
      </w:pPr>
      <w:r w:rsidRPr="00E862D5">
        <w:rPr>
          <w:i/>
        </w:rPr>
        <w:t xml:space="preserve">Sponsor will address to the satisfaction of the TGA the requested amendments (or justifications) for the further amendment of the RMP Version 2.0 (release date 14 Oct 2011), with Safety </w:t>
      </w:r>
      <w:r>
        <w:rPr>
          <w:i/>
        </w:rPr>
        <w:t xml:space="preserve">RMP </w:t>
      </w:r>
      <w:r w:rsidRPr="00E862D5">
        <w:rPr>
          <w:i/>
        </w:rPr>
        <w:t xml:space="preserve">Australian Implementation Version 2.1 (release date 16 August 2012) </w:t>
      </w:r>
    </w:p>
    <w:p w:rsidR="00287F50" w:rsidRDefault="00287F50" w:rsidP="00410C12">
      <w:pPr>
        <w:pStyle w:val="Heading4"/>
      </w:pPr>
      <w:r>
        <w:t>Sponsor’s response:</w:t>
      </w:r>
    </w:p>
    <w:p w:rsidR="00287F50" w:rsidRPr="003D6C42" w:rsidRDefault="00287F50" w:rsidP="00287F50">
      <w:r w:rsidRPr="003D6C42">
        <w:t xml:space="preserve">Addressed above under </w:t>
      </w:r>
      <w:r w:rsidRPr="00E63D1C">
        <w:rPr>
          <w:i/>
        </w:rPr>
        <w:t>Pharmacovigilance activities</w:t>
      </w:r>
      <w:r w:rsidRPr="003D6C42">
        <w:t xml:space="preserve">. </w:t>
      </w:r>
    </w:p>
    <w:p w:rsidR="00287F50" w:rsidRPr="00E63D1C" w:rsidRDefault="00287F50" w:rsidP="00410C12">
      <w:pPr>
        <w:pStyle w:val="Heading5"/>
      </w:pPr>
      <w:r w:rsidRPr="00E63D1C">
        <w:lastRenderedPageBreak/>
        <w:t>Delegates overview:</w:t>
      </w:r>
    </w:p>
    <w:p w:rsidR="00287F50" w:rsidRDefault="00287F50" w:rsidP="00287F50">
      <w:pPr>
        <w:rPr>
          <w:i/>
        </w:rPr>
      </w:pPr>
      <w:r w:rsidRPr="00E862D5">
        <w:rPr>
          <w:i/>
        </w:rPr>
        <w:t xml:space="preserve">Sponsor will commit to submit to TGA the reports of the </w:t>
      </w:r>
      <w:r>
        <w:rPr>
          <w:i/>
        </w:rPr>
        <w:t>S</w:t>
      </w:r>
      <w:r w:rsidRPr="00E862D5">
        <w:rPr>
          <w:i/>
        </w:rPr>
        <w:t xml:space="preserve">tudy H2304 to </w:t>
      </w:r>
      <w:r>
        <w:rPr>
          <w:i/>
        </w:rPr>
        <w:t>m</w:t>
      </w:r>
      <w:r w:rsidRPr="00E862D5">
        <w:rPr>
          <w:i/>
        </w:rPr>
        <w:t>onth 24 and then the extension study data within three months of the reports being signe</w:t>
      </w:r>
      <w:r>
        <w:rPr>
          <w:i/>
        </w:rPr>
        <w:t xml:space="preserve">d by the Principal Investigator. </w:t>
      </w:r>
    </w:p>
    <w:p w:rsidR="00287F50" w:rsidRPr="00E862D5" w:rsidRDefault="00287F50" w:rsidP="00287F50">
      <w:pPr>
        <w:rPr>
          <w:i/>
        </w:rPr>
      </w:pPr>
      <w:r w:rsidRPr="00E862D5">
        <w:rPr>
          <w:i/>
        </w:rPr>
        <w:t>Sponsor will commit to submit to TGA the report of the for</w:t>
      </w:r>
      <w:r>
        <w:rPr>
          <w:i/>
        </w:rPr>
        <w:t>e</w:t>
      </w:r>
      <w:r w:rsidRPr="00E862D5">
        <w:rPr>
          <w:i/>
        </w:rPr>
        <w:t xml:space="preserve">shadowed “open label, single arm, multicentre, prospective, observational study to evaluate safety/tolerability and efficacy of everolimus in combination with reduced CNI in de novo paediatric full-size liver allograft recipients, and sequentially in paediatric split liver recipients, from 1 months to 18 years old” within three months of the reports being signed by the Principal Investigator. </w:t>
      </w:r>
    </w:p>
    <w:p w:rsidR="00287F50" w:rsidRDefault="00287F50" w:rsidP="00410C12">
      <w:pPr>
        <w:pStyle w:val="Heading4"/>
      </w:pPr>
      <w:r>
        <w:t>Sponsor’s response:</w:t>
      </w:r>
    </w:p>
    <w:p w:rsidR="00287F50" w:rsidRPr="003D6C42" w:rsidRDefault="00287F50" w:rsidP="00D80724">
      <w:pPr>
        <w:keepNext/>
      </w:pPr>
      <w:r w:rsidRPr="003D6C42">
        <w:t xml:space="preserve">The 24 </w:t>
      </w:r>
      <w:r>
        <w:t>m</w:t>
      </w:r>
      <w:r w:rsidRPr="003D6C42">
        <w:t xml:space="preserve">onth CSR for </w:t>
      </w:r>
      <w:r>
        <w:t>S</w:t>
      </w:r>
      <w:r w:rsidRPr="003D6C42">
        <w:t xml:space="preserve">tudy H2304 is also available and will be submitted to TGA. Novartis commits to submit the final CSR for </w:t>
      </w:r>
      <w:r>
        <w:t>S</w:t>
      </w:r>
      <w:r w:rsidRPr="003D6C42">
        <w:t xml:space="preserve">tudy H2304E and the final CSR for </w:t>
      </w:r>
      <w:r>
        <w:t>S</w:t>
      </w:r>
      <w:r w:rsidRPr="003D6C42">
        <w:t xml:space="preserve">tudy H2305 within 3 months of the report being signed by the Principal Investigator. </w:t>
      </w:r>
    </w:p>
    <w:p w:rsidR="00287F50" w:rsidRPr="003D6C42" w:rsidRDefault="00287F50" w:rsidP="00410C12">
      <w:pPr>
        <w:pStyle w:val="Heading4"/>
      </w:pPr>
      <w:r>
        <w:t>Sponsor’s conclusion</w:t>
      </w:r>
      <w:r w:rsidRPr="003D6C42">
        <w:t xml:space="preserve"> </w:t>
      </w:r>
    </w:p>
    <w:p w:rsidR="00287F50" w:rsidRPr="003D6C42" w:rsidRDefault="00287F50" w:rsidP="00287F50">
      <w:pPr>
        <w:keepNext/>
      </w:pPr>
      <w:r w:rsidRPr="003D6C42">
        <w:t xml:space="preserve">Novartis welcomes the Delegate’s recommendation and accepts the Delegate’s </w:t>
      </w:r>
      <w:r>
        <w:t>i</w:t>
      </w:r>
      <w:r w:rsidRPr="003D6C42">
        <w:t xml:space="preserve">ndication recommendation, and most of the recommendations proposed by the Delegate and </w:t>
      </w:r>
      <w:r>
        <w:t>c</w:t>
      </w:r>
      <w:r w:rsidRPr="003D6C42">
        <w:t xml:space="preserve">linical </w:t>
      </w:r>
      <w:r>
        <w:t>e</w:t>
      </w:r>
      <w:r w:rsidRPr="003D6C42">
        <w:t>valuator to the Certican PI</w:t>
      </w:r>
      <w:r>
        <w:t>.</w:t>
      </w:r>
      <w:r>
        <w:rPr>
          <w:rStyle w:val="FootnoteReference"/>
        </w:rPr>
        <w:footnoteReference w:id="13"/>
      </w:r>
      <w:r w:rsidRPr="003D6C42">
        <w:t xml:space="preserve"> </w:t>
      </w:r>
      <w:r>
        <w:t xml:space="preserve">Novartis’ </w:t>
      </w:r>
      <w:r w:rsidRPr="003D6C42">
        <w:t xml:space="preserve">proposed indication statement is </w:t>
      </w:r>
      <w:r>
        <w:t xml:space="preserve">believed to be </w:t>
      </w:r>
      <w:r w:rsidRPr="003D6C42">
        <w:t xml:space="preserve">warranted on the basis that it is: </w:t>
      </w:r>
    </w:p>
    <w:p w:rsidR="00287F50" w:rsidRPr="00EF5D37" w:rsidRDefault="00287F50" w:rsidP="005F0A52">
      <w:pPr>
        <w:pStyle w:val="ListBullet"/>
        <w:numPr>
          <w:ilvl w:val="0"/>
          <w:numId w:val="1"/>
        </w:numPr>
      </w:pPr>
      <w:r w:rsidRPr="00EF5D37">
        <w:t xml:space="preserve">consistent with the Delegate’s proposal without the </w:t>
      </w:r>
      <w:r w:rsidRPr="00EF5D37">
        <w:rPr>
          <w:i/>
        </w:rPr>
        <w:t>“See Precautions”</w:t>
      </w:r>
      <w:r w:rsidRPr="00B54963">
        <w:t>,</w:t>
      </w:r>
      <w:r w:rsidRPr="00EF5D37">
        <w:t xml:space="preserve"> as the concomitant medication text is adequately covered in the </w:t>
      </w:r>
      <w:r w:rsidRPr="00EF5D37">
        <w:rPr>
          <w:i/>
        </w:rPr>
        <w:t>Clinical Trials</w:t>
      </w:r>
      <w:r w:rsidRPr="00EF5D37">
        <w:t xml:space="preserve">, </w:t>
      </w:r>
      <w:r w:rsidRPr="00EF5D37">
        <w:rPr>
          <w:i/>
        </w:rPr>
        <w:t>Precautions</w:t>
      </w:r>
      <w:r w:rsidRPr="00EF5D37">
        <w:t xml:space="preserve"> and the </w:t>
      </w:r>
      <w:r w:rsidRPr="00EF5D37">
        <w:rPr>
          <w:i/>
        </w:rPr>
        <w:t>Dosage and Administration</w:t>
      </w:r>
      <w:r w:rsidRPr="00EF5D37">
        <w:t xml:space="preserve"> sections of the PI. As noted in this pre-ACPM response, Novartis has included the Delegate’s proposed text regarding concomitant medication in the </w:t>
      </w:r>
      <w:r w:rsidRPr="00EF5D37">
        <w:rPr>
          <w:i/>
        </w:rPr>
        <w:t>Precautions</w:t>
      </w:r>
      <w:r w:rsidRPr="00EF5D37">
        <w:t xml:space="preserve"> section of the PI</w:t>
      </w:r>
      <w:r>
        <w:t>,</w:t>
      </w:r>
      <w:r w:rsidRPr="00EF5D37">
        <w:t xml:space="preserve"> as recommended by the Delegate. </w:t>
      </w:r>
    </w:p>
    <w:p w:rsidR="00287F50" w:rsidRPr="00EF5D37" w:rsidRDefault="00287F50" w:rsidP="005F0A52">
      <w:pPr>
        <w:pStyle w:val="ListBullet"/>
        <w:numPr>
          <w:ilvl w:val="0"/>
          <w:numId w:val="1"/>
        </w:numPr>
      </w:pPr>
      <w:r w:rsidRPr="00EF5D37">
        <w:t xml:space="preserve">consistent with the Delegate’s original approval to register Certican. </w:t>
      </w:r>
    </w:p>
    <w:p w:rsidR="00287F50" w:rsidRPr="00EF5D37" w:rsidRDefault="00287F50" w:rsidP="005F0A52">
      <w:pPr>
        <w:pStyle w:val="ListBullet"/>
        <w:numPr>
          <w:ilvl w:val="0"/>
          <w:numId w:val="1"/>
        </w:numPr>
      </w:pPr>
      <w:r w:rsidRPr="00EF5D37">
        <w:t xml:space="preserve">corrected to remove </w:t>
      </w:r>
      <w:r w:rsidRPr="00EF5D37">
        <w:rPr>
          <w:i/>
        </w:rPr>
        <w:t>“mild to moderate immunological risk”</w:t>
      </w:r>
      <w:r w:rsidRPr="00EF5D37">
        <w:t xml:space="preserve"> for an </w:t>
      </w:r>
      <w:proofErr w:type="spellStart"/>
      <w:r w:rsidRPr="00EF5D37">
        <w:t>allogeneic</w:t>
      </w:r>
      <w:proofErr w:type="spellEnd"/>
      <w:r w:rsidRPr="00EF5D37">
        <w:t xml:space="preserve"> hepatic transplant to more accurately reflect the submitted data and clinical practice. </w:t>
      </w:r>
    </w:p>
    <w:p w:rsidR="00287F50" w:rsidRPr="003D6C42" w:rsidRDefault="00287F50" w:rsidP="00287F50">
      <w:r w:rsidRPr="003D6C42">
        <w:t xml:space="preserve">In conclusion, Certican provides another treatment option with a different benefit-risk profile in a therapeutic area with high medical need where options are clearly needed. All the data that have emerged from Novartis’s </w:t>
      </w:r>
      <w:r>
        <w:t xml:space="preserve">PV </w:t>
      </w:r>
      <w:r w:rsidRPr="003D6C42">
        <w:t>activities suppor</w:t>
      </w:r>
      <w:r>
        <w:t>t the position that the benefit-</w:t>
      </w:r>
      <w:r w:rsidRPr="003D6C42">
        <w:t xml:space="preserve">risk profile of everolimus continues to be favourable, including on comparison with other </w:t>
      </w:r>
      <w:proofErr w:type="spellStart"/>
      <w:r w:rsidRPr="003D6C42">
        <w:t>mTOR</w:t>
      </w:r>
      <w:proofErr w:type="spellEnd"/>
      <w:r w:rsidRPr="003D6C42">
        <w:t xml:space="preserve"> inhibitors and for this proposed new patient population. There is, therefore, sufficient evidence to</w:t>
      </w:r>
      <w:r>
        <w:t xml:space="preserve"> support the favourable benefit-</w:t>
      </w:r>
      <w:r w:rsidRPr="003D6C42">
        <w:t xml:space="preserve">risk profile of Certican for the extension of indications to include use in hepatic transplant recipients; a view supported by the TGA Delegate and </w:t>
      </w:r>
      <w:r>
        <w:t>c</w:t>
      </w:r>
      <w:r w:rsidRPr="003D6C42">
        <w:t xml:space="preserve">linical </w:t>
      </w:r>
      <w:r>
        <w:t>e</w:t>
      </w:r>
      <w:r w:rsidRPr="003D6C42">
        <w:t xml:space="preserve">valuator. </w:t>
      </w:r>
    </w:p>
    <w:p w:rsidR="00287F50" w:rsidRDefault="00287F50" w:rsidP="00410C12">
      <w:pPr>
        <w:pStyle w:val="Heading4"/>
      </w:pPr>
      <w:r>
        <w:t>Advisory Committee Considerations</w:t>
      </w:r>
    </w:p>
    <w:p w:rsidR="00287F50" w:rsidRPr="004F519F" w:rsidRDefault="00287F50" w:rsidP="00287F50">
      <w:r w:rsidRPr="004F519F">
        <w:t>The ACPM, having considered the evaluations and the Delegate’s overview, as well as the sponsor’s response to these documents, advised the following:</w:t>
      </w:r>
    </w:p>
    <w:p w:rsidR="00287F50" w:rsidRPr="004F519F" w:rsidRDefault="00287F50" w:rsidP="00287F50">
      <w:r w:rsidRPr="004F519F">
        <w:t>The ACPM, taking into account the submitted evidence of efficacy, safety and quality, considered these products to h</w:t>
      </w:r>
      <w:r>
        <w:t>ave an overall positive benefit</w:t>
      </w:r>
      <w:r w:rsidRPr="004F519F">
        <w:t>–risk profile for the indication;</w:t>
      </w:r>
    </w:p>
    <w:p w:rsidR="00287F50" w:rsidRPr="004F519F" w:rsidRDefault="00287F50" w:rsidP="00287F50">
      <w:pPr>
        <w:keepNext/>
        <w:ind w:left="720"/>
        <w:rPr>
          <w:i/>
        </w:rPr>
      </w:pPr>
      <w:r w:rsidRPr="004F519F">
        <w:rPr>
          <w:i/>
        </w:rPr>
        <w:lastRenderedPageBreak/>
        <w:t>For the prophylaxis of organ rejection</w:t>
      </w:r>
    </w:p>
    <w:p w:rsidR="00287F50" w:rsidRPr="004F519F" w:rsidRDefault="00287F50" w:rsidP="005F0A52">
      <w:pPr>
        <w:pStyle w:val="ListBullet3"/>
        <w:keepNext/>
        <w:numPr>
          <w:ilvl w:val="2"/>
          <w:numId w:val="1"/>
        </w:numPr>
        <w:rPr>
          <w:i/>
        </w:rPr>
      </w:pPr>
      <w:r w:rsidRPr="004F519F">
        <w:rPr>
          <w:i/>
        </w:rPr>
        <w:t xml:space="preserve">in adult patients at mild to moderate immunological risk receiving an </w:t>
      </w:r>
      <w:proofErr w:type="spellStart"/>
      <w:r w:rsidRPr="004F519F">
        <w:rPr>
          <w:i/>
        </w:rPr>
        <w:t>allogeneic</w:t>
      </w:r>
      <w:proofErr w:type="spellEnd"/>
      <w:r w:rsidRPr="004F519F">
        <w:rPr>
          <w:i/>
        </w:rPr>
        <w:t xml:space="preserve"> renal or cardiac transplant: or </w:t>
      </w:r>
    </w:p>
    <w:p w:rsidR="00287F50" w:rsidRPr="004F519F" w:rsidRDefault="00287F50" w:rsidP="005F0A52">
      <w:pPr>
        <w:pStyle w:val="ListBullet3"/>
        <w:numPr>
          <w:ilvl w:val="2"/>
          <w:numId w:val="1"/>
        </w:numPr>
      </w:pPr>
      <w:r w:rsidRPr="004F519F">
        <w:rPr>
          <w:i/>
        </w:rPr>
        <w:t xml:space="preserve">in adult patients receiving an </w:t>
      </w:r>
      <w:proofErr w:type="spellStart"/>
      <w:r w:rsidRPr="004F519F">
        <w:rPr>
          <w:i/>
        </w:rPr>
        <w:t>allogeneic</w:t>
      </w:r>
      <w:proofErr w:type="spellEnd"/>
      <w:r w:rsidRPr="004F519F">
        <w:rPr>
          <w:i/>
        </w:rPr>
        <w:t xml:space="preserve"> hepatic transplant. </w:t>
      </w:r>
    </w:p>
    <w:p w:rsidR="00287F50" w:rsidRPr="004F519F" w:rsidRDefault="00287F50" w:rsidP="00287F50">
      <w:r w:rsidRPr="004F519F">
        <w:t>In making this recommenda</w:t>
      </w:r>
      <w:r>
        <w:t>tion, the ACPM agreed with the D</w:t>
      </w:r>
      <w:r w:rsidRPr="004F519F">
        <w:t>elegate on the amendments to the PI</w:t>
      </w:r>
      <w:r>
        <w:t xml:space="preserve"> </w:t>
      </w:r>
      <w:r w:rsidRPr="004F519F">
        <w:t>and CMI</w:t>
      </w:r>
      <w:r>
        <w:t xml:space="preserve"> </w:t>
      </w:r>
      <w:r w:rsidRPr="004F519F">
        <w:t xml:space="preserve">in relation to cardiac transplant recipients and in renal transplant recipients, subject to the sponsor addressing the conditions of registration and to the provision of the foreshadowed studies. </w:t>
      </w:r>
    </w:p>
    <w:p w:rsidR="00287F50" w:rsidRPr="004F519F" w:rsidRDefault="00287F50" w:rsidP="00287F50">
      <w:r w:rsidRPr="004F519F">
        <w:t>The ACPM advised that the sponsor should be required to develop a more appropriate education strategy, other than a letter writing programme, in consideration of the highly experienced specialist prescribers for these products.</w:t>
      </w:r>
    </w:p>
    <w:p w:rsidR="00287F50" w:rsidRPr="004F519F" w:rsidRDefault="00287F50" w:rsidP="00287F50">
      <w:r w:rsidRPr="004F519F">
        <w:t xml:space="preserve">The ACPM agreed with the </w:t>
      </w:r>
      <w:r>
        <w:t>D</w:t>
      </w:r>
      <w:r w:rsidRPr="004F519F">
        <w:t xml:space="preserve">elegate to the proposed amendments to the PI and CMI and specifically advised on the inclusion of the following: </w:t>
      </w:r>
    </w:p>
    <w:p w:rsidR="00287F50" w:rsidRPr="004F519F" w:rsidRDefault="00287F50" w:rsidP="005F0A52">
      <w:pPr>
        <w:pStyle w:val="ListBullet"/>
        <w:numPr>
          <w:ilvl w:val="0"/>
          <w:numId w:val="1"/>
        </w:numPr>
      </w:pPr>
      <w:r w:rsidRPr="004F519F">
        <w:t xml:space="preserve">A correction in the </w:t>
      </w:r>
      <w:r w:rsidRPr="004F519F">
        <w:rPr>
          <w:i/>
        </w:rPr>
        <w:t>Dosage and Administration</w:t>
      </w:r>
      <w:r w:rsidRPr="004F519F">
        <w:t xml:space="preserve"> / </w:t>
      </w:r>
      <w:r w:rsidRPr="004F519F">
        <w:rPr>
          <w:i/>
        </w:rPr>
        <w:t>Precautious</w:t>
      </w:r>
      <w:r w:rsidRPr="004F519F">
        <w:t xml:space="preserve"> / </w:t>
      </w:r>
      <w:r w:rsidRPr="004F519F">
        <w:rPr>
          <w:i/>
        </w:rPr>
        <w:t>Clinical Trials</w:t>
      </w:r>
      <w:r w:rsidRPr="004F519F">
        <w:t xml:space="preserve"> sections of the PI in cardiac transplantation to ensure the accurate report of renal function and estimated </w:t>
      </w:r>
      <w:proofErr w:type="spellStart"/>
      <w:r w:rsidRPr="004F519F">
        <w:t>glomerular</w:t>
      </w:r>
      <w:proofErr w:type="spellEnd"/>
      <w:r w:rsidRPr="004F519F">
        <w:t xml:space="preserve"> filtration rate</w:t>
      </w:r>
      <w:bookmarkStart w:id="189" w:name="_GoBack"/>
      <w:bookmarkEnd w:id="189"/>
      <w:r w:rsidRPr="004F519F">
        <w:t xml:space="preserve"> (Cockcroft-</w:t>
      </w:r>
      <w:proofErr w:type="spellStart"/>
      <w:r w:rsidRPr="004F519F">
        <w:t>Gault</w:t>
      </w:r>
      <w:proofErr w:type="spellEnd"/>
      <w:r w:rsidRPr="004F519F">
        <w:t xml:space="preserve"> formulae) at 6 and 12 months, as highlighted by the </w:t>
      </w:r>
      <w:r>
        <w:t>D</w:t>
      </w:r>
      <w:r w:rsidRPr="004F519F">
        <w:t xml:space="preserve">elegate. The renal transplant section should also be reviewed to ensure minor corrections have been made. </w:t>
      </w:r>
    </w:p>
    <w:p w:rsidR="00287F50" w:rsidRPr="004F519F" w:rsidRDefault="00287F50" w:rsidP="00287F50">
      <w:r w:rsidRPr="004F519F">
        <w:t xml:space="preserve">The ACPM advised that the implementation by the sponsor of the recommendations outlined above to the satisfaction of the TGA, in addition to the evidence of efficacy and safety provided would support the safe and effective use of these products. </w:t>
      </w:r>
    </w:p>
    <w:p w:rsidR="00287F50" w:rsidRPr="002E238E" w:rsidRDefault="00287F50" w:rsidP="00287F50">
      <w:pPr>
        <w:pStyle w:val="Heading3"/>
        <w:keepNext w:val="0"/>
      </w:pPr>
      <w:bookmarkStart w:id="190" w:name="_Toc247691532"/>
      <w:bookmarkStart w:id="191" w:name="_Toc314842516"/>
      <w:bookmarkStart w:id="192" w:name="_Toc355005439"/>
      <w:bookmarkStart w:id="193" w:name="_Toc356974718"/>
      <w:bookmarkEnd w:id="151"/>
      <w:bookmarkEnd w:id="185"/>
      <w:bookmarkEnd w:id="186"/>
      <w:r>
        <w:t>Outcome</w:t>
      </w:r>
      <w:bookmarkEnd w:id="190"/>
      <w:bookmarkEnd w:id="191"/>
      <w:bookmarkEnd w:id="192"/>
      <w:bookmarkEnd w:id="193"/>
    </w:p>
    <w:p w:rsidR="00287F50" w:rsidRPr="009C676F" w:rsidRDefault="00287F50" w:rsidP="00287F50">
      <w:r w:rsidRPr="009C676F">
        <w:t xml:space="preserve">Based on a review of quality, safety and efficacy, TGA approved the registration of </w:t>
      </w:r>
      <w:r>
        <w:t>Certican tablets, containing everolimus 0.25 mg, 0.5 mg, 0.75 mg and 1 mg, and Certican dispersible tablets, containing everolimus 0.1 mg and 0.5 mg,</w:t>
      </w:r>
      <w:r w:rsidRPr="009C676F">
        <w:t xml:space="preserve"> for </w:t>
      </w:r>
      <w:r>
        <w:t>the following new indication</w:t>
      </w:r>
      <w:r w:rsidRPr="009C676F">
        <w:t>:</w:t>
      </w:r>
    </w:p>
    <w:p w:rsidR="00287F50" w:rsidRPr="009C676F" w:rsidRDefault="00287F50" w:rsidP="00287F50">
      <w:pPr>
        <w:ind w:left="720"/>
        <w:rPr>
          <w:i/>
        </w:rPr>
      </w:pPr>
      <w:r w:rsidRPr="009C676F">
        <w:rPr>
          <w:i/>
        </w:rPr>
        <w:t xml:space="preserve">Certican is indicated for the prophylaxis of organ rejection in adult patients receiving an </w:t>
      </w:r>
      <w:proofErr w:type="spellStart"/>
      <w:r w:rsidRPr="009C676F">
        <w:rPr>
          <w:i/>
        </w:rPr>
        <w:t>allogeneic</w:t>
      </w:r>
      <w:proofErr w:type="spellEnd"/>
      <w:r w:rsidRPr="009C676F">
        <w:rPr>
          <w:i/>
        </w:rPr>
        <w:t xml:space="preserve"> hepatic transplant (see Precautions)</w:t>
      </w:r>
    </w:p>
    <w:p w:rsidR="00287F50" w:rsidRPr="009C676F" w:rsidRDefault="00287F50" w:rsidP="00287F50">
      <w:r w:rsidRPr="009C676F">
        <w:t xml:space="preserve">The full indications are now: </w:t>
      </w:r>
    </w:p>
    <w:p w:rsidR="00287F50" w:rsidRPr="009C676F" w:rsidRDefault="00287F50" w:rsidP="00287F50">
      <w:pPr>
        <w:ind w:left="720"/>
        <w:rPr>
          <w:i/>
        </w:rPr>
      </w:pPr>
      <w:r w:rsidRPr="009C676F">
        <w:rPr>
          <w:i/>
        </w:rPr>
        <w:t>Certican is indicated for the prophylaxis of organ rejection</w:t>
      </w:r>
    </w:p>
    <w:p w:rsidR="00287F50" w:rsidRPr="0098682A" w:rsidRDefault="00287F50" w:rsidP="005F0A52">
      <w:pPr>
        <w:pStyle w:val="ListBullet2"/>
        <w:numPr>
          <w:ilvl w:val="1"/>
          <w:numId w:val="1"/>
        </w:numPr>
        <w:rPr>
          <w:i/>
        </w:rPr>
      </w:pPr>
      <w:r w:rsidRPr="0098682A">
        <w:rPr>
          <w:i/>
        </w:rPr>
        <w:t xml:space="preserve">in adult patients at mild to moderate immunological risk receiving an </w:t>
      </w:r>
      <w:proofErr w:type="spellStart"/>
      <w:r w:rsidRPr="0098682A">
        <w:rPr>
          <w:i/>
        </w:rPr>
        <w:t>allogeneic</w:t>
      </w:r>
      <w:proofErr w:type="spellEnd"/>
      <w:r w:rsidRPr="0098682A">
        <w:rPr>
          <w:i/>
        </w:rPr>
        <w:t xml:space="preserve"> renal; or cardiac transplant; and</w:t>
      </w:r>
    </w:p>
    <w:p w:rsidR="00287F50" w:rsidRDefault="00287F50" w:rsidP="005F0A52">
      <w:pPr>
        <w:pStyle w:val="ListBullet2"/>
        <w:numPr>
          <w:ilvl w:val="1"/>
          <w:numId w:val="1"/>
        </w:numPr>
        <w:rPr>
          <w:i/>
        </w:rPr>
      </w:pPr>
      <w:r w:rsidRPr="0098682A">
        <w:rPr>
          <w:i/>
        </w:rPr>
        <w:t xml:space="preserve">in adult patients receiving an </w:t>
      </w:r>
      <w:proofErr w:type="spellStart"/>
      <w:r w:rsidRPr="0098682A">
        <w:rPr>
          <w:i/>
        </w:rPr>
        <w:t>allogeneic</w:t>
      </w:r>
      <w:proofErr w:type="spellEnd"/>
      <w:r w:rsidRPr="0098682A">
        <w:rPr>
          <w:i/>
        </w:rPr>
        <w:t xml:space="preserve"> hepatic transplant (See Precautions). </w:t>
      </w:r>
    </w:p>
    <w:p w:rsidR="00287F50" w:rsidRPr="00A8765E" w:rsidRDefault="00287F50" w:rsidP="00287F50">
      <w:r>
        <w:t xml:space="preserve">The TGA approval letter to the sponsor </w:t>
      </w:r>
      <w:r w:rsidR="00740BBA">
        <w:t>state</w:t>
      </w:r>
      <w:r w:rsidR="00DE14BF">
        <w:t>s</w:t>
      </w:r>
      <w:r w:rsidR="00740BBA">
        <w:t xml:space="preserve"> </w:t>
      </w:r>
      <w:r>
        <w:t>the following specific conditions of registration for these goods:</w:t>
      </w:r>
    </w:p>
    <w:p w:rsidR="00287F50" w:rsidRDefault="00287F50" w:rsidP="0085334C">
      <w:pPr>
        <w:pStyle w:val="Heading4"/>
      </w:pPr>
      <w:r>
        <w:t xml:space="preserve">Specific Conditions Applying to these Therapeutic Goods </w:t>
      </w:r>
    </w:p>
    <w:p w:rsidR="00287F50" w:rsidRPr="001D6B3B" w:rsidRDefault="00287F50" w:rsidP="00287F50">
      <w:r w:rsidRPr="001D6B3B">
        <w:t>The Certican RMP, version 2, dated 25 October 2012, and any subsequent revisions as agreed with the TGA and its OPR</w:t>
      </w:r>
      <w:r>
        <w:t xml:space="preserve"> </w:t>
      </w:r>
      <w:r w:rsidRPr="001D6B3B">
        <w:t>will be implemented in Australia. All safety topics will routinely be monitored and will be re-evaluated upon receipt of relevant new information. In addition</w:t>
      </w:r>
      <w:r>
        <w:t>,</w:t>
      </w:r>
      <w:r w:rsidRPr="001D6B3B">
        <w:t xml:space="preserve"> the RMP identified risks will be closely monitored including </w:t>
      </w:r>
      <w:r>
        <w:t xml:space="preserve">review in PSURs. An obligatory </w:t>
      </w:r>
      <w:r w:rsidRPr="001D6B3B">
        <w:t xml:space="preserve">component of </w:t>
      </w:r>
      <w:r>
        <w:t>RMP</w:t>
      </w:r>
      <w:r w:rsidRPr="001D6B3B">
        <w:t xml:space="preserve">s is Routine </w:t>
      </w:r>
      <w:r>
        <w:t>PV.</w:t>
      </w:r>
      <w:r w:rsidRPr="001D6B3B">
        <w:t xml:space="preserve"> Routine </w:t>
      </w:r>
      <w:r>
        <w:t xml:space="preserve">PV </w:t>
      </w:r>
      <w:r w:rsidRPr="001D6B3B">
        <w:t xml:space="preserve">includes the submission of PSURs. Such reports are to be provided annually until the period covered by such reports is not less than three years from the date of this approval letter. No fewer than three annual reports are required. The reports are to meet the requirements for PSURs as described in the </w:t>
      </w:r>
      <w:r>
        <w:t>EMA</w:t>
      </w:r>
      <w:r w:rsidRPr="001D6B3B">
        <w:t xml:space="preserve">’s </w:t>
      </w:r>
      <w:r w:rsidRPr="00FF32E0">
        <w:rPr>
          <w:i/>
        </w:rPr>
        <w:t>Guideline on Good Pharmacovigilance practices (GVP) Module VII-</w:t>
      </w:r>
      <w:r w:rsidRPr="00FF32E0">
        <w:rPr>
          <w:i/>
        </w:rPr>
        <w:lastRenderedPageBreak/>
        <w:t>Periodic Safety Update Report</w:t>
      </w:r>
      <w:r>
        <w:t xml:space="preserve">. </w:t>
      </w:r>
      <w:r w:rsidRPr="001D6B3B">
        <w:t>Unless agreed separately between the supplier who is the recipient of the approval and the TGA, the first report must be submitted to TGA no later than 15 calendar months after th</w:t>
      </w:r>
      <w:r>
        <w:t>e date of this approval letter.</w:t>
      </w:r>
      <w:r w:rsidRPr="001D6B3B">
        <w:t xml:space="preserve"> The subsequent reports must be submitted no less frequently than annually from the date of the first submitted report. The annual submission may be made up of two </w:t>
      </w:r>
      <w:r>
        <w:t xml:space="preserve">PSURs </w:t>
      </w:r>
      <w:r w:rsidRPr="001D6B3B">
        <w:t xml:space="preserve">each covering six months. If the sponsor wishes, the six monthly reports may be submitted separately as they become available. Submission of the report must be within the seventy calendar days of the data lock point for the report (or, where applicable, the second of the two six monthly reports), as required by the Guideline for PSURs covering intervals up to 12 months, (including intervals of exactly 12 months). </w:t>
      </w:r>
    </w:p>
    <w:p w:rsidR="00287F50" w:rsidRPr="001D6B3B" w:rsidRDefault="00287F50" w:rsidP="00287F50">
      <w:r w:rsidRPr="001D6B3B">
        <w:t>In addition, your company will address the serious risks associated with the use of Certican</w:t>
      </w:r>
      <w:r>
        <w:t xml:space="preserve"> in a “</w:t>
      </w:r>
      <w:r w:rsidRPr="001D6B3B">
        <w:t xml:space="preserve">Dear </w:t>
      </w:r>
      <w:r>
        <w:t xml:space="preserve">HCP” </w:t>
      </w:r>
      <w:r w:rsidRPr="001D6B3B">
        <w:t>communication, highlighting the importance of careful therapeutic drug monitor</w:t>
      </w:r>
      <w:r>
        <w:t>ing for everolimus, cyclosporin</w:t>
      </w:r>
      <w:r w:rsidRPr="001D6B3B">
        <w:t xml:space="preserve"> and tacrolimus. This HCP letter will be provided to the Delegate for discussion prior to distribution. </w:t>
      </w:r>
    </w:p>
    <w:p w:rsidR="00287F50" w:rsidRPr="001D6B3B" w:rsidRDefault="00287F50" w:rsidP="00287F50">
      <w:r w:rsidRPr="001D6B3B">
        <w:t>In addition also</w:t>
      </w:r>
      <w:r>
        <w:t>,</w:t>
      </w:r>
      <w:r w:rsidRPr="001D6B3B">
        <w:t xml:space="preserve"> your company will meet its commitments </w:t>
      </w:r>
      <w:r>
        <w:t>to submit the 24 month CSR for S</w:t>
      </w:r>
      <w:r w:rsidRPr="001D6B3B">
        <w:t xml:space="preserve">tudy </w:t>
      </w:r>
      <w:r>
        <w:t>A2310 and the 24 month CSR for S</w:t>
      </w:r>
      <w:r w:rsidRPr="001D6B3B">
        <w:t>tudy H2304, both of which are now available</w:t>
      </w:r>
      <w:r>
        <w:t>,</w:t>
      </w:r>
      <w:r w:rsidRPr="001D6B3B">
        <w:t xml:space="preserve"> and will submit the final CSR for </w:t>
      </w:r>
      <w:r>
        <w:t>S</w:t>
      </w:r>
      <w:r w:rsidRPr="001D6B3B">
        <w:t xml:space="preserve">tudy H2304E and the final CSR for </w:t>
      </w:r>
      <w:r>
        <w:t>S</w:t>
      </w:r>
      <w:r w:rsidRPr="001D6B3B">
        <w:t xml:space="preserve">tudy H2305 within 3 months of the respective reports being signed by the Principal Investigator. </w:t>
      </w:r>
    </w:p>
    <w:p w:rsidR="00287F50" w:rsidRPr="001D6B3B" w:rsidRDefault="00287F50" w:rsidP="00287F50">
      <w:r w:rsidRPr="001D6B3B">
        <w:t xml:space="preserve">You are reminded that sections 29A and 29AA of the </w:t>
      </w:r>
      <w:r w:rsidRPr="00A30739">
        <w:rPr>
          <w:i/>
        </w:rPr>
        <w:t>Therapeutic Goods Act 1989</w:t>
      </w:r>
      <w:r w:rsidRPr="001D6B3B">
        <w:t xml:space="preserve"> provide for penalties where there has been failure to inform the Secretary in writing, as soon as a person has become aware, of:</w:t>
      </w:r>
    </w:p>
    <w:p w:rsidR="00287F50" w:rsidRPr="0046408A" w:rsidRDefault="00287F50" w:rsidP="005F0A52">
      <w:pPr>
        <w:pStyle w:val="Numberbullet0"/>
        <w:numPr>
          <w:ilvl w:val="0"/>
          <w:numId w:val="8"/>
        </w:numPr>
      </w:pPr>
      <w:r w:rsidRPr="0046408A">
        <w:t>information that contradicts information already given by the person under this Act;</w:t>
      </w:r>
    </w:p>
    <w:p w:rsidR="00287F50" w:rsidRPr="0046408A" w:rsidRDefault="00287F50" w:rsidP="005F0A52">
      <w:pPr>
        <w:pStyle w:val="Numberbullet0"/>
        <w:numPr>
          <w:ilvl w:val="0"/>
          <w:numId w:val="8"/>
        </w:numPr>
      </w:pPr>
      <w:r w:rsidRPr="0046408A">
        <w:t>information that indicates that the use of the goods in accordance with the recommendations for their use may have an unintended harmful effect;</w:t>
      </w:r>
    </w:p>
    <w:p w:rsidR="00287F50" w:rsidRPr="0046408A" w:rsidRDefault="00287F50" w:rsidP="005F0A52">
      <w:pPr>
        <w:pStyle w:val="Numberbullet0"/>
        <w:numPr>
          <w:ilvl w:val="0"/>
          <w:numId w:val="8"/>
        </w:numPr>
      </w:pPr>
      <w:r w:rsidRPr="0046408A">
        <w:t>information that indicates that the goods, when used in accordance with the recommendations for their use, may not be as effective as the application for registration or listing of the goods or information already given by the person under this Act suggests;</w:t>
      </w:r>
    </w:p>
    <w:p w:rsidR="00287F50" w:rsidRPr="0046408A" w:rsidRDefault="00287F50" w:rsidP="005F0A52">
      <w:pPr>
        <w:pStyle w:val="Numberbullet0"/>
        <w:numPr>
          <w:ilvl w:val="0"/>
          <w:numId w:val="8"/>
        </w:numPr>
      </w:pPr>
      <w:r w:rsidRPr="0046408A">
        <w:t>information that indicates that the quality, safety or efficacy of the goods is unacceptable.</w:t>
      </w:r>
    </w:p>
    <w:p w:rsidR="008E7846" w:rsidRDefault="008E7846" w:rsidP="008E7846">
      <w:pPr>
        <w:pStyle w:val="Heading2"/>
      </w:pPr>
      <w:bookmarkStart w:id="194" w:name="_Toc247691533"/>
      <w:bookmarkStart w:id="195" w:name="_Toc314842517"/>
      <w:bookmarkStart w:id="196" w:name="_Toc356974719"/>
      <w:r>
        <w:t>Attachment 1.</w:t>
      </w:r>
      <w:r>
        <w:tab/>
        <w:t xml:space="preserve">Product </w:t>
      </w:r>
      <w:r w:rsidR="00AA0ED0">
        <w:t>I</w:t>
      </w:r>
      <w:r>
        <w:t>nformation</w:t>
      </w:r>
      <w:bookmarkEnd w:id="194"/>
      <w:bookmarkEnd w:id="195"/>
      <w:bookmarkEnd w:id="196"/>
    </w:p>
    <w:p w:rsidR="00C80137" w:rsidRDefault="00C80137" w:rsidP="00C80137">
      <w:pPr>
        <w:rPr>
          <w:color w:val="000000"/>
          <w:lang w:eastAsia="en-AU"/>
        </w:rPr>
      </w:pPr>
      <w:r w:rsidRPr="0037352E">
        <w:t>The Product Information approved at the time this AusPAR was published</w:t>
      </w:r>
      <w:r>
        <w:t xml:space="preserve"> is at Attachment 1</w:t>
      </w:r>
      <w:r w:rsidRPr="0037352E">
        <w:t xml:space="preserve">. For the </w:t>
      </w:r>
      <w:r>
        <w:t>most recent</w:t>
      </w:r>
      <w:r w:rsidRPr="0037352E">
        <w:t xml:space="preserve"> Product Information please refer to the TGA website at</w:t>
      </w:r>
      <w:r w:rsidR="008F6943">
        <w:t xml:space="preserve"> &lt;</w:t>
      </w:r>
      <w:hyperlink r:id="rId23" w:history="1">
        <w:r w:rsidR="00722B57" w:rsidRPr="00625A6E">
          <w:rPr>
            <w:rStyle w:val="Hyperlink"/>
          </w:rPr>
          <w:t>http://www.tga.gov.au/hp/information-medicines-pi.htm</w:t>
        </w:r>
      </w:hyperlink>
      <w:hyperlink w:history="1"/>
      <w:r w:rsidR="008F6943">
        <w:rPr>
          <w:color w:val="000000"/>
          <w:lang w:eastAsia="en-AU"/>
        </w:rPr>
        <w:t>&gt;.</w:t>
      </w:r>
    </w:p>
    <w:p w:rsidR="003D1E62" w:rsidRDefault="00DE14BF" w:rsidP="00410C12">
      <w:pPr>
        <w:pStyle w:val="Heading2"/>
      </w:pPr>
      <w:bookmarkStart w:id="197" w:name="_Toc356974720"/>
      <w:r>
        <w:t>Attachment 2.</w:t>
      </w:r>
      <w:r>
        <w:tab/>
      </w:r>
      <w:r w:rsidR="00C80137">
        <w:t>Extract from the Clinical Evaluation Report</w:t>
      </w:r>
      <w:bookmarkEnd w:id="197"/>
    </w:p>
    <w:p w:rsidR="00291957" w:rsidRDefault="00291957" w:rsidP="00291957">
      <w:pPr>
        <w:rPr>
          <w:lang w:eastAsia="ja-JP"/>
        </w:rPr>
      </w:pPr>
    </w:p>
    <w:p w:rsidR="00C80137" w:rsidRPr="001D043B" w:rsidRDefault="00C80137" w:rsidP="003A7F6C">
      <w:pPr>
        <w:pStyle w:val="TableTitle"/>
        <w:sectPr w:rsidR="00C80137" w:rsidRPr="001D043B" w:rsidSect="00B452CE">
          <w:headerReference w:type="even" r:id="rId24"/>
          <w:headerReference w:type="default" r:id="rId25"/>
          <w:footerReference w:type="default" r:id="rId26"/>
          <w:headerReference w:type="first" r:id="rId27"/>
          <w:footerReference w:type="first" r:id="rId28"/>
          <w:pgSz w:w="11906" w:h="16838" w:code="9"/>
          <w:pgMar w:top="834" w:right="1701" w:bottom="1191" w:left="1701" w:header="907" w:footer="216" w:gutter="0"/>
          <w:cols w:space="708"/>
          <w:docGrid w:linePitch="360"/>
        </w:sectPr>
      </w:pPr>
    </w:p>
    <w:p w:rsidR="00774E1D" w:rsidRPr="008A5E0B" w:rsidRDefault="00774E1D" w:rsidP="004C239D"/>
    <w:sectPr w:rsidR="00774E1D" w:rsidRPr="008A5E0B" w:rsidSect="004C239D">
      <w:headerReference w:type="even" r:id="rId29"/>
      <w:headerReference w:type="default" r:id="rId30"/>
      <w:footerReference w:type="default" r:id="rId31"/>
      <w:headerReference w:type="first" r:id="rId32"/>
      <w:footerReference w:type="first" r:id="rId33"/>
      <w:pgSz w:w="11906" w:h="16838" w:code="9"/>
      <w:pgMar w:top="1818" w:right="1701" w:bottom="1701" w:left="1701" w:header="90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423" w:rsidRDefault="00052423" w:rsidP="00C40A36">
      <w:pPr>
        <w:spacing w:after="0"/>
      </w:pPr>
      <w:r>
        <w:separator/>
      </w:r>
    </w:p>
  </w:endnote>
  <w:endnote w:type="continuationSeparator" w:id="0">
    <w:p w:rsidR="00052423" w:rsidRDefault="00052423" w:rsidP="00C40A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8D8" w:rsidRDefault="007818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7938"/>
      <w:gridCol w:w="923"/>
    </w:tblGrid>
    <w:tr w:rsidR="00052423" w:rsidRPr="00487162" w:rsidTr="0053625B">
      <w:trPr>
        <w:trHeight w:val="269"/>
      </w:trPr>
      <w:tc>
        <w:tcPr>
          <w:tcW w:w="7938" w:type="dxa"/>
          <w:tcMar>
            <w:top w:w="142" w:type="dxa"/>
            <w:bottom w:w="0" w:type="dxa"/>
          </w:tcMar>
        </w:tcPr>
        <w:p w:rsidR="00052423" w:rsidRPr="00287F50" w:rsidRDefault="00052423" w:rsidP="00287F50">
          <w:pPr>
            <w:pStyle w:val="Footer"/>
          </w:pPr>
          <w:r w:rsidRPr="00487162">
            <w:t xml:space="preserve">AusPAR </w:t>
          </w:r>
          <w:r w:rsidRPr="00287F50">
            <w:t xml:space="preserve">Certican Everolimus Novartis Pharmaceuticals Australia Pty Ltd </w:t>
          </w:r>
        </w:p>
        <w:p w:rsidR="00052423" w:rsidRPr="00487162" w:rsidRDefault="00052423" w:rsidP="00287F50">
          <w:pPr>
            <w:pStyle w:val="Footer"/>
          </w:pPr>
          <w:r w:rsidRPr="00287F50">
            <w:t xml:space="preserve">PM-2011-03534-3-2 Date of Finalisation </w:t>
          </w:r>
          <w:r>
            <w:t>21 May 2013</w:t>
          </w:r>
        </w:p>
      </w:tc>
      <w:tc>
        <w:tcPr>
          <w:tcW w:w="923" w:type="dxa"/>
          <w:tcMar>
            <w:top w:w="142" w:type="dxa"/>
            <w:bottom w:w="0" w:type="dxa"/>
          </w:tcMar>
        </w:tcPr>
        <w:p w:rsidR="00052423" w:rsidRPr="00487162" w:rsidRDefault="00052423" w:rsidP="00D855D4">
          <w:pPr>
            <w:pStyle w:val="Footer"/>
            <w:jc w:val="right"/>
          </w:pPr>
          <w:r w:rsidRPr="00487162">
            <w:t xml:space="preserve">Page </w:t>
          </w:r>
          <w:r>
            <w:t>2</w:t>
          </w:r>
          <w:r w:rsidRPr="00487162">
            <w:t xml:space="preserve"> of </w:t>
          </w:r>
          <w:fldSimple w:instr=" NUMPAGES  \* Arabic ">
            <w:r w:rsidR="007818D8">
              <w:rPr>
                <w:noProof/>
              </w:rPr>
              <w:t>46</w:t>
            </w:r>
          </w:fldSimple>
        </w:p>
      </w:tc>
    </w:tr>
  </w:tbl>
  <w:p w:rsidR="00052423" w:rsidRDefault="00052423" w:rsidP="003D1E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8D8" w:rsidRDefault="007818D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Borders>
        <w:top w:val="single" w:sz="4" w:space="0" w:color="auto"/>
      </w:tblBorders>
      <w:tblLayout w:type="fixed"/>
      <w:tblCellMar>
        <w:top w:w="170" w:type="dxa"/>
        <w:left w:w="0" w:type="dxa"/>
        <w:bottom w:w="170" w:type="dxa"/>
        <w:right w:w="0" w:type="dxa"/>
      </w:tblCellMar>
      <w:tblLook w:val="04A0"/>
    </w:tblPr>
    <w:tblGrid>
      <w:gridCol w:w="5812"/>
      <w:gridCol w:w="3049"/>
    </w:tblGrid>
    <w:tr w:rsidR="00052423" w:rsidRPr="00487162" w:rsidTr="00287F50">
      <w:trPr>
        <w:trHeight w:val="269"/>
      </w:trPr>
      <w:tc>
        <w:tcPr>
          <w:tcW w:w="5812" w:type="dxa"/>
          <w:tcMar>
            <w:top w:w="142" w:type="dxa"/>
            <w:bottom w:w="0" w:type="dxa"/>
          </w:tcMar>
        </w:tcPr>
        <w:p w:rsidR="00052423" w:rsidRPr="00287F50" w:rsidRDefault="00052423" w:rsidP="00287F50">
          <w:pPr>
            <w:pStyle w:val="Footer"/>
          </w:pPr>
          <w:r w:rsidRPr="00287F50">
            <w:t xml:space="preserve">AusPAR Certican Everolimus Novartis Pharmaceuticals Australia Pty Ltd </w:t>
          </w:r>
        </w:p>
        <w:p w:rsidR="00052423" w:rsidRPr="00487162" w:rsidRDefault="00052423" w:rsidP="007818D8">
          <w:pPr>
            <w:pStyle w:val="Footer"/>
          </w:pPr>
          <w:r w:rsidRPr="00287F50">
            <w:t>PM-2011-03534-3-2 Date of Finalisation</w:t>
          </w:r>
          <w:r w:rsidR="007818D8">
            <w:t xml:space="preserve"> 21 </w:t>
          </w:r>
          <w:r w:rsidRPr="00287F50">
            <w:t>May 2013</w:t>
          </w:r>
        </w:p>
      </w:tc>
      <w:tc>
        <w:tcPr>
          <w:tcW w:w="3049" w:type="dxa"/>
          <w:tcMar>
            <w:top w:w="142" w:type="dxa"/>
            <w:bottom w:w="0" w:type="dxa"/>
          </w:tcMar>
        </w:tcPr>
        <w:p w:rsidR="00052423" w:rsidRPr="00487162" w:rsidRDefault="00052423" w:rsidP="00E45619">
          <w:pPr>
            <w:pStyle w:val="Footer"/>
            <w:jc w:val="right"/>
          </w:pPr>
          <w:r w:rsidRPr="00487162">
            <w:t xml:space="preserve">Page </w:t>
          </w:r>
          <w:fldSimple w:instr="PAGE">
            <w:r w:rsidR="007818D8">
              <w:rPr>
                <w:noProof/>
              </w:rPr>
              <w:t>3</w:t>
            </w:r>
          </w:fldSimple>
          <w:r w:rsidRPr="00487162">
            <w:t xml:space="preserve"> of </w:t>
          </w:r>
          <w:fldSimple w:instr=" NUMPAGES  \* Arabic ">
            <w:r w:rsidR="007818D8">
              <w:rPr>
                <w:noProof/>
              </w:rPr>
              <w:t>46</w:t>
            </w:r>
          </w:fldSimple>
        </w:p>
      </w:tc>
    </w:tr>
  </w:tbl>
  <w:p w:rsidR="00052423" w:rsidRDefault="00052423" w:rsidP="0015373F">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4519"/>
      <w:gridCol w:w="4342"/>
    </w:tblGrid>
    <w:tr w:rsidR="00052423" w:rsidRPr="00487162" w:rsidTr="00E45619">
      <w:trPr>
        <w:trHeight w:val="269"/>
      </w:trPr>
      <w:tc>
        <w:tcPr>
          <w:tcW w:w="4519" w:type="dxa"/>
          <w:tcBorders>
            <w:top w:val="single" w:sz="4" w:space="0" w:color="auto"/>
          </w:tcBorders>
          <w:tcMar>
            <w:top w:w="142" w:type="dxa"/>
            <w:bottom w:w="0" w:type="dxa"/>
          </w:tcMar>
        </w:tcPr>
        <w:p w:rsidR="00052423" w:rsidRPr="00487162" w:rsidRDefault="00052423" w:rsidP="00FE1DEE">
          <w:pPr>
            <w:pStyle w:val="Footer"/>
          </w:pPr>
          <w:r w:rsidRPr="00487162">
            <w:t>Document title, Part #, Section # - Section title</w:t>
          </w:r>
        </w:p>
        <w:p w:rsidR="00052423" w:rsidRPr="00487162" w:rsidRDefault="00052423" w:rsidP="00FE1DEE">
          <w:pPr>
            <w:pStyle w:val="Footer"/>
          </w:pPr>
          <w:r w:rsidRPr="00487162">
            <w:t>V1.0 October 2010</w:t>
          </w:r>
        </w:p>
      </w:tc>
      <w:tc>
        <w:tcPr>
          <w:tcW w:w="4342" w:type="dxa"/>
          <w:tcBorders>
            <w:top w:val="single" w:sz="4" w:space="0" w:color="auto"/>
          </w:tcBorders>
          <w:tcMar>
            <w:top w:w="142" w:type="dxa"/>
            <w:bottom w:w="0" w:type="dxa"/>
          </w:tcMar>
        </w:tcPr>
        <w:p w:rsidR="00052423" w:rsidRPr="00487162" w:rsidRDefault="00052423" w:rsidP="00E45619">
          <w:pPr>
            <w:pStyle w:val="Footer"/>
            <w:jc w:val="right"/>
          </w:pPr>
          <w:r w:rsidRPr="00487162">
            <w:t xml:space="preserve">Page </w:t>
          </w:r>
          <w:fldSimple w:instr=" PAGE   \* MERGEFORMAT ">
            <w:r w:rsidRPr="00487162">
              <w:rPr>
                <w:noProof/>
              </w:rPr>
              <w:t>3</w:t>
            </w:r>
          </w:fldSimple>
          <w:r w:rsidRPr="00487162">
            <w:t xml:space="preserve"> of </w:t>
          </w:r>
          <w:fldSimple w:instr=" NUMPAGES  ">
            <w:r>
              <w:rPr>
                <w:noProof/>
              </w:rPr>
              <w:t>3</w:t>
            </w:r>
          </w:fldSimple>
        </w:p>
      </w:tc>
    </w:tr>
  </w:tbl>
  <w:p w:rsidR="00052423" w:rsidRDefault="00052423">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sz w:val="16"/>
      </w:rPr>
      <w:id w:val="16144363"/>
      <w:docPartObj>
        <w:docPartGallery w:val="Page Numbers (Bottom of Page)"/>
        <w:docPartUnique/>
      </w:docPartObj>
    </w:sdtPr>
    <w:sdtContent>
      <w:sdt>
        <w:sdtPr>
          <w:rPr>
            <w:b w:val="0"/>
            <w:sz w:val="16"/>
          </w:rPr>
          <w:id w:val="16144364"/>
          <w:docPartObj>
            <w:docPartGallery w:val="Page Numbers (Top of Page)"/>
            <w:docPartUnique/>
          </w:docPartObj>
        </w:sdtPr>
        <w:sdtContent>
          <w:tbl>
            <w:tblPr>
              <w:tblW w:w="9175" w:type="dxa"/>
              <w:tblInd w:w="-284" w:type="dxa"/>
              <w:tblLayout w:type="fixed"/>
              <w:tblCellMar>
                <w:left w:w="0" w:type="dxa"/>
                <w:right w:w="0" w:type="dxa"/>
              </w:tblCellMar>
              <w:tblLook w:val="04A0"/>
            </w:tblPr>
            <w:tblGrid>
              <w:gridCol w:w="9175"/>
            </w:tblGrid>
            <w:tr w:rsidR="00052423" w:rsidRPr="00487162" w:rsidTr="00E45619">
              <w:trPr>
                <w:trHeight w:hRule="exact" w:val="704"/>
              </w:trPr>
              <w:tc>
                <w:tcPr>
                  <w:tcW w:w="9175" w:type="dxa"/>
                </w:tcPr>
                <w:p w:rsidR="00052423" w:rsidRPr="00487162" w:rsidRDefault="00052423" w:rsidP="008E7846">
                  <w:pPr>
                    <w:pStyle w:val="TGASignoff"/>
                  </w:pPr>
                  <w:r w:rsidRPr="00487162">
                    <w:t>Therapeutic Goods Administration</w:t>
                  </w:r>
                </w:p>
              </w:tc>
            </w:tr>
            <w:tr w:rsidR="00052423" w:rsidRPr="00487162" w:rsidTr="00E45619">
              <w:trPr>
                <w:trHeight w:val="1221"/>
              </w:trPr>
              <w:tc>
                <w:tcPr>
                  <w:tcW w:w="9175" w:type="dxa"/>
                  <w:tcMar>
                    <w:top w:w="28" w:type="dxa"/>
                  </w:tcMar>
                </w:tcPr>
                <w:p w:rsidR="00052423" w:rsidRPr="00487162" w:rsidRDefault="00052423" w:rsidP="00E45619">
                  <w:pPr>
                    <w:pStyle w:val="Address"/>
                  </w:pPr>
                  <w:r w:rsidRPr="00487162">
                    <w:t>PO Box 100 Woden ACT 2606 Australia</w:t>
                  </w:r>
                </w:p>
                <w:p w:rsidR="00052423" w:rsidRPr="00487162" w:rsidRDefault="00052423" w:rsidP="00E45619">
                  <w:pPr>
                    <w:pStyle w:val="Address"/>
                  </w:pPr>
                  <w:r w:rsidRPr="00487162">
                    <w:t xml:space="preserve">Email: </w:t>
                  </w:r>
                  <w:hyperlink r:id="rId1" w:history="1">
                    <w:r w:rsidRPr="004C239D">
                      <w:rPr>
                        <w:rStyle w:val="Hyperlink"/>
                      </w:rPr>
                      <w:t>info@tga.gov.au</w:t>
                    </w:r>
                  </w:hyperlink>
                  <w:r w:rsidRPr="00487162">
                    <w:t xml:space="preserve">  Phone: 1800 020 653  Fax: 02 6232 8605</w:t>
                  </w:r>
                </w:p>
                <w:p w:rsidR="00052423" w:rsidRPr="004C239D" w:rsidRDefault="00846717" w:rsidP="004C239D">
                  <w:pPr>
                    <w:pStyle w:val="Address"/>
                    <w:spacing w:line="260" w:lineRule="atLeast"/>
                    <w:rPr>
                      <w:b/>
                      <w:color w:val="0000FF"/>
                      <w:u w:val="single"/>
                    </w:rPr>
                  </w:pPr>
                  <w:hyperlink r:id="rId2" w:history="1">
                    <w:r w:rsidR="00052423" w:rsidRPr="00607888">
                      <w:rPr>
                        <w:rStyle w:val="Hyperlink"/>
                        <w:b/>
                      </w:rPr>
                      <w:t>http://www.tga.gov.au</w:t>
                    </w:r>
                  </w:hyperlink>
                </w:p>
              </w:tc>
            </w:tr>
          </w:tbl>
          <w:p w:rsidR="00052423" w:rsidRDefault="00846717" w:rsidP="008E7846">
            <w:pPr>
              <w:pStyle w:val="Notes"/>
            </w:pPr>
          </w:p>
        </w:sdtContent>
      </w:sdt>
    </w:sdtContent>
  </w:sdt>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75" w:type="dxa"/>
      <w:tblLayout w:type="fixed"/>
      <w:tblCellMar>
        <w:top w:w="170" w:type="dxa"/>
        <w:left w:w="0" w:type="dxa"/>
        <w:bottom w:w="227" w:type="dxa"/>
        <w:right w:w="0" w:type="dxa"/>
      </w:tblCellMar>
      <w:tblLook w:val="04A0"/>
    </w:tblPr>
    <w:tblGrid>
      <w:gridCol w:w="4519"/>
      <w:gridCol w:w="4356"/>
    </w:tblGrid>
    <w:tr w:rsidR="00052423" w:rsidTr="0010601F">
      <w:trPr>
        <w:trHeight w:val="108"/>
      </w:trPr>
      <w:tc>
        <w:tcPr>
          <w:tcW w:w="8875" w:type="dxa"/>
          <w:gridSpan w:val="2"/>
          <w:tcBorders>
            <w:bottom w:val="single" w:sz="4" w:space="0" w:color="auto"/>
          </w:tcBorders>
          <w:tcMar>
            <w:right w:w="284" w:type="dxa"/>
          </w:tcMar>
        </w:tcPr>
        <w:p w:rsidR="00052423" w:rsidRDefault="00052423" w:rsidP="006E08B3">
          <w:pPr>
            <w:pStyle w:val="Heading3"/>
          </w:pPr>
          <w:r>
            <w:t>Copyright</w:t>
          </w:r>
        </w:p>
        <w:p w:rsidR="00052423" w:rsidRDefault="00052423" w:rsidP="006E08B3">
          <w:r>
            <w:rPr>
              <w:rFonts w:cs="Arial"/>
            </w:rPr>
            <w:t>©</w:t>
          </w:r>
          <w:r>
            <w:t xml:space="preserve"> Commonwealth of Australia [add year]</w:t>
          </w:r>
        </w:p>
        <w:p w:rsidR="00052423" w:rsidRDefault="00052423" w:rsidP="006E08B3"/>
        <w:p w:rsidR="00052423" w:rsidRDefault="00052423"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052423" w:rsidRDefault="00052423" w:rsidP="006E08B3"/>
        <w:p w:rsidR="00052423" w:rsidRDefault="00052423" w:rsidP="006E08B3">
          <w:pPr>
            <w:pStyle w:val="Heading3"/>
          </w:pPr>
          <w:r>
            <w:t>Confidentiality</w:t>
          </w:r>
        </w:p>
        <w:p w:rsidR="00052423" w:rsidRDefault="00052423"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052423" w:rsidRDefault="00052423" w:rsidP="006E08B3"/>
        <w:p w:rsidR="00052423" w:rsidRDefault="00052423" w:rsidP="006E08B3">
          <w:r>
            <w:t>For submission made by individuals, all personal details, other than your name, will be removed from your submission before it is published on the TGA’s Internet site.</w:t>
          </w:r>
        </w:p>
        <w:p w:rsidR="00052423" w:rsidRDefault="00052423" w:rsidP="006E08B3"/>
        <w:p w:rsidR="00052423" w:rsidRDefault="00052423"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052423" w:rsidTr="0010601F">
      <w:trPr>
        <w:trHeight w:val="417"/>
      </w:trPr>
      <w:tc>
        <w:tcPr>
          <w:tcW w:w="4519" w:type="dxa"/>
          <w:tcBorders>
            <w:top w:val="single" w:sz="4" w:space="0" w:color="auto"/>
          </w:tcBorders>
          <w:tcMar>
            <w:top w:w="142" w:type="dxa"/>
            <w:bottom w:w="0" w:type="dxa"/>
          </w:tcMar>
        </w:tcPr>
        <w:p w:rsidR="00052423" w:rsidRDefault="00052423" w:rsidP="006E08B3">
          <w:r>
            <w:t>Document title, Part #, Section # - Section title</w:t>
          </w:r>
        </w:p>
        <w:p w:rsidR="00052423" w:rsidRDefault="00052423" w:rsidP="006E08B3">
          <w:r>
            <w:t>V1.0 October 2010</w:t>
          </w:r>
        </w:p>
      </w:tc>
      <w:tc>
        <w:tcPr>
          <w:tcW w:w="4356" w:type="dxa"/>
          <w:tcBorders>
            <w:top w:val="single" w:sz="4" w:space="0" w:color="auto"/>
          </w:tcBorders>
          <w:tcMar>
            <w:top w:w="142" w:type="dxa"/>
            <w:bottom w:w="0" w:type="dxa"/>
          </w:tcMar>
        </w:tcPr>
        <w:p w:rsidR="00052423" w:rsidRDefault="00052423" w:rsidP="006E08B3">
          <w:pPr>
            <w:jc w:val="right"/>
          </w:pPr>
          <w:r>
            <w:t xml:space="preserve">Page </w:t>
          </w:r>
          <w:fldSimple w:instr=" PAGE   \* MERGEFORMAT ">
            <w:r>
              <w:rPr>
                <w:noProof/>
              </w:rPr>
              <w:t>1</w:t>
            </w:r>
          </w:fldSimple>
          <w:r>
            <w:t xml:space="preserve"> of </w:t>
          </w:r>
          <w:fldSimple w:instr=" NUMPAGES  \* Arabic ">
            <w:r>
              <w:rPr>
                <w:noProof/>
              </w:rPr>
              <w:t>3</w:t>
            </w:r>
          </w:fldSimple>
          <w:r>
            <w:t xml:space="preserve">  </w:t>
          </w:r>
        </w:p>
      </w:tc>
    </w:tr>
  </w:tbl>
  <w:p w:rsidR="00052423" w:rsidRDefault="0005242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423" w:rsidRDefault="00052423" w:rsidP="00C40A36">
      <w:pPr>
        <w:spacing w:after="0"/>
      </w:pPr>
      <w:r>
        <w:separator/>
      </w:r>
    </w:p>
  </w:footnote>
  <w:footnote w:type="continuationSeparator" w:id="0">
    <w:p w:rsidR="00052423" w:rsidRDefault="00052423" w:rsidP="00C40A36">
      <w:pPr>
        <w:spacing w:after="0"/>
      </w:pPr>
      <w:r>
        <w:continuationSeparator/>
      </w:r>
    </w:p>
  </w:footnote>
  <w:footnote w:id="1">
    <w:p w:rsidR="00052423" w:rsidRPr="00CB2466" w:rsidRDefault="00052423" w:rsidP="007717BC">
      <w:r w:rsidRPr="007717BC">
        <w:rPr>
          <w:rStyle w:val="FootnoteReference"/>
          <w:lang w:eastAsia="en-AU"/>
        </w:rPr>
        <w:footnoteRef/>
      </w:r>
      <w:r w:rsidRPr="007717BC">
        <w:rPr>
          <w:rStyle w:val="FootnoteReference"/>
          <w:lang w:eastAsia="en-AU"/>
        </w:rPr>
        <w:t xml:space="preserve"> </w:t>
      </w:r>
      <w:r w:rsidRPr="007717BC">
        <w:rPr>
          <w:rFonts w:eastAsia="Times New Roman" w:cs="Arial"/>
          <w:kern w:val="16"/>
          <w:sz w:val="18"/>
          <w:szCs w:val="18"/>
          <w:lang w:eastAsia="en-AU"/>
        </w:rPr>
        <w:t xml:space="preserve">Efficacy of </w:t>
      </w:r>
      <w:proofErr w:type="spellStart"/>
      <w:r w:rsidRPr="007717BC">
        <w:rPr>
          <w:rFonts w:eastAsia="Times New Roman" w:cs="Arial"/>
          <w:kern w:val="16"/>
          <w:sz w:val="18"/>
          <w:szCs w:val="18"/>
          <w:lang w:eastAsia="en-AU"/>
        </w:rPr>
        <w:t>Everolimus</w:t>
      </w:r>
      <w:proofErr w:type="spellEnd"/>
      <w:r w:rsidRPr="007717BC">
        <w:rPr>
          <w:rFonts w:eastAsia="Times New Roman" w:cs="Arial"/>
          <w:kern w:val="16"/>
          <w:sz w:val="18"/>
          <w:szCs w:val="18"/>
          <w:lang w:eastAsia="en-AU"/>
        </w:rPr>
        <w:t xml:space="preserve"> as Inhibitor of Fibrosis Progression in Liver Transplant Patients With Recurrence of Hepatitis C Viral Infection (REVERT).</w:t>
      </w:r>
    </w:p>
  </w:footnote>
  <w:footnote w:id="2">
    <w:p w:rsidR="00052423" w:rsidRPr="00843712" w:rsidRDefault="00052423" w:rsidP="00287F50">
      <w:pPr>
        <w:pStyle w:val="FootnoteText"/>
        <w:rPr>
          <w:sz w:val="18"/>
          <w:szCs w:val="18"/>
        </w:rPr>
      </w:pPr>
      <w:r w:rsidRPr="00843712">
        <w:rPr>
          <w:rStyle w:val="FootnoteReference"/>
          <w:sz w:val="18"/>
          <w:szCs w:val="18"/>
        </w:rPr>
        <w:footnoteRef/>
      </w:r>
      <w:r w:rsidRPr="00843712">
        <w:rPr>
          <w:sz w:val="18"/>
          <w:szCs w:val="18"/>
        </w:rPr>
        <w:t xml:space="preserve"> </w:t>
      </w:r>
      <w:r w:rsidRPr="00843712">
        <w:rPr>
          <w:rFonts w:cs="Arial"/>
          <w:sz w:val="18"/>
          <w:szCs w:val="18"/>
        </w:rPr>
        <w:t xml:space="preserve">The </w:t>
      </w:r>
      <w:proofErr w:type="spellStart"/>
      <w:r w:rsidRPr="00843712">
        <w:rPr>
          <w:rFonts w:cs="Arial"/>
          <w:sz w:val="18"/>
          <w:szCs w:val="18"/>
        </w:rPr>
        <w:t>Knodell</w:t>
      </w:r>
      <w:proofErr w:type="spellEnd"/>
      <w:r w:rsidRPr="00843712">
        <w:rPr>
          <w:rFonts w:cs="Arial"/>
          <w:sz w:val="18"/>
          <w:szCs w:val="18"/>
        </w:rPr>
        <w:t xml:space="preserve"> score is composed of the summation of </w:t>
      </w:r>
      <w:r>
        <w:rPr>
          <w:rFonts w:cs="Arial"/>
          <w:sz w:val="18"/>
          <w:szCs w:val="18"/>
        </w:rPr>
        <w:t xml:space="preserve">4 </w:t>
      </w:r>
      <w:r w:rsidRPr="00843712">
        <w:rPr>
          <w:rFonts w:cs="Arial"/>
          <w:sz w:val="18"/>
          <w:szCs w:val="18"/>
        </w:rPr>
        <w:t xml:space="preserve">individual scores representing </w:t>
      </w:r>
      <w:proofErr w:type="spellStart"/>
      <w:r w:rsidRPr="00843712">
        <w:rPr>
          <w:rFonts w:cs="Arial"/>
          <w:sz w:val="18"/>
          <w:szCs w:val="18"/>
        </w:rPr>
        <w:t>periportal</w:t>
      </w:r>
      <w:proofErr w:type="spellEnd"/>
      <w:r w:rsidRPr="00843712">
        <w:rPr>
          <w:rFonts w:cs="Arial"/>
          <w:sz w:val="18"/>
          <w:szCs w:val="18"/>
        </w:rPr>
        <w:t xml:space="preserve"> and/or bridging necrosis, </w:t>
      </w:r>
      <w:proofErr w:type="spellStart"/>
      <w:r w:rsidRPr="00843712">
        <w:rPr>
          <w:rFonts w:cs="Arial"/>
          <w:sz w:val="18"/>
          <w:szCs w:val="18"/>
        </w:rPr>
        <w:t>intralobular</w:t>
      </w:r>
      <w:proofErr w:type="spellEnd"/>
      <w:r w:rsidRPr="00843712">
        <w:rPr>
          <w:rFonts w:cs="Arial"/>
          <w:sz w:val="18"/>
          <w:szCs w:val="18"/>
        </w:rPr>
        <w:t xml:space="preserve"> degeneration and focal necrosis, portal inflammation, and fibrosis; the scor</w:t>
      </w:r>
      <w:r>
        <w:rPr>
          <w:rFonts w:cs="Arial"/>
          <w:sz w:val="18"/>
          <w:szCs w:val="18"/>
        </w:rPr>
        <w:t xml:space="preserve">e ranges from 0 to 2. The </w:t>
      </w:r>
      <w:proofErr w:type="spellStart"/>
      <w:r>
        <w:rPr>
          <w:rFonts w:cs="Arial"/>
          <w:sz w:val="18"/>
          <w:szCs w:val="18"/>
        </w:rPr>
        <w:t>Ishak-</w:t>
      </w:r>
      <w:r w:rsidRPr="00843712">
        <w:rPr>
          <w:rFonts w:cs="Arial"/>
          <w:sz w:val="18"/>
          <w:szCs w:val="18"/>
        </w:rPr>
        <w:t>Knodell</w:t>
      </w:r>
      <w:proofErr w:type="spellEnd"/>
      <w:r w:rsidRPr="00843712">
        <w:rPr>
          <w:rFonts w:cs="Arial"/>
          <w:sz w:val="18"/>
          <w:szCs w:val="18"/>
        </w:rPr>
        <w:t xml:space="preserve"> score is a modification with </w:t>
      </w:r>
      <w:r>
        <w:rPr>
          <w:rFonts w:cs="Arial"/>
          <w:sz w:val="18"/>
          <w:szCs w:val="18"/>
        </w:rPr>
        <w:t xml:space="preserve">6 </w:t>
      </w:r>
      <w:r w:rsidRPr="00843712">
        <w:rPr>
          <w:rFonts w:cs="Arial"/>
          <w:sz w:val="18"/>
          <w:szCs w:val="18"/>
        </w:rPr>
        <w:t xml:space="preserve">stages of fibrosis, permitting more detailed evaluation of changes in fibrosis compared with the standard </w:t>
      </w:r>
      <w:proofErr w:type="spellStart"/>
      <w:r w:rsidRPr="00843712">
        <w:rPr>
          <w:rFonts w:cs="Arial"/>
          <w:sz w:val="18"/>
          <w:szCs w:val="18"/>
        </w:rPr>
        <w:t>Knodell</w:t>
      </w:r>
      <w:proofErr w:type="spellEnd"/>
      <w:r w:rsidRPr="00843712">
        <w:rPr>
          <w:rFonts w:cs="Arial"/>
          <w:sz w:val="18"/>
          <w:szCs w:val="18"/>
        </w:rPr>
        <w:t xml:space="preserve"> fibrosis score, which has only </w:t>
      </w:r>
      <w:r>
        <w:rPr>
          <w:rFonts w:cs="Arial"/>
          <w:sz w:val="18"/>
          <w:szCs w:val="18"/>
        </w:rPr>
        <w:t xml:space="preserve">3 </w:t>
      </w:r>
      <w:r w:rsidRPr="00843712">
        <w:rPr>
          <w:rFonts w:cs="Arial"/>
          <w:sz w:val="18"/>
          <w:szCs w:val="18"/>
        </w:rPr>
        <w:t>stages.</w:t>
      </w:r>
    </w:p>
  </w:footnote>
  <w:footnote w:id="3">
    <w:p w:rsidR="00052423" w:rsidRPr="0010343B" w:rsidRDefault="00052423" w:rsidP="00287F50">
      <w:pPr>
        <w:spacing w:before="0" w:after="0" w:line="240" w:lineRule="auto"/>
        <w:rPr>
          <w:sz w:val="18"/>
          <w:szCs w:val="18"/>
        </w:rPr>
      </w:pPr>
      <w:r w:rsidRPr="0010343B">
        <w:rPr>
          <w:sz w:val="18"/>
          <w:szCs w:val="18"/>
          <w:vertAlign w:val="superscript"/>
        </w:rPr>
        <w:footnoteRef/>
      </w:r>
      <w:r w:rsidRPr="0010343B">
        <w:rPr>
          <w:sz w:val="18"/>
          <w:szCs w:val="18"/>
        </w:rPr>
        <w:t xml:space="preserve"> MELD score uses the patient's values for serum </w:t>
      </w:r>
      <w:proofErr w:type="spellStart"/>
      <w:r w:rsidRPr="0010343B">
        <w:rPr>
          <w:sz w:val="18"/>
          <w:szCs w:val="18"/>
        </w:rPr>
        <w:t>bilirubin</w:t>
      </w:r>
      <w:proofErr w:type="spellEnd"/>
      <w:r w:rsidRPr="0010343B">
        <w:rPr>
          <w:sz w:val="18"/>
          <w:szCs w:val="18"/>
        </w:rPr>
        <w:t xml:space="preserve">, serum </w:t>
      </w:r>
      <w:proofErr w:type="spellStart"/>
      <w:r w:rsidRPr="0010343B">
        <w:rPr>
          <w:sz w:val="18"/>
          <w:szCs w:val="18"/>
        </w:rPr>
        <w:t>creatinine</w:t>
      </w:r>
      <w:proofErr w:type="spellEnd"/>
      <w:r w:rsidRPr="0010343B">
        <w:rPr>
          <w:sz w:val="18"/>
          <w:szCs w:val="18"/>
        </w:rPr>
        <w:t xml:space="preserve">, and the international normalised ratio for </w:t>
      </w:r>
      <w:proofErr w:type="spellStart"/>
      <w:r w:rsidRPr="0010343B">
        <w:rPr>
          <w:sz w:val="18"/>
          <w:szCs w:val="18"/>
        </w:rPr>
        <w:t>prothrombin</w:t>
      </w:r>
      <w:proofErr w:type="spellEnd"/>
      <w:r w:rsidRPr="0010343B">
        <w:rPr>
          <w:sz w:val="18"/>
          <w:szCs w:val="18"/>
        </w:rPr>
        <w:t xml:space="preserve"> time (INR) to predict survival.</w:t>
      </w:r>
    </w:p>
  </w:footnote>
  <w:footnote w:id="4">
    <w:p w:rsidR="00052423" w:rsidRPr="008E4CFB" w:rsidRDefault="00052423" w:rsidP="00287F50">
      <w:pPr>
        <w:spacing w:before="0" w:after="0" w:line="240" w:lineRule="auto"/>
        <w:rPr>
          <w:sz w:val="18"/>
          <w:szCs w:val="18"/>
        </w:rPr>
      </w:pPr>
      <w:r w:rsidRPr="008E4CFB">
        <w:rPr>
          <w:rStyle w:val="FootnoteReference"/>
          <w:sz w:val="18"/>
          <w:szCs w:val="18"/>
        </w:rPr>
        <w:footnoteRef/>
      </w:r>
      <w:r w:rsidRPr="008E4CFB">
        <w:rPr>
          <w:sz w:val="18"/>
          <w:szCs w:val="18"/>
        </w:rPr>
        <w:t xml:space="preserve"> The abbreviated MDRD or MDRD-4 estimates GFR using four variables: serum </w:t>
      </w:r>
      <w:proofErr w:type="spellStart"/>
      <w:r w:rsidRPr="008E4CFB">
        <w:rPr>
          <w:sz w:val="18"/>
          <w:szCs w:val="18"/>
        </w:rPr>
        <w:t>creatinine</w:t>
      </w:r>
      <w:proofErr w:type="spellEnd"/>
      <w:r w:rsidRPr="008E4CFB">
        <w:rPr>
          <w:sz w:val="18"/>
          <w:szCs w:val="18"/>
        </w:rPr>
        <w:t>, age, race, and gender. The original MDRD used six variables with the additional variables being the blood urea nitrogen and albumin levels. The equations have been validated in patients with chronic kidney disease.</w:t>
      </w:r>
    </w:p>
  </w:footnote>
  <w:footnote w:id="5">
    <w:p w:rsidR="00052423" w:rsidRPr="005C69A4" w:rsidRDefault="00052423" w:rsidP="00287F50">
      <w:pPr>
        <w:rPr>
          <w:sz w:val="18"/>
          <w:szCs w:val="18"/>
        </w:rPr>
      </w:pPr>
      <w:r w:rsidRPr="005C69A4">
        <w:rPr>
          <w:sz w:val="18"/>
          <w:szCs w:val="18"/>
        </w:rPr>
        <w:footnoteRef/>
      </w:r>
      <w:r w:rsidRPr="005C69A4">
        <w:rPr>
          <w:sz w:val="18"/>
          <w:szCs w:val="18"/>
        </w:rPr>
        <w:t xml:space="preserve"> </w:t>
      </w:r>
      <w:proofErr w:type="spellStart"/>
      <w:r>
        <w:rPr>
          <w:sz w:val="18"/>
          <w:szCs w:val="18"/>
        </w:rPr>
        <w:t>Hy’s</w:t>
      </w:r>
      <w:proofErr w:type="spellEnd"/>
      <w:r>
        <w:rPr>
          <w:sz w:val="18"/>
          <w:szCs w:val="18"/>
        </w:rPr>
        <w:t xml:space="preserve"> Law provides </w:t>
      </w:r>
      <w:r w:rsidRPr="005C69A4">
        <w:rPr>
          <w:sz w:val="18"/>
          <w:szCs w:val="18"/>
        </w:rPr>
        <w:t>prognostic indicator</w:t>
      </w:r>
      <w:r>
        <w:rPr>
          <w:sz w:val="18"/>
          <w:szCs w:val="18"/>
        </w:rPr>
        <w:t>s for</w:t>
      </w:r>
      <w:r w:rsidRPr="005C69A4">
        <w:rPr>
          <w:sz w:val="18"/>
          <w:szCs w:val="18"/>
        </w:rPr>
        <w:t xml:space="preserve"> pure drug-induced liver injury</w:t>
      </w:r>
      <w:r>
        <w:rPr>
          <w:sz w:val="18"/>
          <w:szCs w:val="18"/>
        </w:rPr>
        <w:t>.</w:t>
      </w:r>
      <w:r w:rsidRPr="005C69A4">
        <w:rPr>
          <w:sz w:val="18"/>
          <w:szCs w:val="18"/>
        </w:rPr>
        <w:t xml:space="preserve"> </w:t>
      </w:r>
    </w:p>
  </w:footnote>
  <w:footnote w:id="6">
    <w:p w:rsidR="00052423" w:rsidRPr="00521479" w:rsidRDefault="00052423" w:rsidP="00287F50">
      <w:pPr>
        <w:spacing w:before="0" w:after="0" w:line="240" w:lineRule="auto"/>
        <w:rPr>
          <w:sz w:val="18"/>
          <w:szCs w:val="18"/>
        </w:rPr>
      </w:pPr>
      <w:r w:rsidRPr="00521479">
        <w:rPr>
          <w:rStyle w:val="FootnoteReference"/>
          <w:sz w:val="18"/>
          <w:szCs w:val="18"/>
        </w:rPr>
        <w:footnoteRef/>
      </w:r>
      <w:r w:rsidRPr="00521479">
        <w:rPr>
          <w:sz w:val="18"/>
          <w:szCs w:val="18"/>
        </w:rPr>
        <w:t xml:space="preserve"> Australia and New Zealand Liver Transplant Registry report 2010. Editors: Lynch SV and </w:t>
      </w:r>
      <w:proofErr w:type="spellStart"/>
      <w:r w:rsidRPr="00521479">
        <w:rPr>
          <w:sz w:val="18"/>
          <w:szCs w:val="18"/>
        </w:rPr>
        <w:t>Balderson</w:t>
      </w:r>
      <w:proofErr w:type="spellEnd"/>
      <w:r w:rsidRPr="00521479">
        <w:rPr>
          <w:sz w:val="18"/>
          <w:szCs w:val="18"/>
        </w:rPr>
        <w:t xml:space="preserve"> GA. Brisbane.</w:t>
      </w:r>
      <w:r>
        <w:rPr>
          <w:sz w:val="18"/>
          <w:szCs w:val="18"/>
        </w:rPr>
        <w:t xml:space="preserve"> Reports are available at </w:t>
      </w:r>
      <w:hyperlink r:id="rId1" w:history="1">
        <w:r w:rsidRPr="00000775">
          <w:rPr>
            <w:rStyle w:val="Hyperlink"/>
            <w:sz w:val="18"/>
            <w:szCs w:val="18"/>
          </w:rPr>
          <w:t>http://www.anzltr.org/</w:t>
        </w:r>
      </w:hyperlink>
      <w:r>
        <w:rPr>
          <w:sz w:val="18"/>
          <w:szCs w:val="18"/>
        </w:rPr>
        <w:t xml:space="preserve"> </w:t>
      </w:r>
    </w:p>
  </w:footnote>
  <w:footnote w:id="7">
    <w:p w:rsidR="00052423" w:rsidRPr="00F311C0" w:rsidRDefault="00052423" w:rsidP="00287F50">
      <w:pPr>
        <w:pStyle w:val="FootnoteText"/>
        <w:rPr>
          <w:sz w:val="18"/>
          <w:szCs w:val="18"/>
        </w:rPr>
      </w:pPr>
      <w:r w:rsidRPr="00F311C0">
        <w:rPr>
          <w:rStyle w:val="FootnoteReference"/>
          <w:sz w:val="18"/>
          <w:szCs w:val="18"/>
        </w:rPr>
        <w:footnoteRef/>
      </w:r>
      <w:r w:rsidRPr="00F311C0">
        <w:rPr>
          <w:sz w:val="18"/>
          <w:szCs w:val="18"/>
        </w:rPr>
        <w:t xml:space="preserve"> CHMP. </w:t>
      </w:r>
      <w:r w:rsidRPr="00F311C0">
        <w:rPr>
          <w:i/>
          <w:sz w:val="18"/>
          <w:szCs w:val="18"/>
        </w:rPr>
        <w:t xml:space="preserve">Guidelines on the clinical investigation of </w:t>
      </w:r>
      <w:proofErr w:type="spellStart"/>
      <w:r w:rsidRPr="00F311C0">
        <w:rPr>
          <w:i/>
          <w:sz w:val="18"/>
          <w:szCs w:val="18"/>
        </w:rPr>
        <w:t>immunosuppressants</w:t>
      </w:r>
      <w:proofErr w:type="spellEnd"/>
      <w:r w:rsidRPr="00F311C0">
        <w:rPr>
          <w:i/>
          <w:sz w:val="18"/>
          <w:szCs w:val="18"/>
        </w:rPr>
        <w:t xml:space="preserve"> for solid organ transplant</w:t>
      </w:r>
      <w:r w:rsidRPr="00F311C0">
        <w:rPr>
          <w:sz w:val="18"/>
          <w:szCs w:val="18"/>
        </w:rPr>
        <w:t xml:space="preserve"> (CHMP/EWP/263148/06; July 2008; effective from 1 February 2009)</w:t>
      </w:r>
    </w:p>
  </w:footnote>
  <w:footnote w:id="8">
    <w:p w:rsidR="00052423" w:rsidRPr="00F311C0" w:rsidRDefault="00052423" w:rsidP="00287F50">
      <w:pPr>
        <w:pStyle w:val="FootnoteText"/>
        <w:rPr>
          <w:sz w:val="18"/>
          <w:szCs w:val="18"/>
        </w:rPr>
      </w:pPr>
      <w:r w:rsidRPr="00F311C0">
        <w:rPr>
          <w:rStyle w:val="FootnoteReference"/>
          <w:sz w:val="18"/>
          <w:szCs w:val="18"/>
        </w:rPr>
        <w:footnoteRef/>
      </w:r>
      <w:r w:rsidRPr="00F311C0">
        <w:rPr>
          <w:sz w:val="18"/>
          <w:szCs w:val="18"/>
        </w:rPr>
        <w:t xml:space="preserve"> CHMP. </w:t>
      </w:r>
      <w:r w:rsidRPr="00F311C0">
        <w:rPr>
          <w:i/>
          <w:sz w:val="18"/>
          <w:szCs w:val="18"/>
        </w:rPr>
        <w:t>Points to Consider on Application with 1. Meta-analysis; 2. One Pivotal study</w:t>
      </w:r>
      <w:r w:rsidRPr="00F311C0">
        <w:rPr>
          <w:sz w:val="18"/>
          <w:szCs w:val="18"/>
        </w:rPr>
        <w:t>; (CPMP/EWP/2330/99, May 2001)</w:t>
      </w:r>
    </w:p>
  </w:footnote>
  <w:footnote w:id="9">
    <w:p w:rsidR="00052423" w:rsidRPr="00F311C0" w:rsidRDefault="00052423" w:rsidP="00287F50">
      <w:pPr>
        <w:spacing w:before="0" w:after="0" w:line="240" w:lineRule="auto"/>
        <w:rPr>
          <w:sz w:val="18"/>
          <w:szCs w:val="18"/>
        </w:rPr>
      </w:pPr>
      <w:r w:rsidRPr="00F311C0">
        <w:rPr>
          <w:rStyle w:val="FootnoteReference"/>
          <w:sz w:val="18"/>
          <w:szCs w:val="18"/>
        </w:rPr>
        <w:footnoteRef/>
      </w:r>
      <w:r w:rsidRPr="00F311C0">
        <w:rPr>
          <w:sz w:val="18"/>
          <w:szCs w:val="18"/>
        </w:rPr>
        <w:t xml:space="preserve"> </w:t>
      </w:r>
      <w:r>
        <w:rPr>
          <w:sz w:val="18"/>
          <w:szCs w:val="18"/>
        </w:rPr>
        <w:t xml:space="preserve">CHMP. </w:t>
      </w:r>
      <w:r w:rsidRPr="00F311C0">
        <w:rPr>
          <w:i/>
          <w:sz w:val="18"/>
          <w:szCs w:val="18"/>
        </w:rPr>
        <w:t>Points to consider on switching between superiority and non-inferiority</w:t>
      </w:r>
      <w:r w:rsidRPr="00F311C0">
        <w:rPr>
          <w:sz w:val="18"/>
          <w:szCs w:val="18"/>
        </w:rPr>
        <w:t xml:space="preserve"> </w:t>
      </w:r>
      <w:r>
        <w:rPr>
          <w:sz w:val="18"/>
          <w:szCs w:val="18"/>
        </w:rPr>
        <w:t>(</w:t>
      </w:r>
      <w:r w:rsidRPr="00F311C0">
        <w:rPr>
          <w:sz w:val="18"/>
          <w:szCs w:val="18"/>
        </w:rPr>
        <w:t>CPMP/EWP/482/99</w:t>
      </w:r>
      <w:r>
        <w:rPr>
          <w:sz w:val="18"/>
          <w:szCs w:val="18"/>
        </w:rPr>
        <w:t>,</w:t>
      </w:r>
      <w:r w:rsidRPr="00F311C0">
        <w:rPr>
          <w:sz w:val="18"/>
          <w:szCs w:val="18"/>
        </w:rPr>
        <w:t xml:space="preserve"> </w:t>
      </w:r>
      <w:r>
        <w:rPr>
          <w:sz w:val="18"/>
          <w:szCs w:val="18"/>
        </w:rPr>
        <w:t>July 2000)</w:t>
      </w:r>
      <w:r w:rsidRPr="00F311C0">
        <w:rPr>
          <w:sz w:val="18"/>
          <w:szCs w:val="18"/>
        </w:rPr>
        <w:t xml:space="preserve">. </w:t>
      </w:r>
    </w:p>
  </w:footnote>
  <w:footnote w:id="10">
    <w:p w:rsidR="00052423" w:rsidRPr="00386FB3" w:rsidRDefault="00052423" w:rsidP="00287F50">
      <w:pPr>
        <w:spacing w:before="0" w:after="0" w:line="240" w:lineRule="auto"/>
        <w:rPr>
          <w:sz w:val="18"/>
          <w:szCs w:val="18"/>
        </w:rPr>
      </w:pPr>
      <w:r w:rsidRPr="00300443">
        <w:rPr>
          <w:sz w:val="18"/>
          <w:szCs w:val="18"/>
          <w:vertAlign w:val="superscript"/>
        </w:rPr>
        <w:footnoteRef/>
      </w:r>
      <w:r w:rsidRPr="00300443">
        <w:rPr>
          <w:sz w:val="18"/>
          <w:szCs w:val="18"/>
          <w:vertAlign w:val="superscript"/>
        </w:rPr>
        <w:t xml:space="preserve"> </w:t>
      </w:r>
      <w:r w:rsidRPr="00386FB3">
        <w:rPr>
          <w:sz w:val="18"/>
          <w:szCs w:val="18"/>
        </w:rPr>
        <w:t xml:space="preserve">The Child-Pugh score is used to assess the prognosis of chronic liver disease. The score employs </w:t>
      </w:r>
      <w:r>
        <w:rPr>
          <w:sz w:val="18"/>
          <w:szCs w:val="18"/>
        </w:rPr>
        <w:t>5</w:t>
      </w:r>
      <w:r w:rsidRPr="00386FB3">
        <w:rPr>
          <w:sz w:val="18"/>
          <w:szCs w:val="18"/>
        </w:rPr>
        <w:t xml:space="preserve"> clinical measures of liver disease</w:t>
      </w:r>
      <w:r>
        <w:rPr>
          <w:sz w:val="18"/>
          <w:szCs w:val="18"/>
        </w:rPr>
        <w:t>, e</w:t>
      </w:r>
      <w:r w:rsidRPr="00386FB3">
        <w:rPr>
          <w:sz w:val="18"/>
          <w:szCs w:val="18"/>
        </w:rPr>
        <w:t>ach measure scored 1-3, with 3 indicating most severe derangement.</w:t>
      </w:r>
      <w:r>
        <w:rPr>
          <w:sz w:val="18"/>
          <w:szCs w:val="18"/>
        </w:rPr>
        <w:t xml:space="preserve"> Chronic liver disease is classified as: </w:t>
      </w:r>
      <w:r w:rsidRPr="003B6700">
        <w:rPr>
          <w:sz w:val="18"/>
          <w:szCs w:val="18"/>
        </w:rPr>
        <w:t>mild impairment (Child-Pugh A, score 5-6); moderate impairment (Child-Pugh B, score 7-9); and severe impairment (Child-Pugh C, score 10-15)</w:t>
      </w:r>
      <w:r>
        <w:rPr>
          <w:sz w:val="18"/>
          <w:szCs w:val="18"/>
        </w:rPr>
        <w:t>.</w:t>
      </w:r>
    </w:p>
  </w:footnote>
  <w:footnote w:id="11">
    <w:p w:rsidR="00052423" w:rsidRPr="00FA258C" w:rsidRDefault="00052423" w:rsidP="00287F50">
      <w:pPr>
        <w:spacing w:before="0" w:after="0" w:line="240" w:lineRule="auto"/>
        <w:rPr>
          <w:sz w:val="18"/>
          <w:szCs w:val="18"/>
        </w:rPr>
      </w:pPr>
      <w:r w:rsidRPr="00110DD2">
        <w:rPr>
          <w:sz w:val="18"/>
          <w:szCs w:val="18"/>
          <w:vertAlign w:val="superscript"/>
        </w:rPr>
        <w:footnoteRef/>
      </w:r>
      <w:r w:rsidRPr="00110DD2">
        <w:rPr>
          <w:sz w:val="18"/>
          <w:szCs w:val="18"/>
          <w:vertAlign w:val="superscript"/>
        </w:rPr>
        <w:t xml:space="preserve"> </w:t>
      </w:r>
      <w:r>
        <w:rPr>
          <w:sz w:val="18"/>
          <w:szCs w:val="18"/>
        </w:rPr>
        <w:t>Detail</w:t>
      </w:r>
      <w:r w:rsidRPr="00FA258C">
        <w:rPr>
          <w:sz w:val="18"/>
          <w:szCs w:val="18"/>
        </w:rPr>
        <w:t>s</w:t>
      </w:r>
      <w:r>
        <w:rPr>
          <w:sz w:val="18"/>
          <w:szCs w:val="18"/>
        </w:rPr>
        <w:t xml:space="preserve"> </w:t>
      </w:r>
      <w:r w:rsidRPr="00FA258C">
        <w:rPr>
          <w:sz w:val="18"/>
          <w:szCs w:val="18"/>
        </w:rPr>
        <w:t xml:space="preserve">of PI revisions </w:t>
      </w:r>
      <w:r>
        <w:rPr>
          <w:sz w:val="18"/>
          <w:szCs w:val="18"/>
        </w:rPr>
        <w:t xml:space="preserve">outside of the proposed extension of indications </w:t>
      </w:r>
      <w:r w:rsidRPr="00FA258C">
        <w:rPr>
          <w:sz w:val="18"/>
          <w:szCs w:val="18"/>
        </w:rPr>
        <w:t>are beyond the scope of this AusPAR.</w:t>
      </w:r>
    </w:p>
  </w:footnote>
  <w:footnote w:id="12">
    <w:p w:rsidR="00052423" w:rsidRPr="00540BA5" w:rsidRDefault="00052423" w:rsidP="00287F50">
      <w:pPr>
        <w:pStyle w:val="FootnoteText"/>
        <w:rPr>
          <w:sz w:val="18"/>
          <w:szCs w:val="18"/>
        </w:rPr>
      </w:pPr>
      <w:r w:rsidRPr="00540BA5">
        <w:rPr>
          <w:rStyle w:val="FootnoteReference"/>
          <w:sz w:val="18"/>
          <w:szCs w:val="18"/>
        </w:rPr>
        <w:footnoteRef/>
      </w:r>
      <w:r w:rsidRPr="00540BA5">
        <w:rPr>
          <w:sz w:val="18"/>
          <w:szCs w:val="18"/>
        </w:rPr>
        <w:t xml:space="preserve"> CHMP</w:t>
      </w:r>
      <w:r>
        <w:rPr>
          <w:sz w:val="18"/>
          <w:szCs w:val="18"/>
        </w:rPr>
        <w:t>.</w:t>
      </w:r>
      <w:r w:rsidRPr="00540BA5">
        <w:rPr>
          <w:sz w:val="18"/>
          <w:szCs w:val="18"/>
        </w:rPr>
        <w:t xml:space="preserve"> </w:t>
      </w:r>
      <w:r w:rsidRPr="00540BA5">
        <w:rPr>
          <w:i/>
          <w:sz w:val="18"/>
          <w:szCs w:val="18"/>
        </w:rPr>
        <w:t xml:space="preserve">Guidelines on the clinical investigation of </w:t>
      </w:r>
      <w:proofErr w:type="spellStart"/>
      <w:r w:rsidRPr="00540BA5">
        <w:rPr>
          <w:i/>
          <w:sz w:val="18"/>
          <w:szCs w:val="18"/>
        </w:rPr>
        <w:t>immunosuppressant</w:t>
      </w:r>
      <w:r>
        <w:rPr>
          <w:i/>
          <w:sz w:val="18"/>
          <w:szCs w:val="18"/>
        </w:rPr>
        <w:t>s</w:t>
      </w:r>
      <w:proofErr w:type="spellEnd"/>
      <w:r w:rsidRPr="00540BA5">
        <w:rPr>
          <w:i/>
          <w:sz w:val="18"/>
          <w:szCs w:val="18"/>
        </w:rPr>
        <w:t xml:space="preserve"> for solid organ transplant</w:t>
      </w:r>
      <w:r w:rsidRPr="00540BA5">
        <w:rPr>
          <w:sz w:val="18"/>
          <w:szCs w:val="18"/>
        </w:rPr>
        <w:t xml:space="preserve"> (CHMP/EWP/263148/06; July 2008; effective from 1 February 2009</w:t>
      </w:r>
      <w:r>
        <w:rPr>
          <w:sz w:val="18"/>
          <w:szCs w:val="18"/>
        </w:rPr>
        <w:t>)</w:t>
      </w:r>
    </w:p>
  </w:footnote>
  <w:footnote w:id="13">
    <w:p w:rsidR="00052423" w:rsidRPr="00EF5D37" w:rsidRDefault="00052423" w:rsidP="00287F50">
      <w:pPr>
        <w:rPr>
          <w:sz w:val="18"/>
          <w:szCs w:val="18"/>
        </w:rPr>
      </w:pPr>
      <w:r w:rsidRPr="00EF5D37">
        <w:rPr>
          <w:sz w:val="18"/>
          <w:szCs w:val="18"/>
          <w:vertAlign w:val="superscript"/>
        </w:rPr>
        <w:footnoteRef/>
      </w:r>
      <w:r w:rsidRPr="00EF5D37">
        <w:rPr>
          <w:sz w:val="18"/>
          <w:szCs w:val="18"/>
          <w:vertAlign w:val="superscript"/>
        </w:rPr>
        <w:t xml:space="preserve"> </w:t>
      </w:r>
      <w:r w:rsidRPr="00EF5D37">
        <w:rPr>
          <w:sz w:val="18"/>
          <w:szCs w:val="18"/>
        </w:rPr>
        <w:t xml:space="preserve">Details of PI revisions </w:t>
      </w:r>
      <w:r>
        <w:rPr>
          <w:sz w:val="18"/>
          <w:szCs w:val="18"/>
        </w:rPr>
        <w:t xml:space="preserve">other than those to </w:t>
      </w:r>
      <w:r w:rsidRPr="00EF5D37">
        <w:rPr>
          <w:sz w:val="18"/>
          <w:szCs w:val="18"/>
        </w:rPr>
        <w:t xml:space="preserve">the </w:t>
      </w:r>
      <w:r w:rsidRPr="00EF5D37">
        <w:rPr>
          <w:i/>
          <w:sz w:val="18"/>
          <w:szCs w:val="18"/>
        </w:rPr>
        <w:t>Indications</w:t>
      </w:r>
      <w:r w:rsidRPr="00EF5D37">
        <w:rPr>
          <w:sz w:val="18"/>
          <w:szCs w:val="18"/>
        </w:rPr>
        <w:t xml:space="preserve"> section are beyond the scope of this AusPAR.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8D8" w:rsidRDefault="007818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423" w:rsidRDefault="00052423" w:rsidP="00E45619">
    <w:pPr>
      <w:pStyle w:val="Header"/>
    </w:pPr>
    <w:r>
      <w:t>Therapeutic Goods Administration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423" w:rsidRDefault="00846717">
    <w:pPr>
      <w:rPr>
        <w:noProof/>
        <w:lang w:eastAsia="en-A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05" type="#_x0000_t75" alt="Therapeutic Goods Administration. Health, Safety, Regulation" style="position:absolute;margin-left:-85.8pt;margin-top:-46.05pt;width:596.25pt;height:843.35pt;z-index:-251658752" wrapcoords="-38 0 -38 21573 21600 21573 21600 0 -38 0">
          <v:imagedata r:id="rId1" o:title="AUSPAR-BG-HQ03"/>
        </v:shape>
      </w:pict>
    </w:r>
  </w:p>
  <w:p w:rsidR="00052423" w:rsidRDefault="007818D8" w:rsidP="00593AD1">
    <w:pPr>
      <w:pStyle w:val="HeaderNoLine"/>
    </w:pPr>
    <w:r>
      <w:rPr>
        <w:noProof/>
        <w:lang w:eastAsia="en-AU"/>
      </w:rPr>
      <w:pict>
        <v:shape id="_x0000_i1025" type="#_x0000_t75" alt="Lightblue.jpg" style="width:425.1pt;height:600.9pt;visibility:visible">
          <v:imagedata r:id="rId2" o:title="Lightblu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423" w:rsidRDefault="00052423">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423" w:rsidRDefault="00052423">
    <w:pPr>
      <w:pStyle w:val="Header"/>
    </w:pPr>
    <w:r>
      <w:t>Therapeutic Goods Administration</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423" w:rsidRDefault="00052423">
    <w:pPr>
      <w:pStyle w:val="Header"/>
    </w:pPr>
    <w:r>
      <w:t>Therapeutic Goods Administration</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423" w:rsidRDefault="00052423">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423" w:rsidRDefault="00052423" w:rsidP="004C239D">
    <w:pPr>
      <w:pStyle w:val="HeaderNoLine"/>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423" w:rsidRDefault="00052423" w:rsidP="006E08B3">
    <w:r>
      <w:t>Therapeutic Goods Administration</w:t>
    </w:r>
  </w:p>
  <w:p w:rsidR="00052423" w:rsidRDefault="00052423" w:rsidP="006D03E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53F11"/>
    <w:multiLevelType w:val="multilevel"/>
    <w:tmpl w:val="225C9770"/>
    <w:styleLink w:val="NumberBullet"/>
    <w:lvl w:ilvl="0">
      <w:start w:val="1"/>
      <w:numFmt w:val="lowerLetter"/>
      <w:lvlText w:val="%1."/>
      <w:lvlJc w:val="left"/>
      <w:pPr>
        <w:ind w:left="425" w:hanging="425"/>
      </w:pPr>
      <w:rPr>
        <w:rFonts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
    <w:nsid w:val="3066740A"/>
    <w:multiLevelType w:val="hybridMultilevel"/>
    <w:tmpl w:val="7018DEC4"/>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cs="Times New Roman"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1"/>
  </w:num>
  <w:num w:numId="2">
    <w:abstractNumId w:val="0"/>
  </w:num>
  <w:num w:numId="3">
    <w:abstractNumId w:val="1"/>
  </w:num>
  <w:num w:numId="4">
    <w:abstractNumId w:val="0"/>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isplayBackgroundShape/>
  <w:proofState w:spelling="clean"/>
  <w:attachedTemplate r:id="rId1"/>
  <w:stylePaneFormatFilter w:val="1008"/>
  <w:stylePaneSortMethod w:val="0000"/>
  <w:defaultTabStop w:val="720"/>
  <w:drawingGridHorizontalSpacing w:val="110"/>
  <w:displayHorizontalDrawingGridEvery w:val="2"/>
  <w:characterSpacingControl w:val="doNotCompress"/>
  <w:hdrShapeDefaults>
    <o:shapedefaults v:ext="edit" spidmax="47107">
      <o:colormenu v:ext="edit" fillcolor="none [3206]"/>
    </o:shapedefaults>
    <o:shapelayout v:ext="edit">
      <o:idmap v:ext="edit" data="46"/>
    </o:shapelayout>
  </w:hdrShapeDefaults>
  <w:footnotePr>
    <w:footnote w:id="-1"/>
    <w:footnote w:id="0"/>
  </w:footnotePr>
  <w:endnotePr>
    <w:endnote w:id="-1"/>
    <w:endnote w:id="0"/>
  </w:endnotePr>
  <w:compat/>
  <w:rsids>
    <w:rsidRoot w:val="00E562BE"/>
    <w:rsid w:val="00002031"/>
    <w:rsid w:val="00004734"/>
    <w:rsid w:val="00004D34"/>
    <w:rsid w:val="00006B22"/>
    <w:rsid w:val="0001276A"/>
    <w:rsid w:val="000246AE"/>
    <w:rsid w:val="00025C67"/>
    <w:rsid w:val="00052423"/>
    <w:rsid w:val="0005559E"/>
    <w:rsid w:val="00077775"/>
    <w:rsid w:val="00090471"/>
    <w:rsid w:val="00096AA7"/>
    <w:rsid w:val="000A3AED"/>
    <w:rsid w:val="000B3532"/>
    <w:rsid w:val="000B3A75"/>
    <w:rsid w:val="000C690F"/>
    <w:rsid w:val="000D1295"/>
    <w:rsid w:val="000D391B"/>
    <w:rsid w:val="000D3D6D"/>
    <w:rsid w:val="000D4FC7"/>
    <w:rsid w:val="000F4869"/>
    <w:rsid w:val="000F5B42"/>
    <w:rsid w:val="000F6E6F"/>
    <w:rsid w:val="0010601F"/>
    <w:rsid w:val="0010788A"/>
    <w:rsid w:val="00107A31"/>
    <w:rsid w:val="00110EA5"/>
    <w:rsid w:val="00112F56"/>
    <w:rsid w:val="00125318"/>
    <w:rsid w:val="001305A2"/>
    <w:rsid w:val="00133238"/>
    <w:rsid w:val="0014197B"/>
    <w:rsid w:val="001447CD"/>
    <w:rsid w:val="001516B1"/>
    <w:rsid w:val="0015373F"/>
    <w:rsid w:val="00154EBB"/>
    <w:rsid w:val="00156316"/>
    <w:rsid w:val="00162D14"/>
    <w:rsid w:val="00165389"/>
    <w:rsid w:val="0017693F"/>
    <w:rsid w:val="0018110E"/>
    <w:rsid w:val="00181684"/>
    <w:rsid w:val="001843C6"/>
    <w:rsid w:val="001850E0"/>
    <w:rsid w:val="001A2158"/>
    <w:rsid w:val="001A525F"/>
    <w:rsid w:val="001B09F9"/>
    <w:rsid w:val="001B6448"/>
    <w:rsid w:val="001E07CF"/>
    <w:rsid w:val="001E59F1"/>
    <w:rsid w:val="001F49EB"/>
    <w:rsid w:val="001F6CBA"/>
    <w:rsid w:val="00201D4E"/>
    <w:rsid w:val="002076C9"/>
    <w:rsid w:val="00220B8A"/>
    <w:rsid w:val="002257F3"/>
    <w:rsid w:val="00233456"/>
    <w:rsid w:val="002339A5"/>
    <w:rsid w:val="00257848"/>
    <w:rsid w:val="0027084A"/>
    <w:rsid w:val="0028625B"/>
    <w:rsid w:val="00286434"/>
    <w:rsid w:val="00286C59"/>
    <w:rsid w:val="00287F50"/>
    <w:rsid w:val="00291957"/>
    <w:rsid w:val="002942D1"/>
    <w:rsid w:val="0029501A"/>
    <w:rsid w:val="002B1638"/>
    <w:rsid w:val="002E4C9A"/>
    <w:rsid w:val="002F11F8"/>
    <w:rsid w:val="002F3F56"/>
    <w:rsid w:val="002F44B5"/>
    <w:rsid w:val="00311AC0"/>
    <w:rsid w:val="0032583B"/>
    <w:rsid w:val="00327883"/>
    <w:rsid w:val="00335504"/>
    <w:rsid w:val="003521E8"/>
    <w:rsid w:val="003728F3"/>
    <w:rsid w:val="0037496E"/>
    <w:rsid w:val="00386150"/>
    <w:rsid w:val="003874CE"/>
    <w:rsid w:val="00390900"/>
    <w:rsid w:val="003A7F6C"/>
    <w:rsid w:val="003B4D60"/>
    <w:rsid w:val="003B7E39"/>
    <w:rsid w:val="003C58DC"/>
    <w:rsid w:val="003D1E62"/>
    <w:rsid w:val="003E2486"/>
    <w:rsid w:val="003E3208"/>
    <w:rsid w:val="003E56BD"/>
    <w:rsid w:val="003F0B04"/>
    <w:rsid w:val="0040134E"/>
    <w:rsid w:val="00410C12"/>
    <w:rsid w:val="00440A2D"/>
    <w:rsid w:val="004564A7"/>
    <w:rsid w:val="004617BF"/>
    <w:rsid w:val="00463658"/>
    <w:rsid w:val="00463F09"/>
    <w:rsid w:val="004722CC"/>
    <w:rsid w:val="004936E4"/>
    <w:rsid w:val="00494E60"/>
    <w:rsid w:val="00497487"/>
    <w:rsid w:val="004A06C7"/>
    <w:rsid w:val="004B7B76"/>
    <w:rsid w:val="004C239D"/>
    <w:rsid w:val="004C2DCA"/>
    <w:rsid w:val="004D53AD"/>
    <w:rsid w:val="004E14B1"/>
    <w:rsid w:val="004F0F38"/>
    <w:rsid w:val="00501921"/>
    <w:rsid w:val="00530354"/>
    <w:rsid w:val="0053625B"/>
    <w:rsid w:val="005434C6"/>
    <w:rsid w:val="00543B39"/>
    <w:rsid w:val="00550096"/>
    <w:rsid w:val="00557FF9"/>
    <w:rsid w:val="00576378"/>
    <w:rsid w:val="00577130"/>
    <w:rsid w:val="00577945"/>
    <w:rsid w:val="00577E38"/>
    <w:rsid w:val="00585322"/>
    <w:rsid w:val="005857C6"/>
    <w:rsid w:val="00592F6E"/>
    <w:rsid w:val="00593AD1"/>
    <w:rsid w:val="005A68B6"/>
    <w:rsid w:val="005C5570"/>
    <w:rsid w:val="005C79A4"/>
    <w:rsid w:val="005D5442"/>
    <w:rsid w:val="005F0A52"/>
    <w:rsid w:val="00603F32"/>
    <w:rsid w:val="00625A6E"/>
    <w:rsid w:val="00632398"/>
    <w:rsid w:val="00640FC3"/>
    <w:rsid w:val="00642020"/>
    <w:rsid w:val="0065337B"/>
    <w:rsid w:val="0065419D"/>
    <w:rsid w:val="006604D8"/>
    <w:rsid w:val="00664A5B"/>
    <w:rsid w:val="00670467"/>
    <w:rsid w:val="006763D2"/>
    <w:rsid w:val="00680C08"/>
    <w:rsid w:val="006931B1"/>
    <w:rsid w:val="006A15C0"/>
    <w:rsid w:val="006C3E2A"/>
    <w:rsid w:val="006C642F"/>
    <w:rsid w:val="006D03E5"/>
    <w:rsid w:val="006D5D3E"/>
    <w:rsid w:val="006E08B3"/>
    <w:rsid w:val="006E50E7"/>
    <w:rsid w:val="006F17AC"/>
    <w:rsid w:val="006F572E"/>
    <w:rsid w:val="006F7506"/>
    <w:rsid w:val="007046D6"/>
    <w:rsid w:val="00705DB0"/>
    <w:rsid w:val="00707E49"/>
    <w:rsid w:val="00722B57"/>
    <w:rsid w:val="00740BBA"/>
    <w:rsid w:val="0074253D"/>
    <w:rsid w:val="0074429B"/>
    <w:rsid w:val="007615BC"/>
    <w:rsid w:val="00762F05"/>
    <w:rsid w:val="007644AE"/>
    <w:rsid w:val="007652FF"/>
    <w:rsid w:val="00770EF1"/>
    <w:rsid w:val="007717BC"/>
    <w:rsid w:val="00773EF7"/>
    <w:rsid w:val="00774E1D"/>
    <w:rsid w:val="0077675A"/>
    <w:rsid w:val="00780355"/>
    <w:rsid w:val="007818D8"/>
    <w:rsid w:val="00785721"/>
    <w:rsid w:val="00793A59"/>
    <w:rsid w:val="007B6E9F"/>
    <w:rsid w:val="007C1216"/>
    <w:rsid w:val="007C1AF7"/>
    <w:rsid w:val="007E51FF"/>
    <w:rsid w:val="007F69E2"/>
    <w:rsid w:val="00805D27"/>
    <w:rsid w:val="00821776"/>
    <w:rsid w:val="008249F7"/>
    <w:rsid w:val="008321F5"/>
    <w:rsid w:val="00832369"/>
    <w:rsid w:val="00834660"/>
    <w:rsid w:val="00836BC2"/>
    <w:rsid w:val="0084642A"/>
    <w:rsid w:val="00846717"/>
    <w:rsid w:val="0085334C"/>
    <w:rsid w:val="0085641B"/>
    <w:rsid w:val="00857136"/>
    <w:rsid w:val="008807FF"/>
    <w:rsid w:val="00885B11"/>
    <w:rsid w:val="00886D15"/>
    <w:rsid w:val="00887DD8"/>
    <w:rsid w:val="00896018"/>
    <w:rsid w:val="008960DD"/>
    <w:rsid w:val="0089635C"/>
    <w:rsid w:val="008A2B9D"/>
    <w:rsid w:val="008A5E0B"/>
    <w:rsid w:val="008A6D59"/>
    <w:rsid w:val="008B4B03"/>
    <w:rsid w:val="008B596F"/>
    <w:rsid w:val="008C159F"/>
    <w:rsid w:val="008C1623"/>
    <w:rsid w:val="008C1850"/>
    <w:rsid w:val="008C51A9"/>
    <w:rsid w:val="008C7449"/>
    <w:rsid w:val="008E7846"/>
    <w:rsid w:val="008F1CCC"/>
    <w:rsid w:val="008F2967"/>
    <w:rsid w:val="008F6943"/>
    <w:rsid w:val="00902A21"/>
    <w:rsid w:val="00905607"/>
    <w:rsid w:val="00920330"/>
    <w:rsid w:val="009219D7"/>
    <w:rsid w:val="00922D53"/>
    <w:rsid w:val="00923B70"/>
    <w:rsid w:val="00924482"/>
    <w:rsid w:val="00925F35"/>
    <w:rsid w:val="00930237"/>
    <w:rsid w:val="00946EA5"/>
    <w:rsid w:val="00963C08"/>
    <w:rsid w:val="0098585A"/>
    <w:rsid w:val="009A4CED"/>
    <w:rsid w:val="009A690D"/>
    <w:rsid w:val="009B1D12"/>
    <w:rsid w:val="009B416B"/>
    <w:rsid w:val="009C4BD5"/>
    <w:rsid w:val="009D04BB"/>
    <w:rsid w:val="009D7B77"/>
    <w:rsid w:val="009E0BB0"/>
    <w:rsid w:val="009E3FBB"/>
    <w:rsid w:val="00A102E4"/>
    <w:rsid w:val="00A12C42"/>
    <w:rsid w:val="00A14DF7"/>
    <w:rsid w:val="00A30739"/>
    <w:rsid w:val="00A3246D"/>
    <w:rsid w:val="00A36FA7"/>
    <w:rsid w:val="00A475B7"/>
    <w:rsid w:val="00A47AF7"/>
    <w:rsid w:val="00A47C3E"/>
    <w:rsid w:val="00A50226"/>
    <w:rsid w:val="00A60BAD"/>
    <w:rsid w:val="00A725C6"/>
    <w:rsid w:val="00A84E36"/>
    <w:rsid w:val="00A964D1"/>
    <w:rsid w:val="00AA0ED0"/>
    <w:rsid w:val="00AC2B40"/>
    <w:rsid w:val="00AC2BB2"/>
    <w:rsid w:val="00AC2C3C"/>
    <w:rsid w:val="00AC512D"/>
    <w:rsid w:val="00AD0083"/>
    <w:rsid w:val="00AE65EB"/>
    <w:rsid w:val="00AE67A7"/>
    <w:rsid w:val="00AF1D94"/>
    <w:rsid w:val="00AF44AA"/>
    <w:rsid w:val="00AF60C5"/>
    <w:rsid w:val="00B009C6"/>
    <w:rsid w:val="00B01548"/>
    <w:rsid w:val="00B21D29"/>
    <w:rsid w:val="00B25034"/>
    <w:rsid w:val="00B33588"/>
    <w:rsid w:val="00B33863"/>
    <w:rsid w:val="00B34EF1"/>
    <w:rsid w:val="00B37398"/>
    <w:rsid w:val="00B37D17"/>
    <w:rsid w:val="00B4175E"/>
    <w:rsid w:val="00B452CE"/>
    <w:rsid w:val="00B54C25"/>
    <w:rsid w:val="00B76B91"/>
    <w:rsid w:val="00B77EB1"/>
    <w:rsid w:val="00B811C6"/>
    <w:rsid w:val="00B855B0"/>
    <w:rsid w:val="00B92E08"/>
    <w:rsid w:val="00BC622A"/>
    <w:rsid w:val="00BE0A78"/>
    <w:rsid w:val="00BE79F0"/>
    <w:rsid w:val="00BF046D"/>
    <w:rsid w:val="00BF1190"/>
    <w:rsid w:val="00BF5D04"/>
    <w:rsid w:val="00C1164D"/>
    <w:rsid w:val="00C16861"/>
    <w:rsid w:val="00C404A6"/>
    <w:rsid w:val="00C40A36"/>
    <w:rsid w:val="00C44419"/>
    <w:rsid w:val="00C45E7B"/>
    <w:rsid w:val="00C471B1"/>
    <w:rsid w:val="00C6316B"/>
    <w:rsid w:val="00C634A9"/>
    <w:rsid w:val="00C64586"/>
    <w:rsid w:val="00C70D53"/>
    <w:rsid w:val="00C73D0B"/>
    <w:rsid w:val="00C772FF"/>
    <w:rsid w:val="00C80137"/>
    <w:rsid w:val="00C801AF"/>
    <w:rsid w:val="00C80256"/>
    <w:rsid w:val="00CB6BC0"/>
    <w:rsid w:val="00CC1B7C"/>
    <w:rsid w:val="00CC727F"/>
    <w:rsid w:val="00CF15C3"/>
    <w:rsid w:val="00CF2B6F"/>
    <w:rsid w:val="00CF58B6"/>
    <w:rsid w:val="00D017ED"/>
    <w:rsid w:val="00D040D3"/>
    <w:rsid w:val="00D04C65"/>
    <w:rsid w:val="00D224FE"/>
    <w:rsid w:val="00D62872"/>
    <w:rsid w:val="00D6493E"/>
    <w:rsid w:val="00D7301E"/>
    <w:rsid w:val="00D80724"/>
    <w:rsid w:val="00D83AE1"/>
    <w:rsid w:val="00D855D4"/>
    <w:rsid w:val="00D93466"/>
    <w:rsid w:val="00DA1124"/>
    <w:rsid w:val="00DB2CA6"/>
    <w:rsid w:val="00DB75B7"/>
    <w:rsid w:val="00DC6E02"/>
    <w:rsid w:val="00DD2BA7"/>
    <w:rsid w:val="00DE02AE"/>
    <w:rsid w:val="00DE14BF"/>
    <w:rsid w:val="00DF1D7F"/>
    <w:rsid w:val="00DF23B6"/>
    <w:rsid w:val="00DF4BE4"/>
    <w:rsid w:val="00E02FB4"/>
    <w:rsid w:val="00E20571"/>
    <w:rsid w:val="00E235F7"/>
    <w:rsid w:val="00E23659"/>
    <w:rsid w:val="00E239D4"/>
    <w:rsid w:val="00E26130"/>
    <w:rsid w:val="00E33F2F"/>
    <w:rsid w:val="00E40B22"/>
    <w:rsid w:val="00E45619"/>
    <w:rsid w:val="00E4588F"/>
    <w:rsid w:val="00E46DA3"/>
    <w:rsid w:val="00E51BB1"/>
    <w:rsid w:val="00E562BE"/>
    <w:rsid w:val="00E624A5"/>
    <w:rsid w:val="00E7344E"/>
    <w:rsid w:val="00EB0798"/>
    <w:rsid w:val="00EB40AD"/>
    <w:rsid w:val="00EB586E"/>
    <w:rsid w:val="00EB5FC8"/>
    <w:rsid w:val="00ED3CAD"/>
    <w:rsid w:val="00ED5A41"/>
    <w:rsid w:val="00EE1DE8"/>
    <w:rsid w:val="00EF789F"/>
    <w:rsid w:val="00F033EC"/>
    <w:rsid w:val="00F04F68"/>
    <w:rsid w:val="00F12670"/>
    <w:rsid w:val="00F14B27"/>
    <w:rsid w:val="00F3148D"/>
    <w:rsid w:val="00F325C5"/>
    <w:rsid w:val="00F32FE0"/>
    <w:rsid w:val="00F35298"/>
    <w:rsid w:val="00F47333"/>
    <w:rsid w:val="00F47E37"/>
    <w:rsid w:val="00F53C07"/>
    <w:rsid w:val="00F54B65"/>
    <w:rsid w:val="00F640B6"/>
    <w:rsid w:val="00F70493"/>
    <w:rsid w:val="00F80E40"/>
    <w:rsid w:val="00F848D9"/>
    <w:rsid w:val="00FA5B82"/>
    <w:rsid w:val="00FA639E"/>
    <w:rsid w:val="00FC25E4"/>
    <w:rsid w:val="00FC4EF7"/>
    <w:rsid w:val="00FE1DEE"/>
    <w:rsid w:val="00FF2126"/>
    <w:rsid w:val="00FF5755"/>
    <w:rsid w:val="00FF69BE"/>
    <w:rsid w:val="00FF7B9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7">
      <o:colormenu v:ext="edit" fillcolor="none [3206]"/>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30739"/>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AD0083"/>
    <w:pPr>
      <w:keepNext/>
      <w:spacing w:after="60" w:line="180" w:lineRule="atLeast"/>
      <w:outlineLvl w:val="6"/>
    </w:pPr>
    <w:rPr>
      <w:rFonts w:eastAsia="Times New Roman"/>
      <w:bCs/>
      <w:sz w:val="18"/>
      <w:szCs w:val="24"/>
    </w:rPr>
  </w:style>
  <w:style w:type="paragraph" w:styleId="Heading8">
    <w:name w:val="heading 8"/>
    <w:basedOn w:val="Normal"/>
    <w:next w:val="Normal"/>
    <w:link w:val="Heading8Char"/>
    <w:uiPriority w:val="9"/>
    <w:semiHidden/>
    <w:unhideWhenUsed/>
    <w:qFormat/>
    <w:rsid w:val="00287F5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rsid w:val="008960DD"/>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F3148D"/>
    <w:pPr>
      <w:spacing w:line="220" w:lineRule="atLeast"/>
    </w:pPr>
    <w:rPr>
      <w:b/>
    </w:rPr>
  </w:style>
  <w:style w:type="character" w:customStyle="1" w:styleId="Heading4Char">
    <w:name w:val="Heading 4 Char"/>
    <w:basedOn w:val="DefaultParagraphFont"/>
    <w:link w:val="Heading4"/>
    <w:rsid w:val="00AD0083"/>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0"/>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qFormat/>
    <w:rsid w:val="003D1E62"/>
    <w:pPr>
      <w:spacing w:after="240"/>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qFormat/>
    <w:rsid w:val="00F3148D"/>
    <w:rPr>
      <w:sz w:val="19"/>
    </w:rPr>
  </w:style>
  <w:style w:type="table" w:customStyle="1" w:styleId="TableTGAblue">
    <w:name w:val="Table TGA blue"/>
    <w:basedOn w:val="TableNormal"/>
    <w:uiPriority w:val="99"/>
    <w:qFormat/>
    <w:rsid w:val="00EE1DE8"/>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770EF1"/>
    <w:pPr>
      <w:keepNext/>
    </w:pPr>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character" w:customStyle="1" w:styleId="Heading8Char">
    <w:name w:val="Heading 8 Char"/>
    <w:basedOn w:val="DefaultParagraphFont"/>
    <w:link w:val="Heading8"/>
    <w:uiPriority w:val="9"/>
    <w:semiHidden/>
    <w:rsid w:val="00287F50"/>
    <w:rPr>
      <w:rFonts w:asciiTheme="majorHAnsi" w:eastAsiaTheme="majorEastAsia" w:hAnsiTheme="majorHAnsi" w:cstheme="majorBidi"/>
      <w:color w:val="404040" w:themeColor="text1" w:themeTint="BF"/>
      <w:sz w:val="20"/>
      <w:szCs w:val="20"/>
    </w:rPr>
  </w:style>
  <w:style w:type="paragraph" w:styleId="ListParagraph">
    <w:name w:val="List Paragraph"/>
    <w:basedOn w:val="Normal"/>
    <w:uiPriority w:val="34"/>
    <w:qFormat/>
    <w:rsid w:val="00287F50"/>
    <w:pPr>
      <w:adjustRightInd w:val="0"/>
      <w:snapToGrid w:val="0"/>
      <w:spacing w:before="0" w:after="0"/>
      <w:ind w:left="720"/>
      <w:contextualSpacing/>
    </w:pPr>
    <w:rPr>
      <w:rFonts w:eastAsia="MS Mincho"/>
      <w:szCs w:val="20"/>
      <w:lang w:eastAsia="ja-JP"/>
    </w:rPr>
  </w:style>
  <w:style w:type="paragraph" w:customStyle="1" w:styleId="paragraph">
    <w:name w:val="paragraph"/>
    <w:aliases w:val="a"/>
    <w:rsid w:val="00287F50"/>
    <w:pPr>
      <w:tabs>
        <w:tab w:val="right" w:pos="1531"/>
      </w:tabs>
      <w:spacing w:before="40" w:after="0" w:line="240" w:lineRule="auto"/>
      <w:ind w:left="1644" w:hanging="1644"/>
    </w:pPr>
    <w:rPr>
      <w:rFonts w:ascii="Times New Roman" w:eastAsia="Times New Roman" w:hAnsi="Times New Roman" w:cs="Times New Roman"/>
      <w:szCs w:val="24"/>
      <w:lang w:eastAsia="en-AU"/>
    </w:rPr>
  </w:style>
  <w:style w:type="paragraph" w:styleId="FootnoteText">
    <w:name w:val="footnote text"/>
    <w:basedOn w:val="Normal"/>
    <w:link w:val="FootnoteTextChar"/>
    <w:semiHidden/>
    <w:unhideWhenUsed/>
    <w:rsid w:val="00287F5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0"/>
      <w:lang w:eastAsia="en-AU"/>
    </w:rPr>
  </w:style>
  <w:style w:type="character" w:customStyle="1" w:styleId="FootnoteTextChar">
    <w:name w:val="Footnote Text Char"/>
    <w:basedOn w:val="DefaultParagraphFont"/>
    <w:link w:val="FootnoteText"/>
    <w:semiHidden/>
    <w:rsid w:val="00287F50"/>
    <w:rPr>
      <w:rFonts w:ascii="Cambria" w:eastAsia="Times New Roman" w:hAnsi="Cambria" w:cs="Times New Roman"/>
      <w:kern w:val="16"/>
      <w:sz w:val="20"/>
      <w:szCs w:val="20"/>
      <w:lang w:eastAsia="en-AU"/>
    </w:rPr>
  </w:style>
  <w:style w:type="paragraph" w:customStyle="1" w:styleId="Comment1">
    <w:name w:val="Comment 1"/>
    <w:basedOn w:val="Normal"/>
    <w:next w:val="Normal"/>
    <w:qFormat/>
    <w:rsid w:val="00287F50"/>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hanging="1134"/>
    </w:pPr>
    <w:rPr>
      <w:rFonts w:ascii="Calibri" w:eastAsia="Times New Roman" w:hAnsi="Calibri" w:cs="Arial"/>
      <w:kern w:val="16"/>
      <w:szCs w:val="20"/>
      <w:lang w:eastAsia="en-AU"/>
    </w:rPr>
  </w:style>
  <w:style w:type="paragraph" w:customStyle="1" w:styleId="Bullet1">
    <w:name w:val="Bullet 1"/>
    <w:basedOn w:val="Normal"/>
    <w:rsid w:val="00287F50"/>
    <w:pPr>
      <w:numPr>
        <w:numId w:val="5"/>
      </w:numPr>
      <w:spacing w:after="0" w:line="240" w:lineRule="auto"/>
    </w:pPr>
    <w:rPr>
      <w:rFonts w:eastAsia="Times New Roman"/>
      <w:kern w:val="24"/>
      <w:szCs w:val="24"/>
      <w:lang w:eastAsia="en-AU"/>
    </w:rPr>
  </w:style>
  <w:style w:type="character" w:styleId="FootnoteReference">
    <w:name w:val="footnote reference"/>
    <w:semiHidden/>
    <w:unhideWhenUsed/>
    <w:rsid w:val="00287F50"/>
    <w:rPr>
      <w:vertAlign w:val="superscript"/>
    </w:rPr>
  </w:style>
  <w:style w:type="paragraph" w:customStyle="1" w:styleId="Bullet2">
    <w:name w:val="Bullet 2"/>
    <w:basedOn w:val="Bullet1"/>
    <w:rsid w:val="00287F50"/>
    <w:pPr>
      <w:numPr>
        <w:numId w:val="6"/>
      </w:numPr>
    </w:pPr>
  </w:style>
  <w:style w:type="paragraph" w:styleId="EndnoteText">
    <w:name w:val="endnote text"/>
    <w:basedOn w:val="Normal"/>
    <w:link w:val="EndnoteTextChar"/>
    <w:uiPriority w:val="99"/>
    <w:semiHidden/>
    <w:unhideWhenUsed/>
    <w:rsid w:val="00287F50"/>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287F50"/>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287F50"/>
    <w:rPr>
      <w:vertAlign w:val="superscript"/>
    </w:rPr>
  </w:style>
  <w:style w:type="paragraph" w:customStyle="1" w:styleId="Default">
    <w:name w:val="Default"/>
    <w:rsid w:val="00287F5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xt">
    <w:name w:val="Text"/>
    <w:basedOn w:val="Normal"/>
    <w:rsid w:val="00287F50"/>
    <w:pPr>
      <w:spacing w:after="0" w:line="320" w:lineRule="atLeast"/>
      <w:jc w:val="both"/>
    </w:pPr>
    <w:rPr>
      <w:rFonts w:ascii="Times New Roman" w:eastAsia="Times New Roman" w:hAnsi="Times New Roman"/>
      <w:sz w:val="24"/>
      <w:szCs w:val="20"/>
      <w:lang w:val="en-GB"/>
    </w:rPr>
  </w:style>
  <w:style w:type="paragraph" w:styleId="NormalWeb">
    <w:name w:val="Normal (Web)"/>
    <w:basedOn w:val="Normal"/>
    <w:uiPriority w:val="99"/>
    <w:semiHidden/>
    <w:unhideWhenUsed/>
    <w:rsid w:val="00287F50"/>
    <w:pPr>
      <w:spacing w:before="100" w:beforeAutospacing="1" w:after="100" w:afterAutospacing="1" w:line="240" w:lineRule="auto"/>
    </w:pPr>
    <w:rPr>
      <w:rFonts w:ascii="Times New Roman" w:eastAsia="Times New Roman" w:hAnsi="Times New Roman"/>
      <w:sz w:val="24"/>
      <w:szCs w:val="24"/>
      <w:lang w:eastAsia="zh-TW"/>
    </w:rPr>
  </w:style>
  <w:style w:type="character" w:customStyle="1" w:styleId="st1">
    <w:name w:val="st1"/>
    <w:basedOn w:val="DefaultParagraphFont"/>
    <w:rsid w:val="00287F50"/>
  </w:style>
  <w:style w:type="character" w:styleId="CommentReference">
    <w:name w:val="annotation reference"/>
    <w:basedOn w:val="DefaultParagraphFont"/>
    <w:uiPriority w:val="99"/>
    <w:semiHidden/>
    <w:unhideWhenUsed/>
    <w:rsid w:val="00287F50"/>
    <w:rPr>
      <w:sz w:val="16"/>
      <w:szCs w:val="16"/>
    </w:rPr>
  </w:style>
  <w:style w:type="paragraph" w:styleId="CommentText">
    <w:name w:val="annotation text"/>
    <w:basedOn w:val="Normal"/>
    <w:link w:val="CommentTextChar"/>
    <w:uiPriority w:val="99"/>
    <w:semiHidden/>
    <w:unhideWhenUsed/>
    <w:rsid w:val="00287F50"/>
    <w:pPr>
      <w:spacing w:line="240" w:lineRule="auto"/>
    </w:pPr>
    <w:rPr>
      <w:sz w:val="20"/>
      <w:szCs w:val="20"/>
    </w:rPr>
  </w:style>
  <w:style w:type="character" w:customStyle="1" w:styleId="CommentTextChar">
    <w:name w:val="Comment Text Char"/>
    <w:basedOn w:val="DefaultParagraphFont"/>
    <w:link w:val="CommentText"/>
    <w:uiPriority w:val="99"/>
    <w:semiHidden/>
    <w:rsid w:val="00287F50"/>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287F50"/>
    <w:rPr>
      <w:b/>
      <w:bCs/>
    </w:rPr>
  </w:style>
  <w:style w:type="character" w:customStyle="1" w:styleId="CommentSubjectChar">
    <w:name w:val="Comment Subject Char"/>
    <w:basedOn w:val="CommentTextChar"/>
    <w:link w:val="CommentSubject"/>
    <w:uiPriority w:val="99"/>
    <w:semiHidden/>
    <w:rsid w:val="00287F50"/>
    <w:rPr>
      <w:b/>
      <w:bCs/>
    </w:rPr>
  </w:style>
  <w:style w:type="paragraph" w:styleId="Revision">
    <w:name w:val="Revision"/>
    <w:hidden/>
    <w:uiPriority w:val="99"/>
    <w:semiHidden/>
    <w:rsid w:val="00287F50"/>
    <w:pPr>
      <w:spacing w:after="0" w:line="240" w:lineRule="auto"/>
    </w:pPr>
    <w:rPr>
      <w:rFonts w:ascii="Cambria" w:eastAsia="Cambria" w:hAnsi="Cambria" w:cs="Times New Roman"/>
    </w:rPr>
  </w:style>
  <w:style w:type="paragraph" w:styleId="DocumentMap">
    <w:name w:val="Document Map"/>
    <w:basedOn w:val="Normal"/>
    <w:link w:val="DocumentMapChar"/>
    <w:uiPriority w:val="99"/>
    <w:semiHidden/>
    <w:unhideWhenUsed/>
    <w:rsid w:val="00287F50"/>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87F50"/>
    <w:rPr>
      <w:rFonts w:ascii="Tahoma" w:eastAsia="Cambr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tga.gov.au" TargetMode="External"/><Relationship Id="rId13" Type="http://schemas.openxmlformats.org/officeDocument/2006/relationships/footer" Target="footer2.xml"/><Relationship Id="rId18" Type="http://schemas.openxmlformats.org/officeDocument/2006/relationships/image" Target="media/image5.emf"/><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8.e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emf"/><Relationship Id="rId25" Type="http://schemas.openxmlformats.org/officeDocument/2006/relationships/header" Target="header5.xml"/><Relationship Id="rId33"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tga.gov.au/hp/information-medicines-pi.htm" TargetMode="External"/><Relationship Id="rId28" Type="http://schemas.openxmlformats.org/officeDocument/2006/relationships/footer" Target="footer5.xml"/><Relationship Id="rId10" Type="http://schemas.openxmlformats.org/officeDocument/2006/relationships/header" Target="header1.xml"/><Relationship Id="rId19" Type="http://schemas.openxmlformats.org/officeDocument/2006/relationships/image" Target="media/image6.emf"/><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eader" Target="header3.xml"/><Relationship Id="rId22" Type="http://schemas.openxmlformats.org/officeDocument/2006/relationships/image" Target="media/image9.emf"/><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theme" Target="theme/theme1.xml"/></Relationships>
</file>

<file path=word/_rels/footer6.xml.rels><?xml version="1.0" encoding="UTF-8" standalone="yes"?>
<Relationships xmlns="http://schemas.openxmlformats.org/package/2006/relationships"><Relationship Id="rId2" Type="http://schemas.openxmlformats.org/officeDocument/2006/relationships/hyperlink" Target="http://www.tga.gov.au" TargetMode="External"/><Relationship Id="rId1" Type="http://schemas.openxmlformats.org/officeDocument/2006/relationships/hyperlink" Target="mailto:info@tga.gov.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nzltr.org/"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smar\AppData\Local\Hewlett-Packard\HP%20TRIM\TEMP\HPTRIM.4392\R12%20926607%20AusPAR%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17CEC-2ECA-41F3-94F6-CBC5E252B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template.DOTX</Template>
  <TotalTime>482</TotalTime>
  <Pages>46</Pages>
  <Words>16320</Words>
  <Characters>106735</Characters>
  <Application>Microsoft Office Word</Application>
  <DocSecurity>0</DocSecurity>
  <Lines>5336</Lines>
  <Paragraphs>4243</Paragraphs>
  <ScaleCrop>false</ScaleCrop>
  <HeadingPairs>
    <vt:vector size="2" baseType="variant">
      <vt:variant>
        <vt:lpstr>Title</vt:lpstr>
      </vt:variant>
      <vt:variant>
        <vt:i4>1</vt:i4>
      </vt:variant>
    </vt:vector>
  </HeadingPairs>
  <TitlesOfParts>
    <vt:vector size="1" baseType="lpstr">
      <vt:lpstr>Australian Public Assessment Report for Everolimus</vt:lpstr>
    </vt:vector>
  </TitlesOfParts>
  <Company>Department of Health and Ageing, Therapeutic Goods Administration</Company>
  <LinksUpToDate>false</LinksUpToDate>
  <CharactersWithSpaces>118812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Everolimus</dc:title>
  <dc:subject>prescription medicine regulation</dc:subject>
  <dc:creator>Therapeutic Goods Administration</dc:creator>
  <cp:keywords>auspar, prescription, medicine, assessment, regulation, australia, everolimus, certican</cp:keywords>
  <cp:lastModifiedBy>Cox, Jennifer</cp:lastModifiedBy>
  <cp:revision>19</cp:revision>
  <cp:lastPrinted>2010-12-20T22:59:00Z</cp:lastPrinted>
  <dcterms:created xsi:type="dcterms:W3CDTF">2013-05-21T06:52:00Z</dcterms:created>
  <dcterms:modified xsi:type="dcterms:W3CDTF">2013-06-07T02:43:00Z</dcterms:modified>
  <cp:category>External Guidelines</cp:category>
</cp:coreProperties>
</file>