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EB620" w14:textId="18536738" w:rsidR="003571D4" w:rsidRPr="009F1189" w:rsidRDefault="009F1189" w:rsidP="0021426A">
      <w:pPr>
        <w:pStyle w:val="Title"/>
        <w:jc w:val="left"/>
      </w:pPr>
      <w:r w:rsidRPr="009F1189">
        <w:t>AUSTRALIAN P</w:t>
      </w:r>
      <w:r w:rsidR="00E3626C">
        <w:t>RODUCT INFORMATION</w:t>
      </w:r>
      <w:r w:rsidRPr="009F1189">
        <w:t xml:space="preserve"> – </w:t>
      </w:r>
      <w:r w:rsidR="003D1456" w:rsidRPr="0085733B">
        <w:t>Rymti</w:t>
      </w:r>
    </w:p>
    <w:p w14:paraId="65FDDEF6" w14:textId="74E3B09F" w:rsidR="004032BD" w:rsidRPr="009F1189" w:rsidRDefault="009F1189" w:rsidP="0021426A">
      <w:pPr>
        <w:pStyle w:val="Subtitle"/>
        <w:jc w:val="left"/>
      </w:pPr>
      <w:r w:rsidRPr="009F1189">
        <w:t>(</w:t>
      </w:r>
      <w:r w:rsidR="0099734A">
        <w:t>etanercept</w:t>
      </w:r>
      <w:r w:rsidRPr="009F1189">
        <w:t xml:space="preserve">) </w:t>
      </w:r>
      <w:r w:rsidR="0099734A">
        <w:t>solution for injection</w:t>
      </w:r>
    </w:p>
    <w:p w14:paraId="575F6E70" w14:textId="77777777" w:rsidR="001D41C0" w:rsidRDefault="001D41C0" w:rsidP="0021426A">
      <w:pPr>
        <w:jc w:val="left"/>
      </w:pPr>
    </w:p>
    <w:p w14:paraId="7E52FF56" w14:textId="77777777" w:rsidR="001A3992" w:rsidRPr="009F1189" w:rsidRDefault="005D690B" w:rsidP="0021426A">
      <w:pPr>
        <w:pStyle w:val="Heading1"/>
        <w:jc w:val="left"/>
      </w:pPr>
      <w:r w:rsidRPr="009F1189">
        <w:t>NAME OF THE MEDICINE</w:t>
      </w:r>
    </w:p>
    <w:p w14:paraId="511A8446" w14:textId="77777777" w:rsidR="001D41C0" w:rsidRPr="00AA1A3D" w:rsidRDefault="001D41C0" w:rsidP="0021426A">
      <w:pPr>
        <w:pStyle w:val="NormalIndent1"/>
        <w:jc w:val="left"/>
      </w:pPr>
    </w:p>
    <w:p w14:paraId="71EC1405" w14:textId="5137C498" w:rsidR="001D41C0" w:rsidRPr="00AA1A3D" w:rsidRDefault="00EE2B0E" w:rsidP="0021426A">
      <w:pPr>
        <w:pStyle w:val="NormalIndent1"/>
        <w:jc w:val="left"/>
      </w:pPr>
      <w:proofErr w:type="spellStart"/>
      <w:r>
        <w:rPr>
          <w:lang w:val="en-US"/>
        </w:rPr>
        <w:t>etanercept</w:t>
      </w:r>
      <w:proofErr w:type="spellEnd"/>
      <w:r>
        <w:rPr>
          <w:lang w:val="en-US"/>
        </w:rPr>
        <w:t xml:space="preserve"> </w:t>
      </w:r>
      <w:r w:rsidR="000C0B82">
        <w:rPr>
          <w:lang w:val="en-US"/>
        </w:rPr>
        <w:softHyphen/>
      </w:r>
      <w:r w:rsidR="000C0B82">
        <w:rPr>
          <w:lang w:val="en-US"/>
        </w:rPr>
        <w:softHyphen/>
      </w:r>
    </w:p>
    <w:p w14:paraId="08C8EA0F" w14:textId="77777777" w:rsidR="001D41C0" w:rsidRPr="00AA1A3D" w:rsidRDefault="001D41C0" w:rsidP="0021426A">
      <w:pPr>
        <w:pStyle w:val="NormalIndent1"/>
        <w:jc w:val="left"/>
      </w:pPr>
    </w:p>
    <w:p w14:paraId="1EC8026A" w14:textId="39F2D26D" w:rsidR="001A3992" w:rsidRPr="009F1189" w:rsidRDefault="005D690B" w:rsidP="0021426A">
      <w:pPr>
        <w:pStyle w:val="Heading1"/>
        <w:jc w:val="left"/>
      </w:pPr>
      <w:r w:rsidRPr="009F1189">
        <w:t xml:space="preserve">QUALITATIVE AND </w:t>
      </w:r>
      <w:r w:rsidR="000C0B82">
        <w:softHyphen/>
      </w:r>
      <w:r w:rsidR="000C0B82">
        <w:softHyphen/>
      </w:r>
      <w:r w:rsidR="000C0B82">
        <w:softHyphen/>
      </w:r>
      <w:r w:rsidR="000C0B82">
        <w:softHyphen/>
      </w:r>
      <w:r w:rsidRPr="009F1189">
        <w:t>QUANTITATIVE COMPOSITION</w:t>
      </w:r>
    </w:p>
    <w:p w14:paraId="7A11627D" w14:textId="77777777" w:rsidR="001D41C0" w:rsidRPr="001A0063" w:rsidRDefault="001D41C0" w:rsidP="0021426A">
      <w:pPr>
        <w:pStyle w:val="NormalIndent1"/>
        <w:jc w:val="left"/>
      </w:pPr>
    </w:p>
    <w:p w14:paraId="07FC4847" w14:textId="5D2E42D7" w:rsidR="001A0063" w:rsidRDefault="003D1456" w:rsidP="0021426A">
      <w:pPr>
        <w:pStyle w:val="NormalIndent1"/>
        <w:jc w:val="left"/>
      </w:pPr>
      <w:r>
        <w:t xml:space="preserve">Rymti </w:t>
      </w:r>
      <w:r w:rsidR="001A0063" w:rsidRPr="001A0063">
        <w:t>is a biosimilar medicine to E</w:t>
      </w:r>
      <w:r w:rsidR="00116F09" w:rsidRPr="001A0063">
        <w:t>nbrel</w:t>
      </w:r>
      <w:r w:rsidR="001A0063" w:rsidRPr="004D42F8">
        <w:rPr>
          <w:rFonts w:cstheme="minorHAnsi"/>
        </w:rPr>
        <w:t>®</w:t>
      </w:r>
      <w:r w:rsidR="001A0063" w:rsidRPr="001A0063">
        <w:t xml:space="preserve">.  The evidence for comparability supports the use of </w:t>
      </w:r>
      <w:r>
        <w:t>Rymti</w:t>
      </w:r>
      <w:r w:rsidR="001A0063" w:rsidRPr="001A0063">
        <w:t xml:space="preserve"> for the listed indications.</w:t>
      </w:r>
    </w:p>
    <w:p w14:paraId="3AB09915" w14:textId="23ED96F1" w:rsidR="00E90973" w:rsidRDefault="00E90973" w:rsidP="0021426A">
      <w:pPr>
        <w:pStyle w:val="NormalIndent1"/>
        <w:jc w:val="left"/>
      </w:pPr>
    </w:p>
    <w:p w14:paraId="46965D7C" w14:textId="4EADD091" w:rsidR="00E90973" w:rsidRDefault="00E90973" w:rsidP="0021426A">
      <w:pPr>
        <w:ind w:left="426"/>
        <w:jc w:val="left"/>
        <w:rPr>
          <w:rFonts w:eastAsia="Times New Roman"/>
        </w:rPr>
      </w:pPr>
      <w:r>
        <w:rPr>
          <w:rFonts w:eastAsia="Times New Roman"/>
        </w:rPr>
        <w:t xml:space="preserve">Each Rymti pre-filled syringe contains either 25 mg or 50 mg of etanercept. </w:t>
      </w:r>
    </w:p>
    <w:p w14:paraId="118D38CA" w14:textId="77777777" w:rsidR="00E90973" w:rsidRDefault="00E90973" w:rsidP="0021426A">
      <w:pPr>
        <w:ind w:left="426"/>
        <w:jc w:val="left"/>
        <w:rPr>
          <w:rFonts w:eastAsia="Times New Roman"/>
        </w:rPr>
      </w:pPr>
    </w:p>
    <w:p w14:paraId="71C84F95" w14:textId="0C76CA73" w:rsidR="00E90973" w:rsidRDefault="00E90973" w:rsidP="0021426A">
      <w:pPr>
        <w:ind w:left="426"/>
        <w:jc w:val="left"/>
        <w:rPr>
          <w:rFonts w:eastAsia="Times New Roman"/>
        </w:rPr>
      </w:pPr>
      <w:r w:rsidRPr="00850324">
        <w:rPr>
          <w:rFonts w:eastAsia="Times New Roman"/>
        </w:rPr>
        <w:t>For the full list of excipients, see Section 6.1 List of excipients</w:t>
      </w:r>
      <w:r>
        <w:rPr>
          <w:rFonts w:eastAsia="Times New Roman"/>
        </w:rPr>
        <w:t>.</w:t>
      </w:r>
    </w:p>
    <w:p w14:paraId="446FA690" w14:textId="1D186DDB" w:rsidR="00850324" w:rsidRDefault="00850324" w:rsidP="0021426A">
      <w:pPr>
        <w:pStyle w:val="NormalIndent1"/>
        <w:jc w:val="left"/>
        <w:rPr>
          <w:lang w:val="en-US"/>
        </w:rPr>
      </w:pPr>
    </w:p>
    <w:p w14:paraId="1DBD2A21" w14:textId="77777777" w:rsidR="001A3992" w:rsidRPr="005D690B" w:rsidRDefault="005D690B" w:rsidP="0021426A">
      <w:pPr>
        <w:pStyle w:val="Heading1"/>
        <w:jc w:val="left"/>
        <w:rPr>
          <w:caps/>
        </w:rPr>
      </w:pPr>
      <w:r w:rsidRPr="005D690B">
        <w:t>PHARMACEUTICAL FORM</w:t>
      </w:r>
    </w:p>
    <w:p w14:paraId="7D05F912" w14:textId="77777777" w:rsidR="001D41C0" w:rsidRPr="00F70019" w:rsidRDefault="001D41C0" w:rsidP="0021426A">
      <w:pPr>
        <w:pStyle w:val="NormalIndent1"/>
        <w:jc w:val="left"/>
      </w:pPr>
    </w:p>
    <w:p w14:paraId="74DC5D63" w14:textId="4E60A93E" w:rsidR="001D41C0" w:rsidRPr="00EC07EF" w:rsidRDefault="00FD6226" w:rsidP="0021426A">
      <w:pPr>
        <w:pStyle w:val="NormalIndent1"/>
        <w:jc w:val="left"/>
      </w:pPr>
      <w:r w:rsidRPr="00483C2F">
        <w:rPr>
          <w:b/>
          <w:sz w:val="24"/>
        </w:rPr>
        <w:t>Solution for Injection</w:t>
      </w:r>
    </w:p>
    <w:p w14:paraId="44F78E88" w14:textId="77777777" w:rsidR="00FD6226" w:rsidRDefault="00FD6226" w:rsidP="0021426A">
      <w:pPr>
        <w:pStyle w:val="NormalIndent1"/>
        <w:jc w:val="left"/>
      </w:pPr>
    </w:p>
    <w:p w14:paraId="6823E313" w14:textId="6160FCEA" w:rsidR="00FD6226" w:rsidRPr="009A7B06" w:rsidRDefault="003D1456" w:rsidP="0021426A">
      <w:pPr>
        <w:pStyle w:val="NormalIndent1"/>
        <w:jc w:val="left"/>
        <w:rPr>
          <w:lang w:val="en-US"/>
        </w:rPr>
      </w:pPr>
      <w:r>
        <w:rPr>
          <w:lang w:val="en-US"/>
        </w:rPr>
        <w:t xml:space="preserve">Rymti </w:t>
      </w:r>
      <w:r w:rsidR="00FD6226" w:rsidRPr="0099734A">
        <w:rPr>
          <w:lang w:val="en-US"/>
        </w:rPr>
        <w:t>solution for injection in the pre-filled syringe is a clear to opalescent, colourless to yellow solution with a pH of 6.1-6.5.</w:t>
      </w:r>
      <w:r w:rsidR="00DF4A3B">
        <w:rPr>
          <w:lang w:val="en-US"/>
        </w:rPr>
        <w:t xml:space="preserve">  </w:t>
      </w:r>
      <w:r w:rsidR="009A7B06">
        <w:rPr>
          <w:lang w:val="en-US"/>
        </w:rPr>
        <w:t>The osmolality of the solution is 3</w:t>
      </w:r>
      <w:r w:rsidR="00DF4A3B">
        <w:rPr>
          <w:lang w:val="en-US"/>
        </w:rPr>
        <w:t>10</w:t>
      </w:r>
      <w:r w:rsidR="001379A9">
        <w:rPr>
          <w:lang w:val="en-US"/>
        </w:rPr>
        <w:t> </w:t>
      </w:r>
      <w:r w:rsidR="009A7B06" w:rsidRPr="009A7B06">
        <w:rPr>
          <w:lang w:val="en-US"/>
        </w:rPr>
        <w:t>±</w:t>
      </w:r>
      <w:r w:rsidR="001379A9">
        <w:rPr>
          <w:lang w:val="en-US"/>
        </w:rPr>
        <w:t> </w:t>
      </w:r>
      <w:r w:rsidR="009A7B06" w:rsidRPr="009A7B06">
        <w:rPr>
          <w:lang w:val="en-US"/>
        </w:rPr>
        <w:t>3</w:t>
      </w:r>
      <w:r w:rsidR="00DF4A3B">
        <w:rPr>
          <w:lang w:val="en-US"/>
        </w:rPr>
        <w:t>0</w:t>
      </w:r>
      <w:r w:rsidR="001379A9">
        <w:rPr>
          <w:lang w:val="en-US"/>
        </w:rPr>
        <w:t> </w:t>
      </w:r>
      <w:proofErr w:type="spellStart"/>
      <w:r w:rsidR="009A7B06" w:rsidRPr="009A7B06">
        <w:rPr>
          <w:lang w:val="en-US"/>
        </w:rPr>
        <w:t>mOsm</w:t>
      </w:r>
      <w:proofErr w:type="spellEnd"/>
      <w:r w:rsidR="009A7B06" w:rsidRPr="009A7B06">
        <w:rPr>
          <w:lang w:val="en-US"/>
        </w:rPr>
        <w:t>/kg</w:t>
      </w:r>
      <w:r w:rsidR="009A7B06">
        <w:rPr>
          <w:lang w:val="en-US"/>
        </w:rPr>
        <w:t>.</w:t>
      </w:r>
    </w:p>
    <w:p w14:paraId="69E6CC50" w14:textId="77777777" w:rsidR="001D41C0" w:rsidRPr="00F70019" w:rsidRDefault="001D41C0" w:rsidP="0021426A">
      <w:pPr>
        <w:pStyle w:val="NormalIndent1"/>
        <w:jc w:val="left"/>
      </w:pPr>
    </w:p>
    <w:p w14:paraId="56391A17" w14:textId="77777777" w:rsidR="001A3992" w:rsidRPr="005D690B" w:rsidRDefault="005D690B" w:rsidP="0021426A">
      <w:pPr>
        <w:pStyle w:val="Heading1"/>
        <w:jc w:val="left"/>
        <w:rPr>
          <w:caps/>
        </w:rPr>
      </w:pPr>
      <w:r w:rsidRPr="005D690B">
        <w:t>CLINICAL PARTICULARS</w:t>
      </w:r>
    </w:p>
    <w:p w14:paraId="67AAB5F3" w14:textId="77777777" w:rsidR="001D41C0" w:rsidRPr="00F70019" w:rsidRDefault="001D41C0" w:rsidP="0021426A">
      <w:pPr>
        <w:jc w:val="left"/>
        <w:rPr>
          <w:sz w:val="24"/>
          <w:szCs w:val="24"/>
        </w:rPr>
      </w:pPr>
    </w:p>
    <w:p w14:paraId="1B132410" w14:textId="77777777" w:rsidR="001A3992" w:rsidRPr="009F1189" w:rsidRDefault="004A3628" w:rsidP="0021426A">
      <w:pPr>
        <w:pStyle w:val="Heading2"/>
        <w:jc w:val="left"/>
      </w:pPr>
      <w:r w:rsidRPr="009F1189">
        <w:t>4.1</w:t>
      </w:r>
      <w:r w:rsidRPr="009F1189">
        <w:tab/>
      </w:r>
      <w:r w:rsidR="009F1189" w:rsidRPr="009F1189">
        <w:t>Therapeutic Indications</w:t>
      </w:r>
    </w:p>
    <w:p w14:paraId="485B4C29" w14:textId="77777777" w:rsidR="001D41C0" w:rsidRPr="00F70019" w:rsidRDefault="001D41C0" w:rsidP="0021426A">
      <w:pPr>
        <w:pStyle w:val="NormalIndent1"/>
        <w:jc w:val="left"/>
      </w:pPr>
    </w:p>
    <w:p w14:paraId="71858C45" w14:textId="60D38BFA" w:rsidR="0006309D" w:rsidRDefault="003D1456" w:rsidP="0021426A">
      <w:pPr>
        <w:pStyle w:val="NormalIndent1"/>
        <w:jc w:val="left"/>
        <w:rPr>
          <w:lang w:val="en-US"/>
        </w:rPr>
      </w:pPr>
      <w:r>
        <w:rPr>
          <w:lang w:val="en-US"/>
        </w:rPr>
        <w:t>Rymti</w:t>
      </w:r>
      <w:r w:rsidR="0046124E" w:rsidRPr="0046124E">
        <w:rPr>
          <w:lang w:val="en-US"/>
        </w:rPr>
        <w:t xml:space="preserve"> is indicated for the treatment of:</w:t>
      </w:r>
    </w:p>
    <w:p w14:paraId="2B6328EE" w14:textId="77777777" w:rsidR="0006309D" w:rsidRPr="0006309D" w:rsidRDefault="0006309D" w:rsidP="0021426A">
      <w:pPr>
        <w:pStyle w:val="NormalIndent1"/>
        <w:jc w:val="left"/>
      </w:pPr>
    </w:p>
    <w:p w14:paraId="162601AA" w14:textId="77777777" w:rsidR="0046124E" w:rsidRPr="0046124E" w:rsidRDefault="0046124E" w:rsidP="0021426A">
      <w:pPr>
        <w:pStyle w:val="Heading3"/>
        <w:jc w:val="left"/>
        <w:rPr>
          <w:lang w:val="en-US"/>
        </w:rPr>
      </w:pPr>
      <w:r w:rsidRPr="0046124E">
        <w:rPr>
          <w:lang w:val="en-US"/>
        </w:rPr>
        <w:t>Adults</w:t>
      </w:r>
    </w:p>
    <w:p w14:paraId="4B1A8A02" w14:textId="77777777" w:rsidR="0046124E" w:rsidRPr="0046124E" w:rsidRDefault="0046124E" w:rsidP="0021426A">
      <w:pPr>
        <w:pStyle w:val="NormalIndent1"/>
        <w:jc w:val="left"/>
        <w:rPr>
          <w:lang w:val="en-US"/>
        </w:rPr>
      </w:pPr>
    </w:p>
    <w:p w14:paraId="542D51DB" w14:textId="77777777" w:rsidR="0046124E" w:rsidRPr="000C0B82" w:rsidRDefault="0046124E" w:rsidP="0021426A">
      <w:pPr>
        <w:pStyle w:val="Heading4"/>
        <w:jc w:val="left"/>
        <w:rPr>
          <w:sz w:val="22"/>
          <w:szCs w:val="22"/>
          <w:lang w:val="en-US"/>
        </w:rPr>
      </w:pPr>
      <w:r w:rsidRPr="000C0B82">
        <w:rPr>
          <w:sz w:val="22"/>
          <w:szCs w:val="22"/>
          <w:lang w:val="en-US"/>
        </w:rPr>
        <w:t>Rheumatoid Arthritis</w:t>
      </w:r>
    </w:p>
    <w:p w14:paraId="69AA244F" w14:textId="77777777" w:rsidR="0046124E" w:rsidRPr="00EA1B35" w:rsidRDefault="0046124E" w:rsidP="0021426A">
      <w:pPr>
        <w:pStyle w:val="NormalIndent1"/>
        <w:jc w:val="left"/>
        <w:rPr>
          <w:lang w:val="en-US"/>
        </w:rPr>
      </w:pPr>
    </w:p>
    <w:p w14:paraId="3F3FDE2A" w14:textId="2EADD009" w:rsidR="0006309D" w:rsidRPr="00EA1B35" w:rsidRDefault="0046124E" w:rsidP="0021426A">
      <w:pPr>
        <w:pStyle w:val="NormalIndent1"/>
        <w:jc w:val="left"/>
        <w:rPr>
          <w:lang w:val="en-US"/>
        </w:rPr>
      </w:pPr>
      <w:r w:rsidRPr="00EA1B35">
        <w:rPr>
          <w:lang w:val="en-US"/>
        </w:rPr>
        <w:t xml:space="preserve">Active, adult rheumatoid arthritis (RA) in patients who have had inadequate response to one or more disease-modifying antirheumatic drugs (DMARDs).  </w:t>
      </w:r>
      <w:r w:rsidR="003D1456" w:rsidRPr="00EA1B35">
        <w:rPr>
          <w:lang w:val="en-US"/>
        </w:rPr>
        <w:t>Rymti</w:t>
      </w:r>
      <w:r w:rsidRPr="00EA1B35">
        <w:rPr>
          <w:lang w:val="en-US"/>
        </w:rPr>
        <w:t xml:space="preserve"> can be used in combination with methotrexate.</w:t>
      </w:r>
    </w:p>
    <w:p w14:paraId="103AC794" w14:textId="77777777" w:rsidR="0006309D" w:rsidRPr="00EA1B35" w:rsidRDefault="0006309D" w:rsidP="0021426A">
      <w:pPr>
        <w:pStyle w:val="NormalIndent1"/>
        <w:jc w:val="left"/>
        <w:rPr>
          <w:lang w:val="en-US"/>
        </w:rPr>
      </w:pPr>
    </w:p>
    <w:p w14:paraId="3A0735D5" w14:textId="77777777" w:rsidR="0046124E" w:rsidRPr="00EA1B35" w:rsidRDefault="0046124E" w:rsidP="0021426A">
      <w:pPr>
        <w:pStyle w:val="NormalIndent1"/>
        <w:jc w:val="left"/>
        <w:rPr>
          <w:lang w:val="en-US"/>
        </w:rPr>
      </w:pPr>
      <w:r w:rsidRPr="00EA1B35">
        <w:rPr>
          <w:lang w:val="en-US"/>
        </w:rPr>
        <w:t>Severe, active rheumatoid arthritis in adults to slow progression of disease-associated structural damage in patients at high risk of erosive disease.</w:t>
      </w:r>
    </w:p>
    <w:p w14:paraId="41A907A4" w14:textId="77777777" w:rsidR="0046124E" w:rsidRPr="00EA1B35" w:rsidRDefault="0046124E" w:rsidP="0021426A">
      <w:pPr>
        <w:pStyle w:val="NormalIndent1"/>
        <w:jc w:val="left"/>
        <w:rPr>
          <w:lang w:val="en-US"/>
        </w:rPr>
      </w:pPr>
    </w:p>
    <w:p w14:paraId="0C970190" w14:textId="77777777" w:rsidR="0046124E" w:rsidRPr="000C0B82" w:rsidRDefault="0046124E" w:rsidP="0021426A">
      <w:pPr>
        <w:pStyle w:val="Heading4"/>
        <w:jc w:val="left"/>
        <w:rPr>
          <w:sz w:val="22"/>
          <w:szCs w:val="22"/>
          <w:lang w:val="en-US"/>
        </w:rPr>
      </w:pPr>
      <w:r w:rsidRPr="000C0B82">
        <w:rPr>
          <w:sz w:val="22"/>
          <w:szCs w:val="22"/>
          <w:lang w:val="en-US"/>
        </w:rPr>
        <w:t>Psoriatic Arthritis</w:t>
      </w:r>
    </w:p>
    <w:p w14:paraId="1823A2C5" w14:textId="77777777" w:rsidR="0046124E" w:rsidRPr="00EA1B35" w:rsidRDefault="0046124E" w:rsidP="0021426A">
      <w:pPr>
        <w:pStyle w:val="NormalIndent1"/>
        <w:jc w:val="left"/>
        <w:rPr>
          <w:lang w:val="en-US"/>
        </w:rPr>
      </w:pPr>
    </w:p>
    <w:p w14:paraId="2A280E8C" w14:textId="5D12B76B" w:rsidR="0046124E" w:rsidRPr="00EA1B35" w:rsidRDefault="0046124E" w:rsidP="0021426A">
      <w:pPr>
        <w:pStyle w:val="NormalIndent1"/>
        <w:jc w:val="left"/>
        <w:rPr>
          <w:lang w:val="en-US"/>
        </w:rPr>
      </w:pPr>
      <w:r w:rsidRPr="00EA1B35">
        <w:rPr>
          <w:lang w:val="en-US"/>
        </w:rPr>
        <w:t xml:space="preserve">The signs and symptoms of active and progressive psoriatic arthritis in adults, when the response to previous disease-modifying antirheumatic therapy has been inadequate.  </w:t>
      </w:r>
      <w:r w:rsidR="00073160" w:rsidRPr="00EA1B35">
        <w:rPr>
          <w:lang w:val="en-US"/>
        </w:rPr>
        <w:t>Etanercept</w:t>
      </w:r>
      <w:r w:rsidRPr="00EA1B35">
        <w:rPr>
          <w:lang w:val="en-US"/>
        </w:rPr>
        <w:t xml:space="preserve"> has been shown to reduce the rate of progression of joint damage as measured by X-ray and to improve physical function.</w:t>
      </w:r>
    </w:p>
    <w:p w14:paraId="5DC2E66D" w14:textId="77777777" w:rsidR="0046124E" w:rsidRPr="0046124E" w:rsidRDefault="0046124E" w:rsidP="0021426A">
      <w:pPr>
        <w:pStyle w:val="NormalIndent1"/>
        <w:jc w:val="left"/>
        <w:rPr>
          <w:lang w:val="en-US"/>
        </w:rPr>
      </w:pPr>
    </w:p>
    <w:p w14:paraId="190ECE13" w14:textId="77777777" w:rsidR="0046124E" w:rsidRPr="000C0B82" w:rsidRDefault="0046124E" w:rsidP="0021426A">
      <w:pPr>
        <w:pStyle w:val="Heading4"/>
        <w:keepNext/>
        <w:keepLines/>
        <w:jc w:val="left"/>
        <w:rPr>
          <w:sz w:val="22"/>
          <w:szCs w:val="22"/>
          <w:lang w:val="en-US"/>
        </w:rPr>
      </w:pPr>
      <w:r w:rsidRPr="000C0B82">
        <w:rPr>
          <w:sz w:val="22"/>
          <w:szCs w:val="22"/>
          <w:lang w:val="en-US"/>
        </w:rPr>
        <w:t>Plaque Psoriasis</w:t>
      </w:r>
    </w:p>
    <w:p w14:paraId="680466A6" w14:textId="77777777" w:rsidR="0046124E" w:rsidRPr="00EA1B35" w:rsidRDefault="0046124E" w:rsidP="0021426A">
      <w:pPr>
        <w:pStyle w:val="NormalIndent1"/>
        <w:keepNext/>
        <w:keepLines/>
        <w:jc w:val="left"/>
        <w:rPr>
          <w:lang w:val="en-US"/>
        </w:rPr>
      </w:pPr>
    </w:p>
    <w:p w14:paraId="0BE2CD8B" w14:textId="77777777" w:rsidR="0046124E" w:rsidRPr="00EA1B35" w:rsidRDefault="0046124E" w:rsidP="0021426A">
      <w:pPr>
        <w:pStyle w:val="NormalIndent1"/>
        <w:keepNext/>
        <w:keepLines/>
        <w:jc w:val="left"/>
        <w:rPr>
          <w:lang w:val="en-US"/>
        </w:rPr>
      </w:pPr>
      <w:r w:rsidRPr="00EA1B35">
        <w:rPr>
          <w:lang w:val="en-US"/>
        </w:rPr>
        <w:t>Adult patients with moderate to severe chronic plaque psoriasis, who are candidates for phototherapy or systemic therapy.</w:t>
      </w:r>
    </w:p>
    <w:p w14:paraId="16F3FBCE" w14:textId="77777777" w:rsidR="0046124E" w:rsidRPr="00EA1B35" w:rsidRDefault="0046124E" w:rsidP="0021426A">
      <w:pPr>
        <w:pStyle w:val="NormalIndent1"/>
        <w:jc w:val="left"/>
        <w:rPr>
          <w:lang w:val="en-US"/>
        </w:rPr>
      </w:pPr>
    </w:p>
    <w:p w14:paraId="290FCB0E" w14:textId="77777777" w:rsidR="0046124E" w:rsidRPr="000C0B82" w:rsidRDefault="0046124E" w:rsidP="0021426A">
      <w:pPr>
        <w:pStyle w:val="Heading4"/>
        <w:jc w:val="left"/>
        <w:rPr>
          <w:sz w:val="22"/>
          <w:szCs w:val="22"/>
          <w:lang w:val="en-US"/>
        </w:rPr>
      </w:pPr>
      <w:r w:rsidRPr="000C0B82">
        <w:rPr>
          <w:sz w:val="22"/>
          <w:szCs w:val="22"/>
          <w:lang w:val="en-US"/>
        </w:rPr>
        <w:t>Ankylosing Spondylitis</w:t>
      </w:r>
    </w:p>
    <w:p w14:paraId="5DED9AEC" w14:textId="77777777" w:rsidR="0046124E" w:rsidRPr="00EA1B35" w:rsidRDefault="0046124E" w:rsidP="0021426A">
      <w:pPr>
        <w:pStyle w:val="NormalIndent1"/>
        <w:jc w:val="left"/>
        <w:rPr>
          <w:lang w:val="en-US"/>
        </w:rPr>
      </w:pPr>
    </w:p>
    <w:p w14:paraId="7F5D2A78" w14:textId="77777777" w:rsidR="0046124E" w:rsidRPr="00EA1B35" w:rsidRDefault="0046124E" w:rsidP="0021426A">
      <w:pPr>
        <w:pStyle w:val="NormalIndent1"/>
        <w:jc w:val="left"/>
        <w:rPr>
          <w:lang w:val="en-US"/>
        </w:rPr>
      </w:pPr>
      <w:r w:rsidRPr="00EA1B35">
        <w:rPr>
          <w:lang w:val="en-US"/>
        </w:rPr>
        <w:t>The signs and symptoms of active ankylosing spondylitis in adults.</w:t>
      </w:r>
    </w:p>
    <w:p w14:paraId="34333C86" w14:textId="77777777" w:rsidR="0046124E" w:rsidRPr="00EA1B35" w:rsidRDefault="0046124E" w:rsidP="0021426A">
      <w:pPr>
        <w:pStyle w:val="NormalIndent1"/>
        <w:jc w:val="left"/>
        <w:rPr>
          <w:lang w:val="en-US"/>
        </w:rPr>
      </w:pPr>
    </w:p>
    <w:p w14:paraId="2CA5AF22" w14:textId="77777777" w:rsidR="0046124E" w:rsidRPr="000C0B82" w:rsidRDefault="0046124E" w:rsidP="0021426A">
      <w:pPr>
        <w:pStyle w:val="Heading4"/>
        <w:jc w:val="left"/>
        <w:rPr>
          <w:sz w:val="22"/>
          <w:szCs w:val="22"/>
          <w:lang w:val="en-US"/>
        </w:rPr>
      </w:pPr>
      <w:r w:rsidRPr="000C0B82">
        <w:rPr>
          <w:sz w:val="22"/>
          <w:szCs w:val="22"/>
          <w:lang w:val="en-US"/>
        </w:rPr>
        <w:t>Non-</w:t>
      </w:r>
      <w:r w:rsidR="0006309D" w:rsidRPr="000C0B82">
        <w:rPr>
          <w:sz w:val="22"/>
          <w:szCs w:val="22"/>
          <w:lang w:val="en-US"/>
        </w:rPr>
        <w:t xml:space="preserve">Radiographic </w:t>
      </w:r>
      <w:r w:rsidRPr="000C0B82">
        <w:rPr>
          <w:sz w:val="22"/>
          <w:szCs w:val="22"/>
          <w:lang w:val="en-US"/>
        </w:rPr>
        <w:t>Axial Spondyloarthritis</w:t>
      </w:r>
    </w:p>
    <w:p w14:paraId="6B3C65A5" w14:textId="77777777" w:rsidR="0046124E" w:rsidRPr="00EA1B35" w:rsidRDefault="0046124E" w:rsidP="0021426A">
      <w:pPr>
        <w:pStyle w:val="NormalIndent1"/>
        <w:jc w:val="left"/>
        <w:rPr>
          <w:lang w:val="en-US"/>
        </w:rPr>
      </w:pPr>
    </w:p>
    <w:p w14:paraId="071450EC" w14:textId="77777777" w:rsidR="0046124E" w:rsidRPr="00EA1B35" w:rsidRDefault="0046124E" w:rsidP="0021426A">
      <w:pPr>
        <w:pStyle w:val="NormalIndent1"/>
        <w:jc w:val="left"/>
        <w:rPr>
          <w:lang w:val="en-US"/>
        </w:rPr>
      </w:pPr>
      <w:r w:rsidRPr="00EA1B35">
        <w:rPr>
          <w:lang w:val="en-US"/>
        </w:rPr>
        <w:t>Treatment of adults with active* non-radiographic axial spondyloarthritis with objective signs of inflammation as indicated by elevated C-reactive protein (CRP) and/or MRI change who have had an inadequate response to NSAIDs.</w:t>
      </w:r>
    </w:p>
    <w:p w14:paraId="31712974" w14:textId="77777777" w:rsidR="0046124E" w:rsidRPr="00EA1B35" w:rsidRDefault="0046124E" w:rsidP="0021426A">
      <w:pPr>
        <w:pStyle w:val="NormalIndent1"/>
        <w:jc w:val="left"/>
        <w:rPr>
          <w:lang w:val="en-US"/>
        </w:rPr>
      </w:pPr>
    </w:p>
    <w:p w14:paraId="5D501810" w14:textId="77777777" w:rsidR="0046124E" w:rsidRPr="00EA1B35" w:rsidRDefault="0046124E" w:rsidP="0021426A">
      <w:pPr>
        <w:pStyle w:val="NormalIndent1"/>
        <w:ind w:right="-143"/>
        <w:jc w:val="left"/>
        <w:rPr>
          <w:lang w:val="en-US"/>
        </w:rPr>
      </w:pPr>
      <w:r w:rsidRPr="00EA1B35">
        <w:rPr>
          <w:lang w:val="en-US"/>
        </w:rPr>
        <w:t>*</w:t>
      </w:r>
      <w:r w:rsidR="004F2409" w:rsidRPr="00EA1B35">
        <w:rPr>
          <w:lang w:val="en-US"/>
        </w:rPr>
        <w:t xml:space="preserve"> </w:t>
      </w:r>
      <w:r w:rsidRPr="00EA1B35">
        <w:rPr>
          <w:lang w:val="en-US"/>
        </w:rPr>
        <w:t>Active disease is defined as a Bath Ankylosing Spondylitis Disease Activity Index (BASDAI)</w:t>
      </w:r>
      <w:r w:rsidR="0006309D" w:rsidRPr="00EA1B35">
        <w:rPr>
          <w:lang w:val="en-US"/>
        </w:rPr>
        <w:t xml:space="preserve"> </w:t>
      </w:r>
      <w:r w:rsidRPr="00EA1B35">
        <w:t xml:space="preserve">score of </w:t>
      </w:r>
      <w:r w:rsidR="001C61BA" w:rsidRPr="00EA1B35">
        <w:t>≥</w:t>
      </w:r>
      <w:r w:rsidRPr="00EA1B35">
        <w:t xml:space="preserve"> 4</w:t>
      </w:r>
      <w:r w:rsidRPr="00EA1B35">
        <w:rPr>
          <w:lang w:val="en-US"/>
        </w:rPr>
        <w:t>.</w:t>
      </w:r>
    </w:p>
    <w:p w14:paraId="01A187F7" w14:textId="77777777" w:rsidR="000A004C" w:rsidRPr="0046124E" w:rsidRDefault="000A004C" w:rsidP="0021426A">
      <w:pPr>
        <w:pStyle w:val="NormalIndent1"/>
        <w:jc w:val="left"/>
        <w:rPr>
          <w:lang w:val="en-US"/>
        </w:rPr>
      </w:pPr>
    </w:p>
    <w:p w14:paraId="2CE9B060" w14:textId="77777777" w:rsidR="0046124E" w:rsidRDefault="0046124E" w:rsidP="0021426A">
      <w:pPr>
        <w:pStyle w:val="Heading3"/>
        <w:jc w:val="left"/>
        <w:rPr>
          <w:lang w:val="en-US"/>
        </w:rPr>
      </w:pPr>
      <w:r w:rsidRPr="0046124E">
        <w:rPr>
          <w:lang w:val="en-US"/>
        </w:rPr>
        <w:t>Children and Adolescents</w:t>
      </w:r>
    </w:p>
    <w:p w14:paraId="1C201BB6" w14:textId="77777777" w:rsidR="00D87E0B" w:rsidRDefault="00D87E0B" w:rsidP="0021426A">
      <w:pPr>
        <w:jc w:val="left"/>
        <w:rPr>
          <w:lang w:val="en-US"/>
        </w:rPr>
      </w:pPr>
    </w:p>
    <w:p w14:paraId="16D3C303" w14:textId="32136F05" w:rsidR="00D87E0B" w:rsidRPr="00EA1B35" w:rsidRDefault="00F34897" w:rsidP="0021426A">
      <w:pPr>
        <w:pStyle w:val="NormalIndent1"/>
        <w:jc w:val="left"/>
        <w:rPr>
          <w:lang w:val="en-US"/>
        </w:rPr>
      </w:pPr>
      <w:r w:rsidRPr="00EA1B35">
        <w:rPr>
          <w:lang w:val="en-US"/>
        </w:rPr>
        <w:t xml:space="preserve">Children and adolescents </w:t>
      </w:r>
      <w:r w:rsidR="00D87E0B" w:rsidRPr="00EA1B35">
        <w:rPr>
          <w:lang w:val="en-US"/>
        </w:rPr>
        <w:t xml:space="preserve">weighing less than 62.5 kg should not receive </w:t>
      </w:r>
      <w:r w:rsidR="003D1456" w:rsidRPr="00EA1B35">
        <w:rPr>
          <w:lang w:val="en-US"/>
        </w:rPr>
        <w:t>Rymt</w:t>
      </w:r>
      <w:r w:rsidR="00317011" w:rsidRPr="00EA1B35">
        <w:rPr>
          <w:lang w:val="en-US"/>
        </w:rPr>
        <w:t>i</w:t>
      </w:r>
      <w:r w:rsidR="00D87E0B" w:rsidRPr="00EA1B35">
        <w:rPr>
          <w:lang w:val="en-US"/>
        </w:rPr>
        <w:t xml:space="preserve">. </w:t>
      </w:r>
      <w:r w:rsidR="0021736A" w:rsidRPr="00EA1B35">
        <w:rPr>
          <w:lang w:val="en-US"/>
        </w:rPr>
        <w:t>These patients</w:t>
      </w:r>
      <w:r w:rsidR="00D87E0B" w:rsidRPr="00EA1B35">
        <w:rPr>
          <w:lang w:val="en-US"/>
        </w:rPr>
        <w:t xml:space="preserve"> should be accurately dosed on a mg/kg basis with other etanercept products.</w:t>
      </w:r>
    </w:p>
    <w:p w14:paraId="54ED1A86" w14:textId="77777777" w:rsidR="0046124E" w:rsidRPr="00EA1B35" w:rsidRDefault="0046124E" w:rsidP="0021426A">
      <w:pPr>
        <w:pStyle w:val="NormalIndent1"/>
        <w:jc w:val="left"/>
        <w:rPr>
          <w:lang w:val="en-US"/>
        </w:rPr>
      </w:pPr>
    </w:p>
    <w:p w14:paraId="271F735D" w14:textId="77777777" w:rsidR="0046124E" w:rsidRPr="000C0B82" w:rsidRDefault="0046124E" w:rsidP="0021426A">
      <w:pPr>
        <w:pStyle w:val="Heading4"/>
        <w:jc w:val="left"/>
        <w:rPr>
          <w:sz w:val="22"/>
          <w:szCs w:val="22"/>
          <w:lang w:val="en-US"/>
        </w:rPr>
      </w:pPr>
      <w:r w:rsidRPr="000C0B82">
        <w:rPr>
          <w:sz w:val="22"/>
          <w:szCs w:val="22"/>
          <w:lang w:val="en-US"/>
        </w:rPr>
        <w:t>Juvenile Idiopathic Arthritis</w:t>
      </w:r>
      <w:r w:rsidR="009C5890" w:rsidRPr="000C0B82">
        <w:rPr>
          <w:sz w:val="22"/>
          <w:szCs w:val="22"/>
          <w:lang w:val="en-US"/>
        </w:rPr>
        <w:t xml:space="preserve"> </w:t>
      </w:r>
      <w:r w:rsidR="006A0722" w:rsidRPr="000C0B82">
        <w:rPr>
          <w:sz w:val="22"/>
          <w:szCs w:val="22"/>
          <w:lang w:val="en-US"/>
        </w:rPr>
        <w:t xml:space="preserve"> </w:t>
      </w:r>
      <w:r w:rsidR="002F6237" w:rsidRPr="000C0B82">
        <w:rPr>
          <w:sz w:val="22"/>
          <w:szCs w:val="22"/>
          <w:lang w:val="en-US"/>
        </w:rPr>
        <w:t xml:space="preserve">  </w:t>
      </w:r>
    </w:p>
    <w:p w14:paraId="7C998F7F" w14:textId="77777777" w:rsidR="0046124E" w:rsidRPr="00EA1B35" w:rsidRDefault="0046124E" w:rsidP="0021426A">
      <w:pPr>
        <w:pStyle w:val="NormalIndent1"/>
        <w:jc w:val="left"/>
        <w:rPr>
          <w:lang w:val="en-US"/>
        </w:rPr>
      </w:pPr>
    </w:p>
    <w:p w14:paraId="2A22FDBD" w14:textId="77777777" w:rsidR="0046124E" w:rsidRPr="00EA1B35" w:rsidRDefault="0046124E" w:rsidP="0021426A">
      <w:pPr>
        <w:pStyle w:val="NormalIndent1"/>
        <w:jc w:val="left"/>
        <w:rPr>
          <w:lang w:val="en-US"/>
        </w:rPr>
      </w:pPr>
      <w:r w:rsidRPr="00EA1B35">
        <w:rPr>
          <w:lang w:val="en-US"/>
        </w:rPr>
        <w:t>Active polyarthritis (rheumatoid factor positive or negative) in children and adolescents, aged</w:t>
      </w:r>
      <w:r w:rsidR="0006309D" w:rsidRPr="00EA1B35">
        <w:rPr>
          <w:lang w:val="en-US"/>
        </w:rPr>
        <w:t xml:space="preserve"> </w:t>
      </w:r>
      <w:r w:rsidRPr="00EA1B35">
        <w:rPr>
          <w:lang w:val="en-US"/>
        </w:rPr>
        <w:t>2 to 17 years, who have had an inadequate response to one or more DMARDs.</w:t>
      </w:r>
    </w:p>
    <w:p w14:paraId="1B6D0637" w14:textId="77777777" w:rsidR="0046124E" w:rsidRPr="00EA1B35" w:rsidRDefault="0046124E" w:rsidP="0021426A">
      <w:pPr>
        <w:pStyle w:val="NormalIndent1"/>
        <w:jc w:val="left"/>
        <w:rPr>
          <w:lang w:val="en-US"/>
        </w:rPr>
      </w:pPr>
    </w:p>
    <w:p w14:paraId="40943B8E" w14:textId="77777777" w:rsidR="0046124E" w:rsidRPr="00EA1B35" w:rsidRDefault="0046124E" w:rsidP="0021426A">
      <w:pPr>
        <w:pStyle w:val="NormalIndent1"/>
        <w:jc w:val="left"/>
        <w:rPr>
          <w:lang w:val="en-US"/>
        </w:rPr>
      </w:pPr>
      <w:r w:rsidRPr="00EA1B35">
        <w:rPr>
          <w:lang w:val="en-US"/>
        </w:rPr>
        <w:t xml:space="preserve">Active extended </w:t>
      </w:r>
      <w:proofErr w:type="spellStart"/>
      <w:r w:rsidRPr="00EA1B35">
        <w:rPr>
          <w:lang w:val="en-US"/>
        </w:rPr>
        <w:t>oligoarthritis</w:t>
      </w:r>
      <w:proofErr w:type="spellEnd"/>
      <w:r w:rsidRPr="00EA1B35">
        <w:rPr>
          <w:lang w:val="en-US"/>
        </w:rPr>
        <w:t xml:space="preserve"> in children and adolescents, aged 2 to 17 years, who have had an inadequate response to, or who have proved intolerant to, methotrexate.</w:t>
      </w:r>
    </w:p>
    <w:p w14:paraId="11BD8CAF" w14:textId="77777777" w:rsidR="0046124E" w:rsidRPr="00EA1B35" w:rsidRDefault="0046124E" w:rsidP="0021426A">
      <w:pPr>
        <w:pStyle w:val="NormalIndent1"/>
        <w:jc w:val="left"/>
        <w:rPr>
          <w:lang w:val="en-US"/>
        </w:rPr>
      </w:pPr>
    </w:p>
    <w:p w14:paraId="2FCABDBD" w14:textId="77777777" w:rsidR="0046124E" w:rsidRPr="00EA1B35" w:rsidRDefault="0046124E" w:rsidP="0021426A">
      <w:pPr>
        <w:pStyle w:val="NormalIndent1"/>
        <w:jc w:val="left"/>
        <w:rPr>
          <w:lang w:val="en-US"/>
        </w:rPr>
      </w:pPr>
      <w:r w:rsidRPr="00EA1B35">
        <w:rPr>
          <w:lang w:val="en-US"/>
        </w:rPr>
        <w:t xml:space="preserve">Active </w:t>
      </w:r>
      <w:proofErr w:type="spellStart"/>
      <w:r w:rsidRPr="00EA1B35">
        <w:rPr>
          <w:lang w:val="en-US"/>
        </w:rPr>
        <w:t>enthesitis</w:t>
      </w:r>
      <w:proofErr w:type="spellEnd"/>
      <w:r w:rsidRPr="00EA1B35">
        <w:rPr>
          <w:lang w:val="en-US"/>
        </w:rPr>
        <w:t>-related arthritis in adolescents, aged 12 to 17 years, who have had an inadequate response to, or who have proved intolerant to, conventional therapy.</w:t>
      </w:r>
    </w:p>
    <w:p w14:paraId="0FDDBCED" w14:textId="77777777" w:rsidR="0046124E" w:rsidRPr="00EA1B35" w:rsidRDefault="0046124E" w:rsidP="0021426A">
      <w:pPr>
        <w:pStyle w:val="NormalIndent1"/>
        <w:jc w:val="left"/>
        <w:rPr>
          <w:lang w:val="en-US"/>
        </w:rPr>
      </w:pPr>
    </w:p>
    <w:p w14:paraId="48A58B97" w14:textId="77777777" w:rsidR="0046124E" w:rsidRPr="00EA1B35" w:rsidRDefault="0046124E" w:rsidP="0021426A">
      <w:pPr>
        <w:pStyle w:val="NormalIndent1"/>
        <w:jc w:val="left"/>
        <w:rPr>
          <w:lang w:val="en-US"/>
        </w:rPr>
      </w:pPr>
      <w:r w:rsidRPr="00EA1B35">
        <w:rPr>
          <w:lang w:val="en-US"/>
        </w:rPr>
        <w:t>Active psoriatic arthritis in adolescents, aged 12 to 17 years, who have had an inadequate response to, or who have proved intolerant to, methotrexate.</w:t>
      </w:r>
    </w:p>
    <w:p w14:paraId="11E9023D" w14:textId="77777777" w:rsidR="0046124E" w:rsidRPr="00EA1B35" w:rsidRDefault="0046124E" w:rsidP="0021426A">
      <w:pPr>
        <w:pStyle w:val="NormalIndent1"/>
        <w:jc w:val="left"/>
        <w:rPr>
          <w:lang w:val="en-US"/>
        </w:rPr>
      </w:pPr>
    </w:p>
    <w:p w14:paraId="3307A498" w14:textId="6D8C0B83" w:rsidR="0006309D" w:rsidRPr="00EA1B35" w:rsidRDefault="00D24208" w:rsidP="0021426A">
      <w:pPr>
        <w:pStyle w:val="NormalIndent1"/>
        <w:jc w:val="left"/>
        <w:rPr>
          <w:lang w:val="en-US"/>
        </w:rPr>
      </w:pPr>
      <w:proofErr w:type="spellStart"/>
      <w:r w:rsidRPr="00EA1B35">
        <w:rPr>
          <w:lang w:val="en-US"/>
        </w:rPr>
        <w:t>Etanercept</w:t>
      </w:r>
      <w:proofErr w:type="spellEnd"/>
      <w:r w:rsidR="000E5EB5" w:rsidRPr="00EA1B35">
        <w:rPr>
          <w:lang w:val="en-US"/>
        </w:rPr>
        <w:t xml:space="preserve"> </w:t>
      </w:r>
      <w:r w:rsidR="0046124E" w:rsidRPr="00EA1B35">
        <w:rPr>
          <w:lang w:val="en-US"/>
        </w:rPr>
        <w:t>has not been studied in children aged less than 2 years.</w:t>
      </w:r>
    </w:p>
    <w:p w14:paraId="47422B2B" w14:textId="77777777" w:rsidR="0006309D" w:rsidRPr="00EA1B35" w:rsidRDefault="0006309D" w:rsidP="0021426A">
      <w:pPr>
        <w:pStyle w:val="NormalIndent1"/>
        <w:jc w:val="left"/>
        <w:rPr>
          <w:b/>
          <w:lang w:val="en-US"/>
        </w:rPr>
      </w:pPr>
    </w:p>
    <w:p w14:paraId="172B9C3D" w14:textId="77777777" w:rsidR="0046124E" w:rsidRPr="000C0B82" w:rsidRDefault="0046124E" w:rsidP="0021426A">
      <w:pPr>
        <w:pStyle w:val="Heading4"/>
        <w:jc w:val="left"/>
        <w:rPr>
          <w:sz w:val="22"/>
          <w:szCs w:val="22"/>
          <w:lang w:val="en-US"/>
        </w:rPr>
      </w:pPr>
      <w:proofErr w:type="spellStart"/>
      <w:r w:rsidRPr="000C0B82">
        <w:rPr>
          <w:sz w:val="22"/>
          <w:szCs w:val="22"/>
          <w:lang w:val="en-US"/>
        </w:rPr>
        <w:t>Paediatric</w:t>
      </w:r>
      <w:proofErr w:type="spellEnd"/>
      <w:r w:rsidRPr="000C0B82">
        <w:rPr>
          <w:sz w:val="22"/>
          <w:szCs w:val="22"/>
          <w:lang w:val="en-US"/>
        </w:rPr>
        <w:t xml:space="preserve"> Plaque Psoriasis</w:t>
      </w:r>
    </w:p>
    <w:p w14:paraId="7F15983D" w14:textId="77777777" w:rsidR="0046124E" w:rsidRPr="00EA1B35" w:rsidRDefault="0046124E" w:rsidP="0021426A">
      <w:pPr>
        <w:pStyle w:val="NormalIndent1"/>
        <w:jc w:val="left"/>
        <w:rPr>
          <w:lang w:val="en-US"/>
        </w:rPr>
      </w:pPr>
    </w:p>
    <w:p w14:paraId="7A7E5252" w14:textId="0CB65114" w:rsidR="0046124E" w:rsidRPr="00EA1B35" w:rsidRDefault="0046124E" w:rsidP="0021426A">
      <w:pPr>
        <w:pStyle w:val="NormalIndent1"/>
        <w:jc w:val="left"/>
        <w:rPr>
          <w:lang w:val="en-US"/>
        </w:rPr>
      </w:pPr>
      <w:r w:rsidRPr="00EA1B35">
        <w:rPr>
          <w:lang w:val="en-US"/>
        </w:rPr>
        <w:t xml:space="preserve">Chronic, severe plaque psoriasis in children and adolescents from 4 to 17 years, who are inadequately controlled by, or are intolerant to, other systemic therapies or phototherapies. </w:t>
      </w:r>
      <w:r w:rsidR="0006309D" w:rsidRPr="00EA1B35">
        <w:rPr>
          <w:lang w:val="en-US"/>
        </w:rPr>
        <w:t xml:space="preserve"> </w:t>
      </w:r>
      <w:r w:rsidRPr="00EA1B35">
        <w:rPr>
          <w:lang w:val="en-US"/>
        </w:rPr>
        <w:t xml:space="preserve">Duration of therapy to be no longer than 24 weeks and treatment to be ceased after 12 weeks if a significant </w:t>
      </w:r>
      <w:r w:rsidR="002E49B2" w:rsidRPr="00EA1B35">
        <w:rPr>
          <w:lang w:val="en-US"/>
        </w:rPr>
        <w:t>Psoriasis Area and Severity Index (</w:t>
      </w:r>
      <w:r w:rsidRPr="00EA1B35">
        <w:rPr>
          <w:lang w:val="en-US"/>
        </w:rPr>
        <w:t>PASI</w:t>
      </w:r>
      <w:r w:rsidR="002E49B2" w:rsidRPr="00EA1B35">
        <w:rPr>
          <w:lang w:val="en-US"/>
        </w:rPr>
        <w:t>)</w:t>
      </w:r>
      <w:r w:rsidRPr="00EA1B35">
        <w:rPr>
          <w:lang w:val="en-US"/>
        </w:rPr>
        <w:t xml:space="preserve"> response is not achieved.</w:t>
      </w:r>
    </w:p>
    <w:p w14:paraId="5B28FEDC" w14:textId="77777777" w:rsidR="001D41C0" w:rsidRPr="00F70019" w:rsidRDefault="001D41C0" w:rsidP="0021426A">
      <w:pPr>
        <w:pStyle w:val="NormalIndent1"/>
        <w:jc w:val="left"/>
      </w:pPr>
    </w:p>
    <w:p w14:paraId="4EC62D7D" w14:textId="77777777" w:rsidR="001A3992" w:rsidRPr="007C4C71" w:rsidRDefault="004A3628" w:rsidP="0021426A">
      <w:pPr>
        <w:pStyle w:val="Heading2"/>
        <w:pageBreakBefore/>
        <w:jc w:val="left"/>
        <w:rPr>
          <w:smallCaps/>
        </w:rPr>
      </w:pPr>
      <w:r>
        <w:lastRenderedPageBreak/>
        <w:t>4.2</w:t>
      </w:r>
      <w:r>
        <w:tab/>
      </w:r>
      <w:r w:rsidR="001A3992" w:rsidRPr="007C4C71">
        <w:t xml:space="preserve">Dose and </w:t>
      </w:r>
      <w:r w:rsidR="001D41C0" w:rsidRPr="007C4C71">
        <w:t xml:space="preserve">Method </w:t>
      </w:r>
      <w:r w:rsidR="001A3992" w:rsidRPr="007C4C71">
        <w:t xml:space="preserve">of </w:t>
      </w:r>
      <w:r w:rsidR="001D41C0" w:rsidRPr="007C4C71">
        <w:t>Administration</w:t>
      </w:r>
    </w:p>
    <w:p w14:paraId="23CC0002" w14:textId="77777777" w:rsidR="001D41C0" w:rsidRPr="00F70019" w:rsidRDefault="001D41C0" w:rsidP="0021426A">
      <w:pPr>
        <w:pStyle w:val="NormalIndent1"/>
        <w:jc w:val="left"/>
      </w:pPr>
    </w:p>
    <w:p w14:paraId="64292045" w14:textId="77777777" w:rsidR="0006309D" w:rsidRDefault="0006309D" w:rsidP="0021426A">
      <w:pPr>
        <w:pStyle w:val="NormalIndent1"/>
        <w:jc w:val="left"/>
      </w:pPr>
      <w:r>
        <w:t>T</w:t>
      </w:r>
      <w:r>
        <w:rPr>
          <w:spacing w:val="-1"/>
        </w:rPr>
        <w:t>rea</w:t>
      </w:r>
      <w:r>
        <w:t>t</w:t>
      </w:r>
      <w:r>
        <w:rPr>
          <w:spacing w:val="1"/>
        </w:rPr>
        <w:t>m</w:t>
      </w:r>
      <w:r>
        <w:rPr>
          <w:spacing w:val="-1"/>
        </w:rPr>
        <w:t>e</w:t>
      </w:r>
      <w:r>
        <w:t>nt</w:t>
      </w:r>
      <w:r>
        <w:rPr>
          <w:spacing w:val="3"/>
        </w:rPr>
        <w:t xml:space="preserve"> </w:t>
      </w:r>
      <w:r>
        <w:t>should</w:t>
      </w:r>
      <w:r>
        <w:rPr>
          <w:spacing w:val="5"/>
        </w:rPr>
        <w:t xml:space="preserve"> </w:t>
      </w:r>
      <w:r>
        <w:t>be</w:t>
      </w:r>
      <w:r>
        <w:rPr>
          <w:spacing w:val="2"/>
        </w:rPr>
        <w:t xml:space="preserve"> </w:t>
      </w:r>
      <w:r>
        <w:t>in</w:t>
      </w:r>
      <w:r>
        <w:rPr>
          <w:spacing w:val="1"/>
        </w:rPr>
        <w:t>i</w:t>
      </w:r>
      <w:r>
        <w:rPr>
          <w:spacing w:val="3"/>
        </w:rPr>
        <w:t>t</w:t>
      </w:r>
      <w:r>
        <w:t>iat</w:t>
      </w:r>
      <w:r>
        <w:rPr>
          <w:spacing w:val="-1"/>
        </w:rPr>
        <w:t>e</w:t>
      </w:r>
      <w:r>
        <w:t>d</w:t>
      </w:r>
      <w:r>
        <w:rPr>
          <w:spacing w:val="3"/>
        </w:rPr>
        <w:t xml:space="preserve"> </w:t>
      </w:r>
      <w:r>
        <w:rPr>
          <w:spacing w:val="-1"/>
        </w:rPr>
        <w:t>a</w:t>
      </w:r>
      <w:r>
        <w:t>nd</w:t>
      </w:r>
      <w:r>
        <w:rPr>
          <w:spacing w:val="5"/>
        </w:rPr>
        <w:t xml:space="preserve"> </w:t>
      </w:r>
      <w:r>
        <w:t>sup</w:t>
      </w:r>
      <w:r>
        <w:rPr>
          <w:spacing w:val="-1"/>
        </w:rPr>
        <w:t>e</w:t>
      </w:r>
      <w:r>
        <w:t>rvis</w:t>
      </w:r>
      <w:r>
        <w:rPr>
          <w:spacing w:val="-1"/>
        </w:rPr>
        <w:t>e</w:t>
      </w:r>
      <w:r>
        <w:t>d</w:t>
      </w:r>
      <w:r>
        <w:rPr>
          <w:spacing w:val="5"/>
        </w:rPr>
        <w:t xml:space="preserve"> b</w:t>
      </w:r>
      <w:r>
        <w:t>y sp</w:t>
      </w:r>
      <w:r>
        <w:rPr>
          <w:spacing w:val="-1"/>
        </w:rPr>
        <w:t>ec</w:t>
      </w:r>
      <w:r>
        <w:t>ialist</w:t>
      </w:r>
      <w:r>
        <w:rPr>
          <w:spacing w:val="4"/>
        </w:rPr>
        <w:t xml:space="preserve"> </w:t>
      </w:r>
      <w:r>
        <w:t>p</w:t>
      </w:r>
      <w:r>
        <w:rPr>
          <w:spacing w:val="10"/>
        </w:rPr>
        <w:t>h</w:t>
      </w:r>
      <w:r>
        <w:rPr>
          <w:spacing w:val="-5"/>
        </w:rPr>
        <w:t>y</w:t>
      </w:r>
      <w:r>
        <w:t>sici</w:t>
      </w:r>
      <w:r>
        <w:rPr>
          <w:spacing w:val="-1"/>
        </w:rPr>
        <w:t>a</w:t>
      </w:r>
      <w:r>
        <w:t>ns</w:t>
      </w:r>
      <w:r>
        <w:rPr>
          <w:spacing w:val="5"/>
        </w:rPr>
        <w:t xml:space="preserve"> </w:t>
      </w:r>
      <w:r>
        <w:rPr>
          <w:spacing w:val="-1"/>
        </w:rPr>
        <w:t>e</w:t>
      </w:r>
      <w:r>
        <w:rPr>
          <w:spacing w:val="2"/>
        </w:rPr>
        <w:t>x</w:t>
      </w:r>
      <w:r>
        <w:t>p</w:t>
      </w:r>
      <w:r>
        <w:rPr>
          <w:spacing w:val="-1"/>
        </w:rPr>
        <w:t>e</w:t>
      </w:r>
      <w:r>
        <w:t>ri</w:t>
      </w:r>
      <w:r>
        <w:rPr>
          <w:spacing w:val="-1"/>
        </w:rPr>
        <w:t>e</w:t>
      </w:r>
      <w:r>
        <w:t>n</w:t>
      </w:r>
      <w:r>
        <w:rPr>
          <w:spacing w:val="1"/>
        </w:rPr>
        <w:t>c</w:t>
      </w:r>
      <w:r>
        <w:rPr>
          <w:spacing w:val="-1"/>
        </w:rPr>
        <w:t>e</w:t>
      </w:r>
      <w:r>
        <w:t>d</w:t>
      </w:r>
      <w:r>
        <w:rPr>
          <w:spacing w:val="3"/>
        </w:rPr>
        <w:t xml:space="preserve"> </w:t>
      </w:r>
      <w:r>
        <w:t>in</w:t>
      </w:r>
      <w:r>
        <w:rPr>
          <w:spacing w:val="3"/>
        </w:rPr>
        <w:t xml:space="preserve"> </w:t>
      </w:r>
      <w:r>
        <w:t>t</w:t>
      </w:r>
      <w:r>
        <w:rPr>
          <w:spacing w:val="3"/>
        </w:rPr>
        <w:t>h</w:t>
      </w:r>
      <w:r>
        <w:t>e</w:t>
      </w:r>
      <w:r>
        <w:rPr>
          <w:spacing w:val="2"/>
        </w:rPr>
        <w:t xml:space="preserve"> </w:t>
      </w:r>
      <w:r>
        <w:t>di</w:t>
      </w:r>
      <w:r>
        <w:rPr>
          <w:spacing w:val="2"/>
        </w:rPr>
        <w:t>a</w:t>
      </w:r>
      <w:r>
        <w:rPr>
          <w:spacing w:val="-2"/>
        </w:rPr>
        <w:t>g</w:t>
      </w:r>
      <w:r>
        <w:t xml:space="preserve">nosis </w:t>
      </w:r>
      <w:r>
        <w:rPr>
          <w:spacing w:val="-1"/>
        </w:rPr>
        <w:t>a</w:t>
      </w:r>
      <w:r>
        <w:t>nd</w:t>
      </w:r>
      <w:r>
        <w:rPr>
          <w:spacing w:val="1"/>
        </w:rPr>
        <w:t xml:space="preserve"> </w:t>
      </w:r>
      <w:r>
        <w:t>tr</w:t>
      </w:r>
      <w:r>
        <w:rPr>
          <w:spacing w:val="-1"/>
        </w:rPr>
        <w:t>ea</w:t>
      </w:r>
      <w:r>
        <w:t>t</w:t>
      </w:r>
      <w:r>
        <w:rPr>
          <w:spacing w:val="1"/>
        </w:rPr>
        <w:t>m</w:t>
      </w:r>
      <w:r>
        <w:rPr>
          <w:spacing w:val="-1"/>
        </w:rPr>
        <w:t>e</w:t>
      </w:r>
      <w:r>
        <w:t>nt</w:t>
      </w:r>
      <w:r>
        <w:rPr>
          <w:spacing w:val="2"/>
        </w:rPr>
        <w:t xml:space="preserve"> o</w:t>
      </w:r>
      <w:r>
        <w:t>f</w:t>
      </w:r>
      <w:r>
        <w:rPr>
          <w:spacing w:val="1"/>
        </w:rPr>
        <w:t xml:space="preserve"> </w:t>
      </w:r>
      <w:r>
        <w:t>r</w:t>
      </w:r>
      <w:r>
        <w:rPr>
          <w:spacing w:val="1"/>
        </w:rPr>
        <w:t>h</w:t>
      </w:r>
      <w:r>
        <w:rPr>
          <w:spacing w:val="-1"/>
        </w:rPr>
        <w:t>e</w:t>
      </w:r>
      <w:r>
        <w:t>umatoid</w:t>
      </w:r>
      <w:r>
        <w:rPr>
          <w:spacing w:val="2"/>
        </w:rPr>
        <w:t xml:space="preserve"> </w:t>
      </w:r>
      <w:r>
        <w:rPr>
          <w:spacing w:val="-1"/>
        </w:rPr>
        <w:t>a</w:t>
      </w:r>
      <w:r>
        <w:t>rth</w:t>
      </w:r>
      <w:r>
        <w:rPr>
          <w:spacing w:val="-1"/>
        </w:rPr>
        <w:t>r</w:t>
      </w:r>
      <w:r>
        <w:t>i</w:t>
      </w:r>
      <w:r>
        <w:rPr>
          <w:spacing w:val="1"/>
        </w:rPr>
        <w:t>t</w:t>
      </w:r>
      <w:r>
        <w:t>is,</w:t>
      </w:r>
      <w:r>
        <w:rPr>
          <w:spacing w:val="5"/>
        </w:rPr>
        <w:t xml:space="preserve"> </w:t>
      </w:r>
      <w:r>
        <w:t>juvenile</w:t>
      </w:r>
      <w:r>
        <w:rPr>
          <w:spacing w:val="1"/>
        </w:rPr>
        <w:t xml:space="preserve"> </w:t>
      </w:r>
      <w:r>
        <w:rPr>
          <w:spacing w:val="3"/>
        </w:rPr>
        <w:t>i</w:t>
      </w:r>
      <w:r>
        <w:t>diopathic</w:t>
      </w:r>
      <w:r>
        <w:rPr>
          <w:spacing w:val="1"/>
        </w:rPr>
        <w:t xml:space="preserve"> </w:t>
      </w:r>
      <w:r>
        <w:rPr>
          <w:spacing w:val="-1"/>
        </w:rPr>
        <w:t>a</w:t>
      </w:r>
      <w:r>
        <w:t>rth</w:t>
      </w:r>
      <w:r>
        <w:rPr>
          <w:spacing w:val="-1"/>
        </w:rPr>
        <w:t>r</w:t>
      </w:r>
      <w:r>
        <w:t>i</w:t>
      </w:r>
      <w:r>
        <w:rPr>
          <w:spacing w:val="1"/>
        </w:rPr>
        <w:t>t</w:t>
      </w:r>
      <w:r>
        <w:t>is,</w:t>
      </w:r>
      <w:r>
        <w:rPr>
          <w:spacing w:val="4"/>
        </w:rPr>
        <w:t xml:space="preserve"> </w:t>
      </w:r>
      <w:r>
        <w:t>psor</w:t>
      </w:r>
      <w:r>
        <w:rPr>
          <w:spacing w:val="2"/>
        </w:rPr>
        <w:t>i</w:t>
      </w:r>
      <w:r>
        <w:rPr>
          <w:spacing w:val="-1"/>
        </w:rPr>
        <w:t>a</w:t>
      </w:r>
      <w:r>
        <w:t>t</w:t>
      </w:r>
      <w:r>
        <w:rPr>
          <w:spacing w:val="1"/>
        </w:rPr>
        <w:t>i</w:t>
      </w:r>
      <w:r>
        <w:t xml:space="preserve">c </w:t>
      </w:r>
      <w:r>
        <w:rPr>
          <w:spacing w:val="-1"/>
        </w:rPr>
        <w:t>a</w:t>
      </w:r>
      <w:r>
        <w:t>rth</w:t>
      </w:r>
      <w:r>
        <w:rPr>
          <w:spacing w:val="-1"/>
        </w:rPr>
        <w:t>r</w:t>
      </w:r>
      <w:r>
        <w:t>i</w:t>
      </w:r>
      <w:r>
        <w:rPr>
          <w:spacing w:val="1"/>
        </w:rPr>
        <w:t>t</w:t>
      </w:r>
      <w:r>
        <w:t>is,</w:t>
      </w:r>
      <w:r>
        <w:rPr>
          <w:spacing w:val="2"/>
        </w:rPr>
        <w:t xml:space="preserve"> </w:t>
      </w:r>
      <w:r>
        <w:rPr>
          <w:spacing w:val="-1"/>
        </w:rPr>
        <w:t>a</w:t>
      </w:r>
      <w:r>
        <w:t>n</w:t>
      </w:r>
      <w:r>
        <w:rPr>
          <w:spacing w:val="5"/>
        </w:rPr>
        <w:t>k</w:t>
      </w:r>
      <w:r>
        <w:rPr>
          <w:spacing w:val="-5"/>
        </w:rPr>
        <w:t>y</w:t>
      </w:r>
      <w:r>
        <w:t>los</w:t>
      </w:r>
      <w:r>
        <w:rPr>
          <w:spacing w:val="1"/>
        </w:rPr>
        <w:t>i</w:t>
      </w:r>
      <w:r>
        <w:rPr>
          <w:spacing w:val="2"/>
        </w:rPr>
        <w:t>n</w:t>
      </w:r>
      <w:r>
        <w:t>g spon</w:t>
      </w:r>
      <w:r>
        <w:rPr>
          <w:spacing w:val="2"/>
        </w:rPr>
        <w:t>d</w:t>
      </w:r>
      <w:r>
        <w:rPr>
          <w:spacing w:val="-5"/>
        </w:rPr>
        <w:t>y</w:t>
      </w:r>
      <w:r>
        <w:t>l</w:t>
      </w:r>
      <w:r>
        <w:rPr>
          <w:spacing w:val="1"/>
        </w:rPr>
        <w:t>i</w:t>
      </w:r>
      <w:r>
        <w:t>t</w:t>
      </w:r>
      <w:r>
        <w:rPr>
          <w:spacing w:val="1"/>
        </w:rPr>
        <w:t>is</w:t>
      </w:r>
      <w:r>
        <w:t>,</w:t>
      </w:r>
      <w:r>
        <w:rPr>
          <w:spacing w:val="1"/>
        </w:rPr>
        <w:t xml:space="preserve"> </w:t>
      </w:r>
      <w:r>
        <w:t>non</w:t>
      </w:r>
      <w:r>
        <w:rPr>
          <w:spacing w:val="-1"/>
        </w:rPr>
        <w:t>-</w:t>
      </w:r>
      <w:r>
        <w:t>r</w:t>
      </w:r>
      <w:r>
        <w:rPr>
          <w:spacing w:val="-2"/>
        </w:rPr>
        <w:t>a</w:t>
      </w:r>
      <w:r>
        <w:t>diogr</w:t>
      </w:r>
      <w:r>
        <w:rPr>
          <w:spacing w:val="1"/>
        </w:rPr>
        <w:t>a</w:t>
      </w:r>
      <w:r>
        <w:t>phic</w:t>
      </w:r>
      <w:r>
        <w:rPr>
          <w:spacing w:val="1"/>
        </w:rPr>
        <w:t xml:space="preserve"> </w:t>
      </w:r>
      <w:r>
        <w:rPr>
          <w:spacing w:val="-1"/>
        </w:rPr>
        <w:t>a</w:t>
      </w:r>
      <w:r>
        <w:rPr>
          <w:spacing w:val="2"/>
        </w:rPr>
        <w:t>x</w:t>
      </w:r>
      <w:r>
        <w:t>ial</w:t>
      </w:r>
      <w:r>
        <w:rPr>
          <w:spacing w:val="1"/>
        </w:rPr>
        <w:t xml:space="preserve"> </w:t>
      </w:r>
      <w:r>
        <w:t>spon</w:t>
      </w:r>
      <w:r>
        <w:rPr>
          <w:spacing w:val="2"/>
        </w:rPr>
        <w:t>d</w:t>
      </w:r>
      <w:r>
        <w:rPr>
          <w:spacing w:val="-7"/>
        </w:rPr>
        <w:t>y</w:t>
      </w:r>
      <w:r>
        <w:t>loa</w:t>
      </w:r>
      <w:r>
        <w:rPr>
          <w:spacing w:val="-1"/>
        </w:rPr>
        <w:t>r</w:t>
      </w:r>
      <w:r>
        <w:t>thr</w:t>
      </w:r>
      <w:r>
        <w:rPr>
          <w:spacing w:val="2"/>
        </w:rPr>
        <w:t>i</w:t>
      </w:r>
      <w:r>
        <w:t>t</w:t>
      </w:r>
      <w:r>
        <w:rPr>
          <w:spacing w:val="1"/>
        </w:rPr>
        <w:t>i</w:t>
      </w:r>
      <w:r>
        <w:t>s,</w:t>
      </w:r>
      <w:r>
        <w:rPr>
          <w:spacing w:val="4"/>
        </w:rPr>
        <w:t xml:space="preserve"> </w:t>
      </w:r>
      <w:r>
        <w:t>plaque psori</w:t>
      </w:r>
      <w:r>
        <w:rPr>
          <w:spacing w:val="-1"/>
        </w:rPr>
        <w:t>a</w:t>
      </w:r>
      <w:r>
        <w:t>sis</w:t>
      </w:r>
      <w:r>
        <w:rPr>
          <w:spacing w:val="2"/>
        </w:rPr>
        <w:t xml:space="preserve"> </w:t>
      </w:r>
      <w:r>
        <w:t>or p</w:t>
      </w:r>
      <w:r>
        <w:rPr>
          <w:spacing w:val="-3"/>
        </w:rPr>
        <w:t>a</w:t>
      </w:r>
      <w:r>
        <w:rPr>
          <w:spacing w:val="-1"/>
        </w:rPr>
        <w:t>e</w:t>
      </w:r>
      <w:r>
        <w:t>diat</w:t>
      </w:r>
      <w:r>
        <w:rPr>
          <w:spacing w:val="-1"/>
        </w:rPr>
        <w:t>r</w:t>
      </w:r>
      <w:r>
        <w:t>ic</w:t>
      </w:r>
      <w:r>
        <w:rPr>
          <w:spacing w:val="1"/>
        </w:rPr>
        <w:t xml:space="preserve"> </w:t>
      </w:r>
      <w:r>
        <w:t>plaque psori</w:t>
      </w:r>
      <w:r>
        <w:rPr>
          <w:spacing w:val="-1"/>
        </w:rPr>
        <w:t>a</w:t>
      </w:r>
      <w:r>
        <w:t>si</w:t>
      </w:r>
      <w:r>
        <w:rPr>
          <w:spacing w:val="3"/>
        </w:rPr>
        <w:t>s</w:t>
      </w:r>
      <w:r>
        <w:t xml:space="preserve">.  </w:t>
      </w:r>
      <w:r>
        <w:rPr>
          <w:spacing w:val="1"/>
        </w:rPr>
        <w:t>P</w:t>
      </w:r>
      <w:r>
        <w:rPr>
          <w:spacing w:val="-1"/>
        </w:rPr>
        <w:t>a</w:t>
      </w:r>
      <w:r>
        <w:t>t</w:t>
      </w:r>
      <w:r>
        <w:rPr>
          <w:spacing w:val="1"/>
        </w:rPr>
        <w:t>i</w:t>
      </w:r>
      <w:r>
        <w:rPr>
          <w:spacing w:val="-1"/>
        </w:rPr>
        <w:t>e</w:t>
      </w:r>
      <w:r>
        <w:t>nts</w:t>
      </w:r>
      <w:r>
        <w:rPr>
          <w:spacing w:val="5"/>
        </w:rPr>
        <w:t xml:space="preserve"> </w:t>
      </w:r>
      <w:r>
        <w:t>m</w:t>
      </w:r>
      <w:r>
        <w:rPr>
          <w:spacing w:val="3"/>
        </w:rPr>
        <w:t>a</w:t>
      </w:r>
      <w:r>
        <w:t>y s</w:t>
      </w:r>
      <w:r>
        <w:rPr>
          <w:spacing w:val="-1"/>
        </w:rPr>
        <w:t>e</w:t>
      </w:r>
      <w:r>
        <w:t>lf</w:t>
      </w:r>
      <w:r>
        <w:rPr>
          <w:spacing w:val="-1"/>
        </w:rPr>
        <w:t>-</w:t>
      </w:r>
      <w:r>
        <w:t>in</w:t>
      </w:r>
      <w:r>
        <w:rPr>
          <w:spacing w:val="1"/>
        </w:rPr>
        <w:t>je</w:t>
      </w:r>
      <w:r>
        <w:rPr>
          <w:spacing w:val="-1"/>
        </w:rPr>
        <w:t>c</w:t>
      </w:r>
      <w:r>
        <w:t>t</w:t>
      </w:r>
      <w:r>
        <w:rPr>
          <w:spacing w:val="7"/>
        </w:rPr>
        <w:t xml:space="preserve"> </w:t>
      </w:r>
      <w:r>
        <w:t>on</w:t>
      </w:r>
      <w:r>
        <w:rPr>
          <w:spacing w:val="3"/>
        </w:rPr>
        <w:t>l</w:t>
      </w:r>
      <w:r>
        <w:t>y if</w:t>
      </w:r>
      <w:r>
        <w:rPr>
          <w:spacing w:val="4"/>
        </w:rPr>
        <w:t xml:space="preserve"> </w:t>
      </w:r>
      <w:r>
        <w:t>their</w:t>
      </w:r>
      <w:r>
        <w:rPr>
          <w:spacing w:val="4"/>
        </w:rPr>
        <w:t xml:space="preserve"> </w:t>
      </w:r>
      <w:r>
        <w:t>p</w:t>
      </w:r>
      <w:r>
        <w:rPr>
          <w:spacing w:val="5"/>
        </w:rPr>
        <w:t>h</w:t>
      </w:r>
      <w:r>
        <w:rPr>
          <w:spacing w:val="-5"/>
        </w:rPr>
        <w:t>y</w:t>
      </w:r>
      <w:r>
        <w:t>sici</w:t>
      </w:r>
      <w:r>
        <w:rPr>
          <w:spacing w:val="-1"/>
        </w:rPr>
        <w:t>a</w:t>
      </w:r>
      <w:r>
        <w:t>n</w:t>
      </w:r>
      <w:r>
        <w:rPr>
          <w:spacing w:val="5"/>
        </w:rPr>
        <w:t xml:space="preserve"> </w:t>
      </w:r>
      <w:r>
        <w:rPr>
          <w:spacing w:val="2"/>
        </w:rPr>
        <w:t>d</w:t>
      </w:r>
      <w:r>
        <w:rPr>
          <w:spacing w:val="-1"/>
        </w:rPr>
        <w:t>e</w:t>
      </w:r>
      <w:r>
        <w:t>te</w:t>
      </w:r>
      <w:r>
        <w:rPr>
          <w:spacing w:val="-1"/>
        </w:rPr>
        <w:t>r</w:t>
      </w:r>
      <w:r>
        <w:t>m</w:t>
      </w:r>
      <w:r>
        <w:rPr>
          <w:spacing w:val="1"/>
        </w:rPr>
        <w:t>i</w:t>
      </w:r>
      <w:r>
        <w:t>n</w:t>
      </w:r>
      <w:r>
        <w:rPr>
          <w:spacing w:val="-1"/>
        </w:rPr>
        <w:t>e</w:t>
      </w:r>
      <w:r>
        <w:t>s</w:t>
      </w:r>
      <w:r>
        <w:rPr>
          <w:spacing w:val="5"/>
        </w:rPr>
        <w:t xml:space="preserve"> </w:t>
      </w:r>
      <w:r>
        <w:t>that</w:t>
      </w:r>
      <w:r>
        <w:rPr>
          <w:spacing w:val="5"/>
        </w:rPr>
        <w:t xml:space="preserve"> </w:t>
      </w:r>
      <w:r>
        <w:t>it</w:t>
      </w:r>
      <w:r>
        <w:rPr>
          <w:spacing w:val="5"/>
        </w:rPr>
        <w:t xml:space="preserve"> </w:t>
      </w:r>
      <w:r>
        <w:t>is</w:t>
      </w:r>
      <w:r>
        <w:rPr>
          <w:spacing w:val="5"/>
        </w:rPr>
        <w:t xml:space="preserve"> </w:t>
      </w:r>
      <w:r>
        <w:rPr>
          <w:spacing w:val="-1"/>
        </w:rPr>
        <w:t>a</w:t>
      </w:r>
      <w:r>
        <w:t>pp</w:t>
      </w:r>
      <w:r>
        <w:rPr>
          <w:spacing w:val="1"/>
        </w:rPr>
        <w:t>r</w:t>
      </w:r>
      <w:r>
        <w:t>opri</w:t>
      </w:r>
      <w:r>
        <w:rPr>
          <w:spacing w:val="-1"/>
        </w:rPr>
        <w:t>a</w:t>
      </w:r>
      <w:r>
        <w:t>te</w:t>
      </w:r>
      <w:r>
        <w:rPr>
          <w:spacing w:val="4"/>
        </w:rPr>
        <w:t xml:space="preserve"> </w:t>
      </w:r>
      <w:r>
        <w:rPr>
          <w:spacing w:val="-1"/>
        </w:rPr>
        <w:t>a</w:t>
      </w:r>
      <w:r>
        <w:t>nd</w:t>
      </w:r>
      <w:r>
        <w:rPr>
          <w:spacing w:val="5"/>
        </w:rPr>
        <w:t xml:space="preserve"> </w:t>
      </w:r>
      <w:r>
        <w:t>with</w:t>
      </w:r>
      <w:r>
        <w:rPr>
          <w:spacing w:val="5"/>
        </w:rPr>
        <w:t xml:space="preserve"> </w:t>
      </w:r>
      <w:r>
        <w:t>medi</w:t>
      </w:r>
      <w:r>
        <w:rPr>
          <w:spacing w:val="-1"/>
        </w:rPr>
        <w:t>c</w:t>
      </w:r>
      <w:r>
        <w:rPr>
          <w:spacing w:val="1"/>
        </w:rPr>
        <w:t>a</w:t>
      </w:r>
      <w:r>
        <w:t>l follow</w:t>
      </w:r>
      <w:r>
        <w:rPr>
          <w:spacing w:val="-1"/>
        </w:rPr>
        <w:t>-</w:t>
      </w:r>
      <w:r>
        <w:t xml:space="preserve">up, </w:t>
      </w:r>
      <w:r>
        <w:rPr>
          <w:spacing w:val="-1"/>
        </w:rPr>
        <w:t>a</w:t>
      </w:r>
      <w:r>
        <w:t>s n</w:t>
      </w:r>
      <w:r>
        <w:rPr>
          <w:spacing w:val="1"/>
        </w:rPr>
        <w:t>e</w:t>
      </w:r>
      <w:r>
        <w:rPr>
          <w:spacing w:val="-1"/>
        </w:rPr>
        <w:t>ce</w:t>
      </w:r>
      <w:r>
        <w:t>ssa</w:t>
      </w:r>
      <w:r>
        <w:rPr>
          <w:spacing w:val="3"/>
        </w:rPr>
        <w:t>r</w:t>
      </w:r>
      <w:r>
        <w:rPr>
          <w:spacing w:val="-5"/>
        </w:rPr>
        <w:t>y</w:t>
      </w:r>
      <w:r>
        <w:t>,</w:t>
      </w:r>
      <w:r>
        <w:rPr>
          <w:spacing w:val="2"/>
        </w:rPr>
        <w:t xml:space="preserve"> </w:t>
      </w:r>
      <w:r>
        <w:rPr>
          <w:spacing w:val="-1"/>
        </w:rPr>
        <w:t>a</w:t>
      </w:r>
      <w:r>
        <w:t>ft</w:t>
      </w:r>
      <w:r>
        <w:rPr>
          <w:spacing w:val="-1"/>
        </w:rPr>
        <w:t>e</w:t>
      </w:r>
      <w:r>
        <w:t>r p</w:t>
      </w:r>
      <w:r>
        <w:rPr>
          <w:spacing w:val="-1"/>
        </w:rPr>
        <w:t>r</w:t>
      </w:r>
      <w:r>
        <w:t>o</w:t>
      </w:r>
      <w:r>
        <w:rPr>
          <w:spacing w:val="2"/>
        </w:rPr>
        <w:t>p</w:t>
      </w:r>
      <w:r>
        <w:rPr>
          <w:spacing w:val="-1"/>
        </w:rPr>
        <w:t>e</w:t>
      </w:r>
      <w:r>
        <w:t>r t</w:t>
      </w:r>
      <w:r>
        <w:rPr>
          <w:spacing w:val="1"/>
        </w:rPr>
        <w:t>r</w:t>
      </w:r>
      <w:r>
        <w:rPr>
          <w:spacing w:val="-1"/>
        </w:rPr>
        <w:t>a</w:t>
      </w:r>
      <w:r>
        <w:t>in</w:t>
      </w:r>
      <w:r>
        <w:rPr>
          <w:spacing w:val="1"/>
        </w:rPr>
        <w:t>i</w:t>
      </w:r>
      <w:r>
        <w:t>ng</w:t>
      </w:r>
      <w:r>
        <w:rPr>
          <w:spacing w:val="-2"/>
        </w:rPr>
        <w:t xml:space="preserve"> </w:t>
      </w:r>
      <w:r>
        <w:t xml:space="preserve">in </w:t>
      </w:r>
      <w:r>
        <w:rPr>
          <w:spacing w:val="1"/>
        </w:rPr>
        <w:t>i</w:t>
      </w:r>
      <w:r>
        <w:rPr>
          <w:spacing w:val="2"/>
        </w:rPr>
        <w:t>n</w:t>
      </w:r>
      <w:r>
        <w:t>je</w:t>
      </w:r>
      <w:r>
        <w:rPr>
          <w:spacing w:val="-1"/>
        </w:rPr>
        <w:t>c</w:t>
      </w:r>
      <w:r>
        <w:t>t</w:t>
      </w:r>
      <w:r>
        <w:rPr>
          <w:spacing w:val="1"/>
        </w:rPr>
        <w:t>i</w:t>
      </w:r>
      <w:r>
        <w:t>on te</w:t>
      </w:r>
      <w:r>
        <w:rPr>
          <w:spacing w:val="-1"/>
        </w:rPr>
        <w:t>c</w:t>
      </w:r>
      <w:r>
        <w:t>hnique.</w:t>
      </w:r>
      <w:r w:rsidR="004B0763">
        <w:t xml:space="preserve">  </w:t>
      </w:r>
    </w:p>
    <w:p w14:paraId="18C7E537" w14:textId="77777777" w:rsidR="004B0763" w:rsidRDefault="004B0763" w:rsidP="0021426A">
      <w:pPr>
        <w:pStyle w:val="NormalIndent1"/>
        <w:jc w:val="left"/>
      </w:pPr>
    </w:p>
    <w:p w14:paraId="47B122E8" w14:textId="2821DF5E" w:rsidR="004B0763" w:rsidRDefault="004B0763" w:rsidP="0021426A">
      <w:pPr>
        <w:pStyle w:val="NormalIndent1"/>
        <w:jc w:val="left"/>
      </w:pPr>
      <w:r>
        <w:t xml:space="preserve">Patients treated with </w:t>
      </w:r>
      <w:r w:rsidR="003D1456">
        <w:t>Rymti</w:t>
      </w:r>
      <w:r>
        <w:t xml:space="preserve"> should be given the Patient Alert Card</w:t>
      </w:r>
      <w:r w:rsidR="0029610E">
        <w:t>.</w:t>
      </w:r>
      <w:r w:rsidR="00F2534A">
        <w:t xml:space="preserve"> </w:t>
      </w:r>
    </w:p>
    <w:p w14:paraId="7194F366" w14:textId="77777777" w:rsidR="0006309D" w:rsidRDefault="0006309D" w:rsidP="0021426A">
      <w:pPr>
        <w:pStyle w:val="NormalIndent1"/>
        <w:jc w:val="left"/>
      </w:pPr>
    </w:p>
    <w:p w14:paraId="7A4A7714" w14:textId="77777777" w:rsidR="0006309D" w:rsidRDefault="0006309D" w:rsidP="0021426A">
      <w:pPr>
        <w:pStyle w:val="Heading3"/>
        <w:jc w:val="left"/>
      </w:pPr>
      <w:r>
        <w:t>Ad</w:t>
      </w:r>
      <w:r>
        <w:rPr>
          <w:spacing w:val="1"/>
        </w:rPr>
        <w:t>u</w:t>
      </w:r>
      <w:r>
        <w:t>lts</w:t>
      </w:r>
    </w:p>
    <w:p w14:paraId="15C7312E" w14:textId="77777777" w:rsidR="0006309D" w:rsidRPr="0006309D" w:rsidRDefault="0006309D" w:rsidP="0021426A">
      <w:pPr>
        <w:pStyle w:val="NormalIndent1"/>
        <w:jc w:val="left"/>
      </w:pPr>
    </w:p>
    <w:p w14:paraId="15B66F61" w14:textId="77777777" w:rsidR="0006309D" w:rsidRDefault="0006309D" w:rsidP="0021426A">
      <w:pPr>
        <w:pStyle w:val="Heading4"/>
        <w:jc w:val="left"/>
      </w:pPr>
      <w:r>
        <w:t>R</w:t>
      </w:r>
      <w:r>
        <w:rPr>
          <w:spacing w:val="1"/>
        </w:rPr>
        <w:t>h</w:t>
      </w:r>
      <w:r>
        <w:rPr>
          <w:spacing w:val="-1"/>
        </w:rPr>
        <w:t>eu</w:t>
      </w:r>
      <w:r>
        <w:rPr>
          <w:spacing w:val="3"/>
        </w:rPr>
        <w:t>m</w:t>
      </w:r>
      <w:r>
        <w:t>ato</w:t>
      </w:r>
      <w:r>
        <w:rPr>
          <w:spacing w:val="1"/>
        </w:rPr>
        <w:t>i</w:t>
      </w:r>
      <w:r>
        <w:t>d Art</w:t>
      </w:r>
      <w:r>
        <w:rPr>
          <w:spacing w:val="1"/>
        </w:rPr>
        <w:t>h</w:t>
      </w:r>
      <w:r>
        <w:rPr>
          <w:spacing w:val="-2"/>
        </w:rPr>
        <w:t>r</w:t>
      </w:r>
      <w:r>
        <w:t>i</w:t>
      </w:r>
      <w:r>
        <w:rPr>
          <w:spacing w:val="1"/>
        </w:rPr>
        <w:t>t</w:t>
      </w:r>
      <w:r>
        <w:t>is, Psor</w:t>
      </w:r>
      <w:r>
        <w:rPr>
          <w:spacing w:val="1"/>
        </w:rPr>
        <w:t>i</w:t>
      </w:r>
      <w:r>
        <w:t>at</w:t>
      </w:r>
      <w:r>
        <w:rPr>
          <w:spacing w:val="1"/>
        </w:rPr>
        <w:t>i</w:t>
      </w:r>
      <w:r>
        <w:t>c Ar</w:t>
      </w:r>
      <w:r>
        <w:rPr>
          <w:spacing w:val="-2"/>
        </w:rPr>
        <w:t>t</w:t>
      </w:r>
      <w:r>
        <w:rPr>
          <w:spacing w:val="1"/>
        </w:rPr>
        <w:t>h</w:t>
      </w:r>
      <w:r>
        <w:t>ri</w:t>
      </w:r>
      <w:r>
        <w:rPr>
          <w:spacing w:val="1"/>
        </w:rPr>
        <w:t>t</w:t>
      </w:r>
      <w:r>
        <w:rPr>
          <w:spacing w:val="-2"/>
        </w:rPr>
        <w:t>i</w:t>
      </w:r>
      <w:r>
        <w:rPr>
          <w:spacing w:val="4"/>
        </w:rPr>
        <w:t>s</w:t>
      </w:r>
      <w:r>
        <w:t xml:space="preserve">, </w:t>
      </w:r>
      <w:r>
        <w:rPr>
          <w:spacing w:val="1"/>
        </w:rPr>
        <w:t>N</w:t>
      </w:r>
      <w:r>
        <w:t>o</w:t>
      </w:r>
      <w:r>
        <w:rPr>
          <w:spacing w:val="1"/>
        </w:rPr>
        <w:t>n</w:t>
      </w:r>
      <w:r>
        <w:rPr>
          <w:spacing w:val="-1"/>
        </w:rPr>
        <w:t>-</w:t>
      </w:r>
      <w:r>
        <w:t>Radiograp</w:t>
      </w:r>
      <w:r>
        <w:rPr>
          <w:spacing w:val="1"/>
        </w:rPr>
        <w:t>h</w:t>
      </w:r>
      <w:r>
        <w:t>ic A</w:t>
      </w:r>
      <w:r>
        <w:rPr>
          <w:spacing w:val="-2"/>
        </w:rPr>
        <w:t>x</w:t>
      </w:r>
      <w:r>
        <w:t>i</w:t>
      </w:r>
      <w:r>
        <w:rPr>
          <w:spacing w:val="-2"/>
        </w:rPr>
        <w:t>a</w:t>
      </w:r>
      <w:r>
        <w:t>l Spo</w:t>
      </w:r>
      <w:r>
        <w:rPr>
          <w:spacing w:val="1"/>
        </w:rPr>
        <w:t>n</w:t>
      </w:r>
      <w:r>
        <w:t>d</w:t>
      </w:r>
      <w:r>
        <w:rPr>
          <w:spacing w:val="-1"/>
        </w:rPr>
        <w:t>y</w:t>
      </w:r>
      <w:r>
        <w:t>loar</w:t>
      </w:r>
      <w:r>
        <w:rPr>
          <w:spacing w:val="1"/>
        </w:rPr>
        <w:t>t</w:t>
      </w:r>
      <w:r>
        <w:rPr>
          <w:spacing w:val="-1"/>
        </w:rPr>
        <w:t>h</w:t>
      </w:r>
      <w:r>
        <w:t>ri</w:t>
      </w:r>
      <w:r>
        <w:rPr>
          <w:spacing w:val="1"/>
        </w:rPr>
        <w:t>t</w:t>
      </w:r>
      <w:r>
        <w:t>is a</w:t>
      </w:r>
      <w:r>
        <w:rPr>
          <w:spacing w:val="-1"/>
        </w:rPr>
        <w:t>n</w:t>
      </w:r>
      <w:r>
        <w:t>d A</w:t>
      </w:r>
      <w:r>
        <w:rPr>
          <w:spacing w:val="1"/>
        </w:rPr>
        <w:t>n</w:t>
      </w:r>
      <w:r>
        <w:t>k</w:t>
      </w:r>
      <w:r>
        <w:rPr>
          <w:spacing w:val="-1"/>
        </w:rPr>
        <w:t>y</w:t>
      </w:r>
      <w:r>
        <w:t>los</w:t>
      </w:r>
      <w:r>
        <w:rPr>
          <w:spacing w:val="1"/>
        </w:rPr>
        <w:t>in</w:t>
      </w:r>
      <w:r>
        <w:t>g Spo</w:t>
      </w:r>
      <w:r>
        <w:rPr>
          <w:spacing w:val="1"/>
        </w:rPr>
        <w:t>n</w:t>
      </w:r>
      <w:r>
        <w:t>d</w:t>
      </w:r>
      <w:r>
        <w:rPr>
          <w:spacing w:val="-1"/>
        </w:rPr>
        <w:t>y</w:t>
      </w:r>
      <w:r>
        <w:t>l</w:t>
      </w:r>
      <w:r>
        <w:rPr>
          <w:spacing w:val="-1"/>
        </w:rPr>
        <w:t>i</w:t>
      </w:r>
      <w:r>
        <w:t>t</w:t>
      </w:r>
      <w:r>
        <w:rPr>
          <w:spacing w:val="1"/>
        </w:rPr>
        <w:t>i</w:t>
      </w:r>
      <w:r>
        <w:t>s</w:t>
      </w:r>
    </w:p>
    <w:p w14:paraId="12DBA286" w14:textId="77777777" w:rsidR="0006309D" w:rsidRPr="007301B2" w:rsidRDefault="0006309D" w:rsidP="0021426A">
      <w:pPr>
        <w:pStyle w:val="NormalIndent1"/>
        <w:jc w:val="left"/>
      </w:pPr>
    </w:p>
    <w:p w14:paraId="0EF6B0B2" w14:textId="6404768D" w:rsidR="0006309D" w:rsidRDefault="0006309D" w:rsidP="0021426A">
      <w:pPr>
        <w:pStyle w:val="NormalIndent1"/>
        <w:jc w:val="left"/>
      </w:pPr>
      <w:r>
        <w:t>The re</w:t>
      </w:r>
      <w:r>
        <w:rPr>
          <w:spacing w:val="-1"/>
        </w:rPr>
        <w:t>c</w:t>
      </w:r>
      <w:r>
        <w:t>om</w:t>
      </w:r>
      <w:r>
        <w:rPr>
          <w:spacing w:val="1"/>
        </w:rPr>
        <w:t>m</w:t>
      </w:r>
      <w:r>
        <w:rPr>
          <w:spacing w:val="-1"/>
        </w:rPr>
        <w:t>e</w:t>
      </w:r>
      <w:r>
        <w:t>nd</w:t>
      </w:r>
      <w:r>
        <w:rPr>
          <w:spacing w:val="-1"/>
        </w:rPr>
        <w:t>e</w:t>
      </w:r>
      <w:r>
        <w:t>d</w:t>
      </w:r>
      <w:r>
        <w:rPr>
          <w:spacing w:val="2"/>
        </w:rPr>
        <w:t xml:space="preserve"> </w:t>
      </w:r>
      <w:r>
        <w:t>do</w:t>
      </w:r>
      <w:r>
        <w:rPr>
          <w:spacing w:val="2"/>
        </w:rPr>
        <w:t>s</w:t>
      </w:r>
      <w:r>
        <w:t xml:space="preserve">e of </w:t>
      </w:r>
      <w:r w:rsidR="003D1456">
        <w:t>Rymti</w:t>
      </w:r>
      <w:r>
        <w:t xml:space="preserve"> is 50 </w:t>
      </w:r>
      <w:r>
        <w:rPr>
          <w:spacing w:val="3"/>
        </w:rPr>
        <w:t>m</w:t>
      </w:r>
      <w:r>
        <w:t>g p</w:t>
      </w:r>
      <w:r>
        <w:rPr>
          <w:spacing w:val="-1"/>
        </w:rPr>
        <w:t>e</w:t>
      </w:r>
      <w:r>
        <w:t xml:space="preserve">r </w:t>
      </w:r>
      <w:r>
        <w:rPr>
          <w:spacing w:val="2"/>
        </w:rPr>
        <w:t>w</w:t>
      </w:r>
      <w:r>
        <w:rPr>
          <w:spacing w:val="-1"/>
        </w:rPr>
        <w:t>ee</w:t>
      </w:r>
      <w:r>
        <w:t xml:space="preserve">k, </w:t>
      </w:r>
      <w:r>
        <w:rPr>
          <w:spacing w:val="-2"/>
        </w:rPr>
        <w:t>g</w:t>
      </w:r>
      <w:r>
        <w:t>i</w:t>
      </w:r>
      <w:r>
        <w:rPr>
          <w:spacing w:val="3"/>
        </w:rPr>
        <w:t>v</w:t>
      </w:r>
      <w:r>
        <w:rPr>
          <w:spacing w:val="-1"/>
        </w:rPr>
        <w:t>e</w:t>
      </w:r>
      <w:r>
        <w:t xml:space="preserve">n </w:t>
      </w:r>
      <w:r>
        <w:rPr>
          <w:spacing w:val="-1"/>
        </w:rPr>
        <w:t>a</w:t>
      </w:r>
      <w:r>
        <w:t>s a sub</w:t>
      </w:r>
      <w:r>
        <w:rPr>
          <w:spacing w:val="-1"/>
        </w:rPr>
        <w:t>c</w:t>
      </w:r>
      <w:r>
        <w:t>utan</w:t>
      </w:r>
      <w:r>
        <w:rPr>
          <w:spacing w:val="-1"/>
        </w:rPr>
        <w:t>e</w:t>
      </w:r>
      <w:r>
        <w:t>ous in</w:t>
      </w:r>
      <w:r>
        <w:rPr>
          <w:spacing w:val="1"/>
        </w:rPr>
        <w:t>j</w:t>
      </w:r>
      <w:r>
        <w:rPr>
          <w:spacing w:val="-1"/>
        </w:rPr>
        <w:t>ec</w:t>
      </w:r>
      <w:r>
        <w:t>t</w:t>
      </w:r>
      <w:r>
        <w:rPr>
          <w:spacing w:val="1"/>
        </w:rPr>
        <w:t>i</w:t>
      </w:r>
      <w:r>
        <w:t xml:space="preserve">on, </w:t>
      </w:r>
      <w:r>
        <w:rPr>
          <w:spacing w:val="2"/>
          <w:u w:val="single" w:color="000000"/>
        </w:rPr>
        <w:t>E</w:t>
      </w:r>
      <w:r>
        <w:rPr>
          <w:spacing w:val="-6"/>
          <w:u w:val="single" w:color="000000"/>
        </w:rPr>
        <w:t>I</w:t>
      </w:r>
      <w:r>
        <w:rPr>
          <w:spacing w:val="2"/>
          <w:u w:val="single" w:color="000000"/>
        </w:rPr>
        <w:t>T</w:t>
      </w:r>
      <w:r>
        <w:rPr>
          <w:u w:val="single" w:color="000000"/>
        </w:rPr>
        <w:t>H</w:t>
      </w:r>
      <w:r>
        <w:rPr>
          <w:spacing w:val="-1"/>
          <w:u w:val="single" w:color="000000"/>
        </w:rPr>
        <w:t>E</w:t>
      </w:r>
      <w:r>
        <w:rPr>
          <w:u w:val="single" w:color="000000"/>
        </w:rPr>
        <w:t>R</w:t>
      </w:r>
      <w:r>
        <w:t xml:space="preserve"> on</w:t>
      </w:r>
      <w:r>
        <w:rPr>
          <w:spacing w:val="1"/>
        </w:rPr>
        <w:t>c</w:t>
      </w:r>
      <w:r>
        <w:t>e</w:t>
      </w:r>
      <w:r>
        <w:rPr>
          <w:spacing w:val="59"/>
        </w:rPr>
        <w:t xml:space="preserve"> </w:t>
      </w:r>
      <w:r>
        <w:rPr>
          <w:spacing w:val="2"/>
        </w:rPr>
        <w:t>w</w:t>
      </w:r>
      <w:r>
        <w:rPr>
          <w:spacing w:val="-1"/>
        </w:rPr>
        <w:t>ee</w:t>
      </w:r>
      <w:r>
        <w:t>k</w:t>
      </w:r>
      <w:r>
        <w:rPr>
          <w:spacing w:val="5"/>
        </w:rPr>
        <w:t>l</w:t>
      </w:r>
      <w:r>
        <w:t>y</w:t>
      </w:r>
      <w:r>
        <w:rPr>
          <w:spacing w:val="57"/>
        </w:rPr>
        <w:t xml:space="preserve"> </w:t>
      </w:r>
      <w:r>
        <w:rPr>
          <w:spacing w:val="-1"/>
        </w:rPr>
        <w:t>a</w:t>
      </w:r>
      <w:r>
        <w:t>s a</w:t>
      </w:r>
      <w:r>
        <w:rPr>
          <w:spacing w:val="59"/>
        </w:rPr>
        <w:t xml:space="preserve"> </w:t>
      </w:r>
      <w:r>
        <w:t>si</w:t>
      </w:r>
      <w:r>
        <w:rPr>
          <w:spacing w:val="3"/>
        </w:rPr>
        <w:t>n</w:t>
      </w:r>
      <w:r>
        <w:rPr>
          <w:spacing w:val="-2"/>
        </w:rPr>
        <w:t>g</w:t>
      </w:r>
      <w:r>
        <w:t xml:space="preserve">le 50 </w:t>
      </w:r>
      <w:r>
        <w:rPr>
          <w:spacing w:val="3"/>
        </w:rPr>
        <w:t>m</w:t>
      </w:r>
      <w:r>
        <w:t>g</w:t>
      </w:r>
      <w:r>
        <w:rPr>
          <w:spacing w:val="57"/>
        </w:rPr>
        <w:t xml:space="preserve"> </w:t>
      </w:r>
      <w:r>
        <w:t>in</w:t>
      </w:r>
      <w:r>
        <w:rPr>
          <w:spacing w:val="1"/>
        </w:rPr>
        <w:t>je</w:t>
      </w:r>
      <w:r>
        <w:rPr>
          <w:spacing w:val="-1"/>
        </w:rPr>
        <w:t>c</w:t>
      </w:r>
      <w:r>
        <w:t>t</w:t>
      </w:r>
      <w:r>
        <w:rPr>
          <w:spacing w:val="1"/>
        </w:rPr>
        <w:t>i</w:t>
      </w:r>
      <w:r>
        <w:t xml:space="preserve">on </w:t>
      </w:r>
      <w:r>
        <w:rPr>
          <w:u w:val="single" w:color="000000"/>
        </w:rPr>
        <w:t>OR</w:t>
      </w:r>
      <w:r>
        <w:t xml:space="preserve"> twice w</w:t>
      </w:r>
      <w:r>
        <w:rPr>
          <w:spacing w:val="1"/>
        </w:rPr>
        <w:t>e</w:t>
      </w:r>
      <w:r>
        <w:rPr>
          <w:spacing w:val="-1"/>
        </w:rPr>
        <w:t>e</w:t>
      </w:r>
      <w:r>
        <w:t>k</w:t>
      </w:r>
      <w:r>
        <w:rPr>
          <w:spacing w:val="3"/>
        </w:rPr>
        <w:t>l</w:t>
      </w:r>
      <w:r>
        <w:t>y</w:t>
      </w:r>
      <w:r>
        <w:rPr>
          <w:spacing w:val="57"/>
        </w:rPr>
        <w:t xml:space="preserve"> </w:t>
      </w:r>
      <w:r>
        <w:rPr>
          <w:spacing w:val="-1"/>
        </w:rPr>
        <w:t>a</w:t>
      </w:r>
      <w:r>
        <w:t xml:space="preserve">s two </w:t>
      </w:r>
      <w:r>
        <w:rPr>
          <w:spacing w:val="2"/>
        </w:rPr>
        <w:t>s</w:t>
      </w:r>
      <w:r>
        <w:rPr>
          <w:spacing w:val="-1"/>
        </w:rPr>
        <w:t>e</w:t>
      </w:r>
      <w:r>
        <w:t>p</w:t>
      </w:r>
      <w:r>
        <w:rPr>
          <w:spacing w:val="-1"/>
        </w:rPr>
        <w:t>a</w:t>
      </w:r>
      <w:r>
        <w:rPr>
          <w:spacing w:val="1"/>
        </w:rPr>
        <w:t>r</w:t>
      </w:r>
      <w:r>
        <w:rPr>
          <w:spacing w:val="-1"/>
        </w:rPr>
        <w:t>a</w:t>
      </w:r>
      <w:r>
        <w:t>te</w:t>
      </w:r>
      <w:r>
        <w:rPr>
          <w:spacing w:val="59"/>
        </w:rPr>
        <w:t xml:space="preserve"> </w:t>
      </w:r>
      <w:r>
        <w:t xml:space="preserve">25 </w:t>
      </w:r>
      <w:r>
        <w:rPr>
          <w:spacing w:val="3"/>
        </w:rPr>
        <w:t>m</w:t>
      </w:r>
      <w:r>
        <w:t>g in</w:t>
      </w:r>
      <w:r>
        <w:rPr>
          <w:spacing w:val="1"/>
        </w:rPr>
        <w:t>j</w:t>
      </w:r>
      <w:r>
        <w:rPr>
          <w:spacing w:val="-1"/>
        </w:rPr>
        <w:t>ec</w:t>
      </w:r>
      <w:r>
        <w:t>t</w:t>
      </w:r>
      <w:r>
        <w:rPr>
          <w:spacing w:val="1"/>
        </w:rPr>
        <w:t>i</w:t>
      </w:r>
      <w:r>
        <w:t xml:space="preserve">ons </w:t>
      </w:r>
      <w:r>
        <w:rPr>
          <w:spacing w:val="-2"/>
        </w:rPr>
        <w:t>g</w:t>
      </w:r>
      <w:r>
        <w:t>iven 3</w:t>
      </w:r>
      <w:r>
        <w:rPr>
          <w:spacing w:val="-1"/>
        </w:rPr>
        <w:t>-</w:t>
      </w:r>
      <w:r>
        <w:t xml:space="preserve">4 </w:t>
      </w:r>
      <w:r>
        <w:rPr>
          <w:spacing w:val="2"/>
        </w:rPr>
        <w:t>d</w:t>
      </w:r>
      <w:r>
        <w:rPr>
          <w:spacing w:val="4"/>
        </w:rPr>
        <w:t>a</w:t>
      </w:r>
      <w:r>
        <w:rPr>
          <w:spacing w:val="-5"/>
        </w:rPr>
        <w:t>y</w:t>
      </w:r>
      <w:r>
        <w:t>s</w:t>
      </w:r>
      <w:r>
        <w:rPr>
          <w:spacing w:val="2"/>
        </w:rPr>
        <w:t xml:space="preserve"> </w:t>
      </w:r>
      <w:r>
        <w:rPr>
          <w:spacing w:val="-1"/>
        </w:rPr>
        <w:t>a</w:t>
      </w:r>
      <w:r>
        <w:t>p</w:t>
      </w:r>
      <w:r>
        <w:rPr>
          <w:spacing w:val="-1"/>
        </w:rPr>
        <w:t>a</w:t>
      </w:r>
      <w:r>
        <w:t>r</w:t>
      </w:r>
      <w:r>
        <w:rPr>
          <w:spacing w:val="1"/>
        </w:rPr>
        <w:t>t</w:t>
      </w:r>
      <w:r>
        <w:rPr>
          <w:color w:val="339966"/>
        </w:rPr>
        <w:t>.</w:t>
      </w:r>
    </w:p>
    <w:p w14:paraId="28E5511E" w14:textId="77777777" w:rsidR="0006309D" w:rsidRDefault="0006309D" w:rsidP="0021426A">
      <w:pPr>
        <w:pStyle w:val="NormalIndent1"/>
        <w:jc w:val="left"/>
      </w:pPr>
    </w:p>
    <w:p w14:paraId="0065A513" w14:textId="77777777" w:rsidR="0006309D" w:rsidRDefault="0006309D" w:rsidP="0021426A">
      <w:pPr>
        <w:pStyle w:val="NormalIndent1"/>
        <w:jc w:val="left"/>
      </w:pPr>
      <w:r>
        <w:t>Av</w:t>
      </w:r>
      <w:r>
        <w:rPr>
          <w:spacing w:val="-1"/>
        </w:rPr>
        <w:t>a</w:t>
      </w:r>
      <w:r>
        <w:t>i</w:t>
      </w:r>
      <w:r>
        <w:rPr>
          <w:spacing w:val="1"/>
        </w:rPr>
        <w:t>l</w:t>
      </w:r>
      <w:r>
        <w:rPr>
          <w:spacing w:val="-1"/>
        </w:rPr>
        <w:t>a</w:t>
      </w:r>
      <w:r>
        <w:t xml:space="preserve">ble </w:t>
      </w:r>
      <w:r>
        <w:rPr>
          <w:spacing w:val="2"/>
        </w:rPr>
        <w:t>d</w:t>
      </w:r>
      <w:r>
        <w:rPr>
          <w:spacing w:val="-1"/>
        </w:rPr>
        <w:t>a</w:t>
      </w:r>
      <w:r>
        <w:t>ta in</w:t>
      </w:r>
      <w:r>
        <w:rPr>
          <w:spacing w:val="4"/>
        </w:rPr>
        <w:t xml:space="preserve"> </w:t>
      </w:r>
      <w:r>
        <w:t>no</w:t>
      </w:r>
      <w:r>
        <w:rPr>
          <w:spacing w:val="2"/>
        </w:rPr>
        <w:t>n</w:t>
      </w:r>
      <w:r>
        <w:rPr>
          <w:spacing w:val="-1"/>
        </w:rPr>
        <w:t>-</w:t>
      </w:r>
      <w:r>
        <w:rPr>
          <w:spacing w:val="1"/>
        </w:rPr>
        <w:t>r</w:t>
      </w:r>
      <w:r>
        <w:rPr>
          <w:spacing w:val="-1"/>
        </w:rPr>
        <w:t>a</w:t>
      </w:r>
      <w:r>
        <w:t>dio</w:t>
      </w:r>
      <w:r>
        <w:rPr>
          <w:spacing w:val="-2"/>
        </w:rPr>
        <w:t>g</w:t>
      </w:r>
      <w:r>
        <w:rPr>
          <w:spacing w:val="1"/>
        </w:rPr>
        <w:t>r</w:t>
      </w:r>
      <w:r>
        <w:rPr>
          <w:spacing w:val="-1"/>
        </w:rPr>
        <w:t>a</w:t>
      </w:r>
      <w:r>
        <w:t>phic</w:t>
      </w:r>
      <w:r>
        <w:rPr>
          <w:spacing w:val="3"/>
        </w:rPr>
        <w:t xml:space="preserve"> </w:t>
      </w:r>
      <w:r>
        <w:rPr>
          <w:spacing w:val="-1"/>
        </w:rPr>
        <w:t>a</w:t>
      </w:r>
      <w:r>
        <w:rPr>
          <w:spacing w:val="2"/>
        </w:rPr>
        <w:t>x</w:t>
      </w:r>
      <w:r>
        <w:t>ial</w:t>
      </w:r>
      <w:r>
        <w:rPr>
          <w:spacing w:val="1"/>
        </w:rPr>
        <w:t xml:space="preserve"> </w:t>
      </w:r>
      <w:r>
        <w:t>spond</w:t>
      </w:r>
      <w:r>
        <w:rPr>
          <w:spacing w:val="-5"/>
        </w:rPr>
        <w:t>y</w:t>
      </w:r>
      <w:r>
        <w:rPr>
          <w:spacing w:val="3"/>
        </w:rPr>
        <w:t>l</w:t>
      </w:r>
      <w:r>
        <w:t>o</w:t>
      </w:r>
      <w:r>
        <w:rPr>
          <w:spacing w:val="-1"/>
        </w:rPr>
        <w:t>a</w:t>
      </w:r>
      <w:r>
        <w:t>rt</w:t>
      </w:r>
      <w:r>
        <w:rPr>
          <w:spacing w:val="2"/>
        </w:rPr>
        <w:t>h</w:t>
      </w:r>
      <w:r>
        <w:t>ritis</w:t>
      </w:r>
      <w:r>
        <w:rPr>
          <w:spacing w:val="2"/>
        </w:rPr>
        <w:t xml:space="preserve"> </w:t>
      </w:r>
      <w:r>
        <w:t>sugg</w:t>
      </w:r>
      <w:r>
        <w:rPr>
          <w:spacing w:val="-1"/>
        </w:rPr>
        <w:t>e</w:t>
      </w:r>
      <w:r>
        <w:t>st</w:t>
      </w:r>
      <w:r>
        <w:rPr>
          <w:spacing w:val="2"/>
        </w:rPr>
        <w:t xml:space="preserve"> </w:t>
      </w:r>
      <w:r>
        <w:t>a</w:t>
      </w:r>
      <w:r>
        <w:rPr>
          <w:spacing w:val="2"/>
        </w:rPr>
        <w:t xml:space="preserve"> </w:t>
      </w:r>
      <w:r>
        <w:rPr>
          <w:spacing w:val="-1"/>
        </w:rPr>
        <w:t>c</w:t>
      </w:r>
      <w:r>
        <w:t>l</w:t>
      </w:r>
      <w:r>
        <w:rPr>
          <w:spacing w:val="3"/>
        </w:rPr>
        <w:t>i</w:t>
      </w:r>
      <w:r>
        <w:t>nic</w:t>
      </w:r>
      <w:r>
        <w:rPr>
          <w:spacing w:val="-1"/>
        </w:rPr>
        <w:t>a</w:t>
      </w:r>
      <w:r>
        <w:t>l</w:t>
      </w:r>
      <w:r>
        <w:rPr>
          <w:spacing w:val="1"/>
        </w:rPr>
        <w:t xml:space="preserve"> r</w:t>
      </w:r>
      <w:r>
        <w:rPr>
          <w:spacing w:val="-1"/>
        </w:rPr>
        <w:t>e</w:t>
      </w:r>
      <w:r>
        <w:t>sponse is</w:t>
      </w:r>
      <w:r>
        <w:rPr>
          <w:spacing w:val="2"/>
        </w:rPr>
        <w:t xml:space="preserve"> </w:t>
      </w:r>
      <w:r>
        <w:t>us</w:t>
      </w:r>
      <w:r>
        <w:rPr>
          <w:spacing w:val="2"/>
        </w:rPr>
        <w:t>u</w:t>
      </w:r>
      <w:r>
        <w:rPr>
          <w:spacing w:val="-1"/>
        </w:rPr>
        <w:t>a</w:t>
      </w:r>
      <w:r>
        <w:t>l</w:t>
      </w:r>
      <w:r>
        <w:rPr>
          <w:spacing w:val="3"/>
        </w:rPr>
        <w:t>l</w:t>
      </w:r>
      <w:r>
        <w:t xml:space="preserve">y </w:t>
      </w:r>
      <w:r>
        <w:rPr>
          <w:spacing w:val="-1"/>
        </w:rPr>
        <w:t>ac</w:t>
      </w:r>
      <w:r>
        <w:t>hiev</w:t>
      </w:r>
      <w:r>
        <w:rPr>
          <w:spacing w:val="-1"/>
        </w:rPr>
        <w:t>e</w:t>
      </w:r>
      <w:r>
        <w:t>d</w:t>
      </w:r>
      <w:r>
        <w:rPr>
          <w:spacing w:val="8"/>
        </w:rPr>
        <w:t xml:space="preserve"> </w:t>
      </w:r>
      <w:r>
        <w:t>with</w:t>
      </w:r>
      <w:r>
        <w:rPr>
          <w:spacing w:val="1"/>
        </w:rPr>
        <w:t>i</w:t>
      </w:r>
      <w:r>
        <w:t>n</w:t>
      </w:r>
      <w:r>
        <w:rPr>
          <w:spacing w:val="5"/>
        </w:rPr>
        <w:t xml:space="preserve"> </w:t>
      </w:r>
      <w:r>
        <w:t>12</w:t>
      </w:r>
      <w:r>
        <w:rPr>
          <w:spacing w:val="5"/>
        </w:rPr>
        <w:t xml:space="preserve"> </w:t>
      </w:r>
      <w:r>
        <w:t>w</w:t>
      </w:r>
      <w:r>
        <w:rPr>
          <w:spacing w:val="-1"/>
        </w:rPr>
        <w:t>e</w:t>
      </w:r>
      <w:r>
        <w:rPr>
          <w:spacing w:val="1"/>
        </w:rPr>
        <w:t>e</w:t>
      </w:r>
      <w:r>
        <w:t>ks</w:t>
      </w:r>
      <w:r>
        <w:rPr>
          <w:spacing w:val="5"/>
        </w:rPr>
        <w:t xml:space="preserve"> </w:t>
      </w:r>
      <w:r>
        <w:t>of</w:t>
      </w:r>
      <w:r>
        <w:rPr>
          <w:spacing w:val="4"/>
        </w:rPr>
        <w:t xml:space="preserve"> </w:t>
      </w:r>
      <w:r>
        <w:t>tr</w:t>
      </w:r>
      <w:r>
        <w:rPr>
          <w:spacing w:val="-1"/>
        </w:rPr>
        <w:t>ea</w:t>
      </w:r>
      <w:r>
        <w:t>t</w:t>
      </w:r>
      <w:r>
        <w:rPr>
          <w:spacing w:val="1"/>
        </w:rPr>
        <w:t>m</w:t>
      </w:r>
      <w:r>
        <w:rPr>
          <w:spacing w:val="-1"/>
        </w:rPr>
        <w:t>e</w:t>
      </w:r>
      <w:r>
        <w:t xml:space="preserve">nt. </w:t>
      </w:r>
      <w:r>
        <w:rPr>
          <w:spacing w:val="35"/>
        </w:rPr>
        <w:t xml:space="preserve"> </w:t>
      </w:r>
      <w:r>
        <w:t>Cont</w:t>
      </w:r>
      <w:r>
        <w:rPr>
          <w:spacing w:val="1"/>
        </w:rPr>
        <w:t>i</w:t>
      </w:r>
      <w:r>
        <w:t>nu</w:t>
      </w:r>
      <w:r>
        <w:rPr>
          <w:spacing w:val="-1"/>
        </w:rPr>
        <w:t>e</w:t>
      </w:r>
      <w:r>
        <w:t>d</w:t>
      </w:r>
      <w:r>
        <w:rPr>
          <w:spacing w:val="5"/>
        </w:rPr>
        <w:t xml:space="preserve"> </w:t>
      </w:r>
      <w:r>
        <w:t>the</w:t>
      </w:r>
      <w:r>
        <w:rPr>
          <w:spacing w:val="-1"/>
        </w:rPr>
        <w:t>ra</w:t>
      </w:r>
      <w:r>
        <w:rPr>
          <w:spacing w:val="5"/>
        </w:rPr>
        <w:t>p</w:t>
      </w:r>
      <w:r>
        <w:t>y should</w:t>
      </w:r>
      <w:r>
        <w:rPr>
          <w:spacing w:val="5"/>
        </w:rPr>
        <w:t xml:space="preserve"> </w:t>
      </w:r>
      <w:r>
        <w:t>be</w:t>
      </w:r>
      <w:r>
        <w:rPr>
          <w:spacing w:val="7"/>
        </w:rPr>
        <w:t xml:space="preserve"> </w:t>
      </w:r>
      <w:r>
        <w:rPr>
          <w:spacing w:val="1"/>
        </w:rPr>
        <w:t>c</w:t>
      </w:r>
      <w:r>
        <w:rPr>
          <w:spacing w:val="-1"/>
        </w:rPr>
        <w:t>a</w:t>
      </w:r>
      <w:r>
        <w:t>r</w:t>
      </w:r>
      <w:r>
        <w:rPr>
          <w:spacing w:val="-2"/>
        </w:rPr>
        <w:t>e</w:t>
      </w:r>
      <w:r>
        <w:t>ful</w:t>
      </w:r>
      <w:r>
        <w:rPr>
          <w:spacing w:val="5"/>
        </w:rPr>
        <w:t>l</w:t>
      </w:r>
      <w:r>
        <w:t xml:space="preserve">y </w:t>
      </w:r>
      <w:r>
        <w:rPr>
          <w:spacing w:val="1"/>
        </w:rPr>
        <w:t>r</w:t>
      </w:r>
      <w:r>
        <w:rPr>
          <w:spacing w:val="-1"/>
        </w:rPr>
        <w:t>ec</w:t>
      </w:r>
      <w:r>
        <w:t>onsid</w:t>
      </w:r>
      <w:r>
        <w:rPr>
          <w:spacing w:val="-1"/>
        </w:rPr>
        <w:t>e</w:t>
      </w:r>
      <w:r>
        <w:rPr>
          <w:spacing w:val="1"/>
        </w:rPr>
        <w:t>r</w:t>
      </w:r>
      <w:r>
        <w:rPr>
          <w:spacing w:val="-1"/>
        </w:rPr>
        <w:t>e</w:t>
      </w:r>
      <w:r>
        <w:t>d</w:t>
      </w:r>
      <w:r>
        <w:rPr>
          <w:spacing w:val="5"/>
        </w:rPr>
        <w:t xml:space="preserve"> </w:t>
      </w:r>
      <w:r>
        <w:t>in</w:t>
      </w:r>
      <w:r>
        <w:rPr>
          <w:spacing w:val="8"/>
        </w:rPr>
        <w:t xml:space="preserve"> </w:t>
      </w:r>
      <w:r>
        <w:t>a p</w:t>
      </w:r>
      <w:r>
        <w:rPr>
          <w:spacing w:val="-1"/>
        </w:rPr>
        <w:t>a</w:t>
      </w:r>
      <w:r>
        <w:t>t</w:t>
      </w:r>
      <w:r>
        <w:rPr>
          <w:spacing w:val="1"/>
        </w:rPr>
        <w:t>i</w:t>
      </w:r>
      <w:r>
        <w:rPr>
          <w:spacing w:val="-1"/>
        </w:rPr>
        <w:t>e</w:t>
      </w:r>
      <w:r>
        <w:t>nt not</w:t>
      </w:r>
      <w:r>
        <w:rPr>
          <w:spacing w:val="1"/>
        </w:rPr>
        <w:t xml:space="preserve"> </w:t>
      </w:r>
      <w:r>
        <w:t>r</w:t>
      </w:r>
      <w:r>
        <w:rPr>
          <w:spacing w:val="-2"/>
        </w:rPr>
        <w:t>e</w:t>
      </w:r>
      <w:r>
        <w:t>sponding with</w:t>
      </w:r>
      <w:r>
        <w:rPr>
          <w:spacing w:val="1"/>
        </w:rPr>
        <w:t>i</w:t>
      </w:r>
      <w:r>
        <w:t>n th</w:t>
      </w:r>
      <w:r>
        <w:rPr>
          <w:spacing w:val="1"/>
        </w:rPr>
        <w:t>i</w:t>
      </w:r>
      <w:r>
        <w:t>s t</w:t>
      </w:r>
      <w:r>
        <w:rPr>
          <w:spacing w:val="-1"/>
        </w:rPr>
        <w:t>i</w:t>
      </w:r>
      <w:r>
        <w:t>me p</w:t>
      </w:r>
      <w:r>
        <w:rPr>
          <w:spacing w:val="-1"/>
        </w:rPr>
        <w:t>e</w:t>
      </w:r>
      <w:r>
        <w:t xml:space="preserve">riod. </w:t>
      </w:r>
    </w:p>
    <w:p w14:paraId="567A6DB8" w14:textId="77777777" w:rsidR="0006309D" w:rsidRPr="0006309D" w:rsidRDefault="0006309D" w:rsidP="0021426A">
      <w:pPr>
        <w:pStyle w:val="NormalIndent1"/>
        <w:jc w:val="left"/>
      </w:pPr>
    </w:p>
    <w:p w14:paraId="31CFFEF1" w14:textId="77777777" w:rsidR="0006309D" w:rsidRPr="004F2409" w:rsidRDefault="0006309D" w:rsidP="0021426A">
      <w:pPr>
        <w:pStyle w:val="Heading4"/>
        <w:jc w:val="left"/>
      </w:pPr>
      <w:r w:rsidRPr="004F2409">
        <w:t>Plaq</w:t>
      </w:r>
      <w:r w:rsidRPr="004F2409">
        <w:rPr>
          <w:spacing w:val="1"/>
        </w:rPr>
        <w:t>u</w:t>
      </w:r>
      <w:r w:rsidRPr="004F2409">
        <w:t>e</w:t>
      </w:r>
      <w:r w:rsidRPr="004F2409">
        <w:rPr>
          <w:spacing w:val="-1"/>
        </w:rPr>
        <w:t xml:space="preserve"> </w:t>
      </w:r>
      <w:r w:rsidR="004F2409" w:rsidRPr="004F2409">
        <w:t>Psor</w:t>
      </w:r>
      <w:r w:rsidR="004F2409" w:rsidRPr="004F2409">
        <w:rPr>
          <w:spacing w:val="1"/>
        </w:rPr>
        <w:t>i</w:t>
      </w:r>
      <w:r w:rsidR="004F2409" w:rsidRPr="004F2409">
        <w:t>asis</w:t>
      </w:r>
    </w:p>
    <w:p w14:paraId="13743646" w14:textId="77777777" w:rsidR="0006309D" w:rsidRPr="004F2409" w:rsidRDefault="0006309D" w:rsidP="0021426A">
      <w:pPr>
        <w:pStyle w:val="NormalIndent1"/>
        <w:jc w:val="left"/>
      </w:pPr>
    </w:p>
    <w:p w14:paraId="6C52E349" w14:textId="32C722E3" w:rsidR="0006309D" w:rsidRDefault="0006309D" w:rsidP="0021426A">
      <w:pPr>
        <w:pStyle w:val="NormalIndent1"/>
        <w:jc w:val="left"/>
      </w:pPr>
      <w:r w:rsidRPr="004F2409">
        <w:t>The re</w:t>
      </w:r>
      <w:r w:rsidRPr="004F2409">
        <w:rPr>
          <w:spacing w:val="-1"/>
        </w:rPr>
        <w:t>c</w:t>
      </w:r>
      <w:r w:rsidRPr="004F2409">
        <w:t>om</w:t>
      </w:r>
      <w:r w:rsidRPr="004F2409">
        <w:rPr>
          <w:spacing w:val="1"/>
        </w:rPr>
        <w:t>m</w:t>
      </w:r>
      <w:r w:rsidRPr="004F2409">
        <w:rPr>
          <w:spacing w:val="-1"/>
        </w:rPr>
        <w:t>e</w:t>
      </w:r>
      <w:r w:rsidRPr="004F2409">
        <w:t>nd</w:t>
      </w:r>
      <w:r w:rsidRPr="004F2409">
        <w:rPr>
          <w:spacing w:val="-1"/>
        </w:rPr>
        <w:t>e</w:t>
      </w:r>
      <w:r w:rsidRPr="004F2409">
        <w:t>d</w:t>
      </w:r>
      <w:r w:rsidRPr="004F2409">
        <w:rPr>
          <w:spacing w:val="4"/>
        </w:rPr>
        <w:t xml:space="preserve"> </w:t>
      </w:r>
      <w:r w:rsidRPr="004F2409">
        <w:t>dose</w:t>
      </w:r>
      <w:r w:rsidRPr="004F2409">
        <w:rPr>
          <w:spacing w:val="6"/>
        </w:rPr>
        <w:t xml:space="preserve"> </w:t>
      </w:r>
      <w:r w:rsidRPr="004F2409">
        <w:t>of</w:t>
      </w:r>
      <w:r w:rsidRPr="004F2409">
        <w:rPr>
          <w:spacing w:val="6"/>
        </w:rPr>
        <w:t xml:space="preserve"> </w:t>
      </w:r>
      <w:r w:rsidR="003D1456">
        <w:t>Rymti</w:t>
      </w:r>
      <w:r w:rsidRPr="004F2409">
        <w:rPr>
          <w:spacing w:val="2"/>
        </w:rPr>
        <w:t xml:space="preserve"> </w:t>
      </w:r>
      <w:r w:rsidRPr="004F2409">
        <w:t xml:space="preserve">is 50 </w:t>
      </w:r>
      <w:r w:rsidRPr="004F2409">
        <w:rPr>
          <w:spacing w:val="3"/>
        </w:rPr>
        <w:t>m</w:t>
      </w:r>
      <w:r w:rsidRPr="004F2409">
        <w:t>g p</w:t>
      </w:r>
      <w:r w:rsidRPr="004F2409">
        <w:rPr>
          <w:spacing w:val="1"/>
        </w:rPr>
        <w:t>e</w:t>
      </w:r>
      <w:r w:rsidRPr="004F2409">
        <w:t>r w</w:t>
      </w:r>
      <w:r w:rsidRPr="004F2409">
        <w:rPr>
          <w:spacing w:val="1"/>
        </w:rPr>
        <w:t>e</w:t>
      </w:r>
      <w:r w:rsidRPr="004F2409">
        <w:rPr>
          <w:spacing w:val="-1"/>
        </w:rPr>
        <w:t>e</w:t>
      </w:r>
      <w:r w:rsidRPr="004F2409">
        <w:t xml:space="preserve">k, </w:t>
      </w:r>
      <w:r w:rsidRPr="004F2409">
        <w:rPr>
          <w:spacing w:val="-2"/>
        </w:rPr>
        <w:t>g</w:t>
      </w:r>
      <w:r w:rsidRPr="004F2409">
        <w:t>iven on</w:t>
      </w:r>
      <w:r w:rsidRPr="004F2409">
        <w:rPr>
          <w:spacing w:val="1"/>
        </w:rPr>
        <w:t>c</w:t>
      </w:r>
      <w:r w:rsidRPr="004F2409">
        <w:t>e w</w:t>
      </w:r>
      <w:r w:rsidRPr="004F2409">
        <w:rPr>
          <w:spacing w:val="-1"/>
        </w:rPr>
        <w:t>ee</w:t>
      </w:r>
      <w:r w:rsidRPr="004F2409">
        <w:t>k</w:t>
      </w:r>
      <w:r w:rsidRPr="004F2409">
        <w:rPr>
          <w:spacing w:val="5"/>
        </w:rPr>
        <w:t>l</w:t>
      </w:r>
      <w:r w:rsidRPr="004F2409">
        <w:t>y (sin</w:t>
      </w:r>
      <w:r w:rsidRPr="004F2409">
        <w:rPr>
          <w:spacing w:val="-2"/>
        </w:rPr>
        <w:t>g</w:t>
      </w:r>
      <w:r w:rsidRPr="004F2409">
        <w:t xml:space="preserve">le 50 </w:t>
      </w:r>
      <w:r w:rsidRPr="004F2409">
        <w:rPr>
          <w:spacing w:val="3"/>
        </w:rPr>
        <w:t>m</w:t>
      </w:r>
      <w:r w:rsidRPr="004F2409">
        <w:t>g in</w:t>
      </w:r>
      <w:r w:rsidRPr="004F2409">
        <w:rPr>
          <w:spacing w:val="1"/>
        </w:rPr>
        <w:t>j</w:t>
      </w:r>
      <w:r w:rsidRPr="004F2409">
        <w:rPr>
          <w:spacing w:val="-1"/>
        </w:rPr>
        <w:t>ec</w:t>
      </w:r>
      <w:r w:rsidRPr="004F2409">
        <w:t>t</w:t>
      </w:r>
      <w:r w:rsidRPr="004F2409">
        <w:rPr>
          <w:spacing w:val="1"/>
        </w:rPr>
        <w:t>i</w:t>
      </w:r>
      <w:r w:rsidRPr="004F2409">
        <w:t>on) or twi</w:t>
      </w:r>
      <w:r w:rsidRPr="004F2409">
        <w:rPr>
          <w:spacing w:val="2"/>
        </w:rPr>
        <w:t>c</w:t>
      </w:r>
      <w:r w:rsidRPr="004F2409">
        <w:t>e w</w:t>
      </w:r>
      <w:r w:rsidRPr="004F2409">
        <w:rPr>
          <w:spacing w:val="1"/>
        </w:rPr>
        <w:t>ee</w:t>
      </w:r>
      <w:r w:rsidRPr="004F2409">
        <w:t>k</w:t>
      </w:r>
      <w:r w:rsidRPr="004F2409">
        <w:rPr>
          <w:spacing w:val="3"/>
        </w:rPr>
        <w:t>l</w:t>
      </w:r>
      <w:r w:rsidRPr="004F2409">
        <w:t>y</w:t>
      </w:r>
      <w:r w:rsidRPr="004F2409">
        <w:rPr>
          <w:spacing w:val="57"/>
        </w:rPr>
        <w:t xml:space="preserve"> </w:t>
      </w:r>
      <w:r w:rsidRPr="004F2409">
        <w:t>(si</w:t>
      </w:r>
      <w:r w:rsidRPr="004F2409">
        <w:rPr>
          <w:spacing w:val="2"/>
        </w:rPr>
        <w:t>n</w:t>
      </w:r>
      <w:r w:rsidRPr="004F2409">
        <w:rPr>
          <w:spacing w:val="-2"/>
        </w:rPr>
        <w:t>g</w:t>
      </w:r>
      <w:r w:rsidRPr="004F2409">
        <w:t xml:space="preserve">le 25 </w:t>
      </w:r>
      <w:r w:rsidRPr="004F2409">
        <w:rPr>
          <w:spacing w:val="3"/>
        </w:rPr>
        <w:t>m</w:t>
      </w:r>
      <w:r w:rsidRPr="004F2409">
        <w:t>g in</w:t>
      </w:r>
      <w:r w:rsidRPr="004F2409">
        <w:rPr>
          <w:spacing w:val="1"/>
        </w:rPr>
        <w:t>je</w:t>
      </w:r>
      <w:r w:rsidRPr="004F2409">
        <w:rPr>
          <w:spacing w:val="-1"/>
        </w:rPr>
        <w:t>c</w:t>
      </w:r>
      <w:r w:rsidRPr="004F2409">
        <w:t>t</w:t>
      </w:r>
      <w:r w:rsidRPr="004F2409">
        <w:rPr>
          <w:spacing w:val="1"/>
        </w:rPr>
        <w:t>i</w:t>
      </w:r>
      <w:r w:rsidRPr="004F2409">
        <w:t xml:space="preserve">ons </w:t>
      </w:r>
      <w:r w:rsidRPr="004F2409">
        <w:rPr>
          <w:spacing w:val="-2"/>
        </w:rPr>
        <w:t>g</w:t>
      </w:r>
      <w:r w:rsidRPr="004F2409">
        <w:t xml:space="preserve">iven </w:t>
      </w:r>
      <w:r w:rsidRPr="004F2409">
        <w:rPr>
          <w:spacing w:val="6"/>
        </w:rPr>
        <w:t>3</w:t>
      </w:r>
      <w:r w:rsidRPr="004F2409">
        <w:rPr>
          <w:spacing w:val="-1"/>
        </w:rPr>
        <w:t>-</w:t>
      </w:r>
      <w:r w:rsidRPr="004F2409">
        <w:t>4 d</w:t>
      </w:r>
      <w:r w:rsidRPr="004F2409">
        <w:rPr>
          <w:spacing w:val="4"/>
        </w:rPr>
        <w:t>a</w:t>
      </w:r>
      <w:r w:rsidRPr="004F2409">
        <w:rPr>
          <w:spacing w:val="-5"/>
        </w:rPr>
        <w:t>y</w:t>
      </w:r>
      <w:r w:rsidRPr="004F2409">
        <w:t xml:space="preserve">s </w:t>
      </w:r>
      <w:r w:rsidRPr="004F2409">
        <w:rPr>
          <w:spacing w:val="-1"/>
        </w:rPr>
        <w:t>a</w:t>
      </w:r>
      <w:r w:rsidRPr="004F2409">
        <w:t>p</w:t>
      </w:r>
      <w:r w:rsidRPr="004F2409">
        <w:rPr>
          <w:spacing w:val="-1"/>
        </w:rPr>
        <w:t>a</w:t>
      </w:r>
      <w:r w:rsidRPr="004F2409">
        <w:t xml:space="preserve">rt) </w:t>
      </w:r>
      <w:r w:rsidRPr="004F2409">
        <w:rPr>
          <w:spacing w:val="-1"/>
        </w:rPr>
        <w:t>a</w:t>
      </w:r>
      <w:r w:rsidRPr="004F2409">
        <w:t>s a sub</w:t>
      </w:r>
      <w:r w:rsidRPr="004F2409">
        <w:rPr>
          <w:spacing w:val="-1"/>
        </w:rPr>
        <w:t>c</w:t>
      </w:r>
      <w:r w:rsidRPr="004F2409">
        <w:t>utan</w:t>
      </w:r>
      <w:r w:rsidRPr="004F2409">
        <w:rPr>
          <w:spacing w:val="-1"/>
        </w:rPr>
        <w:t>e</w:t>
      </w:r>
      <w:r w:rsidRPr="004F2409">
        <w:t>o</w:t>
      </w:r>
      <w:r w:rsidRPr="004F2409">
        <w:rPr>
          <w:spacing w:val="2"/>
        </w:rPr>
        <w:t>u</w:t>
      </w:r>
      <w:r w:rsidRPr="004F2409">
        <w:t>s in</w:t>
      </w:r>
      <w:r w:rsidRPr="004F2409">
        <w:rPr>
          <w:spacing w:val="1"/>
        </w:rPr>
        <w:t>j</w:t>
      </w:r>
      <w:r w:rsidRPr="004F2409">
        <w:rPr>
          <w:spacing w:val="-1"/>
        </w:rPr>
        <w:t>ec</w:t>
      </w:r>
      <w:r w:rsidRPr="004F2409">
        <w:t>t</w:t>
      </w:r>
      <w:r w:rsidRPr="004F2409">
        <w:rPr>
          <w:spacing w:val="1"/>
        </w:rPr>
        <w:t>i</w:t>
      </w:r>
      <w:r w:rsidRPr="004F2409">
        <w:t xml:space="preserve">on. </w:t>
      </w:r>
      <w:r w:rsidRPr="004F2409">
        <w:rPr>
          <w:spacing w:val="19"/>
        </w:rPr>
        <w:t xml:space="preserve"> </w:t>
      </w:r>
      <w:r w:rsidRPr="004F2409">
        <w:t>H</w:t>
      </w:r>
      <w:r w:rsidRPr="004F2409">
        <w:rPr>
          <w:spacing w:val="2"/>
        </w:rPr>
        <w:t>i</w:t>
      </w:r>
      <w:r w:rsidRPr="004F2409">
        <w:rPr>
          <w:spacing w:val="-2"/>
        </w:rPr>
        <w:t>g</w:t>
      </w:r>
      <w:r w:rsidRPr="004F2409">
        <w:t>h</w:t>
      </w:r>
      <w:r w:rsidRPr="004F2409">
        <w:rPr>
          <w:spacing w:val="-1"/>
        </w:rPr>
        <w:t>e</w:t>
      </w:r>
      <w:r w:rsidRPr="004F2409">
        <w:t>r</w:t>
      </w:r>
      <w:r w:rsidRPr="004F2409">
        <w:rPr>
          <w:spacing w:val="11"/>
        </w:rPr>
        <w:t xml:space="preserve"> </w:t>
      </w:r>
      <w:r w:rsidRPr="004F2409">
        <w:t>r</w:t>
      </w:r>
      <w:r w:rsidRPr="004F2409">
        <w:rPr>
          <w:spacing w:val="-2"/>
        </w:rPr>
        <w:t>e</w:t>
      </w:r>
      <w:r w:rsidRPr="004F2409">
        <w:t>spo</w:t>
      </w:r>
      <w:r w:rsidRPr="004F2409">
        <w:rPr>
          <w:spacing w:val="2"/>
        </w:rPr>
        <w:t>n</w:t>
      </w:r>
      <w:r w:rsidRPr="004F2409">
        <w:t>s</w:t>
      </w:r>
      <w:r w:rsidRPr="004F2409">
        <w:rPr>
          <w:spacing w:val="-1"/>
        </w:rPr>
        <w:t>e</w:t>
      </w:r>
      <w:r w:rsidRPr="004F2409">
        <w:t>s</w:t>
      </w:r>
      <w:r w:rsidRPr="004F2409">
        <w:rPr>
          <w:spacing w:val="10"/>
        </w:rPr>
        <w:t xml:space="preserve"> </w:t>
      </w:r>
      <w:r w:rsidRPr="004F2409">
        <w:t>m</w:t>
      </w:r>
      <w:r w:rsidRPr="004F2409">
        <w:rPr>
          <w:spacing w:val="4"/>
        </w:rPr>
        <w:t>a</w:t>
      </w:r>
      <w:r w:rsidRPr="004F2409">
        <w:t>y</w:t>
      </w:r>
      <w:r w:rsidRPr="004F2409">
        <w:rPr>
          <w:spacing w:val="5"/>
        </w:rPr>
        <w:t xml:space="preserve"> </w:t>
      </w:r>
      <w:r w:rsidRPr="004F2409">
        <w:t>be</w:t>
      </w:r>
      <w:r w:rsidRPr="004F2409">
        <w:rPr>
          <w:spacing w:val="11"/>
        </w:rPr>
        <w:t xml:space="preserve"> </w:t>
      </w:r>
      <w:r w:rsidRPr="004F2409">
        <w:rPr>
          <w:spacing w:val="-1"/>
        </w:rPr>
        <w:t>ac</w:t>
      </w:r>
      <w:r w:rsidRPr="004F2409">
        <w:t>h</w:t>
      </w:r>
      <w:r w:rsidRPr="004F2409">
        <w:rPr>
          <w:spacing w:val="3"/>
        </w:rPr>
        <w:t>i</w:t>
      </w:r>
      <w:r w:rsidRPr="004F2409">
        <w:rPr>
          <w:spacing w:val="-1"/>
        </w:rPr>
        <w:t>e</w:t>
      </w:r>
      <w:r w:rsidRPr="004F2409">
        <w:t>v</w:t>
      </w:r>
      <w:r w:rsidRPr="004F2409">
        <w:rPr>
          <w:spacing w:val="-1"/>
        </w:rPr>
        <w:t>e</w:t>
      </w:r>
      <w:r w:rsidRPr="004F2409">
        <w:t>d</w:t>
      </w:r>
      <w:r w:rsidRPr="004F2409">
        <w:rPr>
          <w:spacing w:val="12"/>
        </w:rPr>
        <w:t xml:space="preserve"> </w:t>
      </w:r>
      <w:r w:rsidRPr="004F2409">
        <w:t>f</w:t>
      </w:r>
      <w:r w:rsidRPr="004F2409">
        <w:rPr>
          <w:spacing w:val="-1"/>
        </w:rPr>
        <w:t>r</w:t>
      </w:r>
      <w:r w:rsidRPr="004F2409">
        <w:rPr>
          <w:spacing w:val="2"/>
        </w:rPr>
        <w:t>o</w:t>
      </w:r>
      <w:r w:rsidRPr="004F2409">
        <w:t>m</w:t>
      </w:r>
      <w:r w:rsidRPr="004F2409">
        <w:rPr>
          <w:spacing w:val="10"/>
        </w:rPr>
        <w:t xml:space="preserve"> </w:t>
      </w:r>
      <w:r w:rsidRPr="004F2409">
        <w:t>in</w:t>
      </w:r>
      <w:r w:rsidRPr="004F2409">
        <w:rPr>
          <w:spacing w:val="1"/>
        </w:rPr>
        <w:t>i</w:t>
      </w:r>
      <w:r w:rsidRPr="004F2409">
        <w:t>t</w:t>
      </w:r>
      <w:r w:rsidRPr="004F2409">
        <w:rPr>
          <w:spacing w:val="1"/>
        </w:rPr>
        <w:t>i</w:t>
      </w:r>
      <w:r w:rsidRPr="004F2409">
        <w:rPr>
          <w:spacing w:val="-1"/>
        </w:rPr>
        <w:t>a</w:t>
      </w:r>
      <w:r w:rsidRPr="004F2409">
        <w:t>l</w:t>
      </w:r>
      <w:r w:rsidRPr="004F2409">
        <w:rPr>
          <w:spacing w:val="10"/>
        </w:rPr>
        <w:t xml:space="preserve"> </w:t>
      </w:r>
      <w:r w:rsidRPr="004F2409">
        <w:t>tr</w:t>
      </w:r>
      <w:r w:rsidRPr="004F2409">
        <w:rPr>
          <w:spacing w:val="-1"/>
        </w:rPr>
        <w:t>ea</w:t>
      </w:r>
      <w:r w:rsidRPr="004F2409">
        <w:t>t</w:t>
      </w:r>
      <w:r w:rsidRPr="004F2409">
        <w:rPr>
          <w:spacing w:val="1"/>
        </w:rPr>
        <w:t>m</w:t>
      </w:r>
      <w:r w:rsidRPr="004F2409">
        <w:rPr>
          <w:spacing w:val="-1"/>
        </w:rPr>
        <w:t>e</w:t>
      </w:r>
      <w:r w:rsidRPr="004F2409">
        <w:t>nt</w:t>
      </w:r>
      <w:r w:rsidRPr="004F2409">
        <w:rPr>
          <w:spacing w:val="10"/>
        </w:rPr>
        <w:t xml:space="preserve"> </w:t>
      </w:r>
      <w:r w:rsidRPr="004F2409">
        <w:t>for</w:t>
      </w:r>
      <w:r w:rsidRPr="004F2409">
        <w:rPr>
          <w:spacing w:val="10"/>
        </w:rPr>
        <w:t xml:space="preserve"> </w:t>
      </w:r>
      <w:r w:rsidRPr="004F2409">
        <w:t>up</w:t>
      </w:r>
      <w:r w:rsidRPr="004F2409">
        <w:rPr>
          <w:spacing w:val="12"/>
        </w:rPr>
        <w:t xml:space="preserve"> </w:t>
      </w:r>
      <w:r w:rsidRPr="004F2409">
        <w:t>to</w:t>
      </w:r>
      <w:r w:rsidRPr="004F2409">
        <w:rPr>
          <w:spacing w:val="10"/>
        </w:rPr>
        <w:t xml:space="preserve"> </w:t>
      </w:r>
      <w:r w:rsidRPr="004F2409">
        <w:t>12</w:t>
      </w:r>
      <w:r w:rsidRPr="004F2409">
        <w:rPr>
          <w:spacing w:val="9"/>
        </w:rPr>
        <w:t xml:space="preserve"> </w:t>
      </w:r>
      <w:r w:rsidRPr="004F2409">
        <w:t>w</w:t>
      </w:r>
      <w:r w:rsidRPr="004F2409">
        <w:rPr>
          <w:spacing w:val="1"/>
        </w:rPr>
        <w:t>e</w:t>
      </w:r>
      <w:r w:rsidRPr="004F2409">
        <w:rPr>
          <w:spacing w:val="-1"/>
        </w:rPr>
        <w:t>e</w:t>
      </w:r>
      <w:r w:rsidRPr="004F2409">
        <w:t>ks</w:t>
      </w:r>
      <w:r w:rsidRPr="004F2409">
        <w:rPr>
          <w:spacing w:val="10"/>
        </w:rPr>
        <w:t xml:space="preserve"> </w:t>
      </w:r>
      <w:r w:rsidRPr="004F2409">
        <w:t>with</w:t>
      </w:r>
      <w:r w:rsidRPr="004F2409">
        <w:rPr>
          <w:spacing w:val="10"/>
        </w:rPr>
        <w:t xml:space="preserve"> </w:t>
      </w:r>
      <w:r w:rsidRPr="004F2409">
        <w:t>a</w:t>
      </w:r>
      <w:r w:rsidRPr="004F2409">
        <w:rPr>
          <w:spacing w:val="11"/>
        </w:rPr>
        <w:t xml:space="preserve"> </w:t>
      </w:r>
      <w:r w:rsidRPr="004F2409">
        <w:t>dose of 50</w:t>
      </w:r>
      <w:r w:rsidRPr="004F2409">
        <w:rPr>
          <w:spacing w:val="-1"/>
        </w:rPr>
        <w:t xml:space="preserve"> </w:t>
      </w:r>
      <w:r w:rsidRPr="004F2409">
        <w:rPr>
          <w:spacing w:val="3"/>
        </w:rPr>
        <w:t>m</w:t>
      </w:r>
      <w:r w:rsidRPr="004F2409">
        <w:t>g</w:t>
      </w:r>
      <w:r w:rsidRPr="004F2409">
        <w:rPr>
          <w:spacing w:val="2"/>
        </w:rPr>
        <w:t xml:space="preserve"> </w:t>
      </w:r>
      <w:r w:rsidRPr="004F2409">
        <w:rPr>
          <w:spacing w:val="-2"/>
        </w:rPr>
        <w:t>g</w:t>
      </w:r>
      <w:r w:rsidRPr="004F2409">
        <w:t>iven twi</w:t>
      </w:r>
      <w:r w:rsidRPr="004F2409">
        <w:rPr>
          <w:spacing w:val="1"/>
        </w:rPr>
        <w:t>c</w:t>
      </w:r>
      <w:r w:rsidRPr="004F2409">
        <w:t>e</w:t>
      </w:r>
      <w:r w:rsidRPr="004F2409">
        <w:rPr>
          <w:spacing w:val="-1"/>
        </w:rPr>
        <w:t xml:space="preserve"> </w:t>
      </w:r>
      <w:r w:rsidRPr="004F2409">
        <w:rPr>
          <w:spacing w:val="2"/>
        </w:rPr>
        <w:t>w</w:t>
      </w:r>
      <w:r w:rsidRPr="004F2409">
        <w:rPr>
          <w:spacing w:val="1"/>
        </w:rPr>
        <w:t>e</w:t>
      </w:r>
      <w:r w:rsidRPr="004F2409">
        <w:rPr>
          <w:spacing w:val="-1"/>
        </w:rPr>
        <w:t>e</w:t>
      </w:r>
      <w:r w:rsidRPr="004F2409">
        <w:t>k</w:t>
      </w:r>
      <w:r w:rsidRPr="004F2409">
        <w:rPr>
          <w:spacing w:val="3"/>
        </w:rPr>
        <w:t>l</w:t>
      </w:r>
      <w:r w:rsidRPr="004F2409">
        <w:rPr>
          <w:spacing w:val="-5"/>
        </w:rPr>
        <w:t>y</w:t>
      </w:r>
      <w:r w:rsidRPr="004F2409">
        <w:t>,</w:t>
      </w:r>
      <w:r w:rsidRPr="004F2409">
        <w:rPr>
          <w:spacing w:val="2"/>
        </w:rPr>
        <w:t xml:space="preserve"> </w:t>
      </w:r>
      <w:r w:rsidRPr="004F2409">
        <w:rPr>
          <w:spacing w:val="-1"/>
        </w:rPr>
        <w:t>a</w:t>
      </w:r>
      <w:r w:rsidRPr="004F2409">
        <w:t>f</w:t>
      </w:r>
      <w:r w:rsidRPr="004F2409">
        <w:rPr>
          <w:spacing w:val="2"/>
        </w:rPr>
        <w:t>t</w:t>
      </w:r>
      <w:r w:rsidRPr="004F2409">
        <w:rPr>
          <w:spacing w:val="-1"/>
        </w:rPr>
        <w:t>e</w:t>
      </w:r>
      <w:r w:rsidRPr="004F2409">
        <w:t>r</w:t>
      </w:r>
      <w:r w:rsidRPr="004F2409">
        <w:rPr>
          <w:spacing w:val="1"/>
        </w:rPr>
        <w:t xml:space="preserve"> </w:t>
      </w:r>
      <w:r w:rsidRPr="004F2409">
        <w:t>whi</w:t>
      </w:r>
      <w:r w:rsidRPr="004F2409">
        <w:rPr>
          <w:spacing w:val="-1"/>
        </w:rPr>
        <w:t>c</w:t>
      </w:r>
      <w:r w:rsidRPr="004F2409">
        <w:t>h, the</w:t>
      </w:r>
      <w:r w:rsidRPr="004F2409">
        <w:rPr>
          <w:spacing w:val="2"/>
        </w:rPr>
        <w:t xml:space="preserve"> </w:t>
      </w:r>
      <w:r w:rsidRPr="004F2409">
        <w:t>do</w:t>
      </w:r>
      <w:r w:rsidRPr="004F2409">
        <w:rPr>
          <w:spacing w:val="2"/>
        </w:rPr>
        <w:t>s</w:t>
      </w:r>
      <w:r w:rsidRPr="004F2409">
        <w:t>e</w:t>
      </w:r>
      <w:r w:rsidRPr="004F2409">
        <w:rPr>
          <w:spacing w:val="-1"/>
        </w:rPr>
        <w:t xml:space="preserve"> </w:t>
      </w:r>
      <w:r w:rsidRPr="004F2409">
        <w:t>should be</w:t>
      </w:r>
      <w:r w:rsidRPr="004F2409">
        <w:rPr>
          <w:spacing w:val="1"/>
        </w:rPr>
        <w:t xml:space="preserve"> r</w:t>
      </w:r>
      <w:r w:rsidRPr="004F2409">
        <w:rPr>
          <w:spacing w:val="-1"/>
        </w:rPr>
        <w:t>e</w:t>
      </w:r>
      <w:r w:rsidRPr="004F2409">
        <w:t>du</w:t>
      </w:r>
      <w:r w:rsidRPr="004F2409">
        <w:rPr>
          <w:spacing w:val="-1"/>
        </w:rPr>
        <w:t>ce</w:t>
      </w:r>
      <w:r w:rsidRPr="004F2409">
        <w:t>d</w:t>
      </w:r>
      <w:r w:rsidRPr="004F2409">
        <w:rPr>
          <w:spacing w:val="2"/>
        </w:rPr>
        <w:t xml:space="preserve"> </w:t>
      </w:r>
      <w:r w:rsidRPr="004F2409">
        <w:t xml:space="preserve">to </w:t>
      </w:r>
      <w:r w:rsidRPr="004F2409">
        <w:rPr>
          <w:spacing w:val="1"/>
        </w:rPr>
        <w:t>t</w:t>
      </w:r>
      <w:r w:rsidRPr="004F2409">
        <w:rPr>
          <w:spacing w:val="2"/>
        </w:rPr>
        <w:t>h</w:t>
      </w:r>
      <w:r w:rsidRPr="004F2409">
        <w:t>e</w:t>
      </w:r>
      <w:r w:rsidRPr="004F2409">
        <w:rPr>
          <w:spacing w:val="-1"/>
        </w:rPr>
        <w:t xml:space="preserve"> </w:t>
      </w:r>
      <w:r w:rsidRPr="004F2409">
        <w:t>stand</w:t>
      </w:r>
      <w:r w:rsidRPr="004F2409">
        <w:rPr>
          <w:spacing w:val="1"/>
        </w:rPr>
        <w:t>a</w:t>
      </w:r>
      <w:r w:rsidRPr="004F2409">
        <w:t>rd d</w:t>
      </w:r>
      <w:r w:rsidRPr="004F2409">
        <w:rPr>
          <w:spacing w:val="-1"/>
        </w:rPr>
        <w:t>o</w:t>
      </w:r>
      <w:r w:rsidRPr="004F2409">
        <w:t>se</w:t>
      </w:r>
      <w:r w:rsidRPr="004F2409">
        <w:rPr>
          <w:spacing w:val="1"/>
        </w:rPr>
        <w:t xml:space="preserve"> </w:t>
      </w:r>
      <w:r w:rsidRPr="004F2409">
        <w:t>of</w:t>
      </w:r>
      <w:r w:rsidRPr="004F2409">
        <w:rPr>
          <w:spacing w:val="1"/>
        </w:rPr>
        <w:t xml:space="preserve"> </w:t>
      </w:r>
      <w:r w:rsidRPr="004F2409">
        <w:t xml:space="preserve">50 </w:t>
      </w:r>
      <w:r w:rsidRPr="004F2409">
        <w:rPr>
          <w:spacing w:val="3"/>
        </w:rPr>
        <w:t>m</w:t>
      </w:r>
      <w:r w:rsidRPr="004F2409">
        <w:t>g p</w:t>
      </w:r>
      <w:r w:rsidRPr="004F2409">
        <w:rPr>
          <w:spacing w:val="-1"/>
        </w:rPr>
        <w:t>e</w:t>
      </w:r>
      <w:r w:rsidRPr="004F2409">
        <w:t>r</w:t>
      </w:r>
      <w:r w:rsidRPr="004F2409">
        <w:rPr>
          <w:spacing w:val="8"/>
        </w:rPr>
        <w:t xml:space="preserve"> </w:t>
      </w:r>
      <w:r w:rsidRPr="004F2409">
        <w:t>w</w:t>
      </w:r>
      <w:r w:rsidRPr="004F2409">
        <w:rPr>
          <w:spacing w:val="-1"/>
        </w:rPr>
        <w:t>ee</w:t>
      </w:r>
      <w:r w:rsidRPr="004F2409">
        <w:t>k.  T</w:t>
      </w:r>
      <w:r w:rsidRPr="004F2409">
        <w:rPr>
          <w:spacing w:val="1"/>
        </w:rPr>
        <w:t>r</w:t>
      </w:r>
      <w:r w:rsidRPr="004F2409">
        <w:rPr>
          <w:spacing w:val="-1"/>
        </w:rPr>
        <w:t>ea</w:t>
      </w:r>
      <w:r w:rsidRPr="004F2409">
        <w:t>t</w:t>
      </w:r>
      <w:r w:rsidRPr="004F2409">
        <w:rPr>
          <w:spacing w:val="1"/>
        </w:rPr>
        <w:t>m</w:t>
      </w:r>
      <w:r w:rsidRPr="004F2409">
        <w:rPr>
          <w:spacing w:val="-1"/>
        </w:rPr>
        <w:t>e</w:t>
      </w:r>
      <w:r w:rsidRPr="004F2409">
        <w:t>nt</w:t>
      </w:r>
      <w:r w:rsidRPr="004F2409">
        <w:rPr>
          <w:spacing w:val="10"/>
        </w:rPr>
        <w:t xml:space="preserve"> </w:t>
      </w:r>
      <w:r w:rsidRPr="004F2409">
        <w:rPr>
          <w:spacing w:val="2"/>
        </w:rPr>
        <w:t>s</w:t>
      </w:r>
      <w:r w:rsidRPr="004F2409">
        <w:t>hould</w:t>
      </w:r>
      <w:r w:rsidRPr="004F2409">
        <w:rPr>
          <w:spacing w:val="10"/>
        </w:rPr>
        <w:t xml:space="preserve"> </w:t>
      </w:r>
      <w:r w:rsidRPr="004F2409">
        <w:t>be</w:t>
      </w:r>
      <w:r w:rsidRPr="004F2409">
        <w:rPr>
          <w:spacing w:val="8"/>
        </w:rPr>
        <w:t xml:space="preserve"> </w:t>
      </w:r>
      <w:r w:rsidRPr="004F2409">
        <w:t>discontinu</w:t>
      </w:r>
      <w:r w:rsidRPr="004F2409">
        <w:rPr>
          <w:spacing w:val="-1"/>
        </w:rPr>
        <w:t>e</w:t>
      </w:r>
      <w:r w:rsidRPr="004F2409">
        <w:t>d</w:t>
      </w:r>
      <w:r w:rsidRPr="004F2409">
        <w:rPr>
          <w:spacing w:val="9"/>
        </w:rPr>
        <w:t xml:space="preserve"> </w:t>
      </w:r>
      <w:r w:rsidRPr="004F2409">
        <w:rPr>
          <w:spacing w:val="-2"/>
        </w:rPr>
        <w:t>i</w:t>
      </w:r>
      <w:r w:rsidRPr="004F2409">
        <w:t>n</w:t>
      </w:r>
      <w:r w:rsidRPr="004F2409">
        <w:rPr>
          <w:spacing w:val="9"/>
        </w:rPr>
        <w:t xml:space="preserve"> </w:t>
      </w:r>
      <w:r w:rsidRPr="004F2409">
        <w:t>p</w:t>
      </w:r>
      <w:r w:rsidRPr="004F2409">
        <w:rPr>
          <w:spacing w:val="-1"/>
        </w:rPr>
        <w:t>a</w:t>
      </w:r>
      <w:r w:rsidRPr="004F2409">
        <w:t>t</w:t>
      </w:r>
      <w:r w:rsidRPr="004F2409">
        <w:rPr>
          <w:spacing w:val="1"/>
        </w:rPr>
        <w:t>i</w:t>
      </w:r>
      <w:r w:rsidRPr="004F2409">
        <w:rPr>
          <w:spacing w:val="-1"/>
        </w:rPr>
        <w:t>e</w:t>
      </w:r>
      <w:r w:rsidRPr="004F2409">
        <w:t>nts</w:t>
      </w:r>
      <w:r w:rsidRPr="004F2409">
        <w:rPr>
          <w:spacing w:val="10"/>
        </w:rPr>
        <w:t xml:space="preserve"> </w:t>
      </w:r>
      <w:r w:rsidRPr="004F2409">
        <w:t>who</w:t>
      </w:r>
      <w:r w:rsidRPr="004F2409">
        <w:rPr>
          <w:spacing w:val="9"/>
        </w:rPr>
        <w:t xml:space="preserve"> </w:t>
      </w:r>
      <w:r w:rsidRPr="004F2409">
        <w:t>do</w:t>
      </w:r>
      <w:r w:rsidRPr="004F2409">
        <w:rPr>
          <w:spacing w:val="9"/>
        </w:rPr>
        <w:t xml:space="preserve"> </w:t>
      </w:r>
      <w:r w:rsidRPr="004F2409">
        <w:t>not</w:t>
      </w:r>
      <w:r w:rsidRPr="004F2409">
        <w:rPr>
          <w:spacing w:val="7"/>
        </w:rPr>
        <w:t xml:space="preserve"> </w:t>
      </w:r>
      <w:r w:rsidRPr="004F2409">
        <w:t>show</w:t>
      </w:r>
      <w:r w:rsidRPr="004F2409">
        <w:rPr>
          <w:spacing w:val="9"/>
        </w:rPr>
        <w:t xml:space="preserve"> </w:t>
      </w:r>
      <w:r w:rsidRPr="004F2409">
        <w:t>a</w:t>
      </w:r>
      <w:r w:rsidRPr="004F2409">
        <w:rPr>
          <w:spacing w:val="8"/>
        </w:rPr>
        <w:t xml:space="preserve"> </w:t>
      </w:r>
      <w:r w:rsidRPr="004F2409">
        <w:t>si</w:t>
      </w:r>
      <w:r w:rsidRPr="004F2409">
        <w:rPr>
          <w:spacing w:val="-2"/>
        </w:rPr>
        <w:t>g</w:t>
      </w:r>
      <w:r w:rsidRPr="004F2409">
        <w:t>nifi</w:t>
      </w:r>
      <w:r w:rsidRPr="004F2409">
        <w:rPr>
          <w:spacing w:val="-1"/>
        </w:rPr>
        <w:t>ca</w:t>
      </w:r>
      <w:r w:rsidRPr="004F2409">
        <w:t>nt</w:t>
      </w:r>
      <w:r w:rsidRPr="004F2409">
        <w:rPr>
          <w:spacing w:val="10"/>
        </w:rPr>
        <w:t xml:space="preserve"> </w:t>
      </w:r>
      <w:r w:rsidRPr="004F2409">
        <w:rPr>
          <w:spacing w:val="1"/>
        </w:rPr>
        <w:t>P</w:t>
      </w:r>
      <w:r w:rsidRPr="004F2409">
        <w:t>ASI r</w:t>
      </w:r>
      <w:r w:rsidRPr="004F2409">
        <w:rPr>
          <w:spacing w:val="-2"/>
        </w:rPr>
        <w:t>e</w:t>
      </w:r>
      <w:r w:rsidRPr="004F2409">
        <w:t>sponse</w:t>
      </w:r>
      <w:r w:rsidRPr="004F2409">
        <w:rPr>
          <w:spacing w:val="4"/>
        </w:rPr>
        <w:t xml:space="preserve"> </w:t>
      </w:r>
      <w:r w:rsidRPr="004F2409">
        <w:rPr>
          <w:spacing w:val="-1"/>
        </w:rPr>
        <w:t>a</w:t>
      </w:r>
      <w:r w:rsidRPr="004F2409">
        <w:t>ft</w:t>
      </w:r>
      <w:r w:rsidRPr="004F2409">
        <w:rPr>
          <w:spacing w:val="1"/>
        </w:rPr>
        <w:t>e</w:t>
      </w:r>
      <w:r w:rsidRPr="004F2409">
        <w:t>r</w:t>
      </w:r>
      <w:r w:rsidRPr="004F2409">
        <w:rPr>
          <w:spacing w:val="4"/>
        </w:rPr>
        <w:t xml:space="preserve"> </w:t>
      </w:r>
      <w:r w:rsidRPr="004F2409">
        <w:t>12</w:t>
      </w:r>
      <w:r w:rsidRPr="004F2409">
        <w:rPr>
          <w:spacing w:val="5"/>
        </w:rPr>
        <w:t xml:space="preserve"> </w:t>
      </w:r>
      <w:r w:rsidRPr="004F2409">
        <w:t>w</w:t>
      </w:r>
      <w:r w:rsidRPr="004F2409">
        <w:rPr>
          <w:spacing w:val="-1"/>
        </w:rPr>
        <w:t>ee</w:t>
      </w:r>
      <w:r w:rsidRPr="004F2409">
        <w:t xml:space="preserve">ks. </w:t>
      </w:r>
      <w:r w:rsidRPr="004F2409">
        <w:rPr>
          <w:spacing w:val="14"/>
        </w:rPr>
        <w:t xml:space="preserve"> </w:t>
      </w:r>
      <w:r w:rsidRPr="004F2409">
        <w:rPr>
          <w:spacing w:val="-6"/>
        </w:rPr>
        <w:t>I</w:t>
      </w:r>
      <w:r w:rsidRPr="004F2409">
        <w:t>f</w:t>
      </w:r>
      <w:r w:rsidRPr="004F2409">
        <w:rPr>
          <w:spacing w:val="4"/>
        </w:rPr>
        <w:t xml:space="preserve"> </w:t>
      </w:r>
      <w:r w:rsidRPr="004F2409">
        <w:t>r</w:t>
      </w:r>
      <w:r w:rsidRPr="004F2409">
        <w:rPr>
          <w:spacing w:val="1"/>
        </w:rPr>
        <w:t>e</w:t>
      </w:r>
      <w:r w:rsidRPr="004F2409">
        <w:rPr>
          <w:spacing w:val="-1"/>
        </w:rPr>
        <w:t>-</w:t>
      </w:r>
      <w:r w:rsidRPr="004F2409">
        <w:t>tr</w:t>
      </w:r>
      <w:r w:rsidRPr="004F2409">
        <w:rPr>
          <w:spacing w:val="-1"/>
        </w:rPr>
        <w:t>ea</w:t>
      </w:r>
      <w:r w:rsidRPr="004F2409">
        <w:t>t</w:t>
      </w:r>
      <w:r w:rsidRPr="004F2409">
        <w:rPr>
          <w:spacing w:val="1"/>
        </w:rPr>
        <w:t>m</w:t>
      </w:r>
      <w:r w:rsidRPr="004F2409">
        <w:rPr>
          <w:spacing w:val="-1"/>
        </w:rPr>
        <w:t>e</w:t>
      </w:r>
      <w:r w:rsidRPr="004F2409">
        <w:t>nt</w:t>
      </w:r>
      <w:r w:rsidRPr="004F2409">
        <w:rPr>
          <w:spacing w:val="5"/>
        </w:rPr>
        <w:t xml:space="preserve"> </w:t>
      </w:r>
      <w:r w:rsidRPr="004F2409">
        <w:t>with</w:t>
      </w:r>
      <w:r w:rsidRPr="004F2409">
        <w:rPr>
          <w:spacing w:val="6"/>
        </w:rPr>
        <w:t xml:space="preserve"> </w:t>
      </w:r>
      <w:r w:rsidR="003D1456">
        <w:t>Rymti</w:t>
      </w:r>
      <w:r w:rsidRPr="004F2409">
        <w:t xml:space="preserve"> is</w:t>
      </w:r>
      <w:r w:rsidRPr="004F2409">
        <w:rPr>
          <w:spacing w:val="5"/>
        </w:rPr>
        <w:t xml:space="preserve"> </w:t>
      </w:r>
      <w:r w:rsidRPr="004F2409">
        <w:t>ind</w:t>
      </w:r>
      <w:r w:rsidRPr="004F2409">
        <w:rPr>
          <w:spacing w:val="1"/>
        </w:rPr>
        <w:t>i</w:t>
      </w:r>
      <w:r w:rsidRPr="004F2409">
        <w:rPr>
          <w:spacing w:val="-1"/>
        </w:rPr>
        <w:t>ca</w:t>
      </w:r>
      <w:r w:rsidRPr="004F2409">
        <w:t>ted,</w:t>
      </w:r>
      <w:r w:rsidRPr="004F2409">
        <w:rPr>
          <w:spacing w:val="4"/>
        </w:rPr>
        <w:t xml:space="preserve"> </w:t>
      </w:r>
      <w:r w:rsidRPr="004F2409">
        <w:t>the</w:t>
      </w:r>
      <w:r w:rsidRPr="004F2409">
        <w:rPr>
          <w:spacing w:val="4"/>
        </w:rPr>
        <w:t xml:space="preserve"> </w:t>
      </w:r>
      <w:r w:rsidRPr="004F2409">
        <w:t>dose</w:t>
      </w:r>
      <w:r w:rsidRPr="004F2409">
        <w:rPr>
          <w:spacing w:val="6"/>
        </w:rPr>
        <w:t xml:space="preserve"> </w:t>
      </w:r>
      <w:r w:rsidRPr="004F2409">
        <w:t>us</w:t>
      </w:r>
      <w:r w:rsidRPr="004F2409">
        <w:rPr>
          <w:spacing w:val="-1"/>
        </w:rPr>
        <w:t>e</w:t>
      </w:r>
      <w:r w:rsidRPr="004F2409">
        <w:t>d</w:t>
      </w:r>
      <w:r w:rsidRPr="004F2409">
        <w:rPr>
          <w:spacing w:val="5"/>
        </w:rPr>
        <w:t xml:space="preserve"> </w:t>
      </w:r>
      <w:r w:rsidRPr="004F2409">
        <w:t>should</w:t>
      </w:r>
      <w:r w:rsidRPr="004F2409">
        <w:rPr>
          <w:spacing w:val="5"/>
        </w:rPr>
        <w:t xml:space="preserve"> </w:t>
      </w:r>
      <w:r w:rsidRPr="004F2409">
        <w:t>be</w:t>
      </w:r>
      <w:r w:rsidRPr="004F2409">
        <w:rPr>
          <w:spacing w:val="4"/>
        </w:rPr>
        <w:t xml:space="preserve"> </w:t>
      </w:r>
      <w:r w:rsidRPr="004F2409">
        <w:t>50</w:t>
      </w:r>
      <w:r w:rsidRPr="004F2409">
        <w:rPr>
          <w:spacing w:val="2"/>
        </w:rPr>
        <w:t xml:space="preserve"> </w:t>
      </w:r>
      <w:r w:rsidRPr="004F2409">
        <w:rPr>
          <w:spacing w:val="-2"/>
        </w:rPr>
        <w:t>m</w:t>
      </w:r>
      <w:r w:rsidRPr="004F2409">
        <w:t>g p</w:t>
      </w:r>
      <w:r w:rsidRPr="004F2409">
        <w:rPr>
          <w:spacing w:val="-1"/>
        </w:rPr>
        <w:t>e</w:t>
      </w:r>
      <w:r w:rsidRPr="004F2409">
        <w:t xml:space="preserve">r </w:t>
      </w:r>
      <w:r w:rsidRPr="004F2409">
        <w:rPr>
          <w:spacing w:val="-1"/>
        </w:rPr>
        <w:t>w</w:t>
      </w:r>
      <w:r w:rsidRPr="004F2409">
        <w:rPr>
          <w:spacing w:val="1"/>
        </w:rPr>
        <w:t>e</w:t>
      </w:r>
      <w:r w:rsidRPr="004F2409">
        <w:rPr>
          <w:spacing w:val="-1"/>
        </w:rPr>
        <w:t>e</w:t>
      </w:r>
      <w:r w:rsidRPr="004F2409">
        <w:t>k.</w:t>
      </w:r>
    </w:p>
    <w:p w14:paraId="42E648C7" w14:textId="77777777" w:rsidR="0006309D" w:rsidRPr="004F2409" w:rsidRDefault="0006309D" w:rsidP="0021426A">
      <w:pPr>
        <w:pStyle w:val="NormalIndent1"/>
        <w:jc w:val="left"/>
      </w:pPr>
    </w:p>
    <w:p w14:paraId="1782CB71" w14:textId="77777777" w:rsidR="0006309D" w:rsidRDefault="0006309D" w:rsidP="0021426A">
      <w:pPr>
        <w:pStyle w:val="Heading3"/>
        <w:jc w:val="left"/>
      </w:pPr>
      <w:r w:rsidRPr="004F2409">
        <w:t>El</w:t>
      </w:r>
      <w:r w:rsidRPr="004F2409">
        <w:rPr>
          <w:spacing w:val="1"/>
        </w:rPr>
        <w:t>d</w:t>
      </w:r>
      <w:r w:rsidRPr="004F2409">
        <w:rPr>
          <w:spacing w:val="-1"/>
        </w:rPr>
        <w:t>er</w:t>
      </w:r>
      <w:r w:rsidRPr="004F2409">
        <w:t xml:space="preserve">ly </w:t>
      </w:r>
      <w:r w:rsidR="004F2409" w:rsidRPr="004F2409">
        <w:rPr>
          <w:spacing w:val="1"/>
        </w:rPr>
        <w:t>P</w:t>
      </w:r>
      <w:r w:rsidR="004F2409" w:rsidRPr="004F2409">
        <w:t>ati</w:t>
      </w:r>
      <w:r w:rsidR="004F2409" w:rsidRPr="004F2409">
        <w:rPr>
          <w:spacing w:val="-1"/>
        </w:rPr>
        <w:t>e</w:t>
      </w:r>
      <w:r w:rsidR="004F2409" w:rsidRPr="004F2409">
        <w:rPr>
          <w:spacing w:val="1"/>
        </w:rPr>
        <w:t>n</w:t>
      </w:r>
      <w:r w:rsidR="004F2409" w:rsidRPr="004F2409">
        <w:t>ts</w:t>
      </w:r>
    </w:p>
    <w:p w14:paraId="0FC37D07" w14:textId="77777777" w:rsidR="0006309D" w:rsidRDefault="0006309D" w:rsidP="0021426A">
      <w:pPr>
        <w:pStyle w:val="NormalIndent1"/>
        <w:jc w:val="left"/>
      </w:pPr>
    </w:p>
    <w:p w14:paraId="59A03A40" w14:textId="5713E5E0" w:rsidR="0006309D" w:rsidRDefault="0006309D" w:rsidP="0021426A">
      <w:pPr>
        <w:pStyle w:val="NormalIndent1"/>
        <w:jc w:val="left"/>
      </w:pPr>
      <w:r>
        <w:t>Eld</w:t>
      </w:r>
      <w:r>
        <w:rPr>
          <w:spacing w:val="-1"/>
        </w:rPr>
        <w:t>e</w:t>
      </w:r>
      <w:r>
        <w:t>r</w:t>
      </w:r>
      <w:r>
        <w:rPr>
          <w:spacing w:val="2"/>
        </w:rPr>
        <w:t>l</w:t>
      </w:r>
      <w:r>
        <w:t>y</w:t>
      </w:r>
      <w:r>
        <w:rPr>
          <w:spacing w:val="29"/>
        </w:rPr>
        <w:t xml:space="preserve"> </w:t>
      </w:r>
      <w:r>
        <w:rPr>
          <w:spacing w:val="3"/>
        </w:rPr>
        <w:t>R</w:t>
      </w:r>
      <w:r>
        <w:t>A</w:t>
      </w:r>
      <w:r>
        <w:rPr>
          <w:spacing w:val="33"/>
        </w:rPr>
        <w:t xml:space="preserve"> </w:t>
      </w:r>
      <w:r>
        <w:t>p</w:t>
      </w:r>
      <w:r>
        <w:rPr>
          <w:spacing w:val="-1"/>
        </w:rPr>
        <w:t>a</w:t>
      </w:r>
      <w:r>
        <w:t>t</w:t>
      </w:r>
      <w:r>
        <w:rPr>
          <w:spacing w:val="1"/>
        </w:rPr>
        <w:t>i</w:t>
      </w:r>
      <w:r>
        <w:rPr>
          <w:spacing w:val="-1"/>
        </w:rPr>
        <w:t>e</w:t>
      </w:r>
      <w:r>
        <w:t>nts</w:t>
      </w:r>
      <w:r>
        <w:rPr>
          <w:spacing w:val="34"/>
        </w:rPr>
        <w:t xml:space="preserve"> </w:t>
      </w:r>
      <w:r>
        <w:rPr>
          <w:spacing w:val="1"/>
        </w:rPr>
        <w:t>(</w:t>
      </w:r>
      <w:r w:rsidRPr="001C61BA">
        <w:rPr>
          <w:rFonts w:cstheme="minorHAnsi"/>
          <w:spacing w:val="1"/>
        </w:rPr>
        <w:t>a</w:t>
      </w:r>
      <w:r w:rsidRPr="001C61BA">
        <w:rPr>
          <w:rFonts w:cstheme="minorHAnsi"/>
        </w:rPr>
        <w:t>ge</w:t>
      </w:r>
      <w:r w:rsidRPr="001C61BA">
        <w:rPr>
          <w:rFonts w:cstheme="minorHAnsi"/>
          <w:spacing w:val="35"/>
        </w:rPr>
        <w:t xml:space="preserve"> </w:t>
      </w:r>
      <w:r w:rsidR="001C61BA" w:rsidRPr="001C61BA">
        <w:rPr>
          <w:rFonts w:eastAsia="Symbol" w:cstheme="minorHAnsi"/>
        </w:rPr>
        <w:t>≥</w:t>
      </w:r>
      <w:r w:rsidRPr="001C61BA">
        <w:rPr>
          <w:rFonts w:cstheme="minorHAnsi"/>
          <w:spacing w:val="12"/>
        </w:rPr>
        <w:t xml:space="preserve"> </w:t>
      </w:r>
      <w:r w:rsidRPr="001C61BA">
        <w:rPr>
          <w:rFonts w:cstheme="minorHAnsi"/>
        </w:rPr>
        <w:t>65</w:t>
      </w:r>
      <w:r>
        <w:rPr>
          <w:spacing w:val="38"/>
        </w:rPr>
        <w:t xml:space="preserve"> </w:t>
      </w:r>
      <w:r>
        <w:rPr>
          <w:spacing w:val="-5"/>
        </w:rPr>
        <w:t>y</w:t>
      </w:r>
      <w:r>
        <w:rPr>
          <w:spacing w:val="1"/>
        </w:rPr>
        <w:t>e</w:t>
      </w:r>
      <w:r>
        <w:rPr>
          <w:spacing w:val="-1"/>
        </w:rPr>
        <w:t>a</w:t>
      </w:r>
      <w:r>
        <w:t>rs)</w:t>
      </w:r>
      <w:r>
        <w:rPr>
          <w:spacing w:val="34"/>
        </w:rPr>
        <w:t xml:space="preserve"> </w:t>
      </w:r>
      <w:r>
        <w:t>show</w:t>
      </w:r>
      <w:r>
        <w:rPr>
          <w:spacing w:val="33"/>
        </w:rPr>
        <w:t xml:space="preserve"> </w:t>
      </w:r>
      <w:r>
        <w:t>si</w:t>
      </w:r>
      <w:r>
        <w:rPr>
          <w:spacing w:val="1"/>
        </w:rPr>
        <w:t>m</w:t>
      </w:r>
      <w:r>
        <w:t>i</w:t>
      </w:r>
      <w:r>
        <w:rPr>
          <w:spacing w:val="1"/>
        </w:rPr>
        <w:t>l</w:t>
      </w:r>
      <w:r>
        <w:rPr>
          <w:spacing w:val="-1"/>
        </w:rPr>
        <w:t>a</w:t>
      </w:r>
      <w:r>
        <w:t>r</w:t>
      </w:r>
      <w:r>
        <w:rPr>
          <w:spacing w:val="33"/>
        </w:rPr>
        <w:t xml:space="preserve"> </w:t>
      </w:r>
      <w:r>
        <w:t>s</w:t>
      </w:r>
      <w:r>
        <w:rPr>
          <w:spacing w:val="-1"/>
        </w:rPr>
        <w:t>a</w:t>
      </w:r>
      <w:r>
        <w:rPr>
          <w:spacing w:val="1"/>
        </w:rPr>
        <w:t>f</w:t>
      </w:r>
      <w:r>
        <w:rPr>
          <w:spacing w:val="-1"/>
        </w:rPr>
        <w:t>e</w:t>
      </w:r>
      <w:r>
        <w:rPr>
          <w:spacing w:val="3"/>
        </w:rPr>
        <w:t>t</w:t>
      </w:r>
      <w:r>
        <w:rPr>
          <w:spacing w:val="-5"/>
        </w:rPr>
        <w:t>y</w:t>
      </w:r>
      <w:r>
        <w:t>,</w:t>
      </w:r>
      <w:r>
        <w:rPr>
          <w:spacing w:val="36"/>
        </w:rPr>
        <w:t xml:space="preserve"> </w:t>
      </w:r>
      <w:r>
        <w:rPr>
          <w:spacing w:val="-1"/>
        </w:rPr>
        <w:t>e</w:t>
      </w:r>
      <w:r>
        <w:rPr>
          <w:spacing w:val="1"/>
        </w:rPr>
        <w:t>f</w:t>
      </w:r>
      <w:r>
        <w:t>fi</w:t>
      </w:r>
      <w:r>
        <w:rPr>
          <w:spacing w:val="-1"/>
        </w:rPr>
        <w:t>c</w:t>
      </w:r>
      <w:r>
        <w:rPr>
          <w:spacing w:val="1"/>
        </w:rPr>
        <w:t>a</w:t>
      </w:r>
      <w:r>
        <w:rPr>
          <w:spacing w:val="4"/>
        </w:rPr>
        <w:t>c</w:t>
      </w:r>
      <w:r>
        <w:t>y</w:t>
      </w:r>
      <w:r>
        <w:rPr>
          <w:spacing w:val="29"/>
        </w:rPr>
        <w:t xml:space="preserve"> </w:t>
      </w:r>
      <w:r>
        <w:rPr>
          <w:spacing w:val="-1"/>
        </w:rPr>
        <w:t>a</w:t>
      </w:r>
      <w:r>
        <w:t>nd</w:t>
      </w:r>
      <w:r>
        <w:rPr>
          <w:spacing w:val="38"/>
        </w:rPr>
        <w:t xml:space="preserve"> </w:t>
      </w:r>
      <w:r>
        <w:t>ph</w:t>
      </w:r>
      <w:r>
        <w:rPr>
          <w:spacing w:val="-1"/>
        </w:rPr>
        <w:t>a</w:t>
      </w:r>
      <w:r>
        <w:t>rm</w:t>
      </w:r>
      <w:r>
        <w:rPr>
          <w:spacing w:val="-1"/>
        </w:rPr>
        <w:t>ac</w:t>
      </w:r>
      <w:r>
        <w:t>okinetic pro</w:t>
      </w:r>
      <w:r>
        <w:rPr>
          <w:spacing w:val="-1"/>
        </w:rPr>
        <w:t>f</w:t>
      </w:r>
      <w:r>
        <w:t>i</w:t>
      </w:r>
      <w:r>
        <w:rPr>
          <w:spacing w:val="1"/>
        </w:rPr>
        <w:t>l</w:t>
      </w:r>
      <w:r>
        <w:rPr>
          <w:spacing w:val="-1"/>
        </w:rPr>
        <w:t>e</w:t>
      </w:r>
      <w:r>
        <w:t xml:space="preserve">s </w:t>
      </w:r>
      <w:r>
        <w:rPr>
          <w:spacing w:val="-1"/>
        </w:rPr>
        <w:t>c</w:t>
      </w:r>
      <w:r>
        <w:t>ompa</w:t>
      </w:r>
      <w:r>
        <w:rPr>
          <w:spacing w:val="-1"/>
        </w:rPr>
        <w:t>re</w:t>
      </w:r>
      <w:r>
        <w:t>d</w:t>
      </w:r>
      <w:r>
        <w:rPr>
          <w:spacing w:val="17"/>
        </w:rPr>
        <w:t xml:space="preserve"> </w:t>
      </w:r>
      <w:r>
        <w:t>to</w:t>
      </w:r>
      <w:r>
        <w:rPr>
          <w:spacing w:val="22"/>
        </w:rPr>
        <w:t xml:space="preserve"> </w:t>
      </w:r>
      <w:r>
        <w:rPr>
          <w:spacing w:val="-5"/>
        </w:rPr>
        <w:t>y</w:t>
      </w:r>
      <w:r>
        <w:t>ou</w:t>
      </w:r>
      <w:r>
        <w:rPr>
          <w:spacing w:val="2"/>
        </w:rPr>
        <w:t>n</w:t>
      </w:r>
      <w:r>
        <w:t>g</w:t>
      </w:r>
      <w:r>
        <w:rPr>
          <w:spacing w:val="-1"/>
        </w:rPr>
        <w:t>e</w:t>
      </w:r>
      <w:r>
        <w:t>r</w:t>
      </w:r>
      <w:r>
        <w:rPr>
          <w:spacing w:val="16"/>
        </w:rPr>
        <w:t xml:space="preserve"> </w:t>
      </w:r>
      <w:r>
        <w:rPr>
          <w:spacing w:val="-1"/>
        </w:rPr>
        <w:t>a</w:t>
      </w:r>
      <w:r>
        <w:rPr>
          <w:spacing w:val="2"/>
        </w:rPr>
        <w:t>d</w:t>
      </w:r>
      <w:r>
        <w:t>ult</w:t>
      </w:r>
      <w:r>
        <w:rPr>
          <w:spacing w:val="17"/>
        </w:rPr>
        <w:t xml:space="preserve"> </w:t>
      </w:r>
      <w:r>
        <w:t>p</w:t>
      </w:r>
      <w:r>
        <w:rPr>
          <w:spacing w:val="-1"/>
        </w:rPr>
        <w:t>a</w:t>
      </w:r>
      <w:r>
        <w:t>t</w:t>
      </w:r>
      <w:r>
        <w:rPr>
          <w:spacing w:val="1"/>
        </w:rPr>
        <w:t>i</w:t>
      </w:r>
      <w:r>
        <w:rPr>
          <w:spacing w:val="-1"/>
        </w:rPr>
        <w:t>e</w:t>
      </w:r>
      <w:r>
        <w:t>nts</w:t>
      </w:r>
      <w:r>
        <w:rPr>
          <w:spacing w:val="17"/>
        </w:rPr>
        <w:t xml:space="preserve"> </w:t>
      </w:r>
      <w:r>
        <w:t>tr</w:t>
      </w:r>
      <w:r>
        <w:rPr>
          <w:spacing w:val="-1"/>
        </w:rPr>
        <w:t>ea</w:t>
      </w:r>
      <w:r>
        <w:t>ted</w:t>
      </w:r>
      <w:r>
        <w:rPr>
          <w:spacing w:val="16"/>
        </w:rPr>
        <w:t xml:space="preserve"> </w:t>
      </w:r>
      <w:r>
        <w:t>with</w:t>
      </w:r>
      <w:r>
        <w:rPr>
          <w:spacing w:val="19"/>
        </w:rPr>
        <w:t xml:space="preserve"> </w:t>
      </w:r>
      <w:r w:rsidR="003D1456">
        <w:t>Rymti</w:t>
      </w:r>
      <w:r>
        <w:t xml:space="preserve">. </w:t>
      </w:r>
      <w:r>
        <w:rPr>
          <w:spacing w:val="33"/>
        </w:rPr>
        <w:t xml:space="preserve"> </w:t>
      </w:r>
      <w:r>
        <w:t>Do</w:t>
      </w:r>
      <w:r>
        <w:rPr>
          <w:spacing w:val="2"/>
        </w:rPr>
        <w:t>s</w:t>
      </w:r>
      <w:r>
        <w:t>e</w:t>
      </w:r>
      <w:r>
        <w:rPr>
          <w:spacing w:val="16"/>
        </w:rPr>
        <w:t xml:space="preserve"> </w:t>
      </w:r>
      <w:r>
        <w:rPr>
          <w:spacing w:val="-1"/>
        </w:rPr>
        <w:t>a</w:t>
      </w:r>
      <w:r>
        <w:t>djus</w:t>
      </w:r>
      <w:r>
        <w:rPr>
          <w:spacing w:val="3"/>
        </w:rPr>
        <w:t>t</w:t>
      </w:r>
      <w:r>
        <w:t>ment</w:t>
      </w:r>
      <w:r>
        <w:rPr>
          <w:spacing w:val="17"/>
        </w:rPr>
        <w:t xml:space="preserve"> </w:t>
      </w:r>
      <w:r>
        <w:t>is</w:t>
      </w:r>
      <w:r>
        <w:rPr>
          <w:spacing w:val="17"/>
        </w:rPr>
        <w:t xml:space="preserve"> </w:t>
      </w:r>
      <w:r>
        <w:t>not</w:t>
      </w:r>
      <w:r>
        <w:rPr>
          <w:spacing w:val="17"/>
        </w:rPr>
        <w:t xml:space="preserve"> </w:t>
      </w:r>
      <w:r>
        <w:t>n</w:t>
      </w:r>
      <w:r>
        <w:rPr>
          <w:spacing w:val="-1"/>
        </w:rPr>
        <w:t>ee</w:t>
      </w:r>
      <w:r>
        <w:t>d</w:t>
      </w:r>
      <w:r>
        <w:rPr>
          <w:spacing w:val="-1"/>
        </w:rPr>
        <w:t>e</w:t>
      </w:r>
      <w:r>
        <w:t>d</w:t>
      </w:r>
      <w:r>
        <w:rPr>
          <w:spacing w:val="17"/>
        </w:rPr>
        <w:t xml:space="preserve"> </w:t>
      </w:r>
      <w:r>
        <w:t>f</w:t>
      </w:r>
      <w:r>
        <w:rPr>
          <w:spacing w:val="1"/>
        </w:rPr>
        <w:t>o</w:t>
      </w:r>
      <w:r>
        <w:t>r</w:t>
      </w:r>
      <w:r>
        <w:rPr>
          <w:spacing w:val="16"/>
        </w:rPr>
        <w:t xml:space="preserve"> </w:t>
      </w:r>
      <w:r>
        <w:t xml:space="preserve">the </w:t>
      </w:r>
      <w:r>
        <w:rPr>
          <w:spacing w:val="-1"/>
        </w:rPr>
        <w:t>e</w:t>
      </w:r>
      <w:r>
        <w:t>lde</w:t>
      </w:r>
      <w:r>
        <w:rPr>
          <w:spacing w:val="-1"/>
        </w:rPr>
        <w:t>r</w:t>
      </w:r>
      <w:r>
        <w:rPr>
          <w:spacing w:val="5"/>
        </w:rPr>
        <w:t>l</w:t>
      </w:r>
      <w:r>
        <w:rPr>
          <w:spacing w:val="-5"/>
        </w:rPr>
        <w:t>y</w:t>
      </w:r>
      <w:r>
        <w:t>.  Ho</w:t>
      </w:r>
      <w:r>
        <w:rPr>
          <w:spacing w:val="-1"/>
        </w:rPr>
        <w:t>we</w:t>
      </w:r>
      <w:r>
        <w:rPr>
          <w:spacing w:val="2"/>
        </w:rPr>
        <w:t>v</w:t>
      </w:r>
      <w:r>
        <w:t>er,</w:t>
      </w:r>
      <w:r>
        <w:rPr>
          <w:spacing w:val="52"/>
        </w:rPr>
        <w:t xml:space="preserve"> </w:t>
      </w:r>
      <w:r>
        <w:rPr>
          <w:spacing w:val="-1"/>
        </w:rPr>
        <w:t>a</w:t>
      </w:r>
      <w:r>
        <w:t>s</w:t>
      </w:r>
      <w:r>
        <w:rPr>
          <w:spacing w:val="50"/>
        </w:rPr>
        <w:t xml:space="preserve"> </w:t>
      </w:r>
      <w:r>
        <w:t>with</w:t>
      </w:r>
      <w:r>
        <w:rPr>
          <w:spacing w:val="51"/>
        </w:rPr>
        <w:t xml:space="preserve"> </w:t>
      </w:r>
      <w:r>
        <w:t>other</w:t>
      </w:r>
      <w:r>
        <w:rPr>
          <w:spacing w:val="49"/>
        </w:rPr>
        <w:t xml:space="preserve"> </w:t>
      </w:r>
      <w:r>
        <w:t>medi</w:t>
      </w:r>
      <w:r>
        <w:rPr>
          <w:spacing w:val="-1"/>
        </w:rPr>
        <w:t>c</w:t>
      </w:r>
      <w:r>
        <w:t>inal</w:t>
      </w:r>
      <w:r>
        <w:rPr>
          <w:spacing w:val="50"/>
        </w:rPr>
        <w:t xml:space="preserve"> </w:t>
      </w:r>
      <w:r>
        <w:t>p</w:t>
      </w:r>
      <w:r>
        <w:rPr>
          <w:spacing w:val="1"/>
        </w:rPr>
        <w:t>r</w:t>
      </w:r>
      <w:r>
        <w:t>odu</w:t>
      </w:r>
      <w:r>
        <w:rPr>
          <w:spacing w:val="-1"/>
        </w:rPr>
        <w:t>c</w:t>
      </w:r>
      <w:r>
        <w:t>ts,</w:t>
      </w:r>
      <w:r>
        <w:rPr>
          <w:spacing w:val="51"/>
        </w:rPr>
        <w:t xml:space="preserve"> </w:t>
      </w:r>
      <w:r>
        <w:rPr>
          <w:spacing w:val="-2"/>
        </w:rPr>
        <w:t>g</w:t>
      </w:r>
      <w:r>
        <w:rPr>
          <w:spacing w:val="1"/>
        </w:rPr>
        <w:t>r</w:t>
      </w:r>
      <w:r>
        <w:rPr>
          <w:spacing w:val="-1"/>
        </w:rPr>
        <w:t>ea</w:t>
      </w:r>
      <w:r>
        <w:t>t</w:t>
      </w:r>
      <w:r>
        <w:rPr>
          <w:spacing w:val="2"/>
        </w:rPr>
        <w:t>e</w:t>
      </w:r>
      <w:r>
        <w:t>r</w:t>
      </w:r>
      <w:r>
        <w:rPr>
          <w:spacing w:val="49"/>
        </w:rPr>
        <w:t xml:space="preserve"> </w:t>
      </w:r>
      <w:r>
        <w:t>s</w:t>
      </w:r>
      <w:r>
        <w:rPr>
          <w:spacing w:val="-1"/>
        </w:rPr>
        <w:t>e</w:t>
      </w:r>
      <w:r>
        <w:t>nsi</w:t>
      </w:r>
      <w:r>
        <w:rPr>
          <w:spacing w:val="1"/>
        </w:rPr>
        <w:t>t</w:t>
      </w:r>
      <w:r>
        <w:t>iv</w:t>
      </w:r>
      <w:r>
        <w:rPr>
          <w:spacing w:val="1"/>
        </w:rPr>
        <w:t>i</w:t>
      </w:r>
      <w:r>
        <w:t>ty</w:t>
      </w:r>
      <w:r>
        <w:rPr>
          <w:spacing w:val="48"/>
        </w:rPr>
        <w:t xml:space="preserve"> </w:t>
      </w:r>
      <w:r>
        <w:t>in</w:t>
      </w:r>
      <w:r>
        <w:rPr>
          <w:spacing w:val="51"/>
        </w:rPr>
        <w:t xml:space="preserve"> </w:t>
      </w:r>
      <w:r>
        <w:t>some</w:t>
      </w:r>
      <w:r>
        <w:rPr>
          <w:spacing w:val="-10"/>
        </w:rPr>
        <w:t xml:space="preserve"> </w:t>
      </w:r>
      <w:r>
        <w:t>older</w:t>
      </w:r>
      <w:r>
        <w:rPr>
          <w:spacing w:val="49"/>
        </w:rPr>
        <w:t xml:space="preserve"> </w:t>
      </w:r>
      <w:r>
        <w:rPr>
          <w:spacing w:val="2"/>
        </w:rPr>
        <w:t>p</w:t>
      </w:r>
      <w:r>
        <w:rPr>
          <w:spacing w:val="-1"/>
        </w:rPr>
        <w:t>a</w:t>
      </w:r>
      <w:r>
        <w:t>t</w:t>
      </w:r>
      <w:r>
        <w:rPr>
          <w:spacing w:val="1"/>
        </w:rPr>
        <w:t>i</w:t>
      </w:r>
      <w:r>
        <w:rPr>
          <w:spacing w:val="-1"/>
        </w:rPr>
        <w:t>e</w:t>
      </w:r>
      <w:r>
        <w:t xml:space="preserve">nts </w:t>
      </w:r>
      <w:r>
        <w:rPr>
          <w:spacing w:val="-1"/>
        </w:rPr>
        <w:t>ca</w:t>
      </w:r>
      <w:r>
        <w:t xml:space="preserve">nnot be </w:t>
      </w:r>
      <w:r>
        <w:rPr>
          <w:spacing w:val="-1"/>
        </w:rPr>
        <w:t>r</w:t>
      </w:r>
      <w:r>
        <w:t>uled out.</w:t>
      </w:r>
    </w:p>
    <w:p w14:paraId="72E798BE" w14:textId="77777777" w:rsidR="0006309D" w:rsidRDefault="0006309D" w:rsidP="0021426A">
      <w:pPr>
        <w:pStyle w:val="NormalIndent1"/>
        <w:jc w:val="left"/>
      </w:pPr>
    </w:p>
    <w:p w14:paraId="39DB95A7" w14:textId="77777777" w:rsidR="0006309D" w:rsidRDefault="0006309D" w:rsidP="0021426A">
      <w:pPr>
        <w:pStyle w:val="Heading3"/>
        <w:jc w:val="left"/>
      </w:pPr>
      <w:r w:rsidRPr="001C61BA">
        <w:t>Ch</w:t>
      </w:r>
      <w:r w:rsidRPr="001C61BA">
        <w:rPr>
          <w:spacing w:val="1"/>
        </w:rPr>
        <w:t>i</w:t>
      </w:r>
      <w:r w:rsidRPr="001C61BA">
        <w:t>l</w:t>
      </w:r>
      <w:r w:rsidRPr="001C61BA">
        <w:rPr>
          <w:spacing w:val="1"/>
        </w:rPr>
        <w:t>d</w:t>
      </w:r>
      <w:r w:rsidRPr="001C61BA">
        <w:rPr>
          <w:spacing w:val="-1"/>
        </w:rPr>
        <w:t>re</w:t>
      </w:r>
      <w:r w:rsidRPr="001C61BA">
        <w:t>n</w:t>
      </w:r>
      <w:r w:rsidRPr="001C61BA">
        <w:rPr>
          <w:spacing w:val="1"/>
        </w:rPr>
        <w:t xml:space="preserve"> </w:t>
      </w:r>
      <w:r w:rsidRPr="001C61BA">
        <w:t>a</w:t>
      </w:r>
      <w:r w:rsidRPr="001C61BA">
        <w:rPr>
          <w:spacing w:val="1"/>
        </w:rPr>
        <w:t>n</w:t>
      </w:r>
      <w:r w:rsidRPr="001C61BA">
        <w:t>d</w:t>
      </w:r>
      <w:r w:rsidRPr="001C61BA">
        <w:rPr>
          <w:spacing w:val="1"/>
        </w:rPr>
        <w:t xml:space="preserve"> </w:t>
      </w:r>
      <w:r w:rsidR="004F2409" w:rsidRPr="001C61BA">
        <w:rPr>
          <w:spacing w:val="-2"/>
        </w:rPr>
        <w:t>A</w:t>
      </w:r>
      <w:r w:rsidR="004F2409" w:rsidRPr="001C61BA">
        <w:rPr>
          <w:spacing w:val="1"/>
        </w:rPr>
        <w:t>d</w:t>
      </w:r>
      <w:r w:rsidR="004F2409" w:rsidRPr="001C61BA">
        <w:t>oles</w:t>
      </w:r>
      <w:r w:rsidR="004F2409" w:rsidRPr="001C61BA">
        <w:rPr>
          <w:spacing w:val="-1"/>
        </w:rPr>
        <w:t>ce</w:t>
      </w:r>
      <w:r w:rsidR="004F2409" w:rsidRPr="001C61BA">
        <w:rPr>
          <w:spacing w:val="1"/>
        </w:rPr>
        <w:t>n</w:t>
      </w:r>
      <w:r w:rsidR="004F2409" w:rsidRPr="001C61BA">
        <w:t>ts</w:t>
      </w:r>
    </w:p>
    <w:p w14:paraId="3808FF69" w14:textId="77777777" w:rsidR="00EA7B47" w:rsidRDefault="00EA7B47" w:rsidP="0021426A">
      <w:pPr>
        <w:jc w:val="left"/>
      </w:pPr>
    </w:p>
    <w:p w14:paraId="71550D76" w14:textId="7D272735" w:rsidR="00EA7B47" w:rsidRPr="000A004C" w:rsidRDefault="003D1456" w:rsidP="0021426A">
      <w:pPr>
        <w:pStyle w:val="NormalIndent1"/>
        <w:jc w:val="left"/>
        <w:rPr>
          <w:lang w:val="en-US"/>
        </w:rPr>
      </w:pPr>
      <w:bookmarkStart w:id="0" w:name="_Hlk7447977"/>
      <w:r>
        <w:rPr>
          <w:lang w:val="en-US"/>
        </w:rPr>
        <w:t>Rymti</w:t>
      </w:r>
      <w:r w:rsidR="00EA7B47" w:rsidRPr="000A004C">
        <w:rPr>
          <w:lang w:val="en-US"/>
        </w:rPr>
        <w:t xml:space="preserve"> is only available as 25 mg pre-filled syringe</w:t>
      </w:r>
      <w:r w:rsidR="00DB5D17">
        <w:rPr>
          <w:lang w:val="en-US"/>
        </w:rPr>
        <w:t xml:space="preserve"> and</w:t>
      </w:r>
      <w:r w:rsidR="00EA7B47" w:rsidRPr="000A004C">
        <w:rPr>
          <w:lang w:val="en-US"/>
        </w:rPr>
        <w:t xml:space="preserve"> 50 mg pre-filled syringe.</w:t>
      </w:r>
      <w:r w:rsidR="00276B94">
        <w:rPr>
          <w:lang w:val="en-US"/>
        </w:rPr>
        <w:t xml:space="preserve">   </w:t>
      </w:r>
    </w:p>
    <w:p w14:paraId="66F2497F" w14:textId="77777777" w:rsidR="00EA7B47" w:rsidRPr="000A004C" w:rsidRDefault="00EA7B47" w:rsidP="0021426A">
      <w:pPr>
        <w:pStyle w:val="NormalIndent1"/>
        <w:jc w:val="left"/>
        <w:rPr>
          <w:lang w:val="en-US"/>
        </w:rPr>
      </w:pPr>
    </w:p>
    <w:p w14:paraId="77FA810C" w14:textId="130680ED" w:rsidR="0006309D" w:rsidRDefault="00721140" w:rsidP="0021426A">
      <w:pPr>
        <w:pStyle w:val="NormalIndent1"/>
        <w:jc w:val="left"/>
      </w:pPr>
      <w:r>
        <w:rPr>
          <w:lang w:val="en-US"/>
        </w:rPr>
        <w:t xml:space="preserve">Rymti should only be administered in children and adolescents </w:t>
      </w:r>
      <w:r w:rsidRPr="00D87E0B">
        <w:rPr>
          <w:lang w:val="en-US"/>
        </w:rPr>
        <w:t xml:space="preserve">weighing </w:t>
      </w:r>
      <w:r>
        <w:rPr>
          <w:lang w:val="en-US"/>
        </w:rPr>
        <w:t>62.5 kg</w:t>
      </w:r>
      <w:r w:rsidR="00813788">
        <w:rPr>
          <w:lang w:val="en-US"/>
        </w:rPr>
        <w:t xml:space="preserve"> or more</w:t>
      </w:r>
      <w:r>
        <w:rPr>
          <w:lang w:val="en-US"/>
        </w:rPr>
        <w:t xml:space="preserve">. </w:t>
      </w:r>
      <w:r w:rsidR="0006309D">
        <w:t>The</w:t>
      </w:r>
      <w:r w:rsidR="0006309D">
        <w:rPr>
          <w:spacing w:val="27"/>
        </w:rPr>
        <w:t xml:space="preserve"> </w:t>
      </w:r>
      <w:r w:rsidR="0006309D">
        <w:t>dos</w:t>
      </w:r>
      <w:r w:rsidR="0006309D">
        <w:rPr>
          <w:spacing w:val="1"/>
        </w:rPr>
        <w:t>a</w:t>
      </w:r>
      <w:r w:rsidR="0006309D">
        <w:rPr>
          <w:spacing w:val="-2"/>
        </w:rPr>
        <w:t>g</w:t>
      </w:r>
      <w:r w:rsidR="0006309D">
        <w:t>e</w:t>
      </w:r>
      <w:r w:rsidR="0006309D">
        <w:rPr>
          <w:spacing w:val="30"/>
        </w:rPr>
        <w:t xml:space="preserve"> </w:t>
      </w:r>
      <w:r w:rsidR="0006309D">
        <w:t>of</w:t>
      </w:r>
      <w:r w:rsidR="0006309D">
        <w:rPr>
          <w:spacing w:val="28"/>
        </w:rPr>
        <w:t xml:space="preserve"> </w:t>
      </w:r>
      <w:r w:rsidR="003D1456">
        <w:rPr>
          <w:spacing w:val="2"/>
        </w:rPr>
        <w:t>Rymti</w:t>
      </w:r>
      <w:r w:rsidR="00EA7B47">
        <w:rPr>
          <w:spacing w:val="28"/>
        </w:rPr>
        <w:t xml:space="preserve"> </w:t>
      </w:r>
      <w:r w:rsidR="0006309D">
        <w:t>is</w:t>
      </w:r>
      <w:r w:rsidR="0006309D">
        <w:rPr>
          <w:spacing w:val="29"/>
        </w:rPr>
        <w:t xml:space="preserve"> </w:t>
      </w:r>
      <w:r w:rsidR="0006309D">
        <w:t>b</w:t>
      </w:r>
      <w:r w:rsidR="0006309D">
        <w:rPr>
          <w:spacing w:val="-1"/>
        </w:rPr>
        <w:t>a</w:t>
      </w:r>
      <w:r w:rsidR="0006309D">
        <w:t>s</w:t>
      </w:r>
      <w:r w:rsidR="0006309D">
        <w:rPr>
          <w:spacing w:val="-1"/>
        </w:rPr>
        <w:t>e</w:t>
      </w:r>
      <w:r w:rsidR="0006309D">
        <w:t>d</w:t>
      </w:r>
      <w:r w:rsidR="0006309D">
        <w:rPr>
          <w:spacing w:val="29"/>
        </w:rPr>
        <w:t xml:space="preserve"> </w:t>
      </w:r>
      <w:r w:rsidR="0006309D">
        <w:t>on</w:t>
      </w:r>
      <w:r w:rsidR="0006309D">
        <w:rPr>
          <w:spacing w:val="29"/>
        </w:rPr>
        <w:t xml:space="preserve"> </w:t>
      </w:r>
      <w:r w:rsidR="0006309D">
        <w:t>bo</w:t>
      </w:r>
      <w:r w:rsidR="0006309D">
        <w:rPr>
          <w:spacing w:val="5"/>
        </w:rPr>
        <w:t>d</w:t>
      </w:r>
      <w:r w:rsidR="0006309D">
        <w:t>y</w:t>
      </w:r>
      <w:r w:rsidR="0006309D">
        <w:rPr>
          <w:spacing w:val="26"/>
        </w:rPr>
        <w:t xml:space="preserve"> </w:t>
      </w:r>
      <w:r w:rsidR="0006309D">
        <w:t>w</w:t>
      </w:r>
      <w:r w:rsidR="0006309D">
        <w:rPr>
          <w:spacing w:val="-1"/>
        </w:rPr>
        <w:t>e</w:t>
      </w:r>
      <w:r w:rsidR="0006309D">
        <w:rPr>
          <w:spacing w:val="3"/>
        </w:rPr>
        <w:t>i</w:t>
      </w:r>
      <w:r w:rsidR="0006309D">
        <w:t>ght</w:t>
      </w:r>
      <w:r w:rsidR="0006309D">
        <w:rPr>
          <w:spacing w:val="29"/>
        </w:rPr>
        <w:t xml:space="preserve"> </w:t>
      </w:r>
      <w:r w:rsidR="0006309D">
        <w:t>for</w:t>
      </w:r>
      <w:r w:rsidR="0006309D">
        <w:rPr>
          <w:spacing w:val="27"/>
        </w:rPr>
        <w:t xml:space="preserve"> </w:t>
      </w:r>
      <w:r w:rsidR="00B442D7">
        <w:t>children and adolescents</w:t>
      </w:r>
      <w:r w:rsidR="00276B94">
        <w:t>.</w:t>
      </w:r>
      <w:r w:rsidR="00B442D7">
        <w:rPr>
          <w:spacing w:val="28"/>
        </w:rPr>
        <w:t xml:space="preserve"> </w:t>
      </w:r>
      <w:r w:rsidR="0006309D">
        <w:rPr>
          <w:spacing w:val="1"/>
        </w:rPr>
        <w:t>P</w:t>
      </w:r>
      <w:r w:rsidR="0006309D">
        <w:rPr>
          <w:spacing w:val="-1"/>
        </w:rPr>
        <w:t>a</w:t>
      </w:r>
      <w:r w:rsidR="0006309D">
        <w:t>t</w:t>
      </w:r>
      <w:r w:rsidR="0006309D">
        <w:rPr>
          <w:spacing w:val="1"/>
        </w:rPr>
        <w:t>i</w:t>
      </w:r>
      <w:r w:rsidR="0006309D">
        <w:rPr>
          <w:spacing w:val="-1"/>
        </w:rPr>
        <w:t>e</w:t>
      </w:r>
      <w:r w:rsidR="0006309D">
        <w:t>nts</w:t>
      </w:r>
      <w:r w:rsidR="0006309D">
        <w:rPr>
          <w:spacing w:val="29"/>
        </w:rPr>
        <w:t xml:space="preserve"> </w:t>
      </w:r>
      <w:r w:rsidR="0006309D">
        <w:t>w</w:t>
      </w:r>
      <w:r w:rsidR="0006309D">
        <w:rPr>
          <w:spacing w:val="-1"/>
        </w:rPr>
        <w:t>e</w:t>
      </w:r>
      <w:r w:rsidR="0006309D">
        <w:rPr>
          <w:spacing w:val="3"/>
        </w:rPr>
        <w:t>i</w:t>
      </w:r>
      <w:r w:rsidR="0006309D">
        <w:rPr>
          <w:spacing w:val="-2"/>
        </w:rPr>
        <w:t>g</w:t>
      </w:r>
      <w:r w:rsidR="0006309D">
        <w:t>hi</w:t>
      </w:r>
      <w:r w:rsidR="0006309D">
        <w:rPr>
          <w:spacing w:val="3"/>
        </w:rPr>
        <w:t>n</w:t>
      </w:r>
      <w:r w:rsidR="0006309D">
        <w:t>g</w:t>
      </w:r>
      <w:r w:rsidR="0006309D">
        <w:rPr>
          <w:spacing w:val="26"/>
        </w:rPr>
        <w:t xml:space="preserve"> </w:t>
      </w:r>
      <w:r w:rsidR="0006309D">
        <w:t>less than</w:t>
      </w:r>
      <w:r w:rsidR="0006309D">
        <w:rPr>
          <w:spacing w:val="4"/>
        </w:rPr>
        <w:t xml:space="preserve"> </w:t>
      </w:r>
      <w:r w:rsidR="0006309D">
        <w:t>62.5</w:t>
      </w:r>
      <w:r w:rsidR="0006309D">
        <w:rPr>
          <w:spacing w:val="5"/>
        </w:rPr>
        <w:t xml:space="preserve"> </w:t>
      </w:r>
      <w:r w:rsidR="0006309D">
        <w:t>kg</w:t>
      </w:r>
      <w:r w:rsidR="0006309D">
        <w:rPr>
          <w:spacing w:val="2"/>
        </w:rPr>
        <w:t xml:space="preserve"> </w:t>
      </w:r>
      <w:r w:rsidR="0006309D">
        <w:t>should</w:t>
      </w:r>
      <w:r w:rsidR="0006309D">
        <w:rPr>
          <w:spacing w:val="5"/>
        </w:rPr>
        <w:t xml:space="preserve"> </w:t>
      </w:r>
      <w:r w:rsidR="0006309D">
        <w:t>be</w:t>
      </w:r>
      <w:r w:rsidR="0006309D">
        <w:rPr>
          <w:spacing w:val="4"/>
        </w:rPr>
        <w:t xml:space="preserve"> </w:t>
      </w:r>
      <w:r w:rsidR="0006309D">
        <w:rPr>
          <w:spacing w:val="1"/>
        </w:rPr>
        <w:t>a</w:t>
      </w:r>
      <w:r w:rsidR="0006309D">
        <w:rPr>
          <w:spacing w:val="-1"/>
        </w:rPr>
        <w:t>cc</w:t>
      </w:r>
      <w:r w:rsidR="0006309D">
        <w:t>ur</w:t>
      </w:r>
      <w:r w:rsidR="0006309D">
        <w:rPr>
          <w:spacing w:val="-2"/>
        </w:rPr>
        <w:t>a</w:t>
      </w:r>
      <w:r w:rsidR="0006309D">
        <w:rPr>
          <w:spacing w:val="3"/>
        </w:rPr>
        <w:t>t</w:t>
      </w:r>
      <w:r w:rsidR="0006309D">
        <w:rPr>
          <w:spacing w:val="-1"/>
        </w:rPr>
        <w:t>e</w:t>
      </w:r>
      <w:r w:rsidR="0006309D">
        <w:rPr>
          <w:spacing w:val="3"/>
        </w:rPr>
        <w:t>l</w:t>
      </w:r>
      <w:r w:rsidR="0006309D">
        <w:t>y d</w:t>
      </w:r>
      <w:r w:rsidR="0006309D">
        <w:rPr>
          <w:spacing w:val="3"/>
        </w:rPr>
        <w:t>o</w:t>
      </w:r>
      <w:r w:rsidR="0006309D">
        <w:rPr>
          <w:spacing w:val="2"/>
        </w:rPr>
        <w:t>s</w:t>
      </w:r>
      <w:r w:rsidR="0006309D">
        <w:rPr>
          <w:spacing w:val="-1"/>
        </w:rPr>
        <w:t>e</w:t>
      </w:r>
      <w:r w:rsidR="0006309D">
        <w:t>d</w:t>
      </w:r>
      <w:r w:rsidR="0006309D">
        <w:rPr>
          <w:spacing w:val="5"/>
        </w:rPr>
        <w:t xml:space="preserve"> </w:t>
      </w:r>
      <w:r w:rsidR="0006309D">
        <w:t>on</w:t>
      </w:r>
      <w:r w:rsidR="0006309D">
        <w:rPr>
          <w:spacing w:val="5"/>
        </w:rPr>
        <w:t xml:space="preserve"> </w:t>
      </w:r>
      <w:r w:rsidR="0006309D">
        <w:t>a</w:t>
      </w:r>
      <w:r w:rsidR="0006309D">
        <w:rPr>
          <w:spacing w:val="4"/>
        </w:rPr>
        <w:t xml:space="preserve"> </w:t>
      </w:r>
      <w:r w:rsidR="0006309D">
        <w:rPr>
          <w:spacing w:val="3"/>
        </w:rPr>
        <w:t>m</w:t>
      </w:r>
      <w:r w:rsidR="0006309D">
        <w:rPr>
          <w:spacing w:val="-2"/>
        </w:rPr>
        <w:t>g</w:t>
      </w:r>
      <w:r w:rsidR="0006309D">
        <w:t>/kg</w:t>
      </w:r>
      <w:r w:rsidR="0006309D">
        <w:rPr>
          <w:spacing w:val="3"/>
        </w:rPr>
        <w:t xml:space="preserve"> </w:t>
      </w:r>
      <w:r w:rsidR="0006309D">
        <w:t>b</w:t>
      </w:r>
      <w:r w:rsidR="0006309D">
        <w:rPr>
          <w:spacing w:val="-1"/>
        </w:rPr>
        <w:t>a</w:t>
      </w:r>
      <w:r w:rsidR="0006309D">
        <w:t>sis</w:t>
      </w:r>
      <w:r w:rsidR="0006309D">
        <w:rPr>
          <w:spacing w:val="5"/>
        </w:rPr>
        <w:t xml:space="preserve"> </w:t>
      </w:r>
      <w:r w:rsidR="0006309D">
        <w:t>usi</w:t>
      </w:r>
      <w:r w:rsidR="0006309D">
        <w:rPr>
          <w:spacing w:val="3"/>
        </w:rPr>
        <w:t>n</w:t>
      </w:r>
      <w:r w:rsidR="0006309D">
        <w:t>g</w:t>
      </w:r>
      <w:r w:rsidR="0006309D">
        <w:rPr>
          <w:spacing w:val="2"/>
        </w:rPr>
        <w:t xml:space="preserve"> </w:t>
      </w:r>
      <w:r w:rsidR="00EA7B47">
        <w:rPr>
          <w:lang w:val="en-US"/>
        </w:rPr>
        <w:t>other etanercept products</w:t>
      </w:r>
      <w:r w:rsidR="00EA7B47" w:rsidRPr="000A004C">
        <w:rPr>
          <w:lang w:val="en-US"/>
        </w:rPr>
        <w:t xml:space="preserve"> </w:t>
      </w:r>
      <w:bookmarkEnd w:id="0"/>
      <w:r w:rsidR="0006309D">
        <w:t>(s</w:t>
      </w:r>
      <w:r w:rsidR="0006309D">
        <w:rPr>
          <w:spacing w:val="-1"/>
        </w:rPr>
        <w:t>e</w:t>
      </w:r>
      <w:r w:rsidR="0006309D">
        <w:t>e b</w:t>
      </w:r>
      <w:r w:rsidR="0006309D">
        <w:rPr>
          <w:spacing w:val="-1"/>
        </w:rPr>
        <w:t>e</w:t>
      </w:r>
      <w:r w:rsidR="0006309D">
        <w:t>low</w:t>
      </w:r>
      <w:r w:rsidR="0006309D">
        <w:rPr>
          <w:spacing w:val="15"/>
        </w:rPr>
        <w:t xml:space="preserve"> </w:t>
      </w:r>
      <w:r w:rsidR="0006309D">
        <w:t>for</w:t>
      </w:r>
      <w:r w:rsidR="0006309D">
        <w:rPr>
          <w:spacing w:val="16"/>
        </w:rPr>
        <w:t xml:space="preserve"> </w:t>
      </w:r>
      <w:r w:rsidR="0006309D">
        <w:t>dosing</w:t>
      </w:r>
      <w:r w:rsidR="0006309D">
        <w:rPr>
          <w:spacing w:val="15"/>
        </w:rPr>
        <w:t xml:space="preserve"> </w:t>
      </w:r>
      <w:r w:rsidR="0006309D">
        <w:t>for</w:t>
      </w:r>
      <w:r w:rsidR="0006309D">
        <w:rPr>
          <w:spacing w:val="16"/>
        </w:rPr>
        <w:t xml:space="preserve"> </w:t>
      </w:r>
      <w:r w:rsidR="0006309D">
        <w:t>sp</w:t>
      </w:r>
      <w:r w:rsidR="0006309D">
        <w:rPr>
          <w:spacing w:val="1"/>
        </w:rPr>
        <w:t>e</w:t>
      </w:r>
      <w:r w:rsidR="0006309D">
        <w:rPr>
          <w:spacing w:val="-1"/>
        </w:rPr>
        <w:t>c</w:t>
      </w:r>
      <w:r w:rsidR="0006309D">
        <w:t>ific</w:t>
      </w:r>
      <w:r w:rsidR="0006309D">
        <w:rPr>
          <w:spacing w:val="15"/>
        </w:rPr>
        <w:t xml:space="preserve"> </w:t>
      </w:r>
      <w:r w:rsidR="0006309D">
        <w:t>ind</w:t>
      </w:r>
      <w:r w:rsidR="0006309D">
        <w:rPr>
          <w:spacing w:val="1"/>
        </w:rPr>
        <w:t>i</w:t>
      </w:r>
      <w:r w:rsidR="0006309D">
        <w:rPr>
          <w:spacing w:val="-1"/>
        </w:rPr>
        <w:t>ca</w:t>
      </w:r>
      <w:r w:rsidR="0006309D">
        <w:t>t</w:t>
      </w:r>
      <w:r w:rsidR="0006309D">
        <w:rPr>
          <w:spacing w:val="1"/>
        </w:rPr>
        <w:t>i</w:t>
      </w:r>
      <w:r w:rsidR="0006309D">
        <w:t xml:space="preserve">ons). </w:t>
      </w:r>
      <w:r w:rsidR="0006309D">
        <w:rPr>
          <w:spacing w:val="38"/>
        </w:rPr>
        <w:t xml:space="preserve"> </w:t>
      </w:r>
      <w:r w:rsidR="0006309D">
        <w:rPr>
          <w:spacing w:val="1"/>
        </w:rPr>
        <w:t>P</w:t>
      </w:r>
      <w:r w:rsidR="0006309D">
        <w:rPr>
          <w:spacing w:val="-1"/>
        </w:rPr>
        <w:t>a</w:t>
      </w:r>
      <w:r w:rsidR="0006309D">
        <w:t>t</w:t>
      </w:r>
      <w:r w:rsidR="0006309D">
        <w:rPr>
          <w:spacing w:val="1"/>
        </w:rPr>
        <w:t>ie</w:t>
      </w:r>
      <w:r w:rsidR="0006309D">
        <w:t>nts</w:t>
      </w:r>
      <w:r w:rsidR="0006309D">
        <w:rPr>
          <w:spacing w:val="16"/>
        </w:rPr>
        <w:t xml:space="preserve"> </w:t>
      </w:r>
      <w:r w:rsidR="0006309D">
        <w:t>w</w:t>
      </w:r>
      <w:r w:rsidR="0006309D">
        <w:rPr>
          <w:spacing w:val="-1"/>
        </w:rPr>
        <w:t>e</w:t>
      </w:r>
      <w:r w:rsidR="0006309D">
        <w:t>i</w:t>
      </w:r>
      <w:r w:rsidR="0006309D">
        <w:rPr>
          <w:spacing w:val="-2"/>
        </w:rPr>
        <w:t>g</w:t>
      </w:r>
      <w:r w:rsidR="0006309D">
        <w:t>hi</w:t>
      </w:r>
      <w:r w:rsidR="0006309D">
        <w:rPr>
          <w:spacing w:val="3"/>
        </w:rPr>
        <w:t>n</w:t>
      </w:r>
      <w:r w:rsidR="0006309D">
        <w:t>g</w:t>
      </w:r>
      <w:r w:rsidR="0006309D">
        <w:rPr>
          <w:spacing w:val="15"/>
        </w:rPr>
        <w:t xml:space="preserve"> </w:t>
      </w:r>
      <w:r w:rsidR="0006309D">
        <w:t xml:space="preserve">62.5 </w:t>
      </w:r>
      <w:r w:rsidR="0006309D">
        <w:rPr>
          <w:spacing w:val="2"/>
        </w:rPr>
        <w:t>k</w:t>
      </w:r>
      <w:r w:rsidR="0006309D">
        <w:t>g</w:t>
      </w:r>
      <w:r w:rsidR="0006309D">
        <w:rPr>
          <w:spacing w:val="13"/>
        </w:rPr>
        <w:t xml:space="preserve"> </w:t>
      </w:r>
      <w:r w:rsidR="0006309D">
        <w:t>or</w:t>
      </w:r>
      <w:r w:rsidR="0006309D">
        <w:rPr>
          <w:spacing w:val="19"/>
        </w:rPr>
        <w:t xml:space="preserve"> </w:t>
      </w:r>
      <w:r w:rsidR="0006309D">
        <w:t>more</w:t>
      </w:r>
      <w:r w:rsidR="0006309D">
        <w:rPr>
          <w:spacing w:val="15"/>
        </w:rPr>
        <w:t xml:space="preserve"> </w:t>
      </w:r>
      <w:r w:rsidR="0006309D">
        <w:rPr>
          <w:spacing w:val="-1"/>
        </w:rPr>
        <w:t>a</w:t>
      </w:r>
      <w:r w:rsidR="0006309D">
        <w:t>nd</w:t>
      </w:r>
      <w:r w:rsidR="0006309D">
        <w:rPr>
          <w:spacing w:val="18"/>
        </w:rPr>
        <w:t xml:space="preserve"> </w:t>
      </w:r>
      <w:r w:rsidR="0006309D">
        <w:t>re</w:t>
      </w:r>
      <w:r w:rsidR="0006309D">
        <w:rPr>
          <w:spacing w:val="-1"/>
        </w:rPr>
        <w:t>ce</w:t>
      </w:r>
      <w:r w:rsidR="0006309D">
        <w:t>iv</w:t>
      </w:r>
      <w:r w:rsidR="0006309D">
        <w:rPr>
          <w:spacing w:val="1"/>
        </w:rPr>
        <w:t>i</w:t>
      </w:r>
      <w:r w:rsidR="0006309D">
        <w:rPr>
          <w:spacing w:val="2"/>
        </w:rPr>
        <w:t>n</w:t>
      </w:r>
      <w:r w:rsidR="0006309D">
        <w:t>g</w:t>
      </w:r>
      <w:r w:rsidR="0006309D">
        <w:rPr>
          <w:spacing w:val="13"/>
        </w:rPr>
        <w:t xml:space="preserve"> </w:t>
      </w:r>
      <w:r w:rsidR="0006309D">
        <w:t>on</w:t>
      </w:r>
      <w:r w:rsidR="0006309D">
        <w:rPr>
          <w:spacing w:val="1"/>
        </w:rPr>
        <w:t>c</w:t>
      </w:r>
      <w:r w:rsidR="0006309D">
        <w:t>e w</w:t>
      </w:r>
      <w:r w:rsidR="0006309D">
        <w:rPr>
          <w:spacing w:val="-1"/>
        </w:rPr>
        <w:t>ee</w:t>
      </w:r>
      <w:r w:rsidR="0006309D">
        <w:t>k</w:t>
      </w:r>
      <w:r w:rsidR="0006309D">
        <w:rPr>
          <w:spacing w:val="5"/>
        </w:rPr>
        <w:t>l</w:t>
      </w:r>
      <w:r w:rsidR="0006309D">
        <w:t>y</w:t>
      </w:r>
      <w:r w:rsidR="0006309D">
        <w:rPr>
          <w:spacing w:val="-5"/>
        </w:rPr>
        <w:t xml:space="preserve"> </w:t>
      </w:r>
      <w:r w:rsidR="0006309D">
        <w:t>dos</w:t>
      </w:r>
      <w:r w:rsidR="0006309D">
        <w:rPr>
          <w:spacing w:val="-1"/>
        </w:rPr>
        <w:t>e</w:t>
      </w:r>
      <w:r w:rsidR="0006309D">
        <w:t>s m</w:t>
      </w:r>
      <w:r w:rsidR="0006309D">
        <w:rPr>
          <w:spacing w:val="4"/>
        </w:rPr>
        <w:t>a</w:t>
      </w:r>
      <w:r w:rsidR="0006309D">
        <w:t>y</w:t>
      </w:r>
      <w:r w:rsidR="0006309D">
        <w:rPr>
          <w:spacing w:val="-5"/>
        </w:rPr>
        <w:t xml:space="preserve"> </w:t>
      </w:r>
      <w:r w:rsidR="0006309D">
        <w:rPr>
          <w:spacing w:val="2"/>
        </w:rPr>
        <w:t>b</w:t>
      </w:r>
      <w:r w:rsidR="0006309D">
        <w:t>e</w:t>
      </w:r>
      <w:r w:rsidR="0006309D">
        <w:rPr>
          <w:spacing w:val="-1"/>
        </w:rPr>
        <w:t xml:space="preserve"> </w:t>
      </w:r>
      <w:r w:rsidR="0006309D">
        <w:t>do</w:t>
      </w:r>
      <w:r w:rsidR="0006309D">
        <w:rPr>
          <w:spacing w:val="2"/>
        </w:rPr>
        <w:t>s</w:t>
      </w:r>
      <w:r w:rsidR="0006309D">
        <w:rPr>
          <w:spacing w:val="-1"/>
        </w:rPr>
        <w:t>e</w:t>
      </w:r>
      <w:r w:rsidR="0006309D">
        <w:t>d using a</w:t>
      </w:r>
      <w:r w:rsidR="0006309D">
        <w:rPr>
          <w:spacing w:val="1"/>
        </w:rPr>
        <w:t xml:space="preserve"> </w:t>
      </w:r>
      <w:r w:rsidR="0006309D">
        <w:t>50 mg (in 1 m</w:t>
      </w:r>
      <w:r w:rsidR="0006309D">
        <w:rPr>
          <w:spacing w:val="-2"/>
        </w:rPr>
        <w:t>L</w:t>
      </w:r>
      <w:r w:rsidR="0006309D">
        <w:t>)</w:t>
      </w:r>
      <w:r w:rsidR="0006309D">
        <w:rPr>
          <w:spacing w:val="2"/>
        </w:rPr>
        <w:t xml:space="preserve"> </w:t>
      </w:r>
      <w:r w:rsidR="0006309D">
        <w:t>fi</w:t>
      </w:r>
      <w:r w:rsidR="0006309D">
        <w:rPr>
          <w:spacing w:val="2"/>
        </w:rPr>
        <w:t>x</w:t>
      </w:r>
      <w:r w:rsidR="0006309D">
        <w:rPr>
          <w:spacing w:val="-1"/>
        </w:rPr>
        <w:t>e</w:t>
      </w:r>
      <w:r w:rsidR="0006309D">
        <w:t>d</w:t>
      </w:r>
      <w:r w:rsidR="0006309D">
        <w:rPr>
          <w:spacing w:val="-1"/>
        </w:rPr>
        <w:t>-</w:t>
      </w:r>
      <w:r w:rsidR="0006309D">
        <w:t>dose</w:t>
      </w:r>
      <w:r w:rsidR="0006309D">
        <w:rPr>
          <w:spacing w:val="-1"/>
        </w:rPr>
        <w:t xml:space="preserve"> </w:t>
      </w:r>
      <w:r w:rsidR="0006309D">
        <w:t>pr</w:t>
      </w:r>
      <w:r w:rsidR="0006309D">
        <w:rPr>
          <w:spacing w:val="-2"/>
        </w:rPr>
        <w:t>e</w:t>
      </w:r>
      <w:r w:rsidR="0006309D">
        <w:rPr>
          <w:spacing w:val="2"/>
        </w:rPr>
        <w:t>-</w:t>
      </w:r>
      <w:r w:rsidR="0006309D">
        <w:t>filled s</w:t>
      </w:r>
      <w:r w:rsidR="0006309D">
        <w:rPr>
          <w:spacing w:val="-5"/>
        </w:rPr>
        <w:t>y</w:t>
      </w:r>
      <w:r w:rsidR="0006309D">
        <w:rPr>
          <w:spacing w:val="1"/>
        </w:rPr>
        <w:t>r</w:t>
      </w:r>
      <w:r w:rsidR="0006309D">
        <w:t>i</w:t>
      </w:r>
      <w:r w:rsidR="0006309D">
        <w:rPr>
          <w:spacing w:val="3"/>
        </w:rPr>
        <w:t>n</w:t>
      </w:r>
      <w:r w:rsidR="0006309D">
        <w:rPr>
          <w:spacing w:val="-2"/>
        </w:rPr>
        <w:t>g</w:t>
      </w:r>
      <w:r w:rsidR="0006309D">
        <w:t>e.</w:t>
      </w:r>
    </w:p>
    <w:p w14:paraId="6035A97C" w14:textId="77777777" w:rsidR="0006309D" w:rsidRDefault="0006309D" w:rsidP="0021426A">
      <w:pPr>
        <w:pStyle w:val="NormalIndent1"/>
        <w:jc w:val="left"/>
      </w:pPr>
    </w:p>
    <w:p w14:paraId="05B3EB44" w14:textId="77777777" w:rsidR="0006309D" w:rsidRDefault="0006309D" w:rsidP="0021426A">
      <w:pPr>
        <w:pStyle w:val="Heading4"/>
        <w:jc w:val="left"/>
      </w:pPr>
      <w:r>
        <w:t>J</w:t>
      </w:r>
      <w:r>
        <w:rPr>
          <w:spacing w:val="1"/>
        </w:rPr>
        <w:t>u</w:t>
      </w:r>
      <w:r>
        <w:rPr>
          <w:spacing w:val="-1"/>
        </w:rPr>
        <w:t>ve</w:t>
      </w:r>
      <w:r>
        <w:rPr>
          <w:spacing w:val="1"/>
        </w:rPr>
        <w:t>n</w:t>
      </w:r>
      <w:r>
        <w:t>i</w:t>
      </w:r>
      <w:r>
        <w:rPr>
          <w:spacing w:val="1"/>
        </w:rPr>
        <w:t>l</w:t>
      </w:r>
      <w:r>
        <w:t>e</w:t>
      </w:r>
      <w:r>
        <w:rPr>
          <w:spacing w:val="-1"/>
        </w:rPr>
        <w:t xml:space="preserve"> </w:t>
      </w:r>
      <w:r w:rsidR="001C61BA">
        <w:t>Id</w:t>
      </w:r>
      <w:r w:rsidR="001C61BA">
        <w:rPr>
          <w:spacing w:val="1"/>
        </w:rPr>
        <w:t>i</w:t>
      </w:r>
      <w:r w:rsidR="001C61BA">
        <w:t>opat</w:t>
      </w:r>
      <w:r w:rsidR="001C61BA">
        <w:rPr>
          <w:spacing w:val="1"/>
        </w:rPr>
        <w:t>h</w:t>
      </w:r>
      <w:r w:rsidR="001C61BA">
        <w:t>ic Ar</w:t>
      </w:r>
      <w:r w:rsidR="001C61BA">
        <w:rPr>
          <w:spacing w:val="-2"/>
        </w:rPr>
        <w:t>t</w:t>
      </w:r>
      <w:r w:rsidR="001C61BA">
        <w:rPr>
          <w:spacing w:val="1"/>
        </w:rPr>
        <w:t>h</w:t>
      </w:r>
      <w:r w:rsidR="001C61BA">
        <w:rPr>
          <w:spacing w:val="-2"/>
        </w:rPr>
        <w:t>r</w:t>
      </w:r>
      <w:r w:rsidR="001C61BA">
        <w:t>i</w:t>
      </w:r>
      <w:r w:rsidR="001C61BA">
        <w:rPr>
          <w:spacing w:val="1"/>
        </w:rPr>
        <w:t>t</w:t>
      </w:r>
      <w:r w:rsidR="001C61BA">
        <w:t>is</w:t>
      </w:r>
      <w:r w:rsidR="001C61BA">
        <w:rPr>
          <w:spacing w:val="3"/>
        </w:rPr>
        <w:t xml:space="preserve"> </w:t>
      </w:r>
      <w:r>
        <w:rPr>
          <w:spacing w:val="-1"/>
        </w:rPr>
        <w:t>(</w:t>
      </w:r>
      <w:r>
        <w:t>age</w:t>
      </w:r>
      <w:r>
        <w:rPr>
          <w:spacing w:val="-1"/>
        </w:rPr>
        <w:t xml:space="preserve"> </w:t>
      </w:r>
      <w:r>
        <w:t xml:space="preserve">2 </w:t>
      </w:r>
      <w:r>
        <w:rPr>
          <w:spacing w:val="-1"/>
        </w:rPr>
        <w:t>ye</w:t>
      </w:r>
      <w:r>
        <w:t>ars a</w:t>
      </w:r>
      <w:r>
        <w:rPr>
          <w:spacing w:val="1"/>
        </w:rPr>
        <w:t>n</w:t>
      </w:r>
      <w:r>
        <w:t>d abo</w:t>
      </w:r>
      <w:r>
        <w:rPr>
          <w:spacing w:val="-1"/>
        </w:rPr>
        <w:t>ve</w:t>
      </w:r>
      <w:r>
        <w:t>)</w:t>
      </w:r>
    </w:p>
    <w:p w14:paraId="625554C9" w14:textId="77777777" w:rsidR="0006309D" w:rsidRDefault="0006309D" w:rsidP="0021426A">
      <w:pPr>
        <w:pStyle w:val="NormalIndent1"/>
        <w:jc w:val="left"/>
      </w:pPr>
    </w:p>
    <w:p w14:paraId="7EA28EFD" w14:textId="77777777" w:rsidR="0006309D" w:rsidRDefault="0006309D" w:rsidP="0021426A">
      <w:pPr>
        <w:pStyle w:val="NormalIndent1"/>
        <w:jc w:val="left"/>
      </w:pPr>
      <w:r>
        <w:t>The</w:t>
      </w:r>
      <w:r>
        <w:rPr>
          <w:spacing w:val="3"/>
        </w:rPr>
        <w:t xml:space="preserve"> </w:t>
      </w:r>
      <w:r>
        <w:t>r</w:t>
      </w:r>
      <w:r>
        <w:rPr>
          <w:spacing w:val="-2"/>
        </w:rPr>
        <w:t>e</w:t>
      </w:r>
      <w:r>
        <w:rPr>
          <w:spacing w:val="-1"/>
        </w:rPr>
        <w:t>c</w:t>
      </w:r>
      <w:r>
        <w:t>om</w:t>
      </w:r>
      <w:r>
        <w:rPr>
          <w:spacing w:val="1"/>
        </w:rPr>
        <w:t>m</w:t>
      </w:r>
      <w:r>
        <w:rPr>
          <w:spacing w:val="-1"/>
        </w:rPr>
        <w:t>e</w:t>
      </w:r>
      <w:r>
        <w:t>nd</w:t>
      </w:r>
      <w:r>
        <w:rPr>
          <w:spacing w:val="-1"/>
        </w:rPr>
        <w:t>e</w:t>
      </w:r>
      <w:r>
        <w:t>d</w:t>
      </w:r>
      <w:r>
        <w:rPr>
          <w:spacing w:val="5"/>
        </w:rPr>
        <w:t xml:space="preserve"> </w:t>
      </w:r>
      <w:r>
        <w:t>dose</w:t>
      </w:r>
      <w:r>
        <w:rPr>
          <w:spacing w:val="4"/>
        </w:rPr>
        <w:t xml:space="preserve"> </w:t>
      </w:r>
      <w:r>
        <w:rPr>
          <w:spacing w:val="1"/>
        </w:rPr>
        <w:t>f</w:t>
      </w:r>
      <w:r>
        <w:t>or</w:t>
      </w:r>
      <w:r>
        <w:rPr>
          <w:spacing w:val="1"/>
        </w:rPr>
        <w:t xml:space="preserve"> </w:t>
      </w:r>
      <w:r>
        <w:rPr>
          <w:spacing w:val="-1"/>
        </w:rPr>
        <w:t>c</w:t>
      </w:r>
      <w:r>
        <w:t>hi</w:t>
      </w:r>
      <w:r>
        <w:rPr>
          <w:spacing w:val="1"/>
        </w:rPr>
        <w:t>l</w:t>
      </w:r>
      <w:r>
        <w:t>dr</w:t>
      </w:r>
      <w:r>
        <w:rPr>
          <w:spacing w:val="-2"/>
        </w:rPr>
        <w:t>e</w:t>
      </w:r>
      <w:r>
        <w:t>n</w:t>
      </w:r>
      <w:r>
        <w:rPr>
          <w:spacing w:val="7"/>
        </w:rPr>
        <w:t xml:space="preserve"> </w:t>
      </w:r>
      <w:r>
        <w:t>2</w:t>
      </w:r>
      <w:r>
        <w:rPr>
          <w:spacing w:val="-1"/>
        </w:rPr>
        <w:t>-</w:t>
      </w:r>
      <w:r>
        <w:t>17</w:t>
      </w:r>
      <w:r>
        <w:rPr>
          <w:spacing w:val="9"/>
        </w:rPr>
        <w:t xml:space="preserve"> </w:t>
      </w:r>
      <w:r>
        <w:rPr>
          <w:spacing w:val="-5"/>
        </w:rPr>
        <w:t>y</w:t>
      </w:r>
      <w:r>
        <w:rPr>
          <w:spacing w:val="1"/>
        </w:rPr>
        <w:t>e</w:t>
      </w:r>
      <w:r>
        <w:rPr>
          <w:spacing w:val="-1"/>
        </w:rPr>
        <w:t>a</w:t>
      </w:r>
      <w:r>
        <w:t>rs</w:t>
      </w:r>
      <w:r>
        <w:rPr>
          <w:spacing w:val="2"/>
        </w:rPr>
        <w:t xml:space="preserve"> o</w:t>
      </w:r>
      <w:r>
        <w:t>f</w:t>
      </w:r>
      <w:r>
        <w:rPr>
          <w:spacing w:val="4"/>
        </w:rPr>
        <w:t xml:space="preserve"> </w:t>
      </w:r>
      <w:r>
        <w:rPr>
          <w:spacing w:val="-1"/>
        </w:rPr>
        <w:t>a</w:t>
      </w:r>
      <w:r>
        <w:t>ge</w:t>
      </w:r>
      <w:r>
        <w:rPr>
          <w:spacing w:val="1"/>
        </w:rPr>
        <w:t xml:space="preserve"> </w:t>
      </w:r>
      <w:r>
        <w:t>is</w:t>
      </w:r>
      <w:r>
        <w:rPr>
          <w:spacing w:val="5"/>
        </w:rPr>
        <w:t xml:space="preserve"> </w:t>
      </w:r>
      <w:r>
        <w:t>0.8</w:t>
      </w:r>
      <w:r>
        <w:rPr>
          <w:spacing w:val="4"/>
        </w:rPr>
        <w:t xml:space="preserve"> </w:t>
      </w:r>
      <w:r>
        <w:rPr>
          <w:spacing w:val="3"/>
        </w:rPr>
        <w:t>m</w:t>
      </w:r>
      <w:r>
        <w:rPr>
          <w:spacing w:val="-2"/>
        </w:rPr>
        <w:t>g</w:t>
      </w:r>
      <w:r>
        <w:t>/</w:t>
      </w:r>
      <w:r>
        <w:rPr>
          <w:spacing w:val="3"/>
        </w:rPr>
        <w:t>k</w:t>
      </w:r>
      <w:r>
        <w:t>g (up</w:t>
      </w:r>
      <w:r>
        <w:rPr>
          <w:spacing w:val="4"/>
        </w:rPr>
        <w:t xml:space="preserve"> </w:t>
      </w:r>
      <w:r>
        <w:t>to</w:t>
      </w:r>
      <w:r>
        <w:rPr>
          <w:spacing w:val="5"/>
        </w:rPr>
        <w:t xml:space="preserve"> </w:t>
      </w:r>
      <w:r>
        <w:t>a</w:t>
      </w:r>
      <w:r>
        <w:rPr>
          <w:spacing w:val="3"/>
        </w:rPr>
        <w:t xml:space="preserve"> </w:t>
      </w:r>
      <w:r>
        <w:t>ma</w:t>
      </w:r>
      <w:r>
        <w:rPr>
          <w:spacing w:val="2"/>
        </w:rPr>
        <w:t>x</w:t>
      </w:r>
      <w:r>
        <w:t>i</w:t>
      </w:r>
      <w:r>
        <w:rPr>
          <w:spacing w:val="1"/>
        </w:rPr>
        <w:t>m</w:t>
      </w:r>
      <w:r>
        <w:t>um</w:t>
      </w:r>
      <w:r>
        <w:rPr>
          <w:spacing w:val="3"/>
        </w:rPr>
        <w:t xml:space="preserve"> </w:t>
      </w:r>
      <w:r>
        <w:t>of</w:t>
      </w:r>
      <w:r>
        <w:rPr>
          <w:spacing w:val="1"/>
        </w:rPr>
        <w:t xml:space="preserve"> </w:t>
      </w:r>
      <w:r>
        <w:t>50</w:t>
      </w:r>
      <w:r>
        <w:rPr>
          <w:spacing w:val="2"/>
        </w:rPr>
        <w:t xml:space="preserve"> </w:t>
      </w:r>
      <w:r>
        <w:rPr>
          <w:spacing w:val="3"/>
        </w:rPr>
        <w:t>m</w:t>
      </w:r>
      <w:r>
        <w:t xml:space="preserve">g </w:t>
      </w:r>
      <w:r>
        <w:rPr>
          <w:spacing w:val="2"/>
        </w:rPr>
        <w:t>p</w:t>
      </w:r>
      <w:r>
        <w:rPr>
          <w:spacing w:val="-1"/>
        </w:rPr>
        <w:t>e</w:t>
      </w:r>
      <w:r>
        <w:t>r dos</w:t>
      </w:r>
      <w:r>
        <w:rPr>
          <w:spacing w:val="-1"/>
        </w:rPr>
        <w:t>e</w:t>
      </w:r>
      <w:r>
        <w:t>)</w:t>
      </w:r>
      <w:r>
        <w:rPr>
          <w:spacing w:val="3"/>
        </w:rPr>
        <w:t xml:space="preserve"> </w:t>
      </w:r>
      <w:r>
        <w:rPr>
          <w:spacing w:val="-2"/>
        </w:rPr>
        <w:t>g</w:t>
      </w:r>
      <w:r>
        <w:t>iven o</w:t>
      </w:r>
      <w:r>
        <w:rPr>
          <w:spacing w:val="2"/>
        </w:rPr>
        <w:t>n</w:t>
      </w:r>
      <w:r>
        <w:rPr>
          <w:spacing w:val="-1"/>
        </w:rPr>
        <w:t>c</w:t>
      </w:r>
      <w:r>
        <w:t xml:space="preserve">e </w:t>
      </w:r>
      <w:r>
        <w:rPr>
          <w:spacing w:val="2"/>
        </w:rPr>
        <w:t>w</w:t>
      </w:r>
      <w:r>
        <w:rPr>
          <w:spacing w:val="-1"/>
        </w:rPr>
        <w:t>ee</w:t>
      </w:r>
      <w:r>
        <w:t>k</w:t>
      </w:r>
      <w:r>
        <w:rPr>
          <w:spacing w:val="5"/>
        </w:rPr>
        <w:t>l</w:t>
      </w:r>
      <w:r>
        <w:t>y</w:t>
      </w:r>
      <w:r>
        <w:rPr>
          <w:spacing w:val="1"/>
        </w:rPr>
        <w:t xml:space="preserve"> </w:t>
      </w:r>
      <w:r>
        <w:rPr>
          <w:spacing w:val="-1"/>
        </w:rPr>
        <w:t>a</w:t>
      </w:r>
      <w:r>
        <w:t>s</w:t>
      </w:r>
      <w:r>
        <w:rPr>
          <w:spacing w:val="1"/>
        </w:rPr>
        <w:t xml:space="preserve"> </w:t>
      </w:r>
      <w:r>
        <w:t>a su</w:t>
      </w:r>
      <w:r>
        <w:rPr>
          <w:spacing w:val="2"/>
        </w:rPr>
        <w:t>b</w:t>
      </w:r>
      <w:r>
        <w:rPr>
          <w:spacing w:val="-1"/>
        </w:rPr>
        <w:t>c</w:t>
      </w:r>
      <w:r>
        <w:t>utan</w:t>
      </w:r>
      <w:r>
        <w:rPr>
          <w:spacing w:val="-1"/>
        </w:rPr>
        <w:t>e</w:t>
      </w:r>
      <w:r>
        <w:t>ous</w:t>
      </w:r>
      <w:r>
        <w:rPr>
          <w:spacing w:val="1"/>
        </w:rPr>
        <w:t xml:space="preserve"> </w:t>
      </w:r>
      <w:r>
        <w:t>in</w:t>
      </w:r>
      <w:r>
        <w:rPr>
          <w:spacing w:val="1"/>
        </w:rPr>
        <w:t>je</w:t>
      </w:r>
      <w:r>
        <w:rPr>
          <w:spacing w:val="-1"/>
        </w:rPr>
        <w:t>c</w:t>
      </w:r>
      <w:r>
        <w:t>t</w:t>
      </w:r>
      <w:r>
        <w:rPr>
          <w:spacing w:val="1"/>
        </w:rPr>
        <w:t>i</w:t>
      </w:r>
      <w:r>
        <w:t>o</w:t>
      </w:r>
      <w:r>
        <w:rPr>
          <w:spacing w:val="2"/>
        </w:rPr>
        <w:t>n</w:t>
      </w:r>
      <w:r>
        <w:t>,</w:t>
      </w:r>
      <w:r>
        <w:rPr>
          <w:spacing w:val="1"/>
        </w:rPr>
        <w:t xml:space="preserve"> </w:t>
      </w:r>
      <w:r>
        <w:t>or</w:t>
      </w:r>
      <w:r>
        <w:rPr>
          <w:spacing w:val="1"/>
        </w:rPr>
        <w:t xml:space="preserve"> </w:t>
      </w:r>
      <w:r>
        <w:t>0.4</w:t>
      </w:r>
      <w:r>
        <w:rPr>
          <w:spacing w:val="1"/>
        </w:rPr>
        <w:t xml:space="preserve"> </w:t>
      </w:r>
      <w:r>
        <w:rPr>
          <w:spacing w:val="3"/>
        </w:rPr>
        <w:t>m</w:t>
      </w:r>
      <w:r>
        <w:rPr>
          <w:spacing w:val="-2"/>
        </w:rPr>
        <w:t>g</w:t>
      </w:r>
      <w:r>
        <w:t>/kg</w:t>
      </w:r>
      <w:r>
        <w:rPr>
          <w:spacing w:val="1"/>
        </w:rPr>
        <w:t xml:space="preserve"> </w:t>
      </w:r>
      <w:r>
        <w:t>(up to</w:t>
      </w:r>
      <w:r>
        <w:rPr>
          <w:spacing w:val="4"/>
        </w:rPr>
        <w:t xml:space="preserve"> </w:t>
      </w:r>
      <w:r>
        <w:t>a ma</w:t>
      </w:r>
      <w:r>
        <w:rPr>
          <w:spacing w:val="2"/>
        </w:rPr>
        <w:t>x</w:t>
      </w:r>
      <w:r>
        <w:t>i</w:t>
      </w:r>
      <w:r>
        <w:rPr>
          <w:spacing w:val="1"/>
        </w:rPr>
        <w:t>m</w:t>
      </w:r>
      <w:r>
        <w:t>um</w:t>
      </w:r>
      <w:r>
        <w:rPr>
          <w:spacing w:val="1"/>
        </w:rPr>
        <w:t xml:space="preserve"> </w:t>
      </w:r>
      <w:r>
        <w:t>of 25</w:t>
      </w:r>
      <w:r>
        <w:rPr>
          <w:spacing w:val="1"/>
        </w:rPr>
        <w:t xml:space="preserve"> </w:t>
      </w:r>
      <w:r>
        <w:t>m</w:t>
      </w:r>
      <w:r>
        <w:rPr>
          <w:spacing w:val="-2"/>
        </w:rPr>
        <w:t>g</w:t>
      </w:r>
      <w:r>
        <w:t xml:space="preserve">), </w:t>
      </w:r>
      <w:r>
        <w:rPr>
          <w:spacing w:val="-2"/>
        </w:rPr>
        <w:t>g</w:t>
      </w:r>
      <w:r>
        <w:t>iven twi</w:t>
      </w:r>
      <w:r>
        <w:rPr>
          <w:spacing w:val="1"/>
        </w:rPr>
        <w:t>c</w:t>
      </w:r>
      <w:r>
        <w:t>e</w:t>
      </w:r>
      <w:r>
        <w:rPr>
          <w:spacing w:val="-1"/>
        </w:rPr>
        <w:t xml:space="preserve"> </w:t>
      </w:r>
      <w:r>
        <w:t>w</w:t>
      </w:r>
      <w:r>
        <w:rPr>
          <w:spacing w:val="1"/>
        </w:rPr>
        <w:t>e</w:t>
      </w:r>
      <w:r>
        <w:rPr>
          <w:spacing w:val="-1"/>
        </w:rPr>
        <w:t>e</w:t>
      </w:r>
      <w:r>
        <w:t>k</w:t>
      </w:r>
      <w:r>
        <w:rPr>
          <w:spacing w:val="5"/>
        </w:rPr>
        <w:t>l</w:t>
      </w:r>
      <w:r>
        <w:t>y</w:t>
      </w:r>
      <w:r>
        <w:rPr>
          <w:spacing w:val="-5"/>
        </w:rPr>
        <w:t xml:space="preserve"> </w:t>
      </w:r>
      <w:r>
        <w:t>with an inte</w:t>
      </w:r>
      <w:r>
        <w:rPr>
          <w:spacing w:val="-1"/>
        </w:rPr>
        <w:t>r</w:t>
      </w:r>
      <w:r>
        <w:t>v</w:t>
      </w:r>
      <w:r>
        <w:rPr>
          <w:spacing w:val="-1"/>
        </w:rPr>
        <w:t>a</w:t>
      </w:r>
      <w:r>
        <w:t xml:space="preserve">l of </w:t>
      </w:r>
      <w:r>
        <w:rPr>
          <w:spacing w:val="1"/>
        </w:rPr>
        <w:t>3</w:t>
      </w:r>
      <w:r>
        <w:rPr>
          <w:spacing w:val="-1"/>
        </w:rPr>
        <w:t>-</w:t>
      </w:r>
      <w:r>
        <w:t xml:space="preserve">4 </w:t>
      </w:r>
      <w:r>
        <w:rPr>
          <w:spacing w:val="2"/>
        </w:rPr>
        <w:t>d</w:t>
      </w:r>
      <w:r>
        <w:rPr>
          <w:spacing w:val="4"/>
        </w:rPr>
        <w:t>a</w:t>
      </w:r>
      <w:r>
        <w:rPr>
          <w:spacing w:val="-5"/>
        </w:rPr>
        <w:t>y</w:t>
      </w:r>
      <w:r>
        <w:t>s b</w:t>
      </w:r>
      <w:r>
        <w:rPr>
          <w:spacing w:val="1"/>
        </w:rPr>
        <w:t>e</w:t>
      </w:r>
      <w:r>
        <w:t>tw</w:t>
      </w:r>
      <w:r>
        <w:rPr>
          <w:spacing w:val="-1"/>
        </w:rPr>
        <w:t>ee</w:t>
      </w:r>
      <w:r>
        <w:t>n dos</w:t>
      </w:r>
      <w:r>
        <w:rPr>
          <w:spacing w:val="-1"/>
        </w:rPr>
        <w:t>e</w:t>
      </w:r>
      <w:r>
        <w:t>s.</w:t>
      </w:r>
    </w:p>
    <w:p w14:paraId="3D54764C" w14:textId="77777777" w:rsidR="0006309D" w:rsidRDefault="0006309D" w:rsidP="0021426A">
      <w:pPr>
        <w:pStyle w:val="NormalIndent1"/>
        <w:jc w:val="left"/>
      </w:pPr>
    </w:p>
    <w:p w14:paraId="6C4B1B25" w14:textId="77777777" w:rsidR="0006309D" w:rsidRDefault="0006309D" w:rsidP="0021426A">
      <w:pPr>
        <w:pStyle w:val="Heading4"/>
        <w:keepNext/>
        <w:keepLines/>
        <w:jc w:val="left"/>
      </w:pPr>
      <w:r>
        <w:t>Pa</w:t>
      </w:r>
      <w:r>
        <w:rPr>
          <w:spacing w:val="-1"/>
        </w:rPr>
        <w:t>e</w:t>
      </w:r>
      <w:r>
        <w:t>dia</w:t>
      </w:r>
      <w:r>
        <w:rPr>
          <w:spacing w:val="1"/>
        </w:rPr>
        <w:t>t</w:t>
      </w:r>
      <w:r>
        <w:t xml:space="preserve">ric </w:t>
      </w:r>
      <w:r w:rsidR="001C61BA">
        <w:t>Plaq</w:t>
      </w:r>
      <w:r w:rsidR="001C61BA">
        <w:rPr>
          <w:spacing w:val="1"/>
        </w:rPr>
        <w:t>u</w:t>
      </w:r>
      <w:r w:rsidR="001C61BA">
        <w:t>e</w:t>
      </w:r>
      <w:r w:rsidR="001C61BA">
        <w:rPr>
          <w:spacing w:val="-1"/>
        </w:rPr>
        <w:t xml:space="preserve"> </w:t>
      </w:r>
      <w:r w:rsidR="001C61BA">
        <w:t>Psor</w:t>
      </w:r>
      <w:r w:rsidR="001C61BA">
        <w:rPr>
          <w:spacing w:val="1"/>
        </w:rPr>
        <w:t>i</w:t>
      </w:r>
      <w:r w:rsidR="001C61BA">
        <w:t>asis</w:t>
      </w:r>
      <w:r w:rsidR="001C61BA">
        <w:rPr>
          <w:spacing w:val="1"/>
        </w:rPr>
        <w:t xml:space="preserve"> </w:t>
      </w:r>
      <w:r>
        <w:t xml:space="preserve">(age 4 </w:t>
      </w:r>
      <w:r>
        <w:rPr>
          <w:spacing w:val="-1"/>
        </w:rPr>
        <w:t>ye</w:t>
      </w:r>
      <w:r>
        <w:t>ars a</w:t>
      </w:r>
      <w:r>
        <w:rPr>
          <w:spacing w:val="1"/>
        </w:rPr>
        <w:t>n</w:t>
      </w:r>
      <w:r>
        <w:t>d ab</w:t>
      </w:r>
      <w:r>
        <w:rPr>
          <w:spacing w:val="2"/>
        </w:rPr>
        <w:t>o</w:t>
      </w:r>
      <w:r>
        <w:rPr>
          <w:spacing w:val="-1"/>
        </w:rPr>
        <w:t>ve</w:t>
      </w:r>
      <w:r>
        <w:t>)</w:t>
      </w:r>
    </w:p>
    <w:p w14:paraId="185D5CF8" w14:textId="77777777" w:rsidR="0006309D" w:rsidRDefault="0006309D" w:rsidP="0021426A">
      <w:pPr>
        <w:pStyle w:val="NormalIndent1"/>
        <w:keepNext/>
        <w:keepLines/>
        <w:jc w:val="left"/>
      </w:pPr>
    </w:p>
    <w:p w14:paraId="17B41BC8" w14:textId="52FFFEB7" w:rsidR="0006309D" w:rsidRDefault="0006309D" w:rsidP="0021426A">
      <w:pPr>
        <w:pStyle w:val="NormalIndent1"/>
        <w:keepNext/>
        <w:keepLines/>
        <w:jc w:val="left"/>
      </w:pPr>
      <w:r>
        <w:t>The</w:t>
      </w:r>
      <w:r>
        <w:rPr>
          <w:spacing w:val="1"/>
        </w:rPr>
        <w:t xml:space="preserve"> </w:t>
      </w:r>
      <w:r>
        <w:t>re</w:t>
      </w:r>
      <w:r>
        <w:rPr>
          <w:spacing w:val="-1"/>
        </w:rPr>
        <w:t>c</w:t>
      </w:r>
      <w:r>
        <w:t>om</w:t>
      </w:r>
      <w:r>
        <w:rPr>
          <w:spacing w:val="1"/>
        </w:rPr>
        <w:t>m</w:t>
      </w:r>
      <w:r>
        <w:rPr>
          <w:spacing w:val="-1"/>
        </w:rPr>
        <w:t>e</w:t>
      </w:r>
      <w:r>
        <w:t>nd</w:t>
      </w:r>
      <w:r>
        <w:rPr>
          <w:spacing w:val="-1"/>
        </w:rPr>
        <w:t>e</w:t>
      </w:r>
      <w:r>
        <w:t>d</w:t>
      </w:r>
      <w:r>
        <w:rPr>
          <w:spacing w:val="2"/>
        </w:rPr>
        <w:t xml:space="preserve"> </w:t>
      </w:r>
      <w:r>
        <w:t>dose</w:t>
      </w:r>
      <w:r>
        <w:rPr>
          <w:spacing w:val="1"/>
        </w:rPr>
        <w:t xml:space="preserve"> </w:t>
      </w:r>
      <w:r>
        <w:rPr>
          <w:spacing w:val="3"/>
        </w:rPr>
        <w:t>i</w:t>
      </w:r>
      <w:r>
        <w:t>s</w:t>
      </w:r>
      <w:r>
        <w:rPr>
          <w:spacing w:val="2"/>
        </w:rPr>
        <w:t xml:space="preserve"> </w:t>
      </w:r>
      <w:r>
        <w:t>0.8</w:t>
      </w:r>
      <w:r>
        <w:rPr>
          <w:spacing w:val="2"/>
        </w:rPr>
        <w:t xml:space="preserve"> </w:t>
      </w:r>
      <w:r>
        <w:t>m</w:t>
      </w:r>
      <w:r>
        <w:rPr>
          <w:spacing w:val="-2"/>
        </w:rPr>
        <w:t>g</w:t>
      </w:r>
      <w:r>
        <w:t>/</w:t>
      </w:r>
      <w:r>
        <w:rPr>
          <w:spacing w:val="3"/>
        </w:rPr>
        <w:t>k</w:t>
      </w:r>
      <w:r>
        <w:t>g (up</w:t>
      </w:r>
      <w:r>
        <w:rPr>
          <w:spacing w:val="1"/>
        </w:rPr>
        <w:t xml:space="preserve"> </w:t>
      </w:r>
      <w:r>
        <w:t>to</w:t>
      </w:r>
      <w:r>
        <w:rPr>
          <w:spacing w:val="3"/>
        </w:rPr>
        <w:t xml:space="preserve"> </w:t>
      </w:r>
      <w:r>
        <w:t>a</w:t>
      </w:r>
      <w:r>
        <w:rPr>
          <w:spacing w:val="1"/>
        </w:rPr>
        <w:t xml:space="preserve"> </w:t>
      </w:r>
      <w:r>
        <w:rPr>
          <w:spacing w:val="3"/>
        </w:rPr>
        <w:t>m</w:t>
      </w:r>
      <w:r>
        <w:rPr>
          <w:spacing w:val="-1"/>
        </w:rPr>
        <w:t>a</w:t>
      </w:r>
      <w:r>
        <w:rPr>
          <w:spacing w:val="2"/>
        </w:rPr>
        <w:t>x</w:t>
      </w:r>
      <w:r>
        <w:t>i</w:t>
      </w:r>
      <w:r>
        <w:rPr>
          <w:spacing w:val="1"/>
        </w:rPr>
        <w:t>m</w:t>
      </w:r>
      <w:r>
        <w:t>um</w:t>
      </w:r>
      <w:r>
        <w:rPr>
          <w:spacing w:val="3"/>
        </w:rPr>
        <w:t xml:space="preserve"> </w:t>
      </w:r>
      <w:r>
        <w:t>of</w:t>
      </w:r>
      <w:r>
        <w:rPr>
          <w:spacing w:val="1"/>
        </w:rPr>
        <w:t xml:space="preserve"> </w:t>
      </w:r>
      <w:r>
        <w:t>50</w:t>
      </w:r>
      <w:r>
        <w:rPr>
          <w:spacing w:val="2"/>
        </w:rPr>
        <w:t xml:space="preserve"> </w:t>
      </w:r>
      <w:r>
        <w:t>mg p</w:t>
      </w:r>
      <w:r>
        <w:rPr>
          <w:spacing w:val="-1"/>
        </w:rPr>
        <w:t>e</w:t>
      </w:r>
      <w:r>
        <w:t>r</w:t>
      </w:r>
      <w:r>
        <w:rPr>
          <w:spacing w:val="1"/>
        </w:rPr>
        <w:t xml:space="preserve"> </w:t>
      </w:r>
      <w:r>
        <w:t>do</w:t>
      </w:r>
      <w:r>
        <w:rPr>
          <w:spacing w:val="2"/>
        </w:rPr>
        <w:t>s</w:t>
      </w:r>
      <w:r>
        <w:rPr>
          <w:spacing w:val="-1"/>
        </w:rPr>
        <w:t>e</w:t>
      </w:r>
      <w:r>
        <w:rPr>
          <w:spacing w:val="8"/>
        </w:rPr>
        <w:t>)</w:t>
      </w:r>
      <w:r>
        <w:t>,</w:t>
      </w:r>
      <w:r>
        <w:rPr>
          <w:spacing w:val="2"/>
        </w:rPr>
        <w:t xml:space="preserve"> </w:t>
      </w:r>
      <w:r>
        <w:rPr>
          <w:spacing w:val="-2"/>
        </w:rPr>
        <w:t>g</w:t>
      </w:r>
      <w:r>
        <w:t>iven</w:t>
      </w:r>
      <w:r>
        <w:rPr>
          <w:spacing w:val="2"/>
        </w:rPr>
        <w:t xml:space="preserve"> </w:t>
      </w:r>
      <w:r>
        <w:t>o</w:t>
      </w:r>
      <w:r>
        <w:rPr>
          <w:spacing w:val="2"/>
        </w:rPr>
        <w:t>n</w:t>
      </w:r>
      <w:r>
        <w:rPr>
          <w:spacing w:val="-1"/>
        </w:rPr>
        <w:t>c</w:t>
      </w:r>
      <w:r>
        <w:t>e</w:t>
      </w:r>
      <w:r>
        <w:rPr>
          <w:spacing w:val="1"/>
        </w:rPr>
        <w:t xml:space="preserve"> </w:t>
      </w:r>
      <w:r>
        <w:rPr>
          <w:spacing w:val="2"/>
        </w:rPr>
        <w:t>w</w:t>
      </w:r>
      <w:r>
        <w:rPr>
          <w:spacing w:val="-1"/>
        </w:rPr>
        <w:t>ee</w:t>
      </w:r>
      <w:r>
        <w:t>k</w:t>
      </w:r>
      <w:r>
        <w:rPr>
          <w:spacing w:val="5"/>
        </w:rPr>
        <w:t>l</w:t>
      </w:r>
      <w:r>
        <w:t>y</w:t>
      </w:r>
      <w:r>
        <w:rPr>
          <w:spacing w:val="-1"/>
        </w:rPr>
        <w:t xml:space="preserve"> a</w:t>
      </w:r>
      <w:r>
        <w:t>s</w:t>
      </w:r>
      <w:r>
        <w:rPr>
          <w:spacing w:val="5"/>
        </w:rPr>
        <w:t xml:space="preserve"> </w:t>
      </w:r>
      <w:r>
        <w:t>a sub</w:t>
      </w:r>
      <w:r>
        <w:rPr>
          <w:spacing w:val="-1"/>
        </w:rPr>
        <w:t>c</w:t>
      </w:r>
      <w:r>
        <w:t>utan</w:t>
      </w:r>
      <w:r>
        <w:rPr>
          <w:spacing w:val="-1"/>
        </w:rPr>
        <w:t>e</w:t>
      </w:r>
      <w:r>
        <w:t>ous</w:t>
      </w:r>
      <w:r>
        <w:rPr>
          <w:spacing w:val="22"/>
        </w:rPr>
        <w:t xml:space="preserve"> </w:t>
      </w:r>
      <w:r>
        <w:t>in</w:t>
      </w:r>
      <w:r>
        <w:rPr>
          <w:spacing w:val="1"/>
        </w:rPr>
        <w:t>j</w:t>
      </w:r>
      <w:r>
        <w:rPr>
          <w:spacing w:val="-1"/>
        </w:rPr>
        <w:t>ec</w:t>
      </w:r>
      <w:r>
        <w:t>t</w:t>
      </w:r>
      <w:r>
        <w:rPr>
          <w:spacing w:val="1"/>
        </w:rPr>
        <w:t>i</w:t>
      </w:r>
      <w:r>
        <w:t>on</w:t>
      </w:r>
      <w:r>
        <w:rPr>
          <w:spacing w:val="25"/>
        </w:rPr>
        <w:t xml:space="preserve"> </w:t>
      </w:r>
      <w:r>
        <w:rPr>
          <w:spacing w:val="1"/>
        </w:rPr>
        <w:t>f</w:t>
      </w:r>
      <w:r>
        <w:t>or</w:t>
      </w:r>
      <w:r>
        <w:rPr>
          <w:spacing w:val="21"/>
        </w:rPr>
        <w:t xml:space="preserve"> </w:t>
      </w:r>
      <w:r>
        <w:t>up</w:t>
      </w:r>
      <w:r>
        <w:rPr>
          <w:spacing w:val="21"/>
        </w:rPr>
        <w:t xml:space="preserve"> </w:t>
      </w:r>
      <w:r>
        <w:t>to</w:t>
      </w:r>
      <w:r>
        <w:rPr>
          <w:spacing w:val="22"/>
        </w:rPr>
        <w:t xml:space="preserve"> </w:t>
      </w:r>
      <w:r>
        <w:t>24</w:t>
      </w:r>
      <w:r>
        <w:rPr>
          <w:spacing w:val="21"/>
        </w:rPr>
        <w:t xml:space="preserve"> </w:t>
      </w:r>
      <w:r>
        <w:rPr>
          <w:spacing w:val="2"/>
        </w:rPr>
        <w:t>w</w:t>
      </w:r>
      <w:r>
        <w:rPr>
          <w:spacing w:val="-1"/>
        </w:rPr>
        <w:t>ee</w:t>
      </w:r>
      <w:r>
        <w:t>k</w:t>
      </w:r>
      <w:r>
        <w:rPr>
          <w:spacing w:val="2"/>
        </w:rPr>
        <w:t>s</w:t>
      </w:r>
      <w:r>
        <w:t xml:space="preserve">. </w:t>
      </w:r>
      <w:r>
        <w:rPr>
          <w:spacing w:val="46"/>
        </w:rPr>
        <w:t xml:space="preserve"> </w:t>
      </w:r>
      <w:r>
        <w:t>T</w:t>
      </w:r>
      <w:r>
        <w:rPr>
          <w:spacing w:val="1"/>
        </w:rPr>
        <w:t>re</w:t>
      </w:r>
      <w:r>
        <w:rPr>
          <w:spacing w:val="-1"/>
        </w:rPr>
        <w:t>a</w:t>
      </w:r>
      <w:r>
        <w:t>t</w:t>
      </w:r>
      <w:r>
        <w:rPr>
          <w:spacing w:val="1"/>
        </w:rPr>
        <w:t>m</w:t>
      </w:r>
      <w:r>
        <w:rPr>
          <w:spacing w:val="-1"/>
        </w:rPr>
        <w:t>e</w:t>
      </w:r>
      <w:r>
        <w:t>nt</w:t>
      </w:r>
      <w:r>
        <w:rPr>
          <w:spacing w:val="22"/>
        </w:rPr>
        <w:t xml:space="preserve"> </w:t>
      </w:r>
      <w:r>
        <w:t>should</w:t>
      </w:r>
      <w:r>
        <w:rPr>
          <w:spacing w:val="23"/>
        </w:rPr>
        <w:t xml:space="preserve"> </w:t>
      </w:r>
      <w:r>
        <w:t>be</w:t>
      </w:r>
      <w:r>
        <w:rPr>
          <w:spacing w:val="20"/>
        </w:rPr>
        <w:t xml:space="preserve"> </w:t>
      </w:r>
      <w:r>
        <w:t>disco</w:t>
      </w:r>
      <w:r>
        <w:rPr>
          <w:spacing w:val="2"/>
        </w:rPr>
        <w:t>n</w:t>
      </w:r>
      <w:r>
        <w:t>t</w:t>
      </w:r>
      <w:r>
        <w:rPr>
          <w:spacing w:val="1"/>
        </w:rPr>
        <w:t>i</w:t>
      </w:r>
      <w:r>
        <w:t>nu</w:t>
      </w:r>
      <w:r>
        <w:rPr>
          <w:spacing w:val="-1"/>
        </w:rPr>
        <w:t>e</w:t>
      </w:r>
      <w:r>
        <w:t>d</w:t>
      </w:r>
      <w:r>
        <w:rPr>
          <w:spacing w:val="21"/>
        </w:rPr>
        <w:t xml:space="preserve"> </w:t>
      </w:r>
      <w:r>
        <w:t>in</w:t>
      </w:r>
      <w:r>
        <w:rPr>
          <w:spacing w:val="22"/>
        </w:rPr>
        <w:t xml:space="preserve"> </w:t>
      </w:r>
      <w:r>
        <w:t>p</w:t>
      </w:r>
      <w:r>
        <w:rPr>
          <w:spacing w:val="-1"/>
        </w:rPr>
        <w:t>a</w:t>
      </w:r>
      <w:r>
        <w:t>t</w:t>
      </w:r>
      <w:r>
        <w:rPr>
          <w:spacing w:val="1"/>
        </w:rPr>
        <w:t>i</w:t>
      </w:r>
      <w:r>
        <w:rPr>
          <w:spacing w:val="-1"/>
        </w:rPr>
        <w:t>e</w:t>
      </w:r>
      <w:r>
        <w:t>nts</w:t>
      </w:r>
      <w:r>
        <w:rPr>
          <w:spacing w:val="22"/>
        </w:rPr>
        <w:t xml:space="preserve"> </w:t>
      </w:r>
      <w:r>
        <w:t>who</w:t>
      </w:r>
      <w:r>
        <w:rPr>
          <w:spacing w:val="24"/>
        </w:rPr>
        <w:t xml:space="preserve"> </w:t>
      </w:r>
      <w:r>
        <w:rPr>
          <w:spacing w:val="2"/>
        </w:rPr>
        <w:t>d</w:t>
      </w:r>
      <w:r>
        <w:t>o not</w:t>
      </w:r>
      <w:r>
        <w:rPr>
          <w:spacing w:val="22"/>
        </w:rPr>
        <w:t xml:space="preserve"> </w:t>
      </w:r>
      <w:r>
        <w:t>show</w:t>
      </w:r>
      <w:r>
        <w:rPr>
          <w:spacing w:val="21"/>
        </w:rPr>
        <w:t xml:space="preserve"> </w:t>
      </w:r>
      <w:r>
        <w:t>a</w:t>
      </w:r>
      <w:r>
        <w:rPr>
          <w:spacing w:val="20"/>
        </w:rPr>
        <w:t xml:space="preserve"> </w:t>
      </w:r>
      <w:r>
        <w:t>si</w:t>
      </w:r>
      <w:r>
        <w:rPr>
          <w:spacing w:val="-2"/>
        </w:rPr>
        <w:t>g</w:t>
      </w:r>
      <w:r>
        <w:t>nifi</w:t>
      </w:r>
      <w:r>
        <w:rPr>
          <w:spacing w:val="-1"/>
        </w:rPr>
        <w:t>ca</w:t>
      </w:r>
      <w:r>
        <w:t>nt</w:t>
      </w:r>
      <w:r>
        <w:rPr>
          <w:spacing w:val="23"/>
        </w:rPr>
        <w:t xml:space="preserve"> </w:t>
      </w:r>
      <w:r>
        <w:rPr>
          <w:spacing w:val="1"/>
        </w:rPr>
        <w:t>P</w:t>
      </w:r>
      <w:r>
        <w:t>A</w:t>
      </w:r>
      <w:r>
        <w:rPr>
          <w:spacing w:val="3"/>
        </w:rPr>
        <w:t>S</w:t>
      </w:r>
      <w:r>
        <w:t>I</w:t>
      </w:r>
      <w:r>
        <w:rPr>
          <w:spacing w:val="17"/>
        </w:rPr>
        <w:t xml:space="preserve"> </w:t>
      </w:r>
      <w:r>
        <w:rPr>
          <w:spacing w:val="1"/>
        </w:rPr>
        <w:t>r</w:t>
      </w:r>
      <w:r>
        <w:rPr>
          <w:spacing w:val="-1"/>
        </w:rPr>
        <w:t>e</w:t>
      </w:r>
      <w:r>
        <w:t>sponse</w:t>
      </w:r>
      <w:r>
        <w:rPr>
          <w:spacing w:val="21"/>
        </w:rPr>
        <w:t xml:space="preserve"> </w:t>
      </w:r>
      <w:r>
        <w:rPr>
          <w:spacing w:val="-1"/>
        </w:rPr>
        <w:t>a</w:t>
      </w:r>
      <w:r>
        <w:t>ft</w:t>
      </w:r>
      <w:r>
        <w:rPr>
          <w:spacing w:val="1"/>
        </w:rPr>
        <w:t>e</w:t>
      </w:r>
      <w:r>
        <w:t>r</w:t>
      </w:r>
      <w:r>
        <w:rPr>
          <w:spacing w:val="21"/>
        </w:rPr>
        <w:t xml:space="preserve"> </w:t>
      </w:r>
      <w:r>
        <w:t>12</w:t>
      </w:r>
      <w:r>
        <w:rPr>
          <w:spacing w:val="21"/>
        </w:rPr>
        <w:t xml:space="preserve"> </w:t>
      </w:r>
      <w:r>
        <w:t>w</w:t>
      </w:r>
      <w:r>
        <w:rPr>
          <w:spacing w:val="-1"/>
        </w:rPr>
        <w:t>ee</w:t>
      </w:r>
      <w:r>
        <w:t xml:space="preserve">ks. </w:t>
      </w:r>
      <w:r>
        <w:rPr>
          <w:spacing w:val="47"/>
        </w:rPr>
        <w:t xml:space="preserve"> </w:t>
      </w:r>
      <w:r>
        <w:rPr>
          <w:spacing w:val="-3"/>
        </w:rPr>
        <w:t>I</w:t>
      </w:r>
      <w:r>
        <w:t>f</w:t>
      </w:r>
      <w:r>
        <w:rPr>
          <w:spacing w:val="21"/>
        </w:rPr>
        <w:t xml:space="preserve"> </w:t>
      </w:r>
      <w:r>
        <w:t>r</w:t>
      </w:r>
      <w:r>
        <w:rPr>
          <w:spacing w:val="1"/>
        </w:rPr>
        <w:t>e</w:t>
      </w:r>
      <w:r>
        <w:rPr>
          <w:spacing w:val="-1"/>
        </w:rPr>
        <w:t>-</w:t>
      </w:r>
      <w:r>
        <w:t>tr</w:t>
      </w:r>
      <w:r>
        <w:rPr>
          <w:spacing w:val="-1"/>
        </w:rPr>
        <w:t>ea</w:t>
      </w:r>
      <w:r>
        <w:t>t</w:t>
      </w:r>
      <w:r>
        <w:rPr>
          <w:spacing w:val="1"/>
        </w:rPr>
        <w:t>m</w:t>
      </w:r>
      <w:r>
        <w:rPr>
          <w:spacing w:val="-1"/>
        </w:rPr>
        <w:t>e</w:t>
      </w:r>
      <w:r>
        <w:t>nt</w:t>
      </w:r>
      <w:r>
        <w:rPr>
          <w:spacing w:val="22"/>
        </w:rPr>
        <w:t xml:space="preserve"> </w:t>
      </w:r>
      <w:r>
        <w:t>wi</w:t>
      </w:r>
      <w:r>
        <w:rPr>
          <w:spacing w:val="3"/>
        </w:rPr>
        <w:t>t</w:t>
      </w:r>
      <w:r>
        <w:t>h</w:t>
      </w:r>
      <w:r>
        <w:rPr>
          <w:spacing w:val="23"/>
        </w:rPr>
        <w:t xml:space="preserve"> </w:t>
      </w:r>
      <w:r w:rsidR="003D1456">
        <w:t>Rymti</w:t>
      </w:r>
      <w:r w:rsidR="00F34897">
        <w:rPr>
          <w:spacing w:val="17"/>
        </w:rPr>
        <w:t xml:space="preserve"> </w:t>
      </w:r>
      <w:r>
        <w:t>is</w:t>
      </w:r>
      <w:r>
        <w:rPr>
          <w:spacing w:val="22"/>
        </w:rPr>
        <w:t xml:space="preserve"> </w:t>
      </w:r>
      <w:r>
        <w:t>ind</w:t>
      </w:r>
      <w:r>
        <w:rPr>
          <w:spacing w:val="1"/>
        </w:rPr>
        <w:t>i</w:t>
      </w:r>
      <w:r>
        <w:rPr>
          <w:spacing w:val="-1"/>
        </w:rPr>
        <w:t>ca</w:t>
      </w:r>
      <w:r>
        <w:t xml:space="preserve">ted, the </w:t>
      </w:r>
      <w:r>
        <w:rPr>
          <w:spacing w:val="-1"/>
        </w:rPr>
        <w:t>a</w:t>
      </w:r>
      <w:r>
        <w:t>bove</w:t>
      </w:r>
      <w:r>
        <w:rPr>
          <w:spacing w:val="1"/>
        </w:rPr>
        <w:t xml:space="preserve"> </w:t>
      </w:r>
      <w:r>
        <w:rPr>
          <w:spacing w:val="-2"/>
        </w:rPr>
        <w:t>g</w:t>
      </w:r>
      <w:r>
        <w:t>uida</w:t>
      </w:r>
      <w:r>
        <w:rPr>
          <w:spacing w:val="2"/>
        </w:rPr>
        <w:t>n</w:t>
      </w:r>
      <w:r>
        <w:rPr>
          <w:spacing w:val="-1"/>
        </w:rPr>
        <w:t>c</w:t>
      </w:r>
      <w:r>
        <w:t>e</w:t>
      </w:r>
      <w:r>
        <w:rPr>
          <w:spacing w:val="-1"/>
        </w:rPr>
        <w:t xml:space="preserve"> </w:t>
      </w:r>
      <w:r>
        <w:t>on t</w:t>
      </w:r>
      <w:r>
        <w:rPr>
          <w:spacing w:val="2"/>
        </w:rPr>
        <w:t>r</w:t>
      </w:r>
      <w:r>
        <w:rPr>
          <w:spacing w:val="-1"/>
        </w:rPr>
        <w:t>ea</w:t>
      </w:r>
      <w:r>
        <w:t>t</w:t>
      </w:r>
      <w:r>
        <w:rPr>
          <w:spacing w:val="1"/>
        </w:rPr>
        <w:t>m</w:t>
      </w:r>
      <w:r>
        <w:rPr>
          <w:spacing w:val="-1"/>
        </w:rPr>
        <w:t>e</w:t>
      </w:r>
      <w:r>
        <w:t>nt dur</w:t>
      </w:r>
      <w:r>
        <w:rPr>
          <w:spacing w:val="-1"/>
        </w:rPr>
        <w:t>a</w:t>
      </w:r>
      <w:r>
        <w:t>t</w:t>
      </w:r>
      <w:r>
        <w:rPr>
          <w:spacing w:val="1"/>
        </w:rPr>
        <w:t>i</w:t>
      </w:r>
      <w:r>
        <w:t>on should</w:t>
      </w:r>
      <w:r>
        <w:rPr>
          <w:spacing w:val="2"/>
        </w:rPr>
        <w:t xml:space="preserve"> </w:t>
      </w:r>
      <w:r>
        <w:t>be</w:t>
      </w:r>
      <w:r>
        <w:rPr>
          <w:spacing w:val="-1"/>
        </w:rPr>
        <w:t xml:space="preserve"> </w:t>
      </w:r>
      <w:r>
        <w:t>follow</w:t>
      </w:r>
      <w:r>
        <w:rPr>
          <w:spacing w:val="-1"/>
        </w:rPr>
        <w:t>e</w:t>
      </w:r>
      <w:r>
        <w:t>d.</w:t>
      </w:r>
    </w:p>
    <w:p w14:paraId="0C3402F7" w14:textId="77777777" w:rsidR="003461B7" w:rsidRDefault="003461B7" w:rsidP="0021426A">
      <w:pPr>
        <w:keepNext/>
        <w:keepLines/>
        <w:jc w:val="left"/>
      </w:pPr>
    </w:p>
    <w:p w14:paraId="739A72E3" w14:textId="449E6921" w:rsidR="0006309D" w:rsidRDefault="0006309D" w:rsidP="0021426A">
      <w:pPr>
        <w:pStyle w:val="Heading3"/>
        <w:jc w:val="left"/>
      </w:pPr>
      <w:r w:rsidRPr="001C61BA">
        <w:t>I</w:t>
      </w:r>
      <w:r w:rsidRPr="001C61BA">
        <w:rPr>
          <w:spacing w:val="1"/>
        </w:rPr>
        <w:t>n</w:t>
      </w:r>
      <w:r w:rsidRPr="001C61BA">
        <w:t>st</w:t>
      </w:r>
      <w:r w:rsidRPr="001C61BA">
        <w:rPr>
          <w:spacing w:val="-1"/>
        </w:rPr>
        <w:t>r</w:t>
      </w:r>
      <w:r w:rsidRPr="001C61BA">
        <w:rPr>
          <w:spacing w:val="1"/>
        </w:rPr>
        <w:t>u</w:t>
      </w:r>
      <w:r w:rsidRPr="001C61BA">
        <w:rPr>
          <w:spacing w:val="-1"/>
        </w:rPr>
        <w:t>c</w:t>
      </w:r>
      <w:r w:rsidRPr="001C61BA">
        <w:t xml:space="preserve">tions </w:t>
      </w:r>
      <w:r w:rsidRPr="001C61BA">
        <w:rPr>
          <w:spacing w:val="2"/>
        </w:rPr>
        <w:t>f</w:t>
      </w:r>
      <w:r w:rsidRPr="001C61BA">
        <w:t>or</w:t>
      </w:r>
      <w:r w:rsidRPr="001C61BA">
        <w:rPr>
          <w:spacing w:val="-1"/>
        </w:rPr>
        <w:t xml:space="preserve"> </w:t>
      </w:r>
      <w:r w:rsidR="001C61BA" w:rsidRPr="001C61BA">
        <w:rPr>
          <w:spacing w:val="1"/>
        </w:rPr>
        <w:t>U</w:t>
      </w:r>
      <w:r w:rsidR="001C61BA" w:rsidRPr="001C61BA">
        <w:t>s</w:t>
      </w:r>
      <w:r w:rsidR="001C61BA" w:rsidRPr="001C61BA">
        <w:rPr>
          <w:spacing w:val="-1"/>
        </w:rPr>
        <w:t>e</w:t>
      </w:r>
      <w:r w:rsidR="001C61BA" w:rsidRPr="001C61BA">
        <w:t xml:space="preserve"> and</w:t>
      </w:r>
      <w:r w:rsidRPr="001C61BA">
        <w:t xml:space="preserve"> </w:t>
      </w:r>
      <w:r w:rsidR="001C61BA" w:rsidRPr="001C61BA">
        <w:rPr>
          <w:spacing w:val="1"/>
        </w:rPr>
        <w:t>H</w:t>
      </w:r>
      <w:r w:rsidR="001C61BA" w:rsidRPr="001C61BA">
        <w:rPr>
          <w:spacing w:val="-2"/>
        </w:rPr>
        <w:t>a</w:t>
      </w:r>
      <w:r w:rsidR="001C61BA" w:rsidRPr="001C61BA">
        <w:rPr>
          <w:spacing w:val="1"/>
        </w:rPr>
        <w:t>nd</w:t>
      </w:r>
      <w:r w:rsidR="001C61BA" w:rsidRPr="001C61BA">
        <w:t>l</w:t>
      </w:r>
      <w:r w:rsidR="001C61BA" w:rsidRPr="001C61BA">
        <w:rPr>
          <w:spacing w:val="-1"/>
        </w:rPr>
        <w:t>i</w:t>
      </w:r>
      <w:r w:rsidR="001C61BA" w:rsidRPr="001C61BA">
        <w:rPr>
          <w:spacing w:val="1"/>
        </w:rPr>
        <w:t>n</w:t>
      </w:r>
      <w:r w:rsidR="001C61BA" w:rsidRPr="001C61BA">
        <w:t>g</w:t>
      </w:r>
    </w:p>
    <w:p w14:paraId="3119EF8E" w14:textId="7B865BE6" w:rsidR="0006309D" w:rsidRDefault="0006309D" w:rsidP="0021426A">
      <w:pPr>
        <w:pStyle w:val="NormalIndent1"/>
        <w:jc w:val="left"/>
      </w:pPr>
    </w:p>
    <w:p w14:paraId="4B07ED62" w14:textId="77777777" w:rsidR="0006309D" w:rsidRDefault="0006309D" w:rsidP="0021426A">
      <w:pPr>
        <w:pStyle w:val="Heading4"/>
        <w:jc w:val="left"/>
      </w:pPr>
      <w:r>
        <w:t>B</w:t>
      </w:r>
      <w:r>
        <w:rPr>
          <w:spacing w:val="-1"/>
        </w:rPr>
        <w:t>e</w:t>
      </w:r>
      <w:r w:rsidR="001C61BA">
        <w:t>f</w:t>
      </w:r>
      <w:r>
        <w:t>ore</w:t>
      </w:r>
      <w:r>
        <w:rPr>
          <w:spacing w:val="-16"/>
        </w:rPr>
        <w:t xml:space="preserve"> </w:t>
      </w:r>
      <w:r w:rsidR="001C61BA">
        <w:t>I</w:t>
      </w:r>
      <w:r w:rsidR="001C61BA">
        <w:rPr>
          <w:spacing w:val="1"/>
        </w:rPr>
        <w:t>n</w:t>
      </w:r>
      <w:r w:rsidR="001C61BA">
        <w:t>je</w:t>
      </w:r>
      <w:r w:rsidR="001C61BA">
        <w:rPr>
          <w:spacing w:val="-1"/>
        </w:rPr>
        <w:t>c</w:t>
      </w:r>
      <w:r w:rsidR="001C61BA">
        <w:t>t</w:t>
      </w:r>
      <w:r w:rsidR="001C61BA">
        <w:rPr>
          <w:spacing w:val="1"/>
        </w:rPr>
        <w:t>in</w:t>
      </w:r>
      <w:r w:rsidR="001C61BA">
        <w:t>g</w:t>
      </w:r>
    </w:p>
    <w:p w14:paraId="0A2A976E" w14:textId="77777777" w:rsidR="0006309D" w:rsidRDefault="0006309D" w:rsidP="0021426A">
      <w:pPr>
        <w:pStyle w:val="NormalIndent1"/>
        <w:jc w:val="left"/>
      </w:pPr>
    </w:p>
    <w:p w14:paraId="1F000DBC" w14:textId="75E16BF1" w:rsidR="0006309D" w:rsidRDefault="0006309D" w:rsidP="0021426A">
      <w:pPr>
        <w:pStyle w:val="NormalIndent1"/>
        <w:jc w:val="left"/>
      </w:pPr>
      <w:r>
        <w:rPr>
          <w:spacing w:val="1"/>
        </w:rPr>
        <w:t>S</w:t>
      </w:r>
      <w:r>
        <w:t>i</w:t>
      </w:r>
      <w:r>
        <w:rPr>
          <w:spacing w:val="1"/>
        </w:rPr>
        <w:t>t</w:t>
      </w:r>
      <w:r>
        <w:rPr>
          <w:spacing w:val="-1"/>
        </w:rPr>
        <w:t>e</w:t>
      </w:r>
      <w:r>
        <w:t>s</w:t>
      </w:r>
      <w:r>
        <w:rPr>
          <w:spacing w:val="1"/>
        </w:rPr>
        <w:t xml:space="preserve"> </w:t>
      </w:r>
      <w:r>
        <w:t>for s</w:t>
      </w:r>
      <w:r>
        <w:rPr>
          <w:spacing w:val="-1"/>
        </w:rPr>
        <w:t>e</w:t>
      </w:r>
      <w:r>
        <w:t>l</w:t>
      </w:r>
      <w:r>
        <w:rPr>
          <w:spacing w:val="1"/>
        </w:rPr>
        <w:t>f</w:t>
      </w:r>
      <w:r>
        <w:rPr>
          <w:spacing w:val="-1"/>
        </w:rPr>
        <w:t>-</w:t>
      </w:r>
      <w:r>
        <w:t>in</w:t>
      </w:r>
      <w:r>
        <w:rPr>
          <w:spacing w:val="1"/>
        </w:rPr>
        <w:t>j</w:t>
      </w:r>
      <w:r>
        <w:rPr>
          <w:spacing w:val="-1"/>
        </w:rPr>
        <w:t>ec</w:t>
      </w:r>
      <w:r>
        <w:t>t</w:t>
      </w:r>
      <w:r>
        <w:rPr>
          <w:spacing w:val="1"/>
        </w:rPr>
        <w:t>i</w:t>
      </w:r>
      <w:r>
        <w:t>on</w:t>
      </w:r>
      <w:r>
        <w:rPr>
          <w:spacing w:val="1"/>
        </w:rPr>
        <w:t xml:space="preserve"> </w:t>
      </w:r>
      <w:r>
        <w:t>i</w:t>
      </w:r>
      <w:r>
        <w:rPr>
          <w:spacing w:val="-2"/>
        </w:rPr>
        <w:t>n</w:t>
      </w:r>
      <w:r>
        <w:rPr>
          <w:spacing w:val="-1"/>
        </w:rPr>
        <w:t>c</w:t>
      </w:r>
      <w:r>
        <w:t>lude</w:t>
      </w:r>
      <w:r>
        <w:rPr>
          <w:spacing w:val="1"/>
        </w:rPr>
        <w:t xml:space="preserve"> </w:t>
      </w:r>
      <w:r>
        <w:t>th</w:t>
      </w:r>
      <w:r>
        <w:rPr>
          <w:spacing w:val="1"/>
        </w:rPr>
        <w:t>i</w:t>
      </w:r>
      <w:r>
        <w:rPr>
          <w:spacing w:val="-2"/>
        </w:rPr>
        <w:t>g</w:t>
      </w:r>
      <w:r>
        <w:t>h,</w:t>
      </w:r>
      <w:r>
        <w:rPr>
          <w:spacing w:val="1"/>
        </w:rPr>
        <w:t xml:space="preserve"> </w:t>
      </w:r>
      <w:r>
        <w:rPr>
          <w:spacing w:val="-1"/>
        </w:rPr>
        <w:t>a</w:t>
      </w:r>
      <w:r>
        <w:t>bdomen</w:t>
      </w:r>
      <w:r>
        <w:rPr>
          <w:spacing w:val="1"/>
        </w:rPr>
        <w:t xml:space="preserve"> </w:t>
      </w:r>
      <w:r>
        <w:t>or upp</w:t>
      </w:r>
      <w:r>
        <w:rPr>
          <w:spacing w:val="-1"/>
        </w:rPr>
        <w:t>e</w:t>
      </w:r>
      <w:r>
        <w:t xml:space="preserve">r </w:t>
      </w:r>
      <w:r>
        <w:rPr>
          <w:spacing w:val="-1"/>
        </w:rPr>
        <w:t>a</w:t>
      </w:r>
      <w:r>
        <w:t xml:space="preserve">rm. </w:t>
      </w:r>
      <w:r>
        <w:rPr>
          <w:spacing w:val="5"/>
        </w:rPr>
        <w:t xml:space="preserve"> </w:t>
      </w:r>
      <w:r>
        <w:rPr>
          <w:spacing w:val="-6"/>
        </w:rPr>
        <w:t>I</w:t>
      </w:r>
      <w:r>
        <w:t>nj</w:t>
      </w:r>
      <w:r>
        <w:rPr>
          <w:spacing w:val="2"/>
        </w:rPr>
        <w:t>e</w:t>
      </w:r>
      <w:r>
        <w:rPr>
          <w:spacing w:val="-1"/>
        </w:rPr>
        <w:t>c</w:t>
      </w:r>
      <w:r>
        <w:t>t</w:t>
      </w:r>
      <w:r>
        <w:rPr>
          <w:spacing w:val="1"/>
        </w:rPr>
        <w:t>i</w:t>
      </w:r>
      <w:r>
        <w:t>on</w:t>
      </w:r>
      <w:r>
        <w:rPr>
          <w:spacing w:val="1"/>
        </w:rPr>
        <w:t xml:space="preserve"> </w:t>
      </w:r>
      <w:r>
        <w:t>si</w:t>
      </w:r>
      <w:r>
        <w:rPr>
          <w:spacing w:val="1"/>
        </w:rPr>
        <w:t>t</w:t>
      </w:r>
      <w:r>
        <w:rPr>
          <w:spacing w:val="-1"/>
        </w:rPr>
        <w:t>e</w:t>
      </w:r>
      <w:r>
        <w:t>s</w:t>
      </w:r>
      <w:r>
        <w:rPr>
          <w:spacing w:val="1"/>
        </w:rPr>
        <w:t xml:space="preserve"> </w:t>
      </w:r>
      <w:r>
        <w:t>should</w:t>
      </w:r>
      <w:r>
        <w:rPr>
          <w:spacing w:val="1"/>
        </w:rPr>
        <w:t xml:space="preserve"> </w:t>
      </w:r>
      <w:r>
        <w:t>be rot</w:t>
      </w:r>
      <w:r>
        <w:rPr>
          <w:spacing w:val="-1"/>
        </w:rPr>
        <w:t>a</w:t>
      </w:r>
      <w:r>
        <w:t xml:space="preserve">ted. </w:t>
      </w:r>
      <w:r>
        <w:rPr>
          <w:spacing w:val="1"/>
        </w:rPr>
        <w:t xml:space="preserve"> </w:t>
      </w:r>
      <w:r>
        <w:t>N</w:t>
      </w:r>
      <w:r>
        <w:rPr>
          <w:spacing w:val="-1"/>
        </w:rPr>
        <w:t>e</w:t>
      </w:r>
      <w:r>
        <w:t>w in</w:t>
      </w:r>
      <w:r>
        <w:rPr>
          <w:spacing w:val="1"/>
        </w:rPr>
        <w:t>j</w:t>
      </w:r>
      <w:r>
        <w:rPr>
          <w:spacing w:val="-1"/>
        </w:rPr>
        <w:t>ec</w:t>
      </w:r>
      <w:r>
        <w:t>t</w:t>
      </w:r>
      <w:r>
        <w:rPr>
          <w:spacing w:val="1"/>
        </w:rPr>
        <w:t>i</w:t>
      </w:r>
      <w:r>
        <w:t>ons</w:t>
      </w:r>
      <w:r>
        <w:rPr>
          <w:spacing w:val="38"/>
        </w:rPr>
        <w:t xml:space="preserve"> </w:t>
      </w:r>
      <w:r>
        <w:t>should</w:t>
      </w:r>
      <w:r>
        <w:rPr>
          <w:spacing w:val="38"/>
        </w:rPr>
        <w:t xml:space="preserve"> </w:t>
      </w:r>
      <w:r>
        <w:t>be</w:t>
      </w:r>
      <w:r>
        <w:rPr>
          <w:spacing w:val="37"/>
        </w:rPr>
        <w:t xml:space="preserve"> </w:t>
      </w:r>
      <w:r>
        <w:rPr>
          <w:spacing w:val="-2"/>
        </w:rPr>
        <w:t>g</w:t>
      </w:r>
      <w:r>
        <w:t>iven</w:t>
      </w:r>
      <w:r>
        <w:rPr>
          <w:spacing w:val="38"/>
        </w:rPr>
        <w:t xml:space="preserve"> </w:t>
      </w:r>
      <w:r>
        <w:rPr>
          <w:spacing w:val="-1"/>
        </w:rPr>
        <w:t>a</w:t>
      </w:r>
      <w:r>
        <w:t>t</w:t>
      </w:r>
      <w:r>
        <w:rPr>
          <w:spacing w:val="39"/>
        </w:rPr>
        <w:t xml:space="preserve"> </w:t>
      </w:r>
      <w:r w:rsidRPr="0066164C">
        <w:t>le</w:t>
      </w:r>
      <w:r w:rsidRPr="0066164C">
        <w:rPr>
          <w:spacing w:val="-1"/>
        </w:rPr>
        <w:t>a</w:t>
      </w:r>
      <w:r w:rsidRPr="0066164C">
        <w:t>st</w:t>
      </w:r>
      <w:r w:rsidRPr="0066164C">
        <w:rPr>
          <w:spacing w:val="39"/>
        </w:rPr>
        <w:t xml:space="preserve"> </w:t>
      </w:r>
      <w:r w:rsidRPr="0066164C">
        <w:t>3</w:t>
      </w:r>
      <w:r w:rsidR="001C61BA" w:rsidRPr="0066164C">
        <w:t xml:space="preserve"> </w:t>
      </w:r>
      <w:r w:rsidRPr="0066164C">
        <w:rPr>
          <w:spacing w:val="-1"/>
        </w:rPr>
        <w:t>c</w:t>
      </w:r>
      <w:r w:rsidRPr="0066164C">
        <w:t>m</w:t>
      </w:r>
      <w:r w:rsidRPr="0066164C">
        <w:rPr>
          <w:spacing w:val="39"/>
        </w:rPr>
        <w:t xml:space="preserve"> </w:t>
      </w:r>
      <w:r>
        <w:t>f</w:t>
      </w:r>
      <w:r>
        <w:rPr>
          <w:spacing w:val="1"/>
        </w:rPr>
        <w:t>r</w:t>
      </w:r>
      <w:r>
        <w:t>om</w:t>
      </w:r>
      <w:r>
        <w:rPr>
          <w:spacing w:val="39"/>
        </w:rPr>
        <w:t xml:space="preserve"> </w:t>
      </w:r>
      <w:r>
        <w:rPr>
          <w:spacing w:val="-1"/>
        </w:rPr>
        <w:t>a</w:t>
      </w:r>
      <w:r>
        <w:t>n</w:t>
      </w:r>
      <w:r>
        <w:rPr>
          <w:spacing w:val="40"/>
        </w:rPr>
        <w:t xml:space="preserve"> </w:t>
      </w:r>
      <w:r>
        <w:t>old</w:t>
      </w:r>
      <w:r>
        <w:rPr>
          <w:spacing w:val="39"/>
        </w:rPr>
        <w:t xml:space="preserve"> </w:t>
      </w:r>
      <w:r>
        <w:t>si</w:t>
      </w:r>
      <w:r>
        <w:rPr>
          <w:spacing w:val="1"/>
        </w:rPr>
        <w:t>t</w:t>
      </w:r>
      <w:r>
        <w:t>e</w:t>
      </w:r>
      <w:r>
        <w:rPr>
          <w:spacing w:val="37"/>
        </w:rPr>
        <w:t xml:space="preserve"> </w:t>
      </w:r>
      <w:r>
        <w:rPr>
          <w:spacing w:val="-1"/>
        </w:rPr>
        <w:t>a</w:t>
      </w:r>
      <w:r>
        <w:t>nd</w:t>
      </w:r>
      <w:r>
        <w:rPr>
          <w:spacing w:val="38"/>
        </w:rPr>
        <w:t xml:space="preserve"> </w:t>
      </w:r>
      <w:r>
        <w:t>n</w:t>
      </w:r>
      <w:r>
        <w:rPr>
          <w:spacing w:val="-1"/>
        </w:rPr>
        <w:t>e</w:t>
      </w:r>
      <w:r>
        <w:t>v</w:t>
      </w:r>
      <w:r>
        <w:rPr>
          <w:spacing w:val="-1"/>
        </w:rPr>
        <w:t>e</w:t>
      </w:r>
      <w:r>
        <w:t>r</w:t>
      </w:r>
      <w:r>
        <w:rPr>
          <w:spacing w:val="37"/>
        </w:rPr>
        <w:t xml:space="preserve"> </w:t>
      </w:r>
      <w:r>
        <w:t>in</w:t>
      </w:r>
      <w:r>
        <w:rPr>
          <w:spacing w:val="1"/>
        </w:rPr>
        <w:t>t</w:t>
      </w:r>
      <w:r>
        <w:t>o</w:t>
      </w:r>
      <w:r>
        <w:rPr>
          <w:spacing w:val="38"/>
        </w:rPr>
        <w:t xml:space="preserve"> </w:t>
      </w:r>
      <w:r>
        <w:rPr>
          <w:spacing w:val="-1"/>
        </w:rPr>
        <w:t>a</w:t>
      </w:r>
      <w:r>
        <w:t>r</w:t>
      </w:r>
      <w:r>
        <w:rPr>
          <w:spacing w:val="-2"/>
        </w:rPr>
        <w:t>e</w:t>
      </w:r>
      <w:r>
        <w:rPr>
          <w:spacing w:val="-1"/>
        </w:rPr>
        <w:t>a</w:t>
      </w:r>
      <w:r>
        <w:t>s</w:t>
      </w:r>
      <w:r>
        <w:rPr>
          <w:spacing w:val="38"/>
        </w:rPr>
        <w:t xml:space="preserve"> </w:t>
      </w:r>
      <w:r>
        <w:t>w</w:t>
      </w:r>
      <w:r>
        <w:rPr>
          <w:spacing w:val="2"/>
        </w:rPr>
        <w:t>h</w:t>
      </w:r>
      <w:r>
        <w:rPr>
          <w:spacing w:val="-1"/>
        </w:rPr>
        <w:t>e</w:t>
      </w:r>
      <w:r>
        <w:t>re</w:t>
      </w:r>
      <w:r>
        <w:rPr>
          <w:spacing w:val="36"/>
        </w:rPr>
        <w:t xml:space="preserve"> </w:t>
      </w:r>
      <w:r>
        <w:t>the</w:t>
      </w:r>
      <w:r>
        <w:rPr>
          <w:spacing w:val="38"/>
        </w:rPr>
        <w:t xml:space="preserve"> </w:t>
      </w:r>
      <w:r>
        <w:t>skin</w:t>
      </w:r>
      <w:r>
        <w:rPr>
          <w:spacing w:val="39"/>
        </w:rPr>
        <w:t xml:space="preserve"> </w:t>
      </w:r>
      <w:r>
        <w:t>is tend</w:t>
      </w:r>
      <w:r>
        <w:rPr>
          <w:spacing w:val="-1"/>
        </w:rPr>
        <w:t>e</w:t>
      </w:r>
      <w:r>
        <w:t>r, b</w:t>
      </w:r>
      <w:r>
        <w:rPr>
          <w:spacing w:val="-1"/>
        </w:rPr>
        <w:t>r</w:t>
      </w:r>
      <w:r>
        <w:t>uised,</w:t>
      </w:r>
      <w:r>
        <w:rPr>
          <w:spacing w:val="2"/>
        </w:rPr>
        <w:t xml:space="preserve"> </w:t>
      </w:r>
      <w:r>
        <w:t>r</w:t>
      </w:r>
      <w:r>
        <w:rPr>
          <w:spacing w:val="-2"/>
        </w:rPr>
        <w:t>e</w:t>
      </w:r>
      <w:r>
        <w:t xml:space="preserve">d or </w:t>
      </w:r>
      <w:r>
        <w:rPr>
          <w:spacing w:val="1"/>
        </w:rPr>
        <w:t>ha</w:t>
      </w:r>
      <w:r>
        <w:t>rd (s</w:t>
      </w:r>
      <w:r>
        <w:rPr>
          <w:spacing w:val="-1"/>
        </w:rPr>
        <w:t>e</w:t>
      </w:r>
      <w:r>
        <w:t>e</w:t>
      </w:r>
      <w:r>
        <w:rPr>
          <w:spacing w:val="4"/>
        </w:rPr>
        <w:t xml:space="preserve"> </w:t>
      </w:r>
      <w:r>
        <w:rPr>
          <w:spacing w:val="-3"/>
        </w:rPr>
        <w:t>I</w:t>
      </w:r>
      <w:r>
        <w:t>nstru</w:t>
      </w:r>
      <w:r>
        <w:rPr>
          <w:spacing w:val="-1"/>
        </w:rPr>
        <w:t>c</w:t>
      </w:r>
      <w:r>
        <w:t>t</w:t>
      </w:r>
      <w:r>
        <w:rPr>
          <w:spacing w:val="1"/>
        </w:rPr>
        <w:t>i</w:t>
      </w:r>
      <w:r>
        <w:t xml:space="preserve">on </w:t>
      </w:r>
      <w:r w:rsidR="001C61BA">
        <w:t>Sh</w:t>
      </w:r>
      <w:r w:rsidR="001C61BA">
        <w:rPr>
          <w:spacing w:val="-1"/>
        </w:rPr>
        <w:t>ee</w:t>
      </w:r>
      <w:r w:rsidR="001C61BA">
        <w:t xml:space="preserve">t </w:t>
      </w:r>
      <w:r>
        <w:rPr>
          <w:spacing w:val="3"/>
        </w:rPr>
        <w:t>s</w:t>
      </w:r>
      <w:r>
        <w:t>uppl</w:t>
      </w:r>
      <w:r>
        <w:rPr>
          <w:spacing w:val="1"/>
        </w:rPr>
        <w:t>i</w:t>
      </w:r>
      <w:r>
        <w:rPr>
          <w:spacing w:val="-1"/>
        </w:rPr>
        <w:t>e</w:t>
      </w:r>
      <w:r>
        <w:t xml:space="preserve">d with </w:t>
      </w:r>
      <w:r w:rsidR="003D1456">
        <w:t>Rymti</w:t>
      </w:r>
      <w:r>
        <w:t>).</w:t>
      </w:r>
    </w:p>
    <w:p w14:paraId="64C2B8B5" w14:textId="77777777" w:rsidR="0006309D" w:rsidRDefault="0006309D" w:rsidP="0021426A">
      <w:pPr>
        <w:pStyle w:val="NormalIndent1"/>
        <w:jc w:val="left"/>
      </w:pPr>
    </w:p>
    <w:p w14:paraId="1D34E860" w14:textId="5AEE9998" w:rsidR="0006309D" w:rsidRDefault="0006309D" w:rsidP="0021426A">
      <w:pPr>
        <w:pStyle w:val="NormalIndent1"/>
        <w:jc w:val="left"/>
      </w:pPr>
      <w:bookmarkStart w:id="1" w:name="_Hlk514847332"/>
      <w:r>
        <w:rPr>
          <w:i/>
          <w:u w:val="single" w:color="000000"/>
        </w:rPr>
        <w:t>Pr</w:t>
      </w:r>
      <w:r>
        <w:rPr>
          <w:i/>
          <w:spacing w:val="-1"/>
          <w:u w:val="single" w:color="000000"/>
        </w:rPr>
        <w:t>e-</w:t>
      </w:r>
      <w:r w:rsidR="001C61BA">
        <w:rPr>
          <w:i/>
          <w:u w:val="single" w:color="000000"/>
        </w:rPr>
        <w:t>F</w:t>
      </w:r>
      <w:r w:rsidR="001C61BA">
        <w:rPr>
          <w:i/>
          <w:spacing w:val="1"/>
          <w:u w:val="single" w:color="000000"/>
        </w:rPr>
        <w:t>i</w:t>
      </w:r>
      <w:r w:rsidR="001C61BA">
        <w:rPr>
          <w:i/>
          <w:u w:val="single" w:color="000000"/>
        </w:rPr>
        <w:t>l</w:t>
      </w:r>
      <w:r w:rsidR="001C61BA">
        <w:rPr>
          <w:i/>
          <w:spacing w:val="1"/>
          <w:u w:val="single" w:color="000000"/>
        </w:rPr>
        <w:t>l</w:t>
      </w:r>
      <w:r w:rsidR="001C61BA">
        <w:rPr>
          <w:i/>
          <w:spacing w:val="-1"/>
          <w:u w:val="single" w:color="000000"/>
        </w:rPr>
        <w:t>e</w:t>
      </w:r>
      <w:r w:rsidR="001C61BA">
        <w:rPr>
          <w:i/>
          <w:u w:val="single" w:color="000000"/>
        </w:rPr>
        <w:t>d</w:t>
      </w:r>
      <w:r w:rsidR="001C61BA">
        <w:rPr>
          <w:i/>
          <w:spacing w:val="3"/>
          <w:u w:val="single" w:color="000000"/>
        </w:rPr>
        <w:t xml:space="preserve"> </w:t>
      </w:r>
      <w:r w:rsidR="001C61BA">
        <w:rPr>
          <w:i/>
          <w:u w:val="single" w:color="000000"/>
        </w:rPr>
        <w:t>S</w:t>
      </w:r>
      <w:r w:rsidR="001C61BA">
        <w:rPr>
          <w:i/>
          <w:spacing w:val="-1"/>
          <w:u w:val="single" w:color="000000"/>
        </w:rPr>
        <w:t>y</w:t>
      </w:r>
      <w:r w:rsidR="001C61BA">
        <w:rPr>
          <w:i/>
          <w:u w:val="single" w:color="000000"/>
        </w:rPr>
        <w:t>ringe</w:t>
      </w:r>
      <w:r w:rsidR="001C61BA">
        <w:rPr>
          <w:i/>
          <w:spacing w:val="3"/>
          <w:u w:val="single" w:color="000000"/>
        </w:rPr>
        <w:t xml:space="preserve"> </w:t>
      </w:r>
      <w:r>
        <w:rPr>
          <w:spacing w:val="-1"/>
          <w:u w:val="single" w:color="000000"/>
        </w:rPr>
        <w:t>(</w:t>
      </w:r>
      <w:r>
        <w:rPr>
          <w:i/>
          <w:u w:val="single" w:color="000000"/>
        </w:rPr>
        <w:t>Solu</w:t>
      </w:r>
      <w:r>
        <w:rPr>
          <w:i/>
          <w:spacing w:val="1"/>
          <w:u w:val="single" w:color="000000"/>
        </w:rPr>
        <w:t>t</w:t>
      </w:r>
      <w:r>
        <w:rPr>
          <w:i/>
          <w:u w:val="single" w:color="000000"/>
        </w:rPr>
        <w:t>ion</w:t>
      </w:r>
      <w:r>
        <w:rPr>
          <w:i/>
          <w:spacing w:val="3"/>
          <w:u w:val="single" w:color="000000"/>
        </w:rPr>
        <w:t xml:space="preserve"> </w:t>
      </w:r>
      <w:r>
        <w:rPr>
          <w:i/>
          <w:u w:val="single" w:color="000000"/>
        </w:rPr>
        <w:t>for</w:t>
      </w:r>
      <w:r>
        <w:rPr>
          <w:i/>
          <w:spacing w:val="3"/>
          <w:u w:val="single" w:color="000000"/>
        </w:rPr>
        <w:t xml:space="preserve"> </w:t>
      </w:r>
      <w:r w:rsidR="001C61BA">
        <w:rPr>
          <w:i/>
          <w:u w:val="single" w:color="000000"/>
        </w:rPr>
        <w:t>In</w:t>
      </w:r>
      <w:r w:rsidR="001C61BA">
        <w:rPr>
          <w:i/>
          <w:spacing w:val="1"/>
          <w:u w:val="single" w:color="000000"/>
        </w:rPr>
        <w:t>j</w:t>
      </w:r>
      <w:r w:rsidR="001C61BA">
        <w:rPr>
          <w:i/>
          <w:spacing w:val="-1"/>
          <w:u w:val="single" w:color="000000"/>
        </w:rPr>
        <w:t>ec</w:t>
      </w:r>
      <w:r w:rsidR="001C61BA">
        <w:rPr>
          <w:i/>
          <w:u w:val="single" w:color="000000"/>
        </w:rPr>
        <w:t>t</w:t>
      </w:r>
      <w:r w:rsidR="001C61BA">
        <w:rPr>
          <w:i/>
          <w:spacing w:val="1"/>
          <w:u w:val="single" w:color="000000"/>
        </w:rPr>
        <w:t>i</w:t>
      </w:r>
      <w:r w:rsidR="001C61BA">
        <w:rPr>
          <w:i/>
          <w:u w:val="single" w:color="000000"/>
        </w:rPr>
        <w:t>o</w:t>
      </w:r>
      <w:r w:rsidR="001C61BA">
        <w:rPr>
          <w:i/>
          <w:spacing w:val="2"/>
          <w:u w:val="single" w:color="000000"/>
        </w:rPr>
        <w:t>n</w:t>
      </w:r>
      <w:r>
        <w:rPr>
          <w:i/>
          <w:spacing w:val="-3"/>
          <w:u w:val="single" w:color="000000"/>
        </w:rPr>
        <w:t>)</w:t>
      </w:r>
      <w:r>
        <w:t>:</w:t>
      </w:r>
      <w:r>
        <w:rPr>
          <w:spacing w:val="39"/>
        </w:rPr>
        <w:t xml:space="preserve"> </w:t>
      </w:r>
      <w:r w:rsidR="001C61BA">
        <w:rPr>
          <w:spacing w:val="39"/>
        </w:rPr>
        <w:t xml:space="preserve"> </w:t>
      </w:r>
      <w:r>
        <w:rPr>
          <w:spacing w:val="-2"/>
        </w:rPr>
        <w:t>B</w:t>
      </w:r>
      <w:r>
        <w:rPr>
          <w:spacing w:val="-1"/>
        </w:rPr>
        <w:t>e</w:t>
      </w:r>
      <w:r>
        <w:t>f</w:t>
      </w:r>
      <w:r>
        <w:rPr>
          <w:spacing w:val="1"/>
        </w:rPr>
        <w:t>o</w:t>
      </w:r>
      <w:r>
        <w:t>re</w:t>
      </w:r>
      <w:r>
        <w:rPr>
          <w:spacing w:val="3"/>
        </w:rPr>
        <w:t xml:space="preserve"> </w:t>
      </w:r>
      <w:r>
        <w:t>in</w:t>
      </w:r>
      <w:r>
        <w:rPr>
          <w:spacing w:val="1"/>
        </w:rPr>
        <w:t>j</w:t>
      </w:r>
      <w:r>
        <w:rPr>
          <w:spacing w:val="-1"/>
        </w:rPr>
        <w:t>ec</w:t>
      </w:r>
      <w:r>
        <w:t>t</w:t>
      </w:r>
      <w:r>
        <w:rPr>
          <w:spacing w:val="1"/>
        </w:rPr>
        <w:t>i</w:t>
      </w:r>
      <w:r>
        <w:t>n</w:t>
      </w:r>
      <w:r>
        <w:rPr>
          <w:spacing w:val="-2"/>
        </w:rPr>
        <w:t>g</w:t>
      </w:r>
      <w:r>
        <w:t>,</w:t>
      </w:r>
      <w:r>
        <w:rPr>
          <w:spacing w:val="3"/>
        </w:rPr>
        <w:t xml:space="preserve"> </w:t>
      </w:r>
      <w:r w:rsidR="003D1456">
        <w:t>Rymti</w:t>
      </w:r>
      <w:r>
        <w:t xml:space="preserve"> si</w:t>
      </w:r>
      <w:r>
        <w:rPr>
          <w:spacing w:val="3"/>
        </w:rPr>
        <w:t>n</w:t>
      </w:r>
      <w:r>
        <w:t>gl</w:t>
      </w:r>
      <w:r>
        <w:rPr>
          <w:spacing w:val="4"/>
        </w:rPr>
        <w:t>e</w:t>
      </w:r>
      <w:r>
        <w:rPr>
          <w:spacing w:val="-1"/>
        </w:rPr>
        <w:t>-</w:t>
      </w:r>
      <w:r>
        <w:t>use</w:t>
      </w:r>
      <w:r>
        <w:rPr>
          <w:spacing w:val="2"/>
        </w:rPr>
        <w:t xml:space="preserve"> </w:t>
      </w:r>
      <w:r>
        <w:t>p</w:t>
      </w:r>
      <w:r>
        <w:rPr>
          <w:spacing w:val="1"/>
        </w:rPr>
        <w:t>r</w:t>
      </w:r>
      <w:r>
        <w:t>e</w:t>
      </w:r>
      <w:r>
        <w:rPr>
          <w:spacing w:val="-1"/>
        </w:rPr>
        <w:t>-</w:t>
      </w:r>
      <w:r>
        <w:t>filled</w:t>
      </w:r>
      <w:r>
        <w:rPr>
          <w:spacing w:val="2"/>
        </w:rPr>
        <w:t xml:space="preserve"> </w:t>
      </w:r>
      <w:r>
        <w:rPr>
          <w:spacing w:val="5"/>
        </w:rPr>
        <w:t>s</w:t>
      </w:r>
      <w:r>
        <w:rPr>
          <w:spacing w:val="-5"/>
        </w:rPr>
        <w:t>y</w:t>
      </w:r>
      <w:r>
        <w:t>ri</w:t>
      </w:r>
      <w:r>
        <w:rPr>
          <w:spacing w:val="2"/>
        </w:rPr>
        <w:t>n</w:t>
      </w:r>
      <w:r>
        <w:rPr>
          <w:spacing w:val="-2"/>
        </w:rPr>
        <w:t>g</w:t>
      </w:r>
      <w:r>
        <w:rPr>
          <w:spacing w:val="-1"/>
        </w:rPr>
        <w:t>e</w:t>
      </w:r>
      <w:r>
        <w:t>s should</w:t>
      </w:r>
      <w:r>
        <w:rPr>
          <w:spacing w:val="7"/>
        </w:rPr>
        <w:t xml:space="preserve"> </w:t>
      </w:r>
      <w:r>
        <w:t>be</w:t>
      </w:r>
      <w:r>
        <w:rPr>
          <w:spacing w:val="6"/>
        </w:rPr>
        <w:t xml:space="preserve"> </w:t>
      </w:r>
      <w:r w:rsidR="00A171B6">
        <w:rPr>
          <w:spacing w:val="6"/>
        </w:rPr>
        <w:t xml:space="preserve">removed from the refrigerator and </w:t>
      </w:r>
      <w:r>
        <w:rPr>
          <w:spacing w:val="-1"/>
        </w:rPr>
        <w:t>a</w:t>
      </w:r>
      <w:r>
        <w:t>l</w:t>
      </w:r>
      <w:r>
        <w:rPr>
          <w:spacing w:val="1"/>
        </w:rPr>
        <w:t>l</w:t>
      </w:r>
      <w:r>
        <w:t>ow</w:t>
      </w:r>
      <w:r>
        <w:rPr>
          <w:spacing w:val="-1"/>
        </w:rPr>
        <w:t>e</w:t>
      </w:r>
      <w:r>
        <w:t>d</w:t>
      </w:r>
      <w:r>
        <w:rPr>
          <w:spacing w:val="7"/>
        </w:rPr>
        <w:t xml:space="preserve"> </w:t>
      </w:r>
      <w:r>
        <w:t>to</w:t>
      </w:r>
      <w:r>
        <w:rPr>
          <w:spacing w:val="10"/>
        </w:rPr>
        <w:t xml:space="preserve"> </w:t>
      </w:r>
      <w:r>
        <w:t>re</w:t>
      </w:r>
      <w:r>
        <w:rPr>
          <w:spacing w:val="1"/>
        </w:rPr>
        <w:t>a</w:t>
      </w:r>
      <w:r>
        <w:rPr>
          <w:spacing w:val="-1"/>
        </w:rPr>
        <w:t>c</w:t>
      </w:r>
      <w:r>
        <w:t>h</w:t>
      </w:r>
      <w:r>
        <w:rPr>
          <w:spacing w:val="7"/>
        </w:rPr>
        <w:t xml:space="preserve"> </w:t>
      </w:r>
      <w:r>
        <w:t>room</w:t>
      </w:r>
      <w:r>
        <w:rPr>
          <w:spacing w:val="7"/>
        </w:rPr>
        <w:t xml:space="preserve"> </w:t>
      </w:r>
      <w:r>
        <w:t>temp</w:t>
      </w:r>
      <w:r>
        <w:rPr>
          <w:spacing w:val="1"/>
        </w:rPr>
        <w:t>e</w:t>
      </w:r>
      <w:r>
        <w:t>r</w:t>
      </w:r>
      <w:r>
        <w:rPr>
          <w:spacing w:val="-2"/>
        </w:rPr>
        <w:t>a</w:t>
      </w:r>
      <w:r>
        <w:t>tu</w:t>
      </w:r>
      <w:r>
        <w:rPr>
          <w:spacing w:val="2"/>
        </w:rPr>
        <w:t>r</w:t>
      </w:r>
      <w:r>
        <w:t>e</w:t>
      </w:r>
      <w:r>
        <w:rPr>
          <w:spacing w:val="6"/>
        </w:rPr>
        <w:t xml:space="preserve"> </w:t>
      </w:r>
      <w:r>
        <w:t>(</w:t>
      </w:r>
      <w:r>
        <w:rPr>
          <w:spacing w:val="-2"/>
        </w:rPr>
        <w:t>a</w:t>
      </w:r>
      <w:r>
        <w:rPr>
          <w:spacing w:val="2"/>
        </w:rPr>
        <w:t>p</w:t>
      </w:r>
      <w:r>
        <w:t>pro</w:t>
      </w:r>
      <w:r>
        <w:rPr>
          <w:spacing w:val="1"/>
        </w:rPr>
        <w:t>x</w:t>
      </w:r>
      <w:r>
        <w:t>i</w:t>
      </w:r>
      <w:r>
        <w:rPr>
          <w:spacing w:val="1"/>
        </w:rPr>
        <w:t>m</w:t>
      </w:r>
      <w:r>
        <w:rPr>
          <w:spacing w:val="-1"/>
        </w:rPr>
        <w:t>a</w:t>
      </w:r>
      <w:r>
        <w:t>te</w:t>
      </w:r>
      <w:r>
        <w:rPr>
          <w:spacing w:val="2"/>
        </w:rPr>
        <w:t>l</w:t>
      </w:r>
      <w:r>
        <w:t>y 30</w:t>
      </w:r>
      <w:r>
        <w:rPr>
          <w:spacing w:val="7"/>
        </w:rPr>
        <w:t xml:space="preserve"> </w:t>
      </w:r>
      <w:r>
        <w:t>m</w:t>
      </w:r>
      <w:r>
        <w:rPr>
          <w:spacing w:val="3"/>
        </w:rPr>
        <w:t>i</w:t>
      </w:r>
      <w:r>
        <w:t>nutes</w:t>
      </w:r>
      <w:r>
        <w:rPr>
          <w:spacing w:val="-1"/>
        </w:rPr>
        <w:t>)</w:t>
      </w:r>
      <w:r>
        <w:t>.</w:t>
      </w:r>
      <w:bookmarkStart w:id="2" w:name="_Hlk515453859"/>
      <w:r w:rsidR="001379A9">
        <w:t xml:space="preserve"> </w:t>
      </w:r>
      <w:r w:rsidR="00A171B6">
        <w:t xml:space="preserve"> </w:t>
      </w:r>
      <w:r w:rsidR="00B41482" w:rsidRPr="00B41482">
        <w:t>The</w:t>
      </w:r>
      <w:r w:rsidR="00B41482" w:rsidRPr="00B41482">
        <w:rPr>
          <w:spacing w:val="8"/>
        </w:rPr>
        <w:t xml:space="preserve"> </w:t>
      </w:r>
      <w:r w:rsidR="00B41482" w:rsidRPr="00B41482">
        <w:t>n</w:t>
      </w:r>
      <w:r w:rsidR="00B41482" w:rsidRPr="00B41482">
        <w:rPr>
          <w:spacing w:val="-1"/>
        </w:rPr>
        <w:t>ee</w:t>
      </w:r>
      <w:r w:rsidR="00B41482" w:rsidRPr="00B41482">
        <w:t>d</w:t>
      </w:r>
      <w:r w:rsidR="00B41482" w:rsidRPr="00B41482">
        <w:rPr>
          <w:spacing w:val="3"/>
        </w:rPr>
        <w:t>l</w:t>
      </w:r>
      <w:r w:rsidR="00B41482" w:rsidRPr="00B41482">
        <w:t>e</w:t>
      </w:r>
      <w:r w:rsidR="00B41482" w:rsidRPr="00B41482">
        <w:rPr>
          <w:spacing w:val="6"/>
        </w:rPr>
        <w:t xml:space="preserve"> </w:t>
      </w:r>
      <w:r w:rsidR="00B41482" w:rsidRPr="00B41482">
        <w:rPr>
          <w:spacing w:val="-1"/>
        </w:rPr>
        <w:t>cap</w:t>
      </w:r>
      <w:r w:rsidR="00B41482" w:rsidRPr="00B41482">
        <w:t xml:space="preserve"> should</w:t>
      </w:r>
      <w:r w:rsidR="00B41482" w:rsidRPr="00B41482">
        <w:rPr>
          <w:spacing w:val="3"/>
        </w:rPr>
        <w:t xml:space="preserve"> </w:t>
      </w:r>
      <w:r w:rsidR="00B41482" w:rsidRPr="00B41482">
        <w:t>not</w:t>
      </w:r>
      <w:r w:rsidR="00B41482" w:rsidRPr="00B41482">
        <w:rPr>
          <w:spacing w:val="3"/>
        </w:rPr>
        <w:t xml:space="preserve"> </w:t>
      </w:r>
      <w:r w:rsidR="00B41482" w:rsidRPr="00B41482">
        <w:t>be</w:t>
      </w:r>
      <w:r w:rsidR="00B41482" w:rsidRPr="00B41482">
        <w:rPr>
          <w:spacing w:val="2"/>
        </w:rPr>
        <w:t xml:space="preserve"> </w:t>
      </w:r>
      <w:r w:rsidR="00B41482" w:rsidRPr="00B41482">
        <w:t>r</w:t>
      </w:r>
      <w:r w:rsidR="00B41482" w:rsidRPr="00B41482">
        <w:rPr>
          <w:spacing w:val="-2"/>
        </w:rPr>
        <w:t>e</w:t>
      </w:r>
      <w:r w:rsidR="00B41482" w:rsidRPr="00B41482">
        <w:t>moved</w:t>
      </w:r>
      <w:r w:rsidR="00B41482" w:rsidRPr="00B41482">
        <w:rPr>
          <w:spacing w:val="2"/>
        </w:rPr>
        <w:t xml:space="preserve"> d</w:t>
      </w:r>
      <w:r w:rsidR="00B41482" w:rsidRPr="00B41482">
        <w:t>uring th</w:t>
      </w:r>
      <w:r w:rsidR="00B41482" w:rsidRPr="00B41482">
        <w:rPr>
          <w:spacing w:val="1"/>
        </w:rPr>
        <w:t>i</w:t>
      </w:r>
      <w:r w:rsidR="00B41482" w:rsidRPr="00B41482">
        <w:t>s</w:t>
      </w:r>
      <w:r w:rsidR="00B41482" w:rsidRPr="00B41482">
        <w:rPr>
          <w:spacing w:val="3"/>
        </w:rPr>
        <w:t xml:space="preserve"> </w:t>
      </w:r>
      <w:r w:rsidR="00B41482" w:rsidRPr="00B41482">
        <w:t>p</w:t>
      </w:r>
      <w:r w:rsidR="00B41482" w:rsidRPr="00B41482">
        <w:rPr>
          <w:spacing w:val="1"/>
        </w:rPr>
        <w:t>e</w:t>
      </w:r>
      <w:r w:rsidR="00B41482" w:rsidRPr="00B41482">
        <w:t>riod</w:t>
      </w:r>
      <w:r w:rsidR="00B41482">
        <w:t xml:space="preserve">. </w:t>
      </w:r>
      <w:r w:rsidR="00B41482">
        <w:rPr>
          <w:spacing w:val="10"/>
        </w:rPr>
        <w:t xml:space="preserve"> </w:t>
      </w:r>
      <w:r w:rsidR="00076AD2">
        <w:t>T</w:t>
      </w:r>
      <w:r w:rsidR="001379A9">
        <w:t xml:space="preserve">he solution </w:t>
      </w:r>
      <w:r w:rsidR="00076AD2">
        <w:t xml:space="preserve">should not be warmed </w:t>
      </w:r>
      <w:r w:rsidR="001379A9">
        <w:t xml:space="preserve">in any other way.  </w:t>
      </w:r>
      <w:r w:rsidR="00B41482">
        <w:t>Once the solution has reached room temperature, i</w:t>
      </w:r>
      <w:r w:rsidR="001379A9">
        <w:t>mmediate use is recommended</w:t>
      </w:r>
      <w:bookmarkEnd w:id="2"/>
      <w:r w:rsidR="001379A9">
        <w:t>.</w:t>
      </w:r>
      <w:r>
        <w:t xml:space="preserve"> </w:t>
      </w:r>
      <w:r>
        <w:rPr>
          <w:spacing w:val="26"/>
        </w:rPr>
        <w:t xml:space="preserve"> </w:t>
      </w:r>
      <w:r>
        <w:t>The</w:t>
      </w:r>
      <w:r>
        <w:rPr>
          <w:spacing w:val="2"/>
        </w:rPr>
        <w:t xml:space="preserve"> </w:t>
      </w:r>
      <w:r>
        <w:t>s</w:t>
      </w:r>
      <w:r>
        <w:rPr>
          <w:spacing w:val="2"/>
        </w:rPr>
        <w:t>o</w:t>
      </w:r>
      <w:r>
        <w:t>lu</w:t>
      </w:r>
      <w:r>
        <w:rPr>
          <w:spacing w:val="1"/>
        </w:rPr>
        <w:t>t</w:t>
      </w:r>
      <w:r>
        <w:t>ion</w:t>
      </w:r>
      <w:r>
        <w:rPr>
          <w:spacing w:val="3"/>
        </w:rPr>
        <w:t xml:space="preserve"> </w:t>
      </w:r>
      <w:r>
        <w:t>shou</w:t>
      </w:r>
      <w:r>
        <w:rPr>
          <w:spacing w:val="5"/>
        </w:rPr>
        <w:t>l</w:t>
      </w:r>
      <w:r>
        <w:t>d</w:t>
      </w:r>
      <w:r>
        <w:rPr>
          <w:spacing w:val="3"/>
        </w:rPr>
        <w:t xml:space="preserve"> </w:t>
      </w:r>
      <w:r>
        <w:t>be</w:t>
      </w:r>
      <w:r>
        <w:rPr>
          <w:spacing w:val="2"/>
        </w:rPr>
        <w:t xml:space="preserve"> </w:t>
      </w:r>
      <w:r>
        <w:rPr>
          <w:spacing w:val="-1"/>
        </w:rPr>
        <w:t>c</w:t>
      </w:r>
      <w:r>
        <w:t>le</w:t>
      </w:r>
      <w:r>
        <w:rPr>
          <w:spacing w:val="-1"/>
        </w:rPr>
        <w:t>a</w:t>
      </w:r>
      <w:r>
        <w:t>r</w:t>
      </w:r>
      <w:r>
        <w:rPr>
          <w:spacing w:val="4"/>
        </w:rPr>
        <w:t xml:space="preserve"> </w:t>
      </w:r>
      <w:r>
        <w:t>to</w:t>
      </w:r>
      <w:r>
        <w:rPr>
          <w:spacing w:val="6"/>
        </w:rPr>
        <w:t xml:space="preserve"> </w:t>
      </w:r>
      <w:r>
        <w:t>op</w:t>
      </w:r>
      <w:r>
        <w:rPr>
          <w:spacing w:val="-1"/>
        </w:rPr>
        <w:t>a</w:t>
      </w:r>
      <w:r>
        <w:t>les</w:t>
      </w:r>
      <w:r>
        <w:rPr>
          <w:spacing w:val="-1"/>
        </w:rPr>
        <w:t>ce</w:t>
      </w:r>
      <w:r>
        <w:t>n</w:t>
      </w:r>
      <w:r>
        <w:rPr>
          <w:spacing w:val="1"/>
        </w:rPr>
        <w:t>t</w:t>
      </w:r>
      <w:r>
        <w:t>,</w:t>
      </w:r>
      <w:r>
        <w:rPr>
          <w:spacing w:val="5"/>
        </w:rPr>
        <w:t xml:space="preserve"> </w:t>
      </w:r>
      <w:r>
        <w:rPr>
          <w:spacing w:val="-1"/>
        </w:rPr>
        <w:t>c</w:t>
      </w:r>
      <w:r>
        <w:t>olourl</w:t>
      </w:r>
      <w:r>
        <w:rPr>
          <w:spacing w:val="-1"/>
        </w:rPr>
        <w:t>e</w:t>
      </w:r>
      <w:r>
        <w:t>ss</w:t>
      </w:r>
      <w:r>
        <w:rPr>
          <w:spacing w:val="4"/>
        </w:rPr>
        <w:t xml:space="preserve"> </w:t>
      </w:r>
      <w:r>
        <w:t xml:space="preserve">to </w:t>
      </w:r>
      <w:r>
        <w:rPr>
          <w:spacing w:val="-5"/>
        </w:rPr>
        <w:t>y</w:t>
      </w:r>
      <w:r>
        <w:rPr>
          <w:spacing w:val="1"/>
        </w:rPr>
        <w:t>e</w:t>
      </w:r>
      <w:r>
        <w:t>l</w:t>
      </w:r>
      <w:r>
        <w:rPr>
          <w:spacing w:val="1"/>
        </w:rPr>
        <w:t>l</w:t>
      </w:r>
      <w:r>
        <w:t>ow</w:t>
      </w:r>
      <w:r>
        <w:rPr>
          <w:spacing w:val="4"/>
        </w:rPr>
        <w:t xml:space="preserve"> </w:t>
      </w:r>
      <w:r>
        <w:rPr>
          <w:spacing w:val="-1"/>
        </w:rPr>
        <w:t>a</w:t>
      </w:r>
      <w:r>
        <w:t>nd</w:t>
      </w:r>
      <w:r>
        <w:rPr>
          <w:spacing w:val="3"/>
        </w:rPr>
        <w:t xml:space="preserve"> </w:t>
      </w:r>
      <w:r w:rsidR="00D33FE1">
        <w:rPr>
          <w:spacing w:val="3"/>
        </w:rPr>
        <w:t xml:space="preserve">the </w:t>
      </w:r>
      <w:r>
        <w:t>l</w:t>
      </w:r>
      <w:r>
        <w:rPr>
          <w:spacing w:val="1"/>
        </w:rPr>
        <w:t>i</w:t>
      </w:r>
      <w:r>
        <w:t>quid</w:t>
      </w:r>
      <w:r>
        <w:rPr>
          <w:spacing w:val="3"/>
        </w:rPr>
        <w:t xml:space="preserve"> </w:t>
      </w:r>
      <w:r>
        <w:t>m</w:t>
      </w:r>
      <w:r>
        <w:rPr>
          <w:spacing w:val="2"/>
        </w:rPr>
        <w:t>a</w:t>
      </w:r>
      <w:r>
        <w:t xml:space="preserve">y </w:t>
      </w:r>
      <w:r>
        <w:rPr>
          <w:spacing w:val="1"/>
        </w:rPr>
        <w:t>c</w:t>
      </w:r>
      <w:r>
        <w:t>ontain</w:t>
      </w:r>
      <w:r>
        <w:rPr>
          <w:spacing w:val="2"/>
        </w:rPr>
        <w:t xml:space="preserve"> </w:t>
      </w:r>
      <w:r>
        <w:t>tr</w:t>
      </w:r>
      <w:r>
        <w:rPr>
          <w:spacing w:val="-1"/>
        </w:rPr>
        <w:t>ac</w:t>
      </w:r>
      <w:r>
        <w:t>e</w:t>
      </w:r>
      <w:r>
        <w:rPr>
          <w:spacing w:val="1"/>
        </w:rPr>
        <w:t xml:space="preserve"> </w:t>
      </w:r>
      <w:r>
        <w:t>le</w:t>
      </w:r>
      <w:r>
        <w:rPr>
          <w:spacing w:val="2"/>
        </w:rPr>
        <w:t>v</w:t>
      </w:r>
      <w:r>
        <w:rPr>
          <w:spacing w:val="-1"/>
        </w:rPr>
        <w:t>e</w:t>
      </w:r>
      <w:r>
        <w:t>ls</w:t>
      </w:r>
      <w:r>
        <w:rPr>
          <w:spacing w:val="3"/>
        </w:rPr>
        <w:t xml:space="preserve"> </w:t>
      </w:r>
      <w:r>
        <w:t>of</w:t>
      </w:r>
      <w:r>
        <w:rPr>
          <w:spacing w:val="2"/>
        </w:rPr>
        <w:t xml:space="preserve"> </w:t>
      </w:r>
      <w:r>
        <w:t>tr</w:t>
      </w:r>
      <w:r>
        <w:rPr>
          <w:spacing w:val="1"/>
        </w:rPr>
        <w:t>a</w:t>
      </w:r>
      <w:r>
        <w:t>nsluc</w:t>
      </w:r>
      <w:r>
        <w:rPr>
          <w:spacing w:val="-1"/>
        </w:rPr>
        <w:t>e</w:t>
      </w:r>
      <w:r>
        <w:t>nt</w:t>
      </w:r>
      <w:r>
        <w:rPr>
          <w:spacing w:val="3"/>
        </w:rPr>
        <w:t xml:space="preserve"> </w:t>
      </w:r>
      <w:r>
        <w:t>to</w:t>
      </w:r>
      <w:r>
        <w:rPr>
          <w:spacing w:val="3"/>
        </w:rPr>
        <w:t xml:space="preserve"> </w:t>
      </w:r>
      <w:r w:rsidRPr="00B01B4F">
        <w:t>white</w:t>
      </w:r>
      <w:r w:rsidRPr="00B01B4F">
        <w:rPr>
          <w:spacing w:val="2"/>
        </w:rPr>
        <w:t xml:space="preserve"> </w:t>
      </w:r>
      <w:r w:rsidRPr="00B01B4F">
        <w:t>p</w:t>
      </w:r>
      <w:r w:rsidRPr="00C54FC2">
        <w:t>a</w:t>
      </w:r>
      <w:r w:rsidRPr="00B01B4F">
        <w:t>rti</w:t>
      </w:r>
      <w:r w:rsidRPr="00C54FC2">
        <w:t>c</w:t>
      </w:r>
      <w:r w:rsidRPr="00B01B4F">
        <w:t xml:space="preserve">les. </w:t>
      </w:r>
      <w:r w:rsidRPr="00C54FC2">
        <w:t xml:space="preserve"> </w:t>
      </w:r>
      <w:r w:rsidR="00076AD2">
        <w:t>The</w:t>
      </w:r>
      <w:r w:rsidR="001379A9" w:rsidRPr="00C54FC2">
        <w:t xml:space="preserve"> solution </w:t>
      </w:r>
      <w:r w:rsidR="00076AD2">
        <w:t xml:space="preserve">should not be used </w:t>
      </w:r>
      <w:r w:rsidR="001379A9" w:rsidRPr="00C54FC2">
        <w:t>if it is discoloured, cloudy, or if particles other than</w:t>
      </w:r>
      <w:r w:rsidR="00B01B4F">
        <w:t xml:space="preserve"> </w:t>
      </w:r>
      <w:r w:rsidR="001379A9" w:rsidRPr="00C54FC2">
        <w:t xml:space="preserve">those described are present. </w:t>
      </w:r>
      <w:r w:rsidR="00B01B4F">
        <w:t xml:space="preserve"> </w:t>
      </w:r>
      <w:r w:rsidR="001379A9" w:rsidRPr="00C54FC2">
        <w:t xml:space="preserve">If </w:t>
      </w:r>
      <w:r w:rsidR="00076AD2">
        <w:t>the patient is</w:t>
      </w:r>
      <w:r w:rsidR="001379A9" w:rsidRPr="00C54FC2">
        <w:t xml:space="preserve"> concerned with the appearance of the solution, then </w:t>
      </w:r>
      <w:r w:rsidR="00076AD2">
        <w:t>their</w:t>
      </w:r>
      <w:r w:rsidR="001379A9" w:rsidRPr="00C54FC2">
        <w:t xml:space="preserve"> pharmacist</w:t>
      </w:r>
      <w:r w:rsidR="00A171B6">
        <w:t xml:space="preserve"> should be contacted</w:t>
      </w:r>
      <w:r w:rsidR="00076AD2">
        <w:t xml:space="preserve"> </w:t>
      </w:r>
      <w:r w:rsidR="001379A9" w:rsidRPr="00C54FC2">
        <w:t>for assistance</w:t>
      </w:r>
      <w:r w:rsidR="00B01B4F">
        <w:t xml:space="preserve">. </w:t>
      </w:r>
      <w:r w:rsidR="001379A9" w:rsidRPr="00B01B4F">
        <w:rPr>
          <w:spacing w:val="11"/>
        </w:rPr>
        <w:t xml:space="preserve"> </w:t>
      </w:r>
    </w:p>
    <w:bookmarkEnd w:id="1"/>
    <w:p w14:paraId="76DB5135" w14:textId="2A1EC129" w:rsidR="0006309D" w:rsidRDefault="0006309D" w:rsidP="0021426A">
      <w:pPr>
        <w:pStyle w:val="NormalIndent1"/>
        <w:jc w:val="left"/>
      </w:pPr>
    </w:p>
    <w:p w14:paraId="56C753F7" w14:textId="11C2545D" w:rsidR="0006309D" w:rsidRDefault="003D1456" w:rsidP="0021426A">
      <w:pPr>
        <w:pStyle w:val="NormalIndent1"/>
        <w:jc w:val="left"/>
      </w:pPr>
      <w:r>
        <w:t>Rymti</w:t>
      </w:r>
      <w:r w:rsidR="0006309D">
        <w:rPr>
          <w:spacing w:val="-3"/>
        </w:rPr>
        <w:t xml:space="preserve"> </w:t>
      </w:r>
      <w:r w:rsidR="0006309D">
        <w:t>is for</w:t>
      </w:r>
      <w:r w:rsidR="0006309D">
        <w:rPr>
          <w:spacing w:val="-1"/>
        </w:rPr>
        <w:t xml:space="preserve"> </w:t>
      </w:r>
      <w:r w:rsidR="0006309D">
        <w:t>si</w:t>
      </w:r>
      <w:r w:rsidR="0006309D">
        <w:rPr>
          <w:spacing w:val="3"/>
        </w:rPr>
        <w:t>n</w:t>
      </w:r>
      <w:r w:rsidR="0006309D">
        <w:rPr>
          <w:spacing w:val="-2"/>
        </w:rPr>
        <w:t>g</w:t>
      </w:r>
      <w:r w:rsidR="0006309D">
        <w:t>le u</w:t>
      </w:r>
      <w:r w:rsidR="0006309D">
        <w:rPr>
          <w:spacing w:val="2"/>
        </w:rPr>
        <w:t>s</w:t>
      </w:r>
      <w:r w:rsidR="0006309D">
        <w:t>e</w:t>
      </w:r>
      <w:r w:rsidR="0006309D">
        <w:rPr>
          <w:spacing w:val="-1"/>
        </w:rPr>
        <w:t xml:space="preserve"> </w:t>
      </w:r>
      <w:r w:rsidR="0006309D">
        <w:t>on</w:t>
      </w:r>
      <w:r w:rsidR="0006309D">
        <w:rPr>
          <w:spacing w:val="3"/>
        </w:rPr>
        <w:t>l</w:t>
      </w:r>
      <w:r w:rsidR="0006309D">
        <w:rPr>
          <w:spacing w:val="-5"/>
        </w:rPr>
        <w:t>y</w:t>
      </w:r>
      <w:r w:rsidR="0006309D">
        <w:t>.  A</w:t>
      </w:r>
      <w:r w:rsidR="0006309D">
        <w:rPr>
          <w:spacing w:val="4"/>
        </w:rPr>
        <w:t>n</w:t>
      </w:r>
      <w:r w:rsidR="0006309D">
        <w:t>y</w:t>
      </w:r>
      <w:r w:rsidR="0006309D">
        <w:rPr>
          <w:spacing w:val="-5"/>
        </w:rPr>
        <w:t xml:space="preserve"> </w:t>
      </w:r>
      <w:r w:rsidR="0006309D">
        <w:t>unu</w:t>
      </w:r>
      <w:r w:rsidR="0006309D">
        <w:rPr>
          <w:spacing w:val="2"/>
        </w:rPr>
        <w:t>s</w:t>
      </w:r>
      <w:r w:rsidR="0006309D">
        <w:rPr>
          <w:spacing w:val="-1"/>
        </w:rPr>
        <w:t>e</w:t>
      </w:r>
      <w:r w:rsidR="0006309D">
        <w:t>d pr</w:t>
      </w:r>
      <w:r w:rsidR="0006309D">
        <w:rPr>
          <w:spacing w:val="-1"/>
        </w:rPr>
        <w:t>o</w:t>
      </w:r>
      <w:r w:rsidR="0006309D">
        <w:rPr>
          <w:spacing w:val="2"/>
        </w:rPr>
        <w:t>d</w:t>
      </w:r>
      <w:r w:rsidR="0006309D">
        <w:t>u</w:t>
      </w:r>
      <w:r w:rsidR="0006309D">
        <w:rPr>
          <w:spacing w:val="-1"/>
        </w:rPr>
        <w:t>c</w:t>
      </w:r>
      <w:r w:rsidR="0006309D">
        <w:t>t should be disposed of</w:t>
      </w:r>
      <w:r w:rsidR="0006309D">
        <w:rPr>
          <w:spacing w:val="1"/>
        </w:rPr>
        <w:t xml:space="preserve"> </w:t>
      </w:r>
      <w:r w:rsidR="0006309D">
        <w:rPr>
          <w:spacing w:val="-1"/>
        </w:rPr>
        <w:t>a</w:t>
      </w:r>
      <w:r w:rsidR="0006309D">
        <w:t>ppro</w:t>
      </w:r>
      <w:r w:rsidR="0006309D">
        <w:rPr>
          <w:spacing w:val="-1"/>
        </w:rPr>
        <w:t>p</w:t>
      </w:r>
      <w:r w:rsidR="0006309D">
        <w:t>ri</w:t>
      </w:r>
      <w:r w:rsidR="0006309D">
        <w:rPr>
          <w:spacing w:val="-1"/>
        </w:rPr>
        <w:t>a</w:t>
      </w:r>
      <w:r w:rsidR="0006309D">
        <w:t>te</w:t>
      </w:r>
      <w:r w:rsidR="0006309D">
        <w:rPr>
          <w:spacing w:val="5"/>
        </w:rPr>
        <w:t>l</w:t>
      </w:r>
      <w:r w:rsidR="0006309D">
        <w:rPr>
          <w:spacing w:val="-5"/>
        </w:rPr>
        <w:t>y</w:t>
      </w:r>
      <w:r w:rsidR="0006309D">
        <w:t>.</w:t>
      </w:r>
    </w:p>
    <w:p w14:paraId="149007C4" w14:textId="77777777" w:rsidR="004E6BF7" w:rsidRDefault="004E6BF7" w:rsidP="0021426A">
      <w:pPr>
        <w:pStyle w:val="Heading4"/>
        <w:ind w:left="0"/>
        <w:jc w:val="left"/>
      </w:pPr>
    </w:p>
    <w:p w14:paraId="748693C9" w14:textId="77777777" w:rsidR="0006309D" w:rsidRDefault="0006309D" w:rsidP="0021426A">
      <w:pPr>
        <w:pStyle w:val="Heading4"/>
        <w:jc w:val="left"/>
      </w:pPr>
      <w:r>
        <w:t>A</w:t>
      </w:r>
      <w:r>
        <w:rPr>
          <w:spacing w:val="-2"/>
        </w:rPr>
        <w:t>d</w:t>
      </w:r>
      <w:r>
        <w:rPr>
          <w:spacing w:val="3"/>
        </w:rPr>
        <w:t>m</w:t>
      </w:r>
      <w:r>
        <w:t>i</w:t>
      </w:r>
      <w:r>
        <w:rPr>
          <w:spacing w:val="1"/>
        </w:rPr>
        <w:t>n</w:t>
      </w:r>
      <w:r>
        <w:t>i</w:t>
      </w:r>
      <w:r>
        <w:rPr>
          <w:spacing w:val="-2"/>
        </w:rPr>
        <w:t>s</w:t>
      </w:r>
      <w:r>
        <w:t>tra</w:t>
      </w:r>
      <w:r>
        <w:rPr>
          <w:spacing w:val="1"/>
        </w:rPr>
        <w:t>t</w:t>
      </w:r>
      <w:r>
        <w:t>ion</w:t>
      </w:r>
    </w:p>
    <w:p w14:paraId="69E07EF4" w14:textId="77777777" w:rsidR="0006309D" w:rsidRDefault="0006309D" w:rsidP="0021426A">
      <w:pPr>
        <w:pStyle w:val="NormalIndent1"/>
        <w:jc w:val="left"/>
      </w:pPr>
    </w:p>
    <w:p w14:paraId="64733712" w14:textId="2D81D244" w:rsidR="0006309D" w:rsidRDefault="0006309D" w:rsidP="0021426A">
      <w:pPr>
        <w:pStyle w:val="NormalIndent1"/>
        <w:jc w:val="left"/>
      </w:pPr>
      <w:r>
        <w:rPr>
          <w:spacing w:val="-3"/>
        </w:rPr>
        <w:t>I</w:t>
      </w:r>
      <w:r>
        <w:t>f</w:t>
      </w:r>
      <w:r>
        <w:rPr>
          <w:spacing w:val="47"/>
        </w:rPr>
        <w:t xml:space="preserve"> </w:t>
      </w:r>
      <w:r>
        <w:t>a</w:t>
      </w:r>
      <w:r>
        <w:rPr>
          <w:spacing w:val="44"/>
        </w:rPr>
        <w:t xml:space="preserve"> </w:t>
      </w:r>
      <w:r>
        <w:t>p</w:t>
      </w:r>
      <w:r>
        <w:rPr>
          <w:spacing w:val="-1"/>
        </w:rPr>
        <w:t>a</w:t>
      </w:r>
      <w:r>
        <w:t>t</w:t>
      </w:r>
      <w:r>
        <w:rPr>
          <w:spacing w:val="1"/>
        </w:rPr>
        <w:t>i</w:t>
      </w:r>
      <w:r>
        <w:rPr>
          <w:spacing w:val="-1"/>
        </w:rPr>
        <w:t>e</w:t>
      </w:r>
      <w:r>
        <w:t>nt</w:t>
      </w:r>
      <w:r>
        <w:rPr>
          <w:spacing w:val="46"/>
        </w:rPr>
        <w:t xml:space="preserve"> </w:t>
      </w:r>
      <w:r>
        <w:t>is</w:t>
      </w:r>
      <w:r>
        <w:rPr>
          <w:spacing w:val="46"/>
        </w:rPr>
        <w:t xml:space="preserve"> </w:t>
      </w:r>
      <w:r>
        <w:t>to</w:t>
      </w:r>
      <w:r>
        <w:rPr>
          <w:spacing w:val="46"/>
        </w:rPr>
        <w:t xml:space="preserve"> </w:t>
      </w:r>
      <w:r>
        <w:t>s</w:t>
      </w:r>
      <w:r>
        <w:rPr>
          <w:spacing w:val="-1"/>
        </w:rPr>
        <w:t>e</w:t>
      </w:r>
      <w:r>
        <w:t>l</w:t>
      </w:r>
      <w:r>
        <w:rPr>
          <w:spacing w:val="1"/>
        </w:rPr>
        <w:t>f</w:t>
      </w:r>
      <w:r>
        <w:t>-</w:t>
      </w:r>
      <w:r>
        <w:rPr>
          <w:spacing w:val="-1"/>
        </w:rPr>
        <w:t>a</w:t>
      </w:r>
      <w:r>
        <w:rPr>
          <w:spacing w:val="2"/>
        </w:rPr>
        <w:t>d</w:t>
      </w:r>
      <w:r>
        <w:t>m</w:t>
      </w:r>
      <w:r>
        <w:rPr>
          <w:spacing w:val="1"/>
        </w:rPr>
        <w:t>i</w:t>
      </w:r>
      <w:r>
        <w:t>nis</w:t>
      </w:r>
      <w:r>
        <w:rPr>
          <w:spacing w:val="1"/>
        </w:rPr>
        <w:t>t</w:t>
      </w:r>
      <w:r>
        <w:rPr>
          <w:spacing w:val="-1"/>
        </w:rPr>
        <w:t>e</w:t>
      </w:r>
      <w:r>
        <w:t>r</w:t>
      </w:r>
      <w:r>
        <w:rPr>
          <w:spacing w:val="45"/>
        </w:rPr>
        <w:t xml:space="preserve"> </w:t>
      </w:r>
      <w:r w:rsidR="003D1456">
        <w:t>Rymti</w:t>
      </w:r>
      <w:r>
        <w:t>,</w:t>
      </w:r>
      <w:r>
        <w:rPr>
          <w:spacing w:val="47"/>
        </w:rPr>
        <w:t xml:space="preserve"> </w:t>
      </w:r>
      <w:r>
        <w:t>th</w:t>
      </w:r>
      <w:r>
        <w:rPr>
          <w:spacing w:val="4"/>
        </w:rPr>
        <w:t>e</w:t>
      </w:r>
      <w:r>
        <w:t>y</w:t>
      </w:r>
      <w:r>
        <w:rPr>
          <w:spacing w:val="43"/>
        </w:rPr>
        <w:t xml:space="preserve"> </w:t>
      </w:r>
      <w:r>
        <w:t>should</w:t>
      </w:r>
      <w:r>
        <w:rPr>
          <w:spacing w:val="45"/>
        </w:rPr>
        <w:t xml:space="preserve"> </w:t>
      </w:r>
      <w:r>
        <w:t>be</w:t>
      </w:r>
      <w:r>
        <w:rPr>
          <w:spacing w:val="44"/>
        </w:rPr>
        <w:t xml:space="preserve"> </w:t>
      </w:r>
      <w:r>
        <w:t>ins</w:t>
      </w:r>
      <w:r>
        <w:rPr>
          <w:spacing w:val="1"/>
        </w:rPr>
        <w:t>t</w:t>
      </w:r>
      <w:r>
        <w:t>ru</w:t>
      </w:r>
      <w:r>
        <w:rPr>
          <w:spacing w:val="-2"/>
        </w:rPr>
        <w:t>c</w:t>
      </w:r>
      <w:r>
        <w:t>ted</w:t>
      </w:r>
      <w:r>
        <w:rPr>
          <w:spacing w:val="45"/>
        </w:rPr>
        <w:t xml:space="preserve"> </w:t>
      </w:r>
      <w:r>
        <w:t>in</w:t>
      </w:r>
      <w:r>
        <w:rPr>
          <w:spacing w:val="46"/>
        </w:rPr>
        <w:t xml:space="preserve"> </w:t>
      </w:r>
      <w:r>
        <w:t>in</w:t>
      </w:r>
      <w:r>
        <w:rPr>
          <w:spacing w:val="1"/>
        </w:rPr>
        <w:t>j</w:t>
      </w:r>
      <w:r>
        <w:rPr>
          <w:spacing w:val="-1"/>
        </w:rPr>
        <w:t>ec</w:t>
      </w:r>
      <w:r>
        <w:t>t</w:t>
      </w:r>
      <w:r>
        <w:rPr>
          <w:spacing w:val="1"/>
        </w:rPr>
        <w:t>i</w:t>
      </w:r>
      <w:r>
        <w:t>on</w:t>
      </w:r>
      <w:r>
        <w:rPr>
          <w:spacing w:val="45"/>
        </w:rPr>
        <w:t xml:space="preserve"> </w:t>
      </w:r>
      <w:r>
        <w:t>te</w:t>
      </w:r>
      <w:r>
        <w:rPr>
          <w:spacing w:val="-1"/>
        </w:rPr>
        <w:t>c</w:t>
      </w:r>
      <w:r>
        <w:t>hniques</w:t>
      </w:r>
      <w:r>
        <w:rPr>
          <w:spacing w:val="45"/>
        </w:rPr>
        <w:t xml:space="preserve"> </w:t>
      </w:r>
      <w:r>
        <w:t xml:space="preserve">to </w:t>
      </w:r>
      <w:r>
        <w:rPr>
          <w:spacing w:val="-1"/>
        </w:rPr>
        <w:t>e</w:t>
      </w:r>
      <w:r>
        <w:t>nsure</w:t>
      </w:r>
      <w:r>
        <w:rPr>
          <w:spacing w:val="39"/>
        </w:rPr>
        <w:t xml:space="preserve"> </w:t>
      </w:r>
      <w:r>
        <w:t>the</w:t>
      </w:r>
      <w:r>
        <w:rPr>
          <w:spacing w:val="42"/>
        </w:rPr>
        <w:t xml:space="preserve"> </w:t>
      </w:r>
      <w:r>
        <w:t>s</w:t>
      </w:r>
      <w:r>
        <w:rPr>
          <w:spacing w:val="-1"/>
        </w:rPr>
        <w:t>a</w:t>
      </w:r>
      <w:r>
        <w:rPr>
          <w:spacing w:val="1"/>
        </w:rPr>
        <w:t>f</w:t>
      </w:r>
      <w:r>
        <w:t>e</w:t>
      </w:r>
      <w:r>
        <w:rPr>
          <w:spacing w:val="40"/>
        </w:rPr>
        <w:t xml:space="preserve"> </w:t>
      </w:r>
      <w:r>
        <w:t>s</w:t>
      </w:r>
      <w:r>
        <w:rPr>
          <w:spacing w:val="-1"/>
        </w:rPr>
        <w:t>e</w:t>
      </w:r>
      <w:r>
        <w:t>l</w:t>
      </w:r>
      <w:r>
        <w:rPr>
          <w:spacing w:val="3"/>
        </w:rPr>
        <w:t>f</w:t>
      </w:r>
      <w:r>
        <w:rPr>
          <w:spacing w:val="-1"/>
        </w:rPr>
        <w:t>-a</w:t>
      </w:r>
      <w:r>
        <w:t>d</w:t>
      </w:r>
      <w:r>
        <w:rPr>
          <w:spacing w:val="3"/>
        </w:rPr>
        <w:t>m</w:t>
      </w:r>
      <w:r>
        <w:t>in</w:t>
      </w:r>
      <w:r>
        <w:rPr>
          <w:spacing w:val="1"/>
        </w:rPr>
        <w:t>i</w:t>
      </w:r>
      <w:r>
        <w:t>str</w:t>
      </w:r>
      <w:r>
        <w:rPr>
          <w:spacing w:val="-1"/>
        </w:rPr>
        <w:t>a</w:t>
      </w:r>
      <w:r>
        <w:t>t</w:t>
      </w:r>
      <w:r>
        <w:rPr>
          <w:spacing w:val="1"/>
        </w:rPr>
        <w:t>i</w:t>
      </w:r>
      <w:r>
        <w:t>on</w:t>
      </w:r>
      <w:r>
        <w:rPr>
          <w:spacing w:val="41"/>
        </w:rPr>
        <w:t xml:space="preserve"> </w:t>
      </w:r>
      <w:r>
        <w:t>of</w:t>
      </w:r>
      <w:r>
        <w:rPr>
          <w:spacing w:val="40"/>
        </w:rPr>
        <w:t xml:space="preserve"> </w:t>
      </w:r>
      <w:r w:rsidR="003D1456">
        <w:t>Rymti</w:t>
      </w:r>
      <w:r>
        <w:rPr>
          <w:spacing w:val="40"/>
        </w:rPr>
        <w:t xml:space="preserve"> </w:t>
      </w:r>
      <w:r>
        <w:t>(</w:t>
      </w:r>
      <w:r w:rsidR="001C61BA">
        <w:t>s</w:t>
      </w:r>
      <w:r>
        <w:rPr>
          <w:spacing w:val="-1"/>
        </w:rPr>
        <w:t>e</w:t>
      </w:r>
      <w:r>
        <w:t>e</w:t>
      </w:r>
      <w:r>
        <w:rPr>
          <w:spacing w:val="42"/>
        </w:rPr>
        <w:t xml:space="preserve"> </w:t>
      </w:r>
      <w:r>
        <w:rPr>
          <w:spacing w:val="-3"/>
        </w:rPr>
        <w:t>I</w:t>
      </w:r>
      <w:r>
        <w:t>nstr</w:t>
      </w:r>
      <w:r>
        <w:rPr>
          <w:spacing w:val="2"/>
        </w:rPr>
        <w:t>u</w:t>
      </w:r>
      <w:r>
        <w:rPr>
          <w:spacing w:val="-1"/>
        </w:rPr>
        <w:t>c</w:t>
      </w:r>
      <w:r>
        <w:t>t</w:t>
      </w:r>
      <w:r>
        <w:rPr>
          <w:spacing w:val="1"/>
        </w:rPr>
        <w:t>i</w:t>
      </w:r>
      <w:r>
        <w:t>on</w:t>
      </w:r>
      <w:r>
        <w:rPr>
          <w:spacing w:val="41"/>
        </w:rPr>
        <w:t xml:space="preserve"> </w:t>
      </w:r>
      <w:r w:rsidR="001C61BA">
        <w:t>Sh</w:t>
      </w:r>
      <w:r w:rsidR="001C61BA">
        <w:rPr>
          <w:spacing w:val="-1"/>
        </w:rPr>
        <w:t>ee</w:t>
      </w:r>
      <w:r w:rsidR="001C61BA">
        <w:t>t</w:t>
      </w:r>
      <w:r w:rsidR="001C61BA">
        <w:rPr>
          <w:spacing w:val="41"/>
        </w:rPr>
        <w:t xml:space="preserve"> </w:t>
      </w:r>
      <w:r>
        <w:rPr>
          <w:spacing w:val="2"/>
        </w:rPr>
        <w:t>s</w:t>
      </w:r>
      <w:r>
        <w:t>uppl</w:t>
      </w:r>
      <w:r>
        <w:rPr>
          <w:spacing w:val="1"/>
        </w:rPr>
        <w:t>i</w:t>
      </w:r>
      <w:r>
        <w:rPr>
          <w:spacing w:val="-1"/>
        </w:rPr>
        <w:t>e</w:t>
      </w:r>
      <w:r>
        <w:t>d</w:t>
      </w:r>
      <w:r>
        <w:rPr>
          <w:spacing w:val="41"/>
        </w:rPr>
        <w:t xml:space="preserve"> </w:t>
      </w:r>
      <w:r>
        <w:t>with</w:t>
      </w:r>
      <w:r>
        <w:rPr>
          <w:spacing w:val="41"/>
        </w:rPr>
        <w:t xml:space="preserve"> </w:t>
      </w:r>
      <w:r w:rsidR="003D1456">
        <w:t>Rymti</w:t>
      </w:r>
      <w:r>
        <w:t xml:space="preserve">). </w:t>
      </w:r>
      <w:r w:rsidR="001C61BA">
        <w:t xml:space="preserve"> </w:t>
      </w:r>
      <w:r>
        <w:t>The</w:t>
      </w:r>
      <w:r>
        <w:rPr>
          <w:spacing w:val="-1"/>
        </w:rPr>
        <w:t xml:space="preserve"> </w:t>
      </w:r>
      <w:r>
        <w:t>fi</w:t>
      </w:r>
      <w:r>
        <w:rPr>
          <w:spacing w:val="-1"/>
        </w:rPr>
        <w:t>r</w:t>
      </w:r>
      <w:r>
        <w:t xml:space="preserve">st </w:t>
      </w:r>
      <w:r>
        <w:rPr>
          <w:spacing w:val="1"/>
        </w:rPr>
        <w:t>i</w:t>
      </w:r>
      <w:r>
        <w:t>nje</w:t>
      </w:r>
      <w:r>
        <w:rPr>
          <w:spacing w:val="-1"/>
        </w:rPr>
        <w:t>c</w:t>
      </w:r>
      <w:r>
        <w:t>t</w:t>
      </w:r>
      <w:r>
        <w:rPr>
          <w:spacing w:val="1"/>
        </w:rPr>
        <w:t>i</w:t>
      </w:r>
      <w:r>
        <w:t>on should</w:t>
      </w:r>
      <w:r>
        <w:rPr>
          <w:spacing w:val="2"/>
        </w:rPr>
        <w:t xml:space="preserve"> </w:t>
      </w:r>
      <w:r>
        <w:t>be</w:t>
      </w:r>
      <w:r>
        <w:rPr>
          <w:spacing w:val="-1"/>
        </w:rPr>
        <w:t xml:space="preserve"> </w:t>
      </w:r>
      <w:r>
        <w:t>p</w:t>
      </w:r>
      <w:r>
        <w:rPr>
          <w:spacing w:val="1"/>
        </w:rPr>
        <w:t>e</w:t>
      </w:r>
      <w:r>
        <w:t>r</w:t>
      </w:r>
      <w:r>
        <w:rPr>
          <w:spacing w:val="-1"/>
        </w:rPr>
        <w:t>f</w:t>
      </w:r>
      <w:r>
        <w:t>orm</w:t>
      </w:r>
      <w:r>
        <w:rPr>
          <w:spacing w:val="-1"/>
        </w:rPr>
        <w:t>e</w:t>
      </w:r>
      <w:r>
        <w:t>d</w:t>
      </w:r>
      <w:r>
        <w:rPr>
          <w:spacing w:val="2"/>
        </w:rPr>
        <w:t xml:space="preserve"> </w:t>
      </w:r>
      <w:r>
        <w:t>und</w:t>
      </w:r>
      <w:r>
        <w:rPr>
          <w:spacing w:val="-1"/>
        </w:rPr>
        <w:t>e</w:t>
      </w:r>
      <w:r>
        <w:t>r</w:t>
      </w:r>
      <w:r>
        <w:rPr>
          <w:spacing w:val="1"/>
        </w:rPr>
        <w:t xml:space="preserve"> </w:t>
      </w:r>
      <w:r>
        <w:t>the</w:t>
      </w:r>
      <w:r>
        <w:rPr>
          <w:spacing w:val="2"/>
        </w:rPr>
        <w:t xml:space="preserve"> </w:t>
      </w:r>
      <w:r>
        <w:t>sup</w:t>
      </w:r>
      <w:r>
        <w:rPr>
          <w:spacing w:val="-1"/>
        </w:rPr>
        <w:t>e</w:t>
      </w:r>
      <w:r>
        <w:t>rvision of a</w:t>
      </w:r>
      <w:r>
        <w:rPr>
          <w:spacing w:val="1"/>
        </w:rPr>
        <w:t xml:space="preserve"> </w:t>
      </w:r>
      <w:r>
        <w:t>qu</w:t>
      </w:r>
      <w:r>
        <w:rPr>
          <w:spacing w:val="-1"/>
        </w:rPr>
        <w:t>a</w:t>
      </w:r>
      <w:r>
        <w:t>l</w:t>
      </w:r>
      <w:r>
        <w:rPr>
          <w:spacing w:val="1"/>
        </w:rPr>
        <w:t>i</w:t>
      </w:r>
      <w:r>
        <w:t>fi</w:t>
      </w:r>
      <w:r>
        <w:rPr>
          <w:spacing w:val="-1"/>
        </w:rPr>
        <w:t>e</w:t>
      </w:r>
      <w:r>
        <w:t>d</w:t>
      </w:r>
      <w:r>
        <w:rPr>
          <w:spacing w:val="2"/>
        </w:rPr>
        <w:t xml:space="preserve"> </w:t>
      </w:r>
      <w:r>
        <w:t>h</w:t>
      </w:r>
      <w:r>
        <w:rPr>
          <w:spacing w:val="-1"/>
        </w:rPr>
        <w:t>ea</w:t>
      </w:r>
      <w:r>
        <w:t>l</w:t>
      </w:r>
      <w:r>
        <w:rPr>
          <w:spacing w:val="1"/>
        </w:rPr>
        <w:t>t</w:t>
      </w:r>
      <w:r>
        <w:t xml:space="preserve">h </w:t>
      </w:r>
      <w:r>
        <w:rPr>
          <w:spacing w:val="1"/>
        </w:rPr>
        <w:t>c</w:t>
      </w:r>
      <w:r>
        <w:rPr>
          <w:spacing w:val="-1"/>
        </w:rPr>
        <w:t>a</w:t>
      </w:r>
      <w:r>
        <w:t>re pro</w:t>
      </w:r>
      <w:r>
        <w:rPr>
          <w:spacing w:val="1"/>
        </w:rPr>
        <w:t>f</w:t>
      </w:r>
      <w:r>
        <w:rPr>
          <w:spacing w:val="-1"/>
        </w:rPr>
        <w:t>e</w:t>
      </w:r>
      <w:r>
        <w:t>ss</w:t>
      </w:r>
      <w:r>
        <w:rPr>
          <w:spacing w:val="1"/>
        </w:rPr>
        <w:t>i</w:t>
      </w:r>
      <w:r>
        <w:t>on</w:t>
      </w:r>
      <w:r>
        <w:rPr>
          <w:spacing w:val="-1"/>
        </w:rPr>
        <w:t>a</w:t>
      </w:r>
      <w:r>
        <w:t>l.</w:t>
      </w:r>
      <w:r w:rsidR="001C61BA">
        <w:t xml:space="preserve"> </w:t>
      </w:r>
      <w:r>
        <w:t xml:space="preserve"> The</w:t>
      </w:r>
      <w:r>
        <w:rPr>
          <w:spacing w:val="28"/>
        </w:rPr>
        <w:t xml:space="preserve"> </w:t>
      </w:r>
      <w:r>
        <w:rPr>
          <w:spacing w:val="-1"/>
        </w:rPr>
        <w:t>a</w:t>
      </w:r>
      <w:r>
        <w:t>bi</w:t>
      </w:r>
      <w:r>
        <w:rPr>
          <w:spacing w:val="1"/>
        </w:rPr>
        <w:t>l</w:t>
      </w:r>
      <w:r>
        <w:t>i</w:t>
      </w:r>
      <w:r>
        <w:rPr>
          <w:spacing w:val="3"/>
        </w:rPr>
        <w:t>t</w:t>
      </w:r>
      <w:r>
        <w:t>y</w:t>
      </w:r>
      <w:r>
        <w:rPr>
          <w:spacing w:val="24"/>
        </w:rPr>
        <w:t xml:space="preserve"> </w:t>
      </w:r>
      <w:r>
        <w:t>of</w:t>
      </w:r>
      <w:r>
        <w:rPr>
          <w:spacing w:val="28"/>
        </w:rPr>
        <w:t xml:space="preserve"> </w:t>
      </w:r>
      <w:r>
        <w:t>that</w:t>
      </w:r>
      <w:r>
        <w:rPr>
          <w:spacing w:val="29"/>
        </w:rPr>
        <w:t xml:space="preserve"> </w:t>
      </w:r>
      <w:r>
        <w:t>p</w:t>
      </w:r>
      <w:r>
        <w:rPr>
          <w:spacing w:val="-1"/>
        </w:rPr>
        <w:t>a</w:t>
      </w:r>
      <w:r>
        <w:t>t</w:t>
      </w:r>
      <w:r>
        <w:rPr>
          <w:spacing w:val="1"/>
        </w:rPr>
        <w:t>ie</w:t>
      </w:r>
      <w:r>
        <w:t>nt</w:t>
      </w:r>
      <w:r>
        <w:rPr>
          <w:spacing w:val="29"/>
        </w:rPr>
        <w:t xml:space="preserve"> </w:t>
      </w:r>
      <w:r>
        <w:t>to</w:t>
      </w:r>
      <w:r>
        <w:rPr>
          <w:spacing w:val="29"/>
        </w:rPr>
        <w:t xml:space="preserve"> </w:t>
      </w:r>
      <w:r>
        <w:t>s</w:t>
      </w:r>
      <w:r>
        <w:rPr>
          <w:spacing w:val="-1"/>
        </w:rPr>
        <w:t>e</w:t>
      </w:r>
      <w:r>
        <w:t>l</w:t>
      </w:r>
      <w:r>
        <w:rPr>
          <w:spacing w:val="2"/>
        </w:rPr>
        <w:t>f</w:t>
      </w:r>
      <w:r>
        <w:rPr>
          <w:spacing w:val="-1"/>
        </w:rPr>
        <w:t>-</w:t>
      </w:r>
      <w:r>
        <w:t>in</w:t>
      </w:r>
      <w:r>
        <w:rPr>
          <w:spacing w:val="1"/>
        </w:rPr>
        <w:t>j</w:t>
      </w:r>
      <w:r>
        <w:rPr>
          <w:spacing w:val="-1"/>
        </w:rPr>
        <w:t>ec</w:t>
      </w:r>
      <w:r>
        <w:t>t</w:t>
      </w:r>
      <w:r>
        <w:rPr>
          <w:spacing w:val="29"/>
        </w:rPr>
        <w:t xml:space="preserve"> </w:t>
      </w:r>
      <w:r>
        <w:t>sub</w:t>
      </w:r>
      <w:r>
        <w:rPr>
          <w:spacing w:val="-1"/>
        </w:rPr>
        <w:t>c</w:t>
      </w:r>
      <w:r>
        <w:t>ut</w:t>
      </w:r>
      <w:r>
        <w:rPr>
          <w:spacing w:val="2"/>
        </w:rPr>
        <w:t>a</w:t>
      </w:r>
      <w:r>
        <w:t>n</w:t>
      </w:r>
      <w:r>
        <w:rPr>
          <w:spacing w:val="-1"/>
        </w:rPr>
        <w:t>e</w:t>
      </w:r>
      <w:r>
        <w:t>ous</w:t>
      </w:r>
      <w:r>
        <w:rPr>
          <w:spacing w:val="3"/>
        </w:rPr>
        <w:t>l</w:t>
      </w:r>
      <w:r>
        <w:t>y</w:t>
      </w:r>
      <w:r>
        <w:rPr>
          <w:spacing w:val="24"/>
        </w:rPr>
        <w:t xml:space="preserve"> </w:t>
      </w:r>
      <w:r>
        <w:t>should</w:t>
      </w:r>
      <w:r>
        <w:rPr>
          <w:spacing w:val="29"/>
        </w:rPr>
        <w:t xml:space="preserve"> </w:t>
      </w:r>
      <w:r>
        <w:t>be</w:t>
      </w:r>
      <w:r>
        <w:rPr>
          <w:spacing w:val="28"/>
        </w:rPr>
        <w:t xml:space="preserve"> </w:t>
      </w:r>
      <w:r>
        <w:rPr>
          <w:spacing w:val="-1"/>
        </w:rPr>
        <w:t>a</w:t>
      </w:r>
      <w:r>
        <w:t>sse</w:t>
      </w:r>
      <w:r>
        <w:rPr>
          <w:spacing w:val="2"/>
        </w:rPr>
        <w:t>s</w:t>
      </w:r>
      <w:r>
        <w:t>s</w:t>
      </w:r>
      <w:r>
        <w:rPr>
          <w:spacing w:val="-1"/>
        </w:rPr>
        <w:t>e</w:t>
      </w:r>
      <w:r>
        <w:t>d.  A</w:t>
      </w:r>
      <w:r>
        <w:rPr>
          <w:spacing w:val="28"/>
        </w:rPr>
        <w:t xml:space="preserve"> </w:t>
      </w:r>
      <w:r>
        <w:t>pun</w:t>
      </w:r>
      <w:r>
        <w:rPr>
          <w:spacing w:val="-1"/>
        </w:rPr>
        <w:t>c</w:t>
      </w:r>
      <w:r>
        <w:t>tur</w:t>
      </w:r>
      <w:r>
        <w:rPr>
          <w:spacing w:val="3"/>
        </w:rPr>
        <w:t>e</w:t>
      </w:r>
      <w:r>
        <w:rPr>
          <w:spacing w:val="2"/>
        </w:rPr>
        <w:t>-</w:t>
      </w:r>
      <w:r>
        <w:t>r</w:t>
      </w:r>
      <w:r>
        <w:rPr>
          <w:spacing w:val="-2"/>
        </w:rPr>
        <w:t>e</w:t>
      </w:r>
      <w:r>
        <w:t>si</w:t>
      </w:r>
      <w:r>
        <w:rPr>
          <w:spacing w:val="1"/>
        </w:rPr>
        <w:t>s</w:t>
      </w:r>
      <w:r>
        <w:t>t</w:t>
      </w:r>
      <w:r>
        <w:rPr>
          <w:spacing w:val="2"/>
        </w:rPr>
        <w:t>a</w:t>
      </w:r>
      <w:r>
        <w:t xml:space="preserve">nt </w:t>
      </w:r>
      <w:r>
        <w:rPr>
          <w:spacing w:val="-1"/>
        </w:rPr>
        <w:t>c</w:t>
      </w:r>
      <w:r>
        <w:t>ontain</w:t>
      </w:r>
      <w:r>
        <w:rPr>
          <w:spacing w:val="-1"/>
        </w:rPr>
        <w:t>e</w:t>
      </w:r>
      <w:r>
        <w:t>r f</w:t>
      </w:r>
      <w:r>
        <w:rPr>
          <w:spacing w:val="1"/>
        </w:rPr>
        <w:t>o</w:t>
      </w:r>
      <w:r>
        <w:t>r dispos</w:t>
      </w:r>
      <w:r>
        <w:rPr>
          <w:spacing w:val="-1"/>
        </w:rPr>
        <w:t>a</w:t>
      </w:r>
      <w:r>
        <w:t>l</w:t>
      </w:r>
      <w:r>
        <w:rPr>
          <w:spacing w:val="2"/>
        </w:rPr>
        <w:t xml:space="preserve"> </w:t>
      </w:r>
      <w:r>
        <w:t>of</w:t>
      </w:r>
      <w:r>
        <w:rPr>
          <w:spacing w:val="3"/>
        </w:rPr>
        <w:t xml:space="preserve"> </w:t>
      </w:r>
      <w:r>
        <w:t>n</w:t>
      </w:r>
      <w:r>
        <w:rPr>
          <w:spacing w:val="-1"/>
        </w:rPr>
        <w:t>ee</w:t>
      </w:r>
      <w:r>
        <w:t>dles</w:t>
      </w:r>
      <w:r>
        <w:rPr>
          <w:spacing w:val="1"/>
        </w:rPr>
        <w:t xml:space="preserve"> </w:t>
      </w:r>
      <w:r>
        <w:rPr>
          <w:spacing w:val="-1"/>
        </w:rPr>
        <w:t>a</w:t>
      </w:r>
      <w:r>
        <w:t>nd</w:t>
      </w:r>
      <w:r>
        <w:rPr>
          <w:spacing w:val="3"/>
        </w:rPr>
        <w:t xml:space="preserve"> </w:t>
      </w:r>
      <w:r>
        <w:rPr>
          <w:spacing w:val="5"/>
        </w:rPr>
        <w:t>s</w:t>
      </w:r>
      <w:r>
        <w:rPr>
          <w:spacing w:val="-5"/>
        </w:rPr>
        <w:t>y</w:t>
      </w:r>
      <w:r>
        <w:t>ri</w:t>
      </w:r>
      <w:r>
        <w:rPr>
          <w:spacing w:val="2"/>
        </w:rPr>
        <w:t>n</w:t>
      </w:r>
      <w:r>
        <w:rPr>
          <w:spacing w:val="-2"/>
        </w:rPr>
        <w:t>g</w:t>
      </w:r>
      <w:r>
        <w:rPr>
          <w:spacing w:val="-1"/>
        </w:rPr>
        <w:t>e</w:t>
      </w:r>
      <w:r>
        <w:t>s</w:t>
      </w:r>
      <w:r>
        <w:rPr>
          <w:spacing w:val="1"/>
        </w:rPr>
        <w:t xml:space="preserve"> </w:t>
      </w:r>
      <w:r>
        <w:t>s</w:t>
      </w:r>
      <w:r>
        <w:rPr>
          <w:spacing w:val="2"/>
        </w:rPr>
        <w:t>h</w:t>
      </w:r>
      <w:r>
        <w:t>ould</w:t>
      </w:r>
      <w:r>
        <w:rPr>
          <w:spacing w:val="2"/>
        </w:rPr>
        <w:t xml:space="preserve"> </w:t>
      </w:r>
      <w:r>
        <w:t>be us</w:t>
      </w:r>
      <w:r>
        <w:rPr>
          <w:spacing w:val="-1"/>
        </w:rPr>
        <w:t>e</w:t>
      </w:r>
      <w:r>
        <w:t xml:space="preserve">d. </w:t>
      </w:r>
      <w:r>
        <w:rPr>
          <w:spacing w:val="15"/>
        </w:rPr>
        <w:t xml:space="preserve"> </w:t>
      </w:r>
      <w:r>
        <w:rPr>
          <w:spacing w:val="1"/>
        </w:rPr>
        <w:t>P</w:t>
      </w:r>
      <w:r>
        <w:rPr>
          <w:spacing w:val="-1"/>
        </w:rPr>
        <w:t>a</w:t>
      </w:r>
      <w:r>
        <w:t>t</w:t>
      </w:r>
      <w:r>
        <w:rPr>
          <w:spacing w:val="1"/>
        </w:rPr>
        <w:t>i</w:t>
      </w:r>
      <w:r>
        <w:rPr>
          <w:spacing w:val="-1"/>
        </w:rPr>
        <w:t>e</w:t>
      </w:r>
      <w:r>
        <w:t>nts</w:t>
      </w:r>
      <w:r>
        <w:rPr>
          <w:spacing w:val="2"/>
        </w:rPr>
        <w:t xml:space="preserve"> s</w:t>
      </w:r>
      <w:r>
        <w:t>hould</w:t>
      </w:r>
      <w:r>
        <w:rPr>
          <w:spacing w:val="2"/>
        </w:rPr>
        <w:t xml:space="preserve"> </w:t>
      </w:r>
      <w:r>
        <w:t>be ins</w:t>
      </w:r>
      <w:r>
        <w:rPr>
          <w:spacing w:val="1"/>
        </w:rPr>
        <w:t>t</w:t>
      </w:r>
      <w:r>
        <w:t>ru</w:t>
      </w:r>
      <w:r>
        <w:rPr>
          <w:spacing w:val="-2"/>
        </w:rPr>
        <w:t>c</w:t>
      </w:r>
      <w:r>
        <w:t>ted</w:t>
      </w:r>
      <w:r>
        <w:rPr>
          <w:spacing w:val="1"/>
        </w:rPr>
        <w:t xml:space="preserve"> </w:t>
      </w:r>
      <w:r>
        <w:t>in</w:t>
      </w:r>
      <w:r>
        <w:rPr>
          <w:spacing w:val="2"/>
        </w:rPr>
        <w:t xml:space="preserve"> </w:t>
      </w:r>
      <w:r>
        <w:t>t</w:t>
      </w:r>
      <w:r>
        <w:rPr>
          <w:spacing w:val="3"/>
        </w:rPr>
        <w:t>h</w:t>
      </w:r>
      <w:r>
        <w:t>e te</w:t>
      </w:r>
      <w:r>
        <w:rPr>
          <w:spacing w:val="-1"/>
        </w:rPr>
        <w:t>c</w:t>
      </w:r>
      <w:r>
        <w:t>hnique</w:t>
      </w:r>
      <w:r>
        <w:rPr>
          <w:spacing w:val="1"/>
        </w:rPr>
        <w:t xml:space="preserve"> </w:t>
      </w:r>
      <w:r>
        <w:rPr>
          <w:spacing w:val="-1"/>
        </w:rPr>
        <w:t>a</w:t>
      </w:r>
      <w:r>
        <w:t>nd</w:t>
      </w:r>
      <w:r>
        <w:rPr>
          <w:spacing w:val="1"/>
        </w:rPr>
        <w:t xml:space="preserve"> </w:t>
      </w:r>
      <w:r>
        <w:t>to</w:t>
      </w:r>
      <w:r>
        <w:rPr>
          <w:spacing w:val="1"/>
        </w:rPr>
        <w:t>l</w:t>
      </w:r>
      <w:r>
        <w:t>d</w:t>
      </w:r>
      <w:r>
        <w:rPr>
          <w:spacing w:val="1"/>
        </w:rPr>
        <w:t xml:space="preserve"> </w:t>
      </w:r>
      <w:r>
        <w:t>the</w:t>
      </w:r>
      <w:r>
        <w:rPr>
          <w:spacing w:val="1"/>
        </w:rPr>
        <w:t xml:space="preserve"> </w:t>
      </w:r>
      <w:r>
        <w:t>i</w:t>
      </w:r>
      <w:r>
        <w:rPr>
          <w:spacing w:val="1"/>
        </w:rPr>
        <w:t>m</w:t>
      </w:r>
      <w:r>
        <w:t>port</w:t>
      </w:r>
      <w:r>
        <w:rPr>
          <w:spacing w:val="-1"/>
        </w:rPr>
        <w:t>a</w:t>
      </w:r>
      <w:r>
        <w:t>n</w:t>
      </w:r>
      <w:r>
        <w:rPr>
          <w:spacing w:val="-1"/>
        </w:rPr>
        <w:t>c</w:t>
      </w:r>
      <w:r>
        <w:t>e of</w:t>
      </w:r>
      <w:r>
        <w:rPr>
          <w:spacing w:val="1"/>
        </w:rPr>
        <w:t xml:space="preserve"> </w:t>
      </w:r>
      <w:r>
        <w:t>pr</w:t>
      </w:r>
      <w:r>
        <w:rPr>
          <w:spacing w:val="2"/>
        </w:rPr>
        <w:t>op</w:t>
      </w:r>
      <w:r>
        <w:rPr>
          <w:spacing w:val="-1"/>
        </w:rPr>
        <w:t>e</w:t>
      </w:r>
      <w:r>
        <w:t>r</w:t>
      </w:r>
      <w:r>
        <w:rPr>
          <w:spacing w:val="1"/>
        </w:rPr>
        <w:t xml:space="preserve"> </w:t>
      </w:r>
      <w:r>
        <w:rPr>
          <w:spacing w:val="5"/>
        </w:rPr>
        <w:t>s</w:t>
      </w:r>
      <w:r>
        <w:rPr>
          <w:spacing w:val="-5"/>
        </w:rPr>
        <w:t>y</w:t>
      </w:r>
      <w:r>
        <w:t>r</w:t>
      </w:r>
      <w:r>
        <w:rPr>
          <w:spacing w:val="2"/>
        </w:rPr>
        <w:t>i</w:t>
      </w:r>
      <w:r>
        <w:t>n</w:t>
      </w:r>
      <w:r>
        <w:rPr>
          <w:spacing w:val="-2"/>
        </w:rPr>
        <w:t>g</w:t>
      </w:r>
      <w:r>
        <w:t>e</w:t>
      </w:r>
      <w:r>
        <w:rPr>
          <w:spacing w:val="3"/>
        </w:rPr>
        <w:t xml:space="preserve"> </w:t>
      </w:r>
      <w:r>
        <w:rPr>
          <w:spacing w:val="-1"/>
        </w:rPr>
        <w:t>a</w:t>
      </w:r>
      <w:r>
        <w:t>nd</w:t>
      </w:r>
      <w:r>
        <w:rPr>
          <w:spacing w:val="1"/>
        </w:rPr>
        <w:t xml:space="preserve"> </w:t>
      </w:r>
      <w:r>
        <w:t>n</w:t>
      </w:r>
      <w:r>
        <w:rPr>
          <w:spacing w:val="-1"/>
        </w:rPr>
        <w:t>ee</w:t>
      </w:r>
      <w:r>
        <w:t>d</w:t>
      </w:r>
      <w:r>
        <w:rPr>
          <w:spacing w:val="2"/>
        </w:rPr>
        <w:t>l</w:t>
      </w:r>
      <w:r>
        <w:t>e dispos</w:t>
      </w:r>
      <w:r>
        <w:rPr>
          <w:spacing w:val="-1"/>
        </w:rPr>
        <w:t>a</w:t>
      </w:r>
      <w:r>
        <w:t>l</w:t>
      </w:r>
      <w:r>
        <w:rPr>
          <w:spacing w:val="6"/>
        </w:rPr>
        <w:t xml:space="preserve"> </w:t>
      </w:r>
      <w:r>
        <w:rPr>
          <w:spacing w:val="-1"/>
        </w:rPr>
        <w:t>a</w:t>
      </w:r>
      <w:r>
        <w:t>nd</w:t>
      </w:r>
      <w:r>
        <w:rPr>
          <w:spacing w:val="1"/>
        </w:rPr>
        <w:t xml:space="preserve"> </w:t>
      </w:r>
      <w:r>
        <w:t xml:space="preserve">be </w:t>
      </w:r>
      <w:r>
        <w:rPr>
          <w:spacing w:val="-1"/>
        </w:rPr>
        <w:t>ca</w:t>
      </w:r>
      <w:r>
        <w:t>ut</w:t>
      </w:r>
      <w:r>
        <w:rPr>
          <w:spacing w:val="1"/>
        </w:rPr>
        <w:t>i</w:t>
      </w:r>
      <w:r>
        <w:t>on</w:t>
      </w:r>
      <w:r>
        <w:rPr>
          <w:spacing w:val="-1"/>
        </w:rPr>
        <w:t>e</w:t>
      </w:r>
      <w:r>
        <w:t>d</w:t>
      </w:r>
      <w:r>
        <w:rPr>
          <w:spacing w:val="1"/>
        </w:rPr>
        <w:t xml:space="preserve"> a</w:t>
      </w:r>
      <w:r>
        <w:t>g</w:t>
      </w:r>
      <w:r>
        <w:rPr>
          <w:spacing w:val="-1"/>
        </w:rPr>
        <w:t>a</w:t>
      </w:r>
      <w:r>
        <w:t>inst r</w:t>
      </w:r>
      <w:r>
        <w:rPr>
          <w:spacing w:val="-2"/>
        </w:rPr>
        <w:t>e</w:t>
      </w:r>
      <w:r>
        <w:t>use</w:t>
      </w:r>
      <w:r>
        <w:rPr>
          <w:spacing w:val="-1"/>
        </w:rPr>
        <w:t xml:space="preserve"> </w:t>
      </w:r>
      <w:r>
        <w:t>of th</w:t>
      </w:r>
      <w:r>
        <w:rPr>
          <w:spacing w:val="-1"/>
        </w:rPr>
        <w:t>e</w:t>
      </w:r>
      <w:r>
        <w:rPr>
          <w:spacing w:val="2"/>
        </w:rPr>
        <w:t>s</w:t>
      </w:r>
      <w:r>
        <w:t>e</w:t>
      </w:r>
      <w:r>
        <w:rPr>
          <w:spacing w:val="-1"/>
        </w:rPr>
        <w:t xml:space="preserve"> </w:t>
      </w:r>
      <w:r>
        <w:t>i</w:t>
      </w:r>
      <w:r>
        <w:rPr>
          <w:spacing w:val="1"/>
        </w:rPr>
        <w:t>t</w:t>
      </w:r>
      <w:r>
        <w:rPr>
          <w:spacing w:val="-1"/>
        </w:rPr>
        <w:t>e</w:t>
      </w:r>
      <w:r>
        <w:t>ms.</w:t>
      </w:r>
    </w:p>
    <w:p w14:paraId="3314A4FA" w14:textId="77777777" w:rsidR="001D41C0" w:rsidRPr="00F70019" w:rsidRDefault="001D41C0" w:rsidP="0021426A">
      <w:pPr>
        <w:pStyle w:val="NormalIndent1"/>
        <w:jc w:val="left"/>
      </w:pPr>
    </w:p>
    <w:p w14:paraId="3A09D2D4" w14:textId="77777777" w:rsidR="001A3992" w:rsidRPr="004A3628" w:rsidRDefault="004A3628" w:rsidP="0021426A">
      <w:pPr>
        <w:pStyle w:val="Heading2"/>
        <w:jc w:val="left"/>
        <w:rPr>
          <w:smallCaps/>
        </w:rPr>
      </w:pPr>
      <w:r w:rsidRPr="004A3628">
        <w:t>4.3</w:t>
      </w:r>
      <w:r w:rsidRPr="004A3628">
        <w:tab/>
      </w:r>
      <w:r w:rsidR="001A3992" w:rsidRPr="004A3628">
        <w:t>Contraindications</w:t>
      </w:r>
    </w:p>
    <w:p w14:paraId="25E9D7D9" w14:textId="77777777" w:rsidR="001D41C0" w:rsidRPr="00F70019" w:rsidRDefault="001D41C0" w:rsidP="0021426A">
      <w:pPr>
        <w:pStyle w:val="NormalIndent1"/>
        <w:jc w:val="left"/>
      </w:pPr>
    </w:p>
    <w:p w14:paraId="170A6897" w14:textId="77777777" w:rsidR="001C61BA" w:rsidRDefault="001C61BA" w:rsidP="0021426A">
      <w:pPr>
        <w:pStyle w:val="NormalIndent1"/>
        <w:jc w:val="left"/>
        <w:rPr>
          <w:lang w:val="en-US"/>
        </w:rPr>
      </w:pPr>
      <w:r w:rsidRPr="001C61BA">
        <w:rPr>
          <w:lang w:val="en-US"/>
        </w:rPr>
        <w:t xml:space="preserve">Known hypersensitivity to etanercept or to any of its excipients. </w:t>
      </w:r>
    </w:p>
    <w:p w14:paraId="055B2AA5" w14:textId="77777777" w:rsidR="001C61BA" w:rsidRDefault="001C61BA" w:rsidP="0021426A">
      <w:pPr>
        <w:pStyle w:val="NormalIndent1"/>
        <w:jc w:val="left"/>
        <w:rPr>
          <w:lang w:val="en-US"/>
        </w:rPr>
      </w:pPr>
    </w:p>
    <w:p w14:paraId="157FC1DA" w14:textId="77777777" w:rsidR="001C61BA" w:rsidRPr="001C61BA" w:rsidRDefault="001C61BA" w:rsidP="0021426A">
      <w:pPr>
        <w:pStyle w:val="NormalIndent1"/>
        <w:jc w:val="left"/>
        <w:rPr>
          <w:lang w:val="en-US"/>
        </w:rPr>
      </w:pPr>
      <w:r w:rsidRPr="001C61BA">
        <w:rPr>
          <w:lang w:val="en-US"/>
        </w:rPr>
        <w:t>Patients with, or at risk of, sepsis.</w:t>
      </w:r>
    </w:p>
    <w:p w14:paraId="613C8DBA" w14:textId="77777777" w:rsidR="001C61BA" w:rsidRDefault="001C61BA" w:rsidP="0021426A">
      <w:pPr>
        <w:pStyle w:val="NormalIndent1"/>
        <w:jc w:val="left"/>
        <w:rPr>
          <w:lang w:val="en-US"/>
        </w:rPr>
      </w:pPr>
    </w:p>
    <w:p w14:paraId="6B1607FD" w14:textId="686C3C30" w:rsidR="001C61BA" w:rsidRPr="001C61BA" w:rsidRDefault="001C61BA" w:rsidP="0021426A">
      <w:pPr>
        <w:pStyle w:val="NormalIndent1"/>
        <w:jc w:val="left"/>
        <w:rPr>
          <w:lang w:val="en-US"/>
        </w:rPr>
      </w:pPr>
      <w:r w:rsidRPr="001C61BA">
        <w:rPr>
          <w:lang w:val="en-US"/>
        </w:rPr>
        <w:t xml:space="preserve">Treatment with </w:t>
      </w:r>
      <w:r w:rsidR="003D1456">
        <w:rPr>
          <w:lang w:val="en-US"/>
        </w:rPr>
        <w:t>Rymti</w:t>
      </w:r>
      <w:r w:rsidRPr="001C61BA">
        <w:rPr>
          <w:lang w:val="en-US"/>
        </w:rPr>
        <w:t xml:space="preserve"> should not be initiated in patients with serious, active infection including chronic or </w:t>
      </w:r>
      <w:proofErr w:type="spellStart"/>
      <w:r w:rsidRPr="001C61BA">
        <w:rPr>
          <w:lang w:val="en-US"/>
        </w:rPr>
        <w:t>localised</w:t>
      </w:r>
      <w:proofErr w:type="spellEnd"/>
      <w:r w:rsidRPr="001C61BA">
        <w:rPr>
          <w:lang w:val="en-US"/>
        </w:rPr>
        <w:t xml:space="preserve"> infections.</w:t>
      </w:r>
    </w:p>
    <w:p w14:paraId="473D5292" w14:textId="77777777" w:rsidR="001C61BA" w:rsidRPr="001C61BA" w:rsidRDefault="001C61BA" w:rsidP="0021426A">
      <w:pPr>
        <w:pStyle w:val="NormalIndent1"/>
        <w:jc w:val="left"/>
        <w:rPr>
          <w:lang w:val="en-US"/>
        </w:rPr>
      </w:pPr>
    </w:p>
    <w:p w14:paraId="169586FB" w14:textId="77777777" w:rsidR="001D41C0" w:rsidRPr="00F70019" w:rsidRDefault="001C61BA" w:rsidP="0021426A">
      <w:pPr>
        <w:pStyle w:val="NormalIndent1"/>
        <w:jc w:val="left"/>
      </w:pPr>
      <w:r w:rsidRPr="001C61BA">
        <w:rPr>
          <w:lang w:val="en-US"/>
        </w:rPr>
        <w:t>Concurrent treatment with Interleukin-1 antagonists.</w:t>
      </w:r>
    </w:p>
    <w:p w14:paraId="0167F9CB" w14:textId="77777777" w:rsidR="001D41C0" w:rsidRPr="00F70019" w:rsidRDefault="001D41C0" w:rsidP="0021426A">
      <w:pPr>
        <w:pStyle w:val="NormalIndent1"/>
        <w:jc w:val="left"/>
      </w:pPr>
    </w:p>
    <w:p w14:paraId="0CE6937A" w14:textId="77777777" w:rsidR="001A3992" w:rsidRPr="007C4C71" w:rsidRDefault="004A3628" w:rsidP="0021426A">
      <w:pPr>
        <w:pStyle w:val="Heading2"/>
        <w:jc w:val="left"/>
        <w:rPr>
          <w:smallCaps/>
        </w:rPr>
      </w:pPr>
      <w:r>
        <w:t>4.4</w:t>
      </w:r>
      <w:r>
        <w:tab/>
      </w:r>
      <w:r w:rsidR="00E74A56" w:rsidRPr="007C4C71">
        <w:t xml:space="preserve">Special </w:t>
      </w:r>
      <w:r w:rsidR="001D41C0" w:rsidRPr="007C4C71">
        <w:t xml:space="preserve">Warnings </w:t>
      </w:r>
      <w:r w:rsidR="00E74A56" w:rsidRPr="007C4C71">
        <w:t xml:space="preserve">and </w:t>
      </w:r>
      <w:r w:rsidR="001D41C0" w:rsidRPr="007C4C71">
        <w:t xml:space="preserve">Precautions </w:t>
      </w:r>
      <w:r w:rsidR="00E74A56" w:rsidRPr="007C4C71">
        <w:t xml:space="preserve">for </w:t>
      </w:r>
      <w:r w:rsidR="001D41C0" w:rsidRPr="007C4C71">
        <w:t>Use</w:t>
      </w:r>
    </w:p>
    <w:p w14:paraId="04B461AD" w14:textId="77777777" w:rsidR="005D690B" w:rsidRDefault="005D690B" w:rsidP="0021426A">
      <w:pPr>
        <w:pStyle w:val="NormalIndent1"/>
        <w:keepNext/>
        <w:keepLines/>
        <w:jc w:val="left"/>
      </w:pPr>
    </w:p>
    <w:p w14:paraId="46C654C2" w14:textId="77777777" w:rsidR="00073160" w:rsidRPr="00073160" w:rsidRDefault="00073160" w:rsidP="0021426A">
      <w:pPr>
        <w:pStyle w:val="NormalIndent1"/>
        <w:keepNext/>
        <w:keepLines/>
        <w:jc w:val="left"/>
        <w:rPr>
          <w:lang w:val="en-US"/>
        </w:rPr>
      </w:pPr>
      <w:r w:rsidRPr="00073160">
        <w:rPr>
          <w:b/>
          <w:lang w:val="en-US"/>
        </w:rPr>
        <w:t>Traceability</w:t>
      </w:r>
    </w:p>
    <w:p w14:paraId="41AE83F2" w14:textId="77777777" w:rsidR="00073160" w:rsidRDefault="00073160" w:rsidP="0021426A">
      <w:pPr>
        <w:pStyle w:val="NormalIndent1"/>
        <w:keepNext/>
        <w:keepLines/>
        <w:jc w:val="left"/>
        <w:rPr>
          <w:lang w:val="en-US"/>
        </w:rPr>
      </w:pPr>
    </w:p>
    <w:p w14:paraId="5F08C336" w14:textId="77777777" w:rsidR="00073160" w:rsidRPr="00073160" w:rsidRDefault="00073160" w:rsidP="0021426A">
      <w:pPr>
        <w:pStyle w:val="NormalIndent1"/>
        <w:keepNext/>
        <w:keepLines/>
        <w:jc w:val="left"/>
        <w:rPr>
          <w:lang w:val="en-US"/>
        </w:rPr>
      </w:pPr>
      <w:r>
        <w:rPr>
          <w:lang w:val="en-US"/>
        </w:rPr>
        <w:t xml:space="preserve">In </w:t>
      </w:r>
      <w:r w:rsidRPr="00073160">
        <w:rPr>
          <w:lang w:val="en-US"/>
        </w:rPr>
        <w:t>order to improve the traceability of biological medicines, the trade name and the batch number of the administered product should be clearly recorded (or stated) in the patient file.</w:t>
      </w:r>
    </w:p>
    <w:p w14:paraId="6E35E8D3" w14:textId="77777777" w:rsidR="00073160" w:rsidRDefault="00073160" w:rsidP="0021426A">
      <w:pPr>
        <w:pStyle w:val="NormalIndent1"/>
        <w:jc w:val="left"/>
      </w:pPr>
    </w:p>
    <w:p w14:paraId="2531CA4F" w14:textId="77777777" w:rsidR="006D0F4A" w:rsidRDefault="006D0F4A" w:rsidP="0021426A">
      <w:pPr>
        <w:pStyle w:val="Heading3"/>
        <w:jc w:val="left"/>
      </w:pPr>
      <w:r w:rsidRPr="007C4C71">
        <w:t>Identified Precautions</w:t>
      </w:r>
    </w:p>
    <w:p w14:paraId="022B02A8" w14:textId="77777777" w:rsidR="006D0F4A" w:rsidRPr="00F70019" w:rsidRDefault="006D0F4A" w:rsidP="0021426A">
      <w:pPr>
        <w:pStyle w:val="NormalIndent1"/>
        <w:jc w:val="left"/>
      </w:pPr>
    </w:p>
    <w:p w14:paraId="4711A539" w14:textId="77777777" w:rsidR="006D0F4A" w:rsidRPr="006D0F4A" w:rsidRDefault="006D0F4A" w:rsidP="0021426A">
      <w:pPr>
        <w:pStyle w:val="Heading4"/>
        <w:jc w:val="left"/>
        <w:rPr>
          <w:lang w:val="en-US"/>
        </w:rPr>
      </w:pPr>
      <w:r w:rsidRPr="006D0F4A">
        <w:rPr>
          <w:lang w:val="en-US"/>
        </w:rPr>
        <w:t>Infections</w:t>
      </w:r>
    </w:p>
    <w:p w14:paraId="0AFC4C69" w14:textId="77777777" w:rsidR="006D0F4A" w:rsidRPr="006D0F4A" w:rsidRDefault="006D0F4A" w:rsidP="0021426A">
      <w:pPr>
        <w:pStyle w:val="NormalIndent1"/>
        <w:jc w:val="left"/>
        <w:rPr>
          <w:lang w:val="en-US"/>
        </w:rPr>
      </w:pPr>
    </w:p>
    <w:p w14:paraId="0C0C1451" w14:textId="1B4DF434" w:rsidR="006D0F4A" w:rsidRPr="006D0F4A" w:rsidRDefault="006D0F4A" w:rsidP="0021426A">
      <w:pPr>
        <w:pStyle w:val="NormalIndent1"/>
        <w:jc w:val="left"/>
        <w:rPr>
          <w:lang w:val="en-US"/>
        </w:rPr>
      </w:pPr>
      <w:r w:rsidRPr="006D0F4A">
        <w:rPr>
          <w:lang w:val="en-US"/>
        </w:rPr>
        <w:t xml:space="preserve">Patients should be evaluated for infections before, during and after treatment with </w:t>
      </w:r>
      <w:r w:rsidR="003D1456">
        <w:rPr>
          <w:lang w:val="en-US"/>
        </w:rPr>
        <w:t>Rymti</w:t>
      </w:r>
      <w:r w:rsidR="00B20D25">
        <w:rPr>
          <w:lang w:val="en-US"/>
        </w:rPr>
        <w:t xml:space="preserve"> (etanercept)</w:t>
      </w:r>
      <w:r w:rsidRPr="006D0F4A">
        <w:rPr>
          <w:lang w:val="en-US"/>
        </w:rPr>
        <w:t>, taking into consideration that the mean elimination half-life of etanercept is 80 hours (standard deviation of 28 hours; range from 7 to 300 hours)</w:t>
      </w:r>
      <w:r w:rsidRPr="006D0F4A">
        <w:rPr>
          <w:b/>
          <w:lang w:val="en-US"/>
        </w:rPr>
        <w:t>.</w:t>
      </w:r>
    </w:p>
    <w:p w14:paraId="4674156F" w14:textId="77777777" w:rsidR="006D0F4A" w:rsidRPr="006D0F4A" w:rsidRDefault="006D0F4A" w:rsidP="0021426A">
      <w:pPr>
        <w:pStyle w:val="NormalIndent1"/>
        <w:jc w:val="left"/>
        <w:rPr>
          <w:lang w:val="en-US"/>
        </w:rPr>
      </w:pPr>
    </w:p>
    <w:p w14:paraId="6E670B07" w14:textId="168659C0" w:rsidR="006D0F4A" w:rsidRPr="006D0F4A" w:rsidRDefault="006D0F4A" w:rsidP="0021426A">
      <w:pPr>
        <w:pStyle w:val="NormalIndent1"/>
        <w:jc w:val="left"/>
        <w:rPr>
          <w:lang w:val="en-US"/>
        </w:rPr>
      </w:pPr>
      <w:r w:rsidRPr="006D0F4A">
        <w:rPr>
          <w:lang w:val="en-US"/>
        </w:rPr>
        <w:t xml:space="preserve">Serious infections including sepsis and tuberculosis, have been reported with the use of </w:t>
      </w:r>
      <w:r w:rsidR="00B20D25">
        <w:rPr>
          <w:lang w:val="en-US"/>
        </w:rPr>
        <w:t>etanercept</w:t>
      </w:r>
      <w:r w:rsidRPr="006D0F4A">
        <w:rPr>
          <w:lang w:val="en-US"/>
        </w:rPr>
        <w:t xml:space="preserve"> (see </w:t>
      </w:r>
      <w:r>
        <w:rPr>
          <w:b/>
          <w:lang w:val="en-US"/>
        </w:rPr>
        <w:t xml:space="preserve">Section 4.8 </w:t>
      </w:r>
      <w:r w:rsidRPr="006D0F4A">
        <w:rPr>
          <w:b/>
          <w:lang w:val="en-US"/>
        </w:rPr>
        <w:t>Adverse Effects (Undesirable Effects)</w:t>
      </w:r>
      <w:r w:rsidRPr="006D0F4A">
        <w:rPr>
          <w:lang w:val="en-US"/>
        </w:rPr>
        <w:t xml:space="preserve">).  Some of these infections have been fatal.  These infections were due to bacteria, mycobacteria, fungi, viruses and parasites (including protozoa).  Opportunistic infections have also been reported (including listeriosis, legionellosis and invasive fungal infections) in patients receiving </w:t>
      </w:r>
      <w:r w:rsidR="00B20D25">
        <w:rPr>
          <w:lang w:val="en-US"/>
        </w:rPr>
        <w:t>etanercept</w:t>
      </w:r>
      <w:r w:rsidRPr="006D0F4A">
        <w:rPr>
          <w:lang w:val="en-US"/>
        </w:rPr>
        <w:t xml:space="preserve">.  Many of these serious events have occurred in patients receiving concomitant medicines including immunosuppressants, or with underlying diseases that, in addition to their RA, could predispose them to infections.  In some cases, fungal and other opportunistic infections are not </w:t>
      </w:r>
      <w:proofErr w:type="spellStart"/>
      <w:r w:rsidRPr="006D0F4A">
        <w:rPr>
          <w:lang w:val="en-US"/>
        </w:rPr>
        <w:t>recognised</w:t>
      </w:r>
      <w:proofErr w:type="spellEnd"/>
      <w:r w:rsidRPr="006D0F4A">
        <w:rPr>
          <w:lang w:val="en-US"/>
        </w:rPr>
        <w:t xml:space="preserve"> and this has resulted in delays in appropriate treatment, sometimes resulting in death.  Patients who develop a new infection while undergoing treatment with </w:t>
      </w:r>
      <w:r w:rsidR="003D1456">
        <w:rPr>
          <w:lang w:val="en-US"/>
        </w:rPr>
        <w:t>Rymti</w:t>
      </w:r>
      <w:r w:rsidRPr="006D0F4A">
        <w:rPr>
          <w:lang w:val="en-US"/>
        </w:rPr>
        <w:t xml:space="preserve"> should be monitored closely.  Administration of </w:t>
      </w:r>
      <w:r w:rsidR="003D1456">
        <w:rPr>
          <w:lang w:val="en-US"/>
        </w:rPr>
        <w:t>Rymti</w:t>
      </w:r>
      <w:r w:rsidRPr="006D0F4A">
        <w:rPr>
          <w:lang w:val="en-US"/>
        </w:rPr>
        <w:t xml:space="preserve"> should be discontinued if a patient develops a serious infection (</w:t>
      </w:r>
      <w:proofErr w:type="spellStart"/>
      <w:r w:rsidRPr="006D0F4A">
        <w:rPr>
          <w:lang w:val="en-US"/>
        </w:rPr>
        <w:t>eg</w:t>
      </w:r>
      <w:proofErr w:type="spellEnd"/>
      <w:r w:rsidRPr="006D0F4A">
        <w:rPr>
          <w:lang w:val="en-US"/>
        </w:rPr>
        <w:t>. tuberculosis or an atypical mycobacterial infection) or sepsis.</w:t>
      </w:r>
    </w:p>
    <w:p w14:paraId="021F053B" w14:textId="77777777" w:rsidR="006D0F4A" w:rsidRPr="006D0F4A" w:rsidRDefault="006D0F4A" w:rsidP="0021426A">
      <w:pPr>
        <w:pStyle w:val="NormalIndent1"/>
        <w:jc w:val="left"/>
        <w:rPr>
          <w:lang w:val="en-US"/>
        </w:rPr>
      </w:pPr>
    </w:p>
    <w:p w14:paraId="7B185B4E" w14:textId="5A97116C" w:rsidR="006D0F4A" w:rsidRPr="006D0F4A" w:rsidRDefault="006D0F4A" w:rsidP="0021426A">
      <w:pPr>
        <w:pStyle w:val="NormalIndent1"/>
        <w:jc w:val="left"/>
        <w:rPr>
          <w:lang w:val="en-US"/>
        </w:rPr>
      </w:pPr>
      <w:r w:rsidRPr="006D0F4A">
        <w:rPr>
          <w:lang w:val="en-US"/>
        </w:rPr>
        <w:t>In evaluating patients for infections, physicians should consider the patient's risk for relevant opportunistic infections (</w:t>
      </w:r>
      <w:proofErr w:type="spellStart"/>
      <w:r w:rsidRPr="006D0F4A">
        <w:rPr>
          <w:lang w:val="en-US"/>
        </w:rPr>
        <w:t>eg</w:t>
      </w:r>
      <w:proofErr w:type="spellEnd"/>
      <w:r w:rsidRPr="006D0F4A">
        <w:rPr>
          <w:lang w:val="en-US"/>
        </w:rPr>
        <w:t xml:space="preserve">. exposure to endemic mycoses).  Physicians should exercise caution when considering the use of </w:t>
      </w:r>
      <w:r w:rsidR="003D1456">
        <w:rPr>
          <w:lang w:val="en-US"/>
        </w:rPr>
        <w:t>Rymti</w:t>
      </w:r>
      <w:r w:rsidRPr="006D0F4A">
        <w:rPr>
          <w:lang w:val="en-US"/>
        </w:rPr>
        <w:t xml:space="preserve"> in patients with a history of recurring or chronic infections or with underlying conditions, which may predispose patients to infections such as advanced or poorly controlled diabetes (see </w:t>
      </w:r>
      <w:r>
        <w:rPr>
          <w:b/>
          <w:lang w:val="en-US"/>
        </w:rPr>
        <w:t>Section 4.3 Contraindications</w:t>
      </w:r>
      <w:r w:rsidRPr="006D0F4A">
        <w:rPr>
          <w:lang w:val="en-US"/>
        </w:rPr>
        <w:t>).  Caution should be exercised in patients at high risk of developing serious infection, including patients undergoing major surgery.</w:t>
      </w:r>
    </w:p>
    <w:p w14:paraId="7073CC5A" w14:textId="77777777" w:rsidR="006D0F4A" w:rsidRPr="006D0F4A" w:rsidRDefault="006D0F4A" w:rsidP="0021426A">
      <w:pPr>
        <w:pStyle w:val="NormalIndent1"/>
        <w:jc w:val="left"/>
        <w:rPr>
          <w:lang w:val="en-US"/>
        </w:rPr>
      </w:pPr>
    </w:p>
    <w:p w14:paraId="257383C5" w14:textId="77777777" w:rsidR="006D0F4A" w:rsidRPr="00B664B5" w:rsidRDefault="006D0F4A" w:rsidP="0021426A">
      <w:pPr>
        <w:pStyle w:val="Heading5"/>
        <w:jc w:val="left"/>
        <w:rPr>
          <w:u w:val="single"/>
          <w:lang w:val="en-US"/>
        </w:rPr>
      </w:pPr>
      <w:r w:rsidRPr="00B664B5">
        <w:rPr>
          <w:u w:val="single"/>
          <w:lang w:val="en-US"/>
        </w:rPr>
        <w:t>Tuberculosis (TB)</w:t>
      </w:r>
    </w:p>
    <w:p w14:paraId="5B92E5C5" w14:textId="77777777" w:rsidR="006D0F4A" w:rsidRPr="006D0F4A" w:rsidRDefault="006D0F4A" w:rsidP="0021426A">
      <w:pPr>
        <w:pStyle w:val="NormalIndent1"/>
        <w:jc w:val="left"/>
        <w:rPr>
          <w:lang w:val="en-US"/>
        </w:rPr>
      </w:pPr>
    </w:p>
    <w:p w14:paraId="2D85A22A" w14:textId="70844A9A" w:rsidR="006D0F4A" w:rsidRPr="006D0F4A" w:rsidRDefault="006D0F4A" w:rsidP="0021426A">
      <w:pPr>
        <w:pStyle w:val="NormalIndent1"/>
        <w:jc w:val="left"/>
        <w:rPr>
          <w:lang w:val="en-US"/>
        </w:rPr>
      </w:pPr>
      <w:r w:rsidRPr="006D0F4A">
        <w:rPr>
          <w:lang w:val="en-US"/>
        </w:rPr>
        <w:t xml:space="preserve">Tuberculosis (including disseminated or extrapulmonary presentation) has been observed in patients receiving TNF-blocking agents, including </w:t>
      </w:r>
      <w:r w:rsidR="00B20D25">
        <w:rPr>
          <w:lang w:val="en-US"/>
        </w:rPr>
        <w:t>etanercept</w:t>
      </w:r>
      <w:r w:rsidRPr="006D0F4A">
        <w:rPr>
          <w:lang w:val="en-US"/>
        </w:rPr>
        <w:t>.  Tuberculosis may be due to reactivation of latent TB infection or to new infection.</w:t>
      </w:r>
    </w:p>
    <w:p w14:paraId="7AAAF8CD" w14:textId="77777777" w:rsidR="006D0F4A" w:rsidRPr="006D0F4A" w:rsidRDefault="006D0F4A" w:rsidP="0021426A">
      <w:pPr>
        <w:pStyle w:val="NormalIndent1"/>
        <w:jc w:val="left"/>
        <w:rPr>
          <w:lang w:val="en-US"/>
        </w:rPr>
      </w:pPr>
    </w:p>
    <w:p w14:paraId="0C17BE9F" w14:textId="08195ED6" w:rsidR="006D0F4A" w:rsidRDefault="006D0F4A" w:rsidP="0021426A">
      <w:pPr>
        <w:pStyle w:val="NormalIndent1"/>
        <w:jc w:val="left"/>
        <w:rPr>
          <w:lang w:val="en-US"/>
        </w:rPr>
      </w:pPr>
      <w:r w:rsidRPr="006D0F4A">
        <w:rPr>
          <w:lang w:val="en-US"/>
        </w:rPr>
        <w:t xml:space="preserve">Before initiation of therapy with </w:t>
      </w:r>
      <w:r w:rsidR="003D1456">
        <w:rPr>
          <w:lang w:val="en-US"/>
        </w:rPr>
        <w:t>Rymti</w:t>
      </w:r>
      <w:r w:rsidRPr="006D0F4A">
        <w:rPr>
          <w:lang w:val="en-US"/>
        </w:rPr>
        <w:t xml:space="preserve">, any patient at increased risk for TB should be evaluated for active or latent infection.   If active TB is diagnosed, </w:t>
      </w:r>
      <w:r w:rsidR="003D1456">
        <w:rPr>
          <w:lang w:val="en-US"/>
        </w:rPr>
        <w:t>Rymti</w:t>
      </w:r>
      <w:r w:rsidRPr="006D0F4A">
        <w:rPr>
          <w:lang w:val="en-US"/>
        </w:rPr>
        <w:t xml:space="preserve"> therapy must not be initiated.</w:t>
      </w:r>
    </w:p>
    <w:p w14:paraId="05F88DD7" w14:textId="77777777" w:rsidR="006D0F4A" w:rsidRDefault="006D0F4A" w:rsidP="0021426A">
      <w:pPr>
        <w:pStyle w:val="NormalIndent1"/>
        <w:jc w:val="left"/>
        <w:rPr>
          <w:lang w:val="en-US"/>
        </w:rPr>
      </w:pPr>
    </w:p>
    <w:p w14:paraId="2B662DCD" w14:textId="5057F987" w:rsidR="006D0F4A" w:rsidRPr="006D0F4A" w:rsidRDefault="006D0F4A" w:rsidP="0021426A">
      <w:pPr>
        <w:pStyle w:val="NormalIndent1"/>
        <w:jc w:val="left"/>
        <w:rPr>
          <w:lang w:val="en-US"/>
        </w:rPr>
      </w:pPr>
      <w:r w:rsidRPr="006D0F4A">
        <w:rPr>
          <w:lang w:val="en-US"/>
        </w:rPr>
        <w:t xml:space="preserve">Prophylaxis of latent TB infection should be initiated prior to therapy with </w:t>
      </w:r>
      <w:r w:rsidR="003D1456">
        <w:rPr>
          <w:lang w:val="en-US"/>
        </w:rPr>
        <w:t>Rymti</w:t>
      </w:r>
      <w:r w:rsidRPr="006D0F4A">
        <w:rPr>
          <w:lang w:val="en-US"/>
        </w:rPr>
        <w:t>.  Treatment of latent TB in patients with a reactive tuberculin test reduces the risk of TB reactivation in patients receiving TNF blockers.</w:t>
      </w:r>
    </w:p>
    <w:p w14:paraId="09F7C9E6" w14:textId="77777777" w:rsidR="006D0F4A" w:rsidRPr="006D0F4A" w:rsidRDefault="006D0F4A" w:rsidP="0021426A">
      <w:pPr>
        <w:pStyle w:val="NormalIndent1"/>
        <w:jc w:val="left"/>
        <w:rPr>
          <w:lang w:val="en-US"/>
        </w:rPr>
      </w:pPr>
    </w:p>
    <w:p w14:paraId="0209276B" w14:textId="0CC06A6D" w:rsidR="006D0F4A" w:rsidRPr="006D0F4A" w:rsidRDefault="006D0F4A" w:rsidP="0021426A">
      <w:pPr>
        <w:pStyle w:val="NormalIndent1"/>
        <w:jc w:val="left"/>
        <w:rPr>
          <w:lang w:val="en-US"/>
        </w:rPr>
      </w:pPr>
      <w:r w:rsidRPr="006D0F4A">
        <w:rPr>
          <w:lang w:val="en-US"/>
        </w:rPr>
        <w:t xml:space="preserve">Some patients who tested negative for latent TB prior to receiving </w:t>
      </w:r>
      <w:r w:rsidR="00B20D25">
        <w:rPr>
          <w:lang w:val="en-US"/>
        </w:rPr>
        <w:t>etanercept</w:t>
      </w:r>
      <w:r w:rsidRPr="006D0F4A">
        <w:rPr>
          <w:lang w:val="en-US"/>
        </w:rPr>
        <w:t xml:space="preserve"> have developed active TB.  Physicians should monitor patients receiving </w:t>
      </w:r>
      <w:r w:rsidR="003D1456">
        <w:rPr>
          <w:lang w:val="en-US"/>
        </w:rPr>
        <w:t>Rymti</w:t>
      </w:r>
      <w:r w:rsidRPr="006D0F4A">
        <w:rPr>
          <w:lang w:val="en-US"/>
        </w:rPr>
        <w:t xml:space="preserve"> for signs and symptoms of active TB, including patients who tested negative for latent TB infection.  Applicable local guidelines should be consulted.  Patients with RA appear to have an increased rate of TB infection.</w:t>
      </w:r>
    </w:p>
    <w:p w14:paraId="3439E374" w14:textId="77777777" w:rsidR="006D0F4A" w:rsidRPr="006D0F4A" w:rsidRDefault="006D0F4A" w:rsidP="0021426A">
      <w:pPr>
        <w:pStyle w:val="NormalIndent1"/>
        <w:jc w:val="left"/>
        <w:rPr>
          <w:lang w:val="en-US"/>
        </w:rPr>
      </w:pPr>
    </w:p>
    <w:p w14:paraId="2BD799BC" w14:textId="4CBF8EE5" w:rsidR="006D0F4A" w:rsidRPr="006D0F4A" w:rsidRDefault="006D0F4A" w:rsidP="0021426A">
      <w:pPr>
        <w:pStyle w:val="NormalIndent1"/>
        <w:jc w:val="left"/>
        <w:rPr>
          <w:lang w:val="en-US"/>
        </w:rPr>
      </w:pPr>
      <w:r w:rsidRPr="006D0F4A">
        <w:rPr>
          <w:lang w:val="en-US"/>
        </w:rPr>
        <w:t xml:space="preserve">Cases of TB and atypical mycobacterial infections including </w:t>
      </w:r>
      <w:r w:rsidRPr="006D0F4A">
        <w:rPr>
          <w:i/>
          <w:lang w:val="en-US"/>
        </w:rPr>
        <w:t xml:space="preserve">Mycobacterium avium </w:t>
      </w:r>
      <w:r w:rsidRPr="006D0F4A">
        <w:rPr>
          <w:lang w:val="en-US"/>
        </w:rPr>
        <w:t xml:space="preserve">complex in patients on treatment with </w:t>
      </w:r>
      <w:r w:rsidR="00B20D25">
        <w:rPr>
          <w:lang w:val="en-US"/>
        </w:rPr>
        <w:t>etanercept</w:t>
      </w:r>
      <w:r w:rsidRPr="006D0F4A">
        <w:rPr>
          <w:lang w:val="en-US"/>
        </w:rPr>
        <w:t xml:space="preserve"> have been reported.  Treatment should be ceased immediately if mycobacterial infection is suspected.</w:t>
      </w:r>
    </w:p>
    <w:p w14:paraId="09317B72" w14:textId="77777777" w:rsidR="006D0F4A" w:rsidRPr="006D0F4A" w:rsidRDefault="006D0F4A" w:rsidP="0021426A">
      <w:pPr>
        <w:pStyle w:val="NormalIndent1"/>
        <w:jc w:val="left"/>
        <w:rPr>
          <w:lang w:val="en-US"/>
        </w:rPr>
      </w:pPr>
    </w:p>
    <w:p w14:paraId="4A597617" w14:textId="276EC550" w:rsidR="006D0F4A" w:rsidRPr="006D0F4A" w:rsidRDefault="006D0F4A" w:rsidP="0021426A">
      <w:pPr>
        <w:pStyle w:val="NormalIndent1"/>
        <w:jc w:val="left"/>
        <w:rPr>
          <w:lang w:val="en-US"/>
        </w:rPr>
      </w:pPr>
      <w:r w:rsidRPr="006D0F4A">
        <w:rPr>
          <w:lang w:val="en-US"/>
        </w:rPr>
        <w:t>All patients should be informed to seek medical advice if signs/symptoms suggestive of TB (</w:t>
      </w:r>
      <w:proofErr w:type="spellStart"/>
      <w:r w:rsidRPr="006D0F4A">
        <w:rPr>
          <w:lang w:val="en-US"/>
        </w:rPr>
        <w:t>eg</w:t>
      </w:r>
      <w:proofErr w:type="spellEnd"/>
      <w:r w:rsidRPr="006D0F4A">
        <w:rPr>
          <w:lang w:val="en-US"/>
        </w:rPr>
        <w:t xml:space="preserve">. persistent cough, wasting/weight loss, low grade fever) appear during or after </w:t>
      </w:r>
      <w:r w:rsidR="003D1456">
        <w:rPr>
          <w:lang w:val="en-US"/>
        </w:rPr>
        <w:t>Rymti</w:t>
      </w:r>
      <w:r w:rsidRPr="006D0F4A">
        <w:rPr>
          <w:lang w:val="en-US"/>
        </w:rPr>
        <w:t xml:space="preserve"> treatment.</w:t>
      </w:r>
    </w:p>
    <w:p w14:paraId="65143A9A" w14:textId="77777777" w:rsidR="006D0F4A" w:rsidRPr="006D0F4A" w:rsidRDefault="006D0F4A" w:rsidP="0021426A">
      <w:pPr>
        <w:pStyle w:val="NormalIndent1"/>
        <w:jc w:val="left"/>
        <w:rPr>
          <w:lang w:val="en-US"/>
        </w:rPr>
      </w:pPr>
    </w:p>
    <w:p w14:paraId="54191583" w14:textId="77777777" w:rsidR="006D0F4A" w:rsidRPr="00B664B5" w:rsidRDefault="006D0F4A" w:rsidP="0021426A">
      <w:pPr>
        <w:pStyle w:val="Heading5"/>
        <w:jc w:val="left"/>
        <w:rPr>
          <w:u w:val="single"/>
          <w:lang w:val="en-US"/>
        </w:rPr>
      </w:pPr>
      <w:r w:rsidRPr="00B664B5">
        <w:rPr>
          <w:u w:val="single"/>
          <w:lang w:val="en-US"/>
        </w:rPr>
        <w:t>Reactivation of Hepatitis B</w:t>
      </w:r>
    </w:p>
    <w:p w14:paraId="615B2E2F" w14:textId="77777777" w:rsidR="006D0F4A" w:rsidRPr="006D0F4A" w:rsidRDefault="006D0F4A" w:rsidP="0021426A">
      <w:pPr>
        <w:pStyle w:val="NormalIndent1"/>
        <w:jc w:val="left"/>
        <w:rPr>
          <w:lang w:val="en-US"/>
        </w:rPr>
      </w:pPr>
    </w:p>
    <w:p w14:paraId="0207BAFD" w14:textId="5B1AFDD2" w:rsidR="006D0F4A" w:rsidRPr="006D0F4A" w:rsidRDefault="006D0F4A" w:rsidP="0021426A">
      <w:pPr>
        <w:pStyle w:val="NormalIndent1"/>
        <w:jc w:val="left"/>
        <w:rPr>
          <w:lang w:val="en-US"/>
        </w:rPr>
      </w:pPr>
      <w:r w:rsidRPr="006D0F4A">
        <w:rPr>
          <w:lang w:val="en-US"/>
        </w:rPr>
        <w:t xml:space="preserve">Reactivation of hepatitis B in patients who were previously infected with the hepatitis B virus (HBV) and had received TNF blockers, including </w:t>
      </w:r>
      <w:r w:rsidR="00B20D25">
        <w:rPr>
          <w:lang w:val="en-US"/>
        </w:rPr>
        <w:t>etanercept</w:t>
      </w:r>
      <w:r w:rsidRPr="006D0F4A">
        <w:rPr>
          <w:lang w:val="en-US"/>
        </w:rPr>
        <w:t xml:space="preserve">, has been reported.  In some instances, HBV reactivation occurring in conjunction with TNF blocker therapy has been fatal.  The majority of these reports have occurred in patients concomitantly receiving other medications that suppress the immune system, which may also contribute to HBV reactivation.  Patients at risk for HBV infection should be evaluated for evidence of prior HBV infection before initiating TNF blocker therapy.  Prescribers should exercise caution in prescribing TNF blockers for patients previously infected with HBV.  Patients who were previously infected with HBV and require treatment with TNF blockers should be closely monitored for signs and symptoms of active HBV infection throughout therapy and for several months following termination of therapy.  Adequate data are not available on the safety or efficacy of treating patients who are carriers of HBV with anti-viral therapy in conjunction with TNF blocker therapy to prevent HBV reactivation.  If HBV reactivation should develop in patients who are receiving </w:t>
      </w:r>
      <w:r w:rsidR="003D1456">
        <w:rPr>
          <w:lang w:val="en-US"/>
        </w:rPr>
        <w:t>Rymti</w:t>
      </w:r>
      <w:r w:rsidRPr="006D0F4A">
        <w:rPr>
          <w:lang w:val="en-US"/>
        </w:rPr>
        <w:t>, treatment should be stopped and effective anti-viral therapy with appropriate supportive treatment should be initiated.</w:t>
      </w:r>
    </w:p>
    <w:p w14:paraId="327877F7" w14:textId="77777777" w:rsidR="004E6BF7" w:rsidRDefault="004E6BF7" w:rsidP="0021426A">
      <w:pPr>
        <w:jc w:val="left"/>
        <w:rPr>
          <w:lang w:val="en-US"/>
        </w:rPr>
      </w:pPr>
    </w:p>
    <w:p w14:paraId="529F102D" w14:textId="77777777" w:rsidR="006D0F4A" w:rsidRPr="00B664B5" w:rsidRDefault="006D0F4A" w:rsidP="0021426A">
      <w:pPr>
        <w:pStyle w:val="Heading5"/>
        <w:jc w:val="left"/>
        <w:rPr>
          <w:u w:val="single"/>
          <w:lang w:val="en-US"/>
        </w:rPr>
      </w:pPr>
      <w:r w:rsidRPr="00B664B5">
        <w:rPr>
          <w:u w:val="single"/>
          <w:lang w:val="en-US"/>
        </w:rPr>
        <w:t>Worsening of Hepatitis C</w:t>
      </w:r>
    </w:p>
    <w:p w14:paraId="3B3C7932" w14:textId="77777777" w:rsidR="006D0F4A" w:rsidRPr="006D0F4A" w:rsidRDefault="006D0F4A" w:rsidP="0021426A">
      <w:pPr>
        <w:pStyle w:val="NormalIndent1"/>
        <w:jc w:val="left"/>
        <w:rPr>
          <w:lang w:val="en-US"/>
        </w:rPr>
      </w:pPr>
    </w:p>
    <w:p w14:paraId="1A024DC1" w14:textId="4A30E60B" w:rsidR="006D0F4A" w:rsidRPr="006D0F4A" w:rsidRDefault="006D0F4A" w:rsidP="0021426A">
      <w:pPr>
        <w:pStyle w:val="NormalIndent1"/>
        <w:jc w:val="left"/>
        <w:rPr>
          <w:lang w:val="en-US"/>
        </w:rPr>
      </w:pPr>
      <w:r w:rsidRPr="006D0F4A">
        <w:rPr>
          <w:lang w:val="en-US"/>
        </w:rPr>
        <w:t xml:space="preserve">There have been reports of worsening of hepatitis C in patients receiving </w:t>
      </w:r>
      <w:r w:rsidR="00B20D25">
        <w:rPr>
          <w:lang w:val="en-US"/>
        </w:rPr>
        <w:t>etanercept</w:t>
      </w:r>
      <w:r w:rsidRPr="006D0F4A">
        <w:rPr>
          <w:lang w:val="en-US"/>
        </w:rPr>
        <w:t xml:space="preserve">, although a causal relationship with </w:t>
      </w:r>
      <w:r w:rsidR="00B20D25">
        <w:rPr>
          <w:lang w:val="en-US"/>
        </w:rPr>
        <w:t>etanercept</w:t>
      </w:r>
      <w:r w:rsidRPr="006D0F4A">
        <w:rPr>
          <w:lang w:val="en-US"/>
        </w:rPr>
        <w:t xml:space="preserve"> has not been established.</w:t>
      </w:r>
    </w:p>
    <w:p w14:paraId="656DAFBD" w14:textId="77777777" w:rsidR="006D0F4A" w:rsidRPr="006D0F4A" w:rsidRDefault="006D0F4A" w:rsidP="0021426A">
      <w:pPr>
        <w:pStyle w:val="NormalIndent1"/>
        <w:jc w:val="left"/>
        <w:rPr>
          <w:lang w:val="en-US"/>
        </w:rPr>
      </w:pPr>
    </w:p>
    <w:p w14:paraId="3BFBE291" w14:textId="77777777" w:rsidR="006D0F4A" w:rsidRPr="00AA1E39" w:rsidRDefault="006D0F4A" w:rsidP="0021426A">
      <w:pPr>
        <w:pStyle w:val="Heading4"/>
        <w:jc w:val="left"/>
        <w:rPr>
          <w:lang w:val="en-US"/>
        </w:rPr>
      </w:pPr>
      <w:r w:rsidRPr="00AA1E39">
        <w:rPr>
          <w:lang w:val="en-US"/>
        </w:rPr>
        <w:t>Alcoholic Hepatitis</w:t>
      </w:r>
    </w:p>
    <w:p w14:paraId="492FA6A6" w14:textId="77777777" w:rsidR="006D0F4A" w:rsidRPr="006D0F4A" w:rsidRDefault="006D0F4A" w:rsidP="0021426A">
      <w:pPr>
        <w:pStyle w:val="NormalIndent1"/>
        <w:jc w:val="left"/>
        <w:rPr>
          <w:lang w:val="en-US"/>
        </w:rPr>
      </w:pPr>
    </w:p>
    <w:p w14:paraId="4418FD34" w14:textId="49FC4095" w:rsidR="006D0F4A" w:rsidRPr="006D0F4A" w:rsidRDefault="006D0F4A" w:rsidP="0021426A">
      <w:pPr>
        <w:pStyle w:val="NormalIndent1"/>
        <w:jc w:val="left"/>
        <w:rPr>
          <w:lang w:val="en-US"/>
        </w:rPr>
      </w:pPr>
      <w:r w:rsidRPr="006D0F4A">
        <w:rPr>
          <w:lang w:val="en-US"/>
        </w:rPr>
        <w:t xml:space="preserve">In a study of 48 </w:t>
      </w:r>
      <w:proofErr w:type="spellStart"/>
      <w:r w:rsidRPr="006D0F4A">
        <w:rPr>
          <w:lang w:val="en-US"/>
        </w:rPr>
        <w:t>hospitalised</w:t>
      </w:r>
      <w:proofErr w:type="spellEnd"/>
      <w:r w:rsidRPr="006D0F4A">
        <w:rPr>
          <w:lang w:val="en-US"/>
        </w:rPr>
        <w:t xml:space="preserve"> patients treated with </w:t>
      </w:r>
      <w:r w:rsidR="00B20D25">
        <w:rPr>
          <w:lang w:val="en-US"/>
        </w:rPr>
        <w:t>etanercept</w:t>
      </w:r>
      <w:r w:rsidRPr="006D0F4A">
        <w:rPr>
          <w:lang w:val="en-US"/>
        </w:rPr>
        <w:t xml:space="preserve"> or placebo for moderate to severe alcoholic hepatitis, </w:t>
      </w:r>
      <w:r w:rsidR="00B20D25">
        <w:rPr>
          <w:lang w:val="en-US"/>
        </w:rPr>
        <w:t>etanercept</w:t>
      </w:r>
      <w:r w:rsidRPr="006D0F4A">
        <w:rPr>
          <w:lang w:val="en-US"/>
        </w:rPr>
        <w:t xml:space="preserve"> was not efficacious and the mortality rate in patients treated with </w:t>
      </w:r>
      <w:r w:rsidR="00B20D25">
        <w:rPr>
          <w:lang w:val="en-US"/>
        </w:rPr>
        <w:t>etanercept</w:t>
      </w:r>
      <w:r w:rsidRPr="006D0F4A">
        <w:rPr>
          <w:lang w:val="en-US"/>
        </w:rPr>
        <w:t xml:space="preserve"> was significantly higher after 6 months.  Infections were also higher in the </w:t>
      </w:r>
      <w:r w:rsidR="00B20D25">
        <w:rPr>
          <w:lang w:val="en-US"/>
        </w:rPr>
        <w:t>etanercept</w:t>
      </w:r>
      <w:r w:rsidRPr="006D0F4A">
        <w:rPr>
          <w:lang w:val="en-US"/>
        </w:rPr>
        <w:t xml:space="preserve"> group.  The use of </w:t>
      </w:r>
      <w:r w:rsidR="003D1456">
        <w:rPr>
          <w:lang w:val="en-US"/>
        </w:rPr>
        <w:t>Rymti</w:t>
      </w:r>
      <w:r w:rsidRPr="006D0F4A">
        <w:rPr>
          <w:lang w:val="en-US"/>
        </w:rPr>
        <w:t xml:space="preserve"> in patients for the treatment of alcoholic hepatitis is not recommended. </w:t>
      </w:r>
      <w:r>
        <w:rPr>
          <w:lang w:val="en-US"/>
        </w:rPr>
        <w:t xml:space="preserve"> </w:t>
      </w:r>
      <w:r w:rsidRPr="006D0F4A">
        <w:rPr>
          <w:lang w:val="en-US"/>
        </w:rPr>
        <w:t xml:space="preserve">Physicians should use caution when using </w:t>
      </w:r>
      <w:r w:rsidR="003D1456">
        <w:rPr>
          <w:lang w:val="en-US"/>
        </w:rPr>
        <w:t>Rymti</w:t>
      </w:r>
      <w:r w:rsidRPr="006D0F4A">
        <w:rPr>
          <w:lang w:val="en-US"/>
        </w:rPr>
        <w:t xml:space="preserve"> in patients who also have moderate to severe alcoholic hepatitis.</w:t>
      </w:r>
    </w:p>
    <w:p w14:paraId="0DB69800" w14:textId="77777777" w:rsidR="006D0F4A" w:rsidRPr="006D0F4A" w:rsidRDefault="006D0F4A" w:rsidP="0021426A">
      <w:pPr>
        <w:pStyle w:val="NormalIndent1"/>
        <w:jc w:val="left"/>
        <w:rPr>
          <w:lang w:val="en-US"/>
        </w:rPr>
      </w:pPr>
    </w:p>
    <w:p w14:paraId="30F1DEE4" w14:textId="77777777" w:rsidR="006D0F4A" w:rsidRPr="009E2FBF" w:rsidRDefault="006D0F4A" w:rsidP="0021426A">
      <w:pPr>
        <w:pStyle w:val="Heading4"/>
        <w:pageBreakBefore/>
        <w:jc w:val="left"/>
        <w:rPr>
          <w:lang w:val="en-US"/>
        </w:rPr>
      </w:pPr>
      <w:proofErr w:type="spellStart"/>
      <w:r w:rsidRPr="009E2FBF">
        <w:rPr>
          <w:lang w:val="en-US"/>
        </w:rPr>
        <w:t>Hypoglycaemia</w:t>
      </w:r>
      <w:proofErr w:type="spellEnd"/>
      <w:r w:rsidRPr="009E2FBF">
        <w:rPr>
          <w:lang w:val="en-US"/>
        </w:rPr>
        <w:t xml:space="preserve"> in Patients Treated for Diabetes</w:t>
      </w:r>
    </w:p>
    <w:p w14:paraId="4A008EB8" w14:textId="77777777" w:rsidR="006D0F4A" w:rsidRPr="006D0F4A" w:rsidRDefault="006D0F4A" w:rsidP="0021426A">
      <w:pPr>
        <w:pStyle w:val="NormalIndent1"/>
        <w:jc w:val="left"/>
        <w:rPr>
          <w:lang w:val="en-US"/>
        </w:rPr>
      </w:pPr>
    </w:p>
    <w:p w14:paraId="12700409" w14:textId="6D467C80" w:rsidR="006D0F4A" w:rsidRDefault="006D0F4A" w:rsidP="0021426A">
      <w:pPr>
        <w:pStyle w:val="NormalIndent1"/>
        <w:jc w:val="left"/>
        <w:rPr>
          <w:lang w:val="en-US"/>
        </w:rPr>
      </w:pPr>
      <w:r w:rsidRPr="006D0F4A">
        <w:rPr>
          <w:lang w:val="en-US"/>
        </w:rPr>
        <w:t xml:space="preserve">There have been reports of </w:t>
      </w:r>
      <w:proofErr w:type="spellStart"/>
      <w:r w:rsidRPr="006D0F4A">
        <w:rPr>
          <w:lang w:val="en-US"/>
        </w:rPr>
        <w:t>hypoglycaemia</w:t>
      </w:r>
      <w:proofErr w:type="spellEnd"/>
      <w:r w:rsidRPr="006D0F4A">
        <w:rPr>
          <w:lang w:val="en-US"/>
        </w:rPr>
        <w:t xml:space="preserve"> following initiation of </w:t>
      </w:r>
      <w:r w:rsidR="00B20D25">
        <w:rPr>
          <w:lang w:val="en-US"/>
        </w:rPr>
        <w:t>etanercept</w:t>
      </w:r>
      <w:r w:rsidRPr="006D0F4A">
        <w:rPr>
          <w:lang w:val="en-US"/>
        </w:rPr>
        <w:t xml:space="preserve"> in patients receiving medication for diabetes, necessitating a reduction in anti-diabetic medication in some of these patients.</w:t>
      </w:r>
    </w:p>
    <w:p w14:paraId="6E5782EA" w14:textId="77777777" w:rsidR="006D0F4A" w:rsidRDefault="006D0F4A" w:rsidP="0021426A">
      <w:pPr>
        <w:pStyle w:val="NormalIndent1"/>
        <w:jc w:val="left"/>
        <w:rPr>
          <w:b/>
          <w:lang w:val="en-US"/>
        </w:rPr>
      </w:pPr>
    </w:p>
    <w:p w14:paraId="2E464D4F" w14:textId="77777777" w:rsidR="006D0F4A" w:rsidRPr="009E2FBF" w:rsidRDefault="006D0F4A" w:rsidP="0021426A">
      <w:pPr>
        <w:pStyle w:val="Heading4"/>
        <w:jc w:val="left"/>
        <w:rPr>
          <w:lang w:val="en-US"/>
        </w:rPr>
      </w:pPr>
      <w:r w:rsidRPr="009E2FBF">
        <w:rPr>
          <w:lang w:val="en-US"/>
        </w:rPr>
        <w:t>Inflammatory Bowel Disease (IBD) and Uveitis in Patients with Juvenile Idiopathic Arthritis (JIA)</w:t>
      </w:r>
    </w:p>
    <w:p w14:paraId="5A10A4BE" w14:textId="77777777" w:rsidR="006D0F4A" w:rsidRPr="006D0F4A" w:rsidRDefault="006D0F4A" w:rsidP="0021426A">
      <w:pPr>
        <w:pStyle w:val="NormalIndent1"/>
        <w:jc w:val="left"/>
        <w:rPr>
          <w:lang w:val="en-US"/>
        </w:rPr>
      </w:pPr>
    </w:p>
    <w:p w14:paraId="4B8CED15" w14:textId="41B3E8C8" w:rsidR="006D0F4A" w:rsidRPr="006D0F4A" w:rsidRDefault="006D0F4A" w:rsidP="0021426A">
      <w:pPr>
        <w:pStyle w:val="NormalIndent1"/>
        <w:jc w:val="left"/>
        <w:rPr>
          <w:lang w:val="en-US"/>
        </w:rPr>
      </w:pPr>
      <w:r w:rsidRPr="006D0F4A">
        <w:rPr>
          <w:lang w:val="en-US"/>
        </w:rPr>
        <w:t xml:space="preserve">There have been reports of IBD in JIA patients being treated with </w:t>
      </w:r>
      <w:r w:rsidR="00B20D25">
        <w:rPr>
          <w:lang w:val="en-US"/>
        </w:rPr>
        <w:t>etanercept</w:t>
      </w:r>
      <w:r w:rsidRPr="006D0F4A">
        <w:rPr>
          <w:lang w:val="en-US"/>
        </w:rPr>
        <w:t xml:space="preserve">, which is not effective for the treatment of IBD.  A causal relationship with </w:t>
      </w:r>
      <w:r w:rsidR="00B20D25">
        <w:rPr>
          <w:lang w:val="en-US"/>
        </w:rPr>
        <w:t>etanercept</w:t>
      </w:r>
      <w:r w:rsidRPr="006D0F4A">
        <w:rPr>
          <w:lang w:val="en-US"/>
        </w:rPr>
        <w:t xml:space="preserve"> is unclear because clinical manifestations of bowel inflammation have also been observed in untreated JIA patients.  </w:t>
      </w:r>
      <w:r w:rsidR="00A828C8">
        <w:rPr>
          <w:lang w:val="en-US"/>
        </w:rPr>
        <w:t>T</w:t>
      </w:r>
      <w:r w:rsidRPr="006D0F4A">
        <w:rPr>
          <w:lang w:val="en-US"/>
        </w:rPr>
        <w:t xml:space="preserve">here have also been reports of uveitis in JIA patients being treated with </w:t>
      </w:r>
      <w:r w:rsidR="00A828C8">
        <w:rPr>
          <w:lang w:val="en-US"/>
        </w:rPr>
        <w:t>etanercept</w:t>
      </w:r>
      <w:r w:rsidRPr="006D0F4A">
        <w:rPr>
          <w:lang w:val="en-US"/>
        </w:rPr>
        <w:t>.</w:t>
      </w:r>
    </w:p>
    <w:p w14:paraId="78701338" w14:textId="77777777" w:rsidR="006D0F4A" w:rsidRPr="006D0F4A" w:rsidRDefault="006D0F4A" w:rsidP="0021426A">
      <w:pPr>
        <w:pStyle w:val="NormalIndent1"/>
        <w:jc w:val="left"/>
        <w:rPr>
          <w:lang w:val="en-US"/>
        </w:rPr>
      </w:pPr>
    </w:p>
    <w:p w14:paraId="7E9E4E51" w14:textId="77777777" w:rsidR="006D0F4A" w:rsidRPr="009E2FBF" w:rsidRDefault="006D0F4A" w:rsidP="0021426A">
      <w:pPr>
        <w:pStyle w:val="Heading4"/>
        <w:keepNext/>
        <w:keepLines/>
        <w:jc w:val="left"/>
        <w:rPr>
          <w:lang w:val="en-US"/>
        </w:rPr>
      </w:pPr>
      <w:r w:rsidRPr="009E2FBF">
        <w:rPr>
          <w:lang w:val="en-US"/>
        </w:rPr>
        <w:t>Concurrent Administration of TNF Inhibitors and Anakinra</w:t>
      </w:r>
    </w:p>
    <w:p w14:paraId="1A2F66C0" w14:textId="77777777" w:rsidR="006D0F4A" w:rsidRPr="006D0F4A" w:rsidRDefault="006D0F4A" w:rsidP="0021426A">
      <w:pPr>
        <w:pStyle w:val="NormalIndent1"/>
        <w:keepNext/>
        <w:keepLines/>
        <w:jc w:val="left"/>
        <w:rPr>
          <w:lang w:val="en-US"/>
        </w:rPr>
      </w:pPr>
    </w:p>
    <w:p w14:paraId="278587D4" w14:textId="2287C5D5" w:rsidR="006D0F4A" w:rsidRPr="006D0F4A" w:rsidRDefault="006D0F4A" w:rsidP="0021426A">
      <w:pPr>
        <w:pStyle w:val="NormalIndent1"/>
        <w:keepNext/>
        <w:keepLines/>
        <w:jc w:val="left"/>
        <w:rPr>
          <w:lang w:val="en-US"/>
        </w:rPr>
      </w:pPr>
      <w:r w:rsidRPr="006D0F4A">
        <w:rPr>
          <w:lang w:val="en-US"/>
        </w:rPr>
        <w:t xml:space="preserve">Concurrent administration of </w:t>
      </w:r>
      <w:r w:rsidR="00A828C8">
        <w:rPr>
          <w:lang w:val="en-US"/>
        </w:rPr>
        <w:t>etanercept</w:t>
      </w:r>
      <w:r w:rsidRPr="006D0F4A">
        <w:rPr>
          <w:lang w:val="en-US"/>
        </w:rPr>
        <w:t xml:space="preserve"> and anakinra (a recombinant, non-glycosylated form of the human Interleukin-1 receptor antagonist) has been associated with an increased risk of serious infection, an increased risk of neutropenia and no additional benefit compared to </w:t>
      </w:r>
      <w:r w:rsidR="00A828C8">
        <w:rPr>
          <w:lang w:val="en-US"/>
        </w:rPr>
        <w:t>etanercept</w:t>
      </w:r>
      <w:r w:rsidRPr="006D0F4A">
        <w:rPr>
          <w:lang w:val="en-US"/>
        </w:rPr>
        <w:t xml:space="preserve"> alone. </w:t>
      </w:r>
      <w:r>
        <w:rPr>
          <w:lang w:val="en-US"/>
        </w:rPr>
        <w:t xml:space="preserve"> </w:t>
      </w:r>
      <w:r w:rsidRPr="006D0F4A">
        <w:rPr>
          <w:lang w:val="en-US"/>
        </w:rPr>
        <w:t xml:space="preserve">The safety and efficacy of anakinra used in combination with </w:t>
      </w:r>
      <w:r w:rsidR="00A828C8">
        <w:rPr>
          <w:lang w:val="en-US"/>
        </w:rPr>
        <w:t>etanercept</w:t>
      </w:r>
      <w:r w:rsidRPr="006D0F4A">
        <w:rPr>
          <w:lang w:val="en-US"/>
        </w:rPr>
        <w:t xml:space="preserve"> has not been established. </w:t>
      </w:r>
      <w:r>
        <w:rPr>
          <w:lang w:val="en-US"/>
        </w:rPr>
        <w:t xml:space="preserve"> </w:t>
      </w:r>
      <w:r w:rsidRPr="006D0F4A">
        <w:rPr>
          <w:lang w:val="en-US"/>
        </w:rPr>
        <w:t xml:space="preserve">Therefore, combination of </w:t>
      </w:r>
      <w:r w:rsidR="003D1456">
        <w:rPr>
          <w:lang w:val="en-US"/>
        </w:rPr>
        <w:t>Rymti</w:t>
      </w:r>
      <w:r w:rsidRPr="006D0F4A">
        <w:rPr>
          <w:lang w:val="en-US"/>
        </w:rPr>
        <w:t xml:space="preserve"> and anakinra is contraindicated (see also </w:t>
      </w:r>
      <w:r>
        <w:rPr>
          <w:b/>
          <w:lang w:val="en-US"/>
        </w:rPr>
        <w:t>Section 4.3 Contraindications</w:t>
      </w:r>
      <w:r w:rsidRPr="006D0F4A">
        <w:rPr>
          <w:lang w:val="en-US"/>
        </w:rPr>
        <w:t xml:space="preserve"> and </w:t>
      </w:r>
      <w:r>
        <w:rPr>
          <w:b/>
          <w:lang w:val="en-US"/>
        </w:rPr>
        <w:t xml:space="preserve">Section 4.5 </w:t>
      </w:r>
      <w:r w:rsidRPr="006D0F4A">
        <w:rPr>
          <w:b/>
        </w:rPr>
        <w:t>Interactions with Other Medicines and Other Forms of Interactions</w:t>
      </w:r>
      <w:r w:rsidRPr="006D0F4A">
        <w:rPr>
          <w:lang w:val="en-US"/>
        </w:rPr>
        <w:t>).</w:t>
      </w:r>
    </w:p>
    <w:p w14:paraId="48B88CB5" w14:textId="77777777" w:rsidR="006D0F4A" w:rsidRPr="006D0F4A" w:rsidRDefault="006D0F4A" w:rsidP="0021426A">
      <w:pPr>
        <w:pStyle w:val="NormalIndent1"/>
        <w:jc w:val="left"/>
        <w:rPr>
          <w:lang w:val="en-US"/>
        </w:rPr>
      </w:pPr>
    </w:p>
    <w:p w14:paraId="6AFADA89" w14:textId="4DBD522C" w:rsidR="006D0F4A" w:rsidRPr="009E2FBF" w:rsidRDefault="006D0F4A" w:rsidP="0021426A">
      <w:pPr>
        <w:pStyle w:val="Heading4"/>
        <w:jc w:val="left"/>
        <w:rPr>
          <w:lang w:val="en-US"/>
        </w:rPr>
      </w:pPr>
      <w:r w:rsidRPr="009E2FBF">
        <w:rPr>
          <w:lang w:val="en-US"/>
        </w:rPr>
        <w:t xml:space="preserve">Concurrent Administration of </w:t>
      </w:r>
      <w:r w:rsidR="00882590" w:rsidRPr="009E2FBF">
        <w:rPr>
          <w:lang w:val="en-US"/>
        </w:rPr>
        <w:t>Etanercept</w:t>
      </w:r>
      <w:r w:rsidRPr="009E2FBF">
        <w:rPr>
          <w:lang w:val="en-US"/>
        </w:rPr>
        <w:t xml:space="preserve"> and Abatacept</w:t>
      </w:r>
    </w:p>
    <w:p w14:paraId="349EB15B" w14:textId="77777777" w:rsidR="006D0F4A" w:rsidRPr="006D0F4A" w:rsidRDefault="006D0F4A" w:rsidP="0021426A">
      <w:pPr>
        <w:pStyle w:val="NormalIndent1"/>
        <w:jc w:val="left"/>
        <w:rPr>
          <w:lang w:val="en-US"/>
        </w:rPr>
      </w:pPr>
    </w:p>
    <w:p w14:paraId="4706C600" w14:textId="73063AFF" w:rsidR="006D0F4A" w:rsidRPr="006D0F4A" w:rsidRDefault="006D0F4A" w:rsidP="0021426A">
      <w:pPr>
        <w:pStyle w:val="NormalIndent1"/>
        <w:jc w:val="left"/>
        <w:rPr>
          <w:lang w:val="en-US"/>
        </w:rPr>
      </w:pPr>
      <w:r w:rsidRPr="006D0F4A">
        <w:rPr>
          <w:lang w:val="en-US"/>
        </w:rPr>
        <w:t xml:space="preserve">In clinical studies, concurrent administration of abatacept and </w:t>
      </w:r>
      <w:r w:rsidR="00A828C8">
        <w:rPr>
          <w:lang w:val="en-US"/>
        </w:rPr>
        <w:t>etanercept</w:t>
      </w:r>
      <w:r w:rsidRPr="006D0F4A">
        <w:rPr>
          <w:lang w:val="en-US"/>
        </w:rPr>
        <w:t xml:space="preserve"> therapy resulted in increased incidences of serious adverse events, including infections.  This combination has not demonstrated increased clinical benefit; such use is not recommended (see </w:t>
      </w:r>
      <w:r>
        <w:rPr>
          <w:b/>
          <w:lang w:val="en-US"/>
        </w:rPr>
        <w:t xml:space="preserve">Section 4.5 </w:t>
      </w:r>
      <w:r w:rsidRPr="006D0F4A">
        <w:rPr>
          <w:b/>
        </w:rPr>
        <w:t>Interactions with Other Medicines and Other Forms of Interactions</w:t>
      </w:r>
      <w:r w:rsidRPr="006D0F4A">
        <w:rPr>
          <w:lang w:val="en-US"/>
        </w:rPr>
        <w:t>).</w:t>
      </w:r>
    </w:p>
    <w:p w14:paraId="69E6D4F3" w14:textId="77777777" w:rsidR="006D0F4A" w:rsidRPr="006D0F4A" w:rsidRDefault="006D0F4A" w:rsidP="0021426A">
      <w:pPr>
        <w:pStyle w:val="NormalIndent1"/>
        <w:jc w:val="left"/>
        <w:rPr>
          <w:lang w:val="en-US"/>
        </w:rPr>
      </w:pPr>
    </w:p>
    <w:p w14:paraId="57845E25" w14:textId="77777777" w:rsidR="006D0F4A" w:rsidRPr="009E2FBF" w:rsidRDefault="006D0F4A" w:rsidP="0021426A">
      <w:pPr>
        <w:pStyle w:val="Heading4"/>
        <w:jc w:val="left"/>
        <w:rPr>
          <w:lang w:val="en-US"/>
        </w:rPr>
      </w:pPr>
      <w:r w:rsidRPr="009E2FBF">
        <w:rPr>
          <w:lang w:val="en-US"/>
        </w:rPr>
        <w:t>Interstitial Lung Disease</w:t>
      </w:r>
    </w:p>
    <w:p w14:paraId="0C1C928D" w14:textId="77777777" w:rsidR="006D0F4A" w:rsidRPr="006D0F4A" w:rsidRDefault="006D0F4A" w:rsidP="0021426A">
      <w:pPr>
        <w:pStyle w:val="NormalIndent1"/>
        <w:jc w:val="left"/>
        <w:rPr>
          <w:lang w:val="en-US"/>
        </w:rPr>
      </w:pPr>
    </w:p>
    <w:p w14:paraId="3F2EEE49" w14:textId="77777777" w:rsidR="006D0F4A" w:rsidRPr="006D0F4A" w:rsidRDefault="006D0F4A" w:rsidP="0021426A">
      <w:pPr>
        <w:pStyle w:val="NormalIndent1"/>
        <w:jc w:val="left"/>
        <w:rPr>
          <w:lang w:val="en-US"/>
        </w:rPr>
      </w:pPr>
      <w:r w:rsidRPr="006D0F4A">
        <w:rPr>
          <w:lang w:val="en-US"/>
        </w:rPr>
        <w:t>There have been post</w:t>
      </w:r>
      <w:r w:rsidR="007301B2">
        <w:rPr>
          <w:lang w:val="en-US"/>
        </w:rPr>
        <w:t>-</w:t>
      </w:r>
      <w:r w:rsidRPr="006D0F4A">
        <w:rPr>
          <w:lang w:val="en-US"/>
        </w:rPr>
        <w:t>marketing reports of interstitial lung disease (including pneumonitis and pulmonary fibrosis), some of which had fatal outcomes.</w:t>
      </w:r>
    </w:p>
    <w:p w14:paraId="06782FCE" w14:textId="77777777" w:rsidR="006D0F4A" w:rsidRPr="006D0F4A" w:rsidRDefault="006D0F4A" w:rsidP="0021426A">
      <w:pPr>
        <w:pStyle w:val="NormalIndent1"/>
        <w:jc w:val="left"/>
        <w:rPr>
          <w:lang w:val="en-US"/>
        </w:rPr>
      </w:pPr>
    </w:p>
    <w:p w14:paraId="4BCE97AD" w14:textId="77777777" w:rsidR="006D0F4A" w:rsidRPr="009E2FBF" w:rsidRDefault="006D0F4A" w:rsidP="0021426A">
      <w:pPr>
        <w:pStyle w:val="Heading4"/>
        <w:jc w:val="left"/>
        <w:rPr>
          <w:lang w:val="en-US"/>
        </w:rPr>
      </w:pPr>
      <w:proofErr w:type="spellStart"/>
      <w:r w:rsidRPr="009E2FBF">
        <w:rPr>
          <w:lang w:val="en-US"/>
        </w:rPr>
        <w:t>Haematological</w:t>
      </w:r>
      <w:proofErr w:type="spellEnd"/>
      <w:r w:rsidRPr="009E2FBF">
        <w:rPr>
          <w:lang w:val="en-US"/>
        </w:rPr>
        <w:t xml:space="preserve"> Reactions</w:t>
      </w:r>
    </w:p>
    <w:p w14:paraId="4F9D9745" w14:textId="77777777" w:rsidR="006D0F4A" w:rsidRPr="006D0F4A" w:rsidRDefault="006D0F4A" w:rsidP="0021426A">
      <w:pPr>
        <w:pStyle w:val="NormalIndent1"/>
        <w:jc w:val="left"/>
        <w:rPr>
          <w:lang w:val="en-US"/>
        </w:rPr>
      </w:pPr>
    </w:p>
    <w:p w14:paraId="6BC12095" w14:textId="5BBA33CA" w:rsidR="006D0F4A" w:rsidRPr="006D0F4A" w:rsidRDefault="006D0F4A" w:rsidP="0021426A">
      <w:pPr>
        <w:pStyle w:val="NormalIndent1"/>
        <w:jc w:val="left"/>
        <w:rPr>
          <w:lang w:val="en-US"/>
        </w:rPr>
      </w:pPr>
      <w:r w:rsidRPr="006D0F4A">
        <w:rPr>
          <w:lang w:val="en-US"/>
        </w:rPr>
        <w:t xml:space="preserve">Rare cases of pancytopenia and very rare cases of aplastic </w:t>
      </w:r>
      <w:proofErr w:type="spellStart"/>
      <w:r w:rsidRPr="006D0F4A">
        <w:rPr>
          <w:lang w:val="en-US"/>
        </w:rPr>
        <w:t>anaemia</w:t>
      </w:r>
      <w:proofErr w:type="spellEnd"/>
      <w:r w:rsidRPr="006D0F4A">
        <w:rPr>
          <w:lang w:val="en-US"/>
        </w:rPr>
        <w:t xml:space="preserve">, some with fatal outcome, have been reported in patients treated with </w:t>
      </w:r>
      <w:r w:rsidR="00A828C8">
        <w:rPr>
          <w:lang w:val="en-US"/>
        </w:rPr>
        <w:t>etanercept</w:t>
      </w:r>
      <w:r w:rsidRPr="006D0F4A">
        <w:rPr>
          <w:lang w:val="en-US"/>
        </w:rPr>
        <w:t xml:space="preserve">.  Caution should be exercised in patients being treated with </w:t>
      </w:r>
      <w:r w:rsidR="003D1456">
        <w:rPr>
          <w:lang w:val="en-US"/>
        </w:rPr>
        <w:t>Rymti</w:t>
      </w:r>
      <w:r w:rsidRPr="006D0F4A">
        <w:rPr>
          <w:lang w:val="en-US"/>
        </w:rPr>
        <w:t xml:space="preserve"> who have a previous history of blood dyscrasias.  All patients should be advised that if they develop signs and symptoms suggestive of blood dyscrasias or infections (</w:t>
      </w:r>
      <w:proofErr w:type="spellStart"/>
      <w:r w:rsidRPr="006D0F4A">
        <w:rPr>
          <w:lang w:val="en-US"/>
        </w:rPr>
        <w:t>eg</w:t>
      </w:r>
      <w:proofErr w:type="spellEnd"/>
      <w:r w:rsidRPr="006D0F4A">
        <w:rPr>
          <w:lang w:val="en-US"/>
        </w:rPr>
        <w:t xml:space="preserve">, persistent fever, sore throat, bruising, bleeding, paleness) whilst on </w:t>
      </w:r>
      <w:r w:rsidR="003D1456">
        <w:rPr>
          <w:lang w:val="en-US"/>
        </w:rPr>
        <w:t>Rymti</w:t>
      </w:r>
      <w:r w:rsidRPr="006D0F4A">
        <w:rPr>
          <w:lang w:val="en-US"/>
        </w:rPr>
        <w:t xml:space="preserve">, they should seek immediate medical advice.  Such patients should be evaluated urgently, including full blood count; if any blood dyscrasias are confirmed, </w:t>
      </w:r>
      <w:r w:rsidR="003D1456">
        <w:rPr>
          <w:lang w:val="en-US"/>
        </w:rPr>
        <w:t>Rymti</w:t>
      </w:r>
      <w:r w:rsidRPr="006D0F4A">
        <w:rPr>
          <w:lang w:val="en-US"/>
        </w:rPr>
        <w:t xml:space="preserve"> should be discontinued.</w:t>
      </w:r>
    </w:p>
    <w:p w14:paraId="6B0BF142" w14:textId="77777777" w:rsidR="006D0F4A" w:rsidRPr="006D0F4A" w:rsidRDefault="006D0F4A" w:rsidP="0021426A">
      <w:pPr>
        <w:pStyle w:val="NormalIndent1"/>
        <w:jc w:val="left"/>
        <w:rPr>
          <w:lang w:val="en-US"/>
        </w:rPr>
      </w:pPr>
    </w:p>
    <w:p w14:paraId="44335801" w14:textId="77777777" w:rsidR="006D0F4A" w:rsidRPr="009E2FBF" w:rsidRDefault="006D0F4A" w:rsidP="0021426A">
      <w:pPr>
        <w:pStyle w:val="Heading4"/>
        <w:pageBreakBefore/>
        <w:jc w:val="left"/>
        <w:rPr>
          <w:lang w:val="en-US"/>
        </w:rPr>
      </w:pPr>
      <w:r w:rsidRPr="009E2FBF">
        <w:rPr>
          <w:lang w:val="en-US"/>
        </w:rPr>
        <w:t>Allergic Reactions</w:t>
      </w:r>
    </w:p>
    <w:p w14:paraId="00C3EEEA" w14:textId="77777777" w:rsidR="006D0F4A" w:rsidRPr="006D0F4A" w:rsidRDefault="006D0F4A" w:rsidP="0021426A">
      <w:pPr>
        <w:pStyle w:val="NormalIndent1"/>
        <w:jc w:val="left"/>
        <w:rPr>
          <w:lang w:val="en-US"/>
        </w:rPr>
      </w:pPr>
    </w:p>
    <w:p w14:paraId="77B14499" w14:textId="7C957FC3" w:rsidR="006D0F4A" w:rsidRPr="006D0F4A" w:rsidRDefault="006D0F4A" w:rsidP="0021426A">
      <w:pPr>
        <w:pStyle w:val="NormalIndent1"/>
        <w:jc w:val="left"/>
        <w:rPr>
          <w:lang w:val="en-US"/>
        </w:rPr>
      </w:pPr>
      <w:r w:rsidRPr="006D0F4A">
        <w:rPr>
          <w:lang w:val="en-US"/>
        </w:rPr>
        <w:t xml:space="preserve">Parenteral administration of any biological product should be attended by appropriate precautions in case an allergic or untoward reaction occurs.  Allergic reactions associated with </w:t>
      </w:r>
      <w:r w:rsidR="00A828C8">
        <w:rPr>
          <w:lang w:val="en-US"/>
        </w:rPr>
        <w:t>etanercept</w:t>
      </w:r>
      <w:r w:rsidRPr="006D0F4A">
        <w:rPr>
          <w:lang w:val="en-US"/>
        </w:rPr>
        <w:t xml:space="preserve"> administration have been reported commonly.  Allergic reactions have included angioedema and urticaria.  Serious reactions have occurred (see </w:t>
      </w:r>
      <w:r w:rsidR="00751E1F">
        <w:rPr>
          <w:b/>
          <w:lang w:val="en-US"/>
        </w:rPr>
        <w:t xml:space="preserve">Section 4.8 </w:t>
      </w:r>
      <w:r w:rsidR="00751E1F" w:rsidRPr="006D0F4A">
        <w:rPr>
          <w:b/>
          <w:lang w:val="en-US"/>
        </w:rPr>
        <w:t>Adverse Effects (Undesirable Effects)</w:t>
      </w:r>
      <w:r w:rsidRPr="006D0F4A">
        <w:rPr>
          <w:lang w:val="en-US"/>
        </w:rPr>
        <w:t xml:space="preserve">).  If any serious allergic or anaphylactic reaction occurs, </w:t>
      </w:r>
      <w:r w:rsidR="003D1456">
        <w:rPr>
          <w:lang w:val="en-US"/>
        </w:rPr>
        <w:t>Rymti</w:t>
      </w:r>
      <w:r w:rsidRPr="006D0F4A">
        <w:rPr>
          <w:lang w:val="en-US"/>
        </w:rPr>
        <w:t xml:space="preserve"> therapy should be discontinued immediately and appropriate therapy initiated.</w:t>
      </w:r>
    </w:p>
    <w:p w14:paraId="66A18742" w14:textId="77777777" w:rsidR="006D0F4A" w:rsidRPr="006D0F4A" w:rsidRDefault="006D0F4A" w:rsidP="0021426A">
      <w:pPr>
        <w:pStyle w:val="NormalIndent1"/>
        <w:jc w:val="left"/>
        <w:rPr>
          <w:lang w:val="en-US"/>
        </w:rPr>
      </w:pPr>
    </w:p>
    <w:p w14:paraId="5DCEE716" w14:textId="722C29A6" w:rsidR="006D0F4A" w:rsidRPr="00D02A39" w:rsidRDefault="00D02A39" w:rsidP="0021426A">
      <w:pPr>
        <w:pStyle w:val="NormalIndent1"/>
        <w:jc w:val="left"/>
        <w:rPr>
          <w:lang w:val="en-US"/>
        </w:rPr>
      </w:pPr>
      <w:bookmarkStart w:id="3" w:name="_Hlk514847355"/>
      <w:r>
        <w:rPr>
          <w:lang w:val="en-US"/>
        </w:rPr>
        <w:t>T</w:t>
      </w:r>
      <w:r w:rsidRPr="006D0F4A">
        <w:rPr>
          <w:lang w:val="en-US"/>
        </w:rPr>
        <w:t xml:space="preserve">he </w:t>
      </w:r>
      <w:r w:rsidR="006D0F4A" w:rsidRPr="006D0F4A">
        <w:rPr>
          <w:lang w:val="en-US"/>
        </w:rPr>
        <w:t xml:space="preserve">rubber closure </w:t>
      </w:r>
      <w:r>
        <w:rPr>
          <w:lang w:val="en-US"/>
        </w:rPr>
        <w:t xml:space="preserve">and the needle </w:t>
      </w:r>
      <w:r w:rsidR="000212D8">
        <w:rPr>
          <w:lang w:val="en-US"/>
        </w:rPr>
        <w:t>cap</w:t>
      </w:r>
      <w:r>
        <w:rPr>
          <w:lang w:val="en-US"/>
        </w:rPr>
        <w:t xml:space="preserve"> of the </w:t>
      </w:r>
      <w:r w:rsidR="00C73BE7">
        <w:rPr>
          <w:lang w:val="en-US"/>
        </w:rPr>
        <w:t xml:space="preserve">Rymti </w:t>
      </w:r>
      <w:r>
        <w:rPr>
          <w:lang w:val="en-US"/>
        </w:rPr>
        <w:t>pre-filled syringe do not contain any latex (dry natural rubber)</w:t>
      </w:r>
      <w:r w:rsidR="006D0F4A" w:rsidRPr="006D0F4A">
        <w:rPr>
          <w:lang w:val="en-US"/>
        </w:rPr>
        <w:t xml:space="preserve">.  </w:t>
      </w:r>
    </w:p>
    <w:bookmarkEnd w:id="3"/>
    <w:p w14:paraId="65841759" w14:textId="77777777" w:rsidR="00751E1F" w:rsidRDefault="00751E1F" w:rsidP="0021426A">
      <w:pPr>
        <w:pStyle w:val="NormalIndent1"/>
        <w:jc w:val="left"/>
        <w:rPr>
          <w:lang w:val="en-US"/>
        </w:rPr>
      </w:pPr>
    </w:p>
    <w:p w14:paraId="1780A1CD" w14:textId="77777777" w:rsidR="006D0F4A" w:rsidRPr="009E2FBF" w:rsidRDefault="006D0F4A" w:rsidP="0021426A">
      <w:pPr>
        <w:pStyle w:val="Heading4"/>
        <w:jc w:val="left"/>
        <w:rPr>
          <w:lang w:val="en-US"/>
        </w:rPr>
      </w:pPr>
      <w:r w:rsidRPr="009E2FBF">
        <w:rPr>
          <w:lang w:val="en-US"/>
        </w:rPr>
        <w:t xml:space="preserve">Congestive </w:t>
      </w:r>
      <w:r w:rsidR="00751E1F" w:rsidRPr="009E2FBF">
        <w:rPr>
          <w:lang w:val="en-US"/>
        </w:rPr>
        <w:t>Heart Failure</w:t>
      </w:r>
    </w:p>
    <w:p w14:paraId="3CCC019A" w14:textId="77777777" w:rsidR="006D0F4A" w:rsidRPr="006D0F4A" w:rsidRDefault="006D0F4A" w:rsidP="0021426A">
      <w:pPr>
        <w:pStyle w:val="NormalIndent1"/>
        <w:jc w:val="left"/>
        <w:rPr>
          <w:lang w:val="en-US"/>
        </w:rPr>
      </w:pPr>
    </w:p>
    <w:p w14:paraId="79663966" w14:textId="3E2807B7" w:rsidR="006D0F4A" w:rsidRPr="006D0F4A" w:rsidRDefault="006D0F4A" w:rsidP="0021426A">
      <w:pPr>
        <w:pStyle w:val="NormalIndent1"/>
        <w:jc w:val="left"/>
        <w:rPr>
          <w:lang w:val="en-US"/>
        </w:rPr>
      </w:pPr>
      <w:r w:rsidRPr="006D0F4A">
        <w:rPr>
          <w:lang w:val="en-US"/>
        </w:rPr>
        <w:t xml:space="preserve">There have been post-marketing reports of worsening of congestive heart failure (CHF), with and without identifiable precipitating factors, in patients taking </w:t>
      </w:r>
      <w:r w:rsidR="00A828C8">
        <w:rPr>
          <w:lang w:val="en-US"/>
        </w:rPr>
        <w:t>etanercept</w:t>
      </w:r>
      <w:r w:rsidRPr="006D0F4A">
        <w:rPr>
          <w:lang w:val="en-US"/>
        </w:rPr>
        <w:t>.  There have also been rare (&lt;</w:t>
      </w:r>
      <w:r w:rsidR="00751E1F">
        <w:rPr>
          <w:lang w:val="en-US"/>
        </w:rPr>
        <w:t xml:space="preserve"> </w:t>
      </w:r>
      <w:r w:rsidRPr="006D0F4A">
        <w:rPr>
          <w:lang w:val="en-US"/>
        </w:rPr>
        <w:t xml:space="preserve">0.1%) reports of new onset CHF, including CHF in patients without known pre-existing cardiovascular disease.  Some of these patients have been under 50 years of age.  Two large clinical trials evaluating the use of </w:t>
      </w:r>
      <w:r w:rsidR="00A828C8">
        <w:rPr>
          <w:lang w:val="en-US"/>
        </w:rPr>
        <w:t>etanercept</w:t>
      </w:r>
      <w:r w:rsidRPr="006D0F4A">
        <w:rPr>
          <w:lang w:val="en-US"/>
        </w:rPr>
        <w:t xml:space="preserve"> in the treatment of CHF were terminated early due to lack of efficacy.  Although not conclusive, data from one of these trials suggests a possible tendency towards worsening CHF and higher mortality in those patients assigned to </w:t>
      </w:r>
      <w:r w:rsidR="00A828C8">
        <w:rPr>
          <w:lang w:val="en-US"/>
        </w:rPr>
        <w:t>etanercept</w:t>
      </w:r>
      <w:r w:rsidRPr="006D0F4A">
        <w:rPr>
          <w:lang w:val="en-US"/>
        </w:rPr>
        <w:t xml:space="preserve"> treatment. </w:t>
      </w:r>
      <w:r w:rsidR="00751E1F">
        <w:rPr>
          <w:lang w:val="en-US"/>
        </w:rPr>
        <w:t xml:space="preserve"> </w:t>
      </w:r>
      <w:r w:rsidRPr="006D0F4A">
        <w:rPr>
          <w:lang w:val="en-US"/>
        </w:rPr>
        <w:t xml:space="preserve">Physicians should use caution when using </w:t>
      </w:r>
      <w:r w:rsidR="003D1456">
        <w:rPr>
          <w:lang w:val="en-US"/>
        </w:rPr>
        <w:t>Rymti</w:t>
      </w:r>
      <w:r w:rsidRPr="006D0F4A">
        <w:rPr>
          <w:lang w:val="en-US"/>
        </w:rPr>
        <w:t xml:space="preserve"> in patients who also have CHF and monitor patients carefully.</w:t>
      </w:r>
    </w:p>
    <w:p w14:paraId="61B4F0B1" w14:textId="77777777" w:rsidR="006D0F4A" w:rsidRPr="006D0F4A" w:rsidRDefault="006D0F4A" w:rsidP="0021426A">
      <w:pPr>
        <w:pStyle w:val="NormalIndent1"/>
        <w:jc w:val="left"/>
        <w:rPr>
          <w:lang w:val="en-US"/>
        </w:rPr>
      </w:pPr>
    </w:p>
    <w:p w14:paraId="7582B334" w14:textId="77777777" w:rsidR="006D0F4A" w:rsidRPr="00B664B5" w:rsidRDefault="006D0F4A" w:rsidP="0021426A">
      <w:pPr>
        <w:pStyle w:val="Heading3"/>
        <w:jc w:val="left"/>
        <w:rPr>
          <w:b w:val="0"/>
          <w:lang w:val="en-US"/>
        </w:rPr>
      </w:pPr>
      <w:r w:rsidRPr="00B664B5">
        <w:rPr>
          <w:b w:val="0"/>
          <w:lang w:val="en-US"/>
        </w:rPr>
        <w:t xml:space="preserve">Neurological </w:t>
      </w:r>
      <w:r w:rsidR="00751E1F" w:rsidRPr="00B664B5">
        <w:rPr>
          <w:b w:val="0"/>
          <w:lang w:val="en-US"/>
        </w:rPr>
        <w:t>Disorders</w:t>
      </w:r>
    </w:p>
    <w:p w14:paraId="3221CA3A" w14:textId="77777777" w:rsidR="006D0F4A" w:rsidRPr="006D0F4A" w:rsidRDefault="006D0F4A" w:rsidP="0021426A">
      <w:pPr>
        <w:pStyle w:val="NormalIndent1"/>
        <w:jc w:val="left"/>
        <w:rPr>
          <w:lang w:val="en-US"/>
        </w:rPr>
      </w:pPr>
    </w:p>
    <w:p w14:paraId="5557E21E" w14:textId="75E8E494" w:rsidR="006D0F4A" w:rsidRPr="006D0F4A" w:rsidRDefault="006D0F4A" w:rsidP="0021426A">
      <w:pPr>
        <w:pStyle w:val="NormalIndent1"/>
        <w:jc w:val="left"/>
        <w:rPr>
          <w:lang w:val="en-US"/>
        </w:rPr>
      </w:pPr>
      <w:r w:rsidRPr="006D0F4A">
        <w:rPr>
          <w:lang w:val="en-US"/>
        </w:rPr>
        <w:t xml:space="preserve">Although no clinical trials have been performed evaluating </w:t>
      </w:r>
      <w:r w:rsidR="00A828C8">
        <w:rPr>
          <w:lang w:val="en-US"/>
        </w:rPr>
        <w:t>etanercept</w:t>
      </w:r>
      <w:r w:rsidRPr="006D0F4A">
        <w:rPr>
          <w:lang w:val="en-US"/>
        </w:rPr>
        <w:t xml:space="preserve"> therapy in patients with multiple sclerosis, clinical trials of other TNF antagonists in patients with multiple sclerosis have shown increases in disease activity.  Treatment with </w:t>
      </w:r>
      <w:r w:rsidR="00A828C8">
        <w:rPr>
          <w:lang w:val="en-US"/>
        </w:rPr>
        <w:t>etanercept</w:t>
      </w:r>
      <w:r w:rsidRPr="006D0F4A">
        <w:rPr>
          <w:lang w:val="en-US"/>
        </w:rPr>
        <w:t xml:space="preserve"> and other agents that inhibit TNF have been associated with rare cases of new onset or exacerbation of central nervous system demyelinating disorders, some presenting with mental status changes and some associated with permanent disability.  Cases of transverse myelitis, optic neuritis, multiple sclerosis, and new onset or exacerbation of seizure disorders have been observed in association with </w:t>
      </w:r>
      <w:r w:rsidR="00A828C8">
        <w:rPr>
          <w:lang w:val="en-US"/>
        </w:rPr>
        <w:t>etanercept</w:t>
      </w:r>
      <w:r w:rsidRPr="006D0F4A">
        <w:rPr>
          <w:lang w:val="en-US"/>
        </w:rPr>
        <w:t xml:space="preserve"> therapy (see </w:t>
      </w:r>
      <w:r w:rsidR="00751E1F">
        <w:rPr>
          <w:b/>
          <w:lang w:val="en-US"/>
        </w:rPr>
        <w:t xml:space="preserve">Section 4.8 </w:t>
      </w:r>
      <w:r w:rsidR="00751E1F" w:rsidRPr="006D0F4A">
        <w:rPr>
          <w:b/>
          <w:lang w:val="en-US"/>
        </w:rPr>
        <w:t>Adverse Effects (Undesirable Effects)</w:t>
      </w:r>
      <w:r w:rsidRPr="006D0F4A">
        <w:rPr>
          <w:lang w:val="en-US"/>
        </w:rPr>
        <w:t xml:space="preserve">).  Additionally, there have been very rare reports of peripheral demyelinating polyneuropathies (including Guillain-Barre syndrome, chronic inflammatory demyelinating polyneuropathy, demyelinating polyneuropathy, and multifocal motor neuropathy).  A careful risk/benefit evaluation, including a neurological assessment, is recommended when prescribing </w:t>
      </w:r>
      <w:r w:rsidR="003D1456">
        <w:rPr>
          <w:lang w:val="en-US"/>
        </w:rPr>
        <w:t>Rymti</w:t>
      </w:r>
      <w:r w:rsidRPr="006D0F4A">
        <w:rPr>
          <w:lang w:val="en-US"/>
        </w:rPr>
        <w:t xml:space="preserve"> therapy to patients with pre-existing or recent onset of central nervous system (CNS) demyelinating disease, or to those who are considered to have an increased risk of developing demyelinating disease.</w:t>
      </w:r>
    </w:p>
    <w:p w14:paraId="278A8AF1" w14:textId="77777777" w:rsidR="006D0F4A" w:rsidRPr="006D0F4A" w:rsidRDefault="006D0F4A" w:rsidP="0021426A">
      <w:pPr>
        <w:pStyle w:val="NormalIndent1"/>
        <w:jc w:val="left"/>
        <w:rPr>
          <w:lang w:val="en-US"/>
        </w:rPr>
      </w:pPr>
    </w:p>
    <w:p w14:paraId="09010490" w14:textId="77777777" w:rsidR="006D0F4A" w:rsidRPr="00B664B5" w:rsidRDefault="006D0F4A" w:rsidP="0021426A">
      <w:pPr>
        <w:pStyle w:val="Heading3"/>
        <w:jc w:val="left"/>
        <w:rPr>
          <w:b w:val="0"/>
          <w:lang w:val="en-US"/>
        </w:rPr>
      </w:pPr>
      <w:r w:rsidRPr="00B664B5">
        <w:rPr>
          <w:b w:val="0"/>
          <w:lang w:val="en-US"/>
        </w:rPr>
        <w:t xml:space="preserve">Use in </w:t>
      </w:r>
      <w:r w:rsidR="00751E1F" w:rsidRPr="00B664B5">
        <w:rPr>
          <w:b w:val="0"/>
          <w:lang w:val="en-US"/>
        </w:rPr>
        <w:t>Psoriasis</w:t>
      </w:r>
    </w:p>
    <w:p w14:paraId="0718C6F5" w14:textId="77777777" w:rsidR="006D0F4A" w:rsidRPr="006D0F4A" w:rsidRDefault="006D0F4A" w:rsidP="0021426A">
      <w:pPr>
        <w:pStyle w:val="NormalIndent1"/>
        <w:jc w:val="left"/>
        <w:rPr>
          <w:lang w:val="en-US"/>
        </w:rPr>
      </w:pPr>
    </w:p>
    <w:p w14:paraId="5C9552C9" w14:textId="0295E6A0" w:rsidR="006D0F4A" w:rsidRPr="006D0F4A" w:rsidRDefault="006D0F4A" w:rsidP="0021426A">
      <w:pPr>
        <w:pStyle w:val="NormalIndent1"/>
        <w:jc w:val="left"/>
        <w:rPr>
          <w:lang w:val="en-US"/>
        </w:rPr>
      </w:pPr>
      <w:r w:rsidRPr="006D0F4A">
        <w:rPr>
          <w:lang w:val="en-US"/>
        </w:rPr>
        <w:t xml:space="preserve">There are limited data on the use of </w:t>
      </w:r>
      <w:r w:rsidR="00A828C8">
        <w:rPr>
          <w:lang w:val="en-US"/>
        </w:rPr>
        <w:t>etanercept</w:t>
      </w:r>
      <w:r w:rsidRPr="006D0F4A">
        <w:rPr>
          <w:lang w:val="en-US"/>
        </w:rPr>
        <w:t xml:space="preserve"> in combination with methotrexate for the treatment of psoriasis.  The safety and efficacy of this combination in psoriasis have not been established.</w:t>
      </w:r>
    </w:p>
    <w:p w14:paraId="6795C22F" w14:textId="77777777" w:rsidR="006D0F4A" w:rsidRPr="006D0F4A" w:rsidRDefault="006D0F4A" w:rsidP="0021426A">
      <w:pPr>
        <w:pStyle w:val="NormalIndent1"/>
        <w:jc w:val="left"/>
        <w:rPr>
          <w:lang w:val="en-US"/>
        </w:rPr>
      </w:pPr>
    </w:p>
    <w:p w14:paraId="774764C1" w14:textId="32B8F63F" w:rsidR="006D0F4A" w:rsidRPr="006D0F4A" w:rsidRDefault="006D0F4A" w:rsidP="0021426A">
      <w:pPr>
        <w:pStyle w:val="NormalIndent1"/>
        <w:jc w:val="left"/>
        <w:rPr>
          <w:lang w:val="en-US"/>
        </w:rPr>
      </w:pPr>
      <w:r w:rsidRPr="006D0F4A">
        <w:rPr>
          <w:lang w:val="en-US"/>
        </w:rPr>
        <w:t xml:space="preserve">The safety and efficacy of </w:t>
      </w:r>
      <w:r w:rsidR="00A828C8">
        <w:rPr>
          <w:lang w:val="en-US"/>
        </w:rPr>
        <w:t>etanercept</w:t>
      </w:r>
      <w:r w:rsidRPr="006D0F4A">
        <w:rPr>
          <w:lang w:val="en-US"/>
        </w:rPr>
        <w:t xml:space="preserve"> in combination with other immunosuppressive agents used in psoriasis or with phototherapy have not been studied.  </w:t>
      </w:r>
      <w:r w:rsidR="003D1456">
        <w:rPr>
          <w:lang w:val="en-US"/>
        </w:rPr>
        <w:t>Rymti</w:t>
      </w:r>
      <w:r w:rsidRPr="006D0F4A">
        <w:rPr>
          <w:lang w:val="en-US"/>
        </w:rPr>
        <w:t xml:space="preserve"> should not be used in combination with such agents because of the possibility of excessive immunosuppression.</w:t>
      </w:r>
    </w:p>
    <w:p w14:paraId="08F13E99" w14:textId="77777777" w:rsidR="006D0F4A" w:rsidRPr="006D0F4A" w:rsidRDefault="006D0F4A" w:rsidP="0021426A">
      <w:pPr>
        <w:pStyle w:val="NormalIndent1"/>
        <w:jc w:val="left"/>
        <w:rPr>
          <w:lang w:val="en-US"/>
        </w:rPr>
      </w:pPr>
    </w:p>
    <w:p w14:paraId="29FB1813" w14:textId="77777777" w:rsidR="006D0F4A" w:rsidRPr="00B664B5" w:rsidRDefault="006D0F4A" w:rsidP="0021426A">
      <w:pPr>
        <w:pStyle w:val="Heading3"/>
        <w:jc w:val="left"/>
        <w:rPr>
          <w:b w:val="0"/>
          <w:lang w:val="en-US"/>
        </w:rPr>
      </w:pPr>
      <w:r w:rsidRPr="00B664B5">
        <w:rPr>
          <w:b w:val="0"/>
          <w:lang w:val="en-US"/>
        </w:rPr>
        <w:t>Monitoring</w:t>
      </w:r>
    </w:p>
    <w:p w14:paraId="20D755FD" w14:textId="77777777" w:rsidR="006D0F4A" w:rsidRPr="006D0F4A" w:rsidRDefault="006D0F4A" w:rsidP="0021426A">
      <w:pPr>
        <w:pStyle w:val="NormalIndent1"/>
        <w:jc w:val="left"/>
        <w:rPr>
          <w:lang w:val="en-US"/>
        </w:rPr>
      </w:pPr>
    </w:p>
    <w:p w14:paraId="000A9086" w14:textId="5E6D91FE" w:rsidR="006D0F4A" w:rsidRDefault="006D0F4A" w:rsidP="0021426A">
      <w:pPr>
        <w:pStyle w:val="NormalIndent1"/>
        <w:jc w:val="left"/>
        <w:rPr>
          <w:lang w:val="en-US"/>
        </w:rPr>
      </w:pPr>
      <w:r w:rsidRPr="006D0F4A">
        <w:rPr>
          <w:lang w:val="en-US"/>
        </w:rPr>
        <w:t>Based on the results of clinical studies in rheumatoid arthritis, normally no special laboratory evaluations are necessary in addition to careful medical management and supervision of patients.</w:t>
      </w:r>
    </w:p>
    <w:p w14:paraId="2C86B66F" w14:textId="47118F26" w:rsidR="009E2FBF" w:rsidRDefault="009E2FBF" w:rsidP="0021426A">
      <w:pPr>
        <w:pStyle w:val="NormalIndent1"/>
        <w:jc w:val="left"/>
        <w:rPr>
          <w:lang w:val="en-US"/>
        </w:rPr>
      </w:pPr>
    </w:p>
    <w:p w14:paraId="07AD81F2" w14:textId="25910D43" w:rsidR="009E2FBF" w:rsidRPr="009E2FBF" w:rsidRDefault="009E2FBF" w:rsidP="0021426A">
      <w:pPr>
        <w:pStyle w:val="Heading3"/>
        <w:jc w:val="left"/>
        <w:rPr>
          <w:b w:val="0"/>
          <w:lang w:val="en-US"/>
        </w:rPr>
      </w:pPr>
      <w:r w:rsidRPr="009E2FBF">
        <w:rPr>
          <w:b w:val="0"/>
          <w:lang w:val="en-US"/>
        </w:rPr>
        <w:t>Malignancies</w:t>
      </w:r>
    </w:p>
    <w:p w14:paraId="3E597142" w14:textId="085AD3A9" w:rsidR="009E2FBF" w:rsidRDefault="009E2FBF" w:rsidP="0021426A">
      <w:pPr>
        <w:pStyle w:val="NormalIndent1"/>
        <w:jc w:val="left"/>
        <w:rPr>
          <w:lang w:val="en-US"/>
        </w:rPr>
      </w:pPr>
    </w:p>
    <w:p w14:paraId="283DE712" w14:textId="77777777" w:rsidR="009E2FBF" w:rsidRPr="00483C2F" w:rsidRDefault="009E2FBF" w:rsidP="0021426A">
      <w:pPr>
        <w:pStyle w:val="Heading4"/>
        <w:jc w:val="left"/>
        <w:rPr>
          <w:i/>
          <w:iCs/>
          <w:lang w:val="en-US"/>
        </w:rPr>
      </w:pPr>
      <w:r w:rsidRPr="00483C2F">
        <w:rPr>
          <w:i/>
          <w:iCs/>
          <w:lang w:val="en-US"/>
        </w:rPr>
        <w:t>Lymphomas</w:t>
      </w:r>
    </w:p>
    <w:p w14:paraId="69D6719B" w14:textId="77777777" w:rsidR="009E2FBF" w:rsidRPr="0043042E" w:rsidRDefault="009E2FBF" w:rsidP="0021426A">
      <w:pPr>
        <w:pStyle w:val="NormalIndent1"/>
        <w:jc w:val="left"/>
        <w:rPr>
          <w:lang w:val="en-US"/>
        </w:rPr>
      </w:pPr>
    </w:p>
    <w:p w14:paraId="62D13FDE" w14:textId="77777777" w:rsidR="009E2FBF" w:rsidRPr="0043042E" w:rsidRDefault="009E2FBF" w:rsidP="0021426A">
      <w:pPr>
        <w:pStyle w:val="NormalIndent1"/>
        <w:jc w:val="left"/>
        <w:rPr>
          <w:lang w:val="en-US"/>
        </w:rPr>
      </w:pPr>
      <w:r w:rsidRPr="0043042E">
        <w:rPr>
          <w:lang w:val="en-US"/>
        </w:rPr>
        <w:t xml:space="preserve">TNF modulates immune responses and has a protective effect against the development of some </w:t>
      </w:r>
      <w:proofErr w:type="spellStart"/>
      <w:r w:rsidRPr="0043042E">
        <w:rPr>
          <w:lang w:val="en-US"/>
        </w:rPr>
        <w:t>tumours</w:t>
      </w:r>
      <w:proofErr w:type="spellEnd"/>
      <w:r w:rsidRPr="0043042E">
        <w:rPr>
          <w:lang w:val="en-US"/>
        </w:rPr>
        <w:t xml:space="preserve">.  The impact of treatment with </w:t>
      </w:r>
      <w:r>
        <w:rPr>
          <w:lang w:val="en-US"/>
        </w:rPr>
        <w:t>etanercept</w:t>
      </w:r>
      <w:r w:rsidRPr="0043042E">
        <w:rPr>
          <w:lang w:val="en-US"/>
        </w:rPr>
        <w:t>, on the course of development of malignancies, including those caused by immunosuppressive agents, is not understood and has not been studied.</w:t>
      </w:r>
      <w:r>
        <w:rPr>
          <w:lang w:val="en-US"/>
        </w:rPr>
        <w:t xml:space="preserve"> </w:t>
      </w:r>
      <w:r w:rsidRPr="0043042E">
        <w:rPr>
          <w:lang w:val="en-US"/>
        </w:rPr>
        <w:t xml:space="preserve"> The possibility exists for anti-</w:t>
      </w:r>
      <w:proofErr w:type="spellStart"/>
      <w:r w:rsidRPr="0043042E">
        <w:rPr>
          <w:lang w:val="en-US"/>
        </w:rPr>
        <w:t>tumour</w:t>
      </w:r>
      <w:proofErr w:type="spellEnd"/>
      <w:r w:rsidRPr="0043042E">
        <w:rPr>
          <w:lang w:val="en-US"/>
        </w:rPr>
        <w:t xml:space="preserve"> necrosis factor (TNF) therapies, including </w:t>
      </w:r>
      <w:r>
        <w:rPr>
          <w:lang w:val="en-US"/>
        </w:rPr>
        <w:t>etanercept</w:t>
      </w:r>
      <w:r w:rsidRPr="0043042E">
        <w:rPr>
          <w:lang w:val="en-US"/>
        </w:rPr>
        <w:t xml:space="preserve">, to affect host </w:t>
      </w:r>
      <w:proofErr w:type="spellStart"/>
      <w:r w:rsidRPr="0043042E">
        <w:rPr>
          <w:lang w:val="en-US"/>
        </w:rPr>
        <w:t>defences</w:t>
      </w:r>
      <w:proofErr w:type="spellEnd"/>
      <w:r w:rsidRPr="0043042E">
        <w:rPr>
          <w:lang w:val="en-US"/>
        </w:rPr>
        <w:t xml:space="preserve"> against infections and malignancies since TNF mediates inflammation and modulates cellular immune responses.  The impact of treatment with </w:t>
      </w:r>
      <w:r>
        <w:rPr>
          <w:lang w:val="en-US"/>
        </w:rPr>
        <w:t>etanercept</w:t>
      </w:r>
      <w:r w:rsidRPr="0043042E">
        <w:rPr>
          <w:lang w:val="en-US"/>
        </w:rPr>
        <w:t xml:space="preserve"> on the development and course of malignancies and active and/or chronic infections is not fully understood (see </w:t>
      </w:r>
      <w:r>
        <w:rPr>
          <w:b/>
          <w:lang w:val="en-US"/>
        </w:rPr>
        <w:t xml:space="preserve">Section 4.8 </w:t>
      </w:r>
      <w:r w:rsidRPr="006D0F4A">
        <w:rPr>
          <w:b/>
          <w:lang w:val="en-US"/>
        </w:rPr>
        <w:t>Adverse Effects (Undesirable Effects)</w:t>
      </w:r>
      <w:r w:rsidRPr="0043042E">
        <w:rPr>
          <w:lang w:val="en-US"/>
        </w:rPr>
        <w:t>).  Reports of malignancies affecting various sites have been received in the post- marketing period including breast and lung carcinoma and lymphoma.</w:t>
      </w:r>
    </w:p>
    <w:p w14:paraId="108C0B75" w14:textId="77777777" w:rsidR="009E2FBF" w:rsidRPr="0043042E" w:rsidRDefault="009E2FBF" w:rsidP="0021426A">
      <w:pPr>
        <w:pStyle w:val="NormalIndent1"/>
        <w:jc w:val="left"/>
        <w:rPr>
          <w:lang w:val="en-US"/>
        </w:rPr>
      </w:pPr>
    </w:p>
    <w:p w14:paraId="67A038E1" w14:textId="77777777" w:rsidR="009E2FBF" w:rsidRPr="0043042E" w:rsidRDefault="009E2FBF" w:rsidP="0021426A">
      <w:pPr>
        <w:pStyle w:val="NormalIndent1"/>
        <w:jc w:val="left"/>
        <w:rPr>
          <w:lang w:val="en-US"/>
        </w:rPr>
      </w:pPr>
      <w:r w:rsidRPr="0043042E">
        <w:rPr>
          <w:lang w:val="en-US"/>
        </w:rPr>
        <w:t xml:space="preserve">In the controlled portions of clinical trials of all the TNF blocking agents, more cases of lymphoma have been observed among patients receiving the TNF blocker compared to control patients. </w:t>
      </w:r>
      <w:r>
        <w:rPr>
          <w:lang w:val="en-US"/>
        </w:rPr>
        <w:t xml:space="preserve"> </w:t>
      </w:r>
      <w:r w:rsidRPr="0043042E">
        <w:rPr>
          <w:lang w:val="en-US"/>
        </w:rPr>
        <w:t xml:space="preserve">During the controlled portions of </w:t>
      </w:r>
      <w:r>
        <w:rPr>
          <w:lang w:val="en-US"/>
        </w:rPr>
        <w:t>etanercept</w:t>
      </w:r>
      <w:r w:rsidRPr="0043042E">
        <w:rPr>
          <w:lang w:val="en-US"/>
        </w:rPr>
        <w:t xml:space="preserve"> trials, 3 lymphomas were observed among</w:t>
      </w:r>
      <w:r>
        <w:rPr>
          <w:lang w:val="en-US"/>
        </w:rPr>
        <w:t xml:space="preserve"> </w:t>
      </w:r>
      <w:r w:rsidRPr="0043042E">
        <w:rPr>
          <w:lang w:val="en-US"/>
        </w:rPr>
        <w:t xml:space="preserve">4,509 </w:t>
      </w:r>
      <w:r>
        <w:rPr>
          <w:lang w:val="en-US"/>
        </w:rPr>
        <w:t>etanercept</w:t>
      </w:r>
      <w:r w:rsidRPr="0043042E">
        <w:rPr>
          <w:lang w:val="en-US"/>
        </w:rPr>
        <w:t>-treated patients versus 0 among 2,040 control patients (duration of controlled treatment ranged from 3 to 24 months).</w:t>
      </w:r>
    </w:p>
    <w:p w14:paraId="08B3047B" w14:textId="77777777" w:rsidR="009E2FBF" w:rsidRPr="0043042E" w:rsidRDefault="009E2FBF" w:rsidP="0021426A">
      <w:pPr>
        <w:pStyle w:val="NormalIndent1"/>
        <w:jc w:val="left"/>
        <w:rPr>
          <w:lang w:val="en-US"/>
        </w:rPr>
      </w:pPr>
    </w:p>
    <w:p w14:paraId="56BF9602" w14:textId="77777777" w:rsidR="009E2FBF" w:rsidRPr="0043042E" w:rsidRDefault="009E2FBF" w:rsidP="0021426A">
      <w:pPr>
        <w:pStyle w:val="NormalIndent1"/>
        <w:jc w:val="left"/>
        <w:rPr>
          <w:lang w:val="en-US"/>
        </w:rPr>
      </w:pPr>
      <w:r w:rsidRPr="0043042E">
        <w:rPr>
          <w:lang w:val="en-US"/>
        </w:rPr>
        <w:t xml:space="preserve">Among 6,543 adult rheumatology (RA, </w:t>
      </w:r>
      <w:proofErr w:type="spellStart"/>
      <w:r w:rsidRPr="0043042E">
        <w:rPr>
          <w:lang w:val="en-US"/>
        </w:rPr>
        <w:t>PsA</w:t>
      </w:r>
      <w:proofErr w:type="spellEnd"/>
      <w:r w:rsidRPr="0043042E">
        <w:rPr>
          <w:lang w:val="en-US"/>
        </w:rPr>
        <w:t xml:space="preserve">, AS) patients treated with </w:t>
      </w:r>
      <w:r>
        <w:rPr>
          <w:lang w:val="en-US"/>
        </w:rPr>
        <w:t>etanercept</w:t>
      </w:r>
      <w:r w:rsidRPr="0043042E">
        <w:rPr>
          <w:lang w:val="en-US"/>
        </w:rPr>
        <w:t xml:space="preserve"> in controlled and uncontrolled portions of clinical trials, representing approximately 12,845 patient-years of therapy, the observed rate of lymphoma was 0.10 cases per 100 patient-years.  This was 3-fold higher than the rate of lymphoma expected in the general U.S. population based on the Surveillance, Epidemiology, and End Results (SEER) Database.  While patients with rheumatoid arthritis or psoriasis, particularly those with highly active disease, may be at a higher risk (up to several fold) for the development of lymphoma, a possible risk for the development of lymphomas or other malignancies in patients treated with a TNF-antagonist cannot be excluded.</w:t>
      </w:r>
    </w:p>
    <w:p w14:paraId="0EEAB4D4" w14:textId="77777777" w:rsidR="009E2FBF" w:rsidRPr="0043042E" w:rsidRDefault="009E2FBF" w:rsidP="0021426A">
      <w:pPr>
        <w:pStyle w:val="NormalIndent1"/>
        <w:jc w:val="left"/>
        <w:rPr>
          <w:lang w:val="en-US"/>
        </w:rPr>
      </w:pPr>
    </w:p>
    <w:p w14:paraId="5D27E448" w14:textId="77777777" w:rsidR="009E2FBF" w:rsidRPr="0043042E" w:rsidRDefault="009E2FBF" w:rsidP="0021426A">
      <w:pPr>
        <w:pStyle w:val="NormalIndent1"/>
        <w:jc w:val="left"/>
        <w:rPr>
          <w:lang w:val="en-US"/>
        </w:rPr>
      </w:pPr>
      <w:r w:rsidRPr="0043042E">
        <w:rPr>
          <w:lang w:val="en-US"/>
        </w:rPr>
        <w:t xml:space="preserve">Among 4,410 adult </w:t>
      </w:r>
      <w:proofErr w:type="spellStart"/>
      <w:r w:rsidRPr="0043042E">
        <w:rPr>
          <w:lang w:val="en-US"/>
        </w:rPr>
        <w:t>PsO</w:t>
      </w:r>
      <w:proofErr w:type="spellEnd"/>
      <w:r w:rsidRPr="0043042E">
        <w:rPr>
          <w:lang w:val="en-US"/>
        </w:rPr>
        <w:t xml:space="preserve"> patients treated with </w:t>
      </w:r>
      <w:r>
        <w:rPr>
          <w:lang w:val="en-US"/>
        </w:rPr>
        <w:t>etanercept</w:t>
      </w:r>
      <w:r w:rsidRPr="0043042E">
        <w:rPr>
          <w:lang w:val="en-US"/>
        </w:rPr>
        <w:t xml:space="preserve"> in clinical trials up to 36 months, representing approximately 4,278 patient-years of therapy, the observed rate of lymphoma was 0.05 cases per 100 patient-years, which is comparable to the rate in the general population.  No cases were observed in </w:t>
      </w:r>
      <w:r>
        <w:rPr>
          <w:lang w:val="en-US"/>
        </w:rPr>
        <w:t>etanercept</w:t>
      </w:r>
      <w:r w:rsidRPr="0043042E">
        <w:rPr>
          <w:lang w:val="en-US"/>
        </w:rPr>
        <w:t>- or placebo-treated patients during the controlled portions of these trials.</w:t>
      </w:r>
    </w:p>
    <w:p w14:paraId="1F76B657" w14:textId="2B9B6964" w:rsidR="009E2FBF" w:rsidRDefault="009E2FBF" w:rsidP="0021426A">
      <w:pPr>
        <w:pStyle w:val="NormalIndent1"/>
        <w:jc w:val="left"/>
        <w:rPr>
          <w:lang w:val="en-US"/>
        </w:rPr>
      </w:pPr>
    </w:p>
    <w:p w14:paraId="6630D5C8" w14:textId="77777777" w:rsidR="00AA1E39" w:rsidRPr="00483C2F" w:rsidRDefault="00AA1E39" w:rsidP="0021426A">
      <w:pPr>
        <w:pStyle w:val="Heading4"/>
        <w:jc w:val="left"/>
        <w:rPr>
          <w:i/>
          <w:iCs/>
          <w:lang w:val="en-US"/>
        </w:rPr>
      </w:pPr>
      <w:r w:rsidRPr="00483C2F">
        <w:rPr>
          <w:i/>
          <w:iCs/>
          <w:lang w:val="en-US"/>
        </w:rPr>
        <w:t>Leukaemia</w:t>
      </w:r>
    </w:p>
    <w:p w14:paraId="7A865596" w14:textId="77777777" w:rsidR="00AA1E39" w:rsidRPr="0043042E" w:rsidRDefault="00AA1E39" w:rsidP="0021426A">
      <w:pPr>
        <w:pStyle w:val="NormalIndent1"/>
        <w:jc w:val="left"/>
        <w:rPr>
          <w:lang w:val="en-US"/>
        </w:rPr>
      </w:pPr>
    </w:p>
    <w:p w14:paraId="0E8E45F8" w14:textId="77777777" w:rsidR="00AA1E39" w:rsidRPr="0043042E" w:rsidRDefault="00AA1E39" w:rsidP="0021426A">
      <w:pPr>
        <w:pStyle w:val="NormalIndent1"/>
        <w:jc w:val="left"/>
        <w:rPr>
          <w:lang w:val="en-US"/>
        </w:rPr>
      </w:pPr>
      <w:r w:rsidRPr="0043042E">
        <w:rPr>
          <w:lang w:val="en-US"/>
        </w:rPr>
        <w:t>Cases of acute and chronic leukaemia have been reported in association with post-marketing TNF blocker use in rheumatoid arthritis and other indications.  Even in the absence of TNF blocker therapy, patients with rheumatoid arthritis may be at higher risk (approximately 2-fold) than the general population for the development of leukaemia.</w:t>
      </w:r>
    </w:p>
    <w:p w14:paraId="031EF2EB" w14:textId="77777777" w:rsidR="00AA1E39" w:rsidRPr="0043042E" w:rsidRDefault="00AA1E39" w:rsidP="0021426A">
      <w:pPr>
        <w:pStyle w:val="NormalIndent1"/>
        <w:jc w:val="left"/>
        <w:rPr>
          <w:lang w:val="en-US"/>
        </w:rPr>
      </w:pPr>
    </w:p>
    <w:p w14:paraId="5559E136" w14:textId="77777777" w:rsidR="00AA1E39" w:rsidRPr="0043042E" w:rsidRDefault="00AA1E39" w:rsidP="0021426A">
      <w:pPr>
        <w:pStyle w:val="NormalIndent1"/>
        <w:jc w:val="left"/>
        <w:rPr>
          <w:lang w:val="en-US"/>
        </w:rPr>
      </w:pPr>
      <w:r w:rsidRPr="0043042E">
        <w:rPr>
          <w:lang w:val="en-US"/>
        </w:rPr>
        <w:t xml:space="preserve">During the controlled portions of </w:t>
      </w:r>
      <w:r>
        <w:rPr>
          <w:lang w:val="en-US"/>
        </w:rPr>
        <w:t>etanercept</w:t>
      </w:r>
      <w:r w:rsidRPr="0043042E">
        <w:rPr>
          <w:lang w:val="en-US"/>
        </w:rPr>
        <w:t xml:space="preserve"> trials, 2 cases of leukaemia were observed among 5,445 (0.06 cases per 100 patient-years) </w:t>
      </w:r>
      <w:r>
        <w:rPr>
          <w:lang w:val="en-US"/>
        </w:rPr>
        <w:t>etanercept</w:t>
      </w:r>
      <w:r w:rsidRPr="0043042E">
        <w:rPr>
          <w:lang w:val="en-US"/>
        </w:rPr>
        <w:t>-treated patients versus 0 among 2,890 control patients (duration of controlled treatment ranged from 3 to 48 months).</w:t>
      </w:r>
    </w:p>
    <w:p w14:paraId="49CA3737" w14:textId="77777777" w:rsidR="00AA1E39" w:rsidRPr="0043042E" w:rsidRDefault="00AA1E39" w:rsidP="0021426A">
      <w:pPr>
        <w:pStyle w:val="NormalIndent1"/>
        <w:jc w:val="left"/>
        <w:rPr>
          <w:lang w:val="en-US"/>
        </w:rPr>
      </w:pPr>
      <w:r w:rsidRPr="0043042E">
        <w:rPr>
          <w:lang w:val="en-US"/>
        </w:rPr>
        <w:t xml:space="preserve">Among 15,401 patients treated with </w:t>
      </w:r>
      <w:r>
        <w:rPr>
          <w:lang w:val="en-US"/>
        </w:rPr>
        <w:t>etanercept</w:t>
      </w:r>
      <w:r w:rsidRPr="0043042E">
        <w:rPr>
          <w:lang w:val="en-US"/>
        </w:rPr>
        <w:t xml:space="preserve"> in controlled and open portions of clinical trials representing approximately 23,325 patient-years of therapy, the observed rate of leukaemia was</w:t>
      </w:r>
      <w:r>
        <w:rPr>
          <w:lang w:val="en-US"/>
        </w:rPr>
        <w:t xml:space="preserve"> </w:t>
      </w:r>
      <w:r w:rsidRPr="0043042E">
        <w:rPr>
          <w:lang w:val="en-US"/>
        </w:rPr>
        <w:t>0.03 cases per 100 patient-years.</w:t>
      </w:r>
    </w:p>
    <w:p w14:paraId="6DB515AA" w14:textId="77777777" w:rsidR="00AA1E39" w:rsidRPr="0043042E" w:rsidRDefault="00AA1E39" w:rsidP="0021426A">
      <w:pPr>
        <w:pStyle w:val="NormalIndent1"/>
        <w:jc w:val="left"/>
        <w:rPr>
          <w:lang w:val="en-US"/>
        </w:rPr>
      </w:pPr>
    </w:p>
    <w:p w14:paraId="570D0F0C" w14:textId="77777777" w:rsidR="00AA1E39" w:rsidRPr="00483C2F" w:rsidRDefault="00AA1E39" w:rsidP="0021426A">
      <w:pPr>
        <w:pStyle w:val="Heading4"/>
        <w:jc w:val="left"/>
        <w:rPr>
          <w:i/>
          <w:iCs/>
          <w:lang w:val="en-US"/>
        </w:rPr>
      </w:pPr>
      <w:r w:rsidRPr="00483C2F">
        <w:rPr>
          <w:i/>
          <w:iCs/>
          <w:lang w:val="en-US"/>
        </w:rPr>
        <w:t>Other Malignancies</w:t>
      </w:r>
    </w:p>
    <w:p w14:paraId="2B07159A" w14:textId="77777777" w:rsidR="00AA1E39" w:rsidRPr="0043042E" w:rsidRDefault="00AA1E39" w:rsidP="0021426A">
      <w:pPr>
        <w:pStyle w:val="NormalIndent1"/>
        <w:jc w:val="left"/>
        <w:rPr>
          <w:lang w:val="en-US"/>
        </w:rPr>
      </w:pPr>
    </w:p>
    <w:p w14:paraId="49D49168" w14:textId="77777777" w:rsidR="00AA1E39" w:rsidRPr="0043042E" w:rsidRDefault="00AA1E39" w:rsidP="0021426A">
      <w:pPr>
        <w:pStyle w:val="NormalIndent1"/>
        <w:jc w:val="left"/>
        <w:rPr>
          <w:lang w:val="en-US"/>
        </w:rPr>
      </w:pPr>
      <w:r w:rsidRPr="0043042E">
        <w:rPr>
          <w:lang w:val="en-US"/>
        </w:rPr>
        <w:t xml:space="preserve">Information is available from 10,953 adult patients with 17,123 patient-years and 696 </w:t>
      </w:r>
      <w:proofErr w:type="spellStart"/>
      <w:r w:rsidRPr="0043042E">
        <w:rPr>
          <w:lang w:val="en-US"/>
        </w:rPr>
        <w:t>paediatric</w:t>
      </w:r>
      <w:proofErr w:type="spellEnd"/>
      <w:r w:rsidRPr="0043042E">
        <w:rPr>
          <w:lang w:val="en-US"/>
        </w:rPr>
        <w:t xml:space="preserve"> patients with 1,282 patient-years of experience across 45 </w:t>
      </w:r>
      <w:r>
        <w:rPr>
          <w:lang w:val="en-US"/>
        </w:rPr>
        <w:t>etanercept</w:t>
      </w:r>
      <w:r w:rsidRPr="0043042E">
        <w:rPr>
          <w:lang w:val="en-US"/>
        </w:rPr>
        <w:t xml:space="preserve"> clinical studies.</w:t>
      </w:r>
    </w:p>
    <w:p w14:paraId="7ADB2229" w14:textId="77777777" w:rsidR="00AA1E39" w:rsidRPr="0043042E" w:rsidRDefault="00AA1E39" w:rsidP="0021426A">
      <w:pPr>
        <w:pStyle w:val="NormalIndent1"/>
        <w:jc w:val="left"/>
        <w:rPr>
          <w:lang w:val="en-US"/>
        </w:rPr>
      </w:pPr>
    </w:p>
    <w:p w14:paraId="43BA87DD" w14:textId="77777777" w:rsidR="00AA1E39" w:rsidRPr="0043042E" w:rsidRDefault="00AA1E39" w:rsidP="0021426A">
      <w:pPr>
        <w:pStyle w:val="NormalIndent1"/>
        <w:jc w:val="left"/>
        <w:rPr>
          <w:lang w:val="en-US"/>
        </w:rPr>
      </w:pPr>
      <w:r w:rsidRPr="0043042E">
        <w:rPr>
          <w:lang w:val="en-US"/>
        </w:rPr>
        <w:t xml:space="preserve">For malignancies other than lymphoma and non-melanoma skin cancer, there was no difference in exposure adjusted rates between the </w:t>
      </w:r>
      <w:r>
        <w:rPr>
          <w:lang w:val="en-US"/>
        </w:rPr>
        <w:t>etanercept</w:t>
      </w:r>
      <w:r w:rsidRPr="0043042E">
        <w:rPr>
          <w:lang w:val="en-US"/>
        </w:rPr>
        <w:t xml:space="preserve"> and control arms in the controlled portions of clinical studies for all indications. </w:t>
      </w:r>
      <w:r>
        <w:rPr>
          <w:lang w:val="en-US"/>
        </w:rPr>
        <w:t xml:space="preserve"> </w:t>
      </w:r>
      <w:r w:rsidRPr="0043042E">
        <w:rPr>
          <w:lang w:val="en-US"/>
        </w:rPr>
        <w:t xml:space="preserve">Analysis of the malignancy rate in combined controlled and uncontrolled portions of studies has demonstrated that types and rates are similar to what is expected in the general U.S. population based on the SEER database and suggests no increase in rates over time. </w:t>
      </w:r>
      <w:r>
        <w:rPr>
          <w:lang w:val="en-US"/>
        </w:rPr>
        <w:t xml:space="preserve"> </w:t>
      </w:r>
      <w:r w:rsidRPr="0043042E">
        <w:rPr>
          <w:lang w:val="en-US"/>
        </w:rPr>
        <w:t xml:space="preserve">Whether treatment with </w:t>
      </w:r>
      <w:r>
        <w:rPr>
          <w:lang w:val="en-US"/>
        </w:rPr>
        <w:t>etanercept</w:t>
      </w:r>
      <w:r w:rsidRPr="0043042E">
        <w:rPr>
          <w:lang w:val="en-US"/>
        </w:rPr>
        <w:t xml:space="preserve"> might influence the development and course of malignancies in adults is unknown.</w:t>
      </w:r>
    </w:p>
    <w:p w14:paraId="65FB049F" w14:textId="77777777" w:rsidR="00AA1E39" w:rsidRPr="0043042E" w:rsidRDefault="00AA1E39" w:rsidP="0021426A">
      <w:pPr>
        <w:pStyle w:val="NormalIndent1"/>
        <w:jc w:val="left"/>
        <w:rPr>
          <w:lang w:val="en-US"/>
        </w:rPr>
      </w:pPr>
    </w:p>
    <w:p w14:paraId="69ED31B5" w14:textId="77777777" w:rsidR="00AA1E39" w:rsidRPr="00483C2F" w:rsidRDefault="00AA1E39" w:rsidP="0021426A">
      <w:pPr>
        <w:pStyle w:val="Heading4"/>
        <w:jc w:val="left"/>
        <w:rPr>
          <w:i/>
          <w:iCs/>
          <w:lang w:val="en-US"/>
        </w:rPr>
      </w:pPr>
      <w:r w:rsidRPr="00483C2F">
        <w:rPr>
          <w:i/>
          <w:iCs/>
          <w:lang w:val="en-US"/>
        </w:rPr>
        <w:t>Wegener's Granulomatosis</w:t>
      </w:r>
    </w:p>
    <w:p w14:paraId="4B98E6D0" w14:textId="77777777" w:rsidR="00AA1E39" w:rsidRDefault="00AA1E39" w:rsidP="0021426A">
      <w:pPr>
        <w:pStyle w:val="NormalIndent1"/>
        <w:jc w:val="left"/>
        <w:rPr>
          <w:lang w:val="en-US"/>
        </w:rPr>
      </w:pPr>
    </w:p>
    <w:p w14:paraId="43DB8F48" w14:textId="77777777" w:rsidR="00AA1E39" w:rsidRPr="0043042E" w:rsidRDefault="00AA1E39" w:rsidP="0021426A">
      <w:pPr>
        <w:pStyle w:val="NormalIndent1"/>
        <w:jc w:val="left"/>
        <w:rPr>
          <w:lang w:val="en-US"/>
        </w:rPr>
      </w:pPr>
      <w:r w:rsidRPr="0043042E">
        <w:rPr>
          <w:lang w:val="en-US"/>
        </w:rPr>
        <w:t xml:space="preserve">In a placebo-controlled study of 180 patients with Wegener's granulomatosis, the addition of </w:t>
      </w:r>
      <w:r>
        <w:rPr>
          <w:lang w:val="en-US"/>
        </w:rPr>
        <w:t>etanercept</w:t>
      </w:r>
      <w:r w:rsidRPr="0043042E">
        <w:rPr>
          <w:lang w:val="en-US"/>
        </w:rPr>
        <w:t xml:space="preserve"> to standard treatment (including cyclophosphamide and high-dose steroids) was no more efficacious than standard treatment alone.  The group of patients who received </w:t>
      </w:r>
      <w:r>
        <w:rPr>
          <w:lang w:val="en-US"/>
        </w:rPr>
        <w:t>etanercept</w:t>
      </w:r>
      <w:r w:rsidRPr="0043042E">
        <w:rPr>
          <w:lang w:val="en-US"/>
        </w:rPr>
        <w:t xml:space="preserve"> experienced more non-cutaneous malignancies of various types than the patient group receiving standard treatment alone.  The use of </w:t>
      </w:r>
      <w:r>
        <w:rPr>
          <w:lang w:val="en-US"/>
        </w:rPr>
        <w:t>etanercept</w:t>
      </w:r>
      <w:r w:rsidRPr="0043042E">
        <w:rPr>
          <w:lang w:val="en-US"/>
        </w:rPr>
        <w:t xml:space="preserve"> for treatment of Wegener's granulomatosis is not recommended.</w:t>
      </w:r>
    </w:p>
    <w:p w14:paraId="59148F34" w14:textId="77777777" w:rsidR="00AA1E39" w:rsidRPr="0043042E" w:rsidRDefault="00AA1E39" w:rsidP="0021426A">
      <w:pPr>
        <w:pStyle w:val="NormalIndent1"/>
        <w:jc w:val="left"/>
        <w:rPr>
          <w:lang w:val="en-US"/>
        </w:rPr>
      </w:pPr>
    </w:p>
    <w:p w14:paraId="04C693C3" w14:textId="77777777" w:rsidR="00AA1E39" w:rsidRPr="00483C2F" w:rsidRDefault="00AA1E39" w:rsidP="0021426A">
      <w:pPr>
        <w:pStyle w:val="Heading4"/>
        <w:jc w:val="left"/>
        <w:rPr>
          <w:i/>
          <w:iCs/>
          <w:lang w:val="en-US"/>
        </w:rPr>
      </w:pPr>
      <w:r w:rsidRPr="00483C2F">
        <w:rPr>
          <w:i/>
          <w:iCs/>
          <w:lang w:val="en-US"/>
        </w:rPr>
        <w:t>Melanoma and Non-Melanoma Skin Cancer</w:t>
      </w:r>
    </w:p>
    <w:p w14:paraId="511F5976" w14:textId="77777777" w:rsidR="00AA1E39" w:rsidRPr="0043042E" w:rsidRDefault="00AA1E39" w:rsidP="0021426A">
      <w:pPr>
        <w:pStyle w:val="NormalIndent1"/>
        <w:jc w:val="left"/>
        <w:rPr>
          <w:lang w:val="en-US"/>
        </w:rPr>
      </w:pPr>
    </w:p>
    <w:p w14:paraId="3AB7D17E" w14:textId="77777777" w:rsidR="00AA1E39" w:rsidRPr="0043042E" w:rsidRDefault="00AA1E39" w:rsidP="0021426A">
      <w:pPr>
        <w:pStyle w:val="NormalIndent1"/>
        <w:jc w:val="left"/>
        <w:rPr>
          <w:lang w:val="en-US"/>
        </w:rPr>
      </w:pPr>
      <w:r w:rsidRPr="0043042E">
        <w:rPr>
          <w:lang w:val="en-US"/>
        </w:rPr>
        <w:t xml:space="preserve">Melanoma and non-melanoma skin cancer (NMSC) have been reported in patients treated with TNF-antagonists including </w:t>
      </w:r>
      <w:r>
        <w:rPr>
          <w:lang w:val="en-US"/>
        </w:rPr>
        <w:t>etanercept</w:t>
      </w:r>
      <w:r w:rsidRPr="0043042E">
        <w:rPr>
          <w:lang w:val="en-US"/>
        </w:rPr>
        <w:t xml:space="preserve">.  Postmarketing cases of Merkel cell carcinoma have been reported very infrequently in patients treated with </w:t>
      </w:r>
      <w:r>
        <w:rPr>
          <w:lang w:val="en-US"/>
        </w:rPr>
        <w:t>etanercept</w:t>
      </w:r>
      <w:r w:rsidRPr="0043042E">
        <w:rPr>
          <w:lang w:val="en-US"/>
        </w:rPr>
        <w:t xml:space="preserve">.  Periodic skin examination is recommended for all patients who are at increased risk for skin cancer.  Combining the results of controlled portions of clinical trials of </w:t>
      </w:r>
      <w:r>
        <w:rPr>
          <w:lang w:val="en-US"/>
        </w:rPr>
        <w:t>etanercept</w:t>
      </w:r>
      <w:r w:rsidRPr="0043042E">
        <w:rPr>
          <w:lang w:val="en-US"/>
        </w:rPr>
        <w:t xml:space="preserve">, more cases of non-melanoma skin cancer were observed in patients taking </w:t>
      </w:r>
      <w:r>
        <w:rPr>
          <w:lang w:val="en-US"/>
        </w:rPr>
        <w:t>etanercept</w:t>
      </w:r>
      <w:r w:rsidRPr="0043042E">
        <w:rPr>
          <w:lang w:val="en-US"/>
        </w:rPr>
        <w:t xml:space="preserve"> compared with control patients, particularly in patients with psoriasis.  Long-term animal studies have not been conducted to evaluate the carcinogenic potential of </w:t>
      </w:r>
      <w:r>
        <w:rPr>
          <w:lang w:val="en-US"/>
        </w:rPr>
        <w:t>etanercept</w:t>
      </w:r>
      <w:r w:rsidRPr="0043042E">
        <w:rPr>
          <w:lang w:val="en-US"/>
        </w:rPr>
        <w:t>.</w:t>
      </w:r>
    </w:p>
    <w:p w14:paraId="38ECAF82" w14:textId="77777777" w:rsidR="00AA1E39" w:rsidRPr="0043042E" w:rsidRDefault="00AA1E39" w:rsidP="0021426A">
      <w:pPr>
        <w:pStyle w:val="NormalIndent1"/>
        <w:jc w:val="left"/>
        <w:rPr>
          <w:lang w:val="en-US"/>
        </w:rPr>
      </w:pPr>
    </w:p>
    <w:p w14:paraId="6B15D4CF" w14:textId="77777777" w:rsidR="00AA1E39" w:rsidRPr="0043042E" w:rsidRDefault="00AA1E39" w:rsidP="0021426A">
      <w:pPr>
        <w:pStyle w:val="NormalIndent1"/>
        <w:jc w:val="left"/>
        <w:rPr>
          <w:lang w:val="en-US"/>
        </w:rPr>
      </w:pPr>
      <w:r w:rsidRPr="0043042E">
        <w:rPr>
          <w:lang w:val="en-US"/>
        </w:rPr>
        <w:t xml:space="preserve">Among 3,306 adult rheumatology (RA, </w:t>
      </w:r>
      <w:proofErr w:type="spellStart"/>
      <w:r w:rsidRPr="0043042E">
        <w:rPr>
          <w:lang w:val="en-US"/>
        </w:rPr>
        <w:t>PsA</w:t>
      </w:r>
      <w:proofErr w:type="spellEnd"/>
      <w:r w:rsidRPr="0043042E">
        <w:rPr>
          <w:lang w:val="en-US"/>
        </w:rPr>
        <w:t xml:space="preserve">, AS) patients treated with </w:t>
      </w:r>
      <w:r>
        <w:rPr>
          <w:lang w:val="en-US"/>
        </w:rPr>
        <w:t>etanercept</w:t>
      </w:r>
      <w:r w:rsidRPr="0043042E">
        <w:rPr>
          <w:lang w:val="en-US"/>
        </w:rPr>
        <w:t xml:space="preserve"> in controlled clinical trials representing approximately 2,669 patient-years of therapy, the observed rate of NMSC was 0.41 cases per 100 patient-years vs 0.37 cases per 100 patient-years among 1,521 control-treated patients representing 1,077 patient-years. </w:t>
      </w:r>
      <w:r>
        <w:rPr>
          <w:lang w:val="en-US"/>
        </w:rPr>
        <w:t xml:space="preserve"> </w:t>
      </w:r>
      <w:r w:rsidRPr="0043042E">
        <w:rPr>
          <w:lang w:val="en-US"/>
        </w:rPr>
        <w:t xml:space="preserve">Among 1,245 adult psoriasis patients treated with </w:t>
      </w:r>
      <w:r>
        <w:rPr>
          <w:lang w:val="en-US"/>
        </w:rPr>
        <w:t>etanercept</w:t>
      </w:r>
      <w:r w:rsidRPr="0043042E">
        <w:rPr>
          <w:lang w:val="en-US"/>
        </w:rPr>
        <w:t xml:space="preserve"> in controlled clinical trials, representing approximately 283 patient-years of therapy, the observed rate of NMSC was 3.54 cases per 100 patient-years vs 1.28 cases per 100 patient-years among 720 control-treated patients representing 156 patient-years.</w:t>
      </w:r>
    </w:p>
    <w:p w14:paraId="3F91E716" w14:textId="77777777" w:rsidR="00AA1E39" w:rsidRPr="0043042E" w:rsidRDefault="00AA1E39" w:rsidP="0021426A">
      <w:pPr>
        <w:pStyle w:val="NormalIndent1"/>
        <w:jc w:val="left"/>
        <w:rPr>
          <w:lang w:val="en-US"/>
        </w:rPr>
      </w:pPr>
    </w:p>
    <w:p w14:paraId="5B5B0165" w14:textId="77777777" w:rsidR="00AA1E39" w:rsidRPr="0043042E" w:rsidRDefault="00AA1E39" w:rsidP="0021426A">
      <w:pPr>
        <w:pStyle w:val="NormalIndent1"/>
        <w:jc w:val="left"/>
        <w:rPr>
          <w:lang w:val="en-US"/>
        </w:rPr>
      </w:pPr>
      <w:r w:rsidRPr="0043042E">
        <w:rPr>
          <w:lang w:val="en-US"/>
        </w:rPr>
        <w:t xml:space="preserve">Among 15,401 patients treated with </w:t>
      </w:r>
      <w:r>
        <w:rPr>
          <w:lang w:val="en-US"/>
        </w:rPr>
        <w:t>etanercept</w:t>
      </w:r>
      <w:r w:rsidRPr="0043042E">
        <w:rPr>
          <w:lang w:val="en-US"/>
        </w:rPr>
        <w:t xml:space="preserve"> in controlled and open portions of clinical trials representing approximately 23,325 patient-years of therapy, the observed rate of melanoma was</w:t>
      </w:r>
      <w:r>
        <w:rPr>
          <w:lang w:val="en-US"/>
        </w:rPr>
        <w:t xml:space="preserve"> </w:t>
      </w:r>
      <w:r w:rsidRPr="0043042E">
        <w:rPr>
          <w:lang w:val="en-US"/>
        </w:rPr>
        <w:t>0.043 cases per 100 patient-years.</w:t>
      </w:r>
    </w:p>
    <w:p w14:paraId="30570E57" w14:textId="77777777" w:rsidR="006D0F4A" w:rsidRPr="006D0F4A" w:rsidRDefault="006D0F4A" w:rsidP="0021426A">
      <w:pPr>
        <w:pStyle w:val="NormalIndent1"/>
        <w:jc w:val="left"/>
        <w:rPr>
          <w:lang w:val="en-US"/>
        </w:rPr>
      </w:pPr>
    </w:p>
    <w:p w14:paraId="16CDF926" w14:textId="77777777" w:rsidR="006D0F4A" w:rsidRPr="00B664B5" w:rsidRDefault="006D0F4A" w:rsidP="0021426A">
      <w:pPr>
        <w:pStyle w:val="Heading3"/>
        <w:jc w:val="left"/>
        <w:rPr>
          <w:b w:val="0"/>
          <w:lang w:val="en-US"/>
        </w:rPr>
      </w:pPr>
      <w:r w:rsidRPr="00B664B5">
        <w:rPr>
          <w:b w:val="0"/>
          <w:lang w:val="en-US"/>
        </w:rPr>
        <w:t>Immunosuppression</w:t>
      </w:r>
    </w:p>
    <w:p w14:paraId="76DBEA3D" w14:textId="77777777" w:rsidR="006D0F4A" w:rsidRPr="006D0F4A" w:rsidRDefault="006D0F4A" w:rsidP="0021426A">
      <w:pPr>
        <w:pStyle w:val="NormalIndent1"/>
        <w:jc w:val="left"/>
        <w:rPr>
          <w:lang w:val="en-US"/>
        </w:rPr>
      </w:pPr>
    </w:p>
    <w:p w14:paraId="6DB61247" w14:textId="4C232DFE" w:rsidR="006D0F4A" w:rsidRPr="006D0F4A" w:rsidRDefault="006D0F4A" w:rsidP="0021426A">
      <w:pPr>
        <w:pStyle w:val="NormalIndent1"/>
        <w:jc w:val="left"/>
        <w:rPr>
          <w:lang w:val="en-US"/>
        </w:rPr>
      </w:pPr>
      <w:r w:rsidRPr="006D0F4A">
        <w:rPr>
          <w:lang w:val="en-US"/>
        </w:rPr>
        <w:t xml:space="preserve">In a study of 49 patients with RA treated with </w:t>
      </w:r>
      <w:r w:rsidR="00A828C8">
        <w:rPr>
          <w:lang w:val="en-US"/>
        </w:rPr>
        <w:t>etanercept</w:t>
      </w:r>
      <w:r w:rsidRPr="006D0F4A">
        <w:rPr>
          <w:lang w:val="en-US"/>
        </w:rPr>
        <w:t xml:space="preserve">, there was no evidence of depression of delayed-type hypersensitivity, depression of immunoglobulin levels, or change in enumeration of effector cell populations.  The safety and efficacy of </w:t>
      </w:r>
      <w:r w:rsidR="00A828C8">
        <w:rPr>
          <w:lang w:val="en-US"/>
        </w:rPr>
        <w:t>etanercept</w:t>
      </w:r>
      <w:r w:rsidRPr="006D0F4A">
        <w:rPr>
          <w:lang w:val="en-US"/>
        </w:rPr>
        <w:t>, in patients with immunosuppression or chronic infections have not been evaluated.</w:t>
      </w:r>
    </w:p>
    <w:p w14:paraId="72DA5A23" w14:textId="77777777" w:rsidR="006D0F4A" w:rsidRPr="00B664B5" w:rsidRDefault="006D0F4A" w:rsidP="0021426A">
      <w:pPr>
        <w:pStyle w:val="Heading3"/>
        <w:jc w:val="left"/>
        <w:rPr>
          <w:b w:val="0"/>
          <w:lang w:val="en-US"/>
        </w:rPr>
      </w:pPr>
      <w:r w:rsidRPr="00B664B5">
        <w:rPr>
          <w:b w:val="0"/>
          <w:lang w:val="en-US"/>
        </w:rPr>
        <w:t>Vaccinations</w:t>
      </w:r>
    </w:p>
    <w:p w14:paraId="3DC0F6E9" w14:textId="77777777" w:rsidR="006D0F4A" w:rsidRPr="006D0F4A" w:rsidRDefault="006D0F4A" w:rsidP="0021426A">
      <w:pPr>
        <w:pStyle w:val="NormalIndent1"/>
        <w:jc w:val="left"/>
        <w:rPr>
          <w:lang w:val="en-US"/>
        </w:rPr>
      </w:pPr>
    </w:p>
    <w:p w14:paraId="2ECD2EC6" w14:textId="376BBF48" w:rsidR="006D0F4A" w:rsidRPr="00EA1B35" w:rsidRDefault="006D0F4A" w:rsidP="0021426A">
      <w:pPr>
        <w:pStyle w:val="NormalIndent1"/>
        <w:jc w:val="left"/>
        <w:rPr>
          <w:lang w:val="en-US"/>
        </w:rPr>
      </w:pPr>
      <w:r w:rsidRPr="00EA1B35">
        <w:rPr>
          <w:lang w:val="en-US"/>
        </w:rPr>
        <w:t xml:space="preserve">Most psoriatic patients receiving </w:t>
      </w:r>
      <w:r w:rsidR="00A828C8" w:rsidRPr="00EA1B35">
        <w:rPr>
          <w:lang w:val="en-US"/>
        </w:rPr>
        <w:t>etanercept</w:t>
      </w:r>
      <w:r w:rsidRPr="00EA1B35">
        <w:rPr>
          <w:lang w:val="en-US"/>
        </w:rPr>
        <w:t xml:space="preserve"> were able to mount an effective B-cell immune response to pneumococcal polysaccharide vaccine, but </w:t>
      </w:r>
      <w:proofErr w:type="spellStart"/>
      <w:r w:rsidR="002862B2" w:rsidRPr="00EA1B35">
        <w:rPr>
          <w:lang w:val="en-US"/>
        </w:rPr>
        <w:t>titres</w:t>
      </w:r>
      <w:proofErr w:type="spellEnd"/>
      <w:r w:rsidR="002862B2" w:rsidRPr="00EA1B35">
        <w:rPr>
          <w:lang w:val="en-US"/>
        </w:rPr>
        <w:t xml:space="preserve"> </w:t>
      </w:r>
      <w:r w:rsidRPr="00EA1B35">
        <w:rPr>
          <w:lang w:val="en-US"/>
        </w:rPr>
        <w:t xml:space="preserve">in aggregate were moderately lower and fewer patients had two-fold rises in </w:t>
      </w:r>
      <w:proofErr w:type="spellStart"/>
      <w:r w:rsidR="00F561C9" w:rsidRPr="00EA1B35">
        <w:rPr>
          <w:lang w:val="en-US"/>
        </w:rPr>
        <w:t>titres</w:t>
      </w:r>
      <w:proofErr w:type="spellEnd"/>
      <w:r w:rsidR="00F561C9" w:rsidRPr="00EA1B35">
        <w:rPr>
          <w:lang w:val="en-US"/>
        </w:rPr>
        <w:t xml:space="preserve"> </w:t>
      </w:r>
      <w:r w:rsidRPr="00EA1B35">
        <w:rPr>
          <w:lang w:val="en-US"/>
        </w:rPr>
        <w:t xml:space="preserve">compared to patients not receiving </w:t>
      </w:r>
      <w:r w:rsidR="00A828C8" w:rsidRPr="00EA1B35">
        <w:rPr>
          <w:lang w:val="en-US"/>
        </w:rPr>
        <w:t>etanercept</w:t>
      </w:r>
      <w:r w:rsidRPr="00EA1B35">
        <w:rPr>
          <w:lang w:val="en-US"/>
        </w:rPr>
        <w:t xml:space="preserve">.  Live vaccines should not be given concurrently with </w:t>
      </w:r>
      <w:r w:rsidR="003D1456" w:rsidRPr="00EA1B35">
        <w:rPr>
          <w:lang w:val="en-US"/>
        </w:rPr>
        <w:t>Rymti</w:t>
      </w:r>
      <w:r w:rsidRPr="00EA1B35">
        <w:rPr>
          <w:lang w:val="en-US"/>
        </w:rPr>
        <w:t xml:space="preserve"> (see </w:t>
      </w:r>
      <w:r w:rsidR="00751E1F" w:rsidRPr="00EA1B35">
        <w:rPr>
          <w:b/>
          <w:lang w:val="en-US"/>
        </w:rPr>
        <w:t xml:space="preserve">Section 4.5 </w:t>
      </w:r>
      <w:r w:rsidR="00751E1F" w:rsidRPr="00EA1B35">
        <w:rPr>
          <w:b/>
        </w:rPr>
        <w:t>Interactions with Other Medicines and Other Forms of Interactions</w:t>
      </w:r>
      <w:r w:rsidRPr="00EA1B35">
        <w:rPr>
          <w:lang w:val="en-US"/>
        </w:rPr>
        <w:t xml:space="preserve">).  No data are available on the secondary transmission of infection by live vaccines in patients receiving </w:t>
      </w:r>
      <w:r w:rsidR="00A828C8" w:rsidRPr="00EA1B35">
        <w:rPr>
          <w:lang w:val="en-US"/>
        </w:rPr>
        <w:t>etanercept</w:t>
      </w:r>
      <w:r w:rsidRPr="00EA1B35">
        <w:rPr>
          <w:lang w:val="en-US"/>
        </w:rPr>
        <w:t xml:space="preserve">.  Patients with a significant exposure to varicella virus should temporarily discontinue </w:t>
      </w:r>
      <w:r w:rsidR="003D1456" w:rsidRPr="00EA1B35">
        <w:rPr>
          <w:lang w:val="en-US"/>
        </w:rPr>
        <w:t>Rymti</w:t>
      </w:r>
      <w:r w:rsidRPr="00EA1B35">
        <w:rPr>
          <w:lang w:val="en-US"/>
        </w:rPr>
        <w:t xml:space="preserve"> therapy and be considered for prophylactic treatment with varicella zoster immune globulin.</w:t>
      </w:r>
    </w:p>
    <w:p w14:paraId="52FA024D" w14:textId="6599D02E" w:rsidR="00882590" w:rsidRPr="00EA1B35" w:rsidRDefault="00882590" w:rsidP="0021426A">
      <w:pPr>
        <w:pStyle w:val="NormalIndent1"/>
        <w:jc w:val="left"/>
        <w:rPr>
          <w:lang w:val="en-US"/>
        </w:rPr>
      </w:pPr>
      <w:r w:rsidRPr="00EA1B35">
        <w:rPr>
          <w:lang w:val="en-US"/>
        </w:rPr>
        <w:t xml:space="preserve">If possible, </w:t>
      </w:r>
      <w:proofErr w:type="spellStart"/>
      <w:r w:rsidRPr="00EA1B35">
        <w:rPr>
          <w:lang w:val="en-US"/>
        </w:rPr>
        <w:t>paediatric</w:t>
      </w:r>
      <w:proofErr w:type="spellEnd"/>
      <w:r w:rsidRPr="00EA1B35">
        <w:rPr>
          <w:lang w:val="en-US"/>
        </w:rPr>
        <w:t xml:space="preserve"> patients </w:t>
      </w:r>
      <w:r w:rsidR="00D02A39" w:rsidRPr="00EA1B35">
        <w:rPr>
          <w:lang w:val="en-US"/>
        </w:rPr>
        <w:t xml:space="preserve">should be brought </w:t>
      </w:r>
      <w:r w:rsidRPr="00EA1B35">
        <w:rPr>
          <w:lang w:val="en-US"/>
        </w:rPr>
        <w:t xml:space="preserve">up to date with all </w:t>
      </w:r>
      <w:proofErr w:type="spellStart"/>
      <w:r w:rsidRPr="00EA1B35">
        <w:rPr>
          <w:lang w:val="en-US"/>
        </w:rPr>
        <w:t>immunisations</w:t>
      </w:r>
      <w:proofErr w:type="spellEnd"/>
      <w:r w:rsidRPr="00EA1B35">
        <w:rPr>
          <w:lang w:val="en-US"/>
        </w:rPr>
        <w:t xml:space="preserve"> (including varicella) in agreement with current </w:t>
      </w:r>
      <w:proofErr w:type="spellStart"/>
      <w:r w:rsidRPr="00EA1B35">
        <w:rPr>
          <w:lang w:val="en-US"/>
        </w:rPr>
        <w:t>immunisation</w:t>
      </w:r>
      <w:proofErr w:type="spellEnd"/>
      <w:r w:rsidRPr="00EA1B35">
        <w:rPr>
          <w:lang w:val="en-US"/>
        </w:rPr>
        <w:t xml:space="preserve"> guidelines prior to initiating </w:t>
      </w:r>
      <w:r w:rsidR="003D1456" w:rsidRPr="00EA1B35">
        <w:rPr>
          <w:lang w:val="en-US"/>
        </w:rPr>
        <w:t>Rymti</w:t>
      </w:r>
      <w:r w:rsidRPr="00EA1B35">
        <w:rPr>
          <w:lang w:val="en-US"/>
        </w:rPr>
        <w:t xml:space="preserve"> therapy.  </w:t>
      </w:r>
    </w:p>
    <w:p w14:paraId="5C372946" w14:textId="77777777" w:rsidR="00882590" w:rsidRPr="006D0F4A" w:rsidRDefault="00882590" w:rsidP="0021426A">
      <w:pPr>
        <w:pStyle w:val="NormalIndent1"/>
        <w:jc w:val="left"/>
        <w:rPr>
          <w:lang w:val="en-US"/>
        </w:rPr>
      </w:pPr>
    </w:p>
    <w:p w14:paraId="4B375272" w14:textId="77777777" w:rsidR="006D0F4A" w:rsidRPr="00B664B5" w:rsidRDefault="006D0F4A" w:rsidP="0021426A">
      <w:pPr>
        <w:pStyle w:val="Heading3"/>
        <w:jc w:val="left"/>
        <w:rPr>
          <w:b w:val="0"/>
          <w:lang w:val="en-US"/>
        </w:rPr>
      </w:pPr>
      <w:r w:rsidRPr="00B664B5">
        <w:rPr>
          <w:b w:val="0"/>
          <w:lang w:val="en-US"/>
        </w:rPr>
        <w:t xml:space="preserve">Autoantibody </w:t>
      </w:r>
      <w:r w:rsidR="00751E1F" w:rsidRPr="00B664B5">
        <w:rPr>
          <w:b w:val="0"/>
          <w:lang w:val="en-US"/>
        </w:rPr>
        <w:t>Formation</w:t>
      </w:r>
    </w:p>
    <w:p w14:paraId="2462CE76" w14:textId="77777777" w:rsidR="006D0F4A" w:rsidRPr="006D0F4A" w:rsidRDefault="006D0F4A" w:rsidP="0021426A">
      <w:pPr>
        <w:pStyle w:val="NormalIndent1"/>
        <w:jc w:val="left"/>
        <w:rPr>
          <w:lang w:val="en-US"/>
        </w:rPr>
      </w:pPr>
    </w:p>
    <w:p w14:paraId="7D973FAF" w14:textId="49936F7A" w:rsidR="006D0F4A" w:rsidRDefault="006D0F4A" w:rsidP="0021426A">
      <w:pPr>
        <w:pStyle w:val="NormalIndent1"/>
        <w:jc w:val="left"/>
        <w:rPr>
          <w:lang w:val="en-US"/>
        </w:rPr>
      </w:pPr>
      <w:r w:rsidRPr="006D0F4A">
        <w:rPr>
          <w:lang w:val="en-US"/>
        </w:rPr>
        <w:t xml:space="preserve">Treatment with </w:t>
      </w:r>
      <w:r w:rsidR="003D1456">
        <w:rPr>
          <w:lang w:val="en-US"/>
        </w:rPr>
        <w:t>Rymti</w:t>
      </w:r>
      <w:r w:rsidRPr="006D0F4A">
        <w:rPr>
          <w:lang w:val="en-US"/>
        </w:rPr>
        <w:t xml:space="preserve"> may result in the formation of autoimmune antibodies (see </w:t>
      </w:r>
      <w:r w:rsidR="00751E1F">
        <w:rPr>
          <w:b/>
          <w:lang w:val="en-US"/>
        </w:rPr>
        <w:t xml:space="preserve">Section 4.8 </w:t>
      </w:r>
      <w:r w:rsidR="00751E1F" w:rsidRPr="006D0F4A">
        <w:rPr>
          <w:b/>
          <w:lang w:val="en-US"/>
        </w:rPr>
        <w:t>Adverse Effects (Undesirable Effects)</w:t>
      </w:r>
      <w:r w:rsidRPr="006D0F4A">
        <w:rPr>
          <w:lang w:val="en-US"/>
        </w:rPr>
        <w:t>).  Rare reports have been described in clinical trials and post-marketing experience of</w:t>
      </w:r>
      <w:r>
        <w:rPr>
          <w:lang w:val="en-US"/>
        </w:rPr>
        <w:t xml:space="preserve"> </w:t>
      </w:r>
      <w:r w:rsidRPr="006D0F4A">
        <w:rPr>
          <w:lang w:val="en-US"/>
        </w:rPr>
        <w:t>autoimmune hepatitis, a lupus-like syndrome or rashes compatible with subacute cutaneous lupus or discoid lupus.  If a patient develops symptoms and findings suggestive of autoimmune hepatitis or a lupus-like syndrome, treatment should be discontinued and the patient carefully evaluated.</w:t>
      </w:r>
    </w:p>
    <w:p w14:paraId="2E730CF8" w14:textId="77777777" w:rsidR="006D0F4A" w:rsidRPr="006D0F4A" w:rsidRDefault="006D0F4A" w:rsidP="0021426A">
      <w:pPr>
        <w:pStyle w:val="NormalIndent1"/>
        <w:jc w:val="left"/>
        <w:rPr>
          <w:lang w:val="en-US"/>
        </w:rPr>
      </w:pPr>
    </w:p>
    <w:p w14:paraId="0EC54B42" w14:textId="77777777" w:rsidR="001A3992" w:rsidRPr="007C4C71" w:rsidRDefault="001A3992" w:rsidP="0021426A">
      <w:pPr>
        <w:pStyle w:val="Heading3"/>
        <w:jc w:val="left"/>
      </w:pPr>
      <w:r w:rsidRPr="007C4C71">
        <w:t xml:space="preserve">Use in the </w:t>
      </w:r>
      <w:r w:rsidR="00F70019" w:rsidRPr="007C4C71">
        <w:t>Elderly</w:t>
      </w:r>
    </w:p>
    <w:p w14:paraId="41E4C931" w14:textId="77777777" w:rsidR="00F70019" w:rsidRPr="00F70019" w:rsidRDefault="00F70019" w:rsidP="0021426A">
      <w:pPr>
        <w:pStyle w:val="NormalIndent1"/>
        <w:jc w:val="left"/>
      </w:pPr>
    </w:p>
    <w:p w14:paraId="010728B5" w14:textId="38288412" w:rsidR="00F70019" w:rsidRDefault="00B664B5" w:rsidP="0021426A">
      <w:pPr>
        <w:pStyle w:val="NormalIndent1"/>
        <w:jc w:val="left"/>
      </w:pPr>
      <w:r w:rsidRPr="00B664B5">
        <w:rPr>
          <w:lang w:val="en-US"/>
        </w:rPr>
        <w:t xml:space="preserve">A total of 480 RA patients aged 65 years or older have been studied in clinical trials.  In </w:t>
      </w:r>
      <w:proofErr w:type="spellStart"/>
      <w:r w:rsidRPr="00B664B5">
        <w:rPr>
          <w:lang w:val="en-US"/>
        </w:rPr>
        <w:t>PsO</w:t>
      </w:r>
      <w:proofErr w:type="spellEnd"/>
      <w:r w:rsidRPr="00B664B5">
        <w:rPr>
          <w:lang w:val="en-US"/>
        </w:rPr>
        <w:t xml:space="preserve"> </w:t>
      </w:r>
      <w:proofErr w:type="spellStart"/>
      <w:r w:rsidRPr="00B664B5">
        <w:rPr>
          <w:lang w:val="en-US"/>
        </w:rPr>
        <w:t>randomised</w:t>
      </w:r>
      <w:proofErr w:type="spellEnd"/>
      <w:r w:rsidRPr="00B664B5">
        <w:rPr>
          <w:lang w:val="en-US"/>
        </w:rPr>
        <w:t xml:space="preserve"> clinical trials, a total of 138 out of 1,965 patients treated with </w:t>
      </w:r>
      <w:r w:rsidR="00A828C8">
        <w:rPr>
          <w:lang w:val="en-US"/>
        </w:rPr>
        <w:t>etanercept</w:t>
      </w:r>
      <w:r w:rsidRPr="00B664B5">
        <w:rPr>
          <w:lang w:val="en-US"/>
        </w:rPr>
        <w:t xml:space="preserve"> or placebo were age 65 or older.  No overall differences in safety or effectiveness were observed between these patients and younger patients, but the number of geriatric </w:t>
      </w:r>
      <w:proofErr w:type="spellStart"/>
      <w:r w:rsidRPr="00B664B5">
        <w:rPr>
          <w:lang w:val="en-US"/>
        </w:rPr>
        <w:t>PsO</w:t>
      </w:r>
      <w:proofErr w:type="spellEnd"/>
      <w:r w:rsidRPr="00B664B5">
        <w:rPr>
          <w:lang w:val="en-US"/>
        </w:rPr>
        <w:t xml:space="preserve"> patients is too small to determine whether they respond differently from younger patients.  The clinical trial in non-radiographic axial spondyloarthritis did not include patients aged 50 years or older.  Greater sensitivity of some older individuals cannot be ruled out.  Because there is a higher incidence of infections in the elderly population in general, caution should be used in treating the elderly.</w:t>
      </w:r>
    </w:p>
    <w:p w14:paraId="0AB15B4F" w14:textId="77777777" w:rsidR="008B6D98" w:rsidRDefault="008B6D98" w:rsidP="0021426A">
      <w:pPr>
        <w:pStyle w:val="NormalIndent1"/>
        <w:jc w:val="left"/>
      </w:pPr>
    </w:p>
    <w:p w14:paraId="510897FA" w14:textId="77777777" w:rsidR="001A3992" w:rsidRPr="007C4C71" w:rsidRDefault="001A3992" w:rsidP="0021426A">
      <w:pPr>
        <w:pStyle w:val="Heading3"/>
        <w:jc w:val="left"/>
      </w:pPr>
      <w:r w:rsidRPr="007C4C71">
        <w:t xml:space="preserve">Paediatric </w:t>
      </w:r>
      <w:r w:rsidR="00F70019" w:rsidRPr="007C4C71">
        <w:t>Use</w:t>
      </w:r>
    </w:p>
    <w:p w14:paraId="51BB3297" w14:textId="77777777" w:rsidR="00F70019" w:rsidRPr="00F70019" w:rsidRDefault="00F70019" w:rsidP="0021426A">
      <w:pPr>
        <w:pStyle w:val="NormalIndent1"/>
        <w:jc w:val="left"/>
      </w:pPr>
    </w:p>
    <w:p w14:paraId="1590A812" w14:textId="055F7DD6" w:rsidR="00B664B5" w:rsidRPr="00EA1B35" w:rsidRDefault="00A828C8" w:rsidP="0021426A">
      <w:pPr>
        <w:pStyle w:val="NormalIndent1"/>
        <w:jc w:val="left"/>
        <w:rPr>
          <w:lang w:val="en-US"/>
        </w:rPr>
      </w:pPr>
      <w:r w:rsidRPr="00EA1B35">
        <w:rPr>
          <w:lang w:val="en-US"/>
        </w:rPr>
        <w:t>Etanercept</w:t>
      </w:r>
      <w:r w:rsidR="00B664B5" w:rsidRPr="00EA1B35">
        <w:rPr>
          <w:lang w:val="en-US"/>
        </w:rPr>
        <w:t xml:space="preserve"> has not been studied in children less than 2 years of age.</w:t>
      </w:r>
    </w:p>
    <w:p w14:paraId="0FD0ABE5" w14:textId="05B2D397" w:rsidR="00667193" w:rsidRPr="00EA1B35" w:rsidRDefault="00667193" w:rsidP="0021426A">
      <w:pPr>
        <w:pStyle w:val="NormalIndent1"/>
        <w:jc w:val="left"/>
        <w:rPr>
          <w:lang w:val="en-US"/>
        </w:rPr>
      </w:pPr>
    </w:p>
    <w:p w14:paraId="2D2AE450" w14:textId="5683EEFC" w:rsidR="00667193" w:rsidRPr="00EA1B35" w:rsidRDefault="003D1456" w:rsidP="0021426A">
      <w:pPr>
        <w:pStyle w:val="NormalIndent1"/>
        <w:ind w:left="426"/>
        <w:jc w:val="left"/>
        <w:rPr>
          <w:lang w:val="en-US"/>
        </w:rPr>
      </w:pPr>
      <w:r w:rsidRPr="00EA1B35">
        <w:rPr>
          <w:lang w:val="en-US"/>
        </w:rPr>
        <w:t>Rymti</w:t>
      </w:r>
      <w:r w:rsidR="00667193" w:rsidRPr="00EA1B35">
        <w:rPr>
          <w:lang w:val="en-US"/>
        </w:rPr>
        <w:t xml:space="preserve"> is only available as 25 mg pre-filled syringe</w:t>
      </w:r>
      <w:r w:rsidR="00BF7A3C" w:rsidRPr="00EA1B35">
        <w:rPr>
          <w:lang w:val="en-US"/>
        </w:rPr>
        <w:t xml:space="preserve"> and</w:t>
      </w:r>
      <w:r w:rsidR="00667193" w:rsidRPr="00EA1B35">
        <w:rPr>
          <w:lang w:val="en-US"/>
        </w:rPr>
        <w:t xml:space="preserve"> 50 mg pre-filled syringe.</w:t>
      </w:r>
    </w:p>
    <w:p w14:paraId="1E741928" w14:textId="77777777" w:rsidR="004D28A6" w:rsidRPr="00EA1B35" w:rsidRDefault="004D28A6" w:rsidP="0021426A">
      <w:pPr>
        <w:pStyle w:val="NormalIndent1"/>
        <w:ind w:left="426"/>
        <w:jc w:val="left"/>
        <w:rPr>
          <w:lang w:val="en-US"/>
        </w:rPr>
      </w:pPr>
    </w:p>
    <w:p w14:paraId="6185AA4D" w14:textId="731516DD" w:rsidR="00667193" w:rsidRPr="000C0B82" w:rsidRDefault="00721140" w:rsidP="0021426A">
      <w:pPr>
        <w:pStyle w:val="NormalIndent1"/>
        <w:jc w:val="left"/>
        <w:rPr>
          <w:lang w:val="en-US"/>
        </w:rPr>
      </w:pPr>
      <w:r w:rsidRPr="00EA1B35">
        <w:rPr>
          <w:lang w:val="en-US"/>
        </w:rPr>
        <w:t>Rymti should only be limited to use in children and adolescents weighing 62.5 kg</w:t>
      </w:r>
      <w:r w:rsidR="00813788" w:rsidRPr="00EA1B35">
        <w:rPr>
          <w:lang w:val="en-US"/>
        </w:rPr>
        <w:t xml:space="preserve"> or more</w:t>
      </w:r>
      <w:r w:rsidRPr="00EA1B35">
        <w:rPr>
          <w:lang w:val="en-US"/>
        </w:rPr>
        <w:t xml:space="preserve">. Children and adolescents weighing less than 62.5 kg should not receive Rymti. These patients should be accurately dosed on a mg/kg basis with other etanercept products </w:t>
      </w:r>
      <w:r w:rsidRPr="000C0B82">
        <w:rPr>
          <w:lang w:val="en-US"/>
        </w:rPr>
        <w:t xml:space="preserve">(see </w:t>
      </w:r>
      <w:r w:rsidRPr="00EA1B35">
        <w:rPr>
          <w:b/>
          <w:bCs/>
          <w:lang w:val="en-US"/>
        </w:rPr>
        <w:t xml:space="preserve">Section 4.1 </w:t>
      </w:r>
      <w:r w:rsidRPr="000C0B82">
        <w:rPr>
          <w:b/>
          <w:bCs/>
          <w:lang w:val="en-US"/>
        </w:rPr>
        <w:t>Indications</w:t>
      </w:r>
      <w:r w:rsidRPr="000C0B82">
        <w:rPr>
          <w:lang w:val="en-US"/>
        </w:rPr>
        <w:t xml:space="preserve"> and </w:t>
      </w:r>
      <w:r w:rsidRPr="000C0B82">
        <w:rPr>
          <w:b/>
          <w:bCs/>
          <w:lang w:val="en-US"/>
        </w:rPr>
        <w:t>4.2 Dose and Method of Administration</w:t>
      </w:r>
      <w:r w:rsidRPr="000C0B82">
        <w:rPr>
          <w:lang w:val="en-US"/>
        </w:rPr>
        <w:t>)</w:t>
      </w:r>
      <w:r w:rsidRPr="00EA1B35">
        <w:rPr>
          <w:lang w:val="en-US"/>
        </w:rPr>
        <w:t>.</w:t>
      </w:r>
    </w:p>
    <w:p w14:paraId="4B2BE3B6" w14:textId="4A20C015" w:rsidR="00B664B5" w:rsidRPr="00EA1B35" w:rsidRDefault="00B664B5" w:rsidP="0021426A">
      <w:pPr>
        <w:pStyle w:val="NormalIndent1"/>
        <w:jc w:val="left"/>
        <w:rPr>
          <w:lang w:val="en-US"/>
        </w:rPr>
      </w:pPr>
      <w:r w:rsidRPr="00EA1B35">
        <w:rPr>
          <w:lang w:val="en-US"/>
        </w:rPr>
        <w:t xml:space="preserve">Studies have not been done in patients with JIA to assess the effects of continued </w:t>
      </w:r>
      <w:r w:rsidR="00A828C8" w:rsidRPr="00EA1B35">
        <w:rPr>
          <w:lang w:val="en-US"/>
        </w:rPr>
        <w:t>etanercept</w:t>
      </w:r>
      <w:r w:rsidRPr="00EA1B35">
        <w:rPr>
          <w:lang w:val="en-US"/>
        </w:rPr>
        <w:t xml:space="preserve"> therapy in patients who do not respond within 3 months of initiating </w:t>
      </w:r>
      <w:r w:rsidR="00A828C8" w:rsidRPr="00EA1B35">
        <w:rPr>
          <w:lang w:val="en-US"/>
        </w:rPr>
        <w:t>etanercept</w:t>
      </w:r>
      <w:r w:rsidRPr="00EA1B35">
        <w:rPr>
          <w:lang w:val="en-US"/>
        </w:rPr>
        <w:t xml:space="preserve"> therapy.  Additionally, studies have not been conducted to assess the effects of discontinuing or reducing the recommended dose of </w:t>
      </w:r>
      <w:r w:rsidR="00A828C8" w:rsidRPr="00EA1B35">
        <w:rPr>
          <w:lang w:val="en-US"/>
        </w:rPr>
        <w:t>etanercept</w:t>
      </w:r>
      <w:r w:rsidRPr="00EA1B35">
        <w:rPr>
          <w:lang w:val="en-US"/>
        </w:rPr>
        <w:t xml:space="preserve"> following its long-term use in patients with JIA.</w:t>
      </w:r>
    </w:p>
    <w:p w14:paraId="6DCB9C33" w14:textId="77777777" w:rsidR="00B664B5" w:rsidRPr="00EA1B35" w:rsidRDefault="00B664B5" w:rsidP="0021426A">
      <w:pPr>
        <w:pStyle w:val="NormalIndent1"/>
        <w:jc w:val="left"/>
        <w:rPr>
          <w:lang w:val="en-US"/>
        </w:rPr>
      </w:pPr>
    </w:p>
    <w:p w14:paraId="37343DA0" w14:textId="6575B1D4" w:rsidR="00B664B5" w:rsidRPr="00EA1B35" w:rsidRDefault="00B664B5" w:rsidP="0021426A">
      <w:pPr>
        <w:pStyle w:val="NormalIndent1"/>
        <w:jc w:val="left"/>
        <w:rPr>
          <w:lang w:val="en-US"/>
        </w:rPr>
      </w:pPr>
      <w:r w:rsidRPr="00EA1B35">
        <w:rPr>
          <w:lang w:val="en-US"/>
        </w:rPr>
        <w:t xml:space="preserve">Malignancies, some fatal, have been reported among children, adolescents and young adults who received treatment with TNF-blocking agents (initiation of therapy </w:t>
      </w:r>
      <w:r w:rsidRPr="00EA1B35">
        <w:rPr>
          <w:rFonts w:cstheme="minorHAnsi"/>
          <w:lang w:val="en-US"/>
        </w:rPr>
        <w:t>at ≤</w:t>
      </w:r>
      <w:r w:rsidRPr="00EA1B35">
        <w:rPr>
          <w:lang w:val="en-US"/>
        </w:rPr>
        <w:t xml:space="preserve"> 18 years of age), including </w:t>
      </w:r>
      <w:r w:rsidR="00A828C8" w:rsidRPr="00EA1B35">
        <w:rPr>
          <w:lang w:val="en-US"/>
        </w:rPr>
        <w:t>etanercept</w:t>
      </w:r>
      <w:r w:rsidRPr="00EA1B35">
        <w:rPr>
          <w:lang w:val="en-US"/>
        </w:rPr>
        <w:t xml:space="preserve"> to treat JIA and other indications.  Approximately half of the cases were lymphomas, including Hodgkin's and non-Hodgkin's lymphoma.  The other cases represented a variety of different malignancies and included rare malignancies that are not usually observed in children and adolescents.  The malignancies occurred after a median of 30 months of therapy (range 1 to 84 months).  Most of the patients were receiving concomitant immunosuppressants.  These cases were derived from several sources including registries and post-marketing reports.  In addition, there was one case of lymphoma reported in </w:t>
      </w:r>
      <w:proofErr w:type="spellStart"/>
      <w:r w:rsidRPr="00EA1B35">
        <w:rPr>
          <w:lang w:val="en-US"/>
        </w:rPr>
        <w:t>paediatric</w:t>
      </w:r>
      <w:proofErr w:type="spellEnd"/>
      <w:r w:rsidRPr="00EA1B35">
        <w:rPr>
          <w:lang w:val="en-US"/>
        </w:rPr>
        <w:t xml:space="preserve"> clinical trials.</w:t>
      </w:r>
    </w:p>
    <w:p w14:paraId="6A2CE895" w14:textId="77777777" w:rsidR="00B664B5" w:rsidRPr="00EA1B35" w:rsidRDefault="00B664B5" w:rsidP="0021426A">
      <w:pPr>
        <w:pStyle w:val="NormalIndent1"/>
        <w:jc w:val="left"/>
        <w:rPr>
          <w:lang w:val="en-US"/>
        </w:rPr>
      </w:pPr>
    </w:p>
    <w:p w14:paraId="57E38494" w14:textId="6F3407CD" w:rsidR="00B664B5" w:rsidRPr="00EA1B35" w:rsidRDefault="00B664B5" w:rsidP="0021426A">
      <w:pPr>
        <w:pStyle w:val="NormalIndent1"/>
        <w:jc w:val="left"/>
        <w:rPr>
          <w:lang w:val="en-US"/>
        </w:rPr>
      </w:pPr>
      <w:r w:rsidRPr="00EA1B35">
        <w:rPr>
          <w:lang w:val="en-US"/>
        </w:rPr>
        <w:t xml:space="preserve">Two JIA patients developed varicella infection and signs and symptoms of aseptic meningitis, which resolved without sequelae.  Patients with a significant exposure to varicella virus should temporarily discontinue </w:t>
      </w:r>
      <w:r w:rsidR="003D1456" w:rsidRPr="00EA1B35">
        <w:rPr>
          <w:lang w:val="en-US"/>
        </w:rPr>
        <w:t>Rymti</w:t>
      </w:r>
      <w:r w:rsidRPr="00EA1B35">
        <w:rPr>
          <w:lang w:val="en-US"/>
        </w:rPr>
        <w:t xml:space="preserve"> therapy and be considered for prophylactic treatment with varicella zoster immune globulin.</w:t>
      </w:r>
    </w:p>
    <w:p w14:paraId="4E62038C" w14:textId="77777777" w:rsidR="00B664B5" w:rsidRPr="00EA1B35" w:rsidRDefault="00B664B5" w:rsidP="0021426A">
      <w:pPr>
        <w:pStyle w:val="NormalIndent1"/>
        <w:jc w:val="left"/>
        <w:rPr>
          <w:lang w:val="en-US"/>
        </w:rPr>
      </w:pPr>
    </w:p>
    <w:p w14:paraId="212EED46" w14:textId="77777777" w:rsidR="00B664B5" w:rsidRPr="00EA1B35" w:rsidRDefault="00B664B5" w:rsidP="0021426A">
      <w:pPr>
        <w:pStyle w:val="NormalIndent1"/>
        <w:jc w:val="left"/>
        <w:rPr>
          <w:lang w:val="en-US"/>
        </w:rPr>
      </w:pPr>
      <w:r w:rsidRPr="00EA1B35">
        <w:rPr>
          <w:lang w:val="en-US"/>
        </w:rPr>
        <w:t xml:space="preserve">There have been reports of inflammatory bowel disease and uveitis in patients with JIA (see </w:t>
      </w:r>
      <w:r w:rsidRPr="00EA1B35">
        <w:rPr>
          <w:b/>
          <w:lang w:val="en-US"/>
        </w:rPr>
        <w:t>Inflammatory Bowel Disease (IBD) and Uveitis in Patients with Juvenile Idiopathic Arthritis (JIA)</w:t>
      </w:r>
      <w:r w:rsidRPr="00EA1B35">
        <w:rPr>
          <w:lang w:val="en-US"/>
        </w:rPr>
        <w:t xml:space="preserve"> in this section).</w:t>
      </w:r>
    </w:p>
    <w:p w14:paraId="205160FC" w14:textId="77777777" w:rsidR="00B664B5" w:rsidRPr="00EA1B35" w:rsidRDefault="00B664B5" w:rsidP="0021426A">
      <w:pPr>
        <w:pStyle w:val="NormalIndent1"/>
        <w:jc w:val="left"/>
        <w:rPr>
          <w:lang w:val="en-US"/>
        </w:rPr>
      </w:pPr>
    </w:p>
    <w:p w14:paraId="6D02731E" w14:textId="3A1C31FE" w:rsidR="00B664B5" w:rsidRPr="00EA1B35" w:rsidRDefault="00B664B5" w:rsidP="0021426A">
      <w:pPr>
        <w:pStyle w:val="NormalIndent1"/>
        <w:jc w:val="left"/>
        <w:rPr>
          <w:lang w:val="en-US"/>
        </w:rPr>
      </w:pPr>
      <w:r w:rsidRPr="00EA1B35">
        <w:rPr>
          <w:lang w:val="en-US"/>
        </w:rPr>
        <w:t xml:space="preserve">The long-term effects of </w:t>
      </w:r>
      <w:r w:rsidR="00A828C8" w:rsidRPr="00EA1B35">
        <w:rPr>
          <w:lang w:val="en-US"/>
        </w:rPr>
        <w:t>etanercept</w:t>
      </w:r>
      <w:r w:rsidRPr="00EA1B35">
        <w:rPr>
          <w:lang w:val="en-US"/>
        </w:rPr>
        <w:t xml:space="preserve"> on the growth and development of children are not known.</w:t>
      </w:r>
    </w:p>
    <w:p w14:paraId="3B896BA9" w14:textId="77777777" w:rsidR="00F70019" w:rsidRPr="00F70019" w:rsidRDefault="00F70019" w:rsidP="0021426A">
      <w:pPr>
        <w:pStyle w:val="NormalIndent1"/>
        <w:jc w:val="left"/>
      </w:pPr>
    </w:p>
    <w:p w14:paraId="21F3FAA1" w14:textId="77777777" w:rsidR="001A3992" w:rsidRPr="007C4C71" w:rsidRDefault="001A3992" w:rsidP="0021426A">
      <w:pPr>
        <w:pStyle w:val="Heading3"/>
        <w:jc w:val="left"/>
      </w:pPr>
      <w:r w:rsidRPr="007C4C71">
        <w:t xml:space="preserve">Effects on </w:t>
      </w:r>
      <w:r w:rsidR="00F70019" w:rsidRPr="007C4C71">
        <w:t>Laboratory Tests</w:t>
      </w:r>
    </w:p>
    <w:p w14:paraId="27E2A9DD" w14:textId="77777777" w:rsidR="00F70019" w:rsidRPr="00F70019" w:rsidRDefault="00F70019" w:rsidP="0021426A">
      <w:pPr>
        <w:pStyle w:val="NormalIndent1"/>
        <w:jc w:val="left"/>
      </w:pPr>
    </w:p>
    <w:p w14:paraId="3D9B3FAE" w14:textId="0A28AA62" w:rsidR="00F70019" w:rsidRDefault="00B664B5" w:rsidP="0021426A">
      <w:pPr>
        <w:pStyle w:val="NormalIndent1"/>
        <w:jc w:val="left"/>
        <w:rPr>
          <w:lang w:val="en-US"/>
        </w:rPr>
      </w:pPr>
      <w:r w:rsidRPr="006D0F4A">
        <w:rPr>
          <w:lang w:val="en-US"/>
        </w:rPr>
        <w:t xml:space="preserve">No effects on laboratory tests have been reported in adults.  An analysis of 54 JIA patients in an open-label study demonstrated low </w:t>
      </w:r>
      <w:proofErr w:type="spellStart"/>
      <w:r w:rsidRPr="006D0F4A">
        <w:rPr>
          <w:lang w:val="en-US"/>
        </w:rPr>
        <w:t>haemoglobin</w:t>
      </w:r>
      <w:proofErr w:type="spellEnd"/>
      <w:r w:rsidRPr="006D0F4A">
        <w:rPr>
          <w:lang w:val="en-US"/>
        </w:rPr>
        <w:t>, low albumin and low lymphocyte counts in 63%,</w:t>
      </w:r>
      <w:r>
        <w:rPr>
          <w:lang w:val="en-US"/>
        </w:rPr>
        <w:t xml:space="preserve"> </w:t>
      </w:r>
      <w:r w:rsidRPr="006D0F4A">
        <w:rPr>
          <w:lang w:val="en-US"/>
        </w:rPr>
        <w:t xml:space="preserve">39% and 30% of juvenile patients, respectively.  These observations, however, appear to be attributed to the underlying disease, rather than treatment with </w:t>
      </w:r>
      <w:r w:rsidR="00A828C8">
        <w:rPr>
          <w:lang w:val="en-US"/>
        </w:rPr>
        <w:t>etanercept</w:t>
      </w:r>
      <w:r w:rsidRPr="006D0F4A">
        <w:rPr>
          <w:lang w:val="en-US"/>
        </w:rPr>
        <w:t>.</w:t>
      </w:r>
    </w:p>
    <w:p w14:paraId="474A2B55" w14:textId="036D2D2E" w:rsidR="00757FBD" w:rsidRDefault="00757FBD" w:rsidP="0021426A">
      <w:pPr>
        <w:pStyle w:val="NormalIndent1"/>
        <w:jc w:val="left"/>
        <w:rPr>
          <w:lang w:val="en-US"/>
        </w:rPr>
      </w:pPr>
    </w:p>
    <w:p w14:paraId="56A67857" w14:textId="5BC7EF0E" w:rsidR="00757FBD" w:rsidRPr="00500FA9" w:rsidRDefault="00757FBD" w:rsidP="0021426A">
      <w:pPr>
        <w:pStyle w:val="Heading3"/>
        <w:jc w:val="left"/>
      </w:pPr>
      <w:r w:rsidRPr="00500FA9">
        <w:t>Switching</w:t>
      </w:r>
      <w:r w:rsidR="00551B6C" w:rsidRPr="00500FA9">
        <w:t xml:space="preserve"> between biological therapeutics</w:t>
      </w:r>
    </w:p>
    <w:p w14:paraId="37E6EFB9" w14:textId="77777777" w:rsidR="00500FA9" w:rsidRDefault="00500FA9" w:rsidP="0021426A">
      <w:pPr>
        <w:ind w:firstLine="425"/>
        <w:jc w:val="left"/>
        <w:rPr>
          <w:b/>
          <w:bCs/>
          <w:color w:val="0070C0"/>
          <w:u w:val="single"/>
        </w:rPr>
      </w:pPr>
    </w:p>
    <w:p w14:paraId="4B638110" w14:textId="60B602D1" w:rsidR="00757FBD" w:rsidRPr="00EA1B35" w:rsidRDefault="00016DEC" w:rsidP="0021426A">
      <w:pPr>
        <w:ind w:left="425"/>
        <w:jc w:val="left"/>
      </w:pPr>
      <w:r w:rsidRPr="00EA1B35">
        <w:t>L</w:t>
      </w:r>
      <w:r w:rsidR="00757FBD" w:rsidRPr="00EA1B35">
        <w:t xml:space="preserve">imited </w:t>
      </w:r>
      <w:r w:rsidRPr="00EA1B35">
        <w:t xml:space="preserve">treatment switching </w:t>
      </w:r>
      <w:r w:rsidR="00757FBD" w:rsidRPr="00EA1B35">
        <w:t>data</w:t>
      </w:r>
      <w:r w:rsidRPr="00EA1B35">
        <w:t xml:space="preserve"> is</w:t>
      </w:r>
      <w:r w:rsidR="00757FBD" w:rsidRPr="00EA1B35">
        <w:t xml:space="preserve"> available on the safety and maintenance </w:t>
      </w:r>
      <w:r w:rsidRPr="00EA1B35">
        <w:t xml:space="preserve">of treatment </w:t>
      </w:r>
      <w:r w:rsidR="00757FBD" w:rsidRPr="00EA1B35">
        <w:t>effect</w:t>
      </w:r>
      <w:r w:rsidR="00551B6C" w:rsidRPr="00EA1B35">
        <w:t>. Caution should be exercised when switching from one biological to another.</w:t>
      </w:r>
      <w:r w:rsidR="00721140" w:rsidRPr="00EA1B35">
        <w:t xml:space="preserve"> </w:t>
      </w:r>
      <w:r w:rsidR="00721140" w:rsidRPr="000C0B82">
        <w:t xml:space="preserve">The efficacy, safety/tolerability, and immunogenicity of Rymti (Etanercept Lupin) and </w:t>
      </w:r>
      <w:r w:rsidR="007B7E8F" w:rsidRPr="000C0B82">
        <w:t>E</w:t>
      </w:r>
      <w:r w:rsidR="00721140" w:rsidRPr="000C0B82">
        <w:t>nbrel® were assessed in patients with moderate to severe RA despite MTX therapy (Study YLB 113-002)</w:t>
      </w:r>
      <w:r w:rsidR="003A117D" w:rsidRPr="000C0B82">
        <w:t xml:space="preserve">; </w:t>
      </w:r>
      <w:r w:rsidR="003A117D" w:rsidRPr="000C0B82">
        <w:rPr>
          <w:b/>
          <w:bCs/>
        </w:rPr>
        <w:t>s</w:t>
      </w:r>
      <w:r w:rsidR="00721140" w:rsidRPr="000C0B82">
        <w:rPr>
          <w:b/>
          <w:bCs/>
        </w:rPr>
        <w:t>ee Section 5.1 Clinical Trials</w:t>
      </w:r>
      <w:r w:rsidR="00721140" w:rsidRPr="000C0B82">
        <w:t xml:space="preserve">.  </w:t>
      </w:r>
      <w:r w:rsidR="00066677" w:rsidRPr="000C0B82">
        <w:t>A total of 17 subjects were involved in</w:t>
      </w:r>
      <w:r w:rsidR="0060751A" w:rsidRPr="000C0B82">
        <w:t xml:space="preserve"> </w:t>
      </w:r>
      <w:r w:rsidR="00721140" w:rsidRPr="000C0B82">
        <w:t>Stage C (a switching study whereby patients were transitioned from Rymti to Enbrel</w:t>
      </w:r>
      <w:r w:rsidR="00403497" w:rsidRPr="000C0B82">
        <w:t>®</w:t>
      </w:r>
      <w:r w:rsidR="00721140" w:rsidRPr="000C0B82">
        <w:t xml:space="preserve"> or vice versa), with 8 subjects in the E</w:t>
      </w:r>
      <w:r w:rsidR="0060751A" w:rsidRPr="000C0B82">
        <w:t>nbrel</w:t>
      </w:r>
      <w:r w:rsidR="002D4A48" w:rsidRPr="000C0B82">
        <w:t>®</w:t>
      </w:r>
      <w:r w:rsidR="00721140" w:rsidRPr="000C0B82">
        <w:t xml:space="preserve"> </w:t>
      </w:r>
      <w:r w:rsidR="00066677" w:rsidRPr="000C0B82">
        <w:t>treatment group</w:t>
      </w:r>
      <w:r w:rsidR="00721140" w:rsidRPr="000C0B82">
        <w:t xml:space="preserve"> and 9 subjects in the Rymti </w:t>
      </w:r>
      <w:r w:rsidR="00066677" w:rsidRPr="000C0B82">
        <w:t>treatment group</w:t>
      </w:r>
      <w:r w:rsidR="00721140" w:rsidRPr="000C0B82">
        <w:t xml:space="preserve">. </w:t>
      </w:r>
      <w:r w:rsidR="00757FBD" w:rsidRPr="00EA1B35">
        <w:t xml:space="preserve"> </w:t>
      </w:r>
    </w:p>
    <w:p w14:paraId="07E6B920" w14:textId="77777777" w:rsidR="00F70019" w:rsidRPr="00F70019" w:rsidRDefault="00F70019" w:rsidP="0021426A">
      <w:pPr>
        <w:pStyle w:val="NormalIndent1"/>
        <w:jc w:val="left"/>
      </w:pPr>
    </w:p>
    <w:p w14:paraId="3958BBF8" w14:textId="77777777" w:rsidR="001A3992" w:rsidRPr="00541FDD" w:rsidRDefault="004A3628" w:rsidP="0021426A">
      <w:pPr>
        <w:pStyle w:val="Heading2"/>
        <w:jc w:val="left"/>
        <w:rPr>
          <w:smallCaps/>
        </w:rPr>
      </w:pPr>
      <w:r>
        <w:t>4.5</w:t>
      </w:r>
      <w:r>
        <w:tab/>
      </w:r>
      <w:r w:rsidR="001A3992" w:rsidRPr="00541FDD">
        <w:t xml:space="preserve">Interactions with </w:t>
      </w:r>
      <w:r w:rsidR="00F70019" w:rsidRPr="00541FDD">
        <w:t xml:space="preserve">Other Medicines </w:t>
      </w:r>
      <w:r w:rsidR="001A3992" w:rsidRPr="00541FDD">
        <w:t xml:space="preserve">and </w:t>
      </w:r>
      <w:r w:rsidR="00F70019" w:rsidRPr="00541FDD">
        <w:t xml:space="preserve">Other Forms </w:t>
      </w:r>
      <w:r w:rsidR="001A3992" w:rsidRPr="00541FDD">
        <w:t xml:space="preserve">of </w:t>
      </w:r>
      <w:r w:rsidR="00F70019" w:rsidRPr="00541FDD">
        <w:t>Interactions</w:t>
      </w:r>
    </w:p>
    <w:p w14:paraId="1C2FED8A" w14:textId="77777777" w:rsidR="00F70019" w:rsidRPr="00F70019" w:rsidRDefault="00F70019" w:rsidP="0021426A">
      <w:pPr>
        <w:pStyle w:val="NormalIndent1"/>
        <w:jc w:val="left"/>
      </w:pPr>
    </w:p>
    <w:p w14:paraId="75B895CE" w14:textId="77777777" w:rsidR="00B664B5" w:rsidRPr="00B664B5" w:rsidRDefault="00B664B5" w:rsidP="0021426A">
      <w:pPr>
        <w:pStyle w:val="Heading3"/>
        <w:jc w:val="left"/>
        <w:rPr>
          <w:lang w:val="en-US"/>
        </w:rPr>
      </w:pPr>
      <w:r w:rsidRPr="00B664B5">
        <w:rPr>
          <w:lang w:val="en-US"/>
        </w:rPr>
        <w:t>Methotrexate</w:t>
      </w:r>
    </w:p>
    <w:p w14:paraId="4557F566" w14:textId="77777777" w:rsidR="00B664B5" w:rsidRPr="00B664B5" w:rsidRDefault="00B664B5" w:rsidP="0021426A">
      <w:pPr>
        <w:pStyle w:val="NormalIndent1"/>
        <w:jc w:val="left"/>
        <w:rPr>
          <w:lang w:val="en-US"/>
        </w:rPr>
      </w:pPr>
    </w:p>
    <w:p w14:paraId="5A6E23BE" w14:textId="5A654B90" w:rsidR="00B664B5" w:rsidRPr="00B664B5" w:rsidRDefault="003D1456" w:rsidP="0021426A">
      <w:pPr>
        <w:pStyle w:val="NormalIndent1"/>
        <w:jc w:val="left"/>
        <w:rPr>
          <w:lang w:val="en-US"/>
        </w:rPr>
      </w:pPr>
      <w:r>
        <w:rPr>
          <w:lang w:val="en-US"/>
        </w:rPr>
        <w:t>Rymti</w:t>
      </w:r>
      <w:r w:rsidR="00B664B5" w:rsidRPr="00B664B5">
        <w:rPr>
          <w:lang w:val="en-US"/>
        </w:rPr>
        <w:t xml:space="preserve"> may be administered in combination with methotrexate for the treatment of rheumatoid arthritis.  In a safety and efficacy trial, methotrexate had no effect on the pharmacokinetics of </w:t>
      </w:r>
      <w:r w:rsidR="00A828C8">
        <w:rPr>
          <w:lang w:val="en-US"/>
        </w:rPr>
        <w:t>etanercept</w:t>
      </w:r>
      <w:r w:rsidR="00B664B5" w:rsidRPr="00B664B5">
        <w:rPr>
          <w:lang w:val="en-US"/>
        </w:rPr>
        <w:t xml:space="preserve">.  The effect of </w:t>
      </w:r>
      <w:r w:rsidR="00A828C8">
        <w:rPr>
          <w:lang w:val="en-US"/>
        </w:rPr>
        <w:t>etanercept</w:t>
      </w:r>
      <w:r w:rsidR="00B664B5" w:rsidRPr="00B664B5">
        <w:rPr>
          <w:lang w:val="en-US"/>
        </w:rPr>
        <w:t xml:space="preserve"> on the pharmacokinetics of methotrexate has not been</w:t>
      </w:r>
      <w:r w:rsidR="00B664B5">
        <w:rPr>
          <w:lang w:val="en-US"/>
        </w:rPr>
        <w:t xml:space="preserve"> </w:t>
      </w:r>
      <w:r w:rsidR="00B664B5" w:rsidRPr="00B664B5">
        <w:rPr>
          <w:lang w:val="en-US"/>
        </w:rPr>
        <w:t xml:space="preserve">investigated.  Product Information for methotrexate should be consulted when </w:t>
      </w:r>
      <w:r>
        <w:rPr>
          <w:lang w:val="en-US"/>
        </w:rPr>
        <w:t>Rymti</w:t>
      </w:r>
      <w:r w:rsidR="00B664B5" w:rsidRPr="00B664B5">
        <w:rPr>
          <w:lang w:val="en-US"/>
        </w:rPr>
        <w:t xml:space="preserve"> is administered with methotrexate.</w:t>
      </w:r>
    </w:p>
    <w:p w14:paraId="4E5E1A1F" w14:textId="77777777" w:rsidR="00B664B5" w:rsidRPr="00B664B5" w:rsidRDefault="00B664B5" w:rsidP="0021426A">
      <w:pPr>
        <w:pStyle w:val="NormalIndent1"/>
        <w:jc w:val="left"/>
        <w:rPr>
          <w:lang w:val="en-US"/>
        </w:rPr>
      </w:pPr>
    </w:p>
    <w:p w14:paraId="0B1CF8E6" w14:textId="77777777" w:rsidR="00B664B5" w:rsidRPr="00B664B5" w:rsidRDefault="00B664B5" w:rsidP="0021426A">
      <w:pPr>
        <w:pStyle w:val="Heading3"/>
        <w:jc w:val="left"/>
        <w:rPr>
          <w:lang w:val="en-US"/>
        </w:rPr>
      </w:pPr>
      <w:r w:rsidRPr="00B664B5">
        <w:rPr>
          <w:lang w:val="en-US"/>
        </w:rPr>
        <w:t>Abatacept</w:t>
      </w:r>
    </w:p>
    <w:p w14:paraId="718536AA" w14:textId="77777777" w:rsidR="00B664B5" w:rsidRPr="00B664B5" w:rsidRDefault="00B664B5" w:rsidP="0021426A">
      <w:pPr>
        <w:pStyle w:val="NormalIndent1"/>
        <w:jc w:val="left"/>
        <w:rPr>
          <w:lang w:val="en-US"/>
        </w:rPr>
      </w:pPr>
    </w:p>
    <w:p w14:paraId="1E8F10EB" w14:textId="49C9C319" w:rsidR="00B664B5" w:rsidRPr="00B664B5" w:rsidRDefault="00B664B5" w:rsidP="0021426A">
      <w:pPr>
        <w:pStyle w:val="NormalIndent1"/>
        <w:jc w:val="left"/>
        <w:rPr>
          <w:lang w:val="en-US"/>
        </w:rPr>
      </w:pPr>
      <w:r w:rsidRPr="00B664B5">
        <w:rPr>
          <w:lang w:val="en-US"/>
        </w:rPr>
        <w:t xml:space="preserve">In clinical studies, concurrent administration of abatacept and </w:t>
      </w:r>
      <w:r w:rsidR="00A828C8">
        <w:rPr>
          <w:lang w:val="en-US"/>
        </w:rPr>
        <w:t>etanercept</w:t>
      </w:r>
      <w:r w:rsidRPr="00B664B5">
        <w:rPr>
          <w:lang w:val="en-US"/>
        </w:rPr>
        <w:t xml:space="preserve"> resulted in increased incidences of serious adverse events, including infections, and did not demonstrate increased clinical benefit.  Use of </w:t>
      </w:r>
      <w:r w:rsidR="003D1456">
        <w:rPr>
          <w:lang w:val="en-US"/>
        </w:rPr>
        <w:t>Rymti</w:t>
      </w:r>
      <w:r w:rsidRPr="00B664B5">
        <w:rPr>
          <w:lang w:val="en-US"/>
        </w:rPr>
        <w:t xml:space="preserve"> with abatacept is not recommended.</w:t>
      </w:r>
    </w:p>
    <w:p w14:paraId="7188D645" w14:textId="77777777" w:rsidR="00B664B5" w:rsidRPr="00B664B5" w:rsidRDefault="00B664B5" w:rsidP="0021426A">
      <w:pPr>
        <w:pStyle w:val="NormalIndent1"/>
        <w:jc w:val="left"/>
        <w:rPr>
          <w:lang w:val="en-US"/>
        </w:rPr>
      </w:pPr>
    </w:p>
    <w:p w14:paraId="2990F92C" w14:textId="77777777" w:rsidR="00B664B5" w:rsidRPr="00B664B5" w:rsidRDefault="00B664B5" w:rsidP="0021426A">
      <w:pPr>
        <w:pStyle w:val="Heading3"/>
        <w:jc w:val="left"/>
        <w:rPr>
          <w:lang w:val="en-US"/>
        </w:rPr>
      </w:pPr>
      <w:r w:rsidRPr="00B664B5">
        <w:rPr>
          <w:lang w:val="en-US"/>
        </w:rPr>
        <w:t>Anakinra</w:t>
      </w:r>
    </w:p>
    <w:p w14:paraId="39B3DA3C" w14:textId="77777777" w:rsidR="00B664B5" w:rsidRPr="00B664B5" w:rsidRDefault="00B664B5" w:rsidP="0021426A">
      <w:pPr>
        <w:pStyle w:val="NormalIndent1"/>
        <w:jc w:val="left"/>
        <w:rPr>
          <w:lang w:val="en-US"/>
        </w:rPr>
      </w:pPr>
    </w:p>
    <w:p w14:paraId="43C8140D" w14:textId="11AA604D" w:rsidR="00B664B5" w:rsidRPr="00B664B5" w:rsidRDefault="00B664B5" w:rsidP="0021426A">
      <w:pPr>
        <w:pStyle w:val="NormalIndent1"/>
        <w:jc w:val="left"/>
        <w:rPr>
          <w:lang w:val="en-US"/>
        </w:rPr>
      </w:pPr>
      <w:r w:rsidRPr="00B664B5">
        <w:rPr>
          <w:lang w:val="en-US"/>
        </w:rPr>
        <w:t xml:space="preserve">Patients treated with </w:t>
      </w:r>
      <w:r w:rsidR="00A828C8">
        <w:rPr>
          <w:lang w:val="en-US"/>
        </w:rPr>
        <w:t>etanercept</w:t>
      </w:r>
      <w:r w:rsidRPr="00B664B5">
        <w:rPr>
          <w:lang w:val="en-US"/>
        </w:rPr>
        <w:t xml:space="preserve"> and anakinra were observed to have a higher rate of serious infection (7%) when compared with patients who were treated with </w:t>
      </w:r>
      <w:r w:rsidR="00A828C8">
        <w:rPr>
          <w:lang w:val="en-US"/>
        </w:rPr>
        <w:t>etanercept</w:t>
      </w:r>
      <w:r w:rsidRPr="00B664B5">
        <w:rPr>
          <w:lang w:val="en-US"/>
        </w:rPr>
        <w:t xml:space="preserve"> alone (0%, historical data).  In addition, in a double-blind placebo-controlled trial, in patients receiving background methotrexate, patients treated with </w:t>
      </w:r>
      <w:r w:rsidR="00A828C8">
        <w:rPr>
          <w:lang w:val="en-US"/>
        </w:rPr>
        <w:t>etanercept</w:t>
      </w:r>
      <w:r w:rsidRPr="00B664B5">
        <w:rPr>
          <w:lang w:val="en-US"/>
        </w:rPr>
        <w:t xml:space="preserve"> and anakinra were observed to have a higher rate of serious infection and neutropenia than patients who were treated with </w:t>
      </w:r>
      <w:r w:rsidR="00A828C8">
        <w:rPr>
          <w:lang w:val="en-US"/>
        </w:rPr>
        <w:t>etanercept</w:t>
      </w:r>
      <w:r w:rsidRPr="00B664B5">
        <w:rPr>
          <w:lang w:val="en-US"/>
        </w:rPr>
        <w:t xml:space="preserve"> alone (</w:t>
      </w:r>
      <w:r w:rsidRPr="00B664B5">
        <w:rPr>
          <w:b/>
          <w:lang w:val="en-US"/>
        </w:rPr>
        <w:t xml:space="preserve">see Section 4.4 </w:t>
      </w:r>
      <w:r w:rsidRPr="00B664B5">
        <w:rPr>
          <w:b/>
        </w:rPr>
        <w:t>Special Warnings and Precautions for Use</w:t>
      </w:r>
      <w:r w:rsidRPr="00B664B5">
        <w:rPr>
          <w:lang w:val="en-US"/>
        </w:rPr>
        <w:t>).</w:t>
      </w:r>
    </w:p>
    <w:p w14:paraId="6DB611E8" w14:textId="77777777" w:rsidR="00B664B5" w:rsidRPr="00B664B5" w:rsidRDefault="00B664B5" w:rsidP="0021426A">
      <w:pPr>
        <w:pStyle w:val="NormalIndent1"/>
        <w:jc w:val="left"/>
        <w:rPr>
          <w:lang w:val="en-US"/>
        </w:rPr>
      </w:pPr>
    </w:p>
    <w:p w14:paraId="7CD9F3A7" w14:textId="77777777" w:rsidR="00B664B5" w:rsidRPr="00B664B5" w:rsidRDefault="00B664B5" w:rsidP="0021426A">
      <w:pPr>
        <w:pStyle w:val="Heading3"/>
        <w:jc w:val="left"/>
        <w:rPr>
          <w:lang w:val="en-US"/>
        </w:rPr>
      </w:pPr>
      <w:r w:rsidRPr="00B664B5">
        <w:rPr>
          <w:lang w:val="en-US"/>
        </w:rPr>
        <w:t>Cyclophosphamide</w:t>
      </w:r>
    </w:p>
    <w:p w14:paraId="50654FF8" w14:textId="77777777" w:rsidR="00B664B5" w:rsidRPr="00B664B5" w:rsidRDefault="00B664B5" w:rsidP="0021426A">
      <w:pPr>
        <w:pStyle w:val="NormalIndent1"/>
        <w:jc w:val="left"/>
        <w:rPr>
          <w:lang w:val="en-US"/>
        </w:rPr>
      </w:pPr>
    </w:p>
    <w:p w14:paraId="59B9B223" w14:textId="503D20BF" w:rsidR="00B664B5" w:rsidRPr="00B664B5" w:rsidRDefault="00B664B5" w:rsidP="0021426A">
      <w:pPr>
        <w:pStyle w:val="NormalIndent1"/>
        <w:jc w:val="left"/>
        <w:rPr>
          <w:lang w:val="en-US"/>
        </w:rPr>
      </w:pPr>
      <w:r w:rsidRPr="00B664B5">
        <w:rPr>
          <w:lang w:val="en-US"/>
        </w:rPr>
        <w:t xml:space="preserve">The use of </w:t>
      </w:r>
      <w:r w:rsidR="003D1456">
        <w:rPr>
          <w:lang w:val="en-US"/>
        </w:rPr>
        <w:t>Rymti</w:t>
      </w:r>
      <w:r w:rsidRPr="00B664B5">
        <w:rPr>
          <w:lang w:val="en-US"/>
        </w:rPr>
        <w:t xml:space="preserve"> in patients receiving concurrent cyclophosphamide therapy is not recommended (see </w:t>
      </w:r>
      <w:r w:rsidRPr="00B664B5">
        <w:rPr>
          <w:b/>
          <w:lang w:val="en-US"/>
        </w:rPr>
        <w:t xml:space="preserve">Section </w:t>
      </w:r>
      <w:r>
        <w:rPr>
          <w:b/>
          <w:lang w:val="en-US"/>
        </w:rPr>
        <w:t>5.3</w:t>
      </w:r>
      <w:r w:rsidRPr="00B664B5">
        <w:rPr>
          <w:b/>
          <w:lang w:val="en-US"/>
        </w:rPr>
        <w:t xml:space="preserve"> </w:t>
      </w:r>
      <w:r w:rsidRPr="00B664B5">
        <w:rPr>
          <w:b/>
        </w:rPr>
        <w:t>Preclinical Safety Data</w:t>
      </w:r>
      <w:r>
        <w:rPr>
          <w:b/>
        </w:rPr>
        <w:t xml:space="preserve"> – Carcinogenicity, </w:t>
      </w:r>
      <w:r w:rsidRPr="00B664B5">
        <w:rPr>
          <w:b/>
          <w:lang w:val="en-US"/>
        </w:rPr>
        <w:t>Other Malignancies</w:t>
      </w:r>
      <w:r w:rsidRPr="00B664B5">
        <w:rPr>
          <w:lang w:val="en-US"/>
        </w:rPr>
        <w:t>).</w:t>
      </w:r>
    </w:p>
    <w:p w14:paraId="43F3C8C6" w14:textId="77777777" w:rsidR="00B664B5" w:rsidRPr="00B664B5" w:rsidRDefault="00B664B5" w:rsidP="0021426A">
      <w:pPr>
        <w:pStyle w:val="NormalIndent1"/>
        <w:jc w:val="left"/>
        <w:rPr>
          <w:lang w:val="en-US"/>
        </w:rPr>
      </w:pPr>
    </w:p>
    <w:p w14:paraId="7A6A2885" w14:textId="77777777" w:rsidR="00B664B5" w:rsidRPr="00B664B5" w:rsidRDefault="00B664B5" w:rsidP="0021426A">
      <w:pPr>
        <w:pStyle w:val="Heading3"/>
        <w:jc w:val="left"/>
        <w:rPr>
          <w:lang w:val="en-US"/>
        </w:rPr>
      </w:pPr>
      <w:r w:rsidRPr="00B664B5">
        <w:rPr>
          <w:lang w:val="en-US"/>
        </w:rPr>
        <w:t>Live Vaccines</w:t>
      </w:r>
    </w:p>
    <w:p w14:paraId="55A1794A" w14:textId="77777777" w:rsidR="00B664B5" w:rsidRPr="00B664B5" w:rsidRDefault="00B664B5" w:rsidP="0021426A">
      <w:pPr>
        <w:pStyle w:val="NormalIndent1"/>
        <w:jc w:val="left"/>
        <w:rPr>
          <w:lang w:val="en-US"/>
        </w:rPr>
      </w:pPr>
    </w:p>
    <w:p w14:paraId="2EB6F934" w14:textId="2075C65C" w:rsidR="00B664B5" w:rsidRPr="00B664B5" w:rsidRDefault="00B664B5" w:rsidP="0021426A">
      <w:pPr>
        <w:pStyle w:val="NormalIndent1"/>
        <w:jc w:val="left"/>
        <w:rPr>
          <w:lang w:val="en-US"/>
        </w:rPr>
      </w:pPr>
      <w:r w:rsidRPr="00B664B5">
        <w:rPr>
          <w:lang w:val="en-US"/>
        </w:rPr>
        <w:t xml:space="preserve">No safety data are available on the effects of live vaccine when used in combination with </w:t>
      </w:r>
      <w:r w:rsidR="00C36EA6">
        <w:rPr>
          <w:lang w:val="en-US"/>
        </w:rPr>
        <w:t>etanercept</w:t>
      </w:r>
      <w:r w:rsidRPr="00B664B5">
        <w:rPr>
          <w:lang w:val="en-US"/>
        </w:rPr>
        <w:t xml:space="preserve">. </w:t>
      </w:r>
      <w:r>
        <w:rPr>
          <w:lang w:val="en-US"/>
        </w:rPr>
        <w:t xml:space="preserve"> </w:t>
      </w:r>
      <w:r w:rsidRPr="00B664B5">
        <w:rPr>
          <w:lang w:val="en-US"/>
        </w:rPr>
        <w:t xml:space="preserve">Live vaccines should therefore not be given concurrently with </w:t>
      </w:r>
      <w:r w:rsidR="003D1456">
        <w:rPr>
          <w:lang w:val="en-US"/>
        </w:rPr>
        <w:t>Rymti</w:t>
      </w:r>
      <w:r w:rsidRPr="00B664B5">
        <w:rPr>
          <w:lang w:val="en-US"/>
        </w:rPr>
        <w:t>.</w:t>
      </w:r>
    </w:p>
    <w:p w14:paraId="3C831A41" w14:textId="77777777" w:rsidR="00B664B5" w:rsidRPr="00B664B5" w:rsidRDefault="00B664B5" w:rsidP="0021426A">
      <w:pPr>
        <w:pStyle w:val="NormalIndent1"/>
        <w:jc w:val="left"/>
        <w:rPr>
          <w:lang w:val="en-US"/>
        </w:rPr>
      </w:pPr>
    </w:p>
    <w:p w14:paraId="0C930BB4" w14:textId="77777777" w:rsidR="00B664B5" w:rsidRPr="00B664B5" w:rsidRDefault="00B664B5" w:rsidP="0021426A">
      <w:pPr>
        <w:pStyle w:val="Heading3"/>
        <w:jc w:val="left"/>
        <w:rPr>
          <w:lang w:val="en-US"/>
        </w:rPr>
      </w:pPr>
      <w:r w:rsidRPr="00B664B5">
        <w:rPr>
          <w:lang w:val="en-US"/>
        </w:rPr>
        <w:t>Sulfasalazine</w:t>
      </w:r>
    </w:p>
    <w:p w14:paraId="0034B4F0" w14:textId="77777777" w:rsidR="00B664B5" w:rsidRPr="00B664B5" w:rsidRDefault="00B664B5" w:rsidP="0021426A">
      <w:pPr>
        <w:pStyle w:val="NormalIndent1"/>
        <w:jc w:val="left"/>
        <w:rPr>
          <w:lang w:val="en-US"/>
        </w:rPr>
      </w:pPr>
    </w:p>
    <w:p w14:paraId="010E05AD" w14:textId="1CD13EB4" w:rsidR="00B664B5" w:rsidRPr="00B664B5" w:rsidRDefault="00B664B5" w:rsidP="0021426A">
      <w:pPr>
        <w:pStyle w:val="NormalIndent1"/>
        <w:jc w:val="left"/>
        <w:rPr>
          <w:lang w:val="en-US"/>
        </w:rPr>
      </w:pPr>
      <w:r w:rsidRPr="00B664B5">
        <w:rPr>
          <w:lang w:val="en-US"/>
        </w:rPr>
        <w:t xml:space="preserve">In a clinical study of patients who were receiving established doses of sulfasalazine, to which </w:t>
      </w:r>
      <w:r w:rsidR="00C36EA6">
        <w:rPr>
          <w:lang w:val="en-US"/>
        </w:rPr>
        <w:t>etanercept</w:t>
      </w:r>
      <w:r w:rsidRPr="00B664B5">
        <w:rPr>
          <w:lang w:val="en-US"/>
        </w:rPr>
        <w:t xml:space="preserve"> was added, patients in the combination group experienced a statistically significant decrease in mean white blood cell counts in comparison to groups treated with </w:t>
      </w:r>
      <w:r w:rsidR="00C36EA6">
        <w:rPr>
          <w:lang w:val="en-US"/>
        </w:rPr>
        <w:t>etanercept</w:t>
      </w:r>
      <w:r w:rsidR="00EA1B35">
        <w:rPr>
          <w:lang w:val="en-US"/>
        </w:rPr>
        <w:t xml:space="preserve"> </w:t>
      </w:r>
      <w:r w:rsidRPr="00B664B5">
        <w:rPr>
          <w:lang w:val="en-US"/>
        </w:rPr>
        <w:t>or sulfasalazine alone.</w:t>
      </w:r>
    </w:p>
    <w:p w14:paraId="11FC70F4" w14:textId="77777777" w:rsidR="00B664B5" w:rsidRPr="00B664B5" w:rsidRDefault="00B664B5" w:rsidP="0021426A">
      <w:pPr>
        <w:pStyle w:val="NormalIndent1"/>
        <w:jc w:val="left"/>
        <w:rPr>
          <w:lang w:val="en-US"/>
        </w:rPr>
      </w:pPr>
    </w:p>
    <w:p w14:paraId="1C85FDD9" w14:textId="77777777" w:rsidR="00B664B5" w:rsidRPr="00B664B5" w:rsidRDefault="00B664B5" w:rsidP="0021426A">
      <w:pPr>
        <w:pStyle w:val="Heading3"/>
        <w:jc w:val="left"/>
        <w:rPr>
          <w:lang w:val="en-US"/>
        </w:rPr>
      </w:pPr>
      <w:r w:rsidRPr="00B664B5">
        <w:rPr>
          <w:lang w:val="en-US"/>
        </w:rPr>
        <w:t>Digoxin</w:t>
      </w:r>
    </w:p>
    <w:p w14:paraId="5B682547" w14:textId="77777777" w:rsidR="00B664B5" w:rsidRPr="00B664B5" w:rsidRDefault="00B664B5" w:rsidP="0021426A">
      <w:pPr>
        <w:pStyle w:val="NormalIndent1"/>
        <w:jc w:val="left"/>
        <w:rPr>
          <w:lang w:val="en-US"/>
        </w:rPr>
      </w:pPr>
    </w:p>
    <w:p w14:paraId="456AFE84" w14:textId="563BCD74" w:rsidR="00B664B5" w:rsidRDefault="00C36EA6" w:rsidP="0021426A">
      <w:pPr>
        <w:pStyle w:val="NormalIndent1"/>
        <w:jc w:val="left"/>
        <w:rPr>
          <w:lang w:val="en-US"/>
        </w:rPr>
      </w:pPr>
      <w:r>
        <w:rPr>
          <w:lang w:val="en-US"/>
        </w:rPr>
        <w:t>Etanercept</w:t>
      </w:r>
      <w:r w:rsidR="00B664B5" w:rsidRPr="00B664B5">
        <w:rPr>
          <w:lang w:val="en-US"/>
        </w:rPr>
        <w:t xml:space="preserve"> does not significantly affect digoxin exposure.  There was a reduction in </w:t>
      </w:r>
      <w:r>
        <w:rPr>
          <w:lang w:val="en-US"/>
        </w:rPr>
        <w:t>etanercept</w:t>
      </w:r>
      <w:r w:rsidR="00B664B5" w:rsidRPr="00B664B5">
        <w:rPr>
          <w:lang w:val="en-US"/>
        </w:rPr>
        <w:t xml:space="preserve"> exposure in the presence of digoxin, however there was significant inter-subject variability.  The clinical significance of this reduced exposure is uncertain.</w:t>
      </w:r>
    </w:p>
    <w:p w14:paraId="34B2F31B" w14:textId="77777777" w:rsidR="00CB0FEC" w:rsidRDefault="00CB0FEC" w:rsidP="0021426A">
      <w:pPr>
        <w:pStyle w:val="NormalIndent1"/>
        <w:jc w:val="left"/>
        <w:rPr>
          <w:lang w:val="en-US"/>
        </w:rPr>
      </w:pPr>
    </w:p>
    <w:p w14:paraId="502534E4" w14:textId="77777777" w:rsidR="00CB0FEC" w:rsidRPr="00483C2F" w:rsidRDefault="00CB0FEC" w:rsidP="0021426A">
      <w:pPr>
        <w:pStyle w:val="NormalIndent1"/>
        <w:jc w:val="left"/>
        <w:rPr>
          <w:b/>
          <w:lang w:val="en-US"/>
        </w:rPr>
      </w:pPr>
      <w:r w:rsidRPr="00483C2F">
        <w:rPr>
          <w:b/>
          <w:lang w:val="en-US"/>
        </w:rPr>
        <w:t>Table 1: Effect of Digoxin on Pharmacokinetic Parameters of Etanercept</w:t>
      </w:r>
    </w:p>
    <w:p w14:paraId="3E6ADFC0" w14:textId="77777777" w:rsidR="00B664B5" w:rsidRPr="00B664B5" w:rsidRDefault="00B664B5" w:rsidP="0021426A">
      <w:pPr>
        <w:pStyle w:val="NormalIndent1"/>
        <w:jc w:val="left"/>
        <w:rPr>
          <w:lang w:val="en-US"/>
        </w:rPr>
      </w:pPr>
    </w:p>
    <w:tbl>
      <w:tblPr>
        <w:tblW w:w="9208" w:type="dxa"/>
        <w:tblInd w:w="425" w:type="dxa"/>
        <w:tblLayout w:type="fixed"/>
        <w:tblLook w:val="01E0" w:firstRow="1" w:lastRow="1" w:firstColumn="1" w:lastColumn="1" w:noHBand="0" w:noVBand="0"/>
      </w:tblPr>
      <w:tblGrid>
        <w:gridCol w:w="3069"/>
        <w:gridCol w:w="3069"/>
        <w:gridCol w:w="3070"/>
      </w:tblGrid>
      <w:tr w:rsidR="00B664B5" w:rsidRPr="00B664B5" w14:paraId="71654125" w14:textId="77777777" w:rsidTr="00B37960">
        <w:trPr>
          <w:tblHeader/>
        </w:trPr>
        <w:tc>
          <w:tcPr>
            <w:tcW w:w="9208" w:type="dxa"/>
            <w:gridSpan w:val="3"/>
            <w:tcBorders>
              <w:top w:val="single" w:sz="12" w:space="0" w:color="000000"/>
              <w:left w:val="single" w:sz="12" w:space="0" w:color="000000"/>
              <w:bottom w:val="single" w:sz="12" w:space="0" w:color="000000"/>
              <w:right w:val="single" w:sz="12" w:space="0" w:color="000000"/>
            </w:tcBorders>
          </w:tcPr>
          <w:p w14:paraId="2516A92F" w14:textId="4F45D0DA" w:rsidR="00B664B5" w:rsidRPr="00B664B5" w:rsidRDefault="00B664B5" w:rsidP="0021426A">
            <w:pPr>
              <w:pStyle w:val="NormalIndent1"/>
              <w:ind w:left="0"/>
              <w:jc w:val="left"/>
              <w:rPr>
                <w:lang w:val="en-US"/>
              </w:rPr>
            </w:pPr>
            <w:r w:rsidRPr="00B664B5">
              <w:rPr>
                <w:b/>
                <w:lang w:val="en-US"/>
              </w:rPr>
              <w:t xml:space="preserve">Effect of Digoxin on </w:t>
            </w:r>
            <w:r w:rsidR="008B73F6" w:rsidRPr="00B664B5">
              <w:rPr>
                <w:b/>
                <w:lang w:val="en-US"/>
              </w:rPr>
              <w:t xml:space="preserve">Pharmacokinetic Parameters </w:t>
            </w:r>
            <w:r w:rsidRPr="00B664B5">
              <w:rPr>
                <w:b/>
                <w:lang w:val="en-US"/>
              </w:rPr>
              <w:t xml:space="preserve">of </w:t>
            </w:r>
            <w:r w:rsidR="00C36EA6">
              <w:rPr>
                <w:b/>
                <w:lang w:val="en-US"/>
              </w:rPr>
              <w:t>Etanercept</w:t>
            </w:r>
          </w:p>
        </w:tc>
      </w:tr>
      <w:tr w:rsidR="00B664B5" w:rsidRPr="008B73F6" w14:paraId="7DC6C874" w14:textId="77777777" w:rsidTr="00B37960">
        <w:trPr>
          <w:tblHeader/>
        </w:trPr>
        <w:tc>
          <w:tcPr>
            <w:tcW w:w="3069" w:type="dxa"/>
            <w:tcBorders>
              <w:top w:val="single" w:sz="12" w:space="0" w:color="000000"/>
              <w:left w:val="single" w:sz="12" w:space="0" w:color="000000"/>
              <w:bottom w:val="single" w:sz="12" w:space="0" w:color="000000"/>
              <w:right w:val="single" w:sz="12" w:space="0" w:color="000000"/>
            </w:tcBorders>
          </w:tcPr>
          <w:p w14:paraId="548116CF" w14:textId="77777777" w:rsidR="00B664B5" w:rsidRPr="008B73F6" w:rsidRDefault="00B664B5" w:rsidP="0021426A">
            <w:pPr>
              <w:pStyle w:val="NormalIndent1"/>
              <w:ind w:left="0"/>
              <w:jc w:val="left"/>
              <w:rPr>
                <w:b/>
                <w:lang w:val="en-US"/>
              </w:rPr>
            </w:pPr>
            <w:r w:rsidRPr="008B73F6">
              <w:rPr>
                <w:b/>
                <w:lang w:val="en-US"/>
              </w:rPr>
              <w:t>Mean (SD)</w:t>
            </w:r>
          </w:p>
        </w:tc>
        <w:tc>
          <w:tcPr>
            <w:tcW w:w="3069" w:type="dxa"/>
            <w:tcBorders>
              <w:top w:val="single" w:sz="12" w:space="0" w:color="000000"/>
              <w:left w:val="single" w:sz="12" w:space="0" w:color="000000"/>
              <w:bottom w:val="single" w:sz="12" w:space="0" w:color="000000"/>
              <w:right w:val="single" w:sz="12" w:space="0" w:color="000000"/>
            </w:tcBorders>
          </w:tcPr>
          <w:p w14:paraId="7754F277" w14:textId="446A22BF" w:rsidR="00B664B5" w:rsidRPr="008B73F6" w:rsidRDefault="00C36EA6" w:rsidP="0021426A">
            <w:pPr>
              <w:pStyle w:val="NormalIndent1"/>
              <w:ind w:left="0"/>
              <w:jc w:val="left"/>
              <w:rPr>
                <w:b/>
                <w:lang w:val="en-US"/>
              </w:rPr>
            </w:pPr>
            <w:r>
              <w:rPr>
                <w:b/>
                <w:lang w:val="en-US"/>
              </w:rPr>
              <w:t>Etanercept</w:t>
            </w:r>
          </w:p>
        </w:tc>
        <w:tc>
          <w:tcPr>
            <w:tcW w:w="3070" w:type="dxa"/>
            <w:tcBorders>
              <w:top w:val="single" w:sz="12" w:space="0" w:color="000000"/>
              <w:left w:val="single" w:sz="12" w:space="0" w:color="000000"/>
              <w:bottom w:val="single" w:sz="12" w:space="0" w:color="000000"/>
              <w:right w:val="single" w:sz="12" w:space="0" w:color="000000"/>
            </w:tcBorders>
          </w:tcPr>
          <w:p w14:paraId="10E6B552" w14:textId="36C3D447" w:rsidR="00B664B5" w:rsidRPr="008B73F6" w:rsidRDefault="00C36EA6" w:rsidP="0021426A">
            <w:pPr>
              <w:pStyle w:val="NormalIndent1"/>
              <w:ind w:left="0"/>
              <w:jc w:val="left"/>
              <w:rPr>
                <w:b/>
                <w:lang w:val="en-US"/>
              </w:rPr>
            </w:pPr>
            <w:r>
              <w:rPr>
                <w:b/>
                <w:lang w:val="en-US"/>
              </w:rPr>
              <w:t>Etanercept</w:t>
            </w:r>
            <w:r w:rsidR="00B664B5" w:rsidRPr="008B73F6">
              <w:rPr>
                <w:b/>
                <w:lang w:val="en-US"/>
              </w:rPr>
              <w:t xml:space="preserve"> + Digoxin</w:t>
            </w:r>
          </w:p>
        </w:tc>
      </w:tr>
      <w:tr w:rsidR="00B664B5" w:rsidRPr="00B664B5" w14:paraId="72A23E2D" w14:textId="77777777" w:rsidTr="00C731D0">
        <w:tc>
          <w:tcPr>
            <w:tcW w:w="3069" w:type="dxa"/>
            <w:tcBorders>
              <w:top w:val="single" w:sz="12" w:space="0" w:color="000000"/>
              <w:left w:val="single" w:sz="5" w:space="0" w:color="000000"/>
              <w:bottom w:val="single" w:sz="5" w:space="0" w:color="000000"/>
              <w:right w:val="single" w:sz="5" w:space="0" w:color="000000"/>
            </w:tcBorders>
          </w:tcPr>
          <w:p w14:paraId="4E04F6C9" w14:textId="77777777" w:rsidR="00B664B5" w:rsidRPr="00B664B5" w:rsidRDefault="00B664B5" w:rsidP="0021426A">
            <w:pPr>
              <w:pStyle w:val="NormalIndent1"/>
              <w:ind w:left="0"/>
              <w:jc w:val="left"/>
              <w:rPr>
                <w:lang w:val="en-US"/>
              </w:rPr>
            </w:pPr>
            <w:r w:rsidRPr="00B664B5">
              <w:rPr>
                <w:lang w:val="en-US"/>
              </w:rPr>
              <w:t>C</w:t>
            </w:r>
            <w:r w:rsidRPr="00483C2F">
              <w:rPr>
                <w:vertAlign w:val="subscript"/>
                <w:lang w:val="en-US"/>
              </w:rPr>
              <w:t>max</w:t>
            </w:r>
            <w:r w:rsidRPr="00B664B5">
              <w:rPr>
                <w:lang w:val="en-US"/>
              </w:rPr>
              <w:t xml:space="preserve"> (</w:t>
            </w:r>
            <w:r w:rsidR="008B73F6">
              <w:rPr>
                <w:rFonts w:cstheme="minorHAnsi"/>
                <w:lang w:val="en-US"/>
              </w:rPr>
              <w:t>µ</w:t>
            </w:r>
            <w:r w:rsidRPr="00B664B5">
              <w:rPr>
                <w:lang w:val="en-US"/>
              </w:rPr>
              <w:t>g/mL)</w:t>
            </w:r>
          </w:p>
        </w:tc>
        <w:tc>
          <w:tcPr>
            <w:tcW w:w="3069" w:type="dxa"/>
            <w:tcBorders>
              <w:top w:val="single" w:sz="12" w:space="0" w:color="000000"/>
              <w:left w:val="single" w:sz="5" w:space="0" w:color="000000"/>
              <w:bottom w:val="single" w:sz="5" w:space="0" w:color="000000"/>
              <w:right w:val="single" w:sz="5" w:space="0" w:color="000000"/>
            </w:tcBorders>
          </w:tcPr>
          <w:p w14:paraId="2F7C658C" w14:textId="77777777" w:rsidR="00B664B5" w:rsidRPr="00B664B5" w:rsidRDefault="00B664B5" w:rsidP="0021426A">
            <w:pPr>
              <w:pStyle w:val="NormalIndent1"/>
              <w:ind w:left="0"/>
              <w:jc w:val="left"/>
              <w:rPr>
                <w:lang w:val="en-US"/>
              </w:rPr>
            </w:pPr>
            <w:r w:rsidRPr="00B664B5">
              <w:rPr>
                <w:lang w:val="en-US"/>
              </w:rPr>
              <w:t>2.64 (1.24)</w:t>
            </w:r>
          </w:p>
        </w:tc>
        <w:tc>
          <w:tcPr>
            <w:tcW w:w="3070" w:type="dxa"/>
            <w:tcBorders>
              <w:top w:val="single" w:sz="12" w:space="0" w:color="000000"/>
              <w:left w:val="single" w:sz="5" w:space="0" w:color="000000"/>
              <w:bottom w:val="single" w:sz="5" w:space="0" w:color="000000"/>
              <w:right w:val="single" w:sz="5" w:space="0" w:color="000000"/>
            </w:tcBorders>
          </w:tcPr>
          <w:p w14:paraId="52506E3F" w14:textId="77777777" w:rsidR="00B664B5" w:rsidRPr="00B664B5" w:rsidRDefault="00B664B5" w:rsidP="0021426A">
            <w:pPr>
              <w:pStyle w:val="NormalIndent1"/>
              <w:ind w:left="0"/>
              <w:jc w:val="left"/>
              <w:rPr>
                <w:lang w:val="en-US"/>
              </w:rPr>
            </w:pPr>
            <w:r w:rsidRPr="00B664B5">
              <w:rPr>
                <w:lang w:val="en-US"/>
              </w:rPr>
              <w:t>2.53 (1.93)</w:t>
            </w:r>
          </w:p>
        </w:tc>
      </w:tr>
      <w:tr w:rsidR="00B664B5" w:rsidRPr="00B664B5" w14:paraId="01B96202" w14:textId="77777777" w:rsidTr="008B73F6">
        <w:tc>
          <w:tcPr>
            <w:tcW w:w="3069" w:type="dxa"/>
            <w:tcBorders>
              <w:top w:val="single" w:sz="5" w:space="0" w:color="000000"/>
              <w:left w:val="single" w:sz="5" w:space="0" w:color="000000"/>
              <w:bottom w:val="single" w:sz="5" w:space="0" w:color="000000"/>
              <w:right w:val="single" w:sz="5" w:space="0" w:color="000000"/>
            </w:tcBorders>
          </w:tcPr>
          <w:p w14:paraId="553835A3" w14:textId="77777777" w:rsidR="00B664B5" w:rsidRPr="00B664B5" w:rsidRDefault="00B664B5" w:rsidP="0021426A">
            <w:pPr>
              <w:pStyle w:val="NormalIndent1"/>
              <w:ind w:left="0"/>
              <w:jc w:val="left"/>
              <w:rPr>
                <w:lang w:val="en-US"/>
              </w:rPr>
            </w:pPr>
            <w:r w:rsidRPr="00B664B5">
              <w:rPr>
                <w:lang w:val="en-US"/>
              </w:rPr>
              <w:t>AUC</w:t>
            </w:r>
            <w:r w:rsidRPr="008B73F6">
              <w:rPr>
                <w:vertAlign w:val="subscript"/>
                <w:lang w:val="en-US"/>
              </w:rPr>
              <w:t>(0-t)</w:t>
            </w:r>
            <w:r w:rsidRPr="00B664B5">
              <w:rPr>
                <w:lang w:val="en-US"/>
              </w:rPr>
              <w:t xml:space="preserve"> </w:t>
            </w:r>
            <w:r w:rsidR="008B73F6">
              <w:rPr>
                <w:rFonts w:cstheme="minorHAnsi"/>
                <w:lang w:val="en-US"/>
              </w:rPr>
              <w:t>µ</w:t>
            </w:r>
            <w:r w:rsidR="008B73F6" w:rsidRPr="00B664B5">
              <w:rPr>
                <w:lang w:val="en-US"/>
              </w:rPr>
              <w:t xml:space="preserve">g </w:t>
            </w:r>
            <w:r w:rsidRPr="00B664B5">
              <w:rPr>
                <w:lang w:val="en-US"/>
              </w:rPr>
              <w:t>/</w:t>
            </w:r>
            <w:proofErr w:type="spellStart"/>
            <w:r w:rsidRPr="00B664B5">
              <w:rPr>
                <w:lang w:val="en-US"/>
              </w:rPr>
              <w:t>mL.h</w:t>
            </w:r>
            <w:proofErr w:type="spellEnd"/>
            <w:r w:rsidRPr="00B664B5">
              <w:rPr>
                <w:lang w:val="en-US"/>
              </w:rPr>
              <w:t>)</w:t>
            </w:r>
          </w:p>
        </w:tc>
        <w:tc>
          <w:tcPr>
            <w:tcW w:w="3069" w:type="dxa"/>
            <w:tcBorders>
              <w:top w:val="single" w:sz="5" w:space="0" w:color="000000"/>
              <w:left w:val="single" w:sz="5" w:space="0" w:color="000000"/>
              <w:bottom w:val="single" w:sz="5" w:space="0" w:color="000000"/>
              <w:right w:val="single" w:sz="5" w:space="0" w:color="000000"/>
            </w:tcBorders>
          </w:tcPr>
          <w:p w14:paraId="686EA0A1" w14:textId="77777777" w:rsidR="00B664B5" w:rsidRPr="00B664B5" w:rsidRDefault="00B664B5" w:rsidP="0021426A">
            <w:pPr>
              <w:pStyle w:val="NormalIndent1"/>
              <w:ind w:left="0"/>
              <w:jc w:val="left"/>
              <w:rPr>
                <w:lang w:val="en-US"/>
              </w:rPr>
            </w:pPr>
            <w:r w:rsidRPr="00B664B5">
              <w:rPr>
                <w:lang w:val="en-US"/>
              </w:rPr>
              <w:t>152 (68.7)</w:t>
            </w:r>
          </w:p>
        </w:tc>
        <w:tc>
          <w:tcPr>
            <w:tcW w:w="3070" w:type="dxa"/>
            <w:tcBorders>
              <w:top w:val="single" w:sz="5" w:space="0" w:color="000000"/>
              <w:left w:val="single" w:sz="5" w:space="0" w:color="000000"/>
              <w:bottom w:val="single" w:sz="5" w:space="0" w:color="000000"/>
              <w:right w:val="single" w:sz="5" w:space="0" w:color="000000"/>
            </w:tcBorders>
          </w:tcPr>
          <w:p w14:paraId="77152856" w14:textId="77777777" w:rsidR="00B664B5" w:rsidRPr="00B664B5" w:rsidRDefault="00B664B5" w:rsidP="0021426A">
            <w:pPr>
              <w:pStyle w:val="NormalIndent1"/>
              <w:ind w:left="0"/>
              <w:jc w:val="left"/>
              <w:rPr>
                <w:lang w:val="en-US"/>
              </w:rPr>
            </w:pPr>
            <w:r w:rsidRPr="00B664B5">
              <w:rPr>
                <w:lang w:val="en-US"/>
              </w:rPr>
              <w:t>133 (96.3)</w:t>
            </w:r>
          </w:p>
        </w:tc>
      </w:tr>
    </w:tbl>
    <w:p w14:paraId="3225D508" w14:textId="77777777" w:rsidR="00B664B5" w:rsidRPr="00B664B5" w:rsidRDefault="00B664B5" w:rsidP="0021426A">
      <w:pPr>
        <w:pStyle w:val="Heading3"/>
        <w:jc w:val="left"/>
        <w:rPr>
          <w:lang w:val="en-US"/>
        </w:rPr>
      </w:pPr>
      <w:r w:rsidRPr="00B664B5">
        <w:rPr>
          <w:lang w:val="en-US"/>
        </w:rPr>
        <w:t>Warfarin</w:t>
      </w:r>
    </w:p>
    <w:p w14:paraId="706A6C2B" w14:textId="77777777" w:rsidR="00B664B5" w:rsidRPr="00B664B5" w:rsidRDefault="00B664B5" w:rsidP="0021426A">
      <w:pPr>
        <w:pStyle w:val="NormalIndent1"/>
        <w:jc w:val="left"/>
        <w:rPr>
          <w:lang w:val="en-US"/>
        </w:rPr>
      </w:pPr>
    </w:p>
    <w:p w14:paraId="3DC4ACC6" w14:textId="2AA701E2" w:rsidR="00B664B5" w:rsidRDefault="00C36EA6" w:rsidP="0021426A">
      <w:pPr>
        <w:pStyle w:val="NormalIndent1"/>
        <w:jc w:val="left"/>
        <w:rPr>
          <w:lang w:val="en-US"/>
        </w:rPr>
      </w:pPr>
      <w:r>
        <w:rPr>
          <w:lang w:val="en-US"/>
        </w:rPr>
        <w:t>Etanercept</w:t>
      </w:r>
      <w:r w:rsidR="00B664B5" w:rsidRPr="00B664B5">
        <w:rPr>
          <w:lang w:val="en-US"/>
        </w:rPr>
        <w:t xml:space="preserve"> does not significantly affect warfarin exposure.  There was a slight reduction in </w:t>
      </w:r>
      <w:r>
        <w:rPr>
          <w:lang w:val="en-US"/>
        </w:rPr>
        <w:t>etanercept</w:t>
      </w:r>
      <w:r w:rsidR="00B664B5" w:rsidRPr="00B664B5">
        <w:rPr>
          <w:lang w:val="en-US"/>
        </w:rPr>
        <w:t xml:space="preserve"> exposure in the presence of warfarin, however there was significant inter-subject variability.  The clinical significance of this reduced exposure is uncertain.</w:t>
      </w:r>
    </w:p>
    <w:p w14:paraId="3D250B36" w14:textId="77777777" w:rsidR="00CB0FEC" w:rsidRDefault="00CB0FEC" w:rsidP="0021426A">
      <w:pPr>
        <w:pStyle w:val="NormalIndent1"/>
        <w:jc w:val="left"/>
        <w:rPr>
          <w:lang w:val="en-US"/>
        </w:rPr>
      </w:pPr>
    </w:p>
    <w:p w14:paraId="512BE3F1" w14:textId="77777777" w:rsidR="00CB0FEC" w:rsidRPr="00B37960" w:rsidRDefault="00CB0FEC" w:rsidP="0021426A">
      <w:pPr>
        <w:pStyle w:val="NormalIndent1"/>
        <w:jc w:val="left"/>
        <w:rPr>
          <w:b/>
          <w:lang w:val="en-US"/>
        </w:rPr>
      </w:pPr>
      <w:r w:rsidRPr="00B37960">
        <w:rPr>
          <w:b/>
          <w:lang w:val="en-US"/>
        </w:rPr>
        <w:t xml:space="preserve">Table 2: </w:t>
      </w:r>
      <w:r>
        <w:rPr>
          <w:b/>
          <w:lang w:val="en-US"/>
        </w:rPr>
        <w:t>Effect of Warfarin on Pharmacokinetic Parameters of Etanercept</w:t>
      </w:r>
    </w:p>
    <w:p w14:paraId="1BD47FC7" w14:textId="77777777" w:rsidR="008B73F6" w:rsidRPr="00B664B5" w:rsidRDefault="008B73F6" w:rsidP="0021426A">
      <w:pPr>
        <w:pStyle w:val="NormalIndent1"/>
        <w:jc w:val="left"/>
        <w:rPr>
          <w:lang w:val="en-US"/>
        </w:rPr>
      </w:pPr>
    </w:p>
    <w:tbl>
      <w:tblPr>
        <w:tblW w:w="9208" w:type="dxa"/>
        <w:tblInd w:w="425" w:type="dxa"/>
        <w:tblLayout w:type="fixed"/>
        <w:tblLook w:val="01E0" w:firstRow="1" w:lastRow="1" w:firstColumn="1" w:lastColumn="1" w:noHBand="0" w:noVBand="0"/>
      </w:tblPr>
      <w:tblGrid>
        <w:gridCol w:w="3069"/>
        <w:gridCol w:w="3069"/>
        <w:gridCol w:w="3070"/>
      </w:tblGrid>
      <w:tr w:rsidR="008B73F6" w:rsidRPr="00B664B5" w14:paraId="458B0406" w14:textId="77777777" w:rsidTr="00B37960">
        <w:trPr>
          <w:tblHeader/>
        </w:trPr>
        <w:tc>
          <w:tcPr>
            <w:tcW w:w="9208" w:type="dxa"/>
            <w:gridSpan w:val="3"/>
            <w:tcBorders>
              <w:top w:val="single" w:sz="12" w:space="0" w:color="000000"/>
              <w:left w:val="single" w:sz="12" w:space="0" w:color="000000"/>
              <w:bottom w:val="single" w:sz="12" w:space="0" w:color="000000"/>
              <w:right w:val="single" w:sz="12" w:space="0" w:color="000000"/>
            </w:tcBorders>
          </w:tcPr>
          <w:p w14:paraId="4236A5FF" w14:textId="64000E92" w:rsidR="008B73F6" w:rsidRPr="00B664B5" w:rsidRDefault="008B73F6" w:rsidP="0021426A">
            <w:pPr>
              <w:pStyle w:val="NormalIndent1"/>
              <w:ind w:left="0"/>
              <w:jc w:val="left"/>
              <w:rPr>
                <w:lang w:val="en-US"/>
              </w:rPr>
            </w:pPr>
            <w:r w:rsidRPr="00B664B5">
              <w:rPr>
                <w:b/>
                <w:lang w:val="en-US"/>
              </w:rPr>
              <w:t xml:space="preserve">Effect of </w:t>
            </w:r>
            <w:r>
              <w:rPr>
                <w:b/>
                <w:lang w:val="en-US"/>
              </w:rPr>
              <w:t>Warfarin</w:t>
            </w:r>
            <w:r w:rsidRPr="00B664B5">
              <w:rPr>
                <w:b/>
                <w:lang w:val="en-US"/>
              </w:rPr>
              <w:t xml:space="preserve"> on Pharmacokinetic Parameters of </w:t>
            </w:r>
            <w:r w:rsidR="00C36EA6">
              <w:rPr>
                <w:b/>
                <w:lang w:val="en-US"/>
              </w:rPr>
              <w:t>Etanercept</w:t>
            </w:r>
          </w:p>
        </w:tc>
      </w:tr>
      <w:tr w:rsidR="008B73F6" w:rsidRPr="008B73F6" w14:paraId="12053F5A" w14:textId="77777777" w:rsidTr="00B37960">
        <w:trPr>
          <w:tblHeader/>
        </w:trPr>
        <w:tc>
          <w:tcPr>
            <w:tcW w:w="3069" w:type="dxa"/>
            <w:tcBorders>
              <w:top w:val="single" w:sz="12" w:space="0" w:color="000000"/>
              <w:left w:val="single" w:sz="12" w:space="0" w:color="000000"/>
              <w:bottom w:val="single" w:sz="12" w:space="0" w:color="000000"/>
              <w:right w:val="single" w:sz="12" w:space="0" w:color="000000"/>
            </w:tcBorders>
          </w:tcPr>
          <w:p w14:paraId="01263299" w14:textId="77777777" w:rsidR="008B73F6" w:rsidRPr="008B73F6" w:rsidRDefault="008B73F6" w:rsidP="0021426A">
            <w:pPr>
              <w:pStyle w:val="NormalIndent1"/>
              <w:ind w:left="0"/>
              <w:jc w:val="left"/>
              <w:rPr>
                <w:b/>
                <w:lang w:val="en-US"/>
              </w:rPr>
            </w:pPr>
            <w:r w:rsidRPr="008B73F6">
              <w:rPr>
                <w:b/>
                <w:lang w:val="en-US"/>
              </w:rPr>
              <w:t>Mean (SD)</w:t>
            </w:r>
          </w:p>
        </w:tc>
        <w:tc>
          <w:tcPr>
            <w:tcW w:w="3069" w:type="dxa"/>
            <w:tcBorders>
              <w:top w:val="single" w:sz="12" w:space="0" w:color="000000"/>
              <w:left w:val="single" w:sz="12" w:space="0" w:color="000000"/>
              <w:bottom w:val="single" w:sz="12" w:space="0" w:color="000000"/>
              <w:right w:val="single" w:sz="12" w:space="0" w:color="000000"/>
            </w:tcBorders>
          </w:tcPr>
          <w:p w14:paraId="316FD7F2" w14:textId="713BDE36" w:rsidR="008B73F6" w:rsidRPr="008B73F6" w:rsidRDefault="00C36EA6" w:rsidP="0021426A">
            <w:pPr>
              <w:pStyle w:val="NormalIndent1"/>
              <w:ind w:left="0"/>
              <w:jc w:val="left"/>
              <w:rPr>
                <w:b/>
                <w:lang w:val="en-US"/>
              </w:rPr>
            </w:pPr>
            <w:r>
              <w:rPr>
                <w:b/>
                <w:lang w:val="en-US"/>
              </w:rPr>
              <w:t>Etanercept</w:t>
            </w:r>
          </w:p>
        </w:tc>
        <w:tc>
          <w:tcPr>
            <w:tcW w:w="3070" w:type="dxa"/>
            <w:tcBorders>
              <w:top w:val="single" w:sz="12" w:space="0" w:color="000000"/>
              <w:left w:val="single" w:sz="12" w:space="0" w:color="000000"/>
              <w:bottom w:val="single" w:sz="12" w:space="0" w:color="000000"/>
              <w:right w:val="single" w:sz="12" w:space="0" w:color="000000"/>
            </w:tcBorders>
          </w:tcPr>
          <w:p w14:paraId="2ABC39E1" w14:textId="20C8C264" w:rsidR="008B73F6" w:rsidRPr="008B73F6" w:rsidRDefault="00C36EA6" w:rsidP="0021426A">
            <w:pPr>
              <w:pStyle w:val="NormalIndent1"/>
              <w:ind w:left="0"/>
              <w:jc w:val="left"/>
              <w:rPr>
                <w:b/>
                <w:lang w:val="en-US"/>
              </w:rPr>
            </w:pPr>
            <w:r>
              <w:rPr>
                <w:b/>
                <w:lang w:val="en-US"/>
              </w:rPr>
              <w:t>Etanercept</w:t>
            </w:r>
            <w:r w:rsidR="008B73F6" w:rsidRPr="008B73F6">
              <w:rPr>
                <w:b/>
                <w:lang w:val="en-US"/>
              </w:rPr>
              <w:t xml:space="preserve"> + </w:t>
            </w:r>
            <w:r w:rsidR="008B73F6">
              <w:rPr>
                <w:b/>
                <w:lang w:val="en-US"/>
              </w:rPr>
              <w:t>Warfarin</w:t>
            </w:r>
          </w:p>
        </w:tc>
      </w:tr>
      <w:tr w:rsidR="008B73F6" w:rsidRPr="00B664B5" w14:paraId="72EB9A39" w14:textId="77777777" w:rsidTr="00C731D0">
        <w:tc>
          <w:tcPr>
            <w:tcW w:w="3069" w:type="dxa"/>
            <w:tcBorders>
              <w:top w:val="single" w:sz="12" w:space="0" w:color="000000"/>
              <w:left w:val="single" w:sz="5" w:space="0" w:color="000000"/>
              <w:bottom w:val="single" w:sz="5" w:space="0" w:color="000000"/>
              <w:right w:val="single" w:sz="5" w:space="0" w:color="000000"/>
            </w:tcBorders>
          </w:tcPr>
          <w:p w14:paraId="6E5C09EA" w14:textId="77777777" w:rsidR="008B73F6" w:rsidRPr="00B664B5" w:rsidRDefault="008B73F6" w:rsidP="0021426A">
            <w:pPr>
              <w:pStyle w:val="NormalIndent1"/>
              <w:ind w:left="0"/>
              <w:jc w:val="left"/>
              <w:rPr>
                <w:lang w:val="en-US"/>
              </w:rPr>
            </w:pPr>
            <w:r w:rsidRPr="00B664B5">
              <w:rPr>
                <w:lang w:val="en-US"/>
              </w:rPr>
              <w:t>C</w:t>
            </w:r>
            <w:r w:rsidRPr="00B37960">
              <w:rPr>
                <w:vertAlign w:val="subscript"/>
                <w:lang w:val="en-US"/>
              </w:rPr>
              <w:t>max</w:t>
            </w:r>
            <w:r w:rsidRPr="00B664B5">
              <w:rPr>
                <w:lang w:val="en-US"/>
              </w:rPr>
              <w:t xml:space="preserve"> (</w:t>
            </w:r>
            <w:r>
              <w:rPr>
                <w:rFonts w:cstheme="minorHAnsi"/>
                <w:lang w:val="en-US"/>
              </w:rPr>
              <w:t>µ</w:t>
            </w:r>
            <w:r w:rsidRPr="00B664B5">
              <w:rPr>
                <w:lang w:val="en-US"/>
              </w:rPr>
              <w:t>g/mL)</w:t>
            </w:r>
          </w:p>
        </w:tc>
        <w:tc>
          <w:tcPr>
            <w:tcW w:w="3069" w:type="dxa"/>
            <w:tcBorders>
              <w:top w:val="single" w:sz="12" w:space="0" w:color="000000"/>
              <w:left w:val="single" w:sz="5" w:space="0" w:color="000000"/>
              <w:bottom w:val="single" w:sz="5" w:space="0" w:color="000000"/>
              <w:right w:val="single" w:sz="5" w:space="0" w:color="000000"/>
            </w:tcBorders>
          </w:tcPr>
          <w:p w14:paraId="5BF550A0" w14:textId="77777777" w:rsidR="008B73F6" w:rsidRPr="00B664B5" w:rsidRDefault="008B73F6" w:rsidP="0021426A">
            <w:pPr>
              <w:pStyle w:val="NormalIndent1"/>
              <w:ind w:left="0"/>
              <w:jc w:val="left"/>
              <w:rPr>
                <w:lang w:val="en-US"/>
              </w:rPr>
            </w:pPr>
            <w:r w:rsidRPr="00B664B5">
              <w:rPr>
                <w:lang w:val="en-US"/>
              </w:rPr>
              <w:t>3.5 (1.09)</w:t>
            </w:r>
          </w:p>
        </w:tc>
        <w:tc>
          <w:tcPr>
            <w:tcW w:w="3070" w:type="dxa"/>
            <w:tcBorders>
              <w:top w:val="single" w:sz="12" w:space="0" w:color="000000"/>
              <w:left w:val="single" w:sz="5" w:space="0" w:color="000000"/>
              <w:bottom w:val="single" w:sz="5" w:space="0" w:color="000000"/>
              <w:right w:val="single" w:sz="5" w:space="0" w:color="000000"/>
            </w:tcBorders>
          </w:tcPr>
          <w:p w14:paraId="6D230109" w14:textId="77777777" w:rsidR="008B73F6" w:rsidRPr="00B664B5" w:rsidRDefault="008B73F6" w:rsidP="0021426A">
            <w:pPr>
              <w:pStyle w:val="NormalIndent1"/>
              <w:ind w:left="0"/>
              <w:jc w:val="left"/>
              <w:rPr>
                <w:lang w:val="en-US"/>
              </w:rPr>
            </w:pPr>
            <w:r w:rsidRPr="00B664B5">
              <w:rPr>
                <w:lang w:val="en-US"/>
              </w:rPr>
              <w:t>3.09 (1.22)</w:t>
            </w:r>
          </w:p>
        </w:tc>
      </w:tr>
      <w:tr w:rsidR="008B73F6" w:rsidRPr="00B664B5" w14:paraId="5ED0D6AB" w14:textId="77777777" w:rsidTr="00643274">
        <w:tc>
          <w:tcPr>
            <w:tcW w:w="3069" w:type="dxa"/>
            <w:tcBorders>
              <w:top w:val="single" w:sz="5" w:space="0" w:color="000000"/>
              <w:left w:val="single" w:sz="5" w:space="0" w:color="000000"/>
              <w:bottom w:val="single" w:sz="5" w:space="0" w:color="000000"/>
              <w:right w:val="single" w:sz="5" w:space="0" w:color="000000"/>
            </w:tcBorders>
          </w:tcPr>
          <w:p w14:paraId="53886289" w14:textId="77777777" w:rsidR="008B73F6" w:rsidRPr="00B664B5" w:rsidRDefault="008B73F6" w:rsidP="0021426A">
            <w:pPr>
              <w:pStyle w:val="NormalIndent1"/>
              <w:ind w:left="0"/>
              <w:jc w:val="left"/>
              <w:rPr>
                <w:lang w:val="en-US"/>
              </w:rPr>
            </w:pPr>
            <w:r w:rsidRPr="00B664B5">
              <w:rPr>
                <w:lang w:val="en-US"/>
              </w:rPr>
              <w:t>AUC</w:t>
            </w:r>
            <w:r w:rsidRPr="008B73F6">
              <w:rPr>
                <w:vertAlign w:val="subscript"/>
                <w:lang w:val="en-US"/>
              </w:rPr>
              <w:t>(0-t)</w:t>
            </w:r>
            <w:r w:rsidRPr="00B664B5">
              <w:rPr>
                <w:lang w:val="en-US"/>
              </w:rPr>
              <w:t xml:space="preserve"> </w:t>
            </w:r>
            <w:r>
              <w:rPr>
                <w:rFonts w:cstheme="minorHAnsi"/>
                <w:lang w:val="en-US"/>
              </w:rPr>
              <w:t>µ</w:t>
            </w:r>
            <w:r w:rsidRPr="00B664B5">
              <w:rPr>
                <w:lang w:val="en-US"/>
              </w:rPr>
              <w:t>g /</w:t>
            </w:r>
            <w:proofErr w:type="spellStart"/>
            <w:r w:rsidRPr="00B664B5">
              <w:rPr>
                <w:lang w:val="en-US"/>
              </w:rPr>
              <w:t>mL.h</w:t>
            </w:r>
            <w:proofErr w:type="spellEnd"/>
            <w:r w:rsidRPr="00B664B5">
              <w:rPr>
                <w:lang w:val="en-US"/>
              </w:rPr>
              <w:t>)</w:t>
            </w:r>
          </w:p>
        </w:tc>
        <w:tc>
          <w:tcPr>
            <w:tcW w:w="3069" w:type="dxa"/>
            <w:tcBorders>
              <w:top w:val="single" w:sz="5" w:space="0" w:color="000000"/>
              <w:left w:val="single" w:sz="5" w:space="0" w:color="000000"/>
              <w:bottom w:val="single" w:sz="5" w:space="0" w:color="000000"/>
              <w:right w:val="single" w:sz="5" w:space="0" w:color="000000"/>
            </w:tcBorders>
          </w:tcPr>
          <w:p w14:paraId="3238F5EA" w14:textId="77777777" w:rsidR="008B73F6" w:rsidRPr="00B664B5" w:rsidRDefault="008B73F6" w:rsidP="0021426A">
            <w:pPr>
              <w:pStyle w:val="NormalIndent1"/>
              <w:ind w:left="0"/>
              <w:jc w:val="left"/>
              <w:rPr>
                <w:lang w:val="en-US"/>
              </w:rPr>
            </w:pPr>
            <w:r w:rsidRPr="00B664B5">
              <w:rPr>
                <w:lang w:val="en-US"/>
              </w:rPr>
              <w:t>180 (71.9)</w:t>
            </w:r>
          </w:p>
        </w:tc>
        <w:tc>
          <w:tcPr>
            <w:tcW w:w="3070" w:type="dxa"/>
            <w:tcBorders>
              <w:top w:val="single" w:sz="5" w:space="0" w:color="000000"/>
              <w:left w:val="single" w:sz="5" w:space="0" w:color="000000"/>
              <w:bottom w:val="single" w:sz="5" w:space="0" w:color="000000"/>
              <w:right w:val="single" w:sz="5" w:space="0" w:color="000000"/>
            </w:tcBorders>
          </w:tcPr>
          <w:p w14:paraId="4E3EEB2C" w14:textId="77777777" w:rsidR="008B73F6" w:rsidRPr="00B664B5" w:rsidRDefault="008B73F6" w:rsidP="0021426A">
            <w:pPr>
              <w:pStyle w:val="NormalIndent1"/>
              <w:ind w:left="0"/>
              <w:jc w:val="left"/>
              <w:rPr>
                <w:lang w:val="en-US"/>
              </w:rPr>
            </w:pPr>
            <w:r w:rsidRPr="00B664B5">
              <w:rPr>
                <w:lang w:val="en-US"/>
              </w:rPr>
              <w:t>160 (75.1)</w:t>
            </w:r>
          </w:p>
        </w:tc>
      </w:tr>
    </w:tbl>
    <w:p w14:paraId="0CC8363D" w14:textId="77777777" w:rsidR="00B664B5" w:rsidRDefault="00B664B5" w:rsidP="0021426A">
      <w:pPr>
        <w:pStyle w:val="NormalIndent1"/>
        <w:jc w:val="left"/>
        <w:rPr>
          <w:lang w:val="en-US"/>
        </w:rPr>
      </w:pPr>
    </w:p>
    <w:p w14:paraId="77D58D03" w14:textId="77777777" w:rsidR="00B664B5" w:rsidRPr="00B664B5" w:rsidRDefault="00B664B5" w:rsidP="0021426A">
      <w:pPr>
        <w:pStyle w:val="Heading3"/>
        <w:jc w:val="left"/>
        <w:rPr>
          <w:lang w:val="en-US"/>
        </w:rPr>
      </w:pPr>
      <w:r w:rsidRPr="00B664B5">
        <w:rPr>
          <w:lang w:val="en-US"/>
        </w:rPr>
        <w:t>Other</w:t>
      </w:r>
    </w:p>
    <w:p w14:paraId="568F9789" w14:textId="77777777" w:rsidR="00B664B5" w:rsidRPr="00B664B5" w:rsidRDefault="00B664B5" w:rsidP="0021426A">
      <w:pPr>
        <w:pStyle w:val="NormalIndent1"/>
        <w:jc w:val="left"/>
        <w:rPr>
          <w:lang w:val="en-US"/>
        </w:rPr>
      </w:pPr>
    </w:p>
    <w:p w14:paraId="5DB54EE4" w14:textId="50D64B12" w:rsidR="00B664B5" w:rsidRPr="00B664B5" w:rsidRDefault="00B664B5" w:rsidP="0021426A">
      <w:pPr>
        <w:pStyle w:val="NormalIndent1"/>
        <w:jc w:val="left"/>
        <w:rPr>
          <w:lang w:val="en-US"/>
        </w:rPr>
      </w:pPr>
      <w:r w:rsidRPr="00B664B5">
        <w:rPr>
          <w:lang w:val="en-US"/>
        </w:rPr>
        <w:t xml:space="preserve">In clinical trials, no apparent interactions have been observed when </w:t>
      </w:r>
      <w:r w:rsidR="00C36EA6">
        <w:rPr>
          <w:lang w:val="en-US"/>
        </w:rPr>
        <w:t>etanercept</w:t>
      </w:r>
      <w:r w:rsidRPr="00B664B5">
        <w:rPr>
          <w:lang w:val="en-US"/>
        </w:rPr>
        <w:t xml:space="preserve"> was administered with glucocorticoids, non-steroidal anti-inflammatory drugs (NSAIDs) or analgesics.</w:t>
      </w:r>
    </w:p>
    <w:p w14:paraId="0FA05ECB" w14:textId="77777777" w:rsidR="00F70019" w:rsidRPr="00F70019" w:rsidRDefault="00F70019" w:rsidP="0021426A">
      <w:pPr>
        <w:pStyle w:val="NormalIndent1"/>
        <w:jc w:val="left"/>
      </w:pPr>
    </w:p>
    <w:p w14:paraId="16613CAF" w14:textId="77777777" w:rsidR="001A3992" w:rsidRPr="00541FDD" w:rsidRDefault="004A3628" w:rsidP="0021426A">
      <w:pPr>
        <w:pStyle w:val="Heading2"/>
        <w:jc w:val="left"/>
        <w:rPr>
          <w:smallCaps/>
        </w:rPr>
      </w:pPr>
      <w:r>
        <w:t>4.6</w:t>
      </w:r>
      <w:r>
        <w:tab/>
      </w:r>
      <w:r w:rsidR="001A3992" w:rsidRPr="00541FDD">
        <w:t xml:space="preserve">Fertility, </w:t>
      </w:r>
      <w:r w:rsidR="00F70019" w:rsidRPr="00541FDD">
        <w:t xml:space="preserve">Pregnancy </w:t>
      </w:r>
      <w:r w:rsidR="001A3992" w:rsidRPr="00541FDD">
        <w:t xml:space="preserve">and </w:t>
      </w:r>
      <w:r w:rsidR="00F70019" w:rsidRPr="00541FDD">
        <w:t>Lactation</w:t>
      </w:r>
    </w:p>
    <w:p w14:paraId="2B61BC20" w14:textId="77777777" w:rsidR="005D690B" w:rsidRPr="00F70019" w:rsidRDefault="005D690B" w:rsidP="0021426A">
      <w:pPr>
        <w:jc w:val="left"/>
      </w:pPr>
    </w:p>
    <w:p w14:paraId="5F7AD417" w14:textId="77777777" w:rsidR="001A3992" w:rsidRPr="00541FDD" w:rsidRDefault="001A3992" w:rsidP="0021426A">
      <w:pPr>
        <w:pStyle w:val="Heading3"/>
        <w:jc w:val="left"/>
      </w:pPr>
      <w:r w:rsidRPr="00541FDD">
        <w:t xml:space="preserve">Effects on </w:t>
      </w:r>
      <w:r w:rsidR="005D690B" w:rsidRPr="00541FDD">
        <w:t>Fertility</w:t>
      </w:r>
    </w:p>
    <w:p w14:paraId="0627669A" w14:textId="77777777" w:rsidR="005D690B" w:rsidRPr="00F70019" w:rsidRDefault="005D690B" w:rsidP="0021426A">
      <w:pPr>
        <w:pStyle w:val="NormalIndent1"/>
        <w:jc w:val="left"/>
      </w:pPr>
    </w:p>
    <w:p w14:paraId="3097D92B" w14:textId="480ADC16" w:rsidR="005D690B" w:rsidRDefault="008B73F6" w:rsidP="0021426A">
      <w:pPr>
        <w:pStyle w:val="NormalIndent1"/>
        <w:jc w:val="left"/>
      </w:pPr>
      <w:r w:rsidRPr="008B73F6">
        <w:rPr>
          <w:lang w:val="en-US"/>
        </w:rPr>
        <w:t xml:space="preserve">Long-term animal studies have not been conducted to evaluate the effects of </w:t>
      </w:r>
      <w:r w:rsidR="00C36EA6">
        <w:rPr>
          <w:lang w:val="en-US"/>
        </w:rPr>
        <w:t>etanercept</w:t>
      </w:r>
      <w:r w:rsidRPr="008B73F6">
        <w:rPr>
          <w:lang w:val="en-US"/>
        </w:rPr>
        <w:t xml:space="preserve"> on fertility</w:t>
      </w:r>
      <w:r>
        <w:rPr>
          <w:lang w:val="en-US"/>
        </w:rPr>
        <w:t>.</w:t>
      </w:r>
    </w:p>
    <w:p w14:paraId="4C731B71" w14:textId="77777777" w:rsidR="005D690B" w:rsidRPr="00F70019" w:rsidRDefault="005D690B" w:rsidP="0021426A">
      <w:pPr>
        <w:pStyle w:val="NormalIndent1"/>
        <w:jc w:val="left"/>
      </w:pPr>
    </w:p>
    <w:p w14:paraId="76F08933" w14:textId="63AA1D12" w:rsidR="009E4B36" w:rsidRDefault="001A3992" w:rsidP="0021426A">
      <w:pPr>
        <w:pStyle w:val="Heading3"/>
        <w:jc w:val="left"/>
      </w:pPr>
      <w:r w:rsidRPr="00541FDD">
        <w:t xml:space="preserve">Use in </w:t>
      </w:r>
      <w:r w:rsidR="005D690B" w:rsidRPr="00541FDD">
        <w:t xml:space="preserve">Pregnancy </w:t>
      </w:r>
    </w:p>
    <w:p w14:paraId="04CC70DA" w14:textId="77777777" w:rsidR="009E4B36" w:rsidRDefault="009E4B36" w:rsidP="0021426A">
      <w:pPr>
        <w:pStyle w:val="NormalIndent1"/>
        <w:jc w:val="left"/>
      </w:pPr>
    </w:p>
    <w:p w14:paraId="32121078" w14:textId="77777777" w:rsidR="001A3992" w:rsidRPr="009E4B36" w:rsidRDefault="00497C85" w:rsidP="0021426A">
      <w:pPr>
        <w:pStyle w:val="Heading3"/>
        <w:jc w:val="left"/>
        <w:rPr>
          <w:u w:val="none"/>
        </w:rPr>
      </w:pPr>
      <w:r w:rsidRPr="009E4B36">
        <w:rPr>
          <w:u w:val="none"/>
        </w:rPr>
        <w:t>Pregnancy Category D</w:t>
      </w:r>
    </w:p>
    <w:p w14:paraId="7A0EAB0D" w14:textId="77777777" w:rsidR="005D690B" w:rsidRPr="00F70019" w:rsidRDefault="005D690B" w:rsidP="0021426A">
      <w:pPr>
        <w:pStyle w:val="NormalIndent1"/>
        <w:jc w:val="left"/>
      </w:pPr>
    </w:p>
    <w:p w14:paraId="1FC4FB4D" w14:textId="39B3D9B6" w:rsidR="008B73F6" w:rsidRPr="008B73F6" w:rsidRDefault="008B73F6" w:rsidP="0021426A">
      <w:pPr>
        <w:pStyle w:val="NormalIndent1"/>
        <w:jc w:val="left"/>
        <w:rPr>
          <w:lang w:val="en-US"/>
        </w:rPr>
      </w:pPr>
      <w:r w:rsidRPr="008B73F6">
        <w:rPr>
          <w:lang w:val="en-US"/>
        </w:rPr>
        <w:t xml:space="preserve">The safe use of </w:t>
      </w:r>
      <w:r w:rsidR="00C36EA6">
        <w:rPr>
          <w:lang w:val="en-US"/>
        </w:rPr>
        <w:t>etanercept</w:t>
      </w:r>
      <w:r w:rsidRPr="008B73F6">
        <w:rPr>
          <w:lang w:val="en-US"/>
        </w:rPr>
        <w:t xml:space="preserve"> during pregnancy has not been established. </w:t>
      </w:r>
      <w:r>
        <w:rPr>
          <w:lang w:val="en-US"/>
        </w:rPr>
        <w:t xml:space="preserve"> </w:t>
      </w:r>
      <w:r w:rsidR="00882590">
        <w:rPr>
          <w:lang w:val="en-US"/>
        </w:rPr>
        <w:t xml:space="preserve">Therefore, </w:t>
      </w:r>
      <w:r w:rsidR="003D1456">
        <w:rPr>
          <w:lang w:val="en-US"/>
        </w:rPr>
        <w:t>Rymti</w:t>
      </w:r>
      <w:r w:rsidR="00882590">
        <w:rPr>
          <w:lang w:val="en-US"/>
        </w:rPr>
        <w:t xml:space="preserve"> should be used during pregnancy only if clearly needed.  </w:t>
      </w:r>
      <w:r w:rsidRPr="008B73F6">
        <w:rPr>
          <w:lang w:val="en-US"/>
        </w:rPr>
        <w:t xml:space="preserve">Women of childbearing potential should be advised to use appropriate contraception to avoid becoming pregnant during </w:t>
      </w:r>
      <w:r w:rsidR="003D1456">
        <w:rPr>
          <w:lang w:val="en-US"/>
        </w:rPr>
        <w:t>Rymti</w:t>
      </w:r>
      <w:r w:rsidRPr="008B73F6">
        <w:rPr>
          <w:lang w:val="en-US"/>
        </w:rPr>
        <w:t xml:space="preserve"> therapy and for three weeks after discontinuation of therapy.</w:t>
      </w:r>
    </w:p>
    <w:p w14:paraId="62E969E6" w14:textId="77777777" w:rsidR="008B73F6" w:rsidRPr="008B73F6" w:rsidRDefault="008B73F6" w:rsidP="0021426A">
      <w:pPr>
        <w:pStyle w:val="NormalIndent1"/>
        <w:jc w:val="left"/>
        <w:rPr>
          <w:lang w:val="en-US"/>
        </w:rPr>
      </w:pPr>
    </w:p>
    <w:p w14:paraId="2F908DD9" w14:textId="43B3FB2D" w:rsidR="008B73F6" w:rsidRPr="008B73F6" w:rsidRDefault="008B73F6" w:rsidP="0021426A">
      <w:pPr>
        <w:pStyle w:val="NormalIndent1"/>
        <w:jc w:val="left"/>
        <w:rPr>
          <w:lang w:val="en-US"/>
        </w:rPr>
      </w:pPr>
      <w:r w:rsidRPr="008B73F6">
        <w:rPr>
          <w:lang w:val="en-US"/>
        </w:rPr>
        <w:t xml:space="preserve">Developmental toxicity studies have been performed in rats and rabbits at doses resulting in AUC-based systemic exposure levels of etanercept that were at least 12-fold higher than in humans at the highest proposed therapeutic dose of 50 mg and have revealed no evidence of harm to the fetus due to </w:t>
      </w:r>
      <w:r w:rsidR="00C36EA6">
        <w:rPr>
          <w:lang w:val="en-US"/>
        </w:rPr>
        <w:t>etanercept</w:t>
      </w:r>
      <w:r w:rsidRPr="008B73F6">
        <w:rPr>
          <w:lang w:val="en-US"/>
        </w:rPr>
        <w:t>.  There are, however, no studies in pregnant women.  Animal studies are not always predictive of human response.</w:t>
      </w:r>
    </w:p>
    <w:p w14:paraId="579E89E2" w14:textId="77777777" w:rsidR="008B73F6" w:rsidRPr="008B73F6" w:rsidRDefault="008B73F6" w:rsidP="0021426A">
      <w:pPr>
        <w:pStyle w:val="NormalIndent1"/>
        <w:jc w:val="left"/>
        <w:rPr>
          <w:lang w:val="en-US"/>
        </w:rPr>
      </w:pPr>
    </w:p>
    <w:p w14:paraId="781C8AF3" w14:textId="33BD6D37" w:rsidR="008B73F6" w:rsidRPr="008B73F6" w:rsidRDefault="008B73F6" w:rsidP="0021426A">
      <w:pPr>
        <w:pStyle w:val="NormalIndent1"/>
        <w:jc w:val="left"/>
        <w:rPr>
          <w:lang w:val="en-US"/>
        </w:rPr>
      </w:pPr>
      <w:r w:rsidRPr="008B73F6">
        <w:rPr>
          <w:lang w:val="en-US"/>
        </w:rPr>
        <w:t xml:space="preserve">Etanercept crosses the placenta and has been detected in the serum of infants born to female patients treated with </w:t>
      </w:r>
      <w:proofErr w:type="spellStart"/>
      <w:r w:rsidR="00C36EA6">
        <w:rPr>
          <w:lang w:val="en-US"/>
        </w:rPr>
        <w:t>etanercept</w:t>
      </w:r>
      <w:r w:rsidRPr="008B73F6">
        <w:rPr>
          <w:lang w:val="en-US"/>
        </w:rPr>
        <w:t>during</w:t>
      </w:r>
      <w:proofErr w:type="spellEnd"/>
      <w:r w:rsidRPr="008B73F6">
        <w:rPr>
          <w:lang w:val="en-US"/>
        </w:rPr>
        <w:t xml:space="preserve"> pregnancy.  The clinical impact of this is unknown, however, infants may be at increased risk of infection.  Administration of live vaccines to infants for 16 weeks after the mother's last dose of </w:t>
      </w:r>
      <w:r w:rsidR="003D1456">
        <w:rPr>
          <w:lang w:val="en-US"/>
        </w:rPr>
        <w:t>Rymti</w:t>
      </w:r>
      <w:r w:rsidRPr="008B73F6">
        <w:rPr>
          <w:lang w:val="en-US"/>
        </w:rPr>
        <w:t xml:space="preserve"> is generally not recommended.</w:t>
      </w:r>
    </w:p>
    <w:p w14:paraId="7A0B8309" w14:textId="77777777" w:rsidR="008B73F6" w:rsidRPr="008B73F6" w:rsidRDefault="008B73F6" w:rsidP="0021426A">
      <w:pPr>
        <w:pStyle w:val="NormalIndent1"/>
        <w:jc w:val="left"/>
        <w:rPr>
          <w:lang w:val="en-US"/>
        </w:rPr>
      </w:pPr>
    </w:p>
    <w:p w14:paraId="26AEECBA" w14:textId="43FE9D65" w:rsidR="005D690B" w:rsidRDefault="008B73F6" w:rsidP="0021426A">
      <w:pPr>
        <w:pStyle w:val="NormalIndent1"/>
        <w:jc w:val="left"/>
      </w:pPr>
      <w:r w:rsidRPr="008B73F6">
        <w:rPr>
          <w:lang w:val="en-US"/>
        </w:rPr>
        <w:t xml:space="preserve">A pregnancy registry examined the risk of major birth defects and other pregnancy outcomes in mothers with rheumatic diseases or psoriasis exposed to </w:t>
      </w:r>
      <w:r w:rsidR="00C36EA6">
        <w:rPr>
          <w:lang w:val="en-US"/>
        </w:rPr>
        <w:t>etanercept</w:t>
      </w:r>
      <w:r w:rsidRPr="008B73F6">
        <w:rPr>
          <w:lang w:val="en-US"/>
        </w:rPr>
        <w:t xml:space="preserve"> in the first trimester (n = 319) versus those who were unexposed to </w:t>
      </w:r>
      <w:r w:rsidR="00C36EA6">
        <w:rPr>
          <w:lang w:val="en-US"/>
        </w:rPr>
        <w:t>etanercept</w:t>
      </w:r>
      <w:r w:rsidRPr="008B73F6">
        <w:rPr>
          <w:lang w:val="en-US"/>
        </w:rPr>
        <w:t xml:space="preserve"> or other TNF-antagonists (n = 144).  The all-inclusive odds ratio for major birth defects in those exposed to </w:t>
      </w:r>
      <w:r w:rsidR="00C36EA6">
        <w:rPr>
          <w:lang w:val="en-US"/>
        </w:rPr>
        <w:t>etanercept</w:t>
      </w:r>
      <w:r w:rsidRPr="008B73F6">
        <w:rPr>
          <w:lang w:val="en-US"/>
        </w:rPr>
        <w:t xml:space="preserve"> was 2.77 (95% CI 1.04-7.35) compared to non-exposed mothers with inflammatory disease. </w:t>
      </w:r>
      <w:r>
        <w:rPr>
          <w:lang w:val="en-US"/>
        </w:rPr>
        <w:t xml:space="preserve"> </w:t>
      </w:r>
      <w:r w:rsidRPr="008B73F6">
        <w:rPr>
          <w:lang w:val="en-US"/>
        </w:rPr>
        <w:t xml:space="preserve">The findings showed no clear pattern of major or minor malformations.  There was no increase in rates of intrauterine or postnatal growth deficits or delayed postnatal development.  The use of </w:t>
      </w:r>
      <w:r w:rsidR="003D1456">
        <w:rPr>
          <w:lang w:val="en-US"/>
        </w:rPr>
        <w:t>Rymti</w:t>
      </w:r>
      <w:r w:rsidRPr="008B73F6">
        <w:rPr>
          <w:lang w:val="en-US"/>
        </w:rPr>
        <w:t xml:space="preserve"> should be avoided during pregnancy. If </w:t>
      </w:r>
      <w:r w:rsidR="003D1456">
        <w:rPr>
          <w:lang w:val="en-US"/>
        </w:rPr>
        <w:t>Rymti</w:t>
      </w:r>
      <w:r w:rsidRPr="008B73F6">
        <w:rPr>
          <w:lang w:val="en-US"/>
        </w:rPr>
        <w:t xml:space="preserve"> is used during pregnancy, or if the patient becomes pregnant while taking it, the woman should be advised of the possible risk to the fetus</w:t>
      </w:r>
      <w:r w:rsidR="002862B2">
        <w:rPr>
          <w:lang w:val="en-US"/>
        </w:rPr>
        <w:t>.</w:t>
      </w:r>
    </w:p>
    <w:p w14:paraId="1FBC6A2C" w14:textId="77777777" w:rsidR="005D690B" w:rsidRPr="00F70019" w:rsidRDefault="005D690B" w:rsidP="0021426A">
      <w:pPr>
        <w:pStyle w:val="NormalIndent1"/>
        <w:jc w:val="left"/>
      </w:pPr>
    </w:p>
    <w:p w14:paraId="1A41E238" w14:textId="77777777" w:rsidR="001A3992" w:rsidRPr="00541FDD" w:rsidRDefault="001A3992" w:rsidP="0021426A">
      <w:pPr>
        <w:pStyle w:val="Heading3"/>
        <w:jc w:val="left"/>
      </w:pPr>
      <w:r w:rsidRPr="00541FDD">
        <w:t xml:space="preserve">Use in </w:t>
      </w:r>
      <w:r w:rsidR="005D690B" w:rsidRPr="00541FDD">
        <w:t>Lactation</w:t>
      </w:r>
    </w:p>
    <w:p w14:paraId="6C9035B7" w14:textId="77777777" w:rsidR="005D690B" w:rsidRPr="00F70019" w:rsidRDefault="005D690B" w:rsidP="0021426A">
      <w:pPr>
        <w:pStyle w:val="NormalIndent1"/>
        <w:jc w:val="left"/>
      </w:pPr>
    </w:p>
    <w:p w14:paraId="7369903C" w14:textId="32A9129B" w:rsidR="005D690B" w:rsidRDefault="008B73F6" w:rsidP="0021426A">
      <w:pPr>
        <w:pStyle w:val="NormalIndent1"/>
        <w:jc w:val="left"/>
      </w:pPr>
      <w:r w:rsidRPr="008B73F6">
        <w:rPr>
          <w:lang w:val="en-US"/>
        </w:rPr>
        <w:t xml:space="preserve">The safe use of </w:t>
      </w:r>
      <w:r w:rsidR="00C36EA6">
        <w:rPr>
          <w:lang w:val="en-US"/>
        </w:rPr>
        <w:t>etanercept</w:t>
      </w:r>
      <w:r w:rsidRPr="008B73F6">
        <w:rPr>
          <w:lang w:val="en-US"/>
        </w:rPr>
        <w:t xml:space="preserve"> during lactation has not been established.  Etanercept has been reported to be excreted in human breast milk following subcutaneous administration. There are no animal studies assessing the effects of </w:t>
      </w:r>
      <w:r w:rsidR="00C36EA6">
        <w:rPr>
          <w:lang w:val="en-US"/>
        </w:rPr>
        <w:t>etanercept</w:t>
      </w:r>
      <w:r w:rsidRPr="008B73F6">
        <w:rPr>
          <w:lang w:val="en-US"/>
        </w:rPr>
        <w:t xml:space="preserve"> on the neonate.  Because of the potential for serious adverse reactions from </w:t>
      </w:r>
      <w:r w:rsidR="00C36EA6">
        <w:rPr>
          <w:lang w:val="en-US"/>
        </w:rPr>
        <w:t>etanercept</w:t>
      </w:r>
      <w:r w:rsidRPr="008B73F6">
        <w:rPr>
          <w:lang w:val="en-US"/>
        </w:rPr>
        <w:t xml:space="preserve"> in nursing infants, a decision should be made whether to discontinue nursing or to discontinue </w:t>
      </w:r>
      <w:r w:rsidR="003D1456">
        <w:rPr>
          <w:lang w:val="en-US"/>
        </w:rPr>
        <w:t>Rymti</w:t>
      </w:r>
      <w:r w:rsidRPr="008B73F6">
        <w:rPr>
          <w:lang w:val="en-US"/>
        </w:rPr>
        <w:t xml:space="preserve"> while nursing</w:t>
      </w:r>
    </w:p>
    <w:p w14:paraId="33CF3739" w14:textId="77777777" w:rsidR="00CE27B1" w:rsidRDefault="00CE27B1" w:rsidP="0021426A">
      <w:pPr>
        <w:pStyle w:val="NormalIndent1"/>
        <w:jc w:val="left"/>
      </w:pPr>
    </w:p>
    <w:p w14:paraId="2F864F10" w14:textId="77777777" w:rsidR="004E6BF7" w:rsidRPr="00F70019" w:rsidRDefault="004E6BF7" w:rsidP="0021426A">
      <w:pPr>
        <w:pStyle w:val="NormalIndent1"/>
        <w:ind w:left="0"/>
        <w:jc w:val="left"/>
      </w:pPr>
    </w:p>
    <w:p w14:paraId="4E93EBFB" w14:textId="77777777" w:rsidR="001A3992" w:rsidRDefault="004A3628" w:rsidP="0021426A">
      <w:pPr>
        <w:pStyle w:val="Heading2"/>
        <w:jc w:val="left"/>
        <w:rPr>
          <w:smallCaps/>
        </w:rPr>
      </w:pPr>
      <w:r>
        <w:t>4.7</w:t>
      </w:r>
      <w:r>
        <w:tab/>
      </w:r>
      <w:r w:rsidR="001A3992" w:rsidRPr="00541FDD">
        <w:t xml:space="preserve">Effects on </w:t>
      </w:r>
      <w:r w:rsidR="005D690B" w:rsidRPr="00541FDD">
        <w:t xml:space="preserve">Ability </w:t>
      </w:r>
      <w:r w:rsidR="001A3992" w:rsidRPr="00541FDD">
        <w:t xml:space="preserve">to </w:t>
      </w:r>
      <w:r w:rsidR="005D690B" w:rsidRPr="00541FDD">
        <w:t xml:space="preserve">Drive </w:t>
      </w:r>
      <w:r w:rsidR="001A3992" w:rsidRPr="00541FDD">
        <w:t xml:space="preserve">and </w:t>
      </w:r>
      <w:r w:rsidR="005D690B" w:rsidRPr="00541FDD">
        <w:t>Use Machines</w:t>
      </w:r>
    </w:p>
    <w:p w14:paraId="1BD0EDDA" w14:textId="77777777" w:rsidR="005D690B" w:rsidRPr="005D690B" w:rsidRDefault="005D690B" w:rsidP="0021426A">
      <w:pPr>
        <w:pStyle w:val="NormalIndent1"/>
        <w:jc w:val="left"/>
        <w:rPr>
          <w:lang w:val="en"/>
        </w:rPr>
      </w:pPr>
    </w:p>
    <w:p w14:paraId="39418CBA" w14:textId="77777777" w:rsidR="00497C85" w:rsidRDefault="008B73F6" w:rsidP="0021426A">
      <w:pPr>
        <w:pStyle w:val="NormalIndent1"/>
        <w:jc w:val="left"/>
        <w:rPr>
          <w:lang w:val="en"/>
        </w:rPr>
      </w:pPr>
      <w:r w:rsidRPr="008B73F6">
        <w:rPr>
          <w:lang w:val="en-US"/>
        </w:rPr>
        <w:t>No studies on the effects on the ability to drive and use machines have been performed</w:t>
      </w:r>
      <w:r>
        <w:rPr>
          <w:lang w:val="en-US"/>
        </w:rPr>
        <w:t xml:space="preserve">. </w:t>
      </w:r>
      <w:r w:rsidRPr="008B73F6">
        <w:rPr>
          <w:lang w:val="en"/>
        </w:rPr>
        <w:t xml:space="preserve"> </w:t>
      </w:r>
      <w:r w:rsidR="00497C85" w:rsidRPr="00910FCE">
        <w:rPr>
          <w:lang w:val="en"/>
        </w:rPr>
        <w:t>The effects of this medicine on a person's ability to drive and use machines were not assessed as part of its registration</w:t>
      </w:r>
      <w:r>
        <w:rPr>
          <w:lang w:val="en"/>
        </w:rPr>
        <w:t>.</w:t>
      </w:r>
    </w:p>
    <w:p w14:paraId="22C08ED1" w14:textId="77777777" w:rsidR="005D690B" w:rsidRDefault="005D690B" w:rsidP="0021426A">
      <w:pPr>
        <w:pStyle w:val="NormalIndent1"/>
        <w:jc w:val="left"/>
      </w:pPr>
    </w:p>
    <w:p w14:paraId="5033BA32" w14:textId="77777777" w:rsidR="001A3992" w:rsidRPr="00541FDD" w:rsidRDefault="004A3628" w:rsidP="0021426A">
      <w:pPr>
        <w:pStyle w:val="Heading2"/>
        <w:jc w:val="left"/>
        <w:rPr>
          <w:smallCaps/>
        </w:rPr>
      </w:pPr>
      <w:r w:rsidRPr="00946600">
        <w:t>4.8</w:t>
      </w:r>
      <w:r w:rsidRPr="00946600">
        <w:tab/>
      </w:r>
      <w:bookmarkStart w:id="4" w:name="_Hlk511382736"/>
      <w:r w:rsidRPr="00946600">
        <w:t>A</w:t>
      </w:r>
      <w:r w:rsidR="001A3992" w:rsidRPr="00946600">
        <w:t xml:space="preserve">dverse </w:t>
      </w:r>
      <w:r w:rsidR="005D690B" w:rsidRPr="00946600">
        <w:t xml:space="preserve">Effects </w:t>
      </w:r>
      <w:r w:rsidR="001A3992" w:rsidRPr="00946600">
        <w:t xml:space="preserve">(Undesirable </w:t>
      </w:r>
      <w:r w:rsidR="005D690B" w:rsidRPr="00946600">
        <w:t>Effects</w:t>
      </w:r>
      <w:r w:rsidR="001A3992" w:rsidRPr="00946600">
        <w:t>)</w:t>
      </w:r>
      <w:bookmarkEnd w:id="4"/>
    </w:p>
    <w:p w14:paraId="6B7AFAEF" w14:textId="77777777" w:rsidR="005D690B" w:rsidRDefault="005D690B" w:rsidP="0021426A">
      <w:pPr>
        <w:pStyle w:val="NormalIndent1"/>
        <w:jc w:val="left"/>
        <w:rPr>
          <w:lang w:val="en"/>
        </w:rPr>
      </w:pPr>
    </w:p>
    <w:p w14:paraId="67F99CCE" w14:textId="77777777" w:rsidR="008B73F6" w:rsidRPr="008B73F6" w:rsidRDefault="008B73F6" w:rsidP="0021426A">
      <w:pPr>
        <w:pStyle w:val="Heading3"/>
        <w:jc w:val="left"/>
        <w:rPr>
          <w:lang w:val="en-US"/>
        </w:rPr>
      </w:pPr>
      <w:r w:rsidRPr="008B73F6">
        <w:rPr>
          <w:lang w:val="en-US"/>
        </w:rPr>
        <w:t xml:space="preserve">Injection </w:t>
      </w:r>
      <w:r w:rsidR="00946600" w:rsidRPr="008B73F6">
        <w:rPr>
          <w:lang w:val="en-US"/>
        </w:rPr>
        <w:t>Site Reactions</w:t>
      </w:r>
    </w:p>
    <w:p w14:paraId="6E017FF2" w14:textId="77777777" w:rsidR="008B73F6" w:rsidRPr="008B73F6" w:rsidRDefault="008B73F6" w:rsidP="0021426A">
      <w:pPr>
        <w:pStyle w:val="NormalIndent1"/>
        <w:jc w:val="left"/>
        <w:rPr>
          <w:lang w:val="en-US"/>
        </w:rPr>
      </w:pPr>
    </w:p>
    <w:p w14:paraId="4A966372" w14:textId="09267F7C" w:rsidR="008B73F6" w:rsidRPr="008B73F6" w:rsidRDefault="008B73F6" w:rsidP="0021426A">
      <w:pPr>
        <w:pStyle w:val="NormalIndent1"/>
        <w:jc w:val="left"/>
        <w:rPr>
          <w:lang w:val="en-US"/>
        </w:rPr>
      </w:pPr>
      <w:r w:rsidRPr="008B73F6">
        <w:rPr>
          <w:lang w:val="en-US"/>
        </w:rPr>
        <w:t xml:space="preserve">Patients with rheumatic diseases in controlled trials treated with </w:t>
      </w:r>
      <w:r w:rsidR="00C36EA6">
        <w:rPr>
          <w:lang w:val="en-US"/>
        </w:rPr>
        <w:t>etanercept</w:t>
      </w:r>
      <w:r w:rsidRPr="008B73F6">
        <w:rPr>
          <w:lang w:val="en-US"/>
        </w:rPr>
        <w:t xml:space="preserve"> had a significantly higher incidence (37% cf. 10%) of injection site reactions (erythema and/or itching, pain, bleeding, bruising or swelling) compared with placebo-treated patients, and generally did not necessitate drug discontinuation.  The frequency of injection site reactions was greatest in the first month and subsequently decreased in frequency.  Mean duration was 3 to 5 days.  No treatment was given for the majority of injection site reactions in the </w:t>
      </w:r>
      <w:r w:rsidR="00C36EA6">
        <w:rPr>
          <w:lang w:val="en-US"/>
        </w:rPr>
        <w:t>etanercept</w:t>
      </w:r>
      <w:r w:rsidRPr="008B73F6">
        <w:rPr>
          <w:lang w:val="en-US"/>
        </w:rPr>
        <w:t xml:space="preserve"> treatment groups, and the majority of those patients who were given treatment received topical preparations such as corticosteroids, or oral antihistamines.  Some patients who experienced injection site reactions also experienced reactions at previous injection sites.  In post-marketing experience, injection site bleeding and bruising have also been observed in conjunction with </w:t>
      </w:r>
      <w:r w:rsidR="00C36EA6">
        <w:rPr>
          <w:lang w:val="en-US"/>
        </w:rPr>
        <w:t>etanercept</w:t>
      </w:r>
      <w:r w:rsidRPr="008B73F6">
        <w:rPr>
          <w:lang w:val="en-US"/>
        </w:rPr>
        <w:t xml:space="preserve"> therapy.</w:t>
      </w:r>
    </w:p>
    <w:p w14:paraId="0671E210" w14:textId="77777777" w:rsidR="008B73F6" w:rsidRPr="008B73F6" w:rsidRDefault="008B73F6" w:rsidP="0021426A">
      <w:pPr>
        <w:pStyle w:val="NormalIndent1"/>
        <w:jc w:val="left"/>
        <w:rPr>
          <w:lang w:val="en-US"/>
        </w:rPr>
      </w:pPr>
    </w:p>
    <w:p w14:paraId="59FA2487" w14:textId="24F573EB" w:rsidR="008B73F6" w:rsidRPr="008B73F6" w:rsidRDefault="008B73F6" w:rsidP="0021426A">
      <w:pPr>
        <w:pStyle w:val="NormalIndent1"/>
        <w:jc w:val="left"/>
        <w:rPr>
          <w:lang w:val="en-US"/>
        </w:rPr>
      </w:pPr>
      <w:r w:rsidRPr="008B73F6">
        <w:rPr>
          <w:lang w:val="en-US"/>
        </w:rPr>
        <w:t xml:space="preserve">In controlled trials in patients with plaque psoriasis, approximately 13.6% of patients treated with </w:t>
      </w:r>
      <w:r w:rsidR="00C36EA6">
        <w:rPr>
          <w:lang w:val="en-US"/>
        </w:rPr>
        <w:t>etanercept</w:t>
      </w:r>
      <w:r w:rsidRPr="008B73F6">
        <w:rPr>
          <w:lang w:val="en-US"/>
        </w:rPr>
        <w:t xml:space="preserve"> developed injection site reactions compared with 3.4% of placebo-treated patients during the first 12 weeks of treatment.</w:t>
      </w:r>
    </w:p>
    <w:p w14:paraId="6C582908" w14:textId="77777777" w:rsidR="008B73F6" w:rsidRPr="008B73F6" w:rsidRDefault="008B73F6" w:rsidP="0021426A">
      <w:pPr>
        <w:pStyle w:val="NormalIndent1"/>
        <w:jc w:val="left"/>
        <w:rPr>
          <w:lang w:val="en-US"/>
        </w:rPr>
      </w:pPr>
    </w:p>
    <w:p w14:paraId="0D2AF785" w14:textId="77777777" w:rsidR="008B73F6" w:rsidRPr="008B73F6" w:rsidRDefault="008B73F6" w:rsidP="0021426A">
      <w:pPr>
        <w:pStyle w:val="Heading3"/>
        <w:jc w:val="left"/>
        <w:rPr>
          <w:lang w:val="en-US"/>
        </w:rPr>
      </w:pPr>
      <w:r w:rsidRPr="008B73F6">
        <w:rPr>
          <w:lang w:val="en-US"/>
        </w:rPr>
        <w:t>Infections</w:t>
      </w:r>
    </w:p>
    <w:p w14:paraId="4466541A" w14:textId="77777777" w:rsidR="008B73F6" w:rsidRPr="008B73F6" w:rsidRDefault="008B73F6" w:rsidP="0021426A">
      <w:pPr>
        <w:pStyle w:val="NormalIndent1"/>
        <w:jc w:val="left"/>
        <w:rPr>
          <w:lang w:val="en-US"/>
        </w:rPr>
      </w:pPr>
    </w:p>
    <w:p w14:paraId="24B5386C" w14:textId="35151A4C" w:rsidR="008B73F6" w:rsidRPr="008B73F6" w:rsidRDefault="008B73F6" w:rsidP="0021426A">
      <w:pPr>
        <w:pStyle w:val="NormalIndent1"/>
        <w:jc w:val="left"/>
        <w:rPr>
          <w:lang w:val="en-US"/>
        </w:rPr>
      </w:pPr>
      <w:r w:rsidRPr="008B73F6">
        <w:rPr>
          <w:lang w:val="en-US"/>
        </w:rPr>
        <w:t xml:space="preserve">In placebo-controlled trials, no increase in the incidence of serious infections (fatal, life-threatening, or requiring </w:t>
      </w:r>
      <w:proofErr w:type="spellStart"/>
      <w:r w:rsidRPr="008B73F6">
        <w:rPr>
          <w:lang w:val="en-US"/>
        </w:rPr>
        <w:t>hospitalisation</w:t>
      </w:r>
      <w:proofErr w:type="spellEnd"/>
      <w:r w:rsidRPr="008B73F6">
        <w:rPr>
          <w:lang w:val="en-US"/>
        </w:rPr>
        <w:t xml:space="preserve"> or intravenous antibiotics) was observed.  Serious infections occurred in</w:t>
      </w:r>
      <w:r w:rsidR="004051BE">
        <w:rPr>
          <w:lang w:val="en-US"/>
        </w:rPr>
        <w:t xml:space="preserve"> </w:t>
      </w:r>
      <w:r w:rsidRPr="008B73F6">
        <w:rPr>
          <w:lang w:val="en-US"/>
        </w:rPr>
        <w:t xml:space="preserve">6.3% of rheumatoid arthritis patients treated with </w:t>
      </w:r>
      <w:r w:rsidR="00C36EA6">
        <w:rPr>
          <w:lang w:val="en-US"/>
        </w:rPr>
        <w:t>etanercept</w:t>
      </w:r>
      <w:r w:rsidRPr="008B73F6">
        <w:rPr>
          <w:lang w:val="en-US"/>
        </w:rPr>
        <w:t xml:space="preserve"> for up to 48 months.  These included abscess (at various sites), </w:t>
      </w:r>
      <w:proofErr w:type="spellStart"/>
      <w:r w:rsidRPr="008B73F6">
        <w:rPr>
          <w:lang w:val="en-US"/>
        </w:rPr>
        <w:t>bacteraemia</w:t>
      </w:r>
      <w:proofErr w:type="spellEnd"/>
      <w:r w:rsidRPr="008B73F6">
        <w:rPr>
          <w:lang w:val="en-US"/>
        </w:rPr>
        <w:t xml:space="preserve">, bronchitis, bursitis, cellulitis, </w:t>
      </w:r>
      <w:proofErr w:type="spellStart"/>
      <w:r w:rsidRPr="008B73F6">
        <w:rPr>
          <w:lang w:val="en-US"/>
        </w:rPr>
        <w:t>cholecystitis</w:t>
      </w:r>
      <w:proofErr w:type="spellEnd"/>
      <w:r w:rsidRPr="008B73F6">
        <w:rPr>
          <w:lang w:val="en-US"/>
        </w:rPr>
        <w:t xml:space="preserve">, </w:t>
      </w:r>
      <w:proofErr w:type="spellStart"/>
      <w:r w:rsidRPr="008B73F6">
        <w:rPr>
          <w:lang w:val="en-US"/>
        </w:rPr>
        <w:t>diarrhoea</w:t>
      </w:r>
      <w:proofErr w:type="spellEnd"/>
      <w:r w:rsidRPr="008B73F6">
        <w:rPr>
          <w:lang w:val="en-US"/>
        </w:rPr>
        <w:t xml:space="preserve">, diverticulitis, endocarditis (suspected), gastroenteritis, hepatitis B, herpes zoster, leg ulcer, mouth infection, osteomyelitis, otitis, peritonitis, pneumonia, pyelonephritis, sepsis, septic arthritis, sinusitis, skin infection, skin ulcer, urinary tract infection, vasculitis, and wound infection.  In the 2-year active-controlled study where patients were treated with either </w:t>
      </w:r>
      <w:r w:rsidR="00C36EA6">
        <w:rPr>
          <w:lang w:val="en-US"/>
        </w:rPr>
        <w:t>etanercept</w:t>
      </w:r>
      <w:r w:rsidRPr="008B73F6">
        <w:rPr>
          <w:lang w:val="en-US"/>
        </w:rPr>
        <w:t xml:space="preserve"> alone, methotrexate alone or </w:t>
      </w:r>
      <w:r w:rsidR="00C36EA6">
        <w:rPr>
          <w:lang w:val="en-US"/>
        </w:rPr>
        <w:t>etanercept</w:t>
      </w:r>
      <w:r w:rsidRPr="008B73F6">
        <w:rPr>
          <w:lang w:val="en-US"/>
        </w:rPr>
        <w:t xml:space="preserve"> in combination with methotrexate, the rates of serious infections were similar among the treatment groups.  However, it cannot be excluded that the combination of </w:t>
      </w:r>
      <w:r w:rsidR="00C36EA6">
        <w:rPr>
          <w:lang w:val="en-US"/>
        </w:rPr>
        <w:t>etanercept</w:t>
      </w:r>
      <w:r w:rsidRPr="008B73F6">
        <w:rPr>
          <w:lang w:val="en-US"/>
        </w:rPr>
        <w:t xml:space="preserve"> with methotrexate could be associated with an increase in the rate of infections.</w:t>
      </w:r>
    </w:p>
    <w:p w14:paraId="57424BF1" w14:textId="77777777" w:rsidR="008B73F6" w:rsidRPr="008B73F6" w:rsidRDefault="008B73F6" w:rsidP="0021426A">
      <w:pPr>
        <w:pStyle w:val="NormalIndent1"/>
        <w:jc w:val="left"/>
        <w:rPr>
          <w:lang w:val="en-US"/>
        </w:rPr>
      </w:pPr>
    </w:p>
    <w:p w14:paraId="25684C0C" w14:textId="3025C9D6" w:rsidR="008B73F6" w:rsidRPr="008B73F6" w:rsidRDefault="008B73F6" w:rsidP="0021426A">
      <w:pPr>
        <w:pStyle w:val="NormalIndent1"/>
        <w:jc w:val="left"/>
        <w:rPr>
          <w:lang w:val="en-US"/>
        </w:rPr>
      </w:pPr>
      <w:r w:rsidRPr="008B73F6">
        <w:rPr>
          <w:lang w:val="en-US"/>
        </w:rPr>
        <w:t xml:space="preserve">There were no differences in rates of infection among patients treated with </w:t>
      </w:r>
      <w:r w:rsidR="00C36EA6">
        <w:rPr>
          <w:lang w:val="en-US"/>
        </w:rPr>
        <w:t>etanercept</w:t>
      </w:r>
      <w:r w:rsidRPr="008B73F6">
        <w:rPr>
          <w:lang w:val="en-US"/>
        </w:rPr>
        <w:t xml:space="preserve"> and those treated with placebo for plaque psoriasis in placebo-controlled trials of up to 24 weeks duration. Serious infections experienced by </w:t>
      </w:r>
      <w:r w:rsidR="00C36EA6">
        <w:rPr>
          <w:lang w:val="en-US"/>
        </w:rPr>
        <w:t>etanercept</w:t>
      </w:r>
      <w:r w:rsidRPr="008B73F6">
        <w:rPr>
          <w:lang w:val="en-US"/>
        </w:rPr>
        <w:t>-treated patients included cellulitis, gastroenteritis, pneumonia, cholecystitis, osteomyelitis, gastritis, appendicitis, Streptococcal fasciitis, myositis, septic shock, diverticulitis and abscess.  In the double-blind and open-label psoriatic arthritis trials,</w:t>
      </w:r>
      <w:r w:rsidR="00C36EA6">
        <w:rPr>
          <w:lang w:val="en-US"/>
        </w:rPr>
        <w:t xml:space="preserve"> </w:t>
      </w:r>
      <w:r w:rsidRPr="008B73F6">
        <w:rPr>
          <w:lang w:val="en-US"/>
        </w:rPr>
        <w:t>1 patient reported a serious infection (pneumonia).</w:t>
      </w:r>
    </w:p>
    <w:p w14:paraId="2D3A26A0" w14:textId="77777777" w:rsidR="008B73F6" w:rsidRPr="008B73F6" w:rsidRDefault="008B73F6" w:rsidP="0021426A">
      <w:pPr>
        <w:pStyle w:val="NormalIndent1"/>
        <w:jc w:val="left"/>
        <w:rPr>
          <w:lang w:val="en-US"/>
        </w:rPr>
      </w:pPr>
    </w:p>
    <w:p w14:paraId="2AE89FCB" w14:textId="17AE690D" w:rsidR="008B73F6" w:rsidRDefault="008B73F6" w:rsidP="0021426A">
      <w:pPr>
        <w:pStyle w:val="NormalIndent1"/>
        <w:jc w:val="left"/>
        <w:rPr>
          <w:lang w:val="en-US"/>
        </w:rPr>
      </w:pPr>
      <w:r w:rsidRPr="008B73F6">
        <w:rPr>
          <w:lang w:val="en-US"/>
        </w:rPr>
        <w:t xml:space="preserve">Serious and fatal infections have been reported during use of </w:t>
      </w:r>
      <w:r w:rsidR="00C36EA6">
        <w:rPr>
          <w:lang w:val="en-US"/>
        </w:rPr>
        <w:t>etanercept</w:t>
      </w:r>
      <w:r w:rsidRPr="008B73F6">
        <w:rPr>
          <w:lang w:val="en-US"/>
        </w:rPr>
        <w:t xml:space="preserve">; reported pathogens include bacteria, mycobacteria (including tuberculosis), viruses and fungi.  Some infections have occurred within a few weeks after initiating treatment with </w:t>
      </w:r>
      <w:r w:rsidR="00C36EA6">
        <w:rPr>
          <w:lang w:val="en-US"/>
        </w:rPr>
        <w:t>etanercept</w:t>
      </w:r>
      <w:r w:rsidRPr="008B73F6">
        <w:rPr>
          <w:lang w:val="en-US"/>
        </w:rPr>
        <w:t xml:space="preserve"> in patients who have underlying conditions (</w:t>
      </w:r>
      <w:proofErr w:type="spellStart"/>
      <w:r w:rsidRPr="008B73F6">
        <w:rPr>
          <w:lang w:val="en-US"/>
        </w:rPr>
        <w:t>eg</w:t>
      </w:r>
      <w:proofErr w:type="spellEnd"/>
      <w:r w:rsidRPr="008B73F6">
        <w:rPr>
          <w:lang w:val="en-US"/>
        </w:rPr>
        <w:t xml:space="preserve">. diabetes, congestive heart failure, history of active or chronic infections) in addition to their rheumatoid arthritis.  </w:t>
      </w:r>
      <w:r w:rsidR="00C36EA6">
        <w:rPr>
          <w:lang w:val="en-US"/>
        </w:rPr>
        <w:t>Etanercept</w:t>
      </w:r>
      <w:r w:rsidRPr="008B73F6">
        <w:rPr>
          <w:lang w:val="en-US"/>
        </w:rPr>
        <w:t xml:space="preserve"> treatment may increase mortality in patients with established sepsis.</w:t>
      </w:r>
    </w:p>
    <w:p w14:paraId="3946F627" w14:textId="77777777" w:rsidR="008B73F6" w:rsidRDefault="008B73F6" w:rsidP="0021426A">
      <w:pPr>
        <w:pStyle w:val="NormalIndent1"/>
        <w:jc w:val="left"/>
        <w:rPr>
          <w:lang w:val="en-US"/>
        </w:rPr>
      </w:pPr>
    </w:p>
    <w:p w14:paraId="725E13FA" w14:textId="52BBE471" w:rsidR="008B73F6" w:rsidRPr="008B73F6" w:rsidRDefault="008B73F6" w:rsidP="0021426A">
      <w:pPr>
        <w:pStyle w:val="NormalIndent1"/>
        <w:jc w:val="left"/>
        <w:rPr>
          <w:lang w:val="en-US"/>
        </w:rPr>
      </w:pPr>
      <w:r w:rsidRPr="008B73F6">
        <w:rPr>
          <w:lang w:val="en-US"/>
        </w:rPr>
        <w:t xml:space="preserve">Opportunistic infections have been reported in association with </w:t>
      </w:r>
      <w:r w:rsidR="00C36EA6">
        <w:rPr>
          <w:lang w:val="en-US"/>
        </w:rPr>
        <w:t>etanercept</w:t>
      </w:r>
      <w:r w:rsidRPr="008B73F6">
        <w:rPr>
          <w:lang w:val="en-US"/>
        </w:rPr>
        <w:t xml:space="preserve">, including invasive fungal, parasitic (including protozoal), viral (including herpes zoster), bacterial (including </w:t>
      </w:r>
      <w:r w:rsidRPr="008B73F6">
        <w:rPr>
          <w:i/>
          <w:lang w:val="en-US"/>
        </w:rPr>
        <w:t xml:space="preserve">Listeria </w:t>
      </w:r>
      <w:r w:rsidRPr="008B73F6">
        <w:rPr>
          <w:lang w:val="en-US"/>
        </w:rPr>
        <w:t xml:space="preserve">and </w:t>
      </w:r>
      <w:r w:rsidRPr="008B73F6">
        <w:rPr>
          <w:i/>
          <w:lang w:val="en-US"/>
        </w:rPr>
        <w:t>Legionella</w:t>
      </w:r>
      <w:r w:rsidRPr="008B73F6">
        <w:rPr>
          <w:lang w:val="en-US"/>
        </w:rPr>
        <w:t xml:space="preserve">), and atypical mycobacterial infections (see </w:t>
      </w:r>
      <w:r w:rsidR="004051BE" w:rsidRPr="00B664B5">
        <w:rPr>
          <w:b/>
          <w:lang w:val="en-US"/>
        </w:rPr>
        <w:t xml:space="preserve">Section 4.4 </w:t>
      </w:r>
      <w:r w:rsidR="004051BE" w:rsidRPr="00B664B5">
        <w:rPr>
          <w:b/>
        </w:rPr>
        <w:t>Special Warnings and Precautions for Use</w:t>
      </w:r>
      <w:r w:rsidRPr="008B73F6">
        <w:rPr>
          <w:lang w:val="en-US"/>
        </w:rPr>
        <w:t xml:space="preserve">).  In a pooled data set of clinical trials, the overall incidence of opportunistic infections was 0.09% for the 15,402 subjects who received </w:t>
      </w:r>
      <w:r w:rsidR="00C36EA6">
        <w:rPr>
          <w:lang w:val="en-US"/>
        </w:rPr>
        <w:t>etanercept</w:t>
      </w:r>
      <w:r w:rsidRPr="008B73F6">
        <w:rPr>
          <w:lang w:val="en-US"/>
        </w:rPr>
        <w:t>.  The exposure-adjusted rate was 0.06 events per 100 patient-years.  In post</w:t>
      </w:r>
      <w:r w:rsidR="007301B2">
        <w:rPr>
          <w:lang w:val="en-US"/>
        </w:rPr>
        <w:t>-</w:t>
      </w:r>
      <w:r w:rsidRPr="008B73F6">
        <w:rPr>
          <w:lang w:val="en-US"/>
        </w:rPr>
        <w:t xml:space="preserve">marketing experience, approximately half of all of the case reports of opportunistic infections worldwide were invasive fungal infections.  The most commonly reported invasive fungal infections included </w:t>
      </w:r>
      <w:r w:rsidRPr="008B73F6">
        <w:rPr>
          <w:i/>
          <w:lang w:val="en-US"/>
        </w:rPr>
        <w:t>Candida, Pneumocystis</w:t>
      </w:r>
      <w:r w:rsidRPr="008B73F6">
        <w:rPr>
          <w:lang w:val="en-US"/>
        </w:rPr>
        <w:t xml:space="preserve">, </w:t>
      </w:r>
      <w:r w:rsidRPr="008B73F6">
        <w:rPr>
          <w:i/>
          <w:lang w:val="en-US"/>
        </w:rPr>
        <w:t xml:space="preserve">Aspergillus </w:t>
      </w:r>
      <w:r w:rsidRPr="008B73F6">
        <w:rPr>
          <w:lang w:val="en-US"/>
        </w:rPr>
        <w:t xml:space="preserve">and </w:t>
      </w:r>
      <w:r w:rsidRPr="008B73F6">
        <w:rPr>
          <w:i/>
          <w:lang w:val="en-US"/>
        </w:rPr>
        <w:t>Histoplasma</w:t>
      </w:r>
      <w:r w:rsidRPr="008B73F6">
        <w:rPr>
          <w:lang w:val="en-US"/>
        </w:rPr>
        <w:t>.  Invasive fungal infections accounted for more than half of the fatalities amongst patients who developed opportunistic infections.  The majority of the reports with a fatal outcome were in patients with Pneumocystis pneumonia, unspecified systemic fungal infections, and aspergillosis.</w:t>
      </w:r>
    </w:p>
    <w:p w14:paraId="1E31478C" w14:textId="77777777" w:rsidR="008B73F6" w:rsidRPr="008B73F6" w:rsidRDefault="008B73F6" w:rsidP="0021426A">
      <w:pPr>
        <w:pStyle w:val="NormalIndent1"/>
        <w:jc w:val="left"/>
        <w:rPr>
          <w:lang w:val="en-US"/>
        </w:rPr>
      </w:pPr>
    </w:p>
    <w:p w14:paraId="639284B9" w14:textId="77777777" w:rsidR="008B73F6" w:rsidRPr="008B73F6" w:rsidRDefault="008B73F6" w:rsidP="0021426A">
      <w:pPr>
        <w:pStyle w:val="Heading3"/>
        <w:jc w:val="left"/>
        <w:rPr>
          <w:lang w:val="en-US"/>
        </w:rPr>
      </w:pPr>
      <w:r w:rsidRPr="008B73F6">
        <w:rPr>
          <w:lang w:val="en-US"/>
        </w:rPr>
        <w:t xml:space="preserve">Malignancies and </w:t>
      </w:r>
      <w:r w:rsidR="004051BE" w:rsidRPr="008B73F6">
        <w:rPr>
          <w:lang w:val="en-US"/>
        </w:rPr>
        <w:t>Lymphoproliferative Disorders</w:t>
      </w:r>
    </w:p>
    <w:p w14:paraId="06FA9643" w14:textId="77777777" w:rsidR="008B73F6" w:rsidRPr="008B73F6" w:rsidRDefault="008B73F6" w:rsidP="0021426A">
      <w:pPr>
        <w:pStyle w:val="NormalIndent1"/>
        <w:jc w:val="left"/>
        <w:rPr>
          <w:lang w:val="en-US"/>
        </w:rPr>
      </w:pPr>
    </w:p>
    <w:p w14:paraId="56632EC7" w14:textId="6678E272" w:rsidR="008B73F6" w:rsidRPr="008B73F6" w:rsidRDefault="008B73F6" w:rsidP="0021426A">
      <w:pPr>
        <w:pStyle w:val="NormalIndent1"/>
        <w:jc w:val="left"/>
        <w:rPr>
          <w:lang w:val="en-US"/>
        </w:rPr>
      </w:pPr>
      <w:r w:rsidRPr="008B73F6">
        <w:rPr>
          <w:lang w:val="en-US"/>
        </w:rPr>
        <w:t>Reports of malignancies affecting various sites have been received in the post-marketing period.</w:t>
      </w:r>
      <w:r w:rsidR="004051BE">
        <w:rPr>
          <w:lang w:val="en-US"/>
        </w:rPr>
        <w:t xml:space="preserve"> </w:t>
      </w:r>
      <w:r w:rsidRPr="008B73F6">
        <w:rPr>
          <w:lang w:val="en-US"/>
        </w:rPr>
        <w:t xml:space="preserve"> The observed rates and incidences of new malignancies in clinical trials with </w:t>
      </w:r>
      <w:r w:rsidR="00C36EA6">
        <w:rPr>
          <w:lang w:val="en-US"/>
        </w:rPr>
        <w:t>etanercept</w:t>
      </w:r>
      <w:r w:rsidRPr="008B73F6">
        <w:rPr>
          <w:lang w:val="en-US"/>
        </w:rPr>
        <w:t xml:space="preserve"> were similar to those expected for the population studied.  Patients have been observed in clinical trials with </w:t>
      </w:r>
      <w:r w:rsidR="00C36EA6">
        <w:rPr>
          <w:lang w:val="en-US"/>
        </w:rPr>
        <w:t>etanercept</w:t>
      </w:r>
      <w:r w:rsidRPr="008B73F6">
        <w:rPr>
          <w:lang w:val="en-US"/>
        </w:rPr>
        <w:t xml:space="preserve"> for over five years.  Among 4,462 rheumatoid arthritis patients treated with </w:t>
      </w:r>
      <w:r w:rsidR="00C36EA6">
        <w:rPr>
          <w:lang w:val="en-US"/>
        </w:rPr>
        <w:t>etanercept</w:t>
      </w:r>
      <w:r w:rsidRPr="008B73F6">
        <w:rPr>
          <w:lang w:val="en-US"/>
        </w:rPr>
        <w:t xml:space="preserve"> in clinical trials for a mean of 27 months (approximately 10,000 patient-years of therapy),</w:t>
      </w:r>
      <w:r w:rsidR="004051BE">
        <w:rPr>
          <w:lang w:val="en-US"/>
        </w:rPr>
        <w:t xml:space="preserve"> </w:t>
      </w:r>
      <w:r w:rsidRPr="008B73F6">
        <w:rPr>
          <w:lang w:val="en-US"/>
        </w:rPr>
        <w:t xml:space="preserve">9 lymphomas were observed for a rate of 0.09 cases per 100 patient-years.  This is 3-fold higher than the rate of lymphomas expected in the general population based on the Surveillance, Epidemiology and End Results Database.  An increased rate of lymphoma up to several fold has been reported in the rheumatoid arthritis patient population and may be further increased in patients with more severe disease activity (see </w:t>
      </w:r>
      <w:r w:rsidR="004051BE" w:rsidRPr="00B664B5">
        <w:rPr>
          <w:b/>
          <w:lang w:val="en-US"/>
        </w:rPr>
        <w:t xml:space="preserve">Section 4.4 </w:t>
      </w:r>
      <w:r w:rsidR="004051BE" w:rsidRPr="00B664B5">
        <w:rPr>
          <w:b/>
        </w:rPr>
        <w:t>Special Warnings and Precautions for Use</w:t>
      </w:r>
      <w:r w:rsidR="004051BE" w:rsidRPr="004051BE">
        <w:rPr>
          <w:b/>
          <w:lang w:val="en-US"/>
        </w:rPr>
        <w:t xml:space="preserve"> - </w:t>
      </w:r>
      <w:r w:rsidRPr="004051BE">
        <w:rPr>
          <w:b/>
          <w:lang w:val="en-US"/>
        </w:rPr>
        <w:t>Carcinogenicity</w:t>
      </w:r>
      <w:r w:rsidRPr="008B73F6">
        <w:rPr>
          <w:lang w:val="en-US"/>
        </w:rPr>
        <w:t>).</w:t>
      </w:r>
    </w:p>
    <w:p w14:paraId="3606691A" w14:textId="77777777" w:rsidR="008B73F6" w:rsidRPr="008B73F6" w:rsidRDefault="008B73F6" w:rsidP="0021426A">
      <w:pPr>
        <w:pStyle w:val="NormalIndent1"/>
        <w:jc w:val="left"/>
        <w:rPr>
          <w:lang w:val="en-US"/>
        </w:rPr>
      </w:pPr>
    </w:p>
    <w:p w14:paraId="2EFAD7FF" w14:textId="77777777" w:rsidR="008B73F6" w:rsidRPr="008B73F6" w:rsidRDefault="008B73F6" w:rsidP="0021426A">
      <w:pPr>
        <w:pStyle w:val="NormalIndent1"/>
        <w:jc w:val="left"/>
        <w:rPr>
          <w:lang w:val="en-US"/>
        </w:rPr>
      </w:pPr>
      <w:r w:rsidRPr="008B73F6">
        <w:rPr>
          <w:lang w:val="en-US"/>
        </w:rPr>
        <w:t>There have been reports of malignancies in a clinical trial of patients being treated for Wegener's</w:t>
      </w:r>
      <w:r w:rsidR="004051BE">
        <w:rPr>
          <w:lang w:val="en-US"/>
        </w:rPr>
        <w:t xml:space="preserve"> </w:t>
      </w:r>
      <w:r w:rsidRPr="008B73F6">
        <w:rPr>
          <w:lang w:val="en-US"/>
        </w:rPr>
        <w:t xml:space="preserve">granulomatosis (see </w:t>
      </w:r>
      <w:r w:rsidR="004051BE" w:rsidRPr="00B664B5">
        <w:rPr>
          <w:b/>
          <w:lang w:val="en-US"/>
        </w:rPr>
        <w:t xml:space="preserve">Section 4.4 </w:t>
      </w:r>
      <w:r w:rsidR="004051BE" w:rsidRPr="00B664B5">
        <w:rPr>
          <w:b/>
        </w:rPr>
        <w:t>Special Warnings and Precautions for Use</w:t>
      </w:r>
      <w:r w:rsidR="004051BE" w:rsidRPr="004051BE">
        <w:rPr>
          <w:b/>
          <w:lang w:val="en-US"/>
        </w:rPr>
        <w:t xml:space="preserve"> - Carcinogenicity</w:t>
      </w:r>
      <w:r w:rsidRPr="008B73F6">
        <w:rPr>
          <w:lang w:val="en-US"/>
        </w:rPr>
        <w:t>).</w:t>
      </w:r>
    </w:p>
    <w:p w14:paraId="683D2B66" w14:textId="77777777" w:rsidR="008B73F6" w:rsidRPr="008B73F6" w:rsidRDefault="008B73F6" w:rsidP="0021426A">
      <w:pPr>
        <w:pStyle w:val="NormalIndent1"/>
        <w:jc w:val="left"/>
        <w:rPr>
          <w:lang w:val="en-US"/>
        </w:rPr>
      </w:pPr>
    </w:p>
    <w:p w14:paraId="0DB6D920" w14:textId="77777777" w:rsidR="008B73F6" w:rsidRPr="008B73F6" w:rsidRDefault="008B73F6" w:rsidP="0021426A">
      <w:pPr>
        <w:pStyle w:val="Heading3"/>
        <w:jc w:val="left"/>
        <w:rPr>
          <w:lang w:val="en-US"/>
        </w:rPr>
      </w:pPr>
      <w:r w:rsidRPr="008B73F6">
        <w:rPr>
          <w:lang w:val="en-US"/>
        </w:rPr>
        <w:t xml:space="preserve">Interstitial </w:t>
      </w:r>
      <w:r w:rsidR="004051BE" w:rsidRPr="008B73F6">
        <w:rPr>
          <w:lang w:val="en-US"/>
        </w:rPr>
        <w:t>Lung Disease</w:t>
      </w:r>
    </w:p>
    <w:p w14:paraId="3AB457C6" w14:textId="77777777" w:rsidR="008B73F6" w:rsidRPr="008B73F6" w:rsidRDefault="008B73F6" w:rsidP="0021426A">
      <w:pPr>
        <w:pStyle w:val="NormalIndent1"/>
        <w:jc w:val="left"/>
        <w:rPr>
          <w:lang w:val="en-US"/>
        </w:rPr>
      </w:pPr>
    </w:p>
    <w:p w14:paraId="339814C8" w14:textId="77777777" w:rsidR="008B73F6" w:rsidRPr="008B73F6" w:rsidRDefault="008B73F6" w:rsidP="0021426A">
      <w:pPr>
        <w:pStyle w:val="NormalIndent1"/>
        <w:jc w:val="left"/>
        <w:rPr>
          <w:lang w:val="en-US"/>
        </w:rPr>
      </w:pPr>
      <w:r w:rsidRPr="008B73F6">
        <w:rPr>
          <w:lang w:val="en-US"/>
        </w:rPr>
        <w:t xml:space="preserve">In controlled clinical trials of etanercept across all indications, the frequency (incidence proportion) of interstitial lung disease in patients receiving etanercept without concomitant methotrexate was rare. </w:t>
      </w:r>
      <w:r w:rsidR="004051BE">
        <w:rPr>
          <w:lang w:val="en-US"/>
        </w:rPr>
        <w:t xml:space="preserve"> </w:t>
      </w:r>
      <w:r w:rsidRPr="008B73F6">
        <w:rPr>
          <w:lang w:val="en-US"/>
        </w:rPr>
        <w:t>In the controlled clinical trials that allowed concomitant treatment with etanercept and methotrexate, the frequency (incidence proportion) of interstitial lung disease was uncommon. There have been post</w:t>
      </w:r>
      <w:r w:rsidR="007301B2">
        <w:rPr>
          <w:lang w:val="en-US"/>
        </w:rPr>
        <w:t>-</w:t>
      </w:r>
      <w:r w:rsidRPr="008B73F6">
        <w:rPr>
          <w:lang w:val="en-US"/>
        </w:rPr>
        <w:t>marketing reports of interstitial lung disease (including pneumonitis and pulmonary fibrosis), some of which had fatal outcomes.</w:t>
      </w:r>
    </w:p>
    <w:p w14:paraId="6C620BEE" w14:textId="77777777" w:rsidR="008B73F6" w:rsidRPr="008B73F6" w:rsidRDefault="008B73F6" w:rsidP="0021426A">
      <w:pPr>
        <w:pStyle w:val="NormalIndent1"/>
        <w:jc w:val="left"/>
        <w:rPr>
          <w:lang w:val="en-US"/>
        </w:rPr>
      </w:pPr>
    </w:p>
    <w:p w14:paraId="08708A0C" w14:textId="77777777" w:rsidR="008B73F6" w:rsidRPr="008B73F6" w:rsidRDefault="008B73F6" w:rsidP="0021426A">
      <w:pPr>
        <w:pStyle w:val="Heading3"/>
        <w:jc w:val="left"/>
        <w:rPr>
          <w:lang w:val="en-US"/>
        </w:rPr>
      </w:pPr>
      <w:r w:rsidRPr="008B73F6">
        <w:rPr>
          <w:lang w:val="en-US"/>
        </w:rPr>
        <w:t xml:space="preserve">Elevated </w:t>
      </w:r>
      <w:r w:rsidR="004051BE" w:rsidRPr="008B73F6">
        <w:rPr>
          <w:lang w:val="en-US"/>
        </w:rPr>
        <w:t>Liver Enzymes</w:t>
      </w:r>
    </w:p>
    <w:p w14:paraId="606CA714" w14:textId="77777777" w:rsidR="008B73F6" w:rsidRPr="008B73F6" w:rsidRDefault="008B73F6" w:rsidP="0021426A">
      <w:pPr>
        <w:pStyle w:val="NormalIndent1"/>
        <w:jc w:val="left"/>
        <w:rPr>
          <w:lang w:val="en-US"/>
        </w:rPr>
      </w:pPr>
    </w:p>
    <w:p w14:paraId="4352975D" w14:textId="77777777" w:rsidR="008B73F6" w:rsidRPr="008B73F6" w:rsidRDefault="008B73F6" w:rsidP="0021426A">
      <w:pPr>
        <w:pStyle w:val="NormalIndent1"/>
        <w:jc w:val="left"/>
        <w:rPr>
          <w:lang w:val="en-US"/>
        </w:rPr>
      </w:pPr>
      <w:r w:rsidRPr="008B73F6">
        <w:rPr>
          <w:lang w:val="en-US"/>
        </w:rPr>
        <w:t>In the double-blind periods of controlled clinical trials of etanercept across all indications, the frequency (incidence proportion) of adverse events of elevated liver enzymes in patients receiving etanercept without concomitant methotrexate was uncommon.  In the double-blind periods of controlled clinical trials that allowed concomitant treatment with etanercept and methotrexate, the frequency (incidence proportion) of adverse events of elevated liver enzymes was common.</w:t>
      </w:r>
    </w:p>
    <w:p w14:paraId="5285903E" w14:textId="77777777" w:rsidR="008B73F6" w:rsidRPr="008B73F6" w:rsidRDefault="008B73F6" w:rsidP="0021426A">
      <w:pPr>
        <w:pStyle w:val="NormalIndent1"/>
        <w:jc w:val="left"/>
        <w:rPr>
          <w:lang w:val="en-US"/>
        </w:rPr>
      </w:pPr>
    </w:p>
    <w:p w14:paraId="68FB82F9" w14:textId="77777777" w:rsidR="008B73F6" w:rsidRPr="008B73F6" w:rsidRDefault="008B73F6" w:rsidP="0021426A">
      <w:pPr>
        <w:pStyle w:val="Heading3"/>
        <w:jc w:val="left"/>
        <w:rPr>
          <w:lang w:val="en-US"/>
        </w:rPr>
      </w:pPr>
      <w:r w:rsidRPr="008B73F6">
        <w:rPr>
          <w:lang w:val="en-US"/>
        </w:rPr>
        <w:t xml:space="preserve">Autoimmune </w:t>
      </w:r>
      <w:r w:rsidR="004051BE" w:rsidRPr="008B73F6">
        <w:rPr>
          <w:lang w:val="en-US"/>
        </w:rPr>
        <w:t>Hepatitis</w:t>
      </w:r>
    </w:p>
    <w:p w14:paraId="13DC6C3E" w14:textId="77777777" w:rsidR="008B73F6" w:rsidRPr="008B73F6" w:rsidRDefault="008B73F6" w:rsidP="0021426A">
      <w:pPr>
        <w:pStyle w:val="NormalIndent1"/>
        <w:jc w:val="left"/>
        <w:rPr>
          <w:lang w:val="en-US"/>
        </w:rPr>
      </w:pPr>
    </w:p>
    <w:p w14:paraId="0A313B94" w14:textId="77777777" w:rsidR="008B73F6" w:rsidRDefault="008B73F6" w:rsidP="0021426A">
      <w:pPr>
        <w:pStyle w:val="NormalIndent1"/>
        <w:jc w:val="left"/>
        <w:rPr>
          <w:lang w:val="en-US"/>
        </w:rPr>
      </w:pPr>
      <w:r w:rsidRPr="008B73F6">
        <w:rPr>
          <w:lang w:val="en-US"/>
        </w:rPr>
        <w:t xml:space="preserve">In controlled clinical trials of etanercept across all indications, the frequency (incidence proportion) of autoimmune hepatitis in patients receiving etanercept without concomitant methotrexate was rare. </w:t>
      </w:r>
      <w:r w:rsidR="004051BE">
        <w:rPr>
          <w:lang w:val="en-US"/>
        </w:rPr>
        <w:t xml:space="preserve"> </w:t>
      </w:r>
      <w:r w:rsidRPr="008B73F6">
        <w:rPr>
          <w:lang w:val="en-US"/>
        </w:rPr>
        <w:t>In the controlled clinical trials that allowed concomitant treatment with etanercept and methotrexate, the frequency (incidence proportion) of autoimmune hepatitis was uncommon.</w:t>
      </w:r>
    </w:p>
    <w:p w14:paraId="1DC740F5" w14:textId="77777777" w:rsidR="008B73F6" w:rsidRDefault="008B73F6" w:rsidP="0021426A">
      <w:pPr>
        <w:pStyle w:val="NormalIndent1"/>
        <w:jc w:val="left"/>
        <w:rPr>
          <w:b/>
          <w:lang w:val="en-US"/>
        </w:rPr>
      </w:pPr>
    </w:p>
    <w:p w14:paraId="0013C695" w14:textId="77777777" w:rsidR="008B73F6" w:rsidRPr="008B73F6" w:rsidRDefault="008B73F6" w:rsidP="0021426A">
      <w:pPr>
        <w:pStyle w:val="Heading3"/>
        <w:jc w:val="left"/>
        <w:rPr>
          <w:lang w:val="en-US"/>
        </w:rPr>
      </w:pPr>
      <w:r w:rsidRPr="008B73F6">
        <w:rPr>
          <w:lang w:val="en-US"/>
        </w:rPr>
        <w:t xml:space="preserve">Autoantibody </w:t>
      </w:r>
      <w:r w:rsidR="004051BE" w:rsidRPr="008B73F6">
        <w:rPr>
          <w:lang w:val="en-US"/>
        </w:rPr>
        <w:t>Formation</w:t>
      </w:r>
    </w:p>
    <w:p w14:paraId="11B5F1DD" w14:textId="77777777" w:rsidR="008B73F6" w:rsidRPr="008B73F6" w:rsidRDefault="008B73F6" w:rsidP="0021426A">
      <w:pPr>
        <w:pStyle w:val="NormalIndent1"/>
        <w:jc w:val="left"/>
        <w:rPr>
          <w:lang w:val="en-US"/>
        </w:rPr>
      </w:pPr>
    </w:p>
    <w:p w14:paraId="0C0C5374" w14:textId="744B3D99" w:rsidR="008B73F6" w:rsidRPr="008B73F6" w:rsidRDefault="008B73F6" w:rsidP="0021426A">
      <w:pPr>
        <w:pStyle w:val="NormalIndent1"/>
        <w:jc w:val="left"/>
        <w:rPr>
          <w:lang w:val="en-US"/>
        </w:rPr>
      </w:pPr>
      <w:r w:rsidRPr="008B73F6">
        <w:rPr>
          <w:lang w:val="en-US"/>
        </w:rPr>
        <w:t xml:space="preserve">In controlled trials, the percentage of patients who developed new positive antinuclear antibodies (ANA) </w:t>
      </w:r>
      <w:r w:rsidRPr="004051BE">
        <w:rPr>
          <w:rFonts w:cstheme="minorHAnsi"/>
          <w:lang w:val="en-US"/>
        </w:rPr>
        <w:t>(</w:t>
      </w:r>
      <w:r w:rsidR="004051BE" w:rsidRPr="004051BE">
        <w:rPr>
          <w:rFonts w:cstheme="minorHAnsi"/>
          <w:lang w:val="en-US"/>
        </w:rPr>
        <w:t xml:space="preserve">≥ </w:t>
      </w:r>
      <w:r w:rsidRPr="004051BE">
        <w:rPr>
          <w:rFonts w:cstheme="minorHAnsi"/>
          <w:lang w:val="en-US"/>
        </w:rPr>
        <w:t>1:40</w:t>
      </w:r>
      <w:r w:rsidRPr="008B73F6">
        <w:rPr>
          <w:lang w:val="en-US"/>
        </w:rPr>
        <w:t xml:space="preserve">), new positive anti-double-stranded DNA antibodies and new anticardiolipin antibodies were increased compared to placebo-treated patients (11% cf. 5% respectively).  The percentage of patients who developed new positive anti-double-stranded DNA antibodies was also higher by radioimmunoassay (15% of patients treated with </w:t>
      </w:r>
      <w:r w:rsidR="00C36EA6">
        <w:rPr>
          <w:lang w:val="en-US"/>
        </w:rPr>
        <w:t>etanercept</w:t>
      </w:r>
      <w:r w:rsidRPr="008B73F6">
        <w:rPr>
          <w:lang w:val="en-US"/>
        </w:rPr>
        <w:t xml:space="preserve"> compared to 4% of placebo-treated patients) and by </w:t>
      </w:r>
      <w:proofErr w:type="spellStart"/>
      <w:r w:rsidRPr="008B73F6">
        <w:rPr>
          <w:i/>
          <w:lang w:val="en-US"/>
        </w:rPr>
        <w:t>Crithidia</w:t>
      </w:r>
      <w:proofErr w:type="spellEnd"/>
      <w:r w:rsidRPr="008B73F6">
        <w:rPr>
          <w:i/>
          <w:lang w:val="en-US"/>
        </w:rPr>
        <w:t xml:space="preserve"> </w:t>
      </w:r>
      <w:proofErr w:type="spellStart"/>
      <w:r w:rsidRPr="008B73F6">
        <w:rPr>
          <w:i/>
          <w:lang w:val="en-US"/>
        </w:rPr>
        <w:t>luciliae</w:t>
      </w:r>
      <w:proofErr w:type="spellEnd"/>
      <w:r w:rsidRPr="008B73F6">
        <w:rPr>
          <w:i/>
          <w:lang w:val="en-US"/>
        </w:rPr>
        <w:t xml:space="preserve"> </w:t>
      </w:r>
      <w:r w:rsidRPr="008B73F6">
        <w:rPr>
          <w:lang w:val="en-US"/>
        </w:rPr>
        <w:t xml:space="preserve">assay (3% of patients treated with </w:t>
      </w:r>
      <w:r w:rsidR="00C36EA6">
        <w:rPr>
          <w:lang w:val="en-US"/>
        </w:rPr>
        <w:t>etanercept</w:t>
      </w:r>
      <w:r w:rsidRPr="008B73F6">
        <w:rPr>
          <w:lang w:val="en-US"/>
        </w:rPr>
        <w:t xml:space="preserve"> compared to none of placebo-treated patients).</w:t>
      </w:r>
      <w:r w:rsidR="004051BE">
        <w:rPr>
          <w:lang w:val="en-US"/>
        </w:rPr>
        <w:t xml:space="preserve"> </w:t>
      </w:r>
      <w:r w:rsidRPr="008B73F6">
        <w:rPr>
          <w:lang w:val="en-US"/>
        </w:rPr>
        <w:t xml:space="preserve"> The proportion of patients treated with </w:t>
      </w:r>
      <w:r w:rsidR="00C36EA6">
        <w:rPr>
          <w:lang w:val="en-US"/>
        </w:rPr>
        <w:t>etanercept</w:t>
      </w:r>
      <w:r w:rsidRPr="008B73F6">
        <w:rPr>
          <w:lang w:val="en-US"/>
        </w:rPr>
        <w:t xml:space="preserve"> who developed anticardiolipin antibodies was similarly increased compared to placebo-treated patients.</w:t>
      </w:r>
    </w:p>
    <w:p w14:paraId="4FEA31B2" w14:textId="77777777" w:rsidR="008B73F6" w:rsidRPr="008B73F6" w:rsidRDefault="008B73F6" w:rsidP="0021426A">
      <w:pPr>
        <w:pStyle w:val="NormalIndent1"/>
        <w:jc w:val="left"/>
        <w:rPr>
          <w:lang w:val="en-US"/>
        </w:rPr>
      </w:pPr>
    </w:p>
    <w:p w14:paraId="668155EB" w14:textId="2748F3CF" w:rsidR="008B73F6" w:rsidRPr="008B73F6" w:rsidRDefault="008B73F6" w:rsidP="0021426A">
      <w:pPr>
        <w:pStyle w:val="NormalIndent1"/>
        <w:jc w:val="left"/>
        <w:rPr>
          <w:lang w:val="en-US"/>
        </w:rPr>
      </w:pPr>
      <w:r w:rsidRPr="008B73F6">
        <w:rPr>
          <w:lang w:val="en-US"/>
        </w:rPr>
        <w:t xml:space="preserve">Rare reports have been described in clinical trials and post-marketing experience, including patients with rheumatoid factor positive RA, who have developed additional antibodies in conjunction with autoimmune hepatitis, a lupus-like syndrome or rashes compatible with subacute cutaneous lupus or discoid lupus by clinical presentation and biopsy (see </w:t>
      </w:r>
      <w:r w:rsidRPr="004051BE">
        <w:rPr>
          <w:b/>
          <w:lang w:val="en-US"/>
        </w:rPr>
        <w:t xml:space="preserve">Other </w:t>
      </w:r>
      <w:r w:rsidR="004051BE" w:rsidRPr="004051BE">
        <w:rPr>
          <w:b/>
          <w:lang w:val="en-US"/>
        </w:rPr>
        <w:t>Adverse Reactions</w:t>
      </w:r>
      <w:r w:rsidR="004051BE">
        <w:rPr>
          <w:lang w:val="en-US"/>
        </w:rPr>
        <w:t xml:space="preserve"> in this section</w:t>
      </w:r>
      <w:r w:rsidRPr="008B73F6">
        <w:rPr>
          <w:lang w:val="en-US"/>
        </w:rPr>
        <w:t xml:space="preserve">).  The impact of long-term treatment with </w:t>
      </w:r>
      <w:r w:rsidR="00C36EA6">
        <w:rPr>
          <w:lang w:val="en-US"/>
        </w:rPr>
        <w:t>etanercept</w:t>
      </w:r>
      <w:r w:rsidR="00C36EA6" w:rsidRPr="008B73F6">
        <w:rPr>
          <w:lang w:val="en-US"/>
        </w:rPr>
        <w:t xml:space="preserve"> </w:t>
      </w:r>
      <w:r w:rsidRPr="008B73F6">
        <w:rPr>
          <w:lang w:val="en-US"/>
        </w:rPr>
        <w:t xml:space="preserve">on the development of autoimmune diseases is unknown.  If a patient develops symptoms and findings suggestive of a lupus-like syndrome or autoimmune hepatitis following treatment with </w:t>
      </w:r>
      <w:r w:rsidR="00C36EA6">
        <w:rPr>
          <w:lang w:val="en-US"/>
        </w:rPr>
        <w:t>etanercept</w:t>
      </w:r>
      <w:r w:rsidRPr="008B73F6">
        <w:rPr>
          <w:lang w:val="en-US"/>
        </w:rPr>
        <w:t>, treatment should be discontinued and the patient should be carefully evaluated.</w:t>
      </w:r>
    </w:p>
    <w:p w14:paraId="0ACA0159" w14:textId="77777777" w:rsidR="008B73F6" w:rsidRPr="008B73F6" w:rsidRDefault="008B73F6" w:rsidP="0021426A">
      <w:pPr>
        <w:pStyle w:val="NormalIndent1"/>
        <w:jc w:val="left"/>
        <w:rPr>
          <w:lang w:val="en-US"/>
        </w:rPr>
      </w:pPr>
    </w:p>
    <w:p w14:paraId="02A2792B" w14:textId="77777777" w:rsidR="008B73F6" w:rsidRPr="008B73F6" w:rsidRDefault="008B73F6" w:rsidP="0021426A">
      <w:pPr>
        <w:pStyle w:val="Heading3"/>
        <w:jc w:val="left"/>
        <w:rPr>
          <w:lang w:val="en-US"/>
        </w:rPr>
      </w:pPr>
      <w:r w:rsidRPr="008B73F6">
        <w:rPr>
          <w:lang w:val="en-US"/>
        </w:rPr>
        <w:t>Psoriasis</w:t>
      </w:r>
    </w:p>
    <w:p w14:paraId="2E0F2530" w14:textId="77777777" w:rsidR="008B73F6" w:rsidRPr="008B73F6" w:rsidRDefault="008B73F6" w:rsidP="0021426A">
      <w:pPr>
        <w:pStyle w:val="NormalIndent1"/>
        <w:jc w:val="left"/>
        <w:rPr>
          <w:lang w:val="en-US"/>
        </w:rPr>
      </w:pPr>
    </w:p>
    <w:p w14:paraId="16126F9E" w14:textId="0B20A6F1" w:rsidR="008B73F6" w:rsidRPr="008B73F6" w:rsidRDefault="008B73F6" w:rsidP="0021426A">
      <w:pPr>
        <w:pStyle w:val="NormalIndent1"/>
        <w:jc w:val="left"/>
        <w:rPr>
          <w:lang w:val="en-US"/>
        </w:rPr>
      </w:pPr>
      <w:r w:rsidRPr="008B73F6">
        <w:rPr>
          <w:lang w:val="en-US"/>
        </w:rPr>
        <w:t xml:space="preserve">Cases of new onset psoriasis, including pustular psoriasis and palmoplantar psoriasis, and cases of exacerbation of pre-existing psoriasis have been reported with the use of TNF blockers, including </w:t>
      </w:r>
      <w:r w:rsidR="00C36EA6">
        <w:rPr>
          <w:lang w:val="en-US"/>
        </w:rPr>
        <w:t>etanercept</w:t>
      </w:r>
      <w:r w:rsidRPr="008B73F6">
        <w:rPr>
          <w:lang w:val="en-US"/>
        </w:rPr>
        <w:t xml:space="preserve">.  Many of these patients were taking concomitant </w:t>
      </w:r>
      <w:proofErr w:type="spellStart"/>
      <w:r w:rsidRPr="008B73F6">
        <w:rPr>
          <w:lang w:val="en-US"/>
        </w:rPr>
        <w:t>immunosuppressants</w:t>
      </w:r>
      <w:proofErr w:type="spellEnd"/>
      <w:r w:rsidRPr="008B73F6">
        <w:rPr>
          <w:lang w:val="en-US"/>
        </w:rPr>
        <w:t xml:space="preserve"> (</w:t>
      </w:r>
      <w:proofErr w:type="spellStart"/>
      <w:r w:rsidRPr="008B73F6">
        <w:rPr>
          <w:lang w:val="en-US"/>
        </w:rPr>
        <w:t>eg</w:t>
      </w:r>
      <w:proofErr w:type="spellEnd"/>
      <w:r w:rsidRPr="008B73F6">
        <w:rPr>
          <w:lang w:val="en-US"/>
        </w:rPr>
        <w:t xml:space="preserve">. methotrexate, corticosteroids).  Some of these patients required </w:t>
      </w:r>
      <w:proofErr w:type="spellStart"/>
      <w:r w:rsidRPr="008B73F6">
        <w:rPr>
          <w:lang w:val="en-US"/>
        </w:rPr>
        <w:t>hospitalisation</w:t>
      </w:r>
      <w:proofErr w:type="spellEnd"/>
      <w:r w:rsidRPr="008B73F6">
        <w:rPr>
          <w:lang w:val="en-US"/>
        </w:rPr>
        <w:t xml:space="preserve">.  Most patients had improvements of their psoriasis following discontinuation of their TNF blocker.  Some patients have had recurrences of the psoriasis when they were re-challenged with a different TNF blocker. </w:t>
      </w:r>
      <w:r w:rsidR="004051BE">
        <w:rPr>
          <w:lang w:val="en-US"/>
        </w:rPr>
        <w:t xml:space="preserve"> </w:t>
      </w:r>
      <w:r w:rsidRPr="008B73F6">
        <w:rPr>
          <w:lang w:val="en-US"/>
        </w:rPr>
        <w:t xml:space="preserve">Discontinuation of </w:t>
      </w:r>
      <w:r w:rsidR="003D1456">
        <w:rPr>
          <w:lang w:val="en-US"/>
        </w:rPr>
        <w:t>Rymti</w:t>
      </w:r>
      <w:r w:rsidRPr="008B73F6">
        <w:rPr>
          <w:lang w:val="en-US"/>
        </w:rPr>
        <w:t xml:space="preserve"> should be considered for severe cases and those that do not improve or that worsen despite topical treatments.</w:t>
      </w:r>
    </w:p>
    <w:p w14:paraId="5C50CE53" w14:textId="77777777" w:rsidR="008B73F6" w:rsidRPr="008B73F6" w:rsidRDefault="008B73F6" w:rsidP="0021426A">
      <w:pPr>
        <w:pStyle w:val="NormalIndent1"/>
        <w:jc w:val="left"/>
        <w:rPr>
          <w:lang w:val="en-US"/>
        </w:rPr>
      </w:pPr>
    </w:p>
    <w:p w14:paraId="23081C66" w14:textId="77777777" w:rsidR="008B73F6" w:rsidRPr="008B73F6" w:rsidRDefault="008B73F6" w:rsidP="0021426A">
      <w:pPr>
        <w:pStyle w:val="Heading3"/>
        <w:jc w:val="left"/>
        <w:rPr>
          <w:lang w:val="en-US"/>
        </w:rPr>
      </w:pPr>
      <w:bookmarkStart w:id="5" w:name="_Hlk514834682"/>
      <w:r w:rsidRPr="008B73F6">
        <w:rPr>
          <w:lang w:val="en-US"/>
        </w:rPr>
        <w:t xml:space="preserve">Other </w:t>
      </w:r>
      <w:r w:rsidR="004051BE" w:rsidRPr="008B73F6">
        <w:rPr>
          <w:lang w:val="en-US"/>
        </w:rPr>
        <w:t>Adverse Reactions</w:t>
      </w:r>
    </w:p>
    <w:bookmarkEnd w:id="5"/>
    <w:p w14:paraId="09362B28" w14:textId="77777777" w:rsidR="008B73F6" w:rsidRPr="008B73F6" w:rsidRDefault="008B73F6" w:rsidP="0021426A">
      <w:pPr>
        <w:pStyle w:val="NormalIndent1"/>
        <w:jc w:val="left"/>
        <w:rPr>
          <w:lang w:val="en-US"/>
        </w:rPr>
      </w:pPr>
    </w:p>
    <w:p w14:paraId="7E22568C" w14:textId="7EB1258B" w:rsidR="008B73F6" w:rsidRDefault="008B73F6" w:rsidP="0021426A">
      <w:pPr>
        <w:pStyle w:val="NormalIndent1"/>
        <w:jc w:val="left"/>
        <w:rPr>
          <w:lang w:val="en-US"/>
        </w:rPr>
      </w:pPr>
      <w:r w:rsidRPr="008B73F6">
        <w:rPr>
          <w:lang w:val="en-US"/>
        </w:rPr>
        <w:t xml:space="preserve">Events reported in at least 3% of all patients with higher incidence in patients treated with </w:t>
      </w:r>
      <w:r w:rsidR="00C36EA6">
        <w:rPr>
          <w:lang w:val="en-US"/>
        </w:rPr>
        <w:t>etanercept</w:t>
      </w:r>
      <w:r w:rsidRPr="008B73F6">
        <w:rPr>
          <w:lang w:val="en-US"/>
        </w:rPr>
        <w:t xml:space="preserve"> compared to controls in placebo-controlled RA trials (including the combination methotrexate trial) and events per patient year are summarised in the next table.</w:t>
      </w:r>
    </w:p>
    <w:p w14:paraId="065F41D5" w14:textId="77777777" w:rsidR="008B73F6" w:rsidRDefault="008B73F6" w:rsidP="0021426A">
      <w:pPr>
        <w:pStyle w:val="NormalIndent1"/>
        <w:jc w:val="left"/>
        <w:rPr>
          <w:b/>
          <w:lang w:val="en-US"/>
        </w:rPr>
      </w:pPr>
    </w:p>
    <w:p w14:paraId="0F6D3D5B" w14:textId="77777777" w:rsidR="008B73F6" w:rsidRDefault="00CB0FEC" w:rsidP="0021426A">
      <w:pPr>
        <w:pStyle w:val="NormalIndent1"/>
        <w:jc w:val="left"/>
        <w:rPr>
          <w:b/>
          <w:vertAlign w:val="superscript"/>
          <w:lang w:val="en-US"/>
        </w:rPr>
      </w:pPr>
      <w:r>
        <w:rPr>
          <w:b/>
          <w:lang w:val="en-US"/>
        </w:rPr>
        <w:t xml:space="preserve">Table 3: </w:t>
      </w:r>
      <w:r w:rsidR="008B73F6" w:rsidRPr="008B73F6">
        <w:rPr>
          <w:b/>
          <w:lang w:val="en-US"/>
        </w:rPr>
        <w:t>Percent of Rheumatoid Arthritis Patients Reporting Adverse Events and</w:t>
      </w:r>
      <w:r w:rsidR="004051BE">
        <w:rPr>
          <w:b/>
          <w:lang w:val="en-US"/>
        </w:rPr>
        <w:t xml:space="preserve"> </w:t>
      </w:r>
      <w:r w:rsidR="008B73F6" w:rsidRPr="008B73F6">
        <w:rPr>
          <w:b/>
          <w:lang w:val="en-US"/>
        </w:rPr>
        <w:t xml:space="preserve">Events per Patient Year in Placebo-Controlled Clinical </w:t>
      </w:r>
      <w:proofErr w:type="spellStart"/>
      <w:r w:rsidR="008B73F6" w:rsidRPr="008B73F6">
        <w:rPr>
          <w:b/>
          <w:lang w:val="en-US"/>
        </w:rPr>
        <w:t>Trials</w:t>
      </w:r>
      <w:r w:rsidR="008B73F6" w:rsidRPr="004051BE">
        <w:rPr>
          <w:b/>
          <w:vertAlign w:val="superscript"/>
          <w:lang w:val="en-US"/>
        </w:rPr>
        <w:t>a</w:t>
      </w:r>
      <w:proofErr w:type="spellEnd"/>
    </w:p>
    <w:p w14:paraId="6CD78FA4" w14:textId="77777777" w:rsidR="004051BE" w:rsidRPr="008B73F6" w:rsidRDefault="004051BE" w:rsidP="0021426A">
      <w:pPr>
        <w:pStyle w:val="NormalIndent1"/>
        <w:jc w:val="left"/>
        <w:rPr>
          <w:lang w:val="en-US"/>
        </w:rPr>
      </w:pPr>
    </w:p>
    <w:tbl>
      <w:tblPr>
        <w:tblW w:w="9350" w:type="dxa"/>
        <w:tblInd w:w="425" w:type="dxa"/>
        <w:tblLayout w:type="fixed"/>
        <w:tblLook w:val="01E0" w:firstRow="1" w:lastRow="1" w:firstColumn="1" w:lastColumn="1" w:noHBand="0" w:noVBand="0"/>
      </w:tblPr>
      <w:tblGrid>
        <w:gridCol w:w="3225"/>
        <w:gridCol w:w="1531"/>
        <w:gridCol w:w="1531"/>
        <w:gridCol w:w="1531"/>
        <w:gridCol w:w="1532"/>
      </w:tblGrid>
      <w:tr w:rsidR="008B73F6" w:rsidRPr="008B73F6" w14:paraId="3D8ED6C5" w14:textId="77777777" w:rsidTr="00483C2F">
        <w:trPr>
          <w:tblHeader/>
        </w:trPr>
        <w:tc>
          <w:tcPr>
            <w:tcW w:w="3225" w:type="dxa"/>
            <w:vMerge w:val="restart"/>
            <w:tcBorders>
              <w:top w:val="single" w:sz="12" w:space="0" w:color="000000"/>
              <w:left w:val="single" w:sz="12" w:space="0" w:color="000000"/>
              <w:bottom w:val="single" w:sz="12" w:space="0" w:color="000000"/>
              <w:right w:val="single" w:sz="12" w:space="0" w:color="000000"/>
            </w:tcBorders>
          </w:tcPr>
          <w:p w14:paraId="24AE80A3" w14:textId="77777777" w:rsidR="008B73F6" w:rsidRPr="004051BE" w:rsidRDefault="008B73F6" w:rsidP="0021426A">
            <w:pPr>
              <w:pStyle w:val="NormalIndent1"/>
              <w:ind w:left="0"/>
              <w:jc w:val="left"/>
              <w:rPr>
                <w:b/>
                <w:lang w:val="en-US"/>
              </w:rPr>
            </w:pPr>
            <w:r w:rsidRPr="004051BE">
              <w:rPr>
                <w:b/>
                <w:lang w:val="en-US"/>
              </w:rPr>
              <w:t>Event</w:t>
            </w:r>
          </w:p>
        </w:tc>
        <w:tc>
          <w:tcPr>
            <w:tcW w:w="3062" w:type="dxa"/>
            <w:gridSpan w:val="2"/>
            <w:tcBorders>
              <w:top w:val="single" w:sz="12" w:space="0" w:color="000000"/>
              <w:left w:val="single" w:sz="12" w:space="0" w:color="000000"/>
              <w:bottom w:val="single" w:sz="12" w:space="0" w:color="000000"/>
              <w:right w:val="single" w:sz="12" w:space="0" w:color="000000"/>
            </w:tcBorders>
          </w:tcPr>
          <w:p w14:paraId="5589C302" w14:textId="77777777" w:rsidR="008B73F6" w:rsidRPr="004051BE" w:rsidRDefault="008B73F6" w:rsidP="0021426A">
            <w:pPr>
              <w:pStyle w:val="NormalIndent1"/>
              <w:ind w:left="0"/>
              <w:jc w:val="left"/>
              <w:rPr>
                <w:b/>
                <w:lang w:val="en-US"/>
              </w:rPr>
            </w:pPr>
            <w:r w:rsidRPr="004051BE">
              <w:rPr>
                <w:b/>
                <w:lang w:val="en-US"/>
              </w:rPr>
              <w:t>Percent of Patients</w:t>
            </w:r>
          </w:p>
        </w:tc>
        <w:tc>
          <w:tcPr>
            <w:tcW w:w="3063" w:type="dxa"/>
            <w:gridSpan w:val="2"/>
            <w:tcBorders>
              <w:top w:val="single" w:sz="12" w:space="0" w:color="000000"/>
              <w:left w:val="single" w:sz="12" w:space="0" w:color="000000"/>
              <w:bottom w:val="single" w:sz="12" w:space="0" w:color="000000"/>
              <w:right w:val="single" w:sz="12" w:space="0" w:color="000000"/>
            </w:tcBorders>
          </w:tcPr>
          <w:p w14:paraId="210AFCBE" w14:textId="77777777" w:rsidR="008B73F6" w:rsidRPr="004051BE" w:rsidRDefault="008B73F6" w:rsidP="0021426A">
            <w:pPr>
              <w:pStyle w:val="NormalIndent1"/>
              <w:ind w:left="0"/>
              <w:jc w:val="left"/>
              <w:rPr>
                <w:b/>
                <w:lang w:val="en-US"/>
              </w:rPr>
            </w:pPr>
            <w:r w:rsidRPr="004051BE">
              <w:rPr>
                <w:b/>
                <w:lang w:val="en-US"/>
              </w:rPr>
              <w:t>Event per Patient Year</w:t>
            </w:r>
          </w:p>
        </w:tc>
      </w:tr>
      <w:tr w:rsidR="008B73F6" w:rsidRPr="008B73F6" w14:paraId="7E56EDD0" w14:textId="77777777" w:rsidTr="00483C2F">
        <w:trPr>
          <w:tblHeader/>
        </w:trPr>
        <w:tc>
          <w:tcPr>
            <w:tcW w:w="3225" w:type="dxa"/>
            <w:vMerge/>
            <w:tcBorders>
              <w:top w:val="single" w:sz="12" w:space="0" w:color="000000"/>
              <w:left w:val="single" w:sz="12" w:space="0" w:color="000000"/>
              <w:bottom w:val="single" w:sz="12" w:space="0" w:color="000000"/>
              <w:right w:val="single" w:sz="12" w:space="0" w:color="000000"/>
            </w:tcBorders>
          </w:tcPr>
          <w:p w14:paraId="2BD223ED" w14:textId="77777777" w:rsidR="008B73F6" w:rsidRPr="004051BE" w:rsidRDefault="008B73F6" w:rsidP="0021426A">
            <w:pPr>
              <w:pStyle w:val="NormalIndent1"/>
              <w:ind w:left="0"/>
              <w:jc w:val="left"/>
              <w:rPr>
                <w:b/>
                <w:lang w:val="en-US"/>
              </w:rPr>
            </w:pPr>
          </w:p>
        </w:tc>
        <w:tc>
          <w:tcPr>
            <w:tcW w:w="1531" w:type="dxa"/>
            <w:tcBorders>
              <w:top w:val="single" w:sz="12" w:space="0" w:color="000000"/>
              <w:left w:val="single" w:sz="12" w:space="0" w:color="000000"/>
              <w:bottom w:val="single" w:sz="12" w:space="0" w:color="000000"/>
              <w:right w:val="single" w:sz="12" w:space="0" w:color="000000"/>
            </w:tcBorders>
          </w:tcPr>
          <w:p w14:paraId="37B90534" w14:textId="77777777" w:rsidR="008B73F6" w:rsidRPr="004051BE" w:rsidRDefault="008B73F6" w:rsidP="0021426A">
            <w:pPr>
              <w:pStyle w:val="NormalIndent1"/>
              <w:ind w:left="0"/>
              <w:jc w:val="left"/>
              <w:rPr>
                <w:b/>
                <w:lang w:val="en-US"/>
              </w:rPr>
            </w:pPr>
            <w:r w:rsidRPr="004051BE">
              <w:rPr>
                <w:b/>
                <w:lang w:val="en-US"/>
              </w:rPr>
              <w:t>Placebo</w:t>
            </w:r>
          </w:p>
          <w:p w14:paraId="50096804" w14:textId="77777777" w:rsidR="008B73F6" w:rsidRPr="004051BE" w:rsidRDefault="008B73F6" w:rsidP="0021426A">
            <w:pPr>
              <w:pStyle w:val="NormalIndent1"/>
              <w:ind w:left="0"/>
              <w:jc w:val="left"/>
              <w:rPr>
                <w:b/>
                <w:lang w:val="en-US"/>
              </w:rPr>
            </w:pPr>
            <w:r w:rsidRPr="004051BE">
              <w:rPr>
                <w:b/>
                <w:lang w:val="en-US"/>
              </w:rPr>
              <w:t>(n = 152)</w:t>
            </w:r>
          </w:p>
        </w:tc>
        <w:tc>
          <w:tcPr>
            <w:tcW w:w="1531" w:type="dxa"/>
            <w:tcBorders>
              <w:top w:val="single" w:sz="12" w:space="0" w:color="000000"/>
              <w:left w:val="single" w:sz="12" w:space="0" w:color="000000"/>
              <w:bottom w:val="single" w:sz="12" w:space="0" w:color="000000"/>
              <w:right w:val="single" w:sz="12" w:space="0" w:color="000000"/>
            </w:tcBorders>
          </w:tcPr>
          <w:p w14:paraId="13E85046" w14:textId="6CFA35F6" w:rsidR="008B73F6" w:rsidRPr="004051BE" w:rsidRDefault="00C36EA6" w:rsidP="0021426A">
            <w:pPr>
              <w:pStyle w:val="NormalIndent1"/>
              <w:ind w:left="0"/>
              <w:jc w:val="left"/>
              <w:rPr>
                <w:b/>
                <w:lang w:val="en-US"/>
              </w:rPr>
            </w:pPr>
            <w:r>
              <w:rPr>
                <w:b/>
                <w:lang w:val="en-US"/>
              </w:rPr>
              <w:t>Etanercept</w:t>
            </w:r>
          </w:p>
          <w:p w14:paraId="525C59B5" w14:textId="77777777" w:rsidR="008B73F6" w:rsidRPr="004051BE" w:rsidRDefault="008B73F6" w:rsidP="0021426A">
            <w:pPr>
              <w:pStyle w:val="NormalIndent1"/>
              <w:ind w:left="0"/>
              <w:jc w:val="left"/>
              <w:rPr>
                <w:b/>
                <w:lang w:val="en-US"/>
              </w:rPr>
            </w:pPr>
            <w:r w:rsidRPr="004051BE">
              <w:rPr>
                <w:b/>
                <w:lang w:val="en-US"/>
              </w:rPr>
              <w:t>(n = 349)</w:t>
            </w:r>
          </w:p>
        </w:tc>
        <w:tc>
          <w:tcPr>
            <w:tcW w:w="1531" w:type="dxa"/>
            <w:tcBorders>
              <w:top w:val="single" w:sz="12" w:space="0" w:color="000000"/>
              <w:left w:val="single" w:sz="12" w:space="0" w:color="000000"/>
              <w:bottom w:val="single" w:sz="12" w:space="0" w:color="000000"/>
              <w:right w:val="single" w:sz="12" w:space="0" w:color="000000"/>
            </w:tcBorders>
          </w:tcPr>
          <w:p w14:paraId="3BEA4B26" w14:textId="77777777" w:rsidR="008B73F6" w:rsidRPr="004051BE" w:rsidRDefault="008B73F6" w:rsidP="0021426A">
            <w:pPr>
              <w:pStyle w:val="NormalIndent1"/>
              <w:ind w:left="0"/>
              <w:jc w:val="left"/>
              <w:rPr>
                <w:b/>
                <w:lang w:val="en-US"/>
              </w:rPr>
            </w:pPr>
            <w:r w:rsidRPr="004051BE">
              <w:rPr>
                <w:b/>
                <w:lang w:val="en-US"/>
              </w:rPr>
              <w:t>Placebo</w:t>
            </w:r>
          </w:p>
          <w:p w14:paraId="2651B4D7" w14:textId="77777777" w:rsidR="008B73F6" w:rsidRPr="004051BE" w:rsidRDefault="008B73F6" w:rsidP="0021426A">
            <w:pPr>
              <w:pStyle w:val="NormalIndent1"/>
              <w:ind w:left="0"/>
              <w:jc w:val="left"/>
              <w:rPr>
                <w:b/>
                <w:lang w:val="en-US"/>
              </w:rPr>
            </w:pPr>
            <w:r w:rsidRPr="004051BE">
              <w:rPr>
                <w:b/>
                <w:lang w:val="en-US"/>
              </w:rPr>
              <w:t>(40 pt. years)</w:t>
            </w:r>
          </w:p>
        </w:tc>
        <w:tc>
          <w:tcPr>
            <w:tcW w:w="1532" w:type="dxa"/>
            <w:tcBorders>
              <w:top w:val="single" w:sz="12" w:space="0" w:color="000000"/>
              <w:left w:val="single" w:sz="12" w:space="0" w:color="000000"/>
              <w:bottom w:val="single" w:sz="12" w:space="0" w:color="000000"/>
              <w:right w:val="single" w:sz="12" w:space="0" w:color="000000"/>
            </w:tcBorders>
          </w:tcPr>
          <w:p w14:paraId="27937340" w14:textId="55F510EE" w:rsidR="008B73F6" w:rsidRPr="004051BE" w:rsidRDefault="00C36EA6" w:rsidP="0021426A">
            <w:pPr>
              <w:pStyle w:val="NormalIndent1"/>
              <w:ind w:left="0"/>
              <w:jc w:val="left"/>
              <w:rPr>
                <w:b/>
                <w:lang w:val="en-US"/>
              </w:rPr>
            </w:pPr>
            <w:r>
              <w:rPr>
                <w:b/>
                <w:lang w:val="en-US"/>
              </w:rPr>
              <w:t>Etanercept</w:t>
            </w:r>
          </w:p>
          <w:p w14:paraId="5EB91B3D" w14:textId="77777777" w:rsidR="008B73F6" w:rsidRPr="004051BE" w:rsidRDefault="008B73F6" w:rsidP="0021426A">
            <w:pPr>
              <w:pStyle w:val="NormalIndent1"/>
              <w:ind w:left="0"/>
              <w:jc w:val="left"/>
              <w:rPr>
                <w:b/>
                <w:lang w:val="en-US"/>
              </w:rPr>
            </w:pPr>
            <w:r w:rsidRPr="004051BE">
              <w:rPr>
                <w:b/>
                <w:lang w:val="en-US"/>
              </w:rPr>
              <w:t>(117 pt. years)</w:t>
            </w:r>
          </w:p>
        </w:tc>
      </w:tr>
      <w:tr w:rsidR="008B73F6" w:rsidRPr="008B73F6" w14:paraId="6A42FAC0" w14:textId="77777777" w:rsidTr="00C731D0">
        <w:tc>
          <w:tcPr>
            <w:tcW w:w="3225" w:type="dxa"/>
            <w:tcBorders>
              <w:top w:val="single" w:sz="12" w:space="0" w:color="000000"/>
              <w:left w:val="single" w:sz="5" w:space="0" w:color="000000"/>
              <w:bottom w:val="single" w:sz="5" w:space="0" w:color="000000"/>
              <w:right w:val="single" w:sz="5" w:space="0" w:color="000000"/>
            </w:tcBorders>
          </w:tcPr>
          <w:p w14:paraId="67EE5206" w14:textId="77777777" w:rsidR="008B73F6" w:rsidRPr="008B73F6" w:rsidRDefault="008B73F6" w:rsidP="0021426A">
            <w:pPr>
              <w:pStyle w:val="NormalIndent1"/>
              <w:spacing w:before="40" w:after="40"/>
              <w:ind w:left="0"/>
              <w:jc w:val="left"/>
              <w:rPr>
                <w:lang w:val="en-US"/>
              </w:rPr>
            </w:pPr>
            <w:r w:rsidRPr="008B73F6">
              <w:rPr>
                <w:lang w:val="en-US"/>
              </w:rPr>
              <w:t>Injection site reaction</w:t>
            </w:r>
          </w:p>
          <w:p w14:paraId="3CCDADFC" w14:textId="77777777" w:rsidR="008B73F6" w:rsidRPr="008B73F6" w:rsidRDefault="008B73F6" w:rsidP="0021426A">
            <w:pPr>
              <w:pStyle w:val="NormalIndent1"/>
              <w:spacing w:before="40" w:after="40"/>
              <w:ind w:left="0"/>
              <w:jc w:val="left"/>
              <w:rPr>
                <w:lang w:val="en-US"/>
              </w:rPr>
            </w:pPr>
            <w:r w:rsidRPr="008B73F6">
              <w:rPr>
                <w:lang w:val="en-US"/>
              </w:rPr>
              <w:t>Infection</w:t>
            </w:r>
          </w:p>
          <w:p w14:paraId="3998756A" w14:textId="77777777" w:rsidR="004051BE" w:rsidRDefault="008B73F6" w:rsidP="0021426A">
            <w:pPr>
              <w:pStyle w:val="NormalIndent1"/>
              <w:spacing w:before="40" w:after="40"/>
              <w:ind w:left="0"/>
              <w:jc w:val="left"/>
              <w:rPr>
                <w:lang w:val="en-US"/>
              </w:rPr>
            </w:pPr>
            <w:r w:rsidRPr="008B73F6">
              <w:rPr>
                <w:lang w:val="en-US"/>
              </w:rPr>
              <w:t xml:space="preserve">Non-upper respiratory </w:t>
            </w:r>
            <w:proofErr w:type="spellStart"/>
            <w:r w:rsidR="004051BE">
              <w:rPr>
                <w:lang w:val="en-US"/>
              </w:rPr>
              <w:t>infection</w:t>
            </w:r>
            <w:r w:rsidR="004051BE" w:rsidRPr="004051BE">
              <w:rPr>
                <w:vertAlign w:val="superscript"/>
                <w:lang w:val="en-US"/>
              </w:rPr>
              <w:t>b</w:t>
            </w:r>
            <w:proofErr w:type="spellEnd"/>
          </w:p>
          <w:p w14:paraId="28DD2752" w14:textId="77777777" w:rsidR="004051BE" w:rsidRDefault="008B73F6" w:rsidP="0021426A">
            <w:pPr>
              <w:pStyle w:val="NormalIndent1"/>
              <w:spacing w:before="40" w:after="40"/>
              <w:ind w:left="0"/>
              <w:jc w:val="left"/>
              <w:rPr>
                <w:lang w:val="en-US"/>
              </w:rPr>
            </w:pPr>
            <w:r w:rsidRPr="008B73F6">
              <w:rPr>
                <w:lang w:val="en-US"/>
              </w:rPr>
              <w:t xml:space="preserve">Upper respiratory </w:t>
            </w:r>
            <w:proofErr w:type="spellStart"/>
            <w:r w:rsidRPr="008B73F6">
              <w:rPr>
                <w:lang w:val="en-US"/>
              </w:rPr>
              <w:t>infection</w:t>
            </w:r>
            <w:r w:rsidRPr="004051BE">
              <w:rPr>
                <w:vertAlign w:val="superscript"/>
                <w:lang w:val="en-US"/>
              </w:rPr>
              <w:t>b</w:t>
            </w:r>
            <w:proofErr w:type="spellEnd"/>
          </w:p>
          <w:p w14:paraId="473A3707" w14:textId="77777777" w:rsidR="008B73F6" w:rsidRPr="008B73F6" w:rsidRDefault="008B73F6" w:rsidP="0021426A">
            <w:pPr>
              <w:pStyle w:val="NormalIndent1"/>
              <w:spacing w:before="40" w:after="40"/>
              <w:ind w:left="0"/>
              <w:jc w:val="left"/>
              <w:rPr>
                <w:lang w:val="en-US"/>
              </w:rPr>
            </w:pPr>
            <w:r w:rsidRPr="008B73F6">
              <w:rPr>
                <w:lang w:val="en-US"/>
              </w:rPr>
              <w:t>Headache</w:t>
            </w:r>
          </w:p>
          <w:p w14:paraId="1F5DD0E6" w14:textId="77777777" w:rsidR="004051BE" w:rsidRDefault="008B73F6" w:rsidP="0021426A">
            <w:pPr>
              <w:pStyle w:val="NormalIndent1"/>
              <w:spacing w:before="40" w:after="40"/>
              <w:ind w:left="0"/>
              <w:jc w:val="left"/>
              <w:rPr>
                <w:lang w:val="en-US"/>
              </w:rPr>
            </w:pPr>
            <w:r w:rsidRPr="008B73F6">
              <w:rPr>
                <w:lang w:val="en-US"/>
              </w:rPr>
              <w:t xml:space="preserve">Rhinitis </w:t>
            </w:r>
          </w:p>
          <w:p w14:paraId="6D23DAB9" w14:textId="77777777" w:rsidR="004051BE" w:rsidRDefault="008B73F6" w:rsidP="0021426A">
            <w:pPr>
              <w:pStyle w:val="NormalIndent1"/>
              <w:spacing w:before="40" w:after="40"/>
              <w:ind w:left="0"/>
              <w:jc w:val="left"/>
              <w:rPr>
                <w:lang w:val="en-US"/>
              </w:rPr>
            </w:pPr>
            <w:r w:rsidRPr="008B73F6">
              <w:rPr>
                <w:lang w:val="en-US"/>
              </w:rPr>
              <w:t xml:space="preserve">Dizziness </w:t>
            </w:r>
          </w:p>
          <w:p w14:paraId="138ADCE0" w14:textId="77777777" w:rsidR="004051BE" w:rsidRDefault="008B73F6" w:rsidP="0021426A">
            <w:pPr>
              <w:pStyle w:val="NormalIndent1"/>
              <w:spacing w:before="40" w:after="40"/>
              <w:ind w:left="0"/>
              <w:jc w:val="left"/>
              <w:rPr>
                <w:lang w:val="en-US"/>
              </w:rPr>
            </w:pPr>
            <w:r w:rsidRPr="008B73F6">
              <w:rPr>
                <w:lang w:val="en-US"/>
              </w:rPr>
              <w:t xml:space="preserve">Pharyngitis </w:t>
            </w:r>
          </w:p>
          <w:p w14:paraId="514845FB" w14:textId="77777777" w:rsidR="004051BE" w:rsidRDefault="008B73F6" w:rsidP="0021426A">
            <w:pPr>
              <w:pStyle w:val="NormalIndent1"/>
              <w:spacing w:before="40" w:after="40"/>
              <w:ind w:left="0"/>
              <w:jc w:val="left"/>
              <w:rPr>
                <w:lang w:val="en-US"/>
              </w:rPr>
            </w:pPr>
            <w:r w:rsidRPr="008B73F6">
              <w:rPr>
                <w:lang w:val="en-US"/>
              </w:rPr>
              <w:t xml:space="preserve">Cough </w:t>
            </w:r>
          </w:p>
          <w:p w14:paraId="5CB18865" w14:textId="77777777" w:rsidR="008B73F6" w:rsidRPr="008B73F6" w:rsidRDefault="008B73F6" w:rsidP="0021426A">
            <w:pPr>
              <w:pStyle w:val="NormalIndent1"/>
              <w:spacing w:before="40" w:after="40"/>
              <w:ind w:left="0"/>
              <w:jc w:val="left"/>
              <w:rPr>
                <w:lang w:val="en-US"/>
              </w:rPr>
            </w:pPr>
            <w:r w:rsidRPr="008B73F6">
              <w:rPr>
                <w:lang w:val="en-US"/>
              </w:rPr>
              <w:t>Asthenia</w:t>
            </w:r>
          </w:p>
          <w:p w14:paraId="21CA7F35" w14:textId="77777777" w:rsidR="008B73F6" w:rsidRPr="008B73F6" w:rsidRDefault="008B73F6" w:rsidP="0021426A">
            <w:pPr>
              <w:pStyle w:val="NormalIndent1"/>
              <w:spacing w:before="40" w:after="40"/>
              <w:ind w:left="0"/>
              <w:jc w:val="left"/>
              <w:rPr>
                <w:lang w:val="en-US"/>
              </w:rPr>
            </w:pPr>
            <w:r w:rsidRPr="008B73F6">
              <w:rPr>
                <w:lang w:val="en-US"/>
              </w:rPr>
              <w:t>Pain, Abdomen</w:t>
            </w:r>
          </w:p>
          <w:p w14:paraId="707ED909" w14:textId="77777777" w:rsidR="008B73F6" w:rsidRPr="008B73F6" w:rsidRDefault="008B73F6" w:rsidP="0021426A">
            <w:pPr>
              <w:pStyle w:val="NormalIndent1"/>
              <w:spacing w:before="40" w:after="40"/>
              <w:ind w:left="0"/>
              <w:jc w:val="left"/>
              <w:rPr>
                <w:lang w:val="en-US"/>
              </w:rPr>
            </w:pPr>
            <w:r w:rsidRPr="008B73F6">
              <w:rPr>
                <w:lang w:val="en-US"/>
              </w:rPr>
              <w:t>Rash</w:t>
            </w:r>
          </w:p>
          <w:p w14:paraId="4D5924BB" w14:textId="77777777" w:rsidR="008B73F6" w:rsidRPr="008B73F6" w:rsidRDefault="008B73F6" w:rsidP="0021426A">
            <w:pPr>
              <w:pStyle w:val="NormalIndent1"/>
              <w:spacing w:before="40" w:after="40"/>
              <w:ind w:left="0"/>
              <w:jc w:val="left"/>
              <w:rPr>
                <w:lang w:val="en-US"/>
              </w:rPr>
            </w:pPr>
            <w:r w:rsidRPr="008B73F6">
              <w:rPr>
                <w:lang w:val="en-US"/>
              </w:rPr>
              <w:t>Respiratory disorder</w:t>
            </w:r>
          </w:p>
          <w:p w14:paraId="6FE2FA83" w14:textId="77777777" w:rsidR="008B73F6" w:rsidRPr="008B73F6" w:rsidRDefault="008B73F6" w:rsidP="0021426A">
            <w:pPr>
              <w:pStyle w:val="NormalIndent1"/>
              <w:spacing w:before="40" w:after="40"/>
              <w:ind w:left="0"/>
              <w:jc w:val="left"/>
              <w:rPr>
                <w:lang w:val="en-US"/>
              </w:rPr>
            </w:pPr>
            <w:r w:rsidRPr="008B73F6">
              <w:rPr>
                <w:lang w:val="en-US"/>
              </w:rPr>
              <w:t>Dyspepsia</w:t>
            </w:r>
          </w:p>
          <w:p w14:paraId="71B178F6" w14:textId="77777777" w:rsidR="008B73F6" w:rsidRPr="008B73F6" w:rsidRDefault="008B73F6" w:rsidP="0021426A">
            <w:pPr>
              <w:pStyle w:val="NormalIndent1"/>
              <w:spacing w:before="40" w:after="40"/>
              <w:ind w:left="0"/>
              <w:jc w:val="left"/>
              <w:rPr>
                <w:lang w:val="en-US"/>
              </w:rPr>
            </w:pPr>
            <w:r w:rsidRPr="008B73F6">
              <w:rPr>
                <w:lang w:val="en-US"/>
              </w:rPr>
              <w:t>Sinusitis</w:t>
            </w:r>
          </w:p>
        </w:tc>
        <w:tc>
          <w:tcPr>
            <w:tcW w:w="1531" w:type="dxa"/>
            <w:tcBorders>
              <w:top w:val="single" w:sz="12" w:space="0" w:color="000000"/>
              <w:left w:val="single" w:sz="5" w:space="0" w:color="000000"/>
              <w:bottom w:val="single" w:sz="5" w:space="0" w:color="000000"/>
              <w:right w:val="single" w:sz="5" w:space="0" w:color="000000"/>
            </w:tcBorders>
          </w:tcPr>
          <w:p w14:paraId="407A5B7F" w14:textId="77777777" w:rsidR="008B73F6" w:rsidRPr="008B73F6" w:rsidRDefault="008B73F6" w:rsidP="0021426A">
            <w:pPr>
              <w:pStyle w:val="NormalIndent1"/>
              <w:spacing w:before="40" w:after="40"/>
              <w:ind w:left="0"/>
              <w:jc w:val="left"/>
              <w:rPr>
                <w:lang w:val="en-US"/>
              </w:rPr>
            </w:pPr>
            <w:r w:rsidRPr="008B73F6">
              <w:rPr>
                <w:lang w:val="en-US"/>
              </w:rPr>
              <w:t>10</w:t>
            </w:r>
          </w:p>
          <w:p w14:paraId="3114E0CB" w14:textId="77777777" w:rsidR="008B73F6" w:rsidRPr="008B73F6" w:rsidRDefault="008B73F6" w:rsidP="0021426A">
            <w:pPr>
              <w:pStyle w:val="NormalIndent1"/>
              <w:spacing w:before="40" w:after="40"/>
              <w:ind w:left="0"/>
              <w:jc w:val="left"/>
              <w:rPr>
                <w:lang w:val="en-US"/>
              </w:rPr>
            </w:pPr>
            <w:r w:rsidRPr="008B73F6">
              <w:rPr>
                <w:lang w:val="en-US"/>
              </w:rPr>
              <w:t>32</w:t>
            </w:r>
          </w:p>
          <w:p w14:paraId="0900946E" w14:textId="77777777" w:rsidR="008B73F6" w:rsidRPr="008B73F6" w:rsidRDefault="008B73F6" w:rsidP="0021426A">
            <w:pPr>
              <w:pStyle w:val="NormalIndent1"/>
              <w:spacing w:before="40" w:after="40"/>
              <w:ind w:left="0"/>
              <w:jc w:val="left"/>
              <w:rPr>
                <w:lang w:val="en-US"/>
              </w:rPr>
            </w:pPr>
            <w:r w:rsidRPr="008B73F6">
              <w:rPr>
                <w:lang w:val="en-US"/>
              </w:rPr>
              <w:t>32</w:t>
            </w:r>
          </w:p>
          <w:p w14:paraId="764AFAC7" w14:textId="77777777" w:rsidR="008B73F6" w:rsidRPr="008B73F6" w:rsidRDefault="008B73F6" w:rsidP="0021426A">
            <w:pPr>
              <w:pStyle w:val="NormalIndent1"/>
              <w:spacing w:before="40" w:after="40"/>
              <w:ind w:left="0"/>
              <w:jc w:val="left"/>
              <w:rPr>
                <w:lang w:val="en-US"/>
              </w:rPr>
            </w:pPr>
            <w:r w:rsidRPr="008B73F6">
              <w:rPr>
                <w:lang w:val="en-US"/>
              </w:rPr>
              <w:t>16</w:t>
            </w:r>
          </w:p>
          <w:p w14:paraId="358394B0" w14:textId="77777777" w:rsidR="008B73F6" w:rsidRPr="008B73F6" w:rsidRDefault="008B73F6" w:rsidP="0021426A">
            <w:pPr>
              <w:pStyle w:val="NormalIndent1"/>
              <w:spacing w:before="40" w:after="40"/>
              <w:ind w:left="0"/>
              <w:jc w:val="left"/>
              <w:rPr>
                <w:lang w:val="en-US"/>
              </w:rPr>
            </w:pPr>
            <w:r w:rsidRPr="008B73F6">
              <w:rPr>
                <w:lang w:val="en-US"/>
              </w:rPr>
              <w:t>13</w:t>
            </w:r>
          </w:p>
          <w:p w14:paraId="13EBE919" w14:textId="77777777" w:rsidR="008B73F6" w:rsidRPr="008B73F6" w:rsidRDefault="008B73F6" w:rsidP="0021426A">
            <w:pPr>
              <w:pStyle w:val="NormalIndent1"/>
              <w:spacing w:before="40" w:after="40"/>
              <w:ind w:left="0"/>
              <w:jc w:val="left"/>
              <w:rPr>
                <w:lang w:val="en-US"/>
              </w:rPr>
            </w:pPr>
            <w:r w:rsidRPr="008B73F6">
              <w:rPr>
                <w:lang w:val="en-US"/>
              </w:rPr>
              <w:t>8</w:t>
            </w:r>
          </w:p>
          <w:p w14:paraId="5C5A30A8" w14:textId="77777777" w:rsidR="008B73F6" w:rsidRPr="008B73F6" w:rsidRDefault="008B73F6" w:rsidP="0021426A">
            <w:pPr>
              <w:pStyle w:val="NormalIndent1"/>
              <w:spacing w:before="40" w:after="40"/>
              <w:ind w:left="0"/>
              <w:jc w:val="left"/>
              <w:rPr>
                <w:lang w:val="en-US"/>
              </w:rPr>
            </w:pPr>
            <w:r w:rsidRPr="008B73F6">
              <w:rPr>
                <w:lang w:val="en-US"/>
              </w:rPr>
              <w:t>5</w:t>
            </w:r>
          </w:p>
          <w:p w14:paraId="0B098F4D" w14:textId="77777777" w:rsidR="008B73F6" w:rsidRPr="008B73F6" w:rsidRDefault="008B73F6" w:rsidP="0021426A">
            <w:pPr>
              <w:pStyle w:val="NormalIndent1"/>
              <w:spacing w:before="40" w:after="40"/>
              <w:ind w:left="0"/>
              <w:jc w:val="left"/>
              <w:rPr>
                <w:lang w:val="en-US"/>
              </w:rPr>
            </w:pPr>
            <w:r w:rsidRPr="008B73F6">
              <w:rPr>
                <w:lang w:val="en-US"/>
              </w:rPr>
              <w:t>5</w:t>
            </w:r>
          </w:p>
          <w:p w14:paraId="08CB3087" w14:textId="77777777" w:rsidR="008B73F6" w:rsidRPr="008B73F6" w:rsidRDefault="008B73F6" w:rsidP="0021426A">
            <w:pPr>
              <w:pStyle w:val="NormalIndent1"/>
              <w:spacing w:before="40" w:after="40"/>
              <w:ind w:left="0"/>
              <w:jc w:val="left"/>
              <w:rPr>
                <w:lang w:val="en-US"/>
              </w:rPr>
            </w:pPr>
            <w:r w:rsidRPr="008B73F6">
              <w:rPr>
                <w:lang w:val="en-US"/>
              </w:rPr>
              <w:t>3</w:t>
            </w:r>
          </w:p>
          <w:p w14:paraId="76115D51" w14:textId="77777777" w:rsidR="008B73F6" w:rsidRPr="008B73F6" w:rsidRDefault="008B73F6" w:rsidP="0021426A">
            <w:pPr>
              <w:pStyle w:val="NormalIndent1"/>
              <w:spacing w:before="40" w:after="40"/>
              <w:ind w:left="0"/>
              <w:jc w:val="left"/>
              <w:rPr>
                <w:lang w:val="en-US"/>
              </w:rPr>
            </w:pPr>
            <w:r w:rsidRPr="008B73F6">
              <w:rPr>
                <w:lang w:val="en-US"/>
              </w:rPr>
              <w:t>3</w:t>
            </w:r>
          </w:p>
          <w:p w14:paraId="1335E80F" w14:textId="77777777" w:rsidR="008B73F6" w:rsidRPr="008B73F6" w:rsidRDefault="008B73F6" w:rsidP="0021426A">
            <w:pPr>
              <w:pStyle w:val="NormalIndent1"/>
              <w:spacing w:before="40" w:after="40"/>
              <w:ind w:left="0"/>
              <w:jc w:val="left"/>
              <w:rPr>
                <w:lang w:val="en-US"/>
              </w:rPr>
            </w:pPr>
            <w:r w:rsidRPr="008B73F6">
              <w:rPr>
                <w:lang w:val="en-US"/>
              </w:rPr>
              <w:t>3</w:t>
            </w:r>
          </w:p>
          <w:p w14:paraId="16145634" w14:textId="77777777" w:rsidR="008B73F6" w:rsidRPr="008B73F6" w:rsidRDefault="008B73F6" w:rsidP="0021426A">
            <w:pPr>
              <w:pStyle w:val="NormalIndent1"/>
              <w:spacing w:before="40" w:after="40"/>
              <w:ind w:left="0"/>
              <w:jc w:val="left"/>
              <w:rPr>
                <w:lang w:val="en-US"/>
              </w:rPr>
            </w:pPr>
            <w:r w:rsidRPr="008B73F6">
              <w:rPr>
                <w:lang w:val="en-US"/>
              </w:rPr>
              <w:t>3</w:t>
            </w:r>
          </w:p>
          <w:p w14:paraId="253BB8B2" w14:textId="77777777" w:rsidR="008B73F6" w:rsidRPr="008B73F6" w:rsidRDefault="008B73F6" w:rsidP="0021426A">
            <w:pPr>
              <w:pStyle w:val="NormalIndent1"/>
              <w:spacing w:before="40" w:after="40"/>
              <w:ind w:left="0"/>
              <w:jc w:val="left"/>
              <w:rPr>
                <w:lang w:val="en-US"/>
              </w:rPr>
            </w:pPr>
            <w:r w:rsidRPr="008B73F6">
              <w:rPr>
                <w:lang w:val="en-US"/>
              </w:rPr>
              <w:t>1</w:t>
            </w:r>
          </w:p>
          <w:p w14:paraId="7F295A27" w14:textId="77777777" w:rsidR="008B73F6" w:rsidRPr="008B73F6" w:rsidRDefault="008B73F6" w:rsidP="0021426A">
            <w:pPr>
              <w:pStyle w:val="NormalIndent1"/>
              <w:spacing w:before="40" w:after="40"/>
              <w:ind w:left="0"/>
              <w:jc w:val="left"/>
              <w:rPr>
                <w:lang w:val="en-US"/>
              </w:rPr>
            </w:pPr>
            <w:r w:rsidRPr="008B73F6">
              <w:rPr>
                <w:lang w:val="en-US"/>
              </w:rPr>
              <w:t>1</w:t>
            </w:r>
          </w:p>
          <w:p w14:paraId="70749409" w14:textId="77777777" w:rsidR="008B73F6" w:rsidRPr="008B73F6" w:rsidRDefault="008B73F6" w:rsidP="0021426A">
            <w:pPr>
              <w:pStyle w:val="NormalIndent1"/>
              <w:spacing w:before="40" w:after="40"/>
              <w:ind w:left="0"/>
              <w:jc w:val="left"/>
              <w:rPr>
                <w:lang w:val="en-US"/>
              </w:rPr>
            </w:pPr>
            <w:r w:rsidRPr="008B73F6">
              <w:rPr>
                <w:lang w:val="en-US"/>
              </w:rPr>
              <w:t>2</w:t>
            </w:r>
          </w:p>
        </w:tc>
        <w:tc>
          <w:tcPr>
            <w:tcW w:w="1531" w:type="dxa"/>
            <w:tcBorders>
              <w:top w:val="single" w:sz="12" w:space="0" w:color="000000"/>
              <w:left w:val="single" w:sz="5" w:space="0" w:color="000000"/>
              <w:bottom w:val="single" w:sz="5" w:space="0" w:color="000000"/>
              <w:right w:val="single" w:sz="5" w:space="0" w:color="000000"/>
            </w:tcBorders>
          </w:tcPr>
          <w:p w14:paraId="435FFF80" w14:textId="77777777" w:rsidR="008B73F6" w:rsidRPr="008B73F6" w:rsidRDefault="008B73F6" w:rsidP="0021426A">
            <w:pPr>
              <w:pStyle w:val="NormalIndent1"/>
              <w:spacing w:before="40" w:after="40"/>
              <w:ind w:left="0"/>
              <w:jc w:val="left"/>
              <w:rPr>
                <w:lang w:val="en-US"/>
              </w:rPr>
            </w:pPr>
            <w:r w:rsidRPr="008B73F6">
              <w:rPr>
                <w:lang w:val="en-US"/>
              </w:rPr>
              <w:t>37</w:t>
            </w:r>
          </w:p>
          <w:p w14:paraId="54D9B06F" w14:textId="77777777" w:rsidR="008B73F6" w:rsidRPr="008B73F6" w:rsidRDefault="008B73F6" w:rsidP="0021426A">
            <w:pPr>
              <w:pStyle w:val="NormalIndent1"/>
              <w:spacing w:before="40" w:after="40"/>
              <w:ind w:left="0"/>
              <w:jc w:val="left"/>
              <w:rPr>
                <w:lang w:val="en-US"/>
              </w:rPr>
            </w:pPr>
            <w:r w:rsidRPr="008B73F6">
              <w:rPr>
                <w:lang w:val="en-US"/>
              </w:rPr>
              <w:t>35</w:t>
            </w:r>
          </w:p>
          <w:p w14:paraId="3E52717C" w14:textId="77777777" w:rsidR="008B73F6" w:rsidRPr="008B73F6" w:rsidRDefault="008B73F6" w:rsidP="0021426A">
            <w:pPr>
              <w:pStyle w:val="NormalIndent1"/>
              <w:spacing w:before="40" w:after="40"/>
              <w:ind w:left="0"/>
              <w:jc w:val="left"/>
              <w:rPr>
                <w:lang w:val="en-US"/>
              </w:rPr>
            </w:pPr>
            <w:r w:rsidRPr="008B73F6">
              <w:rPr>
                <w:lang w:val="en-US"/>
              </w:rPr>
              <w:t>38</w:t>
            </w:r>
          </w:p>
          <w:p w14:paraId="7BD86FBF" w14:textId="77777777" w:rsidR="008B73F6" w:rsidRPr="008B73F6" w:rsidRDefault="008B73F6" w:rsidP="0021426A">
            <w:pPr>
              <w:pStyle w:val="NormalIndent1"/>
              <w:spacing w:before="40" w:after="40"/>
              <w:ind w:left="0"/>
              <w:jc w:val="left"/>
              <w:rPr>
                <w:lang w:val="en-US"/>
              </w:rPr>
            </w:pPr>
            <w:r w:rsidRPr="008B73F6">
              <w:rPr>
                <w:lang w:val="en-US"/>
              </w:rPr>
              <w:t>29</w:t>
            </w:r>
          </w:p>
          <w:p w14:paraId="3943DA17" w14:textId="77777777" w:rsidR="008B73F6" w:rsidRPr="008B73F6" w:rsidRDefault="008B73F6" w:rsidP="0021426A">
            <w:pPr>
              <w:pStyle w:val="NormalIndent1"/>
              <w:spacing w:before="40" w:after="40"/>
              <w:ind w:left="0"/>
              <w:jc w:val="left"/>
              <w:rPr>
                <w:lang w:val="en-US"/>
              </w:rPr>
            </w:pPr>
            <w:r w:rsidRPr="008B73F6">
              <w:rPr>
                <w:lang w:val="en-US"/>
              </w:rPr>
              <w:t>17</w:t>
            </w:r>
          </w:p>
          <w:p w14:paraId="7B1266D0" w14:textId="77777777" w:rsidR="008B73F6" w:rsidRPr="008B73F6" w:rsidRDefault="008B73F6" w:rsidP="0021426A">
            <w:pPr>
              <w:pStyle w:val="NormalIndent1"/>
              <w:spacing w:before="40" w:after="40"/>
              <w:ind w:left="0"/>
              <w:jc w:val="left"/>
              <w:rPr>
                <w:lang w:val="en-US"/>
              </w:rPr>
            </w:pPr>
            <w:r w:rsidRPr="008B73F6">
              <w:rPr>
                <w:lang w:val="en-US"/>
              </w:rPr>
              <w:t>12</w:t>
            </w:r>
          </w:p>
          <w:p w14:paraId="0BFF3E30" w14:textId="77777777" w:rsidR="008B73F6" w:rsidRPr="008B73F6" w:rsidRDefault="008B73F6" w:rsidP="0021426A">
            <w:pPr>
              <w:pStyle w:val="NormalIndent1"/>
              <w:spacing w:before="40" w:after="40"/>
              <w:ind w:left="0"/>
              <w:jc w:val="left"/>
              <w:rPr>
                <w:lang w:val="en-US"/>
              </w:rPr>
            </w:pPr>
            <w:r w:rsidRPr="008B73F6">
              <w:rPr>
                <w:lang w:val="en-US"/>
              </w:rPr>
              <w:t>7</w:t>
            </w:r>
          </w:p>
          <w:p w14:paraId="5A017E65" w14:textId="77777777" w:rsidR="008B73F6" w:rsidRPr="008B73F6" w:rsidRDefault="008B73F6" w:rsidP="0021426A">
            <w:pPr>
              <w:pStyle w:val="NormalIndent1"/>
              <w:spacing w:before="40" w:after="40"/>
              <w:ind w:left="0"/>
              <w:jc w:val="left"/>
              <w:rPr>
                <w:lang w:val="en-US"/>
              </w:rPr>
            </w:pPr>
            <w:r w:rsidRPr="008B73F6">
              <w:rPr>
                <w:lang w:val="en-US"/>
              </w:rPr>
              <w:t>7</w:t>
            </w:r>
          </w:p>
          <w:p w14:paraId="065AC30F" w14:textId="77777777" w:rsidR="008B73F6" w:rsidRPr="008B73F6" w:rsidRDefault="008B73F6" w:rsidP="0021426A">
            <w:pPr>
              <w:pStyle w:val="NormalIndent1"/>
              <w:spacing w:before="40" w:after="40"/>
              <w:ind w:left="0"/>
              <w:jc w:val="left"/>
              <w:rPr>
                <w:lang w:val="en-US"/>
              </w:rPr>
            </w:pPr>
            <w:r w:rsidRPr="008B73F6">
              <w:rPr>
                <w:lang w:val="en-US"/>
              </w:rPr>
              <w:t>6</w:t>
            </w:r>
          </w:p>
          <w:p w14:paraId="62F9CC2C" w14:textId="77777777" w:rsidR="008B73F6" w:rsidRPr="008B73F6" w:rsidRDefault="008B73F6" w:rsidP="0021426A">
            <w:pPr>
              <w:pStyle w:val="NormalIndent1"/>
              <w:spacing w:before="40" w:after="40"/>
              <w:ind w:left="0"/>
              <w:jc w:val="left"/>
              <w:rPr>
                <w:lang w:val="en-US"/>
              </w:rPr>
            </w:pPr>
            <w:r w:rsidRPr="008B73F6">
              <w:rPr>
                <w:lang w:val="en-US"/>
              </w:rPr>
              <w:t>5</w:t>
            </w:r>
          </w:p>
          <w:p w14:paraId="241A96E4" w14:textId="77777777" w:rsidR="008B73F6" w:rsidRPr="008B73F6" w:rsidRDefault="008B73F6" w:rsidP="0021426A">
            <w:pPr>
              <w:pStyle w:val="NormalIndent1"/>
              <w:spacing w:before="40" w:after="40"/>
              <w:ind w:left="0"/>
              <w:jc w:val="left"/>
              <w:rPr>
                <w:lang w:val="en-US"/>
              </w:rPr>
            </w:pPr>
            <w:r w:rsidRPr="008B73F6">
              <w:rPr>
                <w:lang w:val="en-US"/>
              </w:rPr>
              <w:t>5</w:t>
            </w:r>
          </w:p>
          <w:p w14:paraId="2B1B79AD" w14:textId="77777777" w:rsidR="008B73F6" w:rsidRPr="008B73F6" w:rsidRDefault="008B73F6" w:rsidP="0021426A">
            <w:pPr>
              <w:pStyle w:val="NormalIndent1"/>
              <w:spacing w:before="40" w:after="40"/>
              <w:ind w:left="0"/>
              <w:jc w:val="left"/>
              <w:rPr>
                <w:lang w:val="en-US"/>
              </w:rPr>
            </w:pPr>
            <w:r w:rsidRPr="008B73F6">
              <w:rPr>
                <w:lang w:val="en-US"/>
              </w:rPr>
              <w:t>5</w:t>
            </w:r>
          </w:p>
          <w:p w14:paraId="5817BB50" w14:textId="77777777" w:rsidR="008B73F6" w:rsidRPr="008B73F6" w:rsidRDefault="008B73F6" w:rsidP="0021426A">
            <w:pPr>
              <w:pStyle w:val="NormalIndent1"/>
              <w:spacing w:before="40" w:after="40"/>
              <w:ind w:left="0"/>
              <w:jc w:val="left"/>
              <w:rPr>
                <w:lang w:val="en-US"/>
              </w:rPr>
            </w:pPr>
            <w:r w:rsidRPr="008B73F6">
              <w:rPr>
                <w:lang w:val="en-US"/>
              </w:rPr>
              <w:t>5</w:t>
            </w:r>
          </w:p>
          <w:p w14:paraId="2179C142" w14:textId="77777777" w:rsidR="008B73F6" w:rsidRPr="008B73F6" w:rsidRDefault="008B73F6" w:rsidP="0021426A">
            <w:pPr>
              <w:pStyle w:val="NormalIndent1"/>
              <w:spacing w:before="40" w:after="40"/>
              <w:ind w:left="0"/>
              <w:jc w:val="left"/>
              <w:rPr>
                <w:lang w:val="en-US"/>
              </w:rPr>
            </w:pPr>
            <w:r w:rsidRPr="008B73F6">
              <w:rPr>
                <w:lang w:val="en-US"/>
              </w:rPr>
              <w:t>4</w:t>
            </w:r>
          </w:p>
          <w:p w14:paraId="56F7C89B" w14:textId="77777777" w:rsidR="008B73F6" w:rsidRPr="008B73F6" w:rsidRDefault="008B73F6" w:rsidP="0021426A">
            <w:pPr>
              <w:pStyle w:val="NormalIndent1"/>
              <w:spacing w:before="40" w:after="40"/>
              <w:ind w:left="0"/>
              <w:jc w:val="left"/>
              <w:rPr>
                <w:lang w:val="en-US"/>
              </w:rPr>
            </w:pPr>
            <w:r w:rsidRPr="008B73F6">
              <w:rPr>
                <w:lang w:val="en-US"/>
              </w:rPr>
              <w:t>3</w:t>
            </w:r>
          </w:p>
        </w:tc>
        <w:tc>
          <w:tcPr>
            <w:tcW w:w="1531" w:type="dxa"/>
            <w:tcBorders>
              <w:top w:val="single" w:sz="12" w:space="0" w:color="000000"/>
              <w:left w:val="single" w:sz="5" w:space="0" w:color="000000"/>
              <w:bottom w:val="single" w:sz="5" w:space="0" w:color="000000"/>
              <w:right w:val="single" w:sz="5" w:space="0" w:color="000000"/>
            </w:tcBorders>
          </w:tcPr>
          <w:p w14:paraId="7AD7D505" w14:textId="77777777" w:rsidR="008B73F6" w:rsidRPr="008B73F6" w:rsidRDefault="008B73F6" w:rsidP="0021426A">
            <w:pPr>
              <w:pStyle w:val="NormalIndent1"/>
              <w:spacing w:before="40" w:after="40"/>
              <w:ind w:left="0"/>
              <w:jc w:val="left"/>
              <w:rPr>
                <w:lang w:val="en-US"/>
              </w:rPr>
            </w:pPr>
            <w:r w:rsidRPr="008B73F6">
              <w:rPr>
                <w:lang w:val="en-US"/>
              </w:rPr>
              <w:t>0.62</w:t>
            </w:r>
          </w:p>
          <w:p w14:paraId="4514248A" w14:textId="77777777" w:rsidR="008B73F6" w:rsidRPr="008B73F6" w:rsidRDefault="008B73F6" w:rsidP="0021426A">
            <w:pPr>
              <w:pStyle w:val="NormalIndent1"/>
              <w:spacing w:before="40" w:after="40"/>
              <w:ind w:left="0"/>
              <w:jc w:val="left"/>
              <w:rPr>
                <w:lang w:val="en-US"/>
              </w:rPr>
            </w:pPr>
            <w:r w:rsidRPr="008B73F6">
              <w:rPr>
                <w:lang w:val="en-US"/>
              </w:rPr>
              <w:t>1.86</w:t>
            </w:r>
          </w:p>
          <w:p w14:paraId="30CAA890" w14:textId="77777777" w:rsidR="008B73F6" w:rsidRPr="008B73F6" w:rsidRDefault="008B73F6" w:rsidP="0021426A">
            <w:pPr>
              <w:pStyle w:val="NormalIndent1"/>
              <w:spacing w:before="40" w:after="40"/>
              <w:ind w:left="0"/>
              <w:jc w:val="left"/>
              <w:rPr>
                <w:lang w:val="en-US"/>
              </w:rPr>
            </w:pPr>
            <w:r w:rsidRPr="008B73F6">
              <w:rPr>
                <w:lang w:val="en-US"/>
              </w:rPr>
              <w:t>1.54</w:t>
            </w:r>
          </w:p>
          <w:p w14:paraId="69B15B66" w14:textId="77777777" w:rsidR="008B73F6" w:rsidRPr="008B73F6" w:rsidRDefault="008B73F6" w:rsidP="0021426A">
            <w:pPr>
              <w:pStyle w:val="NormalIndent1"/>
              <w:spacing w:before="40" w:after="40"/>
              <w:ind w:left="0"/>
              <w:jc w:val="left"/>
              <w:rPr>
                <w:lang w:val="en-US"/>
              </w:rPr>
            </w:pPr>
            <w:r w:rsidRPr="008B73F6">
              <w:rPr>
                <w:lang w:val="en-US"/>
              </w:rPr>
              <w:t>0.68</w:t>
            </w:r>
          </w:p>
          <w:p w14:paraId="540C5602" w14:textId="77777777" w:rsidR="008B73F6" w:rsidRPr="008B73F6" w:rsidRDefault="008B73F6" w:rsidP="0021426A">
            <w:pPr>
              <w:pStyle w:val="NormalIndent1"/>
              <w:spacing w:before="40" w:after="40"/>
              <w:ind w:left="0"/>
              <w:jc w:val="left"/>
              <w:rPr>
                <w:lang w:val="en-US"/>
              </w:rPr>
            </w:pPr>
            <w:r w:rsidRPr="008B73F6">
              <w:rPr>
                <w:lang w:val="en-US"/>
              </w:rPr>
              <w:t>0.62</w:t>
            </w:r>
          </w:p>
          <w:p w14:paraId="784C7186" w14:textId="77777777" w:rsidR="008B73F6" w:rsidRPr="008B73F6" w:rsidRDefault="008B73F6" w:rsidP="0021426A">
            <w:pPr>
              <w:pStyle w:val="NormalIndent1"/>
              <w:spacing w:before="40" w:after="40"/>
              <w:ind w:left="0"/>
              <w:jc w:val="left"/>
              <w:rPr>
                <w:lang w:val="en-US"/>
              </w:rPr>
            </w:pPr>
            <w:r w:rsidRPr="008B73F6">
              <w:rPr>
                <w:lang w:val="en-US"/>
              </w:rPr>
              <w:t>0.35</w:t>
            </w:r>
          </w:p>
          <w:p w14:paraId="27AC29FA" w14:textId="77777777" w:rsidR="008B73F6" w:rsidRPr="008B73F6" w:rsidRDefault="008B73F6" w:rsidP="0021426A">
            <w:pPr>
              <w:pStyle w:val="NormalIndent1"/>
              <w:spacing w:before="40" w:after="40"/>
              <w:ind w:left="0"/>
              <w:jc w:val="left"/>
              <w:rPr>
                <w:lang w:val="en-US"/>
              </w:rPr>
            </w:pPr>
            <w:r w:rsidRPr="008B73F6">
              <w:rPr>
                <w:lang w:val="en-US"/>
              </w:rPr>
              <w:t>0.25</w:t>
            </w:r>
          </w:p>
          <w:p w14:paraId="12D31EE2" w14:textId="77777777" w:rsidR="008B73F6" w:rsidRPr="008B73F6" w:rsidRDefault="008B73F6" w:rsidP="0021426A">
            <w:pPr>
              <w:pStyle w:val="NormalIndent1"/>
              <w:spacing w:before="40" w:after="40"/>
              <w:ind w:left="0"/>
              <w:jc w:val="left"/>
              <w:rPr>
                <w:lang w:val="en-US"/>
              </w:rPr>
            </w:pPr>
            <w:r w:rsidRPr="008B73F6">
              <w:rPr>
                <w:lang w:val="en-US"/>
              </w:rPr>
              <w:t>0.17</w:t>
            </w:r>
          </w:p>
          <w:p w14:paraId="48548D62" w14:textId="77777777" w:rsidR="008B73F6" w:rsidRPr="008B73F6" w:rsidRDefault="008B73F6" w:rsidP="0021426A">
            <w:pPr>
              <w:pStyle w:val="NormalIndent1"/>
              <w:spacing w:before="40" w:after="40"/>
              <w:ind w:left="0"/>
              <w:jc w:val="left"/>
              <w:rPr>
                <w:lang w:val="en-US"/>
              </w:rPr>
            </w:pPr>
            <w:r w:rsidRPr="008B73F6">
              <w:rPr>
                <w:lang w:val="en-US"/>
              </w:rPr>
              <w:t>0.17</w:t>
            </w:r>
          </w:p>
          <w:p w14:paraId="6EC0B4CD" w14:textId="77777777" w:rsidR="008B73F6" w:rsidRPr="008B73F6" w:rsidRDefault="008B73F6" w:rsidP="0021426A">
            <w:pPr>
              <w:pStyle w:val="NormalIndent1"/>
              <w:spacing w:before="40" w:after="40"/>
              <w:ind w:left="0"/>
              <w:jc w:val="left"/>
              <w:rPr>
                <w:lang w:val="en-US"/>
              </w:rPr>
            </w:pPr>
            <w:r w:rsidRPr="008B73F6">
              <w:rPr>
                <w:lang w:val="en-US"/>
              </w:rPr>
              <w:t>0.10</w:t>
            </w:r>
          </w:p>
          <w:p w14:paraId="71E51242" w14:textId="77777777" w:rsidR="008B73F6" w:rsidRPr="008B73F6" w:rsidRDefault="008B73F6" w:rsidP="0021426A">
            <w:pPr>
              <w:pStyle w:val="NormalIndent1"/>
              <w:spacing w:before="40" w:after="40"/>
              <w:ind w:left="0"/>
              <w:jc w:val="left"/>
              <w:rPr>
                <w:lang w:val="en-US"/>
              </w:rPr>
            </w:pPr>
            <w:r w:rsidRPr="008B73F6">
              <w:rPr>
                <w:lang w:val="en-US"/>
              </w:rPr>
              <w:t>0.12</w:t>
            </w:r>
          </w:p>
          <w:p w14:paraId="7BFA5C7E" w14:textId="77777777" w:rsidR="008B73F6" w:rsidRPr="008B73F6" w:rsidRDefault="008B73F6" w:rsidP="0021426A">
            <w:pPr>
              <w:pStyle w:val="NormalIndent1"/>
              <w:spacing w:before="40" w:after="40"/>
              <w:ind w:left="0"/>
              <w:jc w:val="left"/>
              <w:rPr>
                <w:lang w:val="en-US"/>
              </w:rPr>
            </w:pPr>
            <w:r w:rsidRPr="008B73F6">
              <w:rPr>
                <w:lang w:val="en-US"/>
              </w:rPr>
              <w:t>0.12</w:t>
            </w:r>
          </w:p>
          <w:p w14:paraId="4EBB4AFA" w14:textId="77777777" w:rsidR="008B73F6" w:rsidRPr="008B73F6" w:rsidRDefault="008B73F6" w:rsidP="0021426A">
            <w:pPr>
              <w:pStyle w:val="NormalIndent1"/>
              <w:spacing w:before="40" w:after="40"/>
              <w:ind w:left="0"/>
              <w:jc w:val="left"/>
              <w:rPr>
                <w:lang w:val="en-US"/>
              </w:rPr>
            </w:pPr>
            <w:r w:rsidRPr="008B73F6">
              <w:rPr>
                <w:lang w:val="en-US"/>
              </w:rPr>
              <w:t>0.05</w:t>
            </w:r>
          </w:p>
          <w:p w14:paraId="023846BF" w14:textId="77777777" w:rsidR="008B73F6" w:rsidRPr="008B73F6" w:rsidRDefault="008B73F6" w:rsidP="0021426A">
            <w:pPr>
              <w:pStyle w:val="NormalIndent1"/>
              <w:spacing w:before="40" w:after="40"/>
              <w:ind w:left="0"/>
              <w:jc w:val="left"/>
              <w:rPr>
                <w:lang w:val="en-US"/>
              </w:rPr>
            </w:pPr>
            <w:r w:rsidRPr="008B73F6">
              <w:rPr>
                <w:lang w:val="en-US"/>
              </w:rPr>
              <w:t>0.05</w:t>
            </w:r>
          </w:p>
          <w:p w14:paraId="43FEAC68" w14:textId="77777777" w:rsidR="008B73F6" w:rsidRPr="008B73F6" w:rsidRDefault="008B73F6" w:rsidP="0021426A">
            <w:pPr>
              <w:pStyle w:val="NormalIndent1"/>
              <w:spacing w:before="40" w:after="40"/>
              <w:ind w:left="0"/>
              <w:jc w:val="left"/>
              <w:rPr>
                <w:lang w:val="en-US"/>
              </w:rPr>
            </w:pPr>
            <w:r w:rsidRPr="008B73F6">
              <w:rPr>
                <w:lang w:val="en-US"/>
              </w:rPr>
              <w:t>0.07</w:t>
            </w:r>
          </w:p>
        </w:tc>
        <w:tc>
          <w:tcPr>
            <w:tcW w:w="1532" w:type="dxa"/>
            <w:tcBorders>
              <w:top w:val="single" w:sz="12" w:space="0" w:color="000000"/>
              <w:left w:val="single" w:sz="5" w:space="0" w:color="000000"/>
              <w:bottom w:val="single" w:sz="5" w:space="0" w:color="000000"/>
              <w:right w:val="single" w:sz="5" w:space="0" w:color="000000"/>
            </w:tcBorders>
          </w:tcPr>
          <w:p w14:paraId="1C28F345" w14:textId="77777777" w:rsidR="008B73F6" w:rsidRPr="008B73F6" w:rsidRDefault="008B73F6" w:rsidP="0021426A">
            <w:pPr>
              <w:pStyle w:val="NormalIndent1"/>
              <w:spacing w:before="40" w:after="40"/>
              <w:ind w:left="0"/>
              <w:jc w:val="left"/>
              <w:rPr>
                <w:lang w:val="en-US"/>
              </w:rPr>
            </w:pPr>
            <w:r w:rsidRPr="008B73F6">
              <w:rPr>
                <w:lang w:val="en-US"/>
              </w:rPr>
              <w:t>7.73</w:t>
            </w:r>
          </w:p>
          <w:p w14:paraId="6A094E3E" w14:textId="77777777" w:rsidR="008B73F6" w:rsidRPr="008B73F6" w:rsidRDefault="008B73F6" w:rsidP="0021426A">
            <w:pPr>
              <w:pStyle w:val="NormalIndent1"/>
              <w:spacing w:before="40" w:after="40"/>
              <w:ind w:left="0"/>
              <w:jc w:val="left"/>
              <w:rPr>
                <w:lang w:val="en-US"/>
              </w:rPr>
            </w:pPr>
            <w:r w:rsidRPr="008B73F6">
              <w:rPr>
                <w:lang w:val="en-US"/>
              </w:rPr>
              <w:t>1.82</w:t>
            </w:r>
          </w:p>
          <w:p w14:paraId="020B98DD" w14:textId="77777777" w:rsidR="008B73F6" w:rsidRPr="008B73F6" w:rsidRDefault="008B73F6" w:rsidP="0021426A">
            <w:pPr>
              <w:pStyle w:val="NormalIndent1"/>
              <w:spacing w:before="40" w:after="40"/>
              <w:ind w:left="0"/>
              <w:jc w:val="left"/>
              <w:rPr>
                <w:lang w:val="en-US"/>
              </w:rPr>
            </w:pPr>
            <w:r w:rsidRPr="008B73F6">
              <w:rPr>
                <w:lang w:val="en-US"/>
              </w:rPr>
              <w:t>1.50</w:t>
            </w:r>
          </w:p>
          <w:p w14:paraId="11F3FED3" w14:textId="77777777" w:rsidR="008B73F6" w:rsidRPr="008B73F6" w:rsidRDefault="008B73F6" w:rsidP="0021426A">
            <w:pPr>
              <w:pStyle w:val="NormalIndent1"/>
              <w:spacing w:before="40" w:after="40"/>
              <w:ind w:left="0"/>
              <w:jc w:val="left"/>
              <w:rPr>
                <w:lang w:val="en-US"/>
              </w:rPr>
            </w:pPr>
            <w:r w:rsidRPr="008B73F6">
              <w:rPr>
                <w:lang w:val="en-US"/>
              </w:rPr>
              <w:t>0.82</w:t>
            </w:r>
          </w:p>
          <w:p w14:paraId="5883A265" w14:textId="77777777" w:rsidR="008B73F6" w:rsidRPr="008B73F6" w:rsidRDefault="008B73F6" w:rsidP="0021426A">
            <w:pPr>
              <w:pStyle w:val="NormalIndent1"/>
              <w:spacing w:before="40" w:after="40"/>
              <w:ind w:left="0"/>
              <w:jc w:val="left"/>
              <w:rPr>
                <w:lang w:val="en-US"/>
              </w:rPr>
            </w:pPr>
            <w:r w:rsidRPr="008B73F6">
              <w:rPr>
                <w:lang w:val="en-US"/>
              </w:rPr>
              <w:t>0.68</w:t>
            </w:r>
          </w:p>
          <w:p w14:paraId="4CF9E0F2" w14:textId="77777777" w:rsidR="008B73F6" w:rsidRPr="008B73F6" w:rsidRDefault="008B73F6" w:rsidP="0021426A">
            <w:pPr>
              <w:pStyle w:val="NormalIndent1"/>
              <w:spacing w:before="40" w:after="40"/>
              <w:ind w:left="0"/>
              <w:jc w:val="left"/>
              <w:rPr>
                <w:lang w:val="en-US"/>
              </w:rPr>
            </w:pPr>
            <w:r w:rsidRPr="008B73F6">
              <w:rPr>
                <w:lang w:val="en-US"/>
              </w:rPr>
              <w:t>0.45</w:t>
            </w:r>
          </w:p>
          <w:p w14:paraId="29377F1A" w14:textId="77777777" w:rsidR="008B73F6" w:rsidRPr="008B73F6" w:rsidRDefault="008B73F6" w:rsidP="0021426A">
            <w:pPr>
              <w:pStyle w:val="NormalIndent1"/>
              <w:spacing w:before="40" w:after="40"/>
              <w:ind w:left="0"/>
              <w:jc w:val="left"/>
              <w:rPr>
                <w:lang w:val="en-US"/>
              </w:rPr>
            </w:pPr>
            <w:r w:rsidRPr="008B73F6">
              <w:rPr>
                <w:lang w:val="en-US"/>
              </w:rPr>
              <w:t>0.21</w:t>
            </w:r>
          </w:p>
          <w:p w14:paraId="5113E475" w14:textId="77777777" w:rsidR="008B73F6" w:rsidRPr="008B73F6" w:rsidRDefault="008B73F6" w:rsidP="0021426A">
            <w:pPr>
              <w:pStyle w:val="NormalIndent1"/>
              <w:spacing w:before="40" w:after="40"/>
              <w:ind w:left="0"/>
              <w:jc w:val="left"/>
              <w:rPr>
                <w:lang w:val="en-US"/>
              </w:rPr>
            </w:pPr>
            <w:r w:rsidRPr="008B73F6">
              <w:rPr>
                <w:lang w:val="en-US"/>
              </w:rPr>
              <w:t>0.24</w:t>
            </w:r>
          </w:p>
          <w:p w14:paraId="03303872" w14:textId="77777777" w:rsidR="008B73F6" w:rsidRPr="008B73F6" w:rsidRDefault="008B73F6" w:rsidP="0021426A">
            <w:pPr>
              <w:pStyle w:val="NormalIndent1"/>
              <w:spacing w:before="40" w:after="40"/>
              <w:ind w:left="0"/>
              <w:jc w:val="left"/>
              <w:rPr>
                <w:lang w:val="en-US"/>
              </w:rPr>
            </w:pPr>
            <w:r w:rsidRPr="008B73F6">
              <w:rPr>
                <w:lang w:val="en-US"/>
              </w:rPr>
              <w:t>0.18</w:t>
            </w:r>
          </w:p>
          <w:p w14:paraId="6BF21C04" w14:textId="77777777" w:rsidR="008B73F6" w:rsidRPr="008B73F6" w:rsidRDefault="008B73F6" w:rsidP="0021426A">
            <w:pPr>
              <w:pStyle w:val="NormalIndent1"/>
              <w:spacing w:before="40" w:after="40"/>
              <w:ind w:left="0"/>
              <w:jc w:val="left"/>
              <w:rPr>
                <w:lang w:val="en-US"/>
              </w:rPr>
            </w:pPr>
            <w:r w:rsidRPr="008B73F6">
              <w:rPr>
                <w:lang w:val="en-US"/>
              </w:rPr>
              <w:t>0.16</w:t>
            </w:r>
          </w:p>
          <w:p w14:paraId="4229C4E9" w14:textId="77777777" w:rsidR="008B73F6" w:rsidRPr="008B73F6" w:rsidRDefault="008B73F6" w:rsidP="0021426A">
            <w:pPr>
              <w:pStyle w:val="NormalIndent1"/>
              <w:spacing w:before="40" w:after="40"/>
              <w:ind w:left="0"/>
              <w:jc w:val="left"/>
              <w:rPr>
                <w:lang w:val="en-US"/>
              </w:rPr>
            </w:pPr>
            <w:r w:rsidRPr="008B73F6">
              <w:rPr>
                <w:lang w:val="en-US"/>
              </w:rPr>
              <w:t>0.17</w:t>
            </w:r>
          </w:p>
          <w:p w14:paraId="5773E800" w14:textId="77777777" w:rsidR="008B73F6" w:rsidRPr="008B73F6" w:rsidRDefault="008B73F6" w:rsidP="0021426A">
            <w:pPr>
              <w:pStyle w:val="NormalIndent1"/>
              <w:spacing w:before="40" w:after="40"/>
              <w:ind w:left="0"/>
              <w:jc w:val="left"/>
              <w:rPr>
                <w:lang w:val="en-US"/>
              </w:rPr>
            </w:pPr>
            <w:r w:rsidRPr="008B73F6">
              <w:rPr>
                <w:lang w:val="en-US"/>
              </w:rPr>
              <w:t>0.21</w:t>
            </w:r>
          </w:p>
          <w:p w14:paraId="14981B2C" w14:textId="77777777" w:rsidR="008B73F6" w:rsidRPr="008B73F6" w:rsidRDefault="008B73F6" w:rsidP="0021426A">
            <w:pPr>
              <w:pStyle w:val="NormalIndent1"/>
              <w:spacing w:before="40" w:after="40"/>
              <w:ind w:left="0"/>
              <w:jc w:val="left"/>
              <w:rPr>
                <w:lang w:val="en-US"/>
              </w:rPr>
            </w:pPr>
            <w:r w:rsidRPr="008B73F6">
              <w:rPr>
                <w:lang w:val="en-US"/>
              </w:rPr>
              <w:t>0.17</w:t>
            </w:r>
          </w:p>
          <w:p w14:paraId="2A57324A" w14:textId="77777777" w:rsidR="008B73F6" w:rsidRPr="008B73F6" w:rsidRDefault="008B73F6" w:rsidP="0021426A">
            <w:pPr>
              <w:pStyle w:val="NormalIndent1"/>
              <w:spacing w:before="40" w:after="40"/>
              <w:ind w:left="0"/>
              <w:jc w:val="left"/>
              <w:rPr>
                <w:lang w:val="en-US"/>
              </w:rPr>
            </w:pPr>
            <w:r w:rsidRPr="008B73F6">
              <w:rPr>
                <w:lang w:val="en-US"/>
              </w:rPr>
              <w:t>0.12</w:t>
            </w:r>
          </w:p>
          <w:p w14:paraId="6E310969" w14:textId="77777777" w:rsidR="008B73F6" w:rsidRPr="008B73F6" w:rsidRDefault="008B73F6" w:rsidP="0021426A">
            <w:pPr>
              <w:pStyle w:val="NormalIndent1"/>
              <w:spacing w:before="40" w:after="40"/>
              <w:ind w:left="0"/>
              <w:jc w:val="left"/>
              <w:rPr>
                <w:lang w:val="en-US"/>
              </w:rPr>
            </w:pPr>
            <w:r w:rsidRPr="008B73F6">
              <w:rPr>
                <w:lang w:val="en-US"/>
              </w:rPr>
              <w:t>0.12</w:t>
            </w:r>
          </w:p>
        </w:tc>
      </w:tr>
    </w:tbl>
    <w:p w14:paraId="269A9076" w14:textId="77777777" w:rsidR="004051BE" w:rsidRDefault="004051BE" w:rsidP="0021426A">
      <w:pPr>
        <w:pStyle w:val="NormalIndent1"/>
        <w:jc w:val="left"/>
        <w:rPr>
          <w:lang w:val="en-US"/>
        </w:rPr>
      </w:pPr>
    </w:p>
    <w:p w14:paraId="12A4CA40" w14:textId="77777777" w:rsidR="004051BE" w:rsidRPr="004051BE" w:rsidRDefault="008B73F6" w:rsidP="0021426A">
      <w:pPr>
        <w:pStyle w:val="NormalIndent1"/>
        <w:ind w:left="851" w:hanging="426"/>
        <w:jc w:val="left"/>
        <w:rPr>
          <w:sz w:val="20"/>
          <w:lang w:val="en-US"/>
        </w:rPr>
      </w:pPr>
      <w:r w:rsidRPr="004051BE">
        <w:rPr>
          <w:vertAlign w:val="superscript"/>
          <w:lang w:val="en-US"/>
        </w:rPr>
        <w:t>a</w:t>
      </w:r>
      <w:r w:rsidR="004051BE">
        <w:rPr>
          <w:sz w:val="20"/>
          <w:lang w:val="en-US"/>
        </w:rPr>
        <w:tab/>
      </w:r>
      <w:r w:rsidRPr="004051BE">
        <w:rPr>
          <w:sz w:val="20"/>
          <w:lang w:val="en-US"/>
        </w:rPr>
        <w:t xml:space="preserve">Data from 3 trials including a 6-month study in which patients received concurrent methotrexate therapy. </w:t>
      </w:r>
    </w:p>
    <w:p w14:paraId="56EFA262" w14:textId="77777777" w:rsidR="008B73F6" w:rsidRPr="004051BE" w:rsidRDefault="008B73F6" w:rsidP="0021426A">
      <w:pPr>
        <w:pStyle w:val="NormalIndent1"/>
        <w:ind w:left="851" w:hanging="426"/>
        <w:jc w:val="left"/>
        <w:rPr>
          <w:sz w:val="20"/>
          <w:lang w:val="en-US"/>
        </w:rPr>
      </w:pPr>
      <w:r w:rsidRPr="004051BE">
        <w:rPr>
          <w:vertAlign w:val="superscript"/>
          <w:lang w:val="en-US"/>
        </w:rPr>
        <w:t>b</w:t>
      </w:r>
      <w:r w:rsidR="004051BE">
        <w:rPr>
          <w:sz w:val="20"/>
          <w:lang w:val="en-US"/>
        </w:rPr>
        <w:tab/>
      </w:r>
      <w:r w:rsidRPr="004051BE">
        <w:rPr>
          <w:sz w:val="20"/>
          <w:lang w:val="en-US"/>
        </w:rPr>
        <w:t>Data from 2 of the 3 controlled trials.</w:t>
      </w:r>
    </w:p>
    <w:p w14:paraId="42357F17" w14:textId="77777777" w:rsidR="008B73F6" w:rsidRPr="008B73F6" w:rsidRDefault="008B73F6" w:rsidP="0021426A">
      <w:pPr>
        <w:pStyle w:val="NormalIndent1"/>
        <w:jc w:val="left"/>
        <w:rPr>
          <w:lang w:val="en-US"/>
        </w:rPr>
      </w:pPr>
    </w:p>
    <w:p w14:paraId="19596801" w14:textId="77777777" w:rsidR="008B73F6" w:rsidRPr="008B73F6" w:rsidRDefault="008B73F6" w:rsidP="0021426A">
      <w:pPr>
        <w:pStyle w:val="NormalIndent1"/>
        <w:jc w:val="left"/>
        <w:rPr>
          <w:lang w:val="en-US"/>
        </w:rPr>
      </w:pPr>
      <w:r w:rsidRPr="008B73F6">
        <w:rPr>
          <w:lang w:val="en-US"/>
        </w:rPr>
        <w:t>Based on the results of clinical studies in rheumatoid arthritis, normally no special laboratory evaluations are necessary in addition to careful medical management and supervision of patients.</w:t>
      </w:r>
    </w:p>
    <w:p w14:paraId="15F7AF41" w14:textId="77777777" w:rsidR="008B73F6" w:rsidRPr="008B73F6" w:rsidRDefault="008B73F6" w:rsidP="0021426A">
      <w:pPr>
        <w:pStyle w:val="NormalIndent1"/>
        <w:jc w:val="left"/>
        <w:rPr>
          <w:lang w:val="en-US"/>
        </w:rPr>
      </w:pPr>
    </w:p>
    <w:p w14:paraId="5A0B0FA0" w14:textId="77777777" w:rsidR="008B73F6" w:rsidRDefault="008B73F6" w:rsidP="0021426A">
      <w:pPr>
        <w:pStyle w:val="NormalIndent1"/>
        <w:jc w:val="left"/>
        <w:rPr>
          <w:lang w:val="en-US"/>
        </w:rPr>
      </w:pPr>
      <w:r w:rsidRPr="008B73F6">
        <w:rPr>
          <w:lang w:val="en-US"/>
        </w:rPr>
        <w:t>The following table of suspected adverse reactions is based on clinical trials and/or spontaneous post-marketing reports.</w:t>
      </w:r>
    </w:p>
    <w:p w14:paraId="7563641C" w14:textId="77777777" w:rsidR="00C03C1D" w:rsidRDefault="00C03C1D" w:rsidP="0021426A">
      <w:pPr>
        <w:pStyle w:val="NormalIndent1"/>
        <w:jc w:val="left"/>
        <w:rPr>
          <w:lang w:val="en-US"/>
        </w:rPr>
      </w:pPr>
    </w:p>
    <w:p w14:paraId="01047119" w14:textId="77777777" w:rsidR="004051BE" w:rsidRDefault="008B73F6" w:rsidP="0021426A">
      <w:pPr>
        <w:pStyle w:val="NormalIndent1"/>
        <w:pageBreakBefore/>
        <w:jc w:val="left"/>
        <w:rPr>
          <w:lang w:val="en-US"/>
        </w:rPr>
      </w:pPr>
      <w:r w:rsidRPr="008B73F6">
        <w:rPr>
          <w:lang w:val="en-US"/>
        </w:rPr>
        <w:t xml:space="preserve">Adverse reaction frequencies are listed below in CIOMS frequency categories: </w:t>
      </w:r>
    </w:p>
    <w:p w14:paraId="2273875A" w14:textId="77777777" w:rsidR="008B73F6" w:rsidRPr="00C731D0" w:rsidRDefault="008B73F6" w:rsidP="0021426A">
      <w:pPr>
        <w:pStyle w:val="Bullet1"/>
        <w:jc w:val="left"/>
      </w:pPr>
      <w:r w:rsidRPr="00C731D0">
        <w:t xml:space="preserve">Very </w:t>
      </w:r>
      <w:r w:rsidR="00C731D0" w:rsidRPr="00C731D0">
        <w:t>Common</w:t>
      </w:r>
      <w:r w:rsidRPr="00C731D0">
        <w:t xml:space="preserve">: </w:t>
      </w:r>
      <w:r w:rsidR="00C731D0" w:rsidRPr="00C731D0">
        <w:t>≥</w:t>
      </w:r>
      <w:r w:rsidRPr="00C731D0">
        <w:t xml:space="preserve"> 10%</w:t>
      </w:r>
    </w:p>
    <w:p w14:paraId="451C552C" w14:textId="77777777" w:rsidR="008B73F6" w:rsidRPr="00C731D0" w:rsidRDefault="008B73F6" w:rsidP="0021426A">
      <w:pPr>
        <w:pStyle w:val="Bullet1"/>
        <w:jc w:val="left"/>
      </w:pPr>
      <w:r w:rsidRPr="00C731D0">
        <w:t xml:space="preserve">Common: </w:t>
      </w:r>
      <w:r w:rsidR="00C731D0" w:rsidRPr="00C731D0">
        <w:t>≥</w:t>
      </w:r>
      <w:r w:rsidRPr="00C731D0">
        <w:t xml:space="preserve"> 1% and &lt; 10%</w:t>
      </w:r>
    </w:p>
    <w:p w14:paraId="6AFC5748" w14:textId="77777777" w:rsidR="004051BE" w:rsidRPr="00C731D0" w:rsidRDefault="008B73F6" w:rsidP="0021426A">
      <w:pPr>
        <w:pStyle w:val="Bullet1"/>
        <w:jc w:val="left"/>
      </w:pPr>
      <w:r w:rsidRPr="00C731D0">
        <w:t xml:space="preserve">Uncommon: </w:t>
      </w:r>
      <w:r w:rsidR="00C731D0" w:rsidRPr="00C731D0">
        <w:t>≥</w:t>
      </w:r>
      <w:r w:rsidRPr="00C731D0">
        <w:t xml:space="preserve"> 0.1% and &lt; 1% </w:t>
      </w:r>
    </w:p>
    <w:p w14:paraId="6DAD42AA" w14:textId="77777777" w:rsidR="008B73F6" w:rsidRPr="00C731D0" w:rsidRDefault="008B73F6" w:rsidP="0021426A">
      <w:pPr>
        <w:pStyle w:val="Bullet1"/>
        <w:jc w:val="left"/>
      </w:pPr>
      <w:r w:rsidRPr="00C731D0">
        <w:t xml:space="preserve">Rare: </w:t>
      </w:r>
      <w:r w:rsidR="00C731D0" w:rsidRPr="00C731D0">
        <w:t>≥</w:t>
      </w:r>
      <w:r w:rsidRPr="00C731D0">
        <w:t xml:space="preserve"> 0.01% and &lt; 0.1%</w:t>
      </w:r>
    </w:p>
    <w:p w14:paraId="2AE367F9" w14:textId="77777777" w:rsidR="008B73F6" w:rsidRPr="00C731D0" w:rsidRDefault="008B73F6" w:rsidP="0021426A">
      <w:pPr>
        <w:pStyle w:val="Bullet1"/>
        <w:jc w:val="left"/>
      </w:pPr>
      <w:r w:rsidRPr="00C731D0">
        <w:t xml:space="preserve">Very </w:t>
      </w:r>
      <w:r w:rsidR="00C731D0" w:rsidRPr="00C731D0">
        <w:t>Rare</w:t>
      </w:r>
      <w:r w:rsidRPr="00C731D0">
        <w:t>: &lt; 0.01%</w:t>
      </w:r>
    </w:p>
    <w:p w14:paraId="71188ACE" w14:textId="77777777" w:rsidR="008B73F6" w:rsidRDefault="008B73F6" w:rsidP="0021426A">
      <w:pPr>
        <w:pStyle w:val="NormalIndent1"/>
        <w:jc w:val="left"/>
        <w:rPr>
          <w:lang w:val="en-US"/>
        </w:rPr>
      </w:pPr>
    </w:p>
    <w:p w14:paraId="5591E863" w14:textId="77777777" w:rsidR="00CB0FEC" w:rsidRPr="00B37960" w:rsidRDefault="00CB0FEC" w:rsidP="0021426A">
      <w:pPr>
        <w:pStyle w:val="NormalIndent1"/>
        <w:jc w:val="left"/>
        <w:rPr>
          <w:b/>
          <w:lang w:val="en-US"/>
        </w:rPr>
      </w:pPr>
      <w:r w:rsidRPr="00B37960">
        <w:rPr>
          <w:b/>
          <w:lang w:val="en-US"/>
        </w:rPr>
        <w:t>Table 4: Suspected adverse reactions in clinical trials and spontaneous post-marketing reports</w:t>
      </w:r>
    </w:p>
    <w:p w14:paraId="598CF900" w14:textId="77777777" w:rsidR="00CB0FEC" w:rsidRPr="00B37960" w:rsidRDefault="00CB0FEC" w:rsidP="0021426A">
      <w:pPr>
        <w:pStyle w:val="NormalIndent1"/>
        <w:jc w:val="left"/>
        <w:rPr>
          <w:b/>
          <w:lang w:val="en-US"/>
        </w:rPr>
      </w:pPr>
    </w:p>
    <w:tbl>
      <w:tblPr>
        <w:tblStyle w:val="TableGrid"/>
        <w:tblW w:w="0" w:type="auto"/>
        <w:tblInd w:w="425" w:type="dxa"/>
        <w:tblLook w:val="04A0" w:firstRow="1" w:lastRow="0" w:firstColumn="1" w:lastColumn="0" w:noHBand="0" w:noVBand="1"/>
      </w:tblPr>
      <w:tblGrid>
        <w:gridCol w:w="1687"/>
        <w:gridCol w:w="7496"/>
      </w:tblGrid>
      <w:tr w:rsidR="00C731D0" w14:paraId="531605DE" w14:textId="77777777" w:rsidTr="00B37960">
        <w:trPr>
          <w:tblHeader/>
        </w:trPr>
        <w:tc>
          <w:tcPr>
            <w:tcW w:w="1687" w:type="dxa"/>
            <w:tcBorders>
              <w:top w:val="single" w:sz="12" w:space="0" w:color="000000"/>
              <w:left w:val="single" w:sz="12" w:space="0" w:color="000000"/>
              <w:bottom w:val="single" w:sz="12" w:space="0" w:color="000000"/>
              <w:right w:val="single" w:sz="12" w:space="0" w:color="000000"/>
            </w:tcBorders>
          </w:tcPr>
          <w:p w14:paraId="10396971" w14:textId="77777777" w:rsidR="00C731D0" w:rsidRPr="00C731D0" w:rsidRDefault="00C731D0" w:rsidP="0021426A">
            <w:pPr>
              <w:pStyle w:val="NormalIndent1"/>
              <w:ind w:left="0"/>
              <w:jc w:val="left"/>
              <w:rPr>
                <w:b/>
                <w:lang w:val="en-US"/>
              </w:rPr>
            </w:pPr>
            <w:bookmarkStart w:id="6" w:name="_Hlk514834662"/>
            <w:r w:rsidRPr="00C731D0">
              <w:rPr>
                <w:b/>
                <w:lang w:val="en-US"/>
              </w:rPr>
              <w:t>System</w:t>
            </w:r>
          </w:p>
        </w:tc>
        <w:tc>
          <w:tcPr>
            <w:tcW w:w="7496" w:type="dxa"/>
            <w:tcBorders>
              <w:top w:val="single" w:sz="12" w:space="0" w:color="000000"/>
              <w:left w:val="single" w:sz="12" w:space="0" w:color="000000"/>
              <w:bottom w:val="single" w:sz="12" w:space="0" w:color="000000"/>
              <w:right w:val="single" w:sz="12" w:space="0" w:color="000000"/>
            </w:tcBorders>
          </w:tcPr>
          <w:p w14:paraId="058ED1DF" w14:textId="77777777" w:rsidR="00C731D0" w:rsidRPr="00C731D0" w:rsidRDefault="00C731D0" w:rsidP="0021426A">
            <w:pPr>
              <w:pStyle w:val="NormalIndent1"/>
              <w:ind w:left="0"/>
              <w:jc w:val="left"/>
              <w:rPr>
                <w:b/>
                <w:lang w:val="en-US"/>
              </w:rPr>
            </w:pPr>
            <w:r w:rsidRPr="00C731D0">
              <w:rPr>
                <w:b/>
                <w:lang w:val="en-US"/>
              </w:rPr>
              <w:t>Adverse Reaction</w:t>
            </w:r>
          </w:p>
        </w:tc>
      </w:tr>
      <w:tr w:rsidR="00C731D0" w14:paraId="0D40D539" w14:textId="77777777" w:rsidTr="00643274">
        <w:tc>
          <w:tcPr>
            <w:tcW w:w="9183" w:type="dxa"/>
            <w:gridSpan w:val="2"/>
            <w:tcBorders>
              <w:top w:val="single" w:sz="12" w:space="0" w:color="000000"/>
            </w:tcBorders>
          </w:tcPr>
          <w:p w14:paraId="0EEBF5C9" w14:textId="77777777" w:rsidR="00C731D0" w:rsidRDefault="00C731D0" w:rsidP="0021426A">
            <w:pPr>
              <w:pStyle w:val="NormalIndent1"/>
              <w:ind w:left="0"/>
              <w:jc w:val="left"/>
              <w:rPr>
                <w:lang w:val="en-US"/>
              </w:rPr>
            </w:pPr>
            <w:r w:rsidRPr="008B73F6">
              <w:rPr>
                <w:b/>
                <w:lang w:val="en-US"/>
              </w:rPr>
              <w:t>Blood and Lymphatic System Disorders</w:t>
            </w:r>
          </w:p>
        </w:tc>
      </w:tr>
      <w:tr w:rsidR="00C731D0" w14:paraId="4F34C9BE" w14:textId="77777777" w:rsidTr="00C731D0">
        <w:tc>
          <w:tcPr>
            <w:tcW w:w="1687" w:type="dxa"/>
          </w:tcPr>
          <w:p w14:paraId="0B409DD6" w14:textId="77777777" w:rsidR="00C731D0" w:rsidRDefault="00C731D0" w:rsidP="0021426A">
            <w:pPr>
              <w:pStyle w:val="NormalIndent1"/>
              <w:ind w:left="0"/>
              <w:jc w:val="left"/>
              <w:rPr>
                <w:lang w:val="en-US"/>
              </w:rPr>
            </w:pPr>
            <w:r w:rsidRPr="008B73F6">
              <w:rPr>
                <w:lang w:val="en-US"/>
              </w:rPr>
              <w:t>Uncommon</w:t>
            </w:r>
          </w:p>
        </w:tc>
        <w:tc>
          <w:tcPr>
            <w:tcW w:w="7496" w:type="dxa"/>
          </w:tcPr>
          <w:p w14:paraId="48F3E213" w14:textId="77777777" w:rsidR="00C731D0" w:rsidRDefault="00C731D0" w:rsidP="0021426A">
            <w:pPr>
              <w:pStyle w:val="NormalIndent1"/>
              <w:ind w:left="0"/>
              <w:jc w:val="left"/>
              <w:rPr>
                <w:lang w:val="en-US"/>
              </w:rPr>
            </w:pPr>
            <w:r w:rsidRPr="008B73F6">
              <w:rPr>
                <w:lang w:val="en-US"/>
              </w:rPr>
              <w:t xml:space="preserve">Thrombocytopenia, </w:t>
            </w:r>
            <w:proofErr w:type="spellStart"/>
            <w:r w:rsidRPr="008B73F6">
              <w:rPr>
                <w:lang w:val="en-US"/>
              </w:rPr>
              <w:t>anaemia</w:t>
            </w:r>
            <w:proofErr w:type="spellEnd"/>
            <w:r w:rsidRPr="008B73F6">
              <w:rPr>
                <w:lang w:val="en-US"/>
              </w:rPr>
              <w:t>, leukopenia, neutropenia</w:t>
            </w:r>
          </w:p>
        </w:tc>
      </w:tr>
      <w:tr w:rsidR="00C731D0" w14:paraId="46D72333" w14:textId="77777777" w:rsidTr="00C731D0">
        <w:tc>
          <w:tcPr>
            <w:tcW w:w="1687" w:type="dxa"/>
          </w:tcPr>
          <w:p w14:paraId="372C6BDF" w14:textId="77777777" w:rsidR="00C731D0" w:rsidRDefault="00C731D0" w:rsidP="0021426A">
            <w:pPr>
              <w:pStyle w:val="NormalIndent1"/>
              <w:ind w:left="0"/>
              <w:jc w:val="left"/>
              <w:rPr>
                <w:lang w:val="en-US"/>
              </w:rPr>
            </w:pPr>
            <w:r w:rsidRPr="008B73F6">
              <w:rPr>
                <w:lang w:val="en-US"/>
              </w:rPr>
              <w:t>Rare</w:t>
            </w:r>
          </w:p>
        </w:tc>
        <w:tc>
          <w:tcPr>
            <w:tcW w:w="7496" w:type="dxa"/>
          </w:tcPr>
          <w:p w14:paraId="3E33086D" w14:textId="77777777" w:rsidR="00C731D0" w:rsidRDefault="00C731D0" w:rsidP="0021426A">
            <w:pPr>
              <w:pStyle w:val="NormalIndent1"/>
              <w:ind w:left="0"/>
              <w:jc w:val="left"/>
              <w:rPr>
                <w:lang w:val="en-US"/>
              </w:rPr>
            </w:pPr>
            <w:r w:rsidRPr="008B73F6">
              <w:rPr>
                <w:lang w:val="en-US"/>
              </w:rPr>
              <w:t xml:space="preserve">Pancytopenia (see </w:t>
            </w:r>
            <w:r w:rsidRPr="00B664B5">
              <w:rPr>
                <w:b/>
                <w:lang w:val="en-US"/>
              </w:rPr>
              <w:t xml:space="preserve">Section 4.4 </w:t>
            </w:r>
            <w:r w:rsidRPr="00B664B5">
              <w:rPr>
                <w:b/>
              </w:rPr>
              <w:t>Special Warnings and Precautions for Use</w:t>
            </w:r>
            <w:r w:rsidRPr="008B73F6">
              <w:rPr>
                <w:lang w:val="en-US"/>
              </w:rPr>
              <w:t>)</w:t>
            </w:r>
          </w:p>
        </w:tc>
      </w:tr>
      <w:tr w:rsidR="00C731D0" w14:paraId="59CD609F" w14:textId="77777777" w:rsidTr="00C731D0">
        <w:tc>
          <w:tcPr>
            <w:tcW w:w="1687" w:type="dxa"/>
          </w:tcPr>
          <w:p w14:paraId="466E410E" w14:textId="77777777" w:rsidR="00C731D0" w:rsidRDefault="00C731D0" w:rsidP="0021426A">
            <w:pPr>
              <w:pStyle w:val="NormalIndent1"/>
              <w:ind w:left="0"/>
              <w:jc w:val="left"/>
              <w:rPr>
                <w:lang w:val="en-US"/>
              </w:rPr>
            </w:pPr>
            <w:r w:rsidRPr="008B73F6">
              <w:rPr>
                <w:lang w:val="en-US"/>
              </w:rPr>
              <w:t>Very Rare</w:t>
            </w:r>
          </w:p>
        </w:tc>
        <w:tc>
          <w:tcPr>
            <w:tcW w:w="7496" w:type="dxa"/>
          </w:tcPr>
          <w:p w14:paraId="0EC294A6" w14:textId="77777777" w:rsidR="00C731D0" w:rsidRDefault="00C731D0" w:rsidP="0021426A">
            <w:pPr>
              <w:pStyle w:val="NormalIndent1"/>
              <w:ind w:left="0"/>
              <w:jc w:val="left"/>
              <w:rPr>
                <w:lang w:val="en-US"/>
              </w:rPr>
            </w:pPr>
            <w:r w:rsidRPr="008B73F6">
              <w:rPr>
                <w:lang w:val="en-US"/>
              </w:rPr>
              <w:t xml:space="preserve">Aplastic </w:t>
            </w:r>
            <w:proofErr w:type="spellStart"/>
            <w:r w:rsidRPr="008B73F6">
              <w:rPr>
                <w:lang w:val="en-US"/>
              </w:rPr>
              <w:t>anaemia</w:t>
            </w:r>
            <w:proofErr w:type="spellEnd"/>
            <w:r w:rsidRPr="008B73F6">
              <w:rPr>
                <w:lang w:val="en-US"/>
              </w:rPr>
              <w:t xml:space="preserve"> (see </w:t>
            </w:r>
            <w:r w:rsidRPr="00B664B5">
              <w:rPr>
                <w:b/>
                <w:lang w:val="en-US"/>
              </w:rPr>
              <w:t xml:space="preserve">Section 4.4 </w:t>
            </w:r>
            <w:r w:rsidRPr="00B664B5">
              <w:rPr>
                <w:b/>
              </w:rPr>
              <w:t>Special Warnings and Precautions for Use</w:t>
            </w:r>
            <w:r w:rsidRPr="008B73F6">
              <w:rPr>
                <w:lang w:val="en-US"/>
              </w:rPr>
              <w:t>)</w:t>
            </w:r>
          </w:p>
        </w:tc>
      </w:tr>
      <w:tr w:rsidR="00C731D0" w14:paraId="42C92A6F" w14:textId="77777777" w:rsidTr="00C731D0">
        <w:tc>
          <w:tcPr>
            <w:tcW w:w="1687" w:type="dxa"/>
            <w:tcBorders>
              <w:bottom w:val="single" w:sz="4" w:space="0" w:color="000000"/>
            </w:tcBorders>
          </w:tcPr>
          <w:p w14:paraId="37009612" w14:textId="77777777" w:rsidR="00C731D0" w:rsidRPr="008B73F6" w:rsidRDefault="00C731D0" w:rsidP="0021426A">
            <w:pPr>
              <w:pStyle w:val="NormalIndent1"/>
              <w:ind w:left="0"/>
              <w:jc w:val="left"/>
              <w:rPr>
                <w:lang w:val="en-US"/>
              </w:rPr>
            </w:pPr>
            <w:r w:rsidRPr="008B73F6">
              <w:rPr>
                <w:lang w:val="en-US"/>
              </w:rPr>
              <w:t>Not Known</w:t>
            </w:r>
          </w:p>
        </w:tc>
        <w:tc>
          <w:tcPr>
            <w:tcW w:w="7496" w:type="dxa"/>
            <w:tcBorders>
              <w:bottom w:val="single" w:sz="4" w:space="0" w:color="000000"/>
            </w:tcBorders>
          </w:tcPr>
          <w:p w14:paraId="2C89F001" w14:textId="77777777" w:rsidR="00C731D0" w:rsidRPr="008B73F6" w:rsidRDefault="00C731D0" w:rsidP="0021426A">
            <w:pPr>
              <w:pStyle w:val="NormalIndent1"/>
              <w:ind w:left="0"/>
              <w:jc w:val="left"/>
              <w:rPr>
                <w:lang w:val="en-US"/>
              </w:rPr>
            </w:pPr>
            <w:proofErr w:type="spellStart"/>
            <w:r w:rsidRPr="008B73F6">
              <w:rPr>
                <w:lang w:val="en-US"/>
              </w:rPr>
              <w:t>Histiocytosis</w:t>
            </w:r>
            <w:proofErr w:type="spellEnd"/>
            <w:r w:rsidRPr="008B73F6">
              <w:rPr>
                <w:lang w:val="en-US"/>
              </w:rPr>
              <w:t xml:space="preserve"> </w:t>
            </w:r>
            <w:proofErr w:type="spellStart"/>
            <w:r w:rsidRPr="008B73F6">
              <w:rPr>
                <w:lang w:val="en-US"/>
              </w:rPr>
              <w:t>haematophagic</w:t>
            </w:r>
            <w:proofErr w:type="spellEnd"/>
            <w:r w:rsidRPr="008B73F6">
              <w:rPr>
                <w:lang w:val="en-US"/>
              </w:rPr>
              <w:t xml:space="preserve"> (macrophage activation syndrome)</w:t>
            </w:r>
          </w:p>
        </w:tc>
      </w:tr>
      <w:tr w:rsidR="00C731D0" w14:paraId="1DFFF020" w14:textId="77777777" w:rsidTr="00C731D0">
        <w:tc>
          <w:tcPr>
            <w:tcW w:w="9183" w:type="dxa"/>
            <w:gridSpan w:val="2"/>
            <w:tcBorders>
              <w:top w:val="single" w:sz="4" w:space="0" w:color="000000"/>
            </w:tcBorders>
          </w:tcPr>
          <w:p w14:paraId="3A6DB685" w14:textId="77777777" w:rsidR="00C731D0" w:rsidRDefault="00C731D0" w:rsidP="0021426A">
            <w:pPr>
              <w:pStyle w:val="NormalIndent1"/>
              <w:ind w:left="0"/>
              <w:jc w:val="left"/>
              <w:rPr>
                <w:lang w:val="en-US"/>
              </w:rPr>
            </w:pPr>
            <w:r w:rsidRPr="008B73F6">
              <w:rPr>
                <w:b/>
                <w:lang w:val="en-US"/>
              </w:rPr>
              <w:t>Neoplasms Benign, Malignant and Unspecified (including cysts and polyps)</w:t>
            </w:r>
          </w:p>
        </w:tc>
      </w:tr>
      <w:tr w:rsidR="00C731D0" w14:paraId="2199A580" w14:textId="77777777" w:rsidTr="00C731D0">
        <w:tc>
          <w:tcPr>
            <w:tcW w:w="1687" w:type="dxa"/>
            <w:tcBorders>
              <w:bottom w:val="single" w:sz="4" w:space="0" w:color="auto"/>
            </w:tcBorders>
          </w:tcPr>
          <w:p w14:paraId="7EABAD00" w14:textId="77777777" w:rsidR="00C731D0" w:rsidRDefault="00C731D0" w:rsidP="0021426A">
            <w:pPr>
              <w:pStyle w:val="NormalIndent1"/>
              <w:ind w:left="0"/>
              <w:jc w:val="left"/>
              <w:rPr>
                <w:lang w:val="en-US"/>
              </w:rPr>
            </w:pPr>
            <w:r w:rsidRPr="008B73F6">
              <w:rPr>
                <w:lang w:val="en-US"/>
              </w:rPr>
              <w:t>Uncommon</w:t>
            </w:r>
          </w:p>
        </w:tc>
        <w:tc>
          <w:tcPr>
            <w:tcW w:w="7496" w:type="dxa"/>
            <w:tcBorders>
              <w:bottom w:val="single" w:sz="4" w:space="0" w:color="auto"/>
            </w:tcBorders>
          </w:tcPr>
          <w:p w14:paraId="1B18CDBE" w14:textId="77777777" w:rsidR="00C731D0" w:rsidRDefault="00C731D0" w:rsidP="0021426A">
            <w:pPr>
              <w:pStyle w:val="NormalIndent1"/>
              <w:ind w:left="0"/>
              <w:jc w:val="left"/>
              <w:rPr>
                <w:lang w:val="en-US"/>
              </w:rPr>
            </w:pPr>
            <w:r w:rsidRPr="008B73F6">
              <w:rPr>
                <w:lang w:val="en-US"/>
              </w:rPr>
              <w:t>Non-melanoma skin cancers</w:t>
            </w:r>
          </w:p>
        </w:tc>
      </w:tr>
      <w:tr w:rsidR="00C731D0" w14:paraId="6FF97719" w14:textId="77777777" w:rsidTr="00C731D0">
        <w:tc>
          <w:tcPr>
            <w:tcW w:w="1687" w:type="dxa"/>
            <w:tcBorders>
              <w:bottom w:val="single" w:sz="6" w:space="0" w:color="auto"/>
              <w:right w:val="single" w:sz="6" w:space="0" w:color="auto"/>
            </w:tcBorders>
          </w:tcPr>
          <w:p w14:paraId="1E6EF12D" w14:textId="77777777" w:rsidR="00C731D0" w:rsidRDefault="00C731D0" w:rsidP="0021426A">
            <w:pPr>
              <w:pStyle w:val="NormalIndent1"/>
              <w:ind w:left="0"/>
              <w:jc w:val="left"/>
              <w:rPr>
                <w:lang w:val="en-US"/>
              </w:rPr>
            </w:pPr>
            <w:r w:rsidRPr="008B73F6">
              <w:rPr>
                <w:lang w:val="en-US"/>
              </w:rPr>
              <w:t>Rare</w:t>
            </w:r>
          </w:p>
        </w:tc>
        <w:tc>
          <w:tcPr>
            <w:tcW w:w="7496" w:type="dxa"/>
            <w:tcBorders>
              <w:left w:val="single" w:sz="6" w:space="0" w:color="auto"/>
              <w:bottom w:val="single" w:sz="6" w:space="0" w:color="auto"/>
            </w:tcBorders>
          </w:tcPr>
          <w:p w14:paraId="2126FE60" w14:textId="77777777" w:rsidR="00C731D0" w:rsidRDefault="00C731D0" w:rsidP="0021426A">
            <w:pPr>
              <w:pStyle w:val="NormalIndent1"/>
              <w:ind w:left="0"/>
              <w:jc w:val="left"/>
              <w:rPr>
                <w:lang w:val="en-US"/>
              </w:rPr>
            </w:pPr>
            <w:r w:rsidRPr="008B73F6">
              <w:rPr>
                <w:lang w:val="en-US"/>
              </w:rPr>
              <w:t>Malignant melanoma, lymphoma, leukaemia</w:t>
            </w:r>
          </w:p>
        </w:tc>
      </w:tr>
      <w:tr w:rsidR="00C731D0" w14:paraId="45CF119E" w14:textId="77777777" w:rsidTr="00C731D0">
        <w:tc>
          <w:tcPr>
            <w:tcW w:w="1687" w:type="dxa"/>
            <w:tcBorders>
              <w:top w:val="single" w:sz="6" w:space="0" w:color="auto"/>
              <w:bottom w:val="single" w:sz="6" w:space="0" w:color="auto"/>
              <w:right w:val="single" w:sz="6" w:space="0" w:color="auto"/>
            </w:tcBorders>
          </w:tcPr>
          <w:p w14:paraId="505AEC32" w14:textId="77777777" w:rsidR="00C731D0" w:rsidRPr="008B73F6" w:rsidRDefault="00C731D0" w:rsidP="0021426A">
            <w:pPr>
              <w:pStyle w:val="NormalIndent1"/>
              <w:ind w:left="0"/>
              <w:jc w:val="left"/>
              <w:rPr>
                <w:lang w:val="en-US"/>
              </w:rPr>
            </w:pPr>
            <w:r w:rsidRPr="008B73F6">
              <w:rPr>
                <w:lang w:val="en-US"/>
              </w:rPr>
              <w:t>Not Known</w:t>
            </w:r>
          </w:p>
        </w:tc>
        <w:tc>
          <w:tcPr>
            <w:tcW w:w="7496" w:type="dxa"/>
            <w:tcBorders>
              <w:top w:val="single" w:sz="6" w:space="0" w:color="auto"/>
              <w:left w:val="single" w:sz="6" w:space="0" w:color="auto"/>
              <w:bottom w:val="single" w:sz="6" w:space="0" w:color="auto"/>
            </w:tcBorders>
          </w:tcPr>
          <w:p w14:paraId="4B242C94" w14:textId="77777777" w:rsidR="00C731D0" w:rsidRPr="008B73F6" w:rsidRDefault="00C731D0" w:rsidP="0021426A">
            <w:pPr>
              <w:pStyle w:val="NormalIndent1"/>
              <w:ind w:left="0"/>
              <w:jc w:val="left"/>
              <w:rPr>
                <w:lang w:val="en-US"/>
              </w:rPr>
            </w:pPr>
            <w:r w:rsidRPr="008B73F6">
              <w:rPr>
                <w:lang w:val="en-US"/>
              </w:rPr>
              <w:t>Merkel cell carcinoma</w:t>
            </w:r>
          </w:p>
        </w:tc>
      </w:tr>
      <w:tr w:rsidR="00C731D0" w14:paraId="401C2A21" w14:textId="77777777" w:rsidTr="00C731D0">
        <w:tc>
          <w:tcPr>
            <w:tcW w:w="9183" w:type="dxa"/>
            <w:gridSpan w:val="2"/>
            <w:tcBorders>
              <w:top w:val="single" w:sz="6" w:space="0" w:color="auto"/>
            </w:tcBorders>
          </w:tcPr>
          <w:p w14:paraId="33E3AACC" w14:textId="77777777" w:rsidR="00C731D0" w:rsidRDefault="00C731D0" w:rsidP="0021426A">
            <w:pPr>
              <w:pStyle w:val="NormalIndent1"/>
              <w:ind w:left="0"/>
              <w:jc w:val="left"/>
              <w:rPr>
                <w:lang w:val="en-US"/>
              </w:rPr>
            </w:pPr>
            <w:r w:rsidRPr="008B73F6">
              <w:rPr>
                <w:b/>
                <w:lang w:val="en-US"/>
              </w:rPr>
              <w:t>Infections and Infestations</w:t>
            </w:r>
          </w:p>
        </w:tc>
      </w:tr>
      <w:tr w:rsidR="00C731D0" w14:paraId="35B4FF02" w14:textId="77777777" w:rsidTr="00643274">
        <w:tc>
          <w:tcPr>
            <w:tcW w:w="1687" w:type="dxa"/>
          </w:tcPr>
          <w:p w14:paraId="1388FB8C" w14:textId="77777777" w:rsidR="00C731D0" w:rsidRPr="008B73F6" w:rsidRDefault="00C731D0" w:rsidP="0021426A">
            <w:pPr>
              <w:pStyle w:val="NormalIndent1"/>
              <w:ind w:left="0"/>
              <w:jc w:val="left"/>
              <w:rPr>
                <w:lang w:val="en-US"/>
              </w:rPr>
            </w:pPr>
            <w:r>
              <w:rPr>
                <w:lang w:val="en-US"/>
              </w:rPr>
              <w:t>Very Common</w:t>
            </w:r>
          </w:p>
        </w:tc>
        <w:tc>
          <w:tcPr>
            <w:tcW w:w="7496" w:type="dxa"/>
          </w:tcPr>
          <w:p w14:paraId="0926EF3F" w14:textId="77777777" w:rsidR="00C731D0" w:rsidRPr="008B73F6" w:rsidRDefault="00C731D0" w:rsidP="0021426A">
            <w:pPr>
              <w:pStyle w:val="NormalIndent1"/>
              <w:ind w:left="0"/>
              <w:jc w:val="left"/>
              <w:rPr>
                <w:lang w:val="en-US"/>
              </w:rPr>
            </w:pPr>
            <w:r>
              <w:rPr>
                <w:lang w:val="en-US"/>
              </w:rPr>
              <w:t>I</w:t>
            </w:r>
            <w:r w:rsidRPr="008B73F6">
              <w:rPr>
                <w:lang w:val="en-US"/>
              </w:rPr>
              <w:t>nfection (including upper respiratory tract infection, bronchitis, cystitis, skin infection)*</w:t>
            </w:r>
          </w:p>
        </w:tc>
      </w:tr>
      <w:tr w:rsidR="00C731D0" w14:paraId="5205AD2C" w14:textId="77777777" w:rsidTr="00643274">
        <w:tc>
          <w:tcPr>
            <w:tcW w:w="1687" w:type="dxa"/>
          </w:tcPr>
          <w:p w14:paraId="7BA7AF43" w14:textId="77777777" w:rsidR="00C731D0" w:rsidRDefault="00C731D0" w:rsidP="0021426A">
            <w:pPr>
              <w:pStyle w:val="NormalIndent1"/>
              <w:ind w:left="0"/>
              <w:jc w:val="left"/>
              <w:rPr>
                <w:lang w:val="en-US"/>
              </w:rPr>
            </w:pPr>
            <w:r>
              <w:rPr>
                <w:lang w:val="en-US"/>
              </w:rPr>
              <w:t>C</w:t>
            </w:r>
            <w:r w:rsidRPr="008B73F6">
              <w:rPr>
                <w:lang w:val="en-US"/>
              </w:rPr>
              <w:t>ommon</w:t>
            </w:r>
          </w:p>
        </w:tc>
        <w:tc>
          <w:tcPr>
            <w:tcW w:w="7496" w:type="dxa"/>
          </w:tcPr>
          <w:p w14:paraId="6AFB9EBD" w14:textId="77777777" w:rsidR="00C731D0" w:rsidRDefault="00C731D0" w:rsidP="0021426A">
            <w:pPr>
              <w:pStyle w:val="NormalIndent1"/>
              <w:ind w:left="0"/>
              <w:jc w:val="left"/>
              <w:rPr>
                <w:lang w:val="en-US"/>
              </w:rPr>
            </w:pPr>
            <w:r w:rsidRPr="008B73F6">
              <w:rPr>
                <w:lang w:val="en-US"/>
              </w:rPr>
              <w:t>Serious infections (including pneumonia, cellulitis, arthritis bacterial, sepsis, parasitic</w:t>
            </w:r>
            <w:r>
              <w:rPr>
                <w:lang w:val="en-US"/>
              </w:rPr>
              <w:t xml:space="preserve"> infection)*</w:t>
            </w:r>
          </w:p>
        </w:tc>
      </w:tr>
      <w:tr w:rsidR="00C731D0" w14:paraId="0EA30A2E" w14:textId="77777777" w:rsidTr="00643274">
        <w:tc>
          <w:tcPr>
            <w:tcW w:w="1687" w:type="dxa"/>
          </w:tcPr>
          <w:p w14:paraId="3ED15C35" w14:textId="77777777" w:rsidR="00C731D0" w:rsidRDefault="00C731D0" w:rsidP="0021426A">
            <w:pPr>
              <w:pStyle w:val="NormalIndent1"/>
              <w:ind w:left="0"/>
              <w:jc w:val="left"/>
              <w:rPr>
                <w:lang w:val="en-US"/>
              </w:rPr>
            </w:pPr>
            <w:r w:rsidRPr="008B73F6">
              <w:rPr>
                <w:lang w:val="en-US"/>
              </w:rPr>
              <w:t>Rare</w:t>
            </w:r>
          </w:p>
        </w:tc>
        <w:tc>
          <w:tcPr>
            <w:tcW w:w="7496" w:type="dxa"/>
          </w:tcPr>
          <w:p w14:paraId="00CB3453" w14:textId="77777777" w:rsidR="00C731D0" w:rsidRDefault="00C731D0" w:rsidP="0021426A">
            <w:pPr>
              <w:pStyle w:val="NormalIndent1"/>
              <w:ind w:left="0"/>
              <w:jc w:val="left"/>
              <w:rPr>
                <w:lang w:val="en-US"/>
              </w:rPr>
            </w:pPr>
            <w:r w:rsidRPr="008B73F6">
              <w:rPr>
                <w:lang w:val="en-US"/>
              </w:rPr>
              <w:t xml:space="preserve">Tuberculosis*, opportunistic infection (including invasive fungal, bacterial, protozoal, atypical mycobacterial and viral infections, and </w:t>
            </w:r>
            <w:r w:rsidRPr="008B73F6">
              <w:rPr>
                <w:i/>
                <w:lang w:val="en-US"/>
              </w:rPr>
              <w:t xml:space="preserve">Legionella </w:t>
            </w:r>
            <w:r w:rsidRPr="008B73F6">
              <w:rPr>
                <w:lang w:val="en-US"/>
              </w:rPr>
              <w:t>infection)*</w:t>
            </w:r>
          </w:p>
        </w:tc>
      </w:tr>
      <w:tr w:rsidR="00C731D0" w14:paraId="44E10CCA" w14:textId="77777777" w:rsidTr="00643274">
        <w:tc>
          <w:tcPr>
            <w:tcW w:w="1687" w:type="dxa"/>
            <w:tcBorders>
              <w:bottom w:val="single" w:sz="4" w:space="0" w:color="000000"/>
            </w:tcBorders>
          </w:tcPr>
          <w:p w14:paraId="1FCA38C4" w14:textId="77777777" w:rsidR="00C731D0" w:rsidRPr="008B73F6" w:rsidRDefault="00C731D0" w:rsidP="0021426A">
            <w:pPr>
              <w:pStyle w:val="NormalIndent1"/>
              <w:ind w:left="0"/>
              <w:jc w:val="left"/>
              <w:rPr>
                <w:lang w:val="en-US"/>
              </w:rPr>
            </w:pPr>
            <w:r w:rsidRPr="008B73F6">
              <w:rPr>
                <w:lang w:val="en-US"/>
              </w:rPr>
              <w:t>Not Known</w:t>
            </w:r>
          </w:p>
        </w:tc>
        <w:tc>
          <w:tcPr>
            <w:tcW w:w="7496" w:type="dxa"/>
            <w:tcBorders>
              <w:bottom w:val="single" w:sz="4" w:space="0" w:color="000000"/>
            </w:tcBorders>
          </w:tcPr>
          <w:p w14:paraId="2BF08312" w14:textId="77777777" w:rsidR="00C731D0" w:rsidRPr="008B73F6" w:rsidRDefault="00C731D0" w:rsidP="0021426A">
            <w:pPr>
              <w:pStyle w:val="NormalIndent1"/>
              <w:ind w:left="0"/>
              <w:jc w:val="left"/>
              <w:rPr>
                <w:lang w:val="en-US"/>
              </w:rPr>
            </w:pPr>
            <w:r w:rsidRPr="008B73F6">
              <w:rPr>
                <w:lang w:val="en-US"/>
              </w:rPr>
              <w:t>Listeriosis*, hepatitis B reactivation</w:t>
            </w:r>
          </w:p>
        </w:tc>
      </w:tr>
      <w:tr w:rsidR="00C731D0" w14:paraId="0C293B0A" w14:textId="77777777" w:rsidTr="00643274">
        <w:tc>
          <w:tcPr>
            <w:tcW w:w="9183" w:type="dxa"/>
            <w:gridSpan w:val="2"/>
            <w:tcBorders>
              <w:top w:val="single" w:sz="6" w:space="0" w:color="auto"/>
            </w:tcBorders>
          </w:tcPr>
          <w:p w14:paraId="08B468E8" w14:textId="77777777" w:rsidR="00C731D0" w:rsidRDefault="00C731D0" w:rsidP="0021426A">
            <w:pPr>
              <w:pStyle w:val="NormalIndent1"/>
              <w:ind w:left="0"/>
              <w:jc w:val="left"/>
              <w:rPr>
                <w:lang w:val="en-US"/>
              </w:rPr>
            </w:pPr>
            <w:r w:rsidRPr="008B73F6">
              <w:rPr>
                <w:b/>
                <w:lang w:val="en-US"/>
              </w:rPr>
              <w:t>Immune System Disorders</w:t>
            </w:r>
          </w:p>
        </w:tc>
      </w:tr>
      <w:tr w:rsidR="00C731D0" w14:paraId="21E94D9E" w14:textId="77777777" w:rsidTr="00643274">
        <w:tc>
          <w:tcPr>
            <w:tcW w:w="1687" w:type="dxa"/>
          </w:tcPr>
          <w:p w14:paraId="24CAAF4C" w14:textId="77777777" w:rsidR="00C731D0" w:rsidRDefault="00C731D0" w:rsidP="0021426A">
            <w:pPr>
              <w:pStyle w:val="NormalIndent1"/>
              <w:ind w:left="0"/>
              <w:jc w:val="left"/>
              <w:rPr>
                <w:lang w:val="en-US"/>
              </w:rPr>
            </w:pPr>
            <w:r>
              <w:rPr>
                <w:lang w:val="en-US"/>
              </w:rPr>
              <w:t>C</w:t>
            </w:r>
            <w:r w:rsidRPr="008B73F6">
              <w:rPr>
                <w:lang w:val="en-US"/>
              </w:rPr>
              <w:t>ommon</w:t>
            </w:r>
          </w:p>
        </w:tc>
        <w:tc>
          <w:tcPr>
            <w:tcW w:w="7496" w:type="dxa"/>
          </w:tcPr>
          <w:p w14:paraId="0EB3C716" w14:textId="77777777" w:rsidR="00C731D0" w:rsidRDefault="00C731D0" w:rsidP="0021426A">
            <w:pPr>
              <w:pStyle w:val="NormalIndent1"/>
              <w:ind w:left="0"/>
              <w:jc w:val="left"/>
              <w:rPr>
                <w:lang w:val="en-US"/>
              </w:rPr>
            </w:pPr>
            <w:r w:rsidRPr="008B73F6">
              <w:rPr>
                <w:lang w:val="en-US"/>
              </w:rPr>
              <w:t>Allergic reactions; autoantibody formation</w:t>
            </w:r>
          </w:p>
        </w:tc>
      </w:tr>
      <w:tr w:rsidR="00C731D0" w14:paraId="4D569876" w14:textId="77777777" w:rsidTr="00643274">
        <w:tc>
          <w:tcPr>
            <w:tcW w:w="1687" w:type="dxa"/>
          </w:tcPr>
          <w:p w14:paraId="0E5369D6" w14:textId="77777777" w:rsidR="00C731D0" w:rsidRDefault="00C731D0" w:rsidP="0021426A">
            <w:pPr>
              <w:pStyle w:val="NormalIndent1"/>
              <w:ind w:left="0"/>
              <w:jc w:val="left"/>
              <w:rPr>
                <w:lang w:val="en-US"/>
              </w:rPr>
            </w:pPr>
            <w:r>
              <w:rPr>
                <w:lang w:val="en-US"/>
              </w:rPr>
              <w:t>Uncommon</w:t>
            </w:r>
          </w:p>
        </w:tc>
        <w:tc>
          <w:tcPr>
            <w:tcW w:w="7496" w:type="dxa"/>
          </w:tcPr>
          <w:p w14:paraId="310FFC80" w14:textId="77777777" w:rsidR="00C731D0" w:rsidRDefault="00C731D0" w:rsidP="0021426A">
            <w:pPr>
              <w:pStyle w:val="NormalIndent1"/>
              <w:ind w:left="0"/>
              <w:jc w:val="left"/>
              <w:rPr>
                <w:lang w:val="en-US"/>
              </w:rPr>
            </w:pPr>
            <w:r w:rsidRPr="008B73F6">
              <w:rPr>
                <w:lang w:val="en-US"/>
              </w:rPr>
              <w:t>Vasculitis (including ANCA positive vasculitis)</w:t>
            </w:r>
          </w:p>
        </w:tc>
      </w:tr>
      <w:tr w:rsidR="00C731D0" w14:paraId="09DC5475" w14:textId="77777777" w:rsidTr="00643274">
        <w:tc>
          <w:tcPr>
            <w:tcW w:w="1687" w:type="dxa"/>
            <w:tcBorders>
              <w:bottom w:val="single" w:sz="4" w:space="0" w:color="000000"/>
            </w:tcBorders>
          </w:tcPr>
          <w:p w14:paraId="0E23B82B" w14:textId="77777777" w:rsidR="00C731D0" w:rsidRPr="008B73F6" w:rsidRDefault="00C731D0" w:rsidP="0021426A">
            <w:pPr>
              <w:pStyle w:val="NormalIndent1"/>
              <w:ind w:left="0"/>
              <w:jc w:val="left"/>
              <w:rPr>
                <w:lang w:val="en-US"/>
              </w:rPr>
            </w:pPr>
            <w:r w:rsidRPr="008B73F6">
              <w:rPr>
                <w:lang w:val="en-US"/>
              </w:rPr>
              <w:t>Rare</w:t>
            </w:r>
          </w:p>
        </w:tc>
        <w:tc>
          <w:tcPr>
            <w:tcW w:w="7496" w:type="dxa"/>
            <w:tcBorders>
              <w:bottom w:val="single" w:sz="4" w:space="0" w:color="000000"/>
            </w:tcBorders>
          </w:tcPr>
          <w:p w14:paraId="0B5D002C" w14:textId="77777777" w:rsidR="00C731D0" w:rsidRPr="008B73F6" w:rsidRDefault="00C731D0" w:rsidP="0021426A">
            <w:pPr>
              <w:pStyle w:val="NormalIndent1"/>
              <w:ind w:left="0"/>
              <w:jc w:val="left"/>
              <w:rPr>
                <w:lang w:val="en-US"/>
              </w:rPr>
            </w:pPr>
            <w:r w:rsidRPr="008B73F6">
              <w:rPr>
                <w:lang w:val="en-US"/>
              </w:rPr>
              <w:t>Serious allergic/anaphylactic reactions (including bronchospasm), sarcoidosis</w:t>
            </w:r>
          </w:p>
        </w:tc>
      </w:tr>
      <w:tr w:rsidR="00C731D0" w14:paraId="038D8D68" w14:textId="77777777" w:rsidTr="00643274">
        <w:tc>
          <w:tcPr>
            <w:tcW w:w="9183" w:type="dxa"/>
            <w:gridSpan w:val="2"/>
            <w:tcBorders>
              <w:top w:val="single" w:sz="6" w:space="0" w:color="auto"/>
            </w:tcBorders>
          </w:tcPr>
          <w:p w14:paraId="64A0B005" w14:textId="77777777" w:rsidR="00C731D0" w:rsidRDefault="00C731D0" w:rsidP="0021426A">
            <w:pPr>
              <w:pStyle w:val="NormalIndent1"/>
              <w:ind w:left="0"/>
              <w:jc w:val="left"/>
              <w:rPr>
                <w:lang w:val="en-US"/>
              </w:rPr>
            </w:pPr>
            <w:r w:rsidRPr="008B73F6">
              <w:rPr>
                <w:b/>
                <w:lang w:val="en-US"/>
              </w:rPr>
              <w:t>General Disorders and Administration Site Conditions</w:t>
            </w:r>
          </w:p>
        </w:tc>
      </w:tr>
      <w:tr w:rsidR="00C731D0" w14:paraId="75DBD604" w14:textId="77777777" w:rsidTr="00643274">
        <w:tc>
          <w:tcPr>
            <w:tcW w:w="1687" w:type="dxa"/>
          </w:tcPr>
          <w:p w14:paraId="68767D3C" w14:textId="77777777" w:rsidR="00C731D0" w:rsidRDefault="00C731D0" w:rsidP="0021426A">
            <w:pPr>
              <w:pStyle w:val="NormalIndent1"/>
              <w:ind w:left="0"/>
              <w:jc w:val="left"/>
              <w:rPr>
                <w:lang w:val="en-US"/>
              </w:rPr>
            </w:pPr>
            <w:r>
              <w:rPr>
                <w:lang w:val="en-US"/>
              </w:rPr>
              <w:t>Very C</w:t>
            </w:r>
            <w:r w:rsidRPr="008B73F6">
              <w:rPr>
                <w:lang w:val="en-US"/>
              </w:rPr>
              <w:t>ommon</w:t>
            </w:r>
          </w:p>
        </w:tc>
        <w:tc>
          <w:tcPr>
            <w:tcW w:w="7496" w:type="dxa"/>
          </w:tcPr>
          <w:p w14:paraId="24AF5851" w14:textId="77777777" w:rsidR="00C731D0" w:rsidRDefault="00C731D0" w:rsidP="0021426A">
            <w:pPr>
              <w:pStyle w:val="NormalIndent1"/>
              <w:ind w:left="0"/>
              <w:jc w:val="left"/>
              <w:rPr>
                <w:lang w:val="en-US"/>
              </w:rPr>
            </w:pPr>
            <w:r w:rsidRPr="008B73F6">
              <w:rPr>
                <w:lang w:val="en-US"/>
              </w:rPr>
              <w:t>Injection site reactions (including erythema, itching, pain and swelling</w:t>
            </w:r>
            <w:r>
              <w:rPr>
                <w:lang w:val="en-US"/>
              </w:rPr>
              <w:t>)</w:t>
            </w:r>
          </w:p>
        </w:tc>
      </w:tr>
      <w:tr w:rsidR="00C731D0" w14:paraId="72D6613E" w14:textId="77777777" w:rsidTr="00643274">
        <w:tc>
          <w:tcPr>
            <w:tcW w:w="1687" w:type="dxa"/>
          </w:tcPr>
          <w:p w14:paraId="0DAE594F" w14:textId="77777777" w:rsidR="00C731D0" w:rsidRDefault="00C731D0" w:rsidP="0021426A">
            <w:pPr>
              <w:pStyle w:val="NormalIndent1"/>
              <w:ind w:left="0"/>
              <w:jc w:val="left"/>
              <w:rPr>
                <w:lang w:val="en-US"/>
              </w:rPr>
            </w:pPr>
            <w:r>
              <w:rPr>
                <w:lang w:val="en-US"/>
              </w:rPr>
              <w:t>Common</w:t>
            </w:r>
          </w:p>
        </w:tc>
        <w:tc>
          <w:tcPr>
            <w:tcW w:w="7496" w:type="dxa"/>
          </w:tcPr>
          <w:p w14:paraId="74A4D6EE" w14:textId="77777777" w:rsidR="00C731D0" w:rsidRDefault="00C731D0" w:rsidP="0021426A">
            <w:pPr>
              <w:pStyle w:val="NormalIndent1"/>
              <w:ind w:left="0"/>
              <w:jc w:val="left"/>
              <w:rPr>
                <w:lang w:val="en-US"/>
              </w:rPr>
            </w:pPr>
            <w:r w:rsidRPr="008B73F6">
              <w:rPr>
                <w:lang w:val="en-US"/>
              </w:rPr>
              <w:t>Pyrexia</w:t>
            </w:r>
          </w:p>
        </w:tc>
      </w:tr>
      <w:tr w:rsidR="00C731D0" w14:paraId="0F0D4941" w14:textId="77777777" w:rsidTr="00643274">
        <w:tc>
          <w:tcPr>
            <w:tcW w:w="9183" w:type="dxa"/>
            <w:gridSpan w:val="2"/>
            <w:tcBorders>
              <w:top w:val="single" w:sz="6" w:space="0" w:color="auto"/>
            </w:tcBorders>
          </w:tcPr>
          <w:p w14:paraId="255D803C" w14:textId="77777777" w:rsidR="00C731D0" w:rsidRDefault="00C731D0" w:rsidP="0021426A">
            <w:pPr>
              <w:pStyle w:val="NormalIndent1"/>
              <w:ind w:left="0"/>
              <w:jc w:val="left"/>
              <w:rPr>
                <w:lang w:val="en-US"/>
              </w:rPr>
            </w:pPr>
            <w:r w:rsidRPr="008B73F6">
              <w:rPr>
                <w:b/>
                <w:lang w:val="en-US"/>
              </w:rPr>
              <w:t>Respiratory, Thoracic and Mediastinal Disorders</w:t>
            </w:r>
          </w:p>
        </w:tc>
      </w:tr>
      <w:tr w:rsidR="00C731D0" w14:paraId="740422DA" w14:textId="77777777" w:rsidTr="00643274">
        <w:tc>
          <w:tcPr>
            <w:tcW w:w="1687" w:type="dxa"/>
          </w:tcPr>
          <w:p w14:paraId="0BBFF2B9" w14:textId="77777777" w:rsidR="00C731D0" w:rsidRDefault="00C731D0" w:rsidP="0021426A">
            <w:pPr>
              <w:pStyle w:val="NormalIndent1"/>
              <w:ind w:left="0"/>
              <w:jc w:val="left"/>
              <w:rPr>
                <w:lang w:val="en-US"/>
              </w:rPr>
            </w:pPr>
            <w:r>
              <w:rPr>
                <w:lang w:val="en-US"/>
              </w:rPr>
              <w:t>Uncommon</w:t>
            </w:r>
          </w:p>
        </w:tc>
        <w:tc>
          <w:tcPr>
            <w:tcW w:w="7496" w:type="dxa"/>
          </w:tcPr>
          <w:p w14:paraId="5DCF47D8" w14:textId="77777777" w:rsidR="00C731D0" w:rsidRDefault="00C731D0" w:rsidP="0021426A">
            <w:pPr>
              <w:pStyle w:val="NormalIndent1"/>
              <w:ind w:left="0"/>
              <w:jc w:val="left"/>
              <w:rPr>
                <w:lang w:val="en-US"/>
              </w:rPr>
            </w:pPr>
            <w:r w:rsidRPr="008B73F6">
              <w:rPr>
                <w:lang w:val="en-US"/>
              </w:rPr>
              <w:t>Interstitial lung disease (including pulmonary fibrosis and pneumonitis</w:t>
            </w:r>
            <w:r>
              <w:rPr>
                <w:lang w:val="en-US"/>
              </w:rPr>
              <w:t>)</w:t>
            </w:r>
          </w:p>
        </w:tc>
      </w:tr>
      <w:tr w:rsidR="00C731D0" w14:paraId="40299CF2" w14:textId="77777777" w:rsidTr="00643274">
        <w:tc>
          <w:tcPr>
            <w:tcW w:w="9183" w:type="dxa"/>
            <w:gridSpan w:val="2"/>
            <w:tcBorders>
              <w:top w:val="single" w:sz="6" w:space="0" w:color="auto"/>
            </w:tcBorders>
          </w:tcPr>
          <w:p w14:paraId="5DB9E8EC" w14:textId="77777777" w:rsidR="00C731D0" w:rsidRDefault="00C731D0" w:rsidP="0021426A">
            <w:pPr>
              <w:pStyle w:val="NormalIndent1"/>
              <w:ind w:left="0"/>
              <w:jc w:val="left"/>
              <w:rPr>
                <w:lang w:val="en-US"/>
              </w:rPr>
            </w:pPr>
            <w:r w:rsidRPr="008B73F6">
              <w:rPr>
                <w:b/>
                <w:lang w:val="en-US"/>
              </w:rPr>
              <w:t>Nervous System Disorders</w:t>
            </w:r>
          </w:p>
        </w:tc>
      </w:tr>
      <w:tr w:rsidR="00C731D0" w14:paraId="19AB60F5" w14:textId="77777777" w:rsidTr="00643274">
        <w:tc>
          <w:tcPr>
            <w:tcW w:w="1687" w:type="dxa"/>
          </w:tcPr>
          <w:p w14:paraId="1776C962" w14:textId="77777777" w:rsidR="00C731D0" w:rsidRDefault="00C731D0" w:rsidP="0021426A">
            <w:pPr>
              <w:pStyle w:val="NormalIndent1"/>
              <w:ind w:left="0"/>
              <w:jc w:val="left"/>
              <w:rPr>
                <w:lang w:val="en-US"/>
              </w:rPr>
            </w:pPr>
            <w:r>
              <w:rPr>
                <w:lang w:val="en-US"/>
              </w:rPr>
              <w:t>Rare</w:t>
            </w:r>
          </w:p>
        </w:tc>
        <w:tc>
          <w:tcPr>
            <w:tcW w:w="7496" w:type="dxa"/>
          </w:tcPr>
          <w:p w14:paraId="4318636F" w14:textId="77777777" w:rsidR="00C731D0" w:rsidRDefault="00C731D0" w:rsidP="0021426A">
            <w:pPr>
              <w:pStyle w:val="NormalIndent1"/>
              <w:ind w:left="0"/>
              <w:jc w:val="left"/>
              <w:rPr>
                <w:lang w:val="en-US"/>
              </w:rPr>
            </w:pPr>
            <w:r w:rsidRPr="00C731D0">
              <w:rPr>
                <w:lang w:val="en-US"/>
              </w:rPr>
              <w:t xml:space="preserve">Seizure, CNS demyelinating events including multiple sclerosis and </w:t>
            </w:r>
            <w:proofErr w:type="spellStart"/>
            <w:r w:rsidRPr="00C731D0">
              <w:rPr>
                <w:lang w:val="en-US"/>
              </w:rPr>
              <w:t>localised</w:t>
            </w:r>
            <w:proofErr w:type="spellEnd"/>
            <w:r w:rsidRPr="00C731D0">
              <w:rPr>
                <w:lang w:val="en-US"/>
              </w:rPr>
              <w:t xml:space="preserve"> demyelinating conditions such as optic neuritis and transverse myelitis, peripheral demyelinating events, including Guillain-Barre syndrome, chronic inflammatory demyelinating polyneuropathy, demyelinating polyneuropathy and multifocal motor neuropathy</w:t>
            </w:r>
          </w:p>
        </w:tc>
      </w:tr>
      <w:tr w:rsidR="00C731D0" w14:paraId="22F7776C" w14:textId="77777777" w:rsidTr="00643274">
        <w:tc>
          <w:tcPr>
            <w:tcW w:w="9183" w:type="dxa"/>
            <w:gridSpan w:val="2"/>
            <w:tcBorders>
              <w:top w:val="single" w:sz="6" w:space="0" w:color="auto"/>
            </w:tcBorders>
          </w:tcPr>
          <w:p w14:paraId="5EB3635B" w14:textId="77777777" w:rsidR="00C731D0" w:rsidRDefault="00C731D0" w:rsidP="0021426A">
            <w:pPr>
              <w:pStyle w:val="NormalIndent1"/>
              <w:ind w:left="0"/>
              <w:jc w:val="left"/>
              <w:rPr>
                <w:lang w:val="en-US"/>
              </w:rPr>
            </w:pPr>
            <w:r>
              <w:rPr>
                <w:b/>
                <w:lang w:val="en-US"/>
              </w:rPr>
              <w:t>Eye</w:t>
            </w:r>
            <w:r w:rsidRPr="008B73F6">
              <w:rPr>
                <w:b/>
                <w:lang w:val="en-US"/>
              </w:rPr>
              <w:t xml:space="preserve"> Disorders</w:t>
            </w:r>
          </w:p>
        </w:tc>
      </w:tr>
      <w:tr w:rsidR="00C731D0" w14:paraId="4122E89F" w14:textId="77777777" w:rsidTr="00643274">
        <w:tc>
          <w:tcPr>
            <w:tcW w:w="1687" w:type="dxa"/>
          </w:tcPr>
          <w:p w14:paraId="0AAD2A27" w14:textId="77777777" w:rsidR="00C731D0" w:rsidRDefault="00C731D0" w:rsidP="0021426A">
            <w:pPr>
              <w:pStyle w:val="NormalIndent1"/>
              <w:ind w:left="0"/>
              <w:jc w:val="left"/>
              <w:rPr>
                <w:lang w:val="en-US"/>
              </w:rPr>
            </w:pPr>
            <w:r>
              <w:rPr>
                <w:lang w:val="en-US"/>
              </w:rPr>
              <w:t>Uncommon</w:t>
            </w:r>
          </w:p>
        </w:tc>
        <w:tc>
          <w:tcPr>
            <w:tcW w:w="7496" w:type="dxa"/>
          </w:tcPr>
          <w:p w14:paraId="3036CB52" w14:textId="77777777" w:rsidR="00C731D0" w:rsidRDefault="00C731D0" w:rsidP="0021426A">
            <w:pPr>
              <w:pStyle w:val="NormalIndent1"/>
              <w:ind w:left="0"/>
              <w:jc w:val="left"/>
              <w:rPr>
                <w:lang w:val="en-US"/>
              </w:rPr>
            </w:pPr>
            <w:r w:rsidRPr="008B73F6">
              <w:rPr>
                <w:lang w:val="en-US"/>
              </w:rPr>
              <w:t>Uveitis, scleritis</w:t>
            </w:r>
          </w:p>
        </w:tc>
      </w:tr>
      <w:tr w:rsidR="00C731D0" w14:paraId="6CA97189" w14:textId="77777777" w:rsidTr="00643274">
        <w:tc>
          <w:tcPr>
            <w:tcW w:w="9183" w:type="dxa"/>
            <w:gridSpan w:val="2"/>
            <w:tcBorders>
              <w:top w:val="single" w:sz="6" w:space="0" w:color="auto"/>
            </w:tcBorders>
          </w:tcPr>
          <w:p w14:paraId="734301D0" w14:textId="77777777" w:rsidR="00C731D0" w:rsidRDefault="00C731D0" w:rsidP="0021426A">
            <w:pPr>
              <w:pStyle w:val="NormalIndent1"/>
              <w:ind w:left="0"/>
              <w:jc w:val="left"/>
              <w:rPr>
                <w:lang w:val="en-US"/>
              </w:rPr>
            </w:pPr>
            <w:r w:rsidRPr="008B73F6">
              <w:rPr>
                <w:b/>
                <w:lang w:val="en-US"/>
              </w:rPr>
              <w:t>Skin and Subcutaneous Tissue Disorders</w:t>
            </w:r>
          </w:p>
        </w:tc>
      </w:tr>
      <w:tr w:rsidR="00C731D0" w14:paraId="41C23255" w14:textId="77777777" w:rsidTr="00643274">
        <w:tc>
          <w:tcPr>
            <w:tcW w:w="1687" w:type="dxa"/>
          </w:tcPr>
          <w:p w14:paraId="3B75810B" w14:textId="77777777" w:rsidR="00C731D0" w:rsidRDefault="00C731D0" w:rsidP="0021426A">
            <w:pPr>
              <w:pStyle w:val="NormalIndent1"/>
              <w:ind w:left="0"/>
              <w:jc w:val="left"/>
              <w:rPr>
                <w:lang w:val="en-US"/>
              </w:rPr>
            </w:pPr>
            <w:r>
              <w:rPr>
                <w:lang w:val="en-US"/>
              </w:rPr>
              <w:t>Common</w:t>
            </w:r>
          </w:p>
        </w:tc>
        <w:tc>
          <w:tcPr>
            <w:tcW w:w="7496" w:type="dxa"/>
          </w:tcPr>
          <w:p w14:paraId="25E4489B" w14:textId="77777777" w:rsidR="00C731D0" w:rsidRDefault="002930BA" w:rsidP="0021426A">
            <w:pPr>
              <w:pStyle w:val="NormalIndent1"/>
              <w:ind w:left="0"/>
              <w:jc w:val="left"/>
              <w:rPr>
                <w:lang w:val="en-US"/>
              </w:rPr>
            </w:pPr>
            <w:r w:rsidRPr="008B73F6">
              <w:rPr>
                <w:lang w:val="en-US"/>
              </w:rPr>
              <w:t>Pruritus, rash</w:t>
            </w:r>
          </w:p>
        </w:tc>
      </w:tr>
      <w:tr w:rsidR="002930BA" w14:paraId="093B0DC9" w14:textId="77777777" w:rsidTr="00643274">
        <w:tc>
          <w:tcPr>
            <w:tcW w:w="1687" w:type="dxa"/>
          </w:tcPr>
          <w:p w14:paraId="5211C06B" w14:textId="77777777" w:rsidR="002930BA" w:rsidRDefault="002930BA" w:rsidP="0021426A">
            <w:pPr>
              <w:pStyle w:val="NormalIndent1"/>
              <w:ind w:left="0"/>
              <w:jc w:val="left"/>
              <w:rPr>
                <w:lang w:val="en-US"/>
              </w:rPr>
            </w:pPr>
            <w:r>
              <w:rPr>
                <w:lang w:val="en-US"/>
              </w:rPr>
              <w:t>Uncommon</w:t>
            </w:r>
          </w:p>
        </w:tc>
        <w:tc>
          <w:tcPr>
            <w:tcW w:w="7496" w:type="dxa"/>
          </w:tcPr>
          <w:p w14:paraId="0E0FA509" w14:textId="77777777" w:rsidR="002930BA" w:rsidRDefault="002930BA" w:rsidP="0021426A">
            <w:pPr>
              <w:pStyle w:val="NormalIndent1"/>
              <w:ind w:left="0"/>
              <w:jc w:val="left"/>
              <w:rPr>
                <w:lang w:val="en-US"/>
              </w:rPr>
            </w:pPr>
            <w:r w:rsidRPr="008B73F6">
              <w:rPr>
                <w:lang w:val="en-US"/>
              </w:rPr>
              <w:t>Angioedema, urticaria, psoriasis (new onset or exacerbation)** and psoriasiform rash</w:t>
            </w:r>
          </w:p>
        </w:tc>
      </w:tr>
      <w:tr w:rsidR="002930BA" w14:paraId="74C973B8" w14:textId="77777777" w:rsidTr="00643274">
        <w:tc>
          <w:tcPr>
            <w:tcW w:w="1687" w:type="dxa"/>
            <w:tcBorders>
              <w:bottom w:val="single" w:sz="4" w:space="0" w:color="000000"/>
            </w:tcBorders>
          </w:tcPr>
          <w:p w14:paraId="398C7E62" w14:textId="77777777" w:rsidR="002930BA" w:rsidRPr="008B73F6" w:rsidRDefault="002930BA" w:rsidP="0021426A">
            <w:pPr>
              <w:pStyle w:val="NormalIndent1"/>
              <w:ind w:left="0"/>
              <w:jc w:val="left"/>
              <w:rPr>
                <w:lang w:val="en-US"/>
              </w:rPr>
            </w:pPr>
            <w:r>
              <w:rPr>
                <w:lang w:val="en-US"/>
              </w:rPr>
              <w:t>Rare</w:t>
            </w:r>
          </w:p>
        </w:tc>
        <w:tc>
          <w:tcPr>
            <w:tcW w:w="7496" w:type="dxa"/>
            <w:tcBorders>
              <w:bottom w:val="single" w:sz="4" w:space="0" w:color="000000"/>
            </w:tcBorders>
          </w:tcPr>
          <w:p w14:paraId="5DD94F70" w14:textId="77777777" w:rsidR="002930BA" w:rsidRPr="008B73F6" w:rsidRDefault="002930BA" w:rsidP="0021426A">
            <w:pPr>
              <w:pStyle w:val="NormalIndent1"/>
              <w:ind w:left="0"/>
              <w:jc w:val="left"/>
              <w:rPr>
                <w:lang w:val="en-US"/>
              </w:rPr>
            </w:pPr>
            <w:r w:rsidRPr="008B73F6">
              <w:rPr>
                <w:lang w:val="en-US"/>
              </w:rPr>
              <w:t>Cutaneous vasculitis (including hypersensitivity vasculitis), Stevens-Johnson syndrome, erythema multiforme</w:t>
            </w:r>
          </w:p>
        </w:tc>
      </w:tr>
      <w:tr w:rsidR="002930BA" w14:paraId="6C5780E5" w14:textId="77777777" w:rsidTr="00C731D0">
        <w:tc>
          <w:tcPr>
            <w:tcW w:w="1687" w:type="dxa"/>
          </w:tcPr>
          <w:p w14:paraId="6F695998" w14:textId="77777777" w:rsidR="002930BA" w:rsidRPr="008B73F6" w:rsidRDefault="002930BA" w:rsidP="0021426A">
            <w:pPr>
              <w:pStyle w:val="NormalIndent1"/>
              <w:ind w:left="0"/>
              <w:jc w:val="left"/>
              <w:rPr>
                <w:lang w:val="en-US"/>
              </w:rPr>
            </w:pPr>
            <w:r>
              <w:rPr>
                <w:lang w:val="en-US"/>
              </w:rPr>
              <w:t>Very Rare</w:t>
            </w:r>
          </w:p>
        </w:tc>
        <w:tc>
          <w:tcPr>
            <w:tcW w:w="7496" w:type="dxa"/>
          </w:tcPr>
          <w:p w14:paraId="379F10E2" w14:textId="77777777" w:rsidR="002930BA" w:rsidRPr="008B73F6" w:rsidRDefault="002930BA" w:rsidP="0021426A">
            <w:pPr>
              <w:pStyle w:val="NormalIndent1"/>
              <w:ind w:left="0"/>
              <w:jc w:val="left"/>
              <w:rPr>
                <w:lang w:val="en-US"/>
              </w:rPr>
            </w:pPr>
            <w:r w:rsidRPr="008B73F6">
              <w:rPr>
                <w:lang w:val="en-US"/>
              </w:rPr>
              <w:t>Toxic epidermal necrolysis</w:t>
            </w:r>
          </w:p>
        </w:tc>
      </w:tr>
      <w:tr w:rsidR="002930BA" w14:paraId="29DF5460" w14:textId="77777777" w:rsidTr="00643274">
        <w:tc>
          <w:tcPr>
            <w:tcW w:w="9183" w:type="dxa"/>
            <w:gridSpan w:val="2"/>
            <w:tcBorders>
              <w:top w:val="single" w:sz="6" w:space="0" w:color="auto"/>
            </w:tcBorders>
          </w:tcPr>
          <w:p w14:paraId="73F8C660" w14:textId="77777777" w:rsidR="002930BA" w:rsidRDefault="002930BA" w:rsidP="0021426A">
            <w:pPr>
              <w:pStyle w:val="NormalIndent1"/>
              <w:ind w:left="0"/>
              <w:jc w:val="left"/>
              <w:rPr>
                <w:lang w:val="en-US"/>
              </w:rPr>
            </w:pPr>
            <w:r w:rsidRPr="008B73F6">
              <w:rPr>
                <w:b/>
                <w:lang w:val="en-US"/>
              </w:rPr>
              <w:t>Musculoskeletal, Connective Tissue and Bone Disorders</w:t>
            </w:r>
          </w:p>
        </w:tc>
      </w:tr>
      <w:tr w:rsidR="002930BA" w14:paraId="61C1A3F4" w14:textId="77777777" w:rsidTr="00643274">
        <w:tc>
          <w:tcPr>
            <w:tcW w:w="1687" w:type="dxa"/>
          </w:tcPr>
          <w:p w14:paraId="77B4B852" w14:textId="77777777" w:rsidR="002930BA" w:rsidRDefault="002930BA" w:rsidP="0021426A">
            <w:pPr>
              <w:pStyle w:val="NormalIndent1"/>
              <w:ind w:left="0"/>
              <w:jc w:val="left"/>
              <w:rPr>
                <w:lang w:val="en-US"/>
              </w:rPr>
            </w:pPr>
            <w:r>
              <w:rPr>
                <w:lang w:val="en-US"/>
              </w:rPr>
              <w:t>Rare</w:t>
            </w:r>
          </w:p>
        </w:tc>
        <w:tc>
          <w:tcPr>
            <w:tcW w:w="7496" w:type="dxa"/>
          </w:tcPr>
          <w:p w14:paraId="6B100CA2" w14:textId="77777777" w:rsidR="002930BA" w:rsidRDefault="002930BA" w:rsidP="0021426A">
            <w:pPr>
              <w:pStyle w:val="NormalIndent1"/>
              <w:ind w:left="0"/>
              <w:jc w:val="left"/>
              <w:rPr>
                <w:lang w:val="en-US"/>
              </w:rPr>
            </w:pPr>
            <w:r w:rsidRPr="008B73F6">
              <w:rPr>
                <w:lang w:val="en-US"/>
              </w:rPr>
              <w:t>Subacute cutaneous lupus erythematosus, cutaneous lupus erythematosus, lupus-like syndrome</w:t>
            </w:r>
          </w:p>
        </w:tc>
      </w:tr>
      <w:tr w:rsidR="002930BA" w14:paraId="2500BF6D" w14:textId="77777777" w:rsidTr="00643274">
        <w:tc>
          <w:tcPr>
            <w:tcW w:w="9183" w:type="dxa"/>
            <w:gridSpan w:val="2"/>
            <w:tcBorders>
              <w:top w:val="single" w:sz="6" w:space="0" w:color="auto"/>
            </w:tcBorders>
          </w:tcPr>
          <w:p w14:paraId="5CBBA048" w14:textId="77777777" w:rsidR="002930BA" w:rsidRDefault="002930BA" w:rsidP="0021426A">
            <w:pPr>
              <w:pStyle w:val="NormalIndent1"/>
              <w:ind w:left="0"/>
              <w:jc w:val="left"/>
              <w:rPr>
                <w:lang w:val="en-US"/>
              </w:rPr>
            </w:pPr>
            <w:r>
              <w:rPr>
                <w:b/>
                <w:lang w:val="en-US"/>
              </w:rPr>
              <w:t>Cardiac</w:t>
            </w:r>
            <w:r w:rsidRPr="008B73F6">
              <w:rPr>
                <w:b/>
                <w:lang w:val="en-US"/>
              </w:rPr>
              <w:t xml:space="preserve"> Disorders</w:t>
            </w:r>
          </w:p>
        </w:tc>
      </w:tr>
      <w:tr w:rsidR="002930BA" w14:paraId="5E4E2B36" w14:textId="77777777" w:rsidTr="00643274">
        <w:tc>
          <w:tcPr>
            <w:tcW w:w="1687" w:type="dxa"/>
          </w:tcPr>
          <w:p w14:paraId="28BC8733" w14:textId="77777777" w:rsidR="002930BA" w:rsidRDefault="002930BA" w:rsidP="0021426A">
            <w:pPr>
              <w:pStyle w:val="NormalIndent1"/>
              <w:ind w:left="0"/>
              <w:jc w:val="left"/>
              <w:rPr>
                <w:lang w:val="en-US"/>
              </w:rPr>
            </w:pPr>
            <w:r>
              <w:rPr>
                <w:lang w:val="en-US"/>
              </w:rPr>
              <w:t>Uncommon</w:t>
            </w:r>
          </w:p>
        </w:tc>
        <w:tc>
          <w:tcPr>
            <w:tcW w:w="7496" w:type="dxa"/>
          </w:tcPr>
          <w:p w14:paraId="639B77C2" w14:textId="77777777" w:rsidR="002930BA" w:rsidRDefault="002930BA" w:rsidP="0021426A">
            <w:pPr>
              <w:pStyle w:val="NormalIndent1"/>
              <w:ind w:left="0"/>
              <w:jc w:val="left"/>
              <w:rPr>
                <w:lang w:val="en-US"/>
              </w:rPr>
            </w:pPr>
            <w:r w:rsidRPr="008B73F6">
              <w:rPr>
                <w:lang w:val="en-US"/>
              </w:rPr>
              <w:t>Worsening of cardiac failure congestive</w:t>
            </w:r>
          </w:p>
        </w:tc>
      </w:tr>
      <w:tr w:rsidR="002930BA" w14:paraId="1BAE92CE" w14:textId="77777777" w:rsidTr="00643274">
        <w:tc>
          <w:tcPr>
            <w:tcW w:w="1687" w:type="dxa"/>
          </w:tcPr>
          <w:p w14:paraId="77DC995F" w14:textId="77777777" w:rsidR="002930BA" w:rsidRDefault="002930BA" w:rsidP="0021426A">
            <w:pPr>
              <w:pStyle w:val="NormalIndent1"/>
              <w:ind w:left="0"/>
              <w:jc w:val="left"/>
              <w:rPr>
                <w:lang w:val="en-US"/>
              </w:rPr>
            </w:pPr>
            <w:r>
              <w:rPr>
                <w:lang w:val="en-US"/>
              </w:rPr>
              <w:t>Rare</w:t>
            </w:r>
          </w:p>
        </w:tc>
        <w:tc>
          <w:tcPr>
            <w:tcW w:w="7496" w:type="dxa"/>
          </w:tcPr>
          <w:p w14:paraId="64F4BAC9" w14:textId="77777777" w:rsidR="002930BA" w:rsidRDefault="002930BA" w:rsidP="0021426A">
            <w:pPr>
              <w:pStyle w:val="NormalIndent1"/>
              <w:ind w:left="0"/>
              <w:jc w:val="left"/>
              <w:rPr>
                <w:lang w:val="en-US"/>
              </w:rPr>
            </w:pPr>
            <w:r w:rsidRPr="008B73F6">
              <w:rPr>
                <w:lang w:val="en-US"/>
              </w:rPr>
              <w:t>New onset cardiac failure congestive</w:t>
            </w:r>
          </w:p>
        </w:tc>
      </w:tr>
      <w:tr w:rsidR="002930BA" w14:paraId="7DAFD804" w14:textId="77777777" w:rsidTr="00643274">
        <w:tc>
          <w:tcPr>
            <w:tcW w:w="9183" w:type="dxa"/>
            <w:gridSpan w:val="2"/>
            <w:tcBorders>
              <w:top w:val="single" w:sz="6" w:space="0" w:color="auto"/>
            </w:tcBorders>
          </w:tcPr>
          <w:p w14:paraId="13429DE3" w14:textId="77777777" w:rsidR="002930BA" w:rsidRDefault="002930BA" w:rsidP="0021426A">
            <w:pPr>
              <w:pStyle w:val="NormalIndent1"/>
              <w:ind w:left="0"/>
              <w:jc w:val="left"/>
              <w:rPr>
                <w:lang w:val="en-US"/>
              </w:rPr>
            </w:pPr>
            <w:r w:rsidRPr="008B73F6">
              <w:rPr>
                <w:b/>
                <w:lang w:val="en-US"/>
              </w:rPr>
              <w:t>Hepatobiliary Disorders</w:t>
            </w:r>
          </w:p>
        </w:tc>
      </w:tr>
      <w:tr w:rsidR="002930BA" w14:paraId="63D18680" w14:textId="77777777" w:rsidTr="00643274">
        <w:tc>
          <w:tcPr>
            <w:tcW w:w="1687" w:type="dxa"/>
          </w:tcPr>
          <w:p w14:paraId="5DFF0764" w14:textId="77777777" w:rsidR="002930BA" w:rsidRDefault="002930BA" w:rsidP="0021426A">
            <w:pPr>
              <w:pStyle w:val="NormalIndent1"/>
              <w:ind w:left="0"/>
              <w:jc w:val="left"/>
              <w:rPr>
                <w:lang w:val="en-US"/>
              </w:rPr>
            </w:pPr>
            <w:r>
              <w:rPr>
                <w:lang w:val="en-US"/>
              </w:rPr>
              <w:t>Common</w:t>
            </w:r>
          </w:p>
        </w:tc>
        <w:tc>
          <w:tcPr>
            <w:tcW w:w="7496" w:type="dxa"/>
          </w:tcPr>
          <w:p w14:paraId="1BCB5D93" w14:textId="77777777" w:rsidR="002930BA" w:rsidRDefault="002930BA" w:rsidP="0021426A">
            <w:pPr>
              <w:pStyle w:val="NormalIndent1"/>
              <w:ind w:left="0"/>
              <w:jc w:val="left"/>
              <w:rPr>
                <w:lang w:val="en-US"/>
              </w:rPr>
            </w:pPr>
            <w:r w:rsidRPr="008B73F6">
              <w:rPr>
                <w:lang w:val="en-US"/>
              </w:rPr>
              <w:t>Elevated liver enzymes</w:t>
            </w:r>
          </w:p>
        </w:tc>
      </w:tr>
      <w:tr w:rsidR="002930BA" w14:paraId="2A2E8E18" w14:textId="77777777" w:rsidTr="00643274">
        <w:tc>
          <w:tcPr>
            <w:tcW w:w="1687" w:type="dxa"/>
          </w:tcPr>
          <w:p w14:paraId="7821BBE1" w14:textId="77777777" w:rsidR="002930BA" w:rsidRDefault="002930BA" w:rsidP="0021426A">
            <w:pPr>
              <w:pStyle w:val="NormalIndent1"/>
              <w:ind w:left="0"/>
              <w:jc w:val="left"/>
              <w:rPr>
                <w:lang w:val="en-US"/>
              </w:rPr>
            </w:pPr>
            <w:r>
              <w:rPr>
                <w:lang w:val="en-US"/>
              </w:rPr>
              <w:t>Rare</w:t>
            </w:r>
          </w:p>
        </w:tc>
        <w:tc>
          <w:tcPr>
            <w:tcW w:w="7496" w:type="dxa"/>
          </w:tcPr>
          <w:p w14:paraId="4131AFB5" w14:textId="77777777" w:rsidR="002930BA" w:rsidRDefault="002930BA" w:rsidP="0021426A">
            <w:pPr>
              <w:pStyle w:val="NormalIndent1"/>
              <w:ind w:left="0"/>
              <w:jc w:val="left"/>
              <w:rPr>
                <w:lang w:val="en-US"/>
              </w:rPr>
            </w:pPr>
            <w:r w:rsidRPr="008B73F6">
              <w:rPr>
                <w:lang w:val="en-US"/>
              </w:rPr>
              <w:t>Autoimmune hepatitis</w:t>
            </w:r>
          </w:p>
        </w:tc>
      </w:tr>
    </w:tbl>
    <w:p w14:paraId="570DF24E" w14:textId="77777777" w:rsidR="002930BA" w:rsidRPr="002930BA" w:rsidRDefault="002930BA" w:rsidP="0021426A">
      <w:pPr>
        <w:pStyle w:val="NormalIndent1"/>
        <w:ind w:left="851" w:hanging="426"/>
        <w:jc w:val="left"/>
        <w:rPr>
          <w:sz w:val="20"/>
          <w:szCs w:val="20"/>
          <w:lang w:val="en-US"/>
        </w:rPr>
      </w:pPr>
    </w:p>
    <w:bookmarkEnd w:id="6"/>
    <w:p w14:paraId="4D156E08" w14:textId="77777777" w:rsidR="008B73F6" w:rsidRPr="002930BA" w:rsidRDefault="008B73F6" w:rsidP="0021426A">
      <w:pPr>
        <w:pStyle w:val="NormalIndent1"/>
        <w:ind w:left="851" w:hanging="426"/>
        <w:jc w:val="left"/>
        <w:rPr>
          <w:sz w:val="20"/>
          <w:szCs w:val="20"/>
          <w:lang w:val="en-US"/>
        </w:rPr>
      </w:pPr>
      <w:r w:rsidRPr="002930BA">
        <w:rPr>
          <w:sz w:val="20"/>
          <w:szCs w:val="20"/>
          <w:lang w:val="en-US"/>
        </w:rPr>
        <w:t>*</w:t>
      </w:r>
      <w:r w:rsidR="002930BA">
        <w:rPr>
          <w:sz w:val="20"/>
          <w:szCs w:val="20"/>
          <w:lang w:val="en-US"/>
        </w:rPr>
        <w:tab/>
      </w:r>
      <w:r w:rsidRPr="002930BA">
        <w:rPr>
          <w:sz w:val="20"/>
          <w:szCs w:val="20"/>
          <w:lang w:val="en-US"/>
        </w:rPr>
        <w:t>See additional information, under "Infections" above.</w:t>
      </w:r>
    </w:p>
    <w:p w14:paraId="4A2AFEA0" w14:textId="77777777" w:rsidR="008B73F6" w:rsidRPr="002930BA" w:rsidRDefault="008B73F6" w:rsidP="0021426A">
      <w:pPr>
        <w:pStyle w:val="NormalIndent1"/>
        <w:ind w:left="851" w:hanging="426"/>
        <w:jc w:val="left"/>
        <w:rPr>
          <w:sz w:val="20"/>
          <w:szCs w:val="20"/>
          <w:lang w:val="en-US"/>
        </w:rPr>
      </w:pPr>
      <w:r w:rsidRPr="002930BA">
        <w:rPr>
          <w:sz w:val="20"/>
          <w:szCs w:val="20"/>
          <w:lang w:val="en-US"/>
        </w:rPr>
        <w:t>**</w:t>
      </w:r>
      <w:r w:rsidR="002930BA">
        <w:rPr>
          <w:sz w:val="20"/>
          <w:szCs w:val="20"/>
          <w:lang w:val="en-US"/>
        </w:rPr>
        <w:tab/>
      </w:r>
      <w:r w:rsidRPr="002930BA">
        <w:rPr>
          <w:sz w:val="20"/>
          <w:szCs w:val="20"/>
          <w:lang w:val="en-US"/>
        </w:rPr>
        <w:t xml:space="preserve"> See additional information under "Psoriasis" above.</w:t>
      </w:r>
    </w:p>
    <w:p w14:paraId="6E77122B" w14:textId="77777777" w:rsidR="008B73F6" w:rsidRDefault="008B73F6" w:rsidP="0021426A">
      <w:pPr>
        <w:pStyle w:val="NormalIndent1"/>
        <w:jc w:val="left"/>
        <w:rPr>
          <w:b/>
          <w:lang w:val="en-US"/>
        </w:rPr>
      </w:pPr>
    </w:p>
    <w:p w14:paraId="6900F7DA" w14:textId="77777777" w:rsidR="008B73F6" w:rsidRPr="008B73F6" w:rsidRDefault="008B73F6" w:rsidP="0021426A">
      <w:pPr>
        <w:pStyle w:val="Heading3"/>
        <w:jc w:val="left"/>
        <w:rPr>
          <w:lang w:val="en-US"/>
        </w:rPr>
      </w:pPr>
      <w:r w:rsidRPr="008B73F6">
        <w:rPr>
          <w:lang w:val="en-US"/>
        </w:rPr>
        <w:t xml:space="preserve">Patients with </w:t>
      </w:r>
      <w:r w:rsidR="002930BA" w:rsidRPr="008B73F6">
        <w:rPr>
          <w:lang w:val="en-US"/>
        </w:rPr>
        <w:t>Non</w:t>
      </w:r>
      <w:r w:rsidRPr="008B73F6">
        <w:rPr>
          <w:lang w:val="en-US"/>
        </w:rPr>
        <w:t>-</w:t>
      </w:r>
      <w:r w:rsidR="002930BA" w:rsidRPr="008B73F6">
        <w:rPr>
          <w:lang w:val="en-US"/>
        </w:rPr>
        <w:t>Radiographic Axial Spondyloarthritis</w:t>
      </w:r>
    </w:p>
    <w:p w14:paraId="65314654" w14:textId="77777777" w:rsidR="008B73F6" w:rsidRPr="008B73F6" w:rsidRDefault="008B73F6" w:rsidP="0021426A">
      <w:pPr>
        <w:pStyle w:val="NormalIndent1"/>
        <w:jc w:val="left"/>
        <w:rPr>
          <w:lang w:val="en-US"/>
        </w:rPr>
      </w:pPr>
    </w:p>
    <w:p w14:paraId="2E63E014" w14:textId="77777777" w:rsidR="008B73F6" w:rsidRPr="008B73F6" w:rsidRDefault="008B73F6" w:rsidP="0021426A">
      <w:pPr>
        <w:pStyle w:val="NormalIndent1"/>
        <w:jc w:val="left"/>
        <w:rPr>
          <w:lang w:val="en-US"/>
        </w:rPr>
      </w:pPr>
      <w:r w:rsidRPr="008B73F6">
        <w:rPr>
          <w:lang w:val="en-US"/>
        </w:rPr>
        <w:t>The safety observed in adult patients with nr-AxSpA was similar to that seen in previous clinical trials of etanercept in adult patients.</w:t>
      </w:r>
    </w:p>
    <w:p w14:paraId="489837C1" w14:textId="77777777" w:rsidR="008B73F6" w:rsidRPr="008B73F6" w:rsidRDefault="008B73F6" w:rsidP="0021426A">
      <w:pPr>
        <w:pStyle w:val="NormalIndent1"/>
        <w:jc w:val="left"/>
        <w:rPr>
          <w:lang w:val="en-US"/>
        </w:rPr>
      </w:pPr>
    </w:p>
    <w:p w14:paraId="129FD4D0" w14:textId="77777777" w:rsidR="008B73F6" w:rsidRPr="008B73F6" w:rsidRDefault="008B73F6" w:rsidP="0021426A">
      <w:pPr>
        <w:pStyle w:val="Heading3"/>
        <w:jc w:val="left"/>
        <w:rPr>
          <w:lang w:val="en-US"/>
        </w:rPr>
      </w:pPr>
      <w:r w:rsidRPr="008B73F6">
        <w:rPr>
          <w:lang w:val="en-US"/>
        </w:rPr>
        <w:t xml:space="preserve">Paediatric </w:t>
      </w:r>
      <w:r w:rsidR="002930BA" w:rsidRPr="008B73F6">
        <w:rPr>
          <w:lang w:val="en-US"/>
        </w:rPr>
        <w:t xml:space="preserve">Patients </w:t>
      </w:r>
      <w:r w:rsidRPr="008B73F6">
        <w:rPr>
          <w:lang w:val="en-US"/>
        </w:rPr>
        <w:t xml:space="preserve">with </w:t>
      </w:r>
      <w:r w:rsidR="002930BA" w:rsidRPr="008B73F6">
        <w:rPr>
          <w:lang w:val="en-US"/>
        </w:rPr>
        <w:t>Juvenile Idiopathic Arthritis</w:t>
      </w:r>
    </w:p>
    <w:p w14:paraId="18B3E00B" w14:textId="77777777" w:rsidR="003A2DFB" w:rsidRPr="008B73F6" w:rsidRDefault="003A2DFB" w:rsidP="0021426A">
      <w:pPr>
        <w:pStyle w:val="NormalIndent1"/>
        <w:jc w:val="left"/>
        <w:rPr>
          <w:lang w:val="en-US"/>
        </w:rPr>
      </w:pPr>
    </w:p>
    <w:p w14:paraId="47A6CD7A" w14:textId="77777777" w:rsidR="008B73F6" w:rsidRPr="008B73F6" w:rsidRDefault="008B73F6" w:rsidP="0021426A">
      <w:pPr>
        <w:pStyle w:val="NormalIndent1"/>
        <w:jc w:val="left"/>
        <w:rPr>
          <w:lang w:val="en-US"/>
        </w:rPr>
      </w:pPr>
      <w:r w:rsidRPr="008B73F6">
        <w:rPr>
          <w:lang w:val="en-US"/>
        </w:rPr>
        <w:t xml:space="preserve">In general, the adverse events in </w:t>
      </w:r>
      <w:proofErr w:type="spellStart"/>
      <w:r w:rsidRPr="008B73F6">
        <w:rPr>
          <w:lang w:val="en-US"/>
        </w:rPr>
        <w:t>paediatric</w:t>
      </w:r>
      <w:proofErr w:type="spellEnd"/>
      <w:r w:rsidRPr="008B73F6">
        <w:rPr>
          <w:lang w:val="en-US"/>
        </w:rPr>
        <w:t xml:space="preserve"> patients with juvenile idiopathic arthritis were similar in frequency and type to those seen in adult patients.</w:t>
      </w:r>
    </w:p>
    <w:p w14:paraId="6525A619" w14:textId="77777777" w:rsidR="008B73F6" w:rsidRPr="008B73F6" w:rsidRDefault="008B73F6" w:rsidP="0021426A">
      <w:pPr>
        <w:pStyle w:val="NormalIndent1"/>
        <w:jc w:val="left"/>
        <w:rPr>
          <w:lang w:val="en-US"/>
        </w:rPr>
      </w:pPr>
    </w:p>
    <w:p w14:paraId="7061F2AF" w14:textId="35977053" w:rsidR="008B73F6" w:rsidRPr="008B73F6" w:rsidRDefault="008B73F6" w:rsidP="0021426A">
      <w:pPr>
        <w:pStyle w:val="NormalIndent1"/>
        <w:jc w:val="left"/>
        <w:rPr>
          <w:lang w:val="en-US"/>
        </w:rPr>
      </w:pPr>
      <w:r w:rsidRPr="008B73F6">
        <w:rPr>
          <w:lang w:val="en-US"/>
        </w:rPr>
        <w:t xml:space="preserve">JIA patients treated with </w:t>
      </w:r>
      <w:r w:rsidR="00C36EA6">
        <w:rPr>
          <w:lang w:val="en-US"/>
        </w:rPr>
        <w:t>etanercept</w:t>
      </w:r>
      <w:r w:rsidRPr="008B73F6">
        <w:rPr>
          <w:lang w:val="en-US"/>
        </w:rPr>
        <w:t xml:space="preserve"> had a significantly higher incidence of injection sites reactions (erythema and/or itching, pain or swelling) compared with placebo-treated patients in controlled clinical trials.</w:t>
      </w:r>
    </w:p>
    <w:p w14:paraId="78A80919" w14:textId="77777777" w:rsidR="008B73F6" w:rsidRPr="008B73F6" w:rsidRDefault="008B73F6" w:rsidP="0021426A">
      <w:pPr>
        <w:pStyle w:val="NormalIndent1"/>
        <w:jc w:val="left"/>
        <w:rPr>
          <w:lang w:val="en-US"/>
        </w:rPr>
      </w:pPr>
    </w:p>
    <w:p w14:paraId="61720914" w14:textId="0DBCEF48" w:rsidR="008B73F6" w:rsidRPr="008B73F6" w:rsidRDefault="008B73F6" w:rsidP="0021426A">
      <w:pPr>
        <w:pStyle w:val="NormalIndent1"/>
        <w:jc w:val="left"/>
        <w:rPr>
          <w:lang w:val="en-US"/>
        </w:rPr>
      </w:pPr>
      <w:r w:rsidRPr="008B73F6">
        <w:rPr>
          <w:lang w:val="en-US"/>
        </w:rPr>
        <w:t xml:space="preserve">Infection was the most common adverse event reported in </w:t>
      </w:r>
      <w:proofErr w:type="spellStart"/>
      <w:r w:rsidRPr="008B73F6">
        <w:rPr>
          <w:lang w:val="en-US"/>
        </w:rPr>
        <w:t>paediatric</w:t>
      </w:r>
      <w:proofErr w:type="spellEnd"/>
      <w:r w:rsidRPr="008B73F6">
        <w:rPr>
          <w:lang w:val="en-US"/>
        </w:rPr>
        <w:t xml:space="preserve"> patients taking </w:t>
      </w:r>
      <w:proofErr w:type="spellStart"/>
      <w:r w:rsidR="00C36EA6">
        <w:rPr>
          <w:lang w:val="en-US"/>
        </w:rPr>
        <w:t>etanercept</w:t>
      </w:r>
      <w:proofErr w:type="spellEnd"/>
      <w:r w:rsidRPr="008B73F6">
        <w:rPr>
          <w:lang w:val="en-US"/>
        </w:rPr>
        <w:t xml:space="preserve"> and occurred at an incidence similar to placebo.  The types of infections reported in JIA patients were generally mild and consistent with those commonly seen in outpatient </w:t>
      </w:r>
      <w:proofErr w:type="spellStart"/>
      <w:r w:rsidRPr="008B73F6">
        <w:rPr>
          <w:lang w:val="en-US"/>
        </w:rPr>
        <w:t>paediatric</w:t>
      </w:r>
      <w:proofErr w:type="spellEnd"/>
      <w:r w:rsidRPr="008B73F6">
        <w:rPr>
          <w:lang w:val="en-US"/>
        </w:rPr>
        <w:t xml:space="preserve"> populations.</w:t>
      </w:r>
    </w:p>
    <w:p w14:paraId="6ED32DFD" w14:textId="77777777" w:rsidR="008B73F6" w:rsidRPr="008B73F6" w:rsidRDefault="008B73F6" w:rsidP="0021426A">
      <w:pPr>
        <w:pStyle w:val="NormalIndent1"/>
        <w:jc w:val="left"/>
        <w:rPr>
          <w:lang w:val="en-US"/>
        </w:rPr>
      </w:pPr>
    </w:p>
    <w:p w14:paraId="36982810" w14:textId="24344971" w:rsidR="008B73F6" w:rsidRPr="008B73F6" w:rsidRDefault="008B73F6" w:rsidP="0021426A">
      <w:pPr>
        <w:pStyle w:val="NormalIndent1"/>
        <w:jc w:val="left"/>
        <w:rPr>
          <w:lang w:val="en-US"/>
        </w:rPr>
      </w:pPr>
      <w:r w:rsidRPr="008B73F6">
        <w:rPr>
          <w:lang w:val="en-US"/>
        </w:rPr>
        <w:t xml:space="preserve">In JIA clinical trials, two cases of varicella infection with signs and symptoms suggestive of aseptic meningitis have been reported among patients treated with </w:t>
      </w:r>
      <w:r w:rsidR="00C36EA6">
        <w:rPr>
          <w:lang w:val="en-US"/>
        </w:rPr>
        <w:t>etanercept</w:t>
      </w:r>
      <w:r w:rsidRPr="008B73F6">
        <w:rPr>
          <w:lang w:val="en-US"/>
        </w:rPr>
        <w:t>.  There were also 4 reports of macrophage activation syndrome.</w:t>
      </w:r>
    </w:p>
    <w:p w14:paraId="0645D00C" w14:textId="77777777" w:rsidR="008B73F6" w:rsidRPr="008B73F6" w:rsidRDefault="008B73F6" w:rsidP="0021426A">
      <w:pPr>
        <w:pStyle w:val="NormalIndent1"/>
        <w:jc w:val="left"/>
        <w:rPr>
          <w:lang w:val="en-US"/>
        </w:rPr>
      </w:pPr>
    </w:p>
    <w:p w14:paraId="3F4B14DB" w14:textId="546A8D88" w:rsidR="008B73F6" w:rsidRPr="008B73F6" w:rsidRDefault="008B73F6" w:rsidP="0021426A">
      <w:pPr>
        <w:pStyle w:val="NormalIndent1"/>
        <w:jc w:val="left"/>
        <w:rPr>
          <w:lang w:val="en-US"/>
        </w:rPr>
      </w:pPr>
      <w:r w:rsidRPr="008B73F6">
        <w:rPr>
          <w:lang w:val="en-US"/>
        </w:rPr>
        <w:t xml:space="preserve">Long-term safety of </w:t>
      </w:r>
      <w:r w:rsidR="00C36EA6">
        <w:rPr>
          <w:lang w:val="en-US"/>
        </w:rPr>
        <w:t>etanercept</w:t>
      </w:r>
      <w:r w:rsidRPr="008B73F6">
        <w:rPr>
          <w:lang w:val="en-US"/>
        </w:rPr>
        <w:t xml:space="preserve"> monotherapy (n=103), </w:t>
      </w:r>
      <w:r w:rsidR="00C36EA6">
        <w:rPr>
          <w:lang w:val="en-US"/>
        </w:rPr>
        <w:t>etanercept</w:t>
      </w:r>
      <w:r w:rsidRPr="008B73F6">
        <w:rPr>
          <w:lang w:val="en-US"/>
        </w:rPr>
        <w:t xml:space="preserve"> plus methotrexate (n</w:t>
      </w:r>
      <w:r w:rsidR="002930BA">
        <w:rPr>
          <w:lang w:val="en-US"/>
        </w:rPr>
        <w:t xml:space="preserve"> </w:t>
      </w:r>
      <w:r w:rsidRPr="008B73F6">
        <w:rPr>
          <w:lang w:val="en-US"/>
        </w:rPr>
        <w:t>=</w:t>
      </w:r>
      <w:r w:rsidR="002930BA">
        <w:rPr>
          <w:lang w:val="en-US"/>
        </w:rPr>
        <w:t xml:space="preserve"> </w:t>
      </w:r>
      <w:r w:rsidRPr="008B73F6">
        <w:rPr>
          <w:lang w:val="en-US"/>
        </w:rPr>
        <w:t>294), or methotrexate monotherapy (n</w:t>
      </w:r>
      <w:r w:rsidR="002930BA">
        <w:rPr>
          <w:lang w:val="en-US"/>
        </w:rPr>
        <w:t xml:space="preserve"> </w:t>
      </w:r>
      <w:r w:rsidRPr="008B73F6">
        <w:rPr>
          <w:lang w:val="en-US"/>
        </w:rPr>
        <w:t>=</w:t>
      </w:r>
      <w:r w:rsidR="002930BA">
        <w:rPr>
          <w:lang w:val="en-US"/>
        </w:rPr>
        <w:t xml:space="preserve"> </w:t>
      </w:r>
      <w:r w:rsidRPr="008B73F6">
        <w:rPr>
          <w:lang w:val="en-US"/>
        </w:rPr>
        <w:t xml:space="preserve">197) were assessed for up to 3 years in a registry of 594 children aged 2 to 18 years with juvenile idiopathic arthritis, 39 of whom were 2 to 3 years of age.  Overall, infections were more commonly reported in patients treated with </w:t>
      </w:r>
      <w:r w:rsidR="00C36EA6">
        <w:rPr>
          <w:lang w:val="en-US"/>
        </w:rPr>
        <w:t>etanercept</w:t>
      </w:r>
      <w:r w:rsidRPr="008B73F6">
        <w:rPr>
          <w:lang w:val="en-US"/>
        </w:rPr>
        <w:t xml:space="preserve"> compared to methotrexate alone (3.8% versus 2%), and the infections associated with </w:t>
      </w:r>
      <w:r w:rsidR="00C36EA6">
        <w:rPr>
          <w:lang w:val="en-US"/>
        </w:rPr>
        <w:t>etanercept</w:t>
      </w:r>
      <w:r w:rsidRPr="008B73F6">
        <w:rPr>
          <w:lang w:val="en-US"/>
        </w:rPr>
        <w:t xml:space="preserve"> use were of a more severe nature.</w:t>
      </w:r>
    </w:p>
    <w:p w14:paraId="3E6BEDC0" w14:textId="77777777" w:rsidR="008B73F6" w:rsidRPr="008B73F6" w:rsidRDefault="008B73F6" w:rsidP="0021426A">
      <w:pPr>
        <w:pStyle w:val="NormalIndent1"/>
        <w:jc w:val="left"/>
        <w:rPr>
          <w:lang w:val="en-US"/>
        </w:rPr>
      </w:pPr>
    </w:p>
    <w:p w14:paraId="4D8CB092" w14:textId="77777777" w:rsidR="008B73F6" w:rsidRPr="008B73F6" w:rsidRDefault="008B73F6" w:rsidP="0021426A">
      <w:pPr>
        <w:pStyle w:val="Heading3"/>
        <w:pageBreakBefore/>
        <w:jc w:val="left"/>
        <w:rPr>
          <w:lang w:val="en-US"/>
        </w:rPr>
      </w:pPr>
      <w:r w:rsidRPr="008B73F6">
        <w:rPr>
          <w:lang w:val="en-US"/>
        </w:rPr>
        <w:t xml:space="preserve">Paediatric </w:t>
      </w:r>
      <w:r w:rsidR="002930BA" w:rsidRPr="008B73F6">
        <w:rPr>
          <w:lang w:val="en-US"/>
        </w:rPr>
        <w:t xml:space="preserve">Patients </w:t>
      </w:r>
      <w:r w:rsidRPr="008B73F6">
        <w:rPr>
          <w:lang w:val="en-US"/>
        </w:rPr>
        <w:t xml:space="preserve">with </w:t>
      </w:r>
      <w:r w:rsidR="002930BA" w:rsidRPr="008B73F6">
        <w:rPr>
          <w:lang w:val="en-US"/>
        </w:rPr>
        <w:t>Plaque Psoriasis</w:t>
      </w:r>
    </w:p>
    <w:p w14:paraId="295EB85E" w14:textId="77777777" w:rsidR="003A2DFB" w:rsidRPr="003A2DFB" w:rsidRDefault="003A2DFB" w:rsidP="0021426A">
      <w:pPr>
        <w:pStyle w:val="NormalIndent1"/>
        <w:ind w:left="0"/>
        <w:jc w:val="left"/>
        <w:rPr>
          <w:lang w:val="en-US"/>
        </w:rPr>
      </w:pPr>
    </w:p>
    <w:p w14:paraId="31D3B422" w14:textId="77777777" w:rsidR="008B73F6" w:rsidRPr="00BE1CFA" w:rsidRDefault="008B73F6" w:rsidP="0021426A">
      <w:pPr>
        <w:pStyle w:val="NormalIndent1"/>
        <w:jc w:val="left"/>
        <w:rPr>
          <w:rFonts w:cstheme="minorHAnsi"/>
          <w:lang w:val="en-US"/>
        </w:rPr>
      </w:pPr>
      <w:r w:rsidRPr="00BE1CFA">
        <w:rPr>
          <w:rFonts w:cstheme="minorHAnsi"/>
          <w:lang w:val="en-US"/>
        </w:rPr>
        <w:t xml:space="preserve">In a 48-week study in 211 children aged 4 to 17 years with </w:t>
      </w:r>
      <w:proofErr w:type="spellStart"/>
      <w:r w:rsidRPr="00BE1CFA">
        <w:rPr>
          <w:rFonts w:cstheme="minorHAnsi"/>
          <w:lang w:val="en-US"/>
        </w:rPr>
        <w:t>paediatric</w:t>
      </w:r>
      <w:proofErr w:type="spellEnd"/>
      <w:r w:rsidRPr="00BE1CFA">
        <w:rPr>
          <w:rFonts w:cstheme="minorHAnsi"/>
          <w:lang w:val="en-US"/>
        </w:rPr>
        <w:t xml:space="preserve"> plaque psoriasis, the adverse events reported were similar to those seen in previous studies in adults with plaque psoriasis.</w:t>
      </w:r>
    </w:p>
    <w:p w14:paraId="21B248DB" w14:textId="77777777" w:rsidR="002930BA" w:rsidRPr="00BE1CFA" w:rsidRDefault="002930BA" w:rsidP="0021426A">
      <w:pPr>
        <w:pStyle w:val="NormalIndent1"/>
        <w:jc w:val="left"/>
        <w:rPr>
          <w:rFonts w:cstheme="minorHAnsi"/>
          <w:lang w:val="en-US"/>
        </w:rPr>
      </w:pPr>
    </w:p>
    <w:p w14:paraId="4FA1BE7E" w14:textId="7E7C56EB" w:rsidR="003A2DFB" w:rsidRPr="00BE1CFA" w:rsidRDefault="003A2DFB" w:rsidP="0021426A">
      <w:pPr>
        <w:pStyle w:val="Heading3"/>
        <w:jc w:val="left"/>
        <w:rPr>
          <w:sz w:val="22"/>
          <w:szCs w:val="22"/>
        </w:rPr>
      </w:pPr>
      <w:bookmarkStart w:id="7" w:name="_Hlk514834361"/>
      <w:r w:rsidRPr="00BE1CFA">
        <w:rPr>
          <w:sz w:val="22"/>
          <w:szCs w:val="22"/>
        </w:rPr>
        <w:t xml:space="preserve">Comparative Safety of </w:t>
      </w:r>
      <w:r w:rsidR="003D1456" w:rsidRPr="00BE1CFA">
        <w:rPr>
          <w:sz w:val="22"/>
          <w:szCs w:val="22"/>
        </w:rPr>
        <w:t>Rymti</w:t>
      </w:r>
      <w:r w:rsidRPr="00BE1CFA">
        <w:rPr>
          <w:sz w:val="22"/>
          <w:szCs w:val="22"/>
        </w:rPr>
        <w:t xml:space="preserve"> and E</w:t>
      </w:r>
      <w:r w:rsidR="00CE3728" w:rsidRPr="00BE1CFA">
        <w:rPr>
          <w:sz w:val="22"/>
          <w:szCs w:val="22"/>
        </w:rPr>
        <w:t>nbrel</w:t>
      </w:r>
      <w:r w:rsidRPr="00BE1CFA">
        <w:rPr>
          <w:sz w:val="22"/>
          <w:szCs w:val="22"/>
        </w:rPr>
        <w:t xml:space="preserve">® </w:t>
      </w:r>
    </w:p>
    <w:p w14:paraId="0B15C5D0" w14:textId="2189E262" w:rsidR="00563BFD" w:rsidRPr="00BE1CFA" w:rsidRDefault="00612C4E" w:rsidP="0021426A">
      <w:pPr>
        <w:ind w:left="425" w:firstLine="25"/>
        <w:jc w:val="left"/>
        <w:rPr>
          <w:rFonts w:cstheme="minorHAnsi"/>
        </w:rPr>
      </w:pPr>
      <w:r w:rsidRPr="00BE1CFA">
        <w:rPr>
          <w:rFonts w:cstheme="minorHAnsi"/>
        </w:rPr>
        <w:t xml:space="preserve">The comparative safety of </w:t>
      </w:r>
      <w:r w:rsidR="003D1456" w:rsidRPr="00BE1CFA">
        <w:rPr>
          <w:rFonts w:cstheme="minorHAnsi"/>
        </w:rPr>
        <w:t>Rymti</w:t>
      </w:r>
      <w:r w:rsidRPr="00BE1CFA">
        <w:rPr>
          <w:rFonts w:cstheme="minorHAnsi"/>
        </w:rPr>
        <w:t xml:space="preserve"> </w:t>
      </w:r>
      <w:r w:rsidR="00A14B27" w:rsidRPr="00BE1CFA">
        <w:rPr>
          <w:rFonts w:cstheme="minorHAnsi"/>
        </w:rPr>
        <w:t>and Enbrel</w:t>
      </w:r>
      <w:r w:rsidR="00DA5D20" w:rsidRPr="00BE1CFA">
        <w:rPr>
          <w:rFonts w:cstheme="minorHAnsi"/>
        </w:rPr>
        <w:t>®</w:t>
      </w:r>
      <w:r w:rsidR="00A14B27" w:rsidRPr="00BE1CFA">
        <w:rPr>
          <w:rFonts w:cstheme="minorHAnsi"/>
        </w:rPr>
        <w:t xml:space="preserve"> </w:t>
      </w:r>
      <w:r w:rsidRPr="00BE1CFA">
        <w:rPr>
          <w:rFonts w:cstheme="minorHAnsi"/>
        </w:rPr>
        <w:t xml:space="preserve">was </w:t>
      </w:r>
      <w:r w:rsidR="00A14B27" w:rsidRPr="00BE1CFA">
        <w:rPr>
          <w:rFonts w:cstheme="minorHAnsi"/>
        </w:rPr>
        <w:t>investig</w:t>
      </w:r>
      <w:r w:rsidR="000212D8" w:rsidRPr="00BE1CFA">
        <w:rPr>
          <w:rFonts w:cstheme="minorHAnsi"/>
        </w:rPr>
        <w:t>at</w:t>
      </w:r>
      <w:r w:rsidR="00A14B27" w:rsidRPr="00BE1CFA">
        <w:rPr>
          <w:rFonts w:cstheme="minorHAnsi"/>
        </w:rPr>
        <w:t>ed</w:t>
      </w:r>
      <w:r w:rsidRPr="00BE1CFA">
        <w:rPr>
          <w:rFonts w:cstheme="minorHAnsi"/>
        </w:rPr>
        <w:t xml:space="preserve"> in </w:t>
      </w:r>
      <w:r w:rsidR="00AC4A58" w:rsidRPr="00BE1CFA">
        <w:rPr>
          <w:rFonts w:cstheme="minorHAnsi"/>
        </w:rPr>
        <w:t>YLB113-002, a global phase III study</w:t>
      </w:r>
      <w:r w:rsidR="00F81993" w:rsidRPr="00BE1CFA">
        <w:rPr>
          <w:rFonts w:cstheme="minorHAnsi"/>
        </w:rPr>
        <w:t xml:space="preserve"> in which 517 patients with moderate to severe RA</w:t>
      </w:r>
      <w:r w:rsidR="007D4E40" w:rsidRPr="00BE1CFA">
        <w:rPr>
          <w:rFonts w:cstheme="minorHAnsi"/>
        </w:rPr>
        <w:t xml:space="preserve"> received</w:t>
      </w:r>
      <w:r w:rsidR="00F81993" w:rsidRPr="00BE1CFA">
        <w:rPr>
          <w:rFonts w:cstheme="minorHAnsi"/>
        </w:rPr>
        <w:t xml:space="preserve"> a once-weekly administration of either Rymti or Enbrel</w:t>
      </w:r>
      <w:r w:rsidR="00DA5D20" w:rsidRPr="00BE1CFA">
        <w:rPr>
          <w:rFonts w:cstheme="minorHAnsi"/>
        </w:rPr>
        <w:t>®</w:t>
      </w:r>
      <w:r w:rsidR="00F81993" w:rsidRPr="00BE1CFA">
        <w:rPr>
          <w:rFonts w:cstheme="minorHAnsi"/>
        </w:rPr>
        <w:t xml:space="preserve"> via subcutaneous injection</w:t>
      </w:r>
      <w:r w:rsidR="00AC4A58" w:rsidRPr="00BE1CFA">
        <w:rPr>
          <w:rFonts w:cstheme="minorHAnsi"/>
        </w:rPr>
        <w:t xml:space="preserve">.  </w:t>
      </w:r>
    </w:p>
    <w:p w14:paraId="66C4221C" w14:textId="77777777" w:rsidR="009A1444" w:rsidRPr="00BE1CFA" w:rsidRDefault="009A1444" w:rsidP="0021426A">
      <w:pPr>
        <w:pStyle w:val="NormalIndent1"/>
        <w:ind w:left="0"/>
        <w:jc w:val="left"/>
        <w:rPr>
          <w:rFonts w:cstheme="minorHAnsi"/>
        </w:rPr>
      </w:pPr>
    </w:p>
    <w:p w14:paraId="0D5D893B" w14:textId="50F7F872" w:rsidR="00991E50" w:rsidRPr="00BE1CFA" w:rsidRDefault="0091106A" w:rsidP="0021426A">
      <w:pPr>
        <w:pStyle w:val="NormalIndent1"/>
        <w:jc w:val="left"/>
        <w:rPr>
          <w:rFonts w:cstheme="minorHAnsi"/>
        </w:rPr>
      </w:pPr>
      <w:r w:rsidRPr="00BE1CFA">
        <w:rPr>
          <w:rFonts w:cstheme="minorHAnsi"/>
        </w:rPr>
        <w:t>I</w:t>
      </w:r>
      <w:r w:rsidR="00991E50" w:rsidRPr="00BE1CFA">
        <w:rPr>
          <w:rFonts w:cstheme="minorHAnsi"/>
        </w:rPr>
        <w:t xml:space="preserve">n general, </w:t>
      </w:r>
      <w:r w:rsidR="00F81993" w:rsidRPr="00BE1CFA">
        <w:rPr>
          <w:rFonts w:cstheme="minorHAnsi"/>
        </w:rPr>
        <w:t>Rymti</w:t>
      </w:r>
      <w:r w:rsidR="00991E50" w:rsidRPr="00BE1CFA">
        <w:rPr>
          <w:rFonts w:cstheme="minorHAnsi"/>
        </w:rPr>
        <w:t xml:space="preserve"> was well tolerated and showed a similar </w:t>
      </w:r>
      <w:r w:rsidRPr="00BE1CFA">
        <w:rPr>
          <w:rFonts w:cstheme="minorHAnsi"/>
        </w:rPr>
        <w:t>safety</w:t>
      </w:r>
      <w:r w:rsidR="00991E50" w:rsidRPr="00BE1CFA">
        <w:rPr>
          <w:rFonts w:cstheme="minorHAnsi"/>
        </w:rPr>
        <w:t xml:space="preserve"> profile compared to the comparator drug Enbrel</w:t>
      </w:r>
      <w:r w:rsidR="00DA5D20" w:rsidRPr="00BE1CFA">
        <w:rPr>
          <w:rFonts w:cstheme="minorHAnsi"/>
        </w:rPr>
        <w:t>®</w:t>
      </w:r>
      <w:r w:rsidR="00991E50" w:rsidRPr="00BE1CFA">
        <w:rPr>
          <w:rFonts w:cstheme="minorHAnsi"/>
        </w:rPr>
        <w:t>.</w:t>
      </w:r>
    </w:p>
    <w:p w14:paraId="586655FA" w14:textId="77777777" w:rsidR="00991E50" w:rsidRPr="00BE1CFA" w:rsidRDefault="00991E50" w:rsidP="0021426A">
      <w:pPr>
        <w:pStyle w:val="NormalIndent1"/>
        <w:jc w:val="left"/>
        <w:rPr>
          <w:rFonts w:cstheme="minorHAnsi"/>
        </w:rPr>
      </w:pPr>
    </w:p>
    <w:p w14:paraId="68FD44D7" w14:textId="018A6FE6" w:rsidR="00D33898" w:rsidRPr="00584FA2" w:rsidRDefault="00D33898" w:rsidP="0021426A">
      <w:pPr>
        <w:autoSpaceDE w:val="0"/>
        <w:autoSpaceDN w:val="0"/>
        <w:adjustRightInd w:val="0"/>
        <w:ind w:left="425"/>
        <w:jc w:val="left"/>
        <w:rPr>
          <w:rFonts w:cstheme="minorHAnsi"/>
          <w:lang w:val="en-US"/>
        </w:rPr>
      </w:pPr>
      <w:r w:rsidRPr="00BE1CFA">
        <w:rPr>
          <w:rFonts w:cstheme="minorHAnsi"/>
        </w:rPr>
        <w:t>During Stage A</w:t>
      </w:r>
      <w:r w:rsidR="00491B09" w:rsidRPr="00BE1CFA">
        <w:rPr>
          <w:rFonts w:cstheme="minorHAnsi"/>
        </w:rPr>
        <w:t xml:space="preserve">, </w:t>
      </w:r>
      <w:r w:rsidR="007D4E40" w:rsidRPr="00BE1CFA">
        <w:rPr>
          <w:rFonts w:cstheme="minorHAnsi"/>
        </w:rPr>
        <w:t>the</w:t>
      </w:r>
      <w:r w:rsidR="00491B09" w:rsidRPr="00BE1CFA">
        <w:rPr>
          <w:rFonts w:cstheme="minorHAnsi"/>
        </w:rPr>
        <w:t xml:space="preserve"> randomised, double blind period of Study YLP113-002</w:t>
      </w:r>
      <w:r w:rsidRPr="00BE1CFA">
        <w:rPr>
          <w:rFonts w:cstheme="minorHAnsi"/>
        </w:rPr>
        <w:t>, a total of 313 subjects (60.5%) experienced at least one Treatment-Emergent Adverse Event (TEAE): 146 [55.5%] subjects</w:t>
      </w:r>
      <w:r w:rsidR="000E2C9E" w:rsidRPr="00BE1CFA">
        <w:rPr>
          <w:rFonts w:cstheme="minorHAnsi"/>
        </w:rPr>
        <w:t xml:space="preserve"> </w:t>
      </w:r>
      <w:r w:rsidR="007D4E40" w:rsidRPr="00BE1CFA">
        <w:rPr>
          <w:rFonts w:cstheme="minorHAnsi"/>
        </w:rPr>
        <w:t>in</w:t>
      </w:r>
      <w:r w:rsidR="000E2C9E" w:rsidRPr="00BE1CFA">
        <w:rPr>
          <w:rFonts w:cstheme="minorHAnsi"/>
        </w:rPr>
        <w:t xml:space="preserve"> the Rymti treatment group</w:t>
      </w:r>
      <w:r w:rsidRPr="00BE1CFA">
        <w:rPr>
          <w:rFonts w:cstheme="minorHAnsi"/>
        </w:rPr>
        <w:t xml:space="preserve"> and 167 [65.7%] subjects</w:t>
      </w:r>
      <w:r w:rsidR="000E2C9E" w:rsidRPr="00BE1CFA">
        <w:rPr>
          <w:rFonts w:cstheme="minorHAnsi"/>
        </w:rPr>
        <w:t xml:space="preserve"> </w:t>
      </w:r>
      <w:r w:rsidR="007D4E40" w:rsidRPr="00BE1CFA">
        <w:rPr>
          <w:rFonts w:cstheme="minorHAnsi"/>
        </w:rPr>
        <w:t>in</w:t>
      </w:r>
      <w:r w:rsidR="000E2C9E" w:rsidRPr="00BE1CFA">
        <w:rPr>
          <w:rFonts w:cstheme="minorHAnsi"/>
        </w:rPr>
        <w:t xml:space="preserve"> the Enbrel</w:t>
      </w:r>
      <w:r w:rsidR="00CE3728" w:rsidRPr="00BE1CFA">
        <w:rPr>
          <w:rFonts w:cstheme="minorHAnsi"/>
        </w:rPr>
        <w:t>®</w:t>
      </w:r>
      <w:r w:rsidR="000E2C9E" w:rsidRPr="00BE1CFA">
        <w:rPr>
          <w:rFonts w:cstheme="minorHAnsi"/>
        </w:rPr>
        <w:t xml:space="preserve"> treatment group</w:t>
      </w:r>
      <w:r w:rsidRPr="00BE1CFA">
        <w:rPr>
          <w:rFonts w:cstheme="minorHAnsi"/>
        </w:rPr>
        <w:t>. The incidence of TEAEs reported as related to study medication was higher in</w:t>
      </w:r>
      <w:r w:rsidR="00491B09" w:rsidRPr="00BE1CFA">
        <w:rPr>
          <w:rFonts w:cstheme="minorHAnsi"/>
        </w:rPr>
        <w:t xml:space="preserve"> the </w:t>
      </w:r>
      <w:r w:rsidRPr="00BE1CFA">
        <w:rPr>
          <w:rFonts w:cstheme="minorHAnsi"/>
        </w:rPr>
        <w:t xml:space="preserve"> Enbrel</w:t>
      </w:r>
      <w:r w:rsidR="00CE3728" w:rsidRPr="00BE1CFA">
        <w:rPr>
          <w:rFonts w:cstheme="minorHAnsi"/>
        </w:rPr>
        <w:t>®</w:t>
      </w:r>
      <w:r w:rsidRPr="00BE1CFA">
        <w:rPr>
          <w:rFonts w:cstheme="minorHAnsi"/>
        </w:rPr>
        <w:t xml:space="preserve"> </w:t>
      </w:r>
      <w:r w:rsidR="007D4E40" w:rsidRPr="00BE1CFA">
        <w:rPr>
          <w:rFonts w:cstheme="minorHAnsi"/>
        </w:rPr>
        <w:t>treatment group</w:t>
      </w:r>
      <w:r w:rsidRPr="00BE1CFA">
        <w:rPr>
          <w:rFonts w:cstheme="minorHAnsi"/>
        </w:rPr>
        <w:t xml:space="preserve"> (92 [36.2%] subjects) compared with </w:t>
      </w:r>
      <w:r w:rsidR="007D4E40" w:rsidRPr="00BE1CFA">
        <w:rPr>
          <w:rFonts w:cstheme="minorHAnsi"/>
        </w:rPr>
        <w:t xml:space="preserve">the </w:t>
      </w:r>
      <w:r w:rsidR="003D1456" w:rsidRPr="00BE1CFA">
        <w:rPr>
          <w:rFonts w:cstheme="minorHAnsi"/>
        </w:rPr>
        <w:t>Rymti</w:t>
      </w:r>
      <w:r w:rsidRPr="00BE1CFA">
        <w:rPr>
          <w:rFonts w:cstheme="minorHAnsi"/>
        </w:rPr>
        <w:t xml:space="preserve"> </w:t>
      </w:r>
      <w:r w:rsidR="007D4E40" w:rsidRPr="00BE1CFA">
        <w:rPr>
          <w:rFonts w:cstheme="minorHAnsi"/>
        </w:rPr>
        <w:t>treatment group</w:t>
      </w:r>
      <w:r w:rsidRPr="00BE1CFA">
        <w:rPr>
          <w:rFonts w:cstheme="minorHAnsi"/>
        </w:rPr>
        <w:t xml:space="preserve"> (58 [22.1%] subjects). </w:t>
      </w:r>
      <w:r w:rsidR="007D4E40" w:rsidRPr="008326C1">
        <w:rPr>
          <w:rFonts w:cstheme="minorHAnsi"/>
        </w:rPr>
        <w:t xml:space="preserve">The number of related </w:t>
      </w:r>
      <w:r w:rsidR="004968B6">
        <w:rPr>
          <w:rFonts w:cstheme="minorHAnsi"/>
        </w:rPr>
        <w:t>S</w:t>
      </w:r>
      <w:r w:rsidR="00C636F4">
        <w:rPr>
          <w:rFonts w:cstheme="minorHAnsi"/>
        </w:rPr>
        <w:t>erious</w:t>
      </w:r>
      <w:r w:rsidR="004968B6">
        <w:rPr>
          <w:rFonts w:cstheme="minorHAnsi"/>
        </w:rPr>
        <w:t xml:space="preserve"> Adverse Events (</w:t>
      </w:r>
      <w:r w:rsidR="007D4E40" w:rsidRPr="008326C1">
        <w:rPr>
          <w:rFonts w:cstheme="minorHAnsi"/>
        </w:rPr>
        <w:t>SAEs</w:t>
      </w:r>
      <w:r w:rsidR="004968B6">
        <w:rPr>
          <w:rFonts w:cstheme="minorHAnsi"/>
        </w:rPr>
        <w:t>)</w:t>
      </w:r>
      <w:r w:rsidR="007D4E40" w:rsidRPr="008326C1">
        <w:rPr>
          <w:rFonts w:cstheme="minorHAnsi"/>
        </w:rPr>
        <w:t xml:space="preserve"> reported was 4 (1.</w:t>
      </w:r>
      <w:r w:rsidR="006528D0">
        <w:rPr>
          <w:rFonts w:cstheme="minorHAnsi"/>
        </w:rPr>
        <w:t>5</w:t>
      </w:r>
      <w:r w:rsidR="007D4E40" w:rsidRPr="008326C1">
        <w:rPr>
          <w:rFonts w:cstheme="minorHAnsi"/>
        </w:rPr>
        <w:t>%) in the Rymti treatment group and 1 (0.4%) Enbrel</w:t>
      </w:r>
      <w:r w:rsidR="007D4E40" w:rsidRPr="00BE1CFA">
        <w:rPr>
          <w:rFonts w:cstheme="minorHAnsi"/>
        </w:rPr>
        <w:t>®</w:t>
      </w:r>
      <w:r w:rsidR="007D4E40" w:rsidRPr="008326C1">
        <w:rPr>
          <w:rFonts w:cstheme="minorHAnsi"/>
        </w:rPr>
        <w:t xml:space="preserve"> group. </w:t>
      </w:r>
    </w:p>
    <w:p w14:paraId="5746D0F5" w14:textId="4313B0B6" w:rsidR="005F37D1" w:rsidRPr="00BE1CFA" w:rsidRDefault="005F37D1" w:rsidP="0021426A">
      <w:pPr>
        <w:autoSpaceDE w:val="0"/>
        <w:autoSpaceDN w:val="0"/>
        <w:adjustRightInd w:val="0"/>
        <w:ind w:left="425"/>
        <w:jc w:val="left"/>
        <w:rPr>
          <w:rFonts w:cstheme="minorHAnsi"/>
          <w:lang w:val="en-US"/>
        </w:rPr>
      </w:pPr>
    </w:p>
    <w:p w14:paraId="656F216A" w14:textId="2E4412AB" w:rsidR="00F67143" w:rsidRPr="00BE1CFA" w:rsidRDefault="00F67143" w:rsidP="0021426A">
      <w:pPr>
        <w:autoSpaceDE w:val="0"/>
        <w:autoSpaceDN w:val="0"/>
        <w:adjustRightInd w:val="0"/>
        <w:ind w:left="425"/>
        <w:jc w:val="left"/>
        <w:rPr>
          <w:rFonts w:cstheme="minorHAnsi"/>
        </w:rPr>
      </w:pPr>
      <w:r w:rsidRPr="00BE1CFA">
        <w:rPr>
          <w:rFonts w:cstheme="minorHAnsi"/>
        </w:rPr>
        <w:t xml:space="preserve">After completion of Stage A, subjects were given </w:t>
      </w:r>
      <w:r w:rsidR="007D4E40" w:rsidRPr="00BE1CFA">
        <w:rPr>
          <w:rFonts w:cstheme="minorHAnsi"/>
        </w:rPr>
        <w:t xml:space="preserve">the </w:t>
      </w:r>
      <w:r w:rsidRPr="00BE1CFA">
        <w:rPr>
          <w:rFonts w:cstheme="minorHAnsi"/>
        </w:rPr>
        <w:t xml:space="preserve">option to continue either </w:t>
      </w:r>
      <w:r w:rsidR="00BE1CFA" w:rsidRPr="00BE1CFA">
        <w:rPr>
          <w:rFonts w:cstheme="minorHAnsi"/>
        </w:rPr>
        <w:t>to</w:t>
      </w:r>
      <w:r w:rsidRPr="00BE1CFA">
        <w:rPr>
          <w:rFonts w:cstheme="minorHAnsi"/>
        </w:rPr>
        <w:t xml:space="preserve"> Stage B (same treatment as Stage A) or Stage C (crossover of Stage A</w:t>
      </w:r>
      <w:r w:rsidR="00BE1CFA" w:rsidRPr="00BE1CFA">
        <w:rPr>
          <w:rFonts w:cstheme="minorHAnsi"/>
        </w:rPr>
        <w:t xml:space="preserve"> </w:t>
      </w:r>
      <w:r w:rsidR="0007470B" w:rsidRPr="00BE1CFA">
        <w:rPr>
          <w:rFonts w:cstheme="minorHAnsi"/>
        </w:rPr>
        <w:t>treatment</w:t>
      </w:r>
      <w:r w:rsidRPr="00BE1CFA">
        <w:rPr>
          <w:rFonts w:cstheme="minorHAnsi"/>
        </w:rPr>
        <w:t>) if they fulfilled the inclusion criteria for each stage. Both Stage B and Stage C were double-blind and continued in parallel.</w:t>
      </w:r>
    </w:p>
    <w:p w14:paraId="74503262" w14:textId="77777777" w:rsidR="00F67143" w:rsidRPr="00BE1CFA" w:rsidRDefault="00F67143" w:rsidP="0021426A">
      <w:pPr>
        <w:autoSpaceDE w:val="0"/>
        <w:autoSpaceDN w:val="0"/>
        <w:adjustRightInd w:val="0"/>
        <w:ind w:left="425"/>
        <w:jc w:val="left"/>
        <w:rPr>
          <w:rFonts w:cstheme="minorHAnsi"/>
          <w:lang w:val="en-US"/>
        </w:rPr>
      </w:pPr>
    </w:p>
    <w:p w14:paraId="0CED5111" w14:textId="474AC801" w:rsidR="00C75DB7" w:rsidRPr="00BE1CFA" w:rsidRDefault="005F37D1" w:rsidP="0021426A">
      <w:pPr>
        <w:autoSpaceDE w:val="0"/>
        <w:autoSpaceDN w:val="0"/>
        <w:adjustRightInd w:val="0"/>
        <w:ind w:left="425"/>
        <w:jc w:val="left"/>
        <w:rPr>
          <w:rFonts w:cstheme="minorHAnsi"/>
          <w:lang w:val="en-US"/>
        </w:rPr>
      </w:pPr>
      <w:r w:rsidRPr="00BE1CFA">
        <w:rPr>
          <w:rFonts w:cstheme="minorHAnsi"/>
          <w:lang w:val="en-US"/>
        </w:rPr>
        <w:t xml:space="preserve">During </w:t>
      </w:r>
      <w:r w:rsidR="00C75DB7" w:rsidRPr="00BE1CFA">
        <w:rPr>
          <w:rFonts w:cstheme="minorHAnsi"/>
          <w:lang w:val="en-US"/>
        </w:rPr>
        <w:t>S</w:t>
      </w:r>
      <w:r w:rsidRPr="00BE1CFA">
        <w:rPr>
          <w:rFonts w:cstheme="minorHAnsi"/>
          <w:lang w:val="en-US"/>
        </w:rPr>
        <w:t>tage B, a total of 269 subjects (58.0%) experienced at least one TEAE: 124 [52.8%] subjects</w:t>
      </w:r>
      <w:r w:rsidR="00C75DB7" w:rsidRPr="00BE1CFA">
        <w:rPr>
          <w:rFonts w:cstheme="minorHAnsi"/>
          <w:lang w:val="en-US"/>
        </w:rPr>
        <w:t xml:space="preserve"> </w:t>
      </w:r>
      <w:r w:rsidR="0007470B">
        <w:rPr>
          <w:rFonts w:cstheme="minorHAnsi"/>
          <w:lang w:val="en-US"/>
        </w:rPr>
        <w:t>in</w:t>
      </w:r>
      <w:r w:rsidR="00C75DB7" w:rsidRPr="00BE1CFA">
        <w:rPr>
          <w:rFonts w:cstheme="minorHAnsi"/>
          <w:lang w:val="en-US"/>
        </w:rPr>
        <w:t xml:space="preserve"> the Rymti treatment group</w:t>
      </w:r>
      <w:r w:rsidRPr="00BE1CFA">
        <w:rPr>
          <w:rFonts w:cstheme="minorHAnsi"/>
          <w:lang w:val="en-US"/>
        </w:rPr>
        <w:t xml:space="preserve"> and 145 [63.3%] subjects</w:t>
      </w:r>
      <w:r w:rsidR="00C75DB7" w:rsidRPr="00BE1CFA">
        <w:rPr>
          <w:rFonts w:cstheme="minorHAnsi"/>
          <w:lang w:val="en-US"/>
        </w:rPr>
        <w:t xml:space="preserve"> </w:t>
      </w:r>
      <w:r w:rsidR="0007470B">
        <w:rPr>
          <w:rFonts w:cstheme="minorHAnsi"/>
          <w:lang w:val="en-US"/>
        </w:rPr>
        <w:t>in</w:t>
      </w:r>
      <w:r w:rsidR="00C75DB7" w:rsidRPr="00BE1CFA">
        <w:rPr>
          <w:rFonts w:cstheme="minorHAnsi"/>
          <w:lang w:val="en-US"/>
        </w:rPr>
        <w:t xml:space="preserve"> the Enbrel</w:t>
      </w:r>
      <w:r w:rsidR="00CE3728" w:rsidRPr="00BE1CFA">
        <w:rPr>
          <w:rFonts w:cstheme="minorHAnsi"/>
        </w:rPr>
        <w:t>®</w:t>
      </w:r>
      <w:r w:rsidR="00C75DB7" w:rsidRPr="00BE1CFA">
        <w:rPr>
          <w:rFonts w:cstheme="minorHAnsi"/>
          <w:lang w:val="en-US"/>
        </w:rPr>
        <w:t xml:space="preserve"> treatment group</w:t>
      </w:r>
      <w:r w:rsidRPr="00BE1CFA">
        <w:rPr>
          <w:rFonts w:cstheme="minorHAnsi"/>
          <w:lang w:val="en-US"/>
        </w:rPr>
        <w:t>. The incidence of TEAEs reported as related to study medication was higher in</w:t>
      </w:r>
      <w:r w:rsidR="00C75DB7" w:rsidRPr="00BE1CFA">
        <w:rPr>
          <w:rFonts w:cstheme="minorHAnsi"/>
          <w:lang w:val="en-US"/>
        </w:rPr>
        <w:t xml:space="preserve"> the</w:t>
      </w:r>
      <w:r w:rsidRPr="00BE1CFA">
        <w:rPr>
          <w:rFonts w:cstheme="minorHAnsi"/>
          <w:lang w:val="en-US"/>
        </w:rPr>
        <w:t xml:space="preserve"> Enbrel</w:t>
      </w:r>
      <w:r w:rsidR="00BE1CFA" w:rsidRPr="00BE1CFA">
        <w:rPr>
          <w:rFonts w:cstheme="minorHAnsi"/>
        </w:rPr>
        <w:t>®</w:t>
      </w:r>
      <w:r w:rsidRPr="00BE1CFA">
        <w:rPr>
          <w:rFonts w:cstheme="minorHAnsi"/>
          <w:lang w:val="en-US"/>
        </w:rPr>
        <w:t xml:space="preserve"> </w:t>
      </w:r>
      <w:r w:rsidR="00BE1CFA" w:rsidRPr="00BE1CFA">
        <w:rPr>
          <w:rFonts w:cstheme="minorHAnsi"/>
          <w:lang w:val="en-US"/>
        </w:rPr>
        <w:t>treatment group</w:t>
      </w:r>
      <w:r w:rsidRPr="00BE1CFA">
        <w:rPr>
          <w:rFonts w:cstheme="minorHAnsi"/>
          <w:lang w:val="en-US"/>
        </w:rPr>
        <w:t xml:space="preserve"> (62 [27.1%] </w:t>
      </w:r>
      <w:r w:rsidRPr="006528D0">
        <w:rPr>
          <w:rFonts w:cstheme="minorHAnsi"/>
          <w:lang w:val="en-US"/>
        </w:rPr>
        <w:t xml:space="preserve">subjects) </w:t>
      </w:r>
      <w:r w:rsidR="00C75DB7" w:rsidRPr="006528D0">
        <w:rPr>
          <w:rFonts w:cstheme="minorHAnsi"/>
          <w:lang w:val="en-US"/>
        </w:rPr>
        <w:t xml:space="preserve">when </w:t>
      </w:r>
      <w:r w:rsidRPr="006528D0">
        <w:rPr>
          <w:rFonts w:cstheme="minorHAnsi"/>
          <w:lang w:val="en-US"/>
        </w:rPr>
        <w:t>compared with</w:t>
      </w:r>
      <w:r w:rsidR="00C75DB7" w:rsidRPr="006528D0">
        <w:rPr>
          <w:rFonts w:cstheme="minorHAnsi"/>
          <w:lang w:val="en-US"/>
        </w:rPr>
        <w:t xml:space="preserve"> the</w:t>
      </w:r>
      <w:r w:rsidRPr="006528D0">
        <w:rPr>
          <w:rFonts w:cstheme="minorHAnsi"/>
          <w:lang w:val="en-US"/>
        </w:rPr>
        <w:t xml:space="preserve"> </w:t>
      </w:r>
      <w:r w:rsidR="003D1456" w:rsidRPr="006528D0">
        <w:rPr>
          <w:rFonts w:cstheme="minorHAnsi"/>
          <w:lang w:val="en-US"/>
        </w:rPr>
        <w:t>Rymti</w:t>
      </w:r>
      <w:r w:rsidRPr="006528D0">
        <w:rPr>
          <w:rFonts w:cstheme="minorHAnsi"/>
          <w:lang w:val="en-US"/>
        </w:rPr>
        <w:t xml:space="preserve"> </w:t>
      </w:r>
      <w:r w:rsidR="00BE1CFA" w:rsidRPr="006528D0">
        <w:rPr>
          <w:rFonts w:cstheme="minorHAnsi"/>
          <w:lang w:val="en-US"/>
        </w:rPr>
        <w:t>treatment group</w:t>
      </w:r>
      <w:r w:rsidRPr="006528D0">
        <w:rPr>
          <w:rFonts w:cstheme="minorHAnsi"/>
          <w:lang w:val="en-US"/>
        </w:rPr>
        <w:t xml:space="preserve"> (28 [11.9%] subjects). </w:t>
      </w:r>
      <w:bookmarkStart w:id="8" w:name="_Hlk29292542"/>
      <w:r w:rsidR="00BE1CFA" w:rsidRPr="006528D0">
        <w:rPr>
          <w:rFonts w:cstheme="minorHAnsi"/>
        </w:rPr>
        <w:t xml:space="preserve">The number of related SAEs reported was </w:t>
      </w:r>
      <w:r w:rsidR="00BE1CFA" w:rsidRPr="006D4A57">
        <w:rPr>
          <w:rFonts w:cstheme="minorHAnsi"/>
        </w:rPr>
        <w:t xml:space="preserve">4 (1.7%) in </w:t>
      </w:r>
      <w:r w:rsidR="00BE1CFA" w:rsidRPr="006528D0">
        <w:rPr>
          <w:rFonts w:cstheme="minorHAnsi"/>
        </w:rPr>
        <w:t xml:space="preserve">the Rymti treatment group and </w:t>
      </w:r>
      <w:r w:rsidR="00BE1CFA" w:rsidRPr="006D4A57">
        <w:rPr>
          <w:rFonts w:cstheme="minorHAnsi"/>
        </w:rPr>
        <w:t>1 (0.4%)</w:t>
      </w:r>
      <w:r w:rsidR="00BE1CFA" w:rsidRPr="006528D0">
        <w:rPr>
          <w:rFonts w:cstheme="minorHAnsi"/>
        </w:rPr>
        <w:t xml:space="preserve"> Enbrel® group.</w:t>
      </w:r>
      <w:r w:rsidR="00BE1CFA" w:rsidRPr="00BE1CFA">
        <w:rPr>
          <w:rFonts w:cstheme="minorHAnsi"/>
        </w:rPr>
        <w:t> </w:t>
      </w:r>
      <w:bookmarkEnd w:id="8"/>
    </w:p>
    <w:p w14:paraId="7B486A10" w14:textId="77777777" w:rsidR="00C75DB7" w:rsidRPr="00BE1CFA" w:rsidRDefault="00C75DB7" w:rsidP="0021426A">
      <w:pPr>
        <w:autoSpaceDE w:val="0"/>
        <w:autoSpaceDN w:val="0"/>
        <w:adjustRightInd w:val="0"/>
        <w:ind w:left="425"/>
        <w:jc w:val="left"/>
        <w:rPr>
          <w:rFonts w:cstheme="minorHAnsi"/>
          <w:lang w:val="en-US"/>
        </w:rPr>
      </w:pPr>
    </w:p>
    <w:p w14:paraId="76A6283E" w14:textId="77777777" w:rsidR="00C75DB7" w:rsidRPr="00BE1CFA" w:rsidRDefault="00C75DB7" w:rsidP="0021426A">
      <w:pPr>
        <w:autoSpaceDE w:val="0"/>
        <w:autoSpaceDN w:val="0"/>
        <w:adjustRightInd w:val="0"/>
        <w:ind w:left="425"/>
        <w:jc w:val="left"/>
        <w:rPr>
          <w:rFonts w:cstheme="minorHAnsi"/>
          <w:lang w:val="en-US"/>
        </w:rPr>
      </w:pPr>
      <w:r w:rsidRPr="00BE1CFA">
        <w:rPr>
          <w:rFonts w:cstheme="minorHAnsi"/>
          <w:lang w:val="en-US"/>
        </w:rPr>
        <w:t xml:space="preserve">While the overall incidence of related SAEs are different between the groups, close examination of the events did not demonstrate any increased risk for Rymti. </w:t>
      </w:r>
    </w:p>
    <w:p w14:paraId="5F62CBAE" w14:textId="77777777" w:rsidR="00C75DB7" w:rsidRPr="00BE1CFA" w:rsidRDefault="00C75DB7" w:rsidP="0021426A">
      <w:pPr>
        <w:autoSpaceDE w:val="0"/>
        <w:autoSpaceDN w:val="0"/>
        <w:adjustRightInd w:val="0"/>
        <w:ind w:left="425"/>
        <w:jc w:val="left"/>
        <w:rPr>
          <w:rFonts w:cstheme="minorHAnsi"/>
          <w:lang w:val="en-US"/>
        </w:rPr>
      </w:pPr>
    </w:p>
    <w:p w14:paraId="387C3722" w14:textId="3EC11CBB" w:rsidR="005F37D1" w:rsidRPr="00BE1CFA" w:rsidRDefault="005F37D1" w:rsidP="0021426A">
      <w:pPr>
        <w:autoSpaceDE w:val="0"/>
        <w:autoSpaceDN w:val="0"/>
        <w:adjustRightInd w:val="0"/>
        <w:ind w:left="425"/>
        <w:jc w:val="left"/>
        <w:rPr>
          <w:rFonts w:cstheme="minorHAnsi"/>
          <w:lang w:val="en-US"/>
        </w:rPr>
      </w:pPr>
      <w:r w:rsidRPr="006528D0">
        <w:rPr>
          <w:rFonts w:cstheme="minorHAnsi"/>
          <w:lang w:val="en-US"/>
        </w:rPr>
        <w:t>During stage C, a total of 6 subjects (33.3%) experienced at least one TEAE during the study: 3 [30.0%] subjects</w:t>
      </w:r>
      <w:r w:rsidR="006528D0" w:rsidRPr="006D4A57">
        <w:rPr>
          <w:rFonts w:cstheme="minorHAnsi"/>
          <w:lang w:val="en-US"/>
        </w:rPr>
        <w:t xml:space="preserve"> </w:t>
      </w:r>
      <w:r w:rsidR="0007470B">
        <w:rPr>
          <w:rFonts w:cstheme="minorHAnsi"/>
          <w:lang w:val="en-US"/>
        </w:rPr>
        <w:t>in</w:t>
      </w:r>
      <w:r w:rsidR="006528D0" w:rsidRPr="006D4A57">
        <w:rPr>
          <w:rFonts w:cstheme="minorHAnsi"/>
          <w:lang w:val="en-US"/>
        </w:rPr>
        <w:t xml:space="preserve"> the Rymti treatment group</w:t>
      </w:r>
      <w:r w:rsidRPr="006528D0">
        <w:rPr>
          <w:rFonts w:cstheme="minorHAnsi"/>
          <w:lang w:val="en-US"/>
        </w:rPr>
        <w:t xml:space="preserve"> and 3 [37.5%] subjects</w:t>
      </w:r>
      <w:r w:rsidR="006528D0" w:rsidRPr="006D4A57">
        <w:rPr>
          <w:rFonts w:cstheme="minorHAnsi"/>
          <w:lang w:val="en-US"/>
        </w:rPr>
        <w:t xml:space="preserve"> in the Enbrel</w:t>
      </w:r>
      <w:r w:rsidR="006528D0" w:rsidRPr="006D4A57">
        <w:rPr>
          <w:rFonts w:cstheme="minorHAnsi"/>
        </w:rPr>
        <w:t xml:space="preserve">® </w:t>
      </w:r>
      <w:r w:rsidR="006528D0" w:rsidRPr="006D4A57">
        <w:rPr>
          <w:rFonts w:cstheme="minorHAnsi"/>
          <w:lang w:val="en-US"/>
        </w:rPr>
        <w:t>treatment group</w:t>
      </w:r>
      <w:r w:rsidRPr="006528D0">
        <w:rPr>
          <w:rFonts w:cstheme="minorHAnsi"/>
          <w:lang w:val="en-US"/>
        </w:rPr>
        <w:t xml:space="preserve">. The incidence of TEAEs reported as related to study medication was higher in </w:t>
      </w:r>
      <w:r w:rsidR="006528D0" w:rsidRPr="006D4A57">
        <w:rPr>
          <w:rFonts w:cstheme="minorHAnsi"/>
          <w:lang w:val="en-US"/>
        </w:rPr>
        <w:t xml:space="preserve">the </w:t>
      </w:r>
      <w:r w:rsidRPr="006528D0">
        <w:rPr>
          <w:rFonts w:cstheme="minorHAnsi"/>
          <w:lang w:val="en-US"/>
        </w:rPr>
        <w:t>Enbrel</w:t>
      </w:r>
      <w:r w:rsidR="00116F09" w:rsidRPr="006D4A57">
        <w:rPr>
          <w:rFonts w:cstheme="minorHAnsi"/>
        </w:rPr>
        <w:t>®</w:t>
      </w:r>
      <w:r w:rsidRPr="006528D0">
        <w:rPr>
          <w:rFonts w:cstheme="minorHAnsi"/>
          <w:lang w:val="en-US"/>
        </w:rPr>
        <w:t xml:space="preserve"> </w:t>
      </w:r>
      <w:r w:rsidR="006528D0" w:rsidRPr="006D4A57">
        <w:rPr>
          <w:rFonts w:cstheme="minorHAnsi"/>
          <w:lang w:val="en-US"/>
        </w:rPr>
        <w:t>treatment group</w:t>
      </w:r>
      <w:r w:rsidRPr="006528D0">
        <w:rPr>
          <w:rFonts w:cstheme="minorHAnsi"/>
          <w:lang w:val="en-US"/>
        </w:rPr>
        <w:t xml:space="preserve"> (2 [25.0%] subjects) </w:t>
      </w:r>
      <w:r w:rsidR="006528D0" w:rsidRPr="006D4A57">
        <w:rPr>
          <w:rFonts w:cstheme="minorHAnsi"/>
          <w:lang w:val="en-US"/>
        </w:rPr>
        <w:t xml:space="preserve">when </w:t>
      </w:r>
      <w:r w:rsidRPr="006528D0">
        <w:rPr>
          <w:rFonts w:cstheme="minorHAnsi"/>
          <w:lang w:val="en-US"/>
        </w:rPr>
        <w:t>compared with</w:t>
      </w:r>
      <w:r w:rsidR="006528D0" w:rsidRPr="006D4A57">
        <w:rPr>
          <w:rFonts w:cstheme="minorHAnsi"/>
          <w:lang w:val="en-US"/>
        </w:rPr>
        <w:t xml:space="preserve"> the</w:t>
      </w:r>
      <w:r w:rsidRPr="006528D0">
        <w:rPr>
          <w:rFonts w:cstheme="minorHAnsi"/>
          <w:lang w:val="en-US"/>
        </w:rPr>
        <w:t xml:space="preserve"> </w:t>
      </w:r>
      <w:r w:rsidR="003D1456" w:rsidRPr="006528D0">
        <w:rPr>
          <w:rFonts w:cstheme="minorHAnsi"/>
          <w:lang w:val="en-US"/>
        </w:rPr>
        <w:t>Rymti</w:t>
      </w:r>
      <w:r w:rsidRPr="006528D0">
        <w:rPr>
          <w:rFonts w:cstheme="minorHAnsi"/>
          <w:lang w:val="en-US"/>
        </w:rPr>
        <w:t xml:space="preserve"> </w:t>
      </w:r>
      <w:r w:rsidR="006528D0" w:rsidRPr="006D4A57">
        <w:rPr>
          <w:rFonts w:cstheme="minorHAnsi"/>
          <w:lang w:val="en-US"/>
        </w:rPr>
        <w:t xml:space="preserve">treatment group </w:t>
      </w:r>
      <w:r w:rsidRPr="006528D0">
        <w:rPr>
          <w:rFonts w:cstheme="minorHAnsi"/>
          <w:lang w:val="en-US"/>
        </w:rPr>
        <w:t xml:space="preserve">(1 [10.0%] subjects). </w:t>
      </w:r>
      <w:r w:rsidR="00855205" w:rsidRPr="006528D0">
        <w:rPr>
          <w:rFonts w:cstheme="minorHAnsi"/>
          <w:lang w:val="en-US"/>
        </w:rPr>
        <w:t xml:space="preserve"> </w:t>
      </w:r>
      <w:r w:rsidR="00855205" w:rsidRPr="006528D0">
        <w:rPr>
          <w:rFonts w:cstheme="minorHAnsi"/>
        </w:rPr>
        <w:t xml:space="preserve">The number of related SAEs reported was </w:t>
      </w:r>
      <w:r w:rsidR="006528D0" w:rsidRPr="006D4A57">
        <w:rPr>
          <w:rFonts w:cstheme="minorHAnsi"/>
        </w:rPr>
        <w:t xml:space="preserve">1 </w:t>
      </w:r>
      <w:r w:rsidR="00855205" w:rsidRPr="006D4A57">
        <w:rPr>
          <w:rFonts w:cstheme="minorHAnsi"/>
        </w:rPr>
        <w:t>(</w:t>
      </w:r>
      <w:r w:rsidR="006528D0" w:rsidRPr="006D4A57">
        <w:rPr>
          <w:rFonts w:cstheme="minorHAnsi"/>
        </w:rPr>
        <w:t>10.0</w:t>
      </w:r>
      <w:r w:rsidR="00855205" w:rsidRPr="006D4A57">
        <w:rPr>
          <w:rFonts w:cstheme="minorHAnsi"/>
        </w:rPr>
        <w:t xml:space="preserve">%) in </w:t>
      </w:r>
      <w:r w:rsidR="00855205" w:rsidRPr="006528D0">
        <w:rPr>
          <w:rFonts w:cstheme="minorHAnsi"/>
        </w:rPr>
        <w:t xml:space="preserve">the Rymti treatment group and </w:t>
      </w:r>
      <w:r w:rsidR="006528D0" w:rsidRPr="006D4A57">
        <w:rPr>
          <w:rFonts w:cstheme="minorHAnsi"/>
        </w:rPr>
        <w:t xml:space="preserve">2 </w:t>
      </w:r>
      <w:r w:rsidR="00855205" w:rsidRPr="006D4A57">
        <w:rPr>
          <w:rFonts w:cstheme="minorHAnsi"/>
        </w:rPr>
        <w:t>(</w:t>
      </w:r>
      <w:r w:rsidR="006528D0" w:rsidRPr="006D4A57">
        <w:rPr>
          <w:rFonts w:cstheme="minorHAnsi"/>
        </w:rPr>
        <w:t>25.0</w:t>
      </w:r>
      <w:r w:rsidR="00855205" w:rsidRPr="006D4A57">
        <w:rPr>
          <w:rFonts w:cstheme="minorHAnsi"/>
        </w:rPr>
        <w:t>%)</w:t>
      </w:r>
      <w:r w:rsidR="00855205" w:rsidRPr="006528D0">
        <w:rPr>
          <w:rFonts w:cstheme="minorHAnsi"/>
        </w:rPr>
        <w:t xml:space="preserve"> Enbrel® group.</w:t>
      </w:r>
      <w:r w:rsidR="00855205" w:rsidRPr="00BE1CFA">
        <w:rPr>
          <w:rFonts w:cstheme="minorHAnsi"/>
        </w:rPr>
        <w:t> </w:t>
      </w:r>
    </w:p>
    <w:p w14:paraId="4DA04AE6" w14:textId="77777777" w:rsidR="0096130B" w:rsidRPr="00BE1CFA" w:rsidRDefault="0096130B" w:rsidP="0021426A">
      <w:pPr>
        <w:autoSpaceDE w:val="0"/>
        <w:autoSpaceDN w:val="0"/>
        <w:adjustRightInd w:val="0"/>
        <w:ind w:firstLine="425"/>
        <w:jc w:val="left"/>
        <w:rPr>
          <w:rFonts w:cstheme="minorHAnsi"/>
          <w:lang w:val="en-US"/>
        </w:rPr>
      </w:pPr>
    </w:p>
    <w:p w14:paraId="19662D1A" w14:textId="2BE0FE68" w:rsidR="0096130B" w:rsidRPr="00BE1CFA" w:rsidRDefault="0096130B" w:rsidP="0021426A">
      <w:pPr>
        <w:autoSpaceDE w:val="0"/>
        <w:autoSpaceDN w:val="0"/>
        <w:adjustRightInd w:val="0"/>
        <w:ind w:left="425"/>
        <w:jc w:val="left"/>
        <w:rPr>
          <w:rFonts w:cstheme="minorHAnsi"/>
          <w:lang w:val="en-US"/>
        </w:rPr>
      </w:pPr>
      <w:r w:rsidRPr="00BE1CFA">
        <w:rPr>
          <w:rFonts w:cstheme="minorHAnsi"/>
        </w:rPr>
        <w:t xml:space="preserve">No new signals were detected in the study.  There were no clinically meaningful differences between treatments in terms of incidence or type of SAEs which were </w:t>
      </w:r>
      <w:r w:rsidRPr="00BE1CFA">
        <w:rPr>
          <w:rFonts w:cstheme="minorHAnsi"/>
          <w:lang w:val="en-US"/>
        </w:rPr>
        <w:t xml:space="preserve">considered related to study medication. The overall incidence of AEs leading to discontinuation of study medication was comparable between the treatment groups, with no </w:t>
      </w:r>
      <w:r w:rsidR="00855205">
        <w:rPr>
          <w:rFonts w:cstheme="minorHAnsi"/>
          <w:lang w:val="en-US"/>
        </w:rPr>
        <w:t xml:space="preserve">reports </w:t>
      </w:r>
      <w:r w:rsidRPr="00BE1CFA">
        <w:rPr>
          <w:rFonts w:cstheme="minorHAnsi"/>
          <w:lang w:val="en-US"/>
        </w:rPr>
        <w:t xml:space="preserve">of death. </w:t>
      </w:r>
    </w:p>
    <w:p w14:paraId="105BF284" w14:textId="59FCADB1" w:rsidR="00991E50" w:rsidRPr="00BE1CFA" w:rsidRDefault="00D33898" w:rsidP="0021426A">
      <w:pPr>
        <w:autoSpaceDE w:val="0"/>
        <w:autoSpaceDN w:val="0"/>
        <w:adjustRightInd w:val="0"/>
        <w:ind w:firstLine="425"/>
        <w:jc w:val="left"/>
        <w:rPr>
          <w:rFonts w:cstheme="minorHAnsi"/>
          <w:lang w:val="en-US"/>
        </w:rPr>
      </w:pPr>
      <w:r w:rsidRPr="00BE1CFA">
        <w:rPr>
          <w:rFonts w:cstheme="minorHAnsi"/>
          <w:lang w:val="en-US"/>
        </w:rPr>
        <w:tab/>
      </w:r>
    </w:p>
    <w:p w14:paraId="5A1CB6C9" w14:textId="447DF918" w:rsidR="00B00942" w:rsidRPr="00BE1CFA" w:rsidRDefault="00B00942" w:rsidP="0021426A">
      <w:pPr>
        <w:pStyle w:val="NormalIndent1"/>
        <w:jc w:val="left"/>
        <w:rPr>
          <w:rFonts w:cstheme="minorHAnsi"/>
        </w:rPr>
      </w:pPr>
      <w:r w:rsidRPr="00BE1CFA">
        <w:rPr>
          <w:rFonts w:cstheme="minorHAnsi"/>
        </w:rPr>
        <w:t>Any TEAEs that occurred in ≥ 1% of all patients who received Rymti or Enbrel</w:t>
      </w:r>
      <w:r w:rsidR="00CE3728" w:rsidRPr="00BE1CFA">
        <w:rPr>
          <w:rFonts w:cstheme="minorHAnsi"/>
        </w:rPr>
        <w:t>®</w:t>
      </w:r>
      <w:r w:rsidRPr="00BE1CFA">
        <w:rPr>
          <w:rFonts w:cstheme="minorHAnsi"/>
        </w:rPr>
        <w:t xml:space="preserve"> are outlined in Table 5 below.</w:t>
      </w:r>
    </w:p>
    <w:p w14:paraId="3025ACBE" w14:textId="77777777" w:rsidR="00B00942" w:rsidRPr="00BE1CFA" w:rsidRDefault="00B00942" w:rsidP="0021426A">
      <w:pPr>
        <w:pStyle w:val="NormalIndent1"/>
        <w:jc w:val="left"/>
        <w:rPr>
          <w:rFonts w:cstheme="minorHAnsi"/>
        </w:rPr>
      </w:pPr>
    </w:p>
    <w:p w14:paraId="250B65E7" w14:textId="77777777" w:rsidR="00151041" w:rsidRPr="00CB0FEC" w:rsidRDefault="00CB0FEC" w:rsidP="0021426A">
      <w:pPr>
        <w:pStyle w:val="NormalIndent1"/>
        <w:jc w:val="left"/>
        <w:rPr>
          <w:b/>
          <w:lang w:val="en-US"/>
        </w:rPr>
      </w:pPr>
      <w:r w:rsidRPr="00483C2F">
        <w:rPr>
          <w:b/>
          <w:lang w:val="en-US"/>
        </w:rPr>
        <w:t xml:space="preserve">Table 5: </w:t>
      </w:r>
      <w:r w:rsidR="00151041" w:rsidRPr="00483C2F">
        <w:rPr>
          <w:b/>
          <w:lang w:val="en-US"/>
        </w:rPr>
        <w:t xml:space="preserve">Overall Incidence of Treatment Emergent Adverse Events Occurring in </w:t>
      </w:r>
      <w:r w:rsidR="00151041" w:rsidRPr="00483C2F">
        <w:rPr>
          <w:b/>
          <w:lang w:val="en-US"/>
        </w:rPr>
        <w:sym w:font="Symbol" w:char="F0B3"/>
      </w:r>
      <w:r w:rsidR="00151041" w:rsidRPr="00483C2F">
        <w:rPr>
          <w:b/>
          <w:lang w:val="en-US"/>
        </w:rPr>
        <w:t>1% of Subjects in Phase III Study</w:t>
      </w:r>
      <w:r w:rsidR="00991D3F" w:rsidRPr="00483C2F">
        <w:rPr>
          <w:b/>
          <w:lang w:val="en-US"/>
        </w:rPr>
        <w:t xml:space="preserve"> Safety Analysis Set (Study YLB113-002)</w:t>
      </w:r>
    </w:p>
    <w:tbl>
      <w:tblPr>
        <w:tblW w:w="5000" w:type="pct"/>
        <w:tblLayout w:type="fixed"/>
        <w:tblLook w:val="04A0" w:firstRow="1" w:lastRow="0" w:firstColumn="1" w:lastColumn="0" w:noHBand="0" w:noVBand="1"/>
      </w:tblPr>
      <w:tblGrid>
        <w:gridCol w:w="3160"/>
        <w:gridCol w:w="3160"/>
        <w:gridCol w:w="826"/>
        <w:gridCol w:w="828"/>
        <w:gridCol w:w="826"/>
        <w:gridCol w:w="828"/>
      </w:tblGrid>
      <w:tr w:rsidR="005563B9" w:rsidRPr="00594DB0" w14:paraId="0FD2C673" w14:textId="77777777" w:rsidTr="009601E0">
        <w:trPr>
          <w:trHeight w:val="300"/>
          <w:tblHeader/>
        </w:trPr>
        <w:tc>
          <w:tcPr>
            <w:tcW w:w="1641" w:type="pct"/>
            <w:tcBorders>
              <w:top w:val="single" w:sz="4" w:space="0" w:color="auto"/>
              <w:left w:val="single" w:sz="4" w:space="0" w:color="auto"/>
              <w:bottom w:val="single" w:sz="4" w:space="0" w:color="auto"/>
              <w:right w:val="single" w:sz="4" w:space="0" w:color="auto"/>
            </w:tcBorders>
          </w:tcPr>
          <w:p w14:paraId="5EBB4CFF" w14:textId="77777777" w:rsidR="005563B9" w:rsidRPr="00594DB0" w:rsidRDefault="005563B9" w:rsidP="0021426A">
            <w:pPr>
              <w:jc w:val="left"/>
              <w:rPr>
                <w:rFonts w:ascii="Times New Roman" w:eastAsia="Times New Roman" w:hAnsi="Times New Roman" w:cs="Times New Roman"/>
                <w:b/>
                <w:color w:val="000000"/>
                <w:sz w:val="20"/>
                <w:szCs w:val="20"/>
              </w:rPr>
            </w:pPr>
          </w:p>
        </w:tc>
        <w:tc>
          <w:tcPr>
            <w:tcW w:w="1641" w:type="pct"/>
            <w:tcBorders>
              <w:top w:val="single" w:sz="4" w:space="0" w:color="auto"/>
              <w:left w:val="single" w:sz="4" w:space="0" w:color="auto"/>
              <w:bottom w:val="single" w:sz="4" w:space="0" w:color="auto"/>
              <w:right w:val="single" w:sz="4" w:space="0" w:color="auto"/>
            </w:tcBorders>
            <w:vAlign w:val="center"/>
            <w:hideMark/>
          </w:tcPr>
          <w:p w14:paraId="5285B6F7" w14:textId="77777777" w:rsidR="005563B9" w:rsidRPr="00594DB0" w:rsidRDefault="005563B9" w:rsidP="0021426A">
            <w:pPr>
              <w:jc w:val="left"/>
              <w:rPr>
                <w:rFonts w:ascii="Times New Roman" w:eastAsia="Times New Roman" w:hAnsi="Times New Roman" w:cs="Times New Roman"/>
                <w:b/>
                <w:color w:val="000000"/>
                <w:sz w:val="20"/>
                <w:szCs w:val="20"/>
              </w:rPr>
            </w:pPr>
          </w:p>
        </w:tc>
        <w:tc>
          <w:tcPr>
            <w:tcW w:w="8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EC903E2" w14:textId="5D1C0CEB" w:rsidR="005563B9" w:rsidRPr="00594DB0" w:rsidRDefault="003D1456" w:rsidP="0021426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Rymti</w:t>
            </w:r>
            <w:r w:rsidR="005563B9" w:rsidRPr="00594DB0">
              <w:rPr>
                <w:rFonts w:ascii="Times New Roman" w:eastAsia="Times New Roman" w:hAnsi="Times New Roman" w:cs="Times New Roman"/>
                <w:b/>
                <w:color w:val="000000"/>
                <w:sz w:val="20"/>
                <w:szCs w:val="20"/>
              </w:rPr>
              <w:t xml:space="preserve"> 50mg </w:t>
            </w:r>
            <w:r w:rsidR="005563B9">
              <w:rPr>
                <w:rFonts w:ascii="Times New Roman" w:eastAsia="Times New Roman" w:hAnsi="Times New Roman" w:cs="Times New Roman"/>
                <w:b/>
                <w:color w:val="000000"/>
                <w:sz w:val="20"/>
                <w:szCs w:val="20"/>
              </w:rPr>
              <w:br/>
            </w:r>
            <w:r w:rsidR="005563B9" w:rsidRPr="00594DB0">
              <w:rPr>
                <w:rFonts w:ascii="Times New Roman" w:eastAsia="Times New Roman" w:hAnsi="Times New Roman" w:cs="Times New Roman"/>
                <w:b/>
                <w:color w:val="000000"/>
                <w:sz w:val="20"/>
                <w:szCs w:val="20"/>
              </w:rPr>
              <w:t>(N=263)</w:t>
            </w:r>
          </w:p>
        </w:tc>
        <w:tc>
          <w:tcPr>
            <w:tcW w:w="85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0A6F35B"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(N=254)</w:t>
            </w:r>
          </w:p>
        </w:tc>
      </w:tr>
      <w:tr w:rsidR="005563B9" w:rsidRPr="00594DB0" w14:paraId="60099A8C" w14:textId="77777777" w:rsidTr="009601E0">
        <w:trPr>
          <w:trHeight w:val="497"/>
          <w:tblHeader/>
        </w:trPr>
        <w:tc>
          <w:tcPr>
            <w:tcW w:w="1641" w:type="pct"/>
            <w:tcBorders>
              <w:top w:val="single" w:sz="4" w:space="0" w:color="auto"/>
              <w:left w:val="single" w:sz="4" w:space="0" w:color="auto"/>
              <w:bottom w:val="single" w:sz="4" w:space="0" w:color="auto"/>
              <w:right w:val="single" w:sz="4" w:space="0" w:color="auto"/>
            </w:tcBorders>
          </w:tcPr>
          <w:p w14:paraId="2413DBD5" w14:textId="77777777" w:rsidR="005563B9" w:rsidRPr="00594DB0" w:rsidRDefault="00160F16"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1641" w:type="pct"/>
            <w:tcBorders>
              <w:top w:val="single" w:sz="4" w:space="0" w:color="auto"/>
              <w:left w:val="single" w:sz="4" w:space="0" w:color="auto"/>
              <w:bottom w:val="single" w:sz="4" w:space="0" w:color="auto"/>
              <w:right w:val="single" w:sz="4" w:space="0" w:color="auto"/>
            </w:tcBorders>
            <w:noWrap/>
            <w:vAlign w:val="center"/>
            <w:hideMark/>
          </w:tcPr>
          <w:p w14:paraId="28E53ABE"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D0B65FC"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39546205"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429" w:type="pct"/>
            <w:tcBorders>
              <w:top w:val="nil"/>
              <w:left w:val="single" w:sz="4" w:space="0" w:color="auto"/>
              <w:bottom w:val="single" w:sz="4" w:space="0" w:color="auto"/>
              <w:right w:val="single" w:sz="4" w:space="0" w:color="auto"/>
            </w:tcBorders>
            <w:shd w:val="clear" w:color="auto" w:fill="auto"/>
            <w:noWrap/>
            <w:vAlign w:val="center"/>
            <w:hideMark/>
          </w:tcPr>
          <w:p w14:paraId="75411BD3"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tcBorders>
              <w:top w:val="nil"/>
              <w:left w:val="single" w:sz="4" w:space="0" w:color="auto"/>
              <w:bottom w:val="single" w:sz="4" w:space="0" w:color="auto"/>
              <w:right w:val="single" w:sz="4" w:space="0" w:color="auto"/>
            </w:tcBorders>
            <w:shd w:val="clear" w:color="auto" w:fill="auto"/>
            <w:noWrap/>
            <w:vAlign w:val="center"/>
            <w:hideMark/>
          </w:tcPr>
          <w:p w14:paraId="5DD56ED4" w14:textId="77777777" w:rsidR="005563B9" w:rsidRPr="00594DB0" w:rsidRDefault="005563B9"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5563B9" w:rsidRPr="00594DB0" w14:paraId="21D10B5D" w14:textId="77777777" w:rsidTr="009601E0">
        <w:trPr>
          <w:trHeight w:val="300"/>
        </w:trPr>
        <w:tc>
          <w:tcPr>
            <w:tcW w:w="1641" w:type="pct"/>
            <w:tcBorders>
              <w:top w:val="nil"/>
              <w:left w:val="single" w:sz="4" w:space="0" w:color="auto"/>
              <w:bottom w:val="single" w:sz="4" w:space="0" w:color="auto"/>
              <w:right w:val="single" w:sz="4" w:space="0" w:color="auto"/>
            </w:tcBorders>
          </w:tcPr>
          <w:p w14:paraId="6B7ADD66" w14:textId="77777777" w:rsidR="005563B9" w:rsidRPr="00594DB0" w:rsidRDefault="00601332"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A</w:t>
            </w: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hideMark/>
          </w:tcPr>
          <w:p w14:paraId="638C8B83" w14:textId="77777777" w:rsidR="005563B9" w:rsidRPr="00594DB0" w:rsidRDefault="005563B9" w:rsidP="0021426A">
            <w:pPr>
              <w:jc w:val="left"/>
              <w:rPr>
                <w:rFonts w:ascii="Times New Roman" w:eastAsia="Times New Roman" w:hAnsi="Times New Roman" w:cs="Times New Roman"/>
                <w:b/>
                <w:color w:val="000000"/>
                <w:sz w:val="20"/>
                <w:szCs w:val="20"/>
              </w:rPr>
            </w:pPr>
          </w:p>
        </w:tc>
      </w:tr>
      <w:tr w:rsidR="005563B9" w:rsidRPr="00594DB0" w14:paraId="3CD70A4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ADC26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Blood and lymphatic system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407DE8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Leukopenia</w:t>
            </w:r>
          </w:p>
        </w:tc>
        <w:tc>
          <w:tcPr>
            <w:tcW w:w="429" w:type="pct"/>
            <w:tcBorders>
              <w:top w:val="nil"/>
              <w:left w:val="nil"/>
              <w:bottom w:val="single" w:sz="4" w:space="0" w:color="auto"/>
              <w:right w:val="single" w:sz="4" w:space="0" w:color="auto"/>
            </w:tcBorders>
            <w:shd w:val="clear" w:color="auto" w:fill="auto"/>
            <w:noWrap/>
            <w:vAlign w:val="center"/>
            <w:hideMark/>
          </w:tcPr>
          <w:p w14:paraId="3CF0DDA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F7405C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10E0F9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378D02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ADB153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0B29EB6"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F7F802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Neutropenia</w:t>
            </w:r>
          </w:p>
        </w:tc>
        <w:tc>
          <w:tcPr>
            <w:tcW w:w="429" w:type="pct"/>
            <w:tcBorders>
              <w:top w:val="nil"/>
              <w:left w:val="nil"/>
              <w:bottom w:val="single" w:sz="4" w:space="0" w:color="auto"/>
              <w:right w:val="single" w:sz="4" w:space="0" w:color="auto"/>
            </w:tcBorders>
            <w:shd w:val="clear" w:color="auto" w:fill="auto"/>
            <w:noWrap/>
            <w:vAlign w:val="center"/>
            <w:hideMark/>
          </w:tcPr>
          <w:p w14:paraId="596583A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677C1B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B5001A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75BE13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64161C20"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1CA38A6" w14:textId="77777777" w:rsidR="005563B9" w:rsidRPr="00594DB0" w:rsidRDefault="00601332"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Ear and labyrinth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5EC055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Tinnitus</w:t>
            </w:r>
          </w:p>
        </w:tc>
        <w:tc>
          <w:tcPr>
            <w:tcW w:w="429" w:type="pct"/>
            <w:tcBorders>
              <w:top w:val="nil"/>
              <w:left w:val="nil"/>
              <w:bottom w:val="single" w:sz="4" w:space="0" w:color="auto"/>
              <w:right w:val="single" w:sz="4" w:space="0" w:color="auto"/>
            </w:tcBorders>
            <w:shd w:val="clear" w:color="auto" w:fill="auto"/>
            <w:noWrap/>
            <w:vAlign w:val="center"/>
            <w:hideMark/>
          </w:tcPr>
          <w:p w14:paraId="1A955D3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F26619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E7BEBA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30C25E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546B7D6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F41ED56"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F3AE3C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Vertigo</w:t>
            </w:r>
          </w:p>
        </w:tc>
        <w:tc>
          <w:tcPr>
            <w:tcW w:w="429" w:type="pct"/>
            <w:tcBorders>
              <w:top w:val="nil"/>
              <w:left w:val="nil"/>
              <w:bottom w:val="single" w:sz="4" w:space="0" w:color="auto"/>
              <w:right w:val="single" w:sz="4" w:space="0" w:color="auto"/>
            </w:tcBorders>
            <w:shd w:val="clear" w:color="auto" w:fill="auto"/>
            <w:noWrap/>
            <w:vAlign w:val="center"/>
            <w:hideMark/>
          </w:tcPr>
          <w:p w14:paraId="7141BDA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0214D65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c>
          <w:tcPr>
            <w:tcW w:w="429" w:type="pct"/>
            <w:tcBorders>
              <w:top w:val="nil"/>
              <w:left w:val="nil"/>
              <w:bottom w:val="single" w:sz="4" w:space="0" w:color="auto"/>
              <w:right w:val="single" w:sz="4" w:space="0" w:color="auto"/>
            </w:tcBorders>
            <w:shd w:val="clear" w:color="auto" w:fill="auto"/>
            <w:noWrap/>
            <w:vAlign w:val="center"/>
            <w:hideMark/>
          </w:tcPr>
          <w:p w14:paraId="7470271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0D997D6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6A76D5C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AB6B4B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Gastrointestinal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E403B6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Constipation</w:t>
            </w:r>
          </w:p>
        </w:tc>
        <w:tc>
          <w:tcPr>
            <w:tcW w:w="429" w:type="pct"/>
            <w:tcBorders>
              <w:top w:val="nil"/>
              <w:left w:val="nil"/>
              <w:bottom w:val="single" w:sz="4" w:space="0" w:color="auto"/>
              <w:right w:val="single" w:sz="4" w:space="0" w:color="auto"/>
            </w:tcBorders>
            <w:shd w:val="clear" w:color="auto" w:fill="auto"/>
            <w:noWrap/>
            <w:vAlign w:val="center"/>
            <w:hideMark/>
          </w:tcPr>
          <w:p w14:paraId="5132E31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83E9D9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053027C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2372140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1338FAE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F47548"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C442F4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Dental caries</w:t>
            </w:r>
          </w:p>
        </w:tc>
        <w:tc>
          <w:tcPr>
            <w:tcW w:w="429" w:type="pct"/>
            <w:tcBorders>
              <w:top w:val="nil"/>
              <w:left w:val="nil"/>
              <w:bottom w:val="single" w:sz="4" w:space="0" w:color="auto"/>
              <w:right w:val="single" w:sz="4" w:space="0" w:color="auto"/>
            </w:tcBorders>
            <w:shd w:val="clear" w:color="auto" w:fill="auto"/>
            <w:noWrap/>
            <w:vAlign w:val="center"/>
            <w:hideMark/>
          </w:tcPr>
          <w:p w14:paraId="7ED5EA9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F95871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566D188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2521D4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76F9186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BFEB49C"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56370B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Diarrhoea</w:t>
            </w:r>
          </w:p>
        </w:tc>
        <w:tc>
          <w:tcPr>
            <w:tcW w:w="429" w:type="pct"/>
            <w:tcBorders>
              <w:top w:val="nil"/>
              <w:left w:val="nil"/>
              <w:bottom w:val="single" w:sz="4" w:space="0" w:color="auto"/>
              <w:right w:val="single" w:sz="4" w:space="0" w:color="auto"/>
            </w:tcBorders>
            <w:shd w:val="clear" w:color="auto" w:fill="auto"/>
            <w:noWrap/>
            <w:vAlign w:val="center"/>
            <w:hideMark/>
          </w:tcPr>
          <w:p w14:paraId="12E8884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7DC0FD8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6FCB404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w:t>
            </w:r>
          </w:p>
        </w:tc>
        <w:tc>
          <w:tcPr>
            <w:tcW w:w="430" w:type="pct"/>
            <w:tcBorders>
              <w:top w:val="nil"/>
              <w:left w:val="nil"/>
              <w:bottom w:val="single" w:sz="4" w:space="0" w:color="auto"/>
              <w:right w:val="single" w:sz="4" w:space="0" w:color="auto"/>
            </w:tcBorders>
            <w:shd w:val="clear" w:color="auto" w:fill="auto"/>
            <w:noWrap/>
            <w:vAlign w:val="center"/>
            <w:hideMark/>
          </w:tcPr>
          <w:p w14:paraId="636D664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r>
      <w:tr w:rsidR="005563B9" w:rsidRPr="00594DB0" w14:paraId="5B9925D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D299E6D"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0AF9D3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Nausea</w:t>
            </w:r>
          </w:p>
        </w:tc>
        <w:tc>
          <w:tcPr>
            <w:tcW w:w="429" w:type="pct"/>
            <w:tcBorders>
              <w:top w:val="nil"/>
              <w:left w:val="nil"/>
              <w:bottom w:val="single" w:sz="4" w:space="0" w:color="auto"/>
              <w:right w:val="single" w:sz="4" w:space="0" w:color="auto"/>
            </w:tcBorders>
            <w:shd w:val="clear" w:color="auto" w:fill="auto"/>
            <w:noWrap/>
            <w:vAlign w:val="center"/>
            <w:hideMark/>
          </w:tcPr>
          <w:p w14:paraId="7C2FADE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C2F967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58AB3BF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C27BD6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3348B498"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D4E0074"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47416F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Vomiting</w:t>
            </w:r>
          </w:p>
        </w:tc>
        <w:tc>
          <w:tcPr>
            <w:tcW w:w="429" w:type="pct"/>
            <w:tcBorders>
              <w:top w:val="nil"/>
              <w:left w:val="nil"/>
              <w:bottom w:val="single" w:sz="4" w:space="0" w:color="auto"/>
              <w:right w:val="single" w:sz="4" w:space="0" w:color="auto"/>
            </w:tcBorders>
            <w:shd w:val="clear" w:color="auto" w:fill="auto"/>
            <w:noWrap/>
            <w:vAlign w:val="center"/>
            <w:hideMark/>
          </w:tcPr>
          <w:p w14:paraId="04A1DDB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50C49DF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21ECBB5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1DBAB5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05C0BD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745077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E3BDDF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Fatigue</w:t>
            </w:r>
          </w:p>
        </w:tc>
        <w:tc>
          <w:tcPr>
            <w:tcW w:w="429" w:type="pct"/>
            <w:tcBorders>
              <w:top w:val="nil"/>
              <w:left w:val="nil"/>
              <w:bottom w:val="single" w:sz="4" w:space="0" w:color="auto"/>
              <w:right w:val="single" w:sz="4" w:space="0" w:color="auto"/>
            </w:tcBorders>
            <w:shd w:val="clear" w:color="auto" w:fill="auto"/>
            <w:noWrap/>
            <w:vAlign w:val="center"/>
            <w:hideMark/>
          </w:tcPr>
          <w:p w14:paraId="59BFD52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F61137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3A3444A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2396EC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5854EF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63FAD8D"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3F1AE4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bruising</w:t>
            </w:r>
          </w:p>
        </w:tc>
        <w:tc>
          <w:tcPr>
            <w:tcW w:w="429" w:type="pct"/>
            <w:tcBorders>
              <w:top w:val="nil"/>
              <w:left w:val="nil"/>
              <w:bottom w:val="single" w:sz="4" w:space="0" w:color="auto"/>
              <w:right w:val="single" w:sz="4" w:space="0" w:color="auto"/>
            </w:tcBorders>
            <w:shd w:val="clear" w:color="auto" w:fill="auto"/>
            <w:noWrap/>
            <w:vAlign w:val="center"/>
            <w:hideMark/>
          </w:tcPr>
          <w:p w14:paraId="09B87CA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593648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284F9B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26CDDC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0CB1D6A"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63386F7"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1CD89C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429" w:type="pct"/>
            <w:tcBorders>
              <w:top w:val="nil"/>
              <w:left w:val="nil"/>
              <w:bottom w:val="single" w:sz="4" w:space="0" w:color="auto"/>
              <w:right w:val="single" w:sz="4" w:space="0" w:color="auto"/>
            </w:tcBorders>
            <w:shd w:val="clear" w:color="auto" w:fill="auto"/>
            <w:noWrap/>
            <w:vAlign w:val="center"/>
            <w:hideMark/>
          </w:tcPr>
          <w:p w14:paraId="052B34D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595FF2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4669809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25</w:t>
            </w:r>
          </w:p>
        </w:tc>
        <w:tc>
          <w:tcPr>
            <w:tcW w:w="430" w:type="pct"/>
            <w:tcBorders>
              <w:top w:val="nil"/>
              <w:left w:val="nil"/>
              <w:bottom w:val="single" w:sz="4" w:space="0" w:color="auto"/>
              <w:right w:val="single" w:sz="4" w:space="0" w:color="auto"/>
            </w:tcBorders>
            <w:shd w:val="clear" w:color="auto" w:fill="auto"/>
            <w:noWrap/>
            <w:vAlign w:val="center"/>
            <w:hideMark/>
          </w:tcPr>
          <w:p w14:paraId="5876CE0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9.8</w:t>
            </w:r>
          </w:p>
        </w:tc>
      </w:tr>
      <w:tr w:rsidR="005563B9" w:rsidRPr="00594DB0" w14:paraId="71FF9ED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B3445CB"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F66783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pruritus</w:t>
            </w:r>
          </w:p>
        </w:tc>
        <w:tc>
          <w:tcPr>
            <w:tcW w:w="429" w:type="pct"/>
            <w:tcBorders>
              <w:top w:val="nil"/>
              <w:left w:val="nil"/>
              <w:bottom w:val="single" w:sz="4" w:space="0" w:color="auto"/>
              <w:right w:val="single" w:sz="4" w:space="0" w:color="auto"/>
            </w:tcBorders>
            <w:shd w:val="clear" w:color="auto" w:fill="auto"/>
            <w:noWrap/>
            <w:vAlign w:val="center"/>
            <w:hideMark/>
          </w:tcPr>
          <w:p w14:paraId="291F301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C84FF8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54CC79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6D9115D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3.1</w:t>
            </w:r>
          </w:p>
        </w:tc>
      </w:tr>
      <w:tr w:rsidR="005563B9" w:rsidRPr="00594DB0" w14:paraId="0CD55C4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67E6251"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98EBC2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reaction</w:t>
            </w:r>
          </w:p>
        </w:tc>
        <w:tc>
          <w:tcPr>
            <w:tcW w:w="429" w:type="pct"/>
            <w:tcBorders>
              <w:top w:val="nil"/>
              <w:left w:val="nil"/>
              <w:bottom w:val="single" w:sz="4" w:space="0" w:color="auto"/>
              <w:right w:val="single" w:sz="4" w:space="0" w:color="auto"/>
            </w:tcBorders>
            <w:shd w:val="clear" w:color="auto" w:fill="auto"/>
            <w:noWrap/>
            <w:vAlign w:val="center"/>
            <w:hideMark/>
          </w:tcPr>
          <w:p w14:paraId="23D41DD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c>
          <w:tcPr>
            <w:tcW w:w="430" w:type="pct"/>
            <w:tcBorders>
              <w:top w:val="nil"/>
              <w:left w:val="nil"/>
              <w:bottom w:val="single" w:sz="4" w:space="0" w:color="auto"/>
              <w:right w:val="single" w:sz="4" w:space="0" w:color="auto"/>
            </w:tcBorders>
            <w:shd w:val="clear" w:color="auto" w:fill="auto"/>
            <w:noWrap/>
            <w:vAlign w:val="center"/>
            <w:hideMark/>
          </w:tcPr>
          <w:p w14:paraId="1B88E75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3.8</w:t>
            </w:r>
          </w:p>
        </w:tc>
        <w:tc>
          <w:tcPr>
            <w:tcW w:w="429" w:type="pct"/>
            <w:tcBorders>
              <w:top w:val="nil"/>
              <w:left w:val="nil"/>
              <w:bottom w:val="single" w:sz="4" w:space="0" w:color="auto"/>
              <w:right w:val="single" w:sz="4" w:space="0" w:color="auto"/>
            </w:tcBorders>
            <w:shd w:val="clear" w:color="auto" w:fill="auto"/>
            <w:noWrap/>
            <w:vAlign w:val="center"/>
            <w:hideMark/>
          </w:tcPr>
          <w:p w14:paraId="6E1FDD9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c>
          <w:tcPr>
            <w:tcW w:w="430" w:type="pct"/>
            <w:tcBorders>
              <w:top w:val="nil"/>
              <w:left w:val="nil"/>
              <w:bottom w:val="single" w:sz="4" w:space="0" w:color="auto"/>
              <w:right w:val="single" w:sz="4" w:space="0" w:color="auto"/>
            </w:tcBorders>
            <w:shd w:val="clear" w:color="auto" w:fill="auto"/>
            <w:noWrap/>
            <w:vAlign w:val="center"/>
            <w:hideMark/>
          </w:tcPr>
          <w:p w14:paraId="578462F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13.8</w:t>
            </w:r>
          </w:p>
        </w:tc>
      </w:tr>
      <w:tr w:rsidR="005563B9" w:rsidRPr="00594DB0" w14:paraId="3EB2E19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0429CC8"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685A84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Pyrexia</w:t>
            </w:r>
          </w:p>
        </w:tc>
        <w:tc>
          <w:tcPr>
            <w:tcW w:w="429" w:type="pct"/>
            <w:tcBorders>
              <w:top w:val="nil"/>
              <w:left w:val="nil"/>
              <w:bottom w:val="single" w:sz="4" w:space="0" w:color="auto"/>
              <w:right w:val="single" w:sz="4" w:space="0" w:color="auto"/>
            </w:tcBorders>
            <w:shd w:val="clear" w:color="auto" w:fill="auto"/>
            <w:noWrap/>
            <w:vAlign w:val="center"/>
            <w:hideMark/>
          </w:tcPr>
          <w:p w14:paraId="109697B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7C47507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6E6271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56776D8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20EE1C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F8615A1"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tcPr>
          <w:p w14:paraId="05F8BA47" w14:textId="36666731" w:rsidR="005563B9" w:rsidRPr="00594DB0" w:rsidRDefault="005563B9" w:rsidP="0021426A">
            <w:pPr>
              <w:jc w:val="left"/>
              <w:rPr>
                <w:rFonts w:ascii="Times New Roman" w:eastAsia="Times New Roman" w:hAnsi="Times New Roman" w:cs="Times New Roman"/>
                <w:color w:val="000000"/>
                <w:sz w:val="20"/>
                <w:szCs w:val="20"/>
              </w:rPr>
            </w:pPr>
          </w:p>
        </w:tc>
      </w:tr>
      <w:tr w:rsidR="005563B9" w:rsidRPr="00594DB0" w14:paraId="76733653" w14:textId="77777777" w:rsidTr="009601E0">
        <w:trPr>
          <w:cantSplit/>
          <w:trHeight w:val="300"/>
        </w:trPr>
        <w:tc>
          <w:tcPr>
            <w:tcW w:w="1641" w:type="pct"/>
            <w:tcBorders>
              <w:top w:val="nil"/>
              <w:left w:val="single" w:sz="4" w:space="0" w:color="auto"/>
              <w:bottom w:val="single" w:sz="4" w:space="0" w:color="auto"/>
              <w:right w:val="single" w:sz="4" w:space="0" w:color="auto"/>
            </w:tcBorders>
            <w:vAlign w:val="center"/>
          </w:tcPr>
          <w:p w14:paraId="7FF85AA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Hepatobiliary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5BB47F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function abnormal</w:t>
            </w:r>
          </w:p>
        </w:tc>
        <w:tc>
          <w:tcPr>
            <w:tcW w:w="429" w:type="pct"/>
            <w:tcBorders>
              <w:top w:val="nil"/>
              <w:left w:val="nil"/>
              <w:bottom w:val="single" w:sz="4" w:space="0" w:color="auto"/>
              <w:right w:val="single" w:sz="4" w:space="0" w:color="auto"/>
            </w:tcBorders>
            <w:shd w:val="clear" w:color="auto" w:fill="auto"/>
            <w:noWrap/>
            <w:vAlign w:val="center"/>
            <w:hideMark/>
          </w:tcPr>
          <w:p w14:paraId="2CC55DB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30" w:type="pct"/>
            <w:tcBorders>
              <w:top w:val="nil"/>
              <w:left w:val="nil"/>
              <w:bottom w:val="single" w:sz="4" w:space="0" w:color="auto"/>
              <w:right w:val="single" w:sz="4" w:space="0" w:color="auto"/>
            </w:tcBorders>
            <w:shd w:val="clear" w:color="auto" w:fill="auto"/>
            <w:noWrap/>
            <w:vAlign w:val="center"/>
            <w:hideMark/>
          </w:tcPr>
          <w:p w14:paraId="2AAA421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4.2</w:t>
            </w:r>
          </w:p>
        </w:tc>
        <w:tc>
          <w:tcPr>
            <w:tcW w:w="429" w:type="pct"/>
            <w:tcBorders>
              <w:top w:val="nil"/>
              <w:left w:val="nil"/>
              <w:bottom w:val="single" w:sz="4" w:space="0" w:color="auto"/>
              <w:right w:val="single" w:sz="4" w:space="0" w:color="auto"/>
            </w:tcBorders>
            <w:shd w:val="clear" w:color="auto" w:fill="auto"/>
            <w:noWrap/>
            <w:vAlign w:val="center"/>
            <w:hideMark/>
          </w:tcPr>
          <w:p w14:paraId="60B5BD0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tcBorders>
              <w:top w:val="nil"/>
              <w:left w:val="nil"/>
              <w:bottom w:val="single" w:sz="4" w:space="0" w:color="auto"/>
              <w:right w:val="single" w:sz="4" w:space="0" w:color="auto"/>
            </w:tcBorders>
            <w:shd w:val="clear" w:color="auto" w:fill="auto"/>
            <w:noWrap/>
            <w:vAlign w:val="center"/>
            <w:hideMark/>
          </w:tcPr>
          <w:p w14:paraId="37208AA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2.4</w:t>
            </w:r>
          </w:p>
        </w:tc>
      </w:tr>
      <w:tr w:rsidR="005563B9" w:rsidRPr="00594DB0" w14:paraId="3BC5138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CF80750" w14:textId="77777777" w:rsidR="005563B9" w:rsidRPr="00594DB0" w:rsidRDefault="00601332"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123D56F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Bronchitis</w:t>
            </w:r>
          </w:p>
        </w:tc>
        <w:tc>
          <w:tcPr>
            <w:tcW w:w="429" w:type="pct"/>
            <w:tcBorders>
              <w:top w:val="nil"/>
              <w:left w:val="nil"/>
              <w:bottom w:val="single" w:sz="4" w:space="0" w:color="auto"/>
              <w:right w:val="single" w:sz="4" w:space="0" w:color="auto"/>
            </w:tcBorders>
            <w:shd w:val="clear" w:color="auto" w:fill="auto"/>
            <w:noWrap/>
            <w:vAlign w:val="center"/>
            <w:hideMark/>
          </w:tcPr>
          <w:p w14:paraId="563DFF7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237E923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49BBDF8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77A596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307F7B0"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128AB142"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DBEDF9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Conjunctivitis</w:t>
            </w:r>
          </w:p>
        </w:tc>
        <w:tc>
          <w:tcPr>
            <w:tcW w:w="429" w:type="pct"/>
            <w:tcBorders>
              <w:top w:val="nil"/>
              <w:left w:val="nil"/>
              <w:bottom w:val="single" w:sz="4" w:space="0" w:color="auto"/>
              <w:right w:val="single" w:sz="4" w:space="0" w:color="auto"/>
            </w:tcBorders>
            <w:shd w:val="clear" w:color="auto" w:fill="auto"/>
            <w:noWrap/>
            <w:vAlign w:val="center"/>
            <w:hideMark/>
          </w:tcPr>
          <w:p w14:paraId="4E94303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60AAD2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02A0D49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F07384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70945AC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3B5BBFB"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DF969F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Influenza</w:t>
            </w:r>
          </w:p>
        </w:tc>
        <w:tc>
          <w:tcPr>
            <w:tcW w:w="429" w:type="pct"/>
            <w:tcBorders>
              <w:top w:val="nil"/>
              <w:left w:val="nil"/>
              <w:bottom w:val="single" w:sz="4" w:space="0" w:color="auto"/>
              <w:right w:val="single" w:sz="4" w:space="0" w:color="auto"/>
            </w:tcBorders>
            <w:shd w:val="clear" w:color="auto" w:fill="auto"/>
            <w:noWrap/>
            <w:vAlign w:val="center"/>
            <w:hideMark/>
          </w:tcPr>
          <w:p w14:paraId="746435F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3787A1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FF080F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4890A84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668B16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66B3380"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9A379C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Nasopharyngitis</w:t>
            </w:r>
          </w:p>
        </w:tc>
        <w:tc>
          <w:tcPr>
            <w:tcW w:w="429" w:type="pct"/>
            <w:tcBorders>
              <w:top w:val="nil"/>
              <w:left w:val="nil"/>
              <w:bottom w:val="single" w:sz="4" w:space="0" w:color="auto"/>
              <w:right w:val="single" w:sz="4" w:space="0" w:color="auto"/>
            </w:tcBorders>
            <w:shd w:val="clear" w:color="auto" w:fill="auto"/>
            <w:noWrap/>
            <w:vAlign w:val="center"/>
            <w:hideMark/>
          </w:tcPr>
          <w:p w14:paraId="6F82F38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30</w:t>
            </w:r>
          </w:p>
        </w:tc>
        <w:tc>
          <w:tcPr>
            <w:tcW w:w="430" w:type="pct"/>
            <w:tcBorders>
              <w:top w:val="nil"/>
              <w:left w:val="nil"/>
              <w:bottom w:val="single" w:sz="4" w:space="0" w:color="auto"/>
              <w:right w:val="single" w:sz="4" w:space="0" w:color="auto"/>
            </w:tcBorders>
            <w:shd w:val="clear" w:color="auto" w:fill="auto"/>
            <w:noWrap/>
            <w:vAlign w:val="center"/>
            <w:hideMark/>
          </w:tcPr>
          <w:p w14:paraId="0DC532A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11.4</w:t>
            </w:r>
          </w:p>
        </w:tc>
        <w:tc>
          <w:tcPr>
            <w:tcW w:w="429" w:type="pct"/>
            <w:tcBorders>
              <w:top w:val="nil"/>
              <w:left w:val="nil"/>
              <w:bottom w:val="single" w:sz="4" w:space="0" w:color="auto"/>
              <w:right w:val="single" w:sz="4" w:space="0" w:color="auto"/>
            </w:tcBorders>
            <w:shd w:val="clear" w:color="auto" w:fill="auto"/>
            <w:noWrap/>
            <w:vAlign w:val="center"/>
            <w:hideMark/>
          </w:tcPr>
          <w:p w14:paraId="6135C5F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25</w:t>
            </w:r>
          </w:p>
        </w:tc>
        <w:tc>
          <w:tcPr>
            <w:tcW w:w="430" w:type="pct"/>
            <w:tcBorders>
              <w:top w:val="nil"/>
              <w:left w:val="nil"/>
              <w:bottom w:val="single" w:sz="4" w:space="0" w:color="auto"/>
              <w:right w:val="single" w:sz="4" w:space="0" w:color="auto"/>
            </w:tcBorders>
            <w:shd w:val="clear" w:color="auto" w:fill="auto"/>
            <w:noWrap/>
            <w:vAlign w:val="center"/>
            <w:hideMark/>
          </w:tcPr>
          <w:p w14:paraId="66F8EB5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9.8</w:t>
            </w:r>
          </w:p>
        </w:tc>
      </w:tr>
      <w:tr w:rsidR="005563B9" w:rsidRPr="00594DB0" w14:paraId="7154997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969DB76"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D15163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Pharyngitis</w:t>
            </w:r>
          </w:p>
        </w:tc>
        <w:tc>
          <w:tcPr>
            <w:tcW w:w="429" w:type="pct"/>
            <w:tcBorders>
              <w:top w:val="nil"/>
              <w:left w:val="nil"/>
              <w:bottom w:val="single" w:sz="4" w:space="0" w:color="auto"/>
              <w:right w:val="single" w:sz="4" w:space="0" w:color="auto"/>
            </w:tcBorders>
            <w:shd w:val="clear" w:color="auto" w:fill="auto"/>
            <w:noWrap/>
            <w:vAlign w:val="center"/>
            <w:hideMark/>
          </w:tcPr>
          <w:p w14:paraId="0D01CF0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196F852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6654D61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5FA5A91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98E46DE"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58F65D5"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94277D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Pneumonia</w:t>
            </w:r>
          </w:p>
        </w:tc>
        <w:tc>
          <w:tcPr>
            <w:tcW w:w="429" w:type="pct"/>
            <w:tcBorders>
              <w:top w:val="nil"/>
              <w:left w:val="nil"/>
              <w:bottom w:val="single" w:sz="4" w:space="0" w:color="auto"/>
              <w:right w:val="single" w:sz="4" w:space="0" w:color="auto"/>
            </w:tcBorders>
            <w:shd w:val="clear" w:color="auto" w:fill="auto"/>
            <w:noWrap/>
            <w:vAlign w:val="center"/>
            <w:hideMark/>
          </w:tcPr>
          <w:p w14:paraId="05FD512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621FD06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798C2F2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1F9DC8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30CE41F"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24176FC"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47E6E3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Sinusitis</w:t>
            </w:r>
          </w:p>
        </w:tc>
        <w:tc>
          <w:tcPr>
            <w:tcW w:w="429" w:type="pct"/>
            <w:tcBorders>
              <w:top w:val="nil"/>
              <w:left w:val="nil"/>
              <w:bottom w:val="single" w:sz="4" w:space="0" w:color="auto"/>
              <w:right w:val="single" w:sz="4" w:space="0" w:color="auto"/>
            </w:tcBorders>
            <w:shd w:val="clear" w:color="auto" w:fill="auto"/>
            <w:noWrap/>
            <w:vAlign w:val="center"/>
            <w:hideMark/>
          </w:tcPr>
          <w:p w14:paraId="41566D6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BAFB7D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F2CD8D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4687CE9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146983D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009869BC"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21CF70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Tinea pedis</w:t>
            </w:r>
          </w:p>
        </w:tc>
        <w:tc>
          <w:tcPr>
            <w:tcW w:w="429" w:type="pct"/>
            <w:tcBorders>
              <w:top w:val="nil"/>
              <w:left w:val="nil"/>
              <w:bottom w:val="single" w:sz="4" w:space="0" w:color="auto"/>
              <w:right w:val="single" w:sz="4" w:space="0" w:color="auto"/>
            </w:tcBorders>
            <w:shd w:val="clear" w:color="auto" w:fill="auto"/>
            <w:noWrap/>
            <w:vAlign w:val="center"/>
            <w:hideMark/>
          </w:tcPr>
          <w:p w14:paraId="5C3EE94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487D3F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19DB3A5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0A5906E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6880EEE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EF46983"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180913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infection</w:t>
            </w:r>
          </w:p>
        </w:tc>
        <w:tc>
          <w:tcPr>
            <w:tcW w:w="429" w:type="pct"/>
            <w:tcBorders>
              <w:top w:val="nil"/>
              <w:left w:val="nil"/>
              <w:bottom w:val="single" w:sz="4" w:space="0" w:color="auto"/>
              <w:right w:val="single" w:sz="4" w:space="0" w:color="auto"/>
            </w:tcBorders>
            <w:shd w:val="clear" w:color="auto" w:fill="auto"/>
            <w:noWrap/>
            <w:vAlign w:val="center"/>
            <w:hideMark/>
          </w:tcPr>
          <w:p w14:paraId="6C4FE7E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507FC18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502F948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C620C5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330A2A1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355ADB35"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998435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Urinary tract infection</w:t>
            </w:r>
          </w:p>
        </w:tc>
        <w:tc>
          <w:tcPr>
            <w:tcW w:w="429" w:type="pct"/>
            <w:tcBorders>
              <w:top w:val="nil"/>
              <w:left w:val="nil"/>
              <w:bottom w:val="single" w:sz="4" w:space="0" w:color="auto"/>
              <w:right w:val="single" w:sz="4" w:space="0" w:color="auto"/>
            </w:tcBorders>
            <w:shd w:val="clear" w:color="auto" w:fill="auto"/>
            <w:noWrap/>
            <w:vAlign w:val="center"/>
            <w:hideMark/>
          </w:tcPr>
          <w:p w14:paraId="615B43B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541431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33B8402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E8297E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76130C1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7FCD46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Injury, poisoning and procedural complications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96C269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Arthropod bite</w:t>
            </w:r>
          </w:p>
        </w:tc>
        <w:tc>
          <w:tcPr>
            <w:tcW w:w="429" w:type="pct"/>
            <w:tcBorders>
              <w:top w:val="nil"/>
              <w:left w:val="nil"/>
              <w:bottom w:val="single" w:sz="4" w:space="0" w:color="auto"/>
              <w:right w:val="single" w:sz="4" w:space="0" w:color="auto"/>
            </w:tcBorders>
            <w:shd w:val="clear" w:color="auto" w:fill="auto"/>
            <w:noWrap/>
            <w:vAlign w:val="center"/>
            <w:hideMark/>
          </w:tcPr>
          <w:p w14:paraId="35104B4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4D251BB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23A5206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0D9295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613447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3C31436"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DEB374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Arthropod sting</w:t>
            </w:r>
          </w:p>
        </w:tc>
        <w:tc>
          <w:tcPr>
            <w:tcW w:w="429" w:type="pct"/>
            <w:tcBorders>
              <w:top w:val="nil"/>
              <w:left w:val="nil"/>
              <w:bottom w:val="single" w:sz="4" w:space="0" w:color="auto"/>
              <w:right w:val="single" w:sz="4" w:space="0" w:color="auto"/>
            </w:tcBorders>
            <w:shd w:val="clear" w:color="auto" w:fill="auto"/>
            <w:noWrap/>
            <w:vAlign w:val="center"/>
            <w:hideMark/>
          </w:tcPr>
          <w:p w14:paraId="43B3981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5BDDD44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6824F37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C9E0AD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731E9EE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C37031E"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57F66F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Contusion</w:t>
            </w:r>
          </w:p>
        </w:tc>
        <w:tc>
          <w:tcPr>
            <w:tcW w:w="429" w:type="pct"/>
            <w:tcBorders>
              <w:top w:val="nil"/>
              <w:left w:val="nil"/>
              <w:bottom w:val="single" w:sz="4" w:space="0" w:color="auto"/>
              <w:right w:val="single" w:sz="4" w:space="0" w:color="auto"/>
            </w:tcBorders>
            <w:shd w:val="clear" w:color="auto" w:fill="auto"/>
            <w:noWrap/>
            <w:vAlign w:val="center"/>
            <w:hideMark/>
          </w:tcPr>
          <w:p w14:paraId="139E267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5366C1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1.5</w:t>
            </w:r>
          </w:p>
        </w:tc>
        <w:tc>
          <w:tcPr>
            <w:tcW w:w="429" w:type="pct"/>
            <w:tcBorders>
              <w:top w:val="nil"/>
              <w:left w:val="nil"/>
              <w:bottom w:val="single" w:sz="4" w:space="0" w:color="auto"/>
              <w:right w:val="single" w:sz="4" w:space="0" w:color="auto"/>
            </w:tcBorders>
            <w:shd w:val="clear" w:color="auto" w:fill="auto"/>
            <w:noWrap/>
            <w:vAlign w:val="center"/>
            <w:hideMark/>
          </w:tcPr>
          <w:p w14:paraId="03DC6A9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39F124D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r>
      <w:tr w:rsidR="005563B9" w:rsidRPr="00594DB0" w14:paraId="4D7D9832"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78C3AFA1"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635A2E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Ligament sprain</w:t>
            </w:r>
          </w:p>
        </w:tc>
        <w:tc>
          <w:tcPr>
            <w:tcW w:w="429" w:type="pct"/>
            <w:tcBorders>
              <w:top w:val="nil"/>
              <w:left w:val="nil"/>
              <w:bottom w:val="single" w:sz="4" w:space="0" w:color="auto"/>
              <w:right w:val="single" w:sz="4" w:space="0" w:color="auto"/>
            </w:tcBorders>
            <w:shd w:val="clear" w:color="auto" w:fill="auto"/>
            <w:noWrap/>
            <w:vAlign w:val="center"/>
            <w:hideMark/>
          </w:tcPr>
          <w:p w14:paraId="52B77C0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641D883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5BFF428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AA816B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5563B9" w:rsidRPr="00594DB0" w14:paraId="56F7116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64484D6"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DA8FB4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Thermal burn</w:t>
            </w:r>
          </w:p>
        </w:tc>
        <w:tc>
          <w:tcPr>
            <w:tcW w:w="429" w:type="pct"/>
            <w:tcBorders>
              <w:top w:val="nil"/>
              <w:left w:val="nil"/>
              <w:bottom w:val="single" w:sz="4" w:space="0" w:color="auto"/>
              <w:right w:val="single" w:sz="4" w:space="0" w:color="auto"/>
            </w:tcBorders>
            <w:shd w:val="clear" w:color="auto" w:fill="auto"/>
            <w:noWrap/>
            <w:vAlign w:val="center"/>
            <w:hideMark/>
          </w:tcPr>
          <w:p w14:paraId="06BDB8F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76D256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140EC8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62BF10D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563B9" w:rsidRPr="00594DB0" w14:paraId="15D316D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F6386D1" w14:textId="77777777" w:rsidR="005563B9" w:rsidRPr="00594DB0" w:rsidRDefault="00601332"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Investigations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837D71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enzyme increased</w:t>
            </w:r>
          </w:p>
        </w:tc>
        <w:tc>
          <w:tcPr>
            <w:tcW w:w="429" w:type="pct"/>
            <w:tcBorders>
              <w:top w:val="nil"/>
              <w:left w:val="nil"/>
              <w:bottom w:val="single" w:sz="4" w:space="0" w:color="auto"/>
              <w:right w:val="single" w:sz="4" w:space="0" w:color="auto"/>
            </w:tcBorders>
            <w:shd w:val="clear" w:color="auto" w:fill="auto"/>
            <w:noWrap/>
            <w:vAlign w:val="center"/>
            <w:hideMark/>
          </w:tcPr>
          <w:p w14:paraId="61428A8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50C957B3"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5736552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A6CAA6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3799EC6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E1F86D3"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7A84354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Liver function test abnormal</w:t>
            </w:r>
          </w:p>
        </w:tc>
        <w:tc>
          <w:tcPr>
            <w:tcW w:w="429" w:type="pct"/>
            <w:tcBorders>
              <w:top w:val="nil"/>
              <w:left w:val="nil"/>
              <w:bottom w:val="single" w:sz="4" w:space="0" w:color="auto"/>
              <w:right w:val="single" w:sz="4" w:space="0" w:color="auto"/>
            </w:tcBorders>
            <w:shd w:val="clear" w:color="auto" w:fill="auto"/>
            <w:noWrap/>
            <w:vAlign w:val="center"/>
            <w:hideMark/>
          </w:tcPr>
          <w:p w14:paraId="3CFBC7F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233485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246B03E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880932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54DFCF3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70FE059"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71E8C8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Weight increased</w:t>
            </w:r>
          </w:p>
        </w:tc>
        <w:tc>
          <w:tcPr>
            <w:tcW w:w="429" w:type="pct"/>
            <w:tcBorders>
              <w:top w:val="nil"/>
              <w:left w:val="nil"/>
              <w:bottom w:val="single" w:sz="4" w:space="0" w:color="auto"/>
              <w:right w:val="single" w:sz="4" w:space="0" w:color="auto"/>
            </w:tcBorders>
            <w:shd w:val="clear" w:color="auto" w:fill="auto"/>
            <w:noWrap/>
            <w:vAlign w:val="center"/>
            <w:hideMark/>
          </w:tcPr>
          <w:p w14:paraId="5A00DFF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E9DF6C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3D11128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3007D9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0F3B24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91C7ED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53BCBF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Arthralgia</w:t>
            </w:r>
          </w:p>
        </w:tc>
        <w:tc>
          <w:tcPr>
            <w:tcW w:w="429" w:type="pct"/>
            <w:tcBorders>
              <w:top w:val="nil"/>
              <w:left w:val="nil"/>
              <w:bottom w:val="single" w:sz="4" w:space="0" w:color="auto"/>
              <w:right w:val="single" w:sz="4" w:space="0" w:color="auto"/>
            </w:tcBorders>
            <w:shd w:val="clear" w:color="auto" w:fill="auto"/>
            <w:noWrap/>
            <w:vAlign w:val="center"/>
            <w:hideMark/>
          </w:tcPr>
          <w:p w14:paraId="220D6B6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tcBorders>
              <w:top w:val="nil"/>
              <w:left w:val="nil"/>
              <w:bottom w:val="single" w:sz="4" w:space="0" w:color="auto"/>
              <w:right w:val="single" w:sz="4" w:space="0" w:color="auto"/>
            </w:tcBorders>
            <w:shd w:val="clear" w:color="auto" w:fill="auto"/>
            <w:noWrap/>
            <w:vAlign w:val="center"/>
            <w:hideMark/>
          </w:tcPr>
          <w:p w14:paraId="77DCF9C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0.8</w:t>
            </w:r>
          </w:p>
        </w:tc>
        <w:tc>
          <w:tcPr>
            <w:tcW w:w="429" w:type="pct"/>
            <w:tcBorders>
              <w:top w:val="nil"/>
              <w:left w:val="nil"/>
              <w:bottom w:val="single" w:sz="4" w:space="0" w:color="auto"/>
              <w:right w:val="single" w:sz="4" w:space="0" w:color="auto"/>
            </w:tcBorders>
            <w:shd w:val="clear" w:color="auto" w:fill="auto"/>
            <w:noWrap/>
            <w:vAlign w:val="center"/>
            <w:hideMark/>
          </w:tcPr>
          <w:p w14:paraId="7366E7B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4DD50A2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6AA56C05"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00ABFB5"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576956E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Back pain</w:t>
            </w:r>
          </w:p>
        </w:tc>
        <w:tc>
          <w:tcPr>
            <w:tcW w:w="429" w:type="pct"/>
            <w:tcBorders>
              <w:top w:val="nil"/>
              <w:left w:val="nil"/>
              <w:bottom w:val="single" w:sz="4" w:space="0" w:color="auto"/>
              <w:right w:val="single" w:sz="4" w:space="0" w:color="auto"/>
            </w:tcBorders>
            <w:shd w:val="clear" w:color="auto" w:fill="auto"/>
            <w:noWrap/>
            <w:vAlign w:val="center"/>
            <w:hideMark/>
          </w:tcPr>
          <w:p w14:paraId="7F379A3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32444A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716A097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0BF900E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3.1</w:t>
            </w:r>
          </w:p>
        </w:tc>
      </w:tr>
      <w:tr w:rsidR="005563B9" w:rsidRPr="00594DB0" w14:paraId="2900EFB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72DF98B"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9CB41C1"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Muscle spasms</w:t>
            </w:r>
          </w:p>
        </w:tc>
        <w:tc>
          <w:tcPr>
            <w:tcW w:w="429" w:type="pct"/>
            <w:tcBorders>
              <w:top w:val="nil"/>
              <w:left w:val="nil"/>
              <w:bottom w:val="single" w:sz="4" w:space="0" w:color="auto"/>
              <w:right w:val="single" w:sz="4" w:space="0" w:color="auto"/>
            </w:tcBorders>
            <w:shd w:val="clear" w:color="auto" w:fill="auto"/>
            <w:noWrap/>
            <w:vAlign w:val="center"/>
            <w:hideMark/>
          </w:tcPr>
          <w:p w14:paraId="35A6776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4E3FB90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7DA94E9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33951B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0CAFA13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3F8FA3A"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1A4462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429" w:type="pct"/>
            <w:tcBorders>
              <w:top w:val="nil"/>
              <w:left w:val="nil"/>
              <w:bottom w:val="single" w:sz="4" w:space="0" w:color="auto"/>
              <w:right w:val="single" w:sz="4" w:space="0" w:color="auto"/>
            </w:tcBorders>
            <w:shd w:val="clear" w:color="auto" w:fill="auto"/>
            <w:noWrap/>
            <w:vAlign w:val="center"/>
            <w:hideMark/>
          </w:tcPr>
          <w:p w14:paraId="36234FA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03B2C60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w:t>
            </w:r>
          </w:p>
        </w:tc>
        <w:tc>
          <w:tcPr>
            <w:tcW w:w="429" w:type="pct"/>
            <w:tcBorders>
              <w:top w:val="nil"/>
              <w:left w:val="nil"/>
              <w:bottom w:val="single" w:sz="4" w:space="0" w:color="auto"/>
              <w:right w:val="single" w:sz="4" w:space="0" w:color="auto"/>
            </w:tcBorders>
            <w:shd w:val="clear" w:color="auto" w:fill="auto"/>
            <w:noWrap/>
            <w:vAlign w:val="center"/>
            <w:hideMark/>
          </w:tcPr>
          <w:p w14:paraId="7C64D68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7</w:t>
            </w:r>
          </w:p>
        </w:tc>
        <w:tc>
          <w:tcPr>
            <w:tcW w:w="430" w:type="pct"/>
            <w:tcBorders>
              <w:top w:val="nil"/>
              <w:left w:val="nil"/>
              <w:bottom w:val="single" w:sz="4" w:space="0" w:color="auto"/>
              <w:right w:val="single" w:sz="4" w:space="0" w:color="auto"/>
            </w:tcBorders>
            <w:shd w:val="clear" w:color="auto" w:fill="auto"/>
            <w:noWrap/>
            <w:vAlign w:val="center"/>
            <w:hideMark/>
          </w:tcPr>
          <w:p w14:paraId="438627B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2.8</w:t>
            </w:r>
          </w:p>
        </w:tc>
      </w:tr>
      <w:tr w:rsidR="005563B9" w:rsidRPr="00594DB0" w14:paraId="4493873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8C91BEA" w14:textId="77777777" w:rsidR="005563B9" w:rsidRPr="00594DB0" w:rsidRDefault="00601332"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Nervous system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6640C4C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Headache</w:t>
            </w:r>
          </w:p>
        </w:tc>
        <w:tc>
          <w:tcPr>
            <w:tcW w:w="429" w:type="pct"/>
            <w:tcBorders>
              <w:top w:val="nil"/>
              <w:left w:val="nil"/>
              <w:bottom w:val="single" w:sz="4" w:space="0" w:color="auto"/>
              <w:right w:val="single" w:sz="4" w:space="0" w:color="auto"/>
            </w:tcBorders>
            <w:shd w:val="clear" w:color="auto" w:fill="auto"/>
            <w:noWrap/>
            <w:vAlign w:val="center"/>
            <w:hideMark/>
          </w:tcPr>
          <w:p w14:paraId="5DCA389F"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31EB114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203227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9</w:t>
            </w:r>
          </w:p>
        </w:tc>
        <w:tc>
          <w:tcPr>
            <w:tcW w:w="430" w:type="pct"/>
            <w:tcBorders>
              <w:top w:val="nil"/>
              <w:left w:val="nil"/>
              <w:bottom w:val="single" w:sz="4" w:space="0" w:color="auto"/>
              <w:right w:val="single" w:sz="4" w:space="0" w:color="auto"/>
            </w:tcBorders>
            <w:shd w:val="clear" w:color="auto" w:fill="auto"/>
            <w:noWrap/>
            <w:vAlign w:val="center"/>
            <w:hideMark/>
          </w:tcPr>
          <w:p w14:paraId="6D4D2BB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r>
      <w:tr w:rsidR="005563B9" w:rsidRPr="00594DB0" w14:paraId="391401F6"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AB814F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Respiratory, thoracic and mediastinal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330A01F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Cough</w:t>
            </w:r>
          </w:p>
        </w:tc>
        <w:tc>
          <w:tcPr>
            <w:tcW w:w="429" w:type="pct"/>
            <w:tcBorders>
              <w:top w:val="nil"/>
              <w:left w:val="nil"/>
              <w:bottom w:val="single" w:sz="4" w:space="0" w:color="auto"/>
              <w:right w:val="single" w:sz="4" w:space="0" w:color="auto"/>
            </w:tcBorders>
            <w:shd w:val="clear" w:color="auto" w:fill="auto"/>
            <w:noWrap/>
            <w:vAlign w:val="center"/>
            <w:hideMark/>
          </w:tcPr>
          <w:p w14:paraId="21FACC6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8</w:t>
            </w:r>
          </w:p>
        </w:tc>
        <w:tc>
          <w:tcPr>
            <w:tcW w:w="430" w:type="pct"/>
            <w:tcBorders>
              <w:top w:val="nil"/>
              <w:left w:val="nil"/>
              <w:bottom w:val="single" w:sz="4" w:space="0" w:color="auto"/>
              <w:right w:val="single" w:sz="4" w:space="0" w:color="auto"/>
            </w:tcBorders>
            <w:shd w:val="clear" w:color="auto" w:fill="auto"/>
            <w:noWrap/>
            <w:vAlign w:val="center"/>
            <w:hideMark/>
          </w:tcPr>
          <w:p w14:paraId="2D7F890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29" w:type="pct"/>
            <w:tcBorders>
              <w:top w:val="nil"/>
              <w:left w:val="nil"/>
              <w:bottom w:val="single" w:sz="4" w:space="0" w:color="auto"/>
              <w:right w:val="single" w:sz="4" w:space="0" w:color="auto"/>
            </w:tcBorders>
            <w:shd w:val="clear" w:color="auto" w:fill="auto"/>
            <w:noWrap/>
            <w:vAlign w:val="center"/>
            <w:hideMark/>
          </w:tcPr>
          <w:p w14:paraId="10B942B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E421B0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563B9" w:rsidRPr="00594DB0" w14:paraId="291BA3DC"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4F9BFE1A"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E700D1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Oropharyngeal pain</w:t>
            </w:r>
          </w:p>
        </w:tc>
        <w:tc>
          <w:tcPr>
            <w:tcW w:w="429" w:type="pct"/>
            <w:tcBorders>
              <w:top w:val="nil"/>
              <w:left w:val="nil"/>
              <w:bottom w:val="single" w:sz="4" w:space="0" w:color="auto"/>
              <w:right w:val="single" w:sz="4" w:space="0" w:color="auto"/>
            </w:tcBorders>
            <w:shd w:val="clear" w:color="auto" w:fill="auto"/>
            <w:noWrap/>
            <w:vAlign w:val="center"/>
            <w:hideMark/>
          </w:tcPr>
          <w:p w14:paraId="1BB285BE"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tcBorders>
              <w:top w:val="nil"/>
              <w:left w:val="nil"/>
              <w:bottom w:val="single" w:sz="4" w:space="0" w:color="auto"/>
              <w:right w:val="single" w:sz="4" w:space="0" w:color="auto"/>
            </w:tcBorders>
            <w:shd w:val="clear" w:color="auto" w:fill="auto"/>
            <w:noWrap/>
            <w:vAlign w:val="center"/>
            <w:hideMark/>
          </w:tcPr>
          <w:p w14:paraId="2AC19CD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tcBorders>
              <w:top w:val="nil"/>
              <w:left w:val="nil"/>
              <w:bottom w:val="single" w:sz="4" w:space="0" w:color="auto"/>
              <w:right w:val="single" w:sz="4" w:space="0" w:color="auto"/>
            </w:tcBorders>
            <w:shd w:val="clear" w:color="auto" w:fill="auto"/>
            <w:noWrap/>
            <w:vAlign w:val="center"/>
            <w:hideMark/>
          </w:tcPr>
          <w:p w14:paraId="60A9F31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2E07CA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0C211937"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469EC97"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EA6232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Rhinitis allergic</w:t>
            </w:r>
          </w:p>
        </w:tc>
        <w:tc>
          <w:tcPr>
            <w:tcW w:w="429" w:type="pct"/>
            <w:tcBorders>
              <w:top w:val="nil"/>
              <w:left w:val="nil"/>
              <w:bottom w:val="single" w:sz="4" w:space="0" w:color="auto"/>
              <w:right w:val="single" w:sz="4" w:space="0" w:color="auto"/>
            </w:tcBorders>
            <w:shd w:val="clear" w:color="auto" w:fill="auto"/>
            <w:noWrap/>
            <w:vAlign w:val="center"/>
            <w:hideMark/>
          </w:tcPr>
          <w:p w14:paraId="169EDE1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67BAF32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0A0F982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134D00B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C2553A9"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CD11750"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2C784B1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inflammation</w:t>
            </w:r>
          </w:p>
        </w:tc>
        <w:tc>
          <w:tcPr>
            <w:tcW w:w="429" w:type="pct"/>
            <w:tcBorders>
              <w:top w:val="nil"/>
              <w:left w:val="nil"/>
              <w:bottom w:val="single" w:sz="4" w:space="0" w:color="auto"/>
              <w:right w:val="single" w:sz="4" w:space="0" w:color="auto"/>
            </w:tcBorders>
            <w:shd w:val="clear" w:color="auto" w:fill="auto"/>
            <w:noWrap/>
            <w:vAlign w:val="center"/>
            <w:hideMark/>
          </w:tcPr>
          <w:p w14:paraId="1DE5113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7D2216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53575B2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594FF98C"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69F63B1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6F07787F" w14:textId="77777777" w:rsidR="005563B9"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Skin and subcutaneous tissue disorders</w:t>
            </w: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CA694F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Eczema</w:t>
            </w:r>
          </w:p>
        </w:tc>
        <w:tc>
          <w:tcPr>
            <w:tcW w:w="429" w:type="pct"/>
            <w:tcBorders>
              <w:top w:val="nil"/>
              <w:left w:val="nil"/>
              <w:bottom w:val="single" w:sz="4" w:space="0" w:color="auto"/>
              <w:right w:val="single" w:sz="4" w:space="0" w:color="auto"/>
            </w:tcBorders>
            <w:shd w:val="clear" w:color="auto" w:fill="auto"/>
            <w:noWrap/>
            <w:vAlign w:val="center"/>
            <w:hideMark/>
          </w:tcPr>
          <w:p w14:paraId="6DAD0F0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tcBorders>
              <w:top w:val="nil"/>
              <w:left w:val="nil"/>
              <w:bottom w:val="single" w:sz="4" w:space="0" w:color="auto"/>
              <w:right w:val="single" w:sz="4" w:space="0" w:color="auto"/>
            </w:tcBorders>
            <w:shd w:val="clear" w:color="auto" w:fill="auto"/>
            <w:noWrap/>
            <w:vAlign w:val="center"/>
            <w:hideMark/>
          </w:tcPr>
          <w:p w14:paraId="2325ACA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tcBorders>
              <w:top w:val="nil"/>
              <w:left w:val="nil"/>
              <w:bottom w:val="single" w:sz="4" w:space="0" w:color="auto"/>
              <w:right w:val="single" w:sz="4" w:space="0" w:color="auto"/>
            </w:tcBorders>
            <w:shd w:val="clear" w:color="auto" w:fill="auto"/>
            <w:noWrap/>
            <w:vAlign w:val="center"/>
            <w:hideMark/>
          </w:tcPr>
          <w:p w14:paraId="775E208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7112669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w:t>
            </w:r>
          </w:p>
        </w:tc>
      </w:tr>
      <w:tr w:rsidR="005563B9" w:rsidRPr="00594DB0" w14:paraId="31FD45D4"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644EC65"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3D2DA3C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Pruritus</w:t>
            </w:r>
          </w:p>
        </w:tc>
        <w:tc>
          <w:tcPr>
            <w:tcW w:w="429" w:type="pct"/>
            <w:tcBorders>
              <w:top w:val="nil"/>
              <w:left w:val="nil"/>
              <w:bottom w:val="single" w:sz="4" w:space="0" w:color="auto"/>
              <w:right w:val="single" w:sz="4" w:space="0" w:color="auto"/>
            </w:tcBorders>
            <w:shd w:val="clear" w:color="auto" w:fill="auto"/>
            <w:noWrap/>
            <w:vAlign w:val="center"/>
            <w:hideMark/>
          </w:tcPr>
          <w:p w14:paraId="1AF0CEE7"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233E43F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26C14E18"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60DDA48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3EE9E09B"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C6CA2BE"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4EAC2CDD"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Rash</w:t>
            </w:r>
          </w:p>
        </w:tc>
        <w:tc>
          <w:tcPr>
            <w:tcW w:w="429" w:type="pct"/>
            <w:tcBorders>
              <w:top w:val="nil"/>
              <w:left w:val="nil"/>
              <w:bottom w:val="single" w:sz="4" w:space="0" w:color="auto"/>
              <w:right w:val="single" w:sz="4" w:space="0" w:color="auto"/>
            </w:tcBorders>
            <w:shd w:val="clear" w:color="auto" w:fill="auto"/>
            <w:noWrap/>
            <w:vAlign w:val="center"/>
            <w:hideMark/>
          </w:tcPr>
          <w:p w14:paraId="3E41EBF5"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205EF66"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38BDC3EB"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tcBorders>
              <w:top w:val="nil"/>
              <w:left w:val="nil"/>
              <w:bottom w:val="single" w:sz="4" w:space="0" w:color="auto"/>
              <w:right w:val="single" w:sz="4" w:space="0" w:color="auto"/>
            </w:tcBorders>
            <w:shd w:val="clear" w:color="auto" w:fill="auto"/>
            <w:noWrap/>
            <w:vAlign w:val="center"/>
            <w:hideMark/>
          </w:tcPr>
          <w:p w14:paraId="6311DA2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r>
      <w:tr w:rsidR="005563B9" w:rsidRPr="00594DB0" w14:paraId="7B05F838"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D5A7220"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1641" w:type="pct"/>
            <w:tcBorders>
              <w:top w:val="nil"/>
              <w:left w:val="single" w:sz="4" w:space="0" w:color="auto"/>
              <w:bottom w:val="single" w:sz="4" w:space="0" w:color="auto"/>
              <w:right w:val="single" w:sz="4" w:space="0" w:color="auto"/>
            </w:tcBorders>
            <w:shd w:val="clear" w:color="auto" w:fill="auto"/>
            <w:noWrap/>
            <w:vAlign w:val="center"/>
            <w:hideMark/>
          </w:tcPr>
          <w:p w14:paraId="01D90AF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Urticaria</w:t>
            </w:r>
          </w:p>
        </w:tc>
        <w:tc>
          <w:tcPr>
            <w:tcW w:w="429" w:type="pct"/>
            <w:tcBorders>
              <w:top w:val="nil"/>
              <w:left w:val="nil"/>
              <w:bottom w:val="single" w:sz="4" w:space="0" w:color="auto"/>
              <w:right w:val="single" w:sz="4" w:space="0" w:color="auto"/>
            </w:tcBorders>
            <w:shd w:val="clear" w:color="auto" w:fill="auto"/>
            <w:noWrap/>
            <w:vAlign w:val="center"/>
            <w:hideMark/>
          </w:tcPr>
          <w:p w14:paraId="7E86A1A9"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tcBorders>
              <w:top w:val="nil"/>
              <w:left w:val="nil"/>
              <w:bottom w:val="single" w:sz="4" w:space="0" w:color="auto"/>
              <w:right w:val="single" w:sz="4" w:space="0" w:color="auto"/>
            </w:tcBorders>
            <w:shd w:val="clear" w:color="auto" w:fill="auto"/>
            <w:noWrap/>
            <w:vAlign w:val="center"/>
            <w:hideMark/>
          </w:tcPr>
          <w:p w14:paraId="0DF4BAE0"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1.1</w:t>
            </w:r>
          </w:p>
        </w:tc>
        <w:tc>
          <w:tcPr>
            <w:tcW w:w="429" w:type="pct"/>
            <w:tcBorders>
              <w:top w:val="nil"/>
              <w:left w:val="nil"/>
              <w:bottom w:val="single" w:sz="4" w:space="0" w:color="auto"/>
              <w:right w:val="single" w:sz="4" w:space="0" w:color="auto"/>
            </w:tcBorders>
            <w:shd w:val="clear" w:color="auto" w:fill="auto"/>
            <w:noWrap/>
            <w:vAlign w:val="center"/>
            <w:hideMark/>
          </w:tcPr>
          <w:p w14:paraId="00B1CBC4"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tcBorders>
              <w:top w:val="nil"/>
              <w:left w:val="nil"/>
              <w:bottom w:val="single" w:sz="4" w:space="0" w:color="auto"/>
              <w:right w:val="single" w:sz="4" w:space="0" w:color="auto"/>
            </w:tcBorders>
            <w:shd w:val="clear" w:color="auto" w:fill="auto"/>
            <w:noWrap/>
            <w:vAlign w:val="center"/>
            <w:hideMark/>
          </w:tcPr>
          <w:p w14:paraId="3FE2CE02"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1.6</w:t>
            </w:r>
          </w:p>
        </w:tc>
      </w:tr>
      <w:tr w:rsidR="005563B9" w:rsidRPr="00594DB0" w14:paraId="0AED6FD1"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2F106B50" w14:textId="77777777" w:rsidR="005563B9" w:rsidRPr="00594DB0" w:rsidRDefault="005563B9" w:rsidP="0021426A">
            <w:pPr>
              <w:jc w:val="left"/>
              <w:rPr>
                <w:rFonts w:ascii="Times New Roman" w:eastAsia="Times New Roman" w:hAnsi="Times New Roman" w:cs="Times New Roman"/>
                <w:color w:val="000000"/>
                <w:sz w:val="20"/>
                <w:szCs w:val="20"/>
              </w:rPr>
            </w:pPr>
          </w:p>
        </w:tc>
        <w:tc>
          <w:tcPr>
            <w:tcW w:w="3359" w:type="pct"/>
            <w:gridSpan w:val="5"/>
            <w:tcBorders>
              <w:top w:val="nil"/>
              <w:left w:val="single" w:sz="4" w:space="0" w:color="auto"/>
              <w:bottom w:val="single" w:sz="4" w:space="0" w:color="auto"/>
              <w:right w:val="single" w:sz="4" w:space="0" w:color="auto"/>
            </w:tcBorders>
            <w:shd w:val="clear" w:color="auto" w:fill="auto"/>
            <w:noWrap/>
            <w:vAlign w:val="center"/>
          </w:tcPr>
          <w:p w14:paraId="23F1B65A" w14:textId="77777777" w:rsidR="005563B9" w:rsidRPr="00594DB0" w:rsidRDefault="005563B9"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Vascular disorders</w:t>
            </w:r>
          </w:p>
        </w:tc>
      </w:tr>
      <w:tr w:rsidR="005563B9" w:rsidRPr="00594DB0" w14:paraId="4305757D" w14:textId="77777777" w:rsidTr="009601E0">
        <w:trPr>
          <w:cantSplit/>
          <w:trHeight w:val="300"/>
        </w:trPr>
        <w:tc>
          <w:tcPr>
            <w:tcW w:w="1641" w:type="pct"/>
            <w:tcBorders>
              <w:top w:val="nil"/>
              <w:left w:val="single" w:sz="4" w:space="0" w:color="auto"/>
              <w:bottom w:val="single" w:sz="4" w:space="0" w:color="auto"/>
              <w:right w:val="single" w:sz="4" w:space="0" w:color="auto"/>
            </w:tcBorders>
          </w:tcPr>
          <w:p w14:paraId="51E76597" w14:textId="77777777" w:rsidR="005563B9" w:rsidRPr="005563B9" w:rsidRDefault="005563B9" w:rsidP="0021426A">
            <w:pPr>
              <w:jc w:val="left"/>
              <w:rPr>
                <w:rFonts w:ascii="Times New Roman" w:hAnsi="Times New Roman" w:cs="Times New Roman"/>
                <w:sz w:val="20"/>
                <w:szCs w:val="20"/>
              </w:rPr>
            </w:pPr>
          </w:p>
        </w:tc>
        <w:tc>
          <w:tcPr>
            <w:tcW w:w="1641" w:type="pct"/>
            <w:tcBorders>
              <w:top w:val="nil"/>
              <w:left w:val="single" w:sz="4" w:space="0" w:color="auto"/>
              <w:bottom w:val="single" w:sz="4" w:space="0" w:color="auto"/>
              <w:right w:val="single" w:sz="4" w:space="0" w:color="auto"/>
            </w:tcBorders>
            <w:shd w:val="clear" w:color="auto" w:fill="auto"/>
            <w:noWrap/>
          </w:tcPr>
          <w:p w14:paraId="35312254" w14:textId="77777777" w:rsidR="005563B9" w:rsidRPr="00991D3F" w:rsidRDefault="005563B9" w:rsidP="0021426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Hypertension</w:t>
            </w:r>
          </w:p>
        </w:tc>
        <w:tc>
          <w:tcPr>
            <w:tcW w:w="429" w:type="pct"/>
            <w:tcBorders>
              <w:top w:val="nil"/>
              <w:left w:val="nil"/>
              <w:bottom w:val="single" w:sz="4" w:space="0" w:color="auto"/>
              <w:right w:val="single" w:sz="4" w:space="0" w:color="auto"/>
            </w:tcBorders>
            <w:shd w:val="clear" w:color="auto" w:fill="auto"/>
            <w:noWrap/>
          </w:tcPr>
          <w:p w14:paraId="38FECD81" w14:textId="77777777" w:rsidR="005563B9" w:rsidRPr="00991D3F" w:rsidRDefault="005563B9" w:rsidP="0021426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4</w:t>
            </w:r>
          </w:p>
        </w:tc>
        <w:tc>
          <w:tcPr>
            <w:tcW w:w="430" w:type="pct"/>
            <w:tcBorders>
              <w:top w:val="nil"/>
              <w:left w:val="nil"/>
              <w:bottom w:val="single" w:sz="4" w:space="0" w:color="auto"/>
              <w:right w:val="single" w:sz="4" w:space="0" w:color="auto"/>
            </w:tcBorders>
            <w:shd w:val="clear" w:color="auto" w:fill="auto"/>
            <w:noWrap/>
          </w:tcPr>
          <w:p w14:paraId="221E914D" w14:textId="77777777" w:rsidR="005563B9" w:rsidRPr="00991D3F" w:rsidRDefault="005563B9" w:rsidP="0021426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1.5</w:t>
            </w:r>
          </w:p>
        </w:tc>
        <w:tc>
          <w:tcPr>
            <w:tcW w:w="429" w:type="pct"/>
            <w:tcBorders>
              <w:top w:val="nil"/>
              <w:left w:val="nil"/>
              <w:bottom w:val="single" w:sz="4" w:space="0" w:color="auto"/>
              <w:right w:val="single" w:sz="4" w:space="0" w:color="auto"/>
            </w:tcBorders>
            <w:shd w:val="clear" w:color="auto" w:fill="auto"/>
            <w:noWrap/>
          </w:tcPr>
          <w:p w14:paraId="09B8FCBC" w14:textId="77777777" w:rsidR="005563B9" w:rsidRPr="00991D3F" w:rsidRDefault="005563B9" w:rsidP="0021426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 2</w:t>
            </w:r>
          </w:p>
        </w:tc>
        <w:tc>
          <w:tcPr>
            <w:tcW w:w="430" w:type="pct"/>
            <w:tcBorders>
              <w:top w:val="nil"/>
              <w:left w:val="nil"/>
              <w:bottom w:val="single" w:sz="4" w:space="0" w:color="auto"/>
              <w:right w:val="single" w:sz="4" w:space="0" w:color="auto"/>
            </w:tcBorders>
            <w:shd w:val="clear" w:color="auto" w:fill="auto"/>
            <w:noWrap/>
          </w:tcPr>
          <w:p w14:paraId="18C46FE5" w14:textId="77777777" w:rsidR="005563B9" w:rsidRPr="00991D3F" w:rsidRDefault="005563B9" w:rsidP="0021426A">
            <w:pPr>
              <w:jc w:val="left"/>
              <w:rPr>
                <w:rFonts w:ascii="Times New Roman" w:eastAsia="Times New Roman" w:hAnsi="Times New Roman" w:cs="Times New Roman"/>
                <w:color w:val="000000"/>
                <w:sz w:val="20"/>
                <w:szCs w:val="20"/>
              </w:rPr>
            </w:pPr>
            <w:r w:rsidRPr="005563B9">
              <w:rPr>
                <w:rFonts w:ascii="Times New Roman" w:hAnsi="Times New Roman" w:cs="Times New Roman"/>
                <w:sz w:val="20"/>
                <w:szCs w:val="20"/>
              </w:rPr>
              <w:t>0.8</w:t>
            </w:r>
          </w:p>
        </w:tc>
      </w:tr>
    </w:tbl>
    <w:p w14:paraId="43791952" w14:textId="77777777" w:rsidR="00991D3F" w:rsidRDefault="00991D3F" w:rsidP="0021426A">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0"/>
        <w:gridCol w:w="3160"/>
        <w:gridCol w:w="826"/>
        <w:gridCol w:w="828"/>
        <w:gridCol w:w="826"/>
        <w:gridCol w:w="828"/>
      </w:tblGrid>
      <w:tr w:rsidR="005E0D63" w:rsidRPr="00594DB0" w14:paraId="38AD456B" w14:textId="77777777" w:rsidTr="00B37960">
        <w:trPr>
          <w:cantSplit/>
          <w:trHeight w:val="300"/>
          <w:tblHeader/>
        </w:trPr>
        <w:tc>
          <w:tcPr>
            <w:tcW w:w="1641" w:type="pct"/>
          </w:tcPr>
          <w:p w14:paraId="17CD419F" w14:textId="77777777" w:rsidR="005E0D63" w:rsidRPr="00594DB0" w:rsidRDefault="005E0D63" w:rsidP="0021426A">
            <w:pPr>
              <w:jc w:val="left"/>
              <w:rPr>
                <w:rFonts w:ascii="Times New Roman" w:eastAsia="Times New Roman" w:hAnsi="Times New Roman" w:cs="Times New Roman"/>
                <w:b/>
                <w:color w:val="000000"/>
                <w:sz w:val="20"/>
                <w:szCs w:val="20"/>
              </w:rPr>
            </w:pPr>
          </w:p>
        </w:tc>
        <w:tc>
          <w:tcPr>
            <w:tcW w:w="1641" w:type="pct"/>
            <w:shd w:val="clear" w:color="auto" w:fill="auto"/>
            <w:noWrap/>
            <w:vAlign w:val="center"/>
          </w:tcPr>
          <w:p w14:paraId="385B3AA4"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859" w:type="pct"/>
            <w:gridSpan w:val="2"/>
            <w:shd w:val="clear" w:color="auto" w:fill="auto"/>
            <w:noWrap/>
            <w:vAlign w:val="center"/>
          </w:tcPr>
          <w:p w14:paraId="1EE5832A" w14:textId="1738723B" w:rsidR="005E0D63" w:rsidRPr="00594DB0" w:rsidRDefault="003D1456" w:rsidP="0021426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Rymti</w:t>
            </w:r>
            <w:r w:rsidR="005E0D63" w:rsidRPr="00594DB0">
              <w:rPr>
                <w:rFonts w:ascii="Times New Roman" w:eastAsia="Times New Roman" w:hAnsi="Times New Roman" w:cs="Times New Roman"/>
                <w:b/>
                <w:color w:val="000000"/>
                <w:sz w:val="20"/>
                <w:szCs w:val="20"/>
              </w:rPr>
              <w:t xml:space="preserve"> 50mg </w:t>
            </w:r>
            <w:r w:rsidR="005E0D63">
              <w:rPr>
                <w:rFonts w:ascii="Times New Roman" w:eastAsia="Times New Roman" w:hAnsi="Times New Roman" w:cs="Times New Roman"/>
                <w:b/>
                <w:color w:val="000000"/>
                <w:sz w:val="20"/>
                <w:szCs w:val="20"/>
              </w:rPr>
              <w:br/>
            </w:r>
            <w:r w:rsidR="005E0D63" w:rsidRPr="00594DB0">
              <w:rPr>
                <w:rFonts w:ascii="Times New Roman" w:eastAsia="Times New Roman" w:hAnsi="Times New Roman" w:cs="Times New Roman"/>
                <w:b/>
                <w:color w:val="000000"/>
                <w:sz w:val="20"/>
                <w:szCs w:val="20"/>
              </w:rPr>
              <w:t>(N=2</w:t>
            </w:r>
            <w:r w:rsidR="005E0D63">
              <w:rPr>
                <w:rFonts w:ascii="Times New Roman" w:eastAsia="Times New Roman" w:hAnsi="Times New Roman" w:cs="Times New Roman"/>
                <w:b/>
                <w:color w:val="000000"/>
                <w:sz w:val="20"/>
                <w:szCs w:val="20"/>
              </w:rPr>
              <w:t>35</w:t>
            </w:r>
            <w:r w:rsidR="005E0D63" w:rsidRPr="00594DB0">
              <w:rPr>
                <w:rFonts w:ascii="Times New Roman" w:eastAsia="Times New Roman" w:hAnsi="Times New Roman" w:cs="Times New Roman"/>
                <w:b/>
                <w:color w:val="000000"/>
                <w:sz w:val="20"/>
                <w:szCs w:val="20"/>
              </w:rPr>
              <w:t>)</w:t>
            </w:r>
          </w:p>
        </w:tc>
        <w:tc>
          <w:tcPr>
            <w:tcW w:w="859" w:type="pct"/>
            <w:gridSpan w:val="2"/>
            <w:shd w:val="clear" w:color="auto" w:fill="auto"/>
            <w:noWrap/>
            <w:vAlign w:val="center"/>
          </w:tcPr>
          <w:p w14:paraId="65E5B713"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(N=2</w:t>
            </w:r>
            <w:r>
              <w:rPr>
                <w:rFonts w:ascii="Times New Roman" w:eastAsia="Times New Roman" w:hAnsi="Times New Roman" w:cs="Times New Roman"/>
                <w:b/>
                <w:color w:val="000000"/>
                <w:sz w:val="20"/>
                <w:szCs w:val="20"/>
              </w:rPr>
              <w:t>29</w:t>
            </w:r>
            <w:r w:rsidRPr="00594DB0">
              <w:rPr>
                <w:rFonts w:ascii="Times New Roman" w:eastAsia="Times New Roman" w:hAnsi="Times New Roman" w:cs="Times New Roman"/>
                <w:b/>
                <w:color w:val="000000"/>
                <w:sz w:val="20"/>
                <w:szCs w:val="20"/>
              </w:rPr>
              <w:t>)</w:t>
            </w:r>
          </w:p>
        </w:tc>
      </w:tr>
      <w:tr w:rsidR="005E0D63" w:rsidRPr="00594DB0" w14:paraId="53E26D95" w14:textId="77777777" w:rsidTr="00B37960">
        <w:trPr>
          <w:cantSplit/>
          <w:trHeight w:val="300"/>
          <w:tblHeader/>
        </w:trPr>
        <w:tc>
          <w:tcPr>
            <w:tcW w:w="1641" w:type="pct"/>
          </w:tcPr>
          <w:p w14:paraId="6A4CFAD3" w14:textId="77777777" w:rsidR="005E0D63" w:rsidRPr="00594DB0" w:rsidRDefault="005E0D63" w:rsidP="0021426A">
            <w:pPr>
              <w:jc w:val="left"/>
              <w:rPr>
                <w:rFonts w:ascii="Times New Roman" w:eastAsia="Times New Roman" w:hAnsi="Times New Roman" w:cs="Times New Roman"/>
                <w:b/>
                <w:color w:val="000000"/>
                <w:sz w:val="20"/>
                <w:szCs w:val="20"/>
              </w:rPr>
            </w:pPr>
          </w:p>
        </w:tc>
        <w:tc>
          <w:tcPr>
            <w:tcW w:w="1641" w:type="pct"/>
            <w:shd w:val="clear" w:color="auto" w:fill="auto"/>
            <w:noWrap/>
            <w:vAlign w:val="center"/>
          </w:tcPr>
          <w:p w14:paraId="263F7281"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429" w:type="pct"/>
            <w:shd w:val="clear" w:color="auto" w:fill="auto"/>
            <w:noWrap/>
            <w:vAlign w:val="center"/>
          </w:tcPr>
          <w:p w14:paraId="6B189062"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shd w:val="clear" w:color="auto" w:fill="auto"/>
            <w:noWrap/>
            <w:vAlign w:val="center"/>
          </w:tcPr>
          <w:p w14:paraId="2867F16B"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429" w:type="pct"/>
            <w:shd w:val="clear" w:color="auto" w:fill="auto"/>
            <w:noWrap/>
            <w:vAlign w:val="center"/>
          </w:tcPr>
          <w:p w14:paraId="36A56C6A"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430" w:type="pct"/>
            <w:shd w:val="clear" w:color="auto" w:fill="auto"/>
            <w:noWrap/>
            <w:vAlign w:val="center"/>
          </w:tcPr>
          <w:p w14:paraId="033CF07C" w14:textId="77777777" w:rsidR="005E0D63" w:rsidRPr="00594DB0" w:rsidRDefault="005E0D63"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5E0D63" w:rsidRPr="00594DB0" w14:paraId="282100EA" w14:textId="77777777" w:rsidTr="00B37960">
        <w:trPr>
          <w:trHeight w:val="300"/>
        </w:trPr>
        <w:tc>
          <w:tcPr>
            <w:tcW w:w="1641" w:type="pct"/>
          </w:tcPr>
          <w:p w14:paraId="3092D13D" w14:textId="77777777" w:rsidR="005E0D63" w:rsidRPr="00594DB0" w:rsidRDefault="00601332"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B</w:t>
            </w:r>
          </w:p>
        </w:tc>
        <w:tc>
          <w:tcPr>
            <w:tcW w:w="3359" w:type="pct"/>
            <w:gridSpan w:val="5"/>
            <w:shd w:val="clear" w:color="auto" w:fill="auto"/>
            <w:noWrap/>
            <w:vAlign w:val="center"/>
            <w:hideMark/>
          </w:tcPr>
          <w:p w14:paraId="0B71CF0E" w14:textId="77777777" w:rsidR="005E0D63" w:rsidRPr="00594DB0" w:rsidRDefault="005E0D63" w:rsidP="0021426A">
            <w:pPr>
              <w:jc w:val="left"/>
              <w:rPr>
                <w:rFonts w:ascii="Times New Roman" w:eastAsia="Times New Roman" w:hAnsi="Times New Roman" w:cs="Times New Roman"/>
                <w:b/>
                <w:color w:val="000000"/>
                <w:sz w:val="20"/>
                <w:szCs w:val="20"/>
              </w:rPr>
            </w:pPr>
          </w:p>
        </w:tc>
      </w:tr>
      <w:tr w:rsidR="005E0D63" w:rsidRPr="00594DB0" w14:paraId="79355D3D" w14:textId="77777777" w:rsidTr="00B37960">
        <w:trPr>
          <w:cantSplit/>
          <w:trHeight w:val="300"/>
        </w:trPr>
        <w:tc>
          <w:tcPr>
            <w:tcW w:w="1641" w:type="pct"/>
          </w:tcPr>
          <w:p w14:paraId="152CC6A9"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Gastrointestinal disorders</w:t>
            </w:r>
          </w:p>
        </w:tc>
        <w:tc>
          <w:tcPr>
            <w:tcW w:w="1641" w:type="pct"/>
            <w:shd w:val="clear" w:color="auto" w:fill="auto"/>
            <w:vAlign w:val="center"/>
            <w:hideMark/>
          </w:tcPr>
          <w:p w14:paraId="71CDF6F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Dental caries</w:t>
            </w:r>
          </w:p>
        </w:tc>
        <w:tc>
          <w:tcPr>
            <w:tcW w:w="429" w:type="pct"/>
            <w:shd w:val="clear" w:color="auto" w:fill="auto"/>
            <w:vAlign w:val="center"/>
            <w:hideMark/>
          </w:tcPr>
          <w:p w14:paraId="05885D1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5B67080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1AACC16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708353D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3A0FD731" w14:textId="77777777" w:rsidTr="00B37960">
        <w:trPr>
          <w:cantSplit/>
          <w:trHeight w:val="300"/>
        </w:trPr>
        <w:tc>
          <w:tcPr>
            <w:tcW w:w="1641" w:type="pct"/>
          </w:tcPr>
          <w:p w14:paraId="0F46D51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1641" w:type="pct"/>
            <w:shd w:val="clear" w:color="auto" w:fill="auto"/>
            <w:vAlign w:val="center"/>
            <w:hideMark/>
          </w:tcPr>
          <w:p w14:paraId="2B69846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bruising</w:t>
            </w:r>
          </w:p>
        </w:tc>
        <w:tc>
          <w:tcPr>
            <w:tcW w:w="429" w:type="pct"/>
            <w:shd w:val="clear" w:color="auto" w:fill="auto"/>
            <w:vAlign w:val="center"/>
            <w:hideMark/>
          </w:tcPr>
          <w:p w14:paraId="0A0A6F3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4D586E9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54983F4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6FC029C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0A6D867B" w14:textId="77777777" w:rsidTr="00B37960">
        <w:trPr>
          <w:cantSplit/>
          <w:trHeight w:val="300"/>
        </w:trPr>
        <w:tc>
          <w:tcPr>
            <w:tcW w:w="1641" w:type="pct"/>
          </w:tcPr>
          <w:p w14:paraId="0CBF3E4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FC41A1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429" w:type="pct"/>
            <w:shd w:val="clear" w:color="auto" w:fill="auto"/>
            <w:vAlign w:val="center"/>
            <w:hideMark/>
          </w:tcPr>
          <w:p w14:paraId="412962A2"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BB9B3D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4E3655B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c>
          <w:tcPr>
            <w:tcW w:w="430" w:type="pct"/>
            <w:shd w:val="clear" w:color="auto" w:fill="auto"/>
            <w:vAlign w:val="center"/>
            <w:hideMark/>
          </w:tcPr>
          <w:p w14:paraId="15842AE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4.4</w:t>
            </w:r>
          </w:p>
        </w:tc>
      </w:tr>
      <w:tr w:rsidR="005E0D63" w:rsidRPr="00594DB0" w14:paraId="613B22AC" w14:textId="77777777" w:rsidTr="00B37960">
        <w:trPr>
          <w:cantSplit/>
          <w:trHeight w:val="300"/>
        </w:trPr>
        <w:tc>
          <w:tcPr>
            <w:tcW w:w="1641" w:type="pct"/>
          </w:tcPr>
          <w:p w14:paraId="26CCCB84"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9A84E9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reaction</w:t>
            </w:r>
          </w:p>
        </w:tc>
        <w:tc>
          <w:tcPr>
            <w:tcW w:w="429" w:type="pct"/>
            <w:shd w:val="clear" w:color="auto" w:fill="auto"/>
            <w:vAlign w:val="center"/>
            <w:hideMark/>
          </w:tcPr>
          <w:p w14:paraId="68DB9CD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C1CE7D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0BF6964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30" w:type="pct"/>
            <w:shd w:val="clear" w:color="auto" w:fill="auto"/>
            <w:vAlign w:val="center"/>
            <w:hideMark/>
          </w:tcPr>
          <w:p w14:paraId="0DF092C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7.4</w:t>
            </w:r>
          </w:p>
        </w:tc>
      </w:tr>
      <w:tr w:rsidR="005E0D63" w:rsidRPr="00594DB0" w14:paraId="3DFFCB38" w14:textId="77777777" w:rsidTr="00B37960">
        <w:trPr>
          <w:cantSplit/>
          <w:trHeight w:val="300"/>
        </w:trPr>
        <w:tc>
          <w:tcPr>
            <w:tcW w:w="1641" w:type="pct"/>
          </w:tcPr>
          <w:p w14:paraId="34AE068A"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133D9EB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Hepatobiliary disorders</w:t>
            </w:r>
          </w:p>
        </w:tc>
      </w:tr>
      <w:tr w:rsidR="005E0D63" w:rsidRPr="00594DB0" w14:paraId="037708B3" w14:textId="77777777" w:rsidTr="00B37960">
        <w:trPr>
          <w:cantSplit/>
          <w:trHeight w:val="300"/>
        </w:trPr>
        <w:tc>
          <w:tcPr>
            <w:tcW w:w="1641" w:type="pct"/>
          </w:tcPr>
          <w:p w14:paraId="19240846"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165E329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function abnormal</w:t>
            </w:r>
          </w:p>
        </w:tc>
        <w:tc>
          <w:tcPr>
            <w:tcW w:w="429" w:type="pct"/>
            <w:shd w:val="clear" w:color="auto" w:fill="auto"/>
            <w:vAlign w:val="center"/>
            <w:hideMark/>
          </w:tcPr>
          <w:p w14:paraId="36C8419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3B89438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1BF06DA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71AC8BA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4879FD76" w14:textId="77777777" w:rsidTr="00B37960">
        <w:trPr>
          <w:cantSplit/>
          <w:trHeight w:val="300"/>
        </w:trPr>
        <w:tc>
          <w:tcPr>
            <w:tcW w:w="1641" w:type="pct"/>
          </w:tcPr>
          <w:p w14:paraId="08956BF6"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675B60E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Liver disorder</w:t>
            </w:r>
          </w:p>
        </w:tc>
        <w:tc>
          <w:tcPr>
            <w:tcW w:w="429" w:type="pct"/>
            <w:shd w:val="clear" w:color="auto" w:fill="auto"/>
            <w:vAlign w:val="center"/>
            <w:hideMark/>
          </w:tcPr>
          <w:p w14:paraId="37A27CE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F9D8539"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90CD279"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BF31BB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0E94F57" w14:textId="77777777" w:rsidTr="00B37960">
        <w:trPr>
          <w:cantSplit/>
          <w:trHeight w:val="300"/>
        </w:trPr>
        <w:tc>
          <w:tcPr>
            <w:tcW w:w="1641" w:type="pct"/>
          </w:tcPr>
          <w:p w14:paraId="0AFD7F7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Immune system disorders</w:t>
            </w:r>
          </w:p>
        </w:tc>
        <w:tc>
          <w:tcPr>
            <w:tcW w:w="1641" w:type="pct"/>
            <w:shd w:val="clear" w:color="auto" w:fill="auto"/>
            <w:vAlign w:val="center"/>
            <w:hideMark/>
          </w:tcPr>
          <w:p w14:paraId="3A10E6A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Seasonal allergy</w:t>
            </w:r>
          </w:p>
        </w:tc>
        <w:tc>
          <w:tcPr>
            <w:tcW w:w="429" w:type="pct"/>
            <w:shd w:val="clear" w:color="auto" w:fill="auto"/>
            <w:vAlign w:val="center"/>
            <w:hideMark/>
          </w:tcPr>
          <w:p w14:paraId="356C90D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20FE8172"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5EB8C25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71053C5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5E56FC76" w14:textId="77777777" w:rsidTr="00B37960">
        <w:trPr>
          <w:cantSplit/>
          <w:trHeight w:val="300"/>
        </w:trPr>
        <w:tc>
          <w:tcPr>
            <w:tcW w:w="1641" w:type="pct"/>
          </w:tcPr>
          <w:p w14:paraId="4195A62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c>
          <w:tcPr>
            <w:tcW w:w="1641" w:type="pct"/>
            <w:shd w:val="clear" w:color="auto" w:fill="auto"/>
            <w:vAlign w:val="center"/>
            <w:hideMark/>
          </w:tcPr>
          <w:p w14:paraId="25150A0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Bronchitis</w:t>
            </w:r>
          </w:p>
        </w:tc>
        <w:tc>
          <w:tcPr>
            <w:tcW w:w="429" w:type="pct"/>
            <w:shd w:val="clear" w:color="auto" w:fill="auto"/>
            <w:vAlign w:val="center"/>
            <w:hideMark/>
          </w:tcPr>
          <w:p w14:paraId="332D934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678704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578FB7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0D53AE6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6EA29632" w14:textId="77777777" w:rsidTr="00B37960">
        <w:trPr>
          <w:cantSplit/>
          <w:trHeight w:val="300"/>
        </w:trPr>
        <w:tc>
          <w:tcPr>
            <w:tcW w:w="1641" w:type="pct"/>
          </w:tcPr>
          <w:p w14:paraId="4A20208B"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D8D60F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Herpes simplex</w:t>
            </w:r>
          </w:p>
        </w:tc>
        <w:tc>
          <w:tcPr>
            <w:tcW w:w="429" w:type="pct"/>
            <w:shd w:val="clear" w:color="auto" w:fill="auto"/>
            <w:vAlign w:val="center"/>
            <w:hideMark/>
          </w:tcPr>
          <w:p w14:paraId="43CECAB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6F438B2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0D3EF5C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36757D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1D36EB28" w14:textId="77777777" w:rsidTr="00B37960">
        <w:trPr>
          <w:cantSplit/>
          <w:trHeight w:val="300"/>
        </w:trPr>
        <w:tc>
          <w:tcPr>
            <w:tcW w:w="1641" w:type="pct"/>
          </w:tcPr>
          <w:p w14:paraId="6E68DEFE"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83FA69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Herpes zoster</w:t>
            </w:r>
          </w:p>
        </w:tc>
        <w:tc>
          <w:tcPr>
            <w:tcW w:w="429" w:type="pct"/>
            <w:shd w:val="clear" w:color="auto" w:fill="auto"/>
            <w:vAlign w:val="center"/>
            <w:hideMark/>
          </w:tcPr>
          <w:p w14:paraId="4CE6D37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E4C13B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579D1AE3"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11D544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3DC12A7" w14:textId="77777777" w:rsidTr="00B37960">
        <w:trPr>
          <w:cantSplit/>
          <w:trHeight w:val="300"/>
        </w:trPr>
        <w:tc>
          <w:tcPr>
            <w:tcW w:w="1641" w:type="pct"/>
          </w:tcPr>
          <w:p w14:paraId="5EE81C5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099357E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Influenza</w:t>
            </w:r>
          </w:p>
        </w:tc>
        <w:tc>
          <w:tcPr>
            <w:tcW w:w="429" w:type="pct"/>
            <w:shd w:val="clear" w:color="auto" w:fill="auto"/>
            <w:vAlign w:val="center"/>
            <w:hideMark/>
          </w:tcPr>
          <w:p w14:paraId="749ED6E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0CA86F43"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34C1082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6C618299"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74FCFEA3" w14:textId="77777777" w:rsidTr="00B37960">
        <w:trPr>
          <w:cantSplit/>
          <w:trHeight w:val="300"/>
        </w:trPr>
        <w:tc>
          <w:tcPr>
            <w:tcW w:w="1641" w:type="pct"/>
          </w:tcPr>
          <w:p w14:paraId="5CC4803C"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7978697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Nasopharyngitis</w:t>
            </w:r>
          </w:p>
        </w:tc>
        <w:tc>
          <w:tcPr>
            <w:tcW w:w="429" w:type="pct"/>
            <w:shd w:val="clear" w:color="auto" w:fill="auto"/>
            <w:vAlign w:val="center"/>
            <w:hideMark/>
          </w:tcPr>
          <w:p w14:paraId="1B72FB1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35</w:t>
            </w:r>
          </w:p>
        </w:tc>
        <w:tc>
          <w:tcPr>
            <w:tcW w:w="430" w:type="pct"/>
            <w:shd w:val="clear" w:color="auto" w:fill="auto"/>
            <w:vAlign w:val="center"/>
            <w:hideMark/>
          </w:tcPr>
          <w:p w14:paraId="251824D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14.9</w:t>
            </w:r>
          </w:p>
        </w:tc>
        <w:tc>
          <w:tcPr>
            <w:tcW w:w="429" w:type="pct"/>
            <w:shd w:val="clear" w:color="auto" w:fill="auto"/>
            <w:vAlign w:val="center"/>
            <w:hideMark/>
          </w:tcPr>
          <w:p w14:paraId="2A49DA0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44</w:t>
            </w:r>
          </w:p>
        </w:tc>
        <w:tc>
          <w:tcPr>
            <w:tcW w:w="430" w:type="pct"/>
            <w:shd w:val="clear" w:color="auto" w:fill="auto"/>
            <w:vAlign w:val="center"/>
            <w:hideMark/>
          </w:tcPr>
          <w:p w14:paraId="6E3EA99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19.2</w:t>
            </w:r>
          </w:p>
        </w:tc>
      </w:tr>
      <w:tr w:rsidR="005E0D63" w:rsidRPr="00594DB0" w14:paraId="3766B13B" w14:textId="77777777" w:rsidTr="00B37960">
        <w:trPr>
          <w:cantSplit/>
          <w:trHeight w:val="300"/>
        </w:trPr>
        <w:tc>
          <w:tcPr>
            <w:tcW w:w="1641" w:type="pct"/>
          </w:tcPr>
          <w:p w14:paraId="28C1ABED"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8ED6E8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Pharyngitis</w:t>
            </w:r>
          </w:p>
        </w:tc>
        <w:tc>
          <w:tcPr>
            <w:tcW w:w="429" w:type="pct"/>
            <w:shd w:val="clear" w:color="auto" w:fill="auto"/>
            <w:vAlign w:val="center"/>
            <w:hideMark/>
          </w:tcPr>
          <w:p w14:paraId="37B6EDB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7FC96A4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6D00055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34DA57C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2D9CD3AE" w14:textId="77777777" w:rsidTr="00B37960">
        <w:trPr>
          <w:cantSplit/>
          <w:trHeight w:val="300"/>
        </w:trPr>
        <w:tc>
          <w:tcPr>
            <w:tcW w:w="1641" w:type="pct"/>
          </w:tcPr>
          <w:p w14:paraId="79A9FDE5"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097E35C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Tonsillitis</w:t>
            </w:r>
          </w:p>
        </w:tc>
        <w:tc>
          <w:tcPr>
            <w:tcW w:w="429" w:type="pct"/>
            <w:shd w:val="clear" w:color="auto" w:fill="auto"/>
            <w:vAlign w:val="center"/>
            <w:hideMark/>
          </w:tcPr>
          <w:p w14:paraId="49E0CE7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505D31D3"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224D44E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0958C57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5FCB66A2" w14:textId="77777777" w:rsidTr="00B37960">
        <w:trPr>
          <w:cantSplit/>
          <w:trHeight w:val="300"/>
        </w:trPr>
        <w:tc>
          <w:tcPr>
            <w:tcW w:w="1641" w:type="pct"/>
          </w:tcPr>
          <w:p w14:paraId="74718570"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4219019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infection</w:t>
            </w:r>
          </w:p>
        </w:tc>
        <w:tc>
          <w:tcPr>
            <w:tcW w:w="429" w:type="pct"/>
            <w:shd w:val="clear" w:color="auto" w:fill="auto"/>
            <w:vAlign w:val="center"/>
            <w:hideMark/>
          </w:tcPr>
          <w:p w14:paraId="545FBB7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77A8102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0581C54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shd w:val="clear" w:color="auto" w:fill="auto"/>
            <w:vAlign w:val="center"/>
            <w:hideMark/>
          </w:tcPr>
          <w:p w14:paraId="5E78EA8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2.6</w:t>
            </w:r>
          </w:p>
        </w:tc>
      </w:tr>
      <w:tr w:rsidR="005E0D63" w:rsidRPr="00594DB0" w14:paraId="1641F094" w14:textId="77777777" w:rsidTr="00B37960">
        <w:trPr>
          <w:cantSplit/>
          <w:trHeight w:val="300"/>
        </w:trPr>
        <w:tc>
          <w:tcPr>
            <w:tcW w:w="1641" w:type="pct"/>
          </w:tcPr>
          <w:p w14:paraId="192D4A4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Injury, poisoning and procedural complications</w:t>
            </w:r>
          </w:p>
        </w:tc>
        <w:tc>
          <w:tcPr>
            <w:tcW w:w="1641" w:type="pct"/>
            <w:shd w:val="clear" w:color="auto" w:fill="auto"/>
            <w:vAlign w:val="center"/>
            <w:hideMark/>
          </w:tcPr>
          <w:p w14:paraId="7986DE6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Contusion</w:t>
            </w:r>
          </w:p>
        </w:tc>
        <w:tc>
          <w:tcPr>
            <w:tcW w:w="429" w:type="pct"/>
            <w:shd w:val="clear" w:color="auto" w:fill="auto"/>
            <w:vAlign w:val="center"/>
            <w:hideMark/>
          </w:tcPr>
          <w:p w14:paraId="460E1A9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261FB7C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2.1</w:t>
            </w:r>
          </w:p>
        </w:tc>
        <w:tc>
          <w:tcPr>
            <w:tcW w:w="429" w:type="pct"/>
            <w:shd w:val="clear" w:color="auto" w:fill="auto"/>
            <w:vAlign w:val="center"/>
            <w:hideMark/>
          </w:tcPr>
          <w:p w14:paraId="29D91BD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090EC25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1B426C5D" w14:textId="77777777" w:rsidTr="00B37960">
        <w:trPr>
          <w:cantSplit/>
          <w:trHeight w:val="300"/>
        </w:trPr>
        <w:tc>
          <w:tcPr>
            <w:tcW w:w="1641" w:type="pct"/>
          </w:tcPr>
          <w:p w14:paraId="7AB70BFE"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B54123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Ligament sprain</w:t>
            </w:r>
          </w:p>
        </w:tc>
        <w:tc>
          <w:tcPr>
            <w:tcW w:w="429" w:type="pct"/>
            <w:shd w:val="clear" w:color="auto" w:fill="auto"/>
            <w:vAlign w:val="center"/>
            <w:hideMark/>
          </w:tcPr>
          <w:p w14:paraId="434CE83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875139D"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3E7E707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13AE280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7E6F7E09" w14:textId="77777777" w:rsidTr="00B37960">
        <w:trPr>
          <w:cantSplit/>
          <w:trHeight w:val="300"/>
        </w:trPr>
        <w:tc>
          <w:tcPr>
            <w:tcW w:w="1641" w:type="pct"/>
          </w:tcPr>
          <w:p w14:paraId="5E43DAC4"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6C2C66C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Investigations</w:t>
            </w:r>
          </w:p>
        </w:tc>
      </w:tr>
      <w:tr w:rsidR="005E0D63" w:rsidRPr="00594DB0" w14:paraId="52EA4550" w14:textId="77777777" w:rsidTr="00B37960">
        <w:trPr>
          <w:cantSplit/>
          <w:trHeight w:val="300"/>
        </w:trPr>
        <w:tc>
          <w:tcPr>
            <w:tcW w:w="1641" w:type="pct"/>
          </w:tcPr>
          <w:p w14:paraId="164323D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8C1EF3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Hepatic enzyme increased</w:t>
            </w:r>
          </w:p>
        </w:tc>
        <w:tc>
          <w:tcPr>
            <w:tcW w:w="429" w:type="pct"/>
            <w:shd w:val="clear" w:color="auto" w:fill="auto"/>
            <w:vAlign w:val="center"/>
            <w:hideMark/>
          </w:tcPr>
          <w:p w14:paraId="3302756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005EF69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5627CB1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FA6F3F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r>
      <w:tr w:rsidR="005E0D63" w:rsidRPr="00594DB0" w14:paraId="2695B6DA" w14:textId="77777777" w:rsidTr="00B37960">
        <w:trPr>
          <w:cantSplit/>
          <w:trHeight w:val="300"/>
        </w:trPr>
        <w:tc>
          <w:tcPr>
            <w:tcW w:w="1641" w:type="pct"/>
          </w:tcPr>
          <w:p w14:paraId="0071EE33"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1641" w:type="pct"/>
            <w:shd w:val="clear" w:color="auto" w:fill="auto"/>
            <w:vAlign w:val="center"/>
            <w:hideMark/>
          </w:tcPr>
          <w:p w14:paraId="2DCBCFB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Back pain</w:t>
            </w:r>
          </w:p>
        </w:tc>
        <w:tc>
          <w:tcPr>
            <w:tcW w:w="429" w:type="pct"/>
            <w:shd w:val="clear" w:color="auto" w:fill="auto"/>
            <w:vAlign w:val="center"/>
            <w:hideMark/>
          </w:tcPr>
          <w:p w14:paraId="7EECEB0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620297A5"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18807A79"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5</w:t>
            </w:r>
          </w:p>
        </w:tc>
        <w:tc>
          <w:tcPr>
            <w:tcW w:w="430" w:type="pct"/>
            <w:shd w:val="clear" w:color="auto" w:fill="auto"/>
            <w:vAlign w:val="center"/>
            <w:hideMark/>
          </w:tcPr>
          <w:p w14:paraId="13E72C2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2.2</w:t>
            </w:r>
          </w:p>
        </w:tc>
      </w:tr>
      <w:tr w:rsidR="005E0D63" w:rsidRPr="00594DB0" w14:paraId="2123C680" w14:textId="77777777" w:rsidTr="00B37960">
        <w:trPr>
          <w:cantSplit/>
          <w:trHeight w:val="300"/>
        </w:trPr>
        <w:tc>
          <w:tcPr>
            <w:tcW w:w="1641" w:type="pct"/>
          </w:tcPr>
          <w:p w14:paraId="58948523"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4C4758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Osteoporosis</w:t>
            </w:r>
          </w:p>
        </w:tc>
        <w:tc>
          <w:tcPr>
            <w:tcW w:w="429" w:type="pct"/>
            <w:shd w:val="clear" w:color="auto" w:fill="auto"/>
            <w:vAlign w:val="center"/>
            <w:hideMark/>
          </w:tcPr>
          <w:p w14:paraId="0FDE2992"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58ED71D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28365BD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486D38A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244FD739" w14:textId="77777777" w:rsidTr="00B37960">
        <w:trPr>
          <w:cantSplit/>
          <w:trHeight w:val="300"/>
        </w:trPr>
        <w:tc>
          <w:tcPr>
            <w:tcW w:w="1641" w:type="pct"/>
          </w:tcPr>
          <w:p w14:paraId="7482CFD3"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96BBBC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429" w:type="pct"/>
            <w:shd w:val="clear" w:color="auto" w:fill="auto"/>
            <w:vAlign w:val="center"/>
            <w:hideMark/>
          </w:tcPr>
          <w:p w14:paraId="150E9662"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6BABFB13"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c>
          <w:tcPr>
            <w:tcW w:w="429" w:type="pct"/>
            <w:shd w:val="clear" w:color="auto" w:fill="auto"/>
            <w:vAlign w:val="center"/>
            <w:hideMark/>
          </w:tcPr>
          <w:p w14:paraId="3FCC011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6</w:t>
            </w:r>
          </w:p>
        </w:tc>
        <w:tc>
          <w:tcPr>
            <w:tcW w:w="430" w:type="pct"/>
            <w:shd w:val="clear" w:color="auto" w:fill="auto"/>
            <w:vAlign w:val="center"/>
            <w:hideMark/>
          </w:tcPr>
          <w:p w14:paraId="105191B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2.6</w:t>
            </w:r>
          </w:p>
        </w:tc>
      </w:tr>
      <w:tr w:rsidR="005E0D63" w:rsidRPr="00594DB0" w14:paraId="11A1902B" w14:textId="77777777" w:rsidTr="00B37960">
        <w:trPr>
          <w:cantSplit/>
          <w:trHeight w:val="300"/>
        </w:trPr>
        <w:tc>
          <w:tcPr>
            <w:tcW w:w="1641" w:type="pct"/>
          </w:tcPr>
          <w:p w14:paraId="260072F6"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7A470541"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Nervous system disorders</w:t>
            </w:r>
          </w:p>
        </w:tc>
      </w:tr>
      <w:tr w:rsidR="005E0D63" w:rsidRPr="00594DB0" w14:paraId="4AF24C52" w14:textId="77777777" w:rsidTr="00B37960">
        <w:trPr>
          <w:cantSplit/>
          <w:trHeight w:val="300"/>
        </w:trPr>
        <w:tc>
          <w:tcPr>
            <w:tcW w:w="1641" w:type="pct"/>
          </w:tcPr>
          <w:p w14:paraId="7E247757"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58034DD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Headache</w:t>
            </w:r>
          </w:p>
        </w:tc>
        <w:tc>
          <w:tcPr>
            <w:tcW w:w="429" w:type="pct"/>
            <w:shd w:val="clear" w:color="auto" w:fill="auto"/>
            <w:vAlign w:val="center"/>
            <w:hideMark/>
          </w:tcPr>
          <w:p w14:paraId="11CF5B3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5AEB732C"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c>
          <w:tcPr>
            <w:tcW w:w="429" w:type="pct"/>
            <w:shd w:val="clear" w:color="auto" w:fill="auto"/>
            <w:vAlign w:val="center"/>
            <w:hideMark/>
          </w:tcPr>
          <w:p w14:paraId="15AE342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4</w:t>
            </w:r>
          </w:p>
        </w:tc>
        <w:tc>
          <w:tcPr>
            <w:tcW w:w="430" w:type="pct"/>
            <w:shd w:val="clear" w:color="auto" w:fill="auto"/>
            <w:vAlign w:val="center"/>
            <w:hideMark/>
          </w:tcPr>
          <w:p w14:paraId="5714905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1.7</w:t>
            </w:r>
          </w:p>
        </w:tc>
      </w:tr>
      <w:tr w:rsidR="005E0D63" w:rsidRPr="00594DB0" w14:paraId="1102D64E" w14:textId="77777777" w:rsidTr="00B37960">
        <w:trPr>
          <w:cantSplit/>
          <w:trHeight w:val="300"/>
        </w:trPr>
        <w:tc>
          <w:tcPr>
            <w:tcW w:w="1641" w:type="pct"/>
          </w:tcPr>
          <w:p w14:paraId="4C66C32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Respiratory, thoracic and mediastinal disorders</w:t>
            </w:r>
          </w:p>
        </w:tc>
        <w:tc>
          <w:tcPr>
            <w:tcW w:w="1641" w:type="pct"/>
            <w:shd w:val="clear" w:color="auto" w:fill="auto"/>
            <w:vAlign w:val="center"/>
            <w:hideMark/>
          </w:tcPr>
          <w:p w14:paraId="1D596F1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Cough</w:t>
            </w:r>
          </w:p>
        </w:tc>
        <w:tc>
          <w:tcPr>
            <w:tcW w:w="429" w:type="pct"/>
            <w:shd w:val="clear" w:color="auto" w:fill="auto"/>
            <w:vAlign w:val="center"/>
            <w:hideMark/>
          </w:tcPr>
          <w:p w14:paraId="0B07502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329A7B47"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6B78127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7869E1A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5C40FAEF" w14:textId="77777777" w:rsidTr="00B37960">
        <w:trPr>
          <w:cantSplit/>
          <w:trHeight w:val="300"/>
        </w:trPr>
        <w:tc>
          <w:tcPr>
            <w:tcW w:w="1641" w:type="pct"/>
          </w:tcPr>
          <w:p w14:paraId="34E433F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31A99AF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Upper respiratory tract inflammation</w:t>
            </w:r>
          </w:p>
        </w:tc>
        <w:tc>
          <w:tcPr>
            <w:tcW w:w="429" w:type="pct"/>
            <w:shd w:val="clear" w:color="auto" w:fill="auto"/>
            <w:vAlign w:val="center"/>
            <w:hideMark/>
          </w:tcPr>
          <w:p w14:paraId="52A9C2BA"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55A035BB"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c>
          <w:tcPr>
            <w:tcW w:w="429" w:type="pct"/>
            <w:shd w:val="clear" w:color="auto" w:fill="auto"/>
            <w:vAlign w:val="center"/>
            <w:hideMark/>
          </w:tcPr>
          <w:p w14:paraId="7E3A30C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2</w:t>
            </w:r>
          </w:p>
        </w:tc>
        <w:tc>
          <w:tcPr>
            <w:tcW w:w="430" w:type="pct"/>
            <w:shd w:val="clear" w:color="auto" w:fill="auto"/>
            <w:vAlign w:val="center"/>
            <w:hideMark/>
          </w:tcPr>
          <w:p w14:paraId="196F41E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0.9</w:t>
            </w:r>
          </w:p>
        </w:tc>
      </w:tr>
      <w:tr w:rsidR="005E0D63" w:rsidRPr="00594DB0" w14:paraId="7B4DA249" w14:textId="77777777" w:rsidTr="00B37960">
        <w:trPr>
          <w:cantSplit/>
          <w:trHeight w:val="300"/>
        </w:trPr>
        <w:tc>
          <w:tcPr>
            <w:tcW w:w="1641" w:type="pct"/>
          </w:tcPr>
          <w:p w14:paraId="43E79ADC"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3359" w:type="pct"/>
            <w:gridSpan w:val="5"/>
            <w:shd w:val="clear" w:color="auto" w:fill="auto"/>
            <w:vAlign w:val="center"/>
            <w:hideMark/>
          </w:tcPr>
          <w:p w14:paraId="272CC35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Skin and subcutaneous tissue disorders</w:t>
            </w:r>
          </w:p>
        </w:tc>
      </w:tr>
      <w:tr w:rsidR="005E0D63" w:rsidRPr="00594DB0" w14:paraId="424F71C1" w14:textId="77777777" w:rsidTr="00B37960">
        <w:trPr>
          <w:cantSplit/>
          <w:trHeight w:val="300"/>
        </w:trPr>
        <w:tc>
          <w:tcPr>
            <w:tcW w:w="1641" w:type="pct"/>
          </w:tcPr>
          <w:p w14:paraId="6C57BCA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7CEC854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Eczema</w:t>
            </w:r>
          </w:p>
        </w:tc>
        <w:tc>
          <w:tcPr>
            <w:tcW w:w="429" w:type="pct"/>
            <w:shd w:val="clear" w:color="auto" w:fill="auto"/>
            <w:vAlign w:val="center"/>
            <w:hideMark/>
          </w:tcPr>
          <w:p w14:paraId="18C169A2"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430" w:type="pct"/>
            <w:shd w:val="clear" w:color="auto" w:fill="auto"/>
            <w:vAlign w:val="center"/>
            <w:hideMark/>
          </w:tcPr>
          <w:p w14:paraId="4EFE1CE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0.4</w:t>
            </w:r>
          </w:p>
        </w:tc>
        <w:tc>
          <w:tcPr>
            <w:tcW w:w="429" w:type="pct"/>
            <w:shd w:val="clear" w:color="auto" w:fill="auto"/>
            <w:vAlign w:val="center"/>
            <w:hideMark/>
          </w:tcPr>
          <w:p w14:paraId="05A8AF5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335AED5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47544EB4" w14:textId="77777777" w:rsidTr="00B37960">
        <w:trPr>
          <w:cantSplit/>
          <w:trHeight w:val="300"/>
        </w:trPr>
        <w:tc>
          <w:tcPr>
            <w:tcW w:w="1641" w:type="pct"/>
          </w:tcPr>
          <w:p w14:paraId="7CCBC277"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hideMark/>
          </w:tcPr>
          <w:p w14:paraId="2FF048C4"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Rash</w:t>
            </w:r>
          </w:p>
        </w:tc>
        <w:tc>
          <w:tcPr>
            <w:tcW w:w="429" w:type="pct"/>
            <w:shd w:val="clear" w:color="auto" w:fill="auto"/>
            <w:vAlign w:val="center"/>
            <w:hideMark/>
          </w:tcPr>
          <w:p w14:paraId="302452A8"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30" w:type="pct"/>
            <w:shd w:val="clear" w:color="auto" w:fill="auto"/>
            <w:vAlign w:val="center"/>
            <w:hideMark/>
          </w:tcPr>
          <w:p w14:paraId="7C83CD7F"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429" w:type="pct"/>
            <w:shd w:val="clear" w:color="auto" w:fill="auto"/>
            <w:vAlign w:val="center"/>
            <w:hideMark/>
          </w:tcPr>
          <w:p w14:paraId="676F7280"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3</w:t>
            </w:r>
          </w:p>
        </w:tc>
        <w:tc>
          <w:tcPr>
            <w:tcW w:w="430" w:type="pct"/>
            <w:shd w:val="clear" w:color="auto" w:fill="auto"/>
            <w:vAlign w:val="center"/>
            <w:hideMark/>
          </w:tcPr>
          <w:p w14:paraId="398891F6"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1.3</w:t>
            </w:r>
          </w:p>
        </w:tc>
      </w:tr>
      <w:tr w:rsidR="005E0D63" w:rsidRPr="00594DB0" w14:paraId="2FB8C3B2" w14:textId="77777777" w:rsidTr="00B37960">
        <w:trPr>
          <w:cantSplit/>
          <w:trHeight w:val="300"/>
        </w:trPr>
        <w:tc>
          <w:tcPr>
            <w:tcW w:w="1641" w:type="pct"/>
          </w:tcPr>
          <w:p w14:paraId="085C1C0C"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vAlign w:val="center"/>
          </w:tcPr>
          <w:p w14:paraId="50ACA4DE" w14:textId="77777777" w:rsidR="005E0D63" w:rsidRPr="00594DB0" w:rsidRDefault="005E0D63"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Vascular disorders</w:t>
            </w:r>
          </w:p>
        </w:tc>
        <w:tc>
          <w:tcPr>
            <w:tcW w:w="429" w:type="pct"/>
            <w:shd w:val="clear" w:color="auto" w:fill="auto"/>
            <w:vAlign w:val="center"/>
          </w:tcPr>
          <w:p w14:paraId="0A3DAE72"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430" w:type="pct"/>
            <w:shd w:val="clear" w:color="auto" w:fill="auto"/>
            <w:vAlign w:val="center"/>
          </w:tcPr>
          <w:p w14:paraId="7B59FE10"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429" w:type="pct"/>
            <w:shd w:val="clear" w:color="auto" w:fill="auto"/>
            <w:vAlign w:val="center"/>
          </w:tcPr>
          <w:p w14:paraId="4674A3EC" w14:textId="77777777" w:rsidR="005E0D63" w:rsidRPr="00594DB0" w:rsidRDefault="005E0D63" w:rsidP="0021426A">
            <w:pPr>
              <w:jc w:val="left"/>
              <w:rPr>
                <w:rFonts w:ascii="Times New Roman" w:eastAsia="Times New Roman" w:hAnsi="Times New Roman" w:cs="Times New Roman"/>
                <w:color w:val="000000"/>
                <w:sz w:val="20"/>
                <w:szCs w:val="20"/>
              </w:rPr>
            </w:pPr>
          </w:p>
        </w:tc>
        <w:tc>
          <w:tcPr>
            <w:tcW w:w="430" w:type="pct"/>
            <w:shd w:val="clear" w:color="auto" w:fill="auto"/>
            <w:vAlign w:val="center"/>
          </w:tcPr>
          <w:p w14:paraId="03C1752C" w14:textId="77777777" w:rsidR="005E0D63" w:rsidRPr="00594DB0" w:rsidRDefault="005E0D63" w:rsidP="0021426A">
            <w:pPr>
              <w:jc w:val="left"/>
              <w:rPr>
                <w:rFonts w:ascii="Times New Roman" w:eastAsia="Times New Roman" w:hAnsi="Times New Roman" w:cs="Times New Roman"/>
                <w:color w:val="000000"/>
                <w:sz w:val="20"/>
                <w:szCs w:val="20"/>
              </w:rPr>
            </w:pPr>
          </w:p>
        </w:tc>
      </w:tr>
      <w:tr w:rsidR="005E0D63" w:rsidRPr="00594DB0" w14:paraId="1E075516" w14:textId="77777777" w:rsidTr="00B37960">
        <w:trPr>
          <w:cantSplit/>
          <w:trHeight w:val="300"/>
        </w:trPr>
        <w:tc>
          <w:tcPr>
            <w:tcW w:w="1641" w:type="pct"/>
          </w:tcPr>
          <w:p w14:paraId="5E384BAB" w14:textId="77777777" w:rsidR="005E0D63" w:rsidRPr="005E0D63" w:rsidRDefault="005E0D63" w:rsidP="0021426A">
            <w:pPr>
              <w:jc w:val="left"/>
              <w:rPr>
                <w:rFonts w:ascii="Times New Roman" w:eastAsia="Times New Roman" w:hAnsi="Times New Roman" w:cs="Times New Roman"/>
                <w:color w:val="000000"/>
                <w:sz w:val="20"/>
                <w:szCs w:val="20"/>
              </w:rPr>
            </w:pPr>
          </w:p>
        </w:tc>
        <w:tc>
          <w:tcPr>
            <w:tcW w:w="1641" w:type="pct"/>
            <w:shd w:val="clear" w:color="auto" w:fill="auto"/>
          </w:tcPr>
          <w:p w14:paraId="30BBCE51" w14:textId="77777777" w:rsidR="005E0D63" w:rsidRPr="00594DB0" w:rsidRDefault="005E0D63" w:rsidP="0021426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Hypertension</w:t>
            </w:r>
          </w:p>
        </w:tc>
        <w:tc>
          <w:tcPr>
            <w:tcW w:w="429" w:type="pct"/>
            <w:shd w:val="clear" w:color="auto" w:fill="auto"/>
          </w:tcPr>
          <w:p w14:paraId="2FE6C22F" w14:textId="77777777" w:rsidR="005E0D63" w:rsidRPr="00594DB0" w:rsidRDefault="005E0D63" w:rsidP="0021426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3</w:t>
            </w:r>
          </w:p>
        </w:tc>
        <w:tc>
          <w:tcPr>
            <w:tcW w:w="430" w:type="pct"/>
            <w:shd w:val="clear" w:color="auto" w:fill="auto"/>
          </w:tcPr>
          <w:p w14:paraId="42B446DD" w14:textId="77777777" w:rsidR="005E0D63" w:rsidRPr="00594DB0" w:rsidRDefault="005E0D63" w:rsidP="0021426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1.3</w:t>
            </w:r>
          </w:p>
        </w:tc>
        <w:tc>
          <w:tcPr>
            <w:tcW w:w="429" w:type="pct"/>
            <w:shd w:val="clear" w:color="auto" w:fill="auto"/>
          </w:tcPr>
          <w:p w14:paraId="190F5232" w14:textId="77777777" w:rsidR="005E0D63" w:rsidRPr="00594DB0" w:rsidRDefault="005E0D63" w:rsidP="0021426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 2</w:t>
            </w:r>
          </w:p>
        </w:tc>
        <w:tc>
          <w:tcPr>
            <w:tcW w:w="430" w:type="pct"/>
            <w:shd w:val="clear" w:color="auto" w:fill="auto"/>
          </w:tcPr>
          <w:p w14:paraId="7BD10DB2" w14:textId="77777777" w:rsidR="005E0D63" w:rsidRPr="00594DB0" w:rsidRDefault="005E0D63" w:rsidP="0021426A">
            <w:pPr>
              <w:jc w:val="left"/>
              <w:rPr>
                <w:rFonts w:ascii="Times New Roman" w:eastAsia="Times New Roman" w:hAnsi="Times New Roman" w:cs="Times New Roman"/>
                <w:color w:val="000000"/>
                <w:sz w:val="20"/>
                <w:szCs w:val="20"/>
              </w:rPr>
            </w:pPr>
            <w:r w:rsidRPr="00AE45CE">
              <w:rPr>
                <w:rFonts w:ascii="Times New Roman" w:eastAsia="Times New Roman" w:hAnsi="Times New Roman" w:cs="Times New Roman"/>
                <w:color w:val="000000"/>
                <w:sz w:val="20"/>
                <w:szCs w:val="20"/>
              </w:rPr>
              <w:t>0.9</w:t>
            </w:r>
          </w:p>
        </w:tc>
      </w:tr>
    </w:tbl>
    <w:p w14:paraId="1A57E45E" w14:textId="77777777" w:rsidR="00991D3F" w:rsidRDefault="00991D3F" w:rsidP="0021426A">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260"/>
        <w:gridCol w:w="709"/>
        <w:gridCol w:w="850"/>
        <w:gridCol w:w="851"/>
        <w:gridCol w:w="850"/>
      </w:tblGrid>
      <w:tr w:rsidR="00AE45CE" w:rsidRPr="00594DB0" w14:paraId="07E47B3D" w14:textId="77777777" w:rsidTr="00601332">
        <w:trPr>
          <w:cantSplit/>
          <w:trHeight w:val="300"/>
        </w:trPr>
        <w:tc>
          <w:tcPr>
            <w:tcW w:w="3119" w:type="dxa"/>
          </w:tcPr>
          <w:p w14:paraId="38E0A68B" w14:textId="77777777" w:rsidR="00AE45CE" w:rsidRPr="00594DB0" w:rsidRDefault="00AE45CE" w:rsidP="0021426A">
            <w:pPr>
              <w:jc w:val="left"/>
              <w:rPr>
                <w:rFonts w:ascii="Times New Roman" w:eastAsia="Times New Roman" w:hAnsi="Times New Roman" w:cs="Times New Roman"/>
                <w:b/>
                <w:color w:val="000000"/>
                <w:sz w:val="20"/>
                <w:szCs w:val="20"/>
              </w:rPr>
            </w:pPr>
          </w:p>
        </w:tc>
        <w:tc>
          <w:tcPr>
            <w:tcW w:w="3260" w:type="dxa"/>
            <w:shd w:val="clear" w:color="auto" w:fill="auto"/>
            <w:vAlign w:val="center"/>
          </w:tcPr>
          <w:p w14:paraId="1D61E569"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System organ class</w:t>
            </w:r>
          </w:p>
        </w:tc>
        <w:tc>
          <w:tcPr>
            <w:tcW w:w="1559" w:type="dxa"/>
            <w:gridSpan w:val="2"/>
            <w:shd w:val="clear" w:color="auto" w:fill="auto"/>
            <w:vAlign w:val="center"/>
          </w:tcPr>
          <w:p w14:paraId="4FAAA87D" w14:textId="1876FD55" w:rsidR="00AE45CE" w:rsidRPr="00594DB0" w:rsidRDefault="003D1456" w:rsidP="0021426A">
            <w:pPr>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Rymti</w:t>
            </w:r>
            <w:r w:rsidR="00AE45CE" w:rsidRPr="00594DB0">
              <w:rPr>
                <w:rFonts w:ascii="Times New Roman" w:eastAsia="Times New Roman" w:hAnsi="Times New Roman" w:cs="Times New Roman"/>
                <w:b/>
                <w:color w:val="000000"/>
                <w:sz w:val="20"/>
                <w:szCs w:val="20"/>
              </w:rPr>
              <w:t xml:space="preserve"> 50mg </w:t>
            </w:r>
            <w:r w:rsidR="00AE45CE">
              <w:rPr>
                <w:rFonts w:ascii="Times New Roman" w:eastAsia="Times New Roman" w:hAnsi="Times New Roman" w:cs="Times New Roman"/>
                <w:b/>
                <w:color w:val="000000"/>
                <w:sz w:val="20"/>
                <w:szCs w:val="20"/>
              </w:rPr>
              <w:br/>
            </w:r>
            <w:r w:rsidR="00AE45CE" w:rsidRPr="00594DB0">
              <w:rPr>
                <w:rFonts w:ascii="Times New Roman" w:eastAsia="Times New Roman" w:hAnsi="Times New Roman" w:cs="Times New Roman"/>
                <w:b/>
                <w:color w:val="000000"/>
                <w:sz w:val="20"/>
                <w:szCs w:val="20"/>
              </w:rPr>
              <w:t>(N=</w:t>
            </w:r>
            <w:r w:rsidR="00AE45CE">
              <w:rPr>
                <w:rFonts w:ascii="Times New Roman" w:eastAsia="Times New Roman" w:hAnsi="Times New Roman" w:cs="Times New Roman"/>
                <w:b/>
                <w:color w:val="000000"/>
                <w:sz w:val="20"/>
                <w:szCs w:val="20"/>
              </w:rPr>
              <w:t>8</w:t>
            </w:r>
            <w:r w:rsidR="00AE45CE" w:rsidRPr="00594DB0">
              <w:rPr>
                <w:rFonts w:ascii="Times New Roman" w:eastAsia="Times New Roman" w:hAnsi="Times New Roman" w:cs="Times New Roman"/>
                <w:b/>
                <w:color w:val="000000"/>
                <w:sz w:val="20"/>
                <w:szCs w:val="20"/>
              </w:rPr>
              <w:t>)</w:t>
            </w:r>
          </w:p>
        </w:tc>
        <w:tc>
          <w:tcPr>
            <w:tcW w:w="1701" w:type="dxa"/>
            <w:gridSpan w:val="2"/>
            <w:shd w:val="clear" w:color="auto" w:fill="auto"/>
            <w:vAlign w:val="center"/>
          </w:tcPr>
          <w:p w14:paraId="610E97DA"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Enbrel 50mg </w:t>
            </w:r>
            <w:r>
              <w:rPr>
                <w:rFonts w:ascii="Times New Roman" w:eastAsia="Times New Roman" w:hAnsi="Times New Roman" w:cs="Times New Roman"/>
                <w:b/>
                <w:color w:val="000000"/>
                <w:sz w:val="20"/>
                <w:szCs w:val="20"/>
              </w:rPr>
              <w:br/>
            </w:r>
            <w:r w:rsidRPr="00594DB0">
              <w:rPr>
                <w:rFonts w:ascii="Times New Roman" w:eastAsia="Times New Roman" w:hAnsi="Times New Roman" w:cs="Times New Roman"/>
                <w:b/>
                <w:color w:val="000000"/>
                <w:sz w:val="20"/>
                <w:szCs w:val="20"/>
              </w:rPr>
              <w:t>(N=</w:t>
            </w:r>
            <w:r>
              <w:rPr>
                <w:rFonts w:ascii="Times New Roman" w:eastAsia="Times New Roman" w:hAnsi="Times New Roman" w:cs="Times New Roman"/>
                <w:b/>
                <w:color w:val="000000"/>
                <w:sz w:val="20"/>
                <w:szCs w:val="20"/>
              </w:rPr>
              <w:t>10</w:t>
            </w:r>
            <w:r w:rsidRPr="00594DB0">
              <w:rPr>
                <w:rFonts w:ascii="Times New Roman" w:eastAsia="Times New Roman" w:hAnsi="Times New Roman" w:cs="Times New Roman"/>
                <w:b/>
                <w:color w:val="000000"/>
                <w:sz w:val="20"/>
                <w:szCs w:val="20"/>
              </w:rPr>
              <w:t>)</w:t>
            </w:r>
          </w:p>
        </w:tc>
      </w:tr>
      <w:tr w:rsidR="00601332" w:rsidRPr="00594DB0" w14:paraId="5E09083B" w14:textId="77777777" w:rsidTr="00601332">
        <w:trPr>
          <w:cantSplit/>
          <w:trHeight w:val="300"/>
        </w:trPr>
        <w:tc>
          <w:tcPr>
            <w:tcW w:w="3119" w:type="dxa"/>
          </w:tcPr>
          <w:p w14:paraId="63587BFF" w14:textId="77777777" w:rsidR="00AE45CE" w:rsidRPr="00594DB0" w:rsidRDefault="00AE45CE" w:rsidP="0021426A">
            <w:pPr>
              <w:jc w:val="left"/>
              <w:rPr>
                <w:rFonts w:ascii="Times New Roman" w:eastAsia="Times New Roman" w:hAnsi="Times New Roman" w:cs="Times New Roman"/>
                <w:b/>
                <w:color w:val="000000"/>
                <w:sz w:val="20"/>
                <w:szCs w:val="20"/>
              </w:rPr>
            </w:pPr>
          </w:p>
        </w:tc>
        <w:tc>
          <w:tcPr>
            <w:tcW w:w="3260" w:type="dxa"/>
            <w:shd w:val="clear" w:color="auto" w:fill="auto"/>
            <w:vAlign w:val="center"/>
          </w:tcPr>
          <w:p w14:paraId="5499BF40"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 xml:space="preserve">  Preferred term</w:t>
            </w:r>
          </w:p>
        </w:tc>
        <w:tc>
          <w:tcPr>
            <w:tcW w:w="709" w:type="dxa"/>
            <w:shd w:val="clear" w:color="auto" w:fill="auto"/>
            <w:vAlign w:val="center"/>
          </w:tcPr>
          <w:p w14:paraId="294ADD62"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850" w:type="dxa"/>
            <w:shd w:val="clear" w:color="auto" w:fill="auto"/>
            <w:vAlign w:val="center"/>
          </w:tcPr>
          <w:p w14:paraId="381BB7FE"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c>
          <w:tcPr>
            <w:tcW w:w="851" w:type="dxa"/>
            <w:shd w:val="clear" w:color="auto" w:fill="auto"/>
            <w:vAlign w:val="center"/>
          </w:tcPr>
          <w:p w14:paraId="1A6E5861"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n</w:t>
            </w:r>
          </w:p>
        </w:tc>
        <w:tc>
          <w:tcPr>
            <w:tcW w:w="850" w:type="dxa"/>
            <w:shd w:val="clear" w:color="auto" w:fill="auto"/>
            <w:vAlign w:val="center"/>
          </w:tcPr>
          <w:p w14:paraId="16413132" w14:textId="77777777" w:rsidR="00AE45CE" w:rsidRPr="00594DB0" w:rsidRDefault="00AE45CE"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w:t>
            </w:r>
          </w:p>
        </w:tc>
      </w:tr>
      <w:tr w:rsidR="00AE45CE" w:rsidRPr="00594DB0" w14:paraId="6A9E6EC1" w14:textId="77777777" w:rsidTr="00B37960">
        <w:trPr>
          <w:trHeight w:val="300"/>
        </w:trPr>
        <w:tc>
          <w:tcPr>
            <w:tcW w:w="3119" w:type="dxa"/>
          </w:tcPr>
          <w:p w14:paraId="1B8D9AB3" w14:textId="77777777" w:rsidR="00AE45CE" w:rsidRPr="00594DB0" w:rsidRDefault="00601332" w:rsidP="0021426A">
            <w:pPr>
              <w:jc w:val="left"/>
              <w:rPr>
                <w:rFonts w:ascii="Times New Roman" w:eastAsia="Times New Roman" w:hAnsi="Times New Roman" w:cs="Times New Roman"/>
                <w:b/>
                <w:color w:val="000000"/>
                <w:sz w:val="20"/>
                <w:szCs w:val="20"/>
              </w:rPr>
            </w:pPr>
            <w:r w:rsidRPr="00594DB0">
              <w:rPr>
                <w:rFonts w:ascii="Times New Roman" w:eastAsia="Times New Roman" w:hAnsi="Times New Roman" w:cs="Times New Roman"/>
                <w:b/>
                <w:color w:val="000000"/>
                <w:sz w:val="20"/>
                <w:szCs w:val="20"/>
              </w:rPr>
              <w:t>Stage C</w:t>
            </w:r>
          </w:p>
        </w:tc>
        <w:tc>
          <w:tcPr>
            <w:tcW w:w="6520" w:type="dxa"/>
            <w:gridSpan w:val="5"/>
            <w:shd w:val="clear" w:color="auto" w:fill="auto"/>
            <w:noWrap/>
            <w:vAlign w:val="bottom"/>
            <w:hideMark/>
          </w:tcPr>
          <w:p w14:paraId="227481A5" w14:textId="77777777" w:rsidR="00AE45CE" w:rsidRPr="00594DB0" w:rsidRDefault="00AE45CE" w:rsidP="0021426A">
            <w:pPr>
              <w:jc w:val="left"/>
              <w:rPr>
                <w:rFonts w:ascii="Times New Roman" w:eastAsia="Times New Roman" w:hAnsi="Times New Roman" w:cs="Times New Roman"/>
                <w:color w:val="000000"/>
                <w:sz w:val="20"/>
                <w:szCs w:val="20"/>
              </w:rPr>
            </w:pPr>
          </w:p>
        </w:tc>
      </w:tr>
      <w:tr w:rsidR="00601332" w:rsidRPr="00594DB0" w14:paraId="02623918" w14:textId="77777777" w:rsidTr="00601332">
        <w:trPr>
          <w:cantSplit/>
          <w:trHeight w:val="300"/>
        </w:trPr>
        <w:tc>
          <w:tcPr>
            <w:tcW w:w="3119" w:type="dxa"/>
          </w:tcPr>
          <w:p w14:paraId="5B0BDDD2"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Blood and lymphatic system disorders</w:t>
            </w:r>
          </w:p>
        </w:tc>
        <w:tc>
          <w:tcPr>
            <w:tcW w:w="3260" w:type="dxa"/>
            <w:shd w:val="clear" w:color="auto" w:fill="auto"/>
            <w:vAlign w:val="center"/>
            <w:hideMark/>
          </w:tcPr>
          <w:p w14:paraId="714996DB"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Leukopenia</w:t>
            </w:r>
          </w:p>
        </w:tc>
        <w:tc>
          <w:tcPr>
            <w:tcW w:w="709" w:type="dxa"/>
            <w:shd w:val="clear" w:color="auto" w:fill="auto"/>
            <w:vAlign w:val="center"/>
            <w:hideMark/>
          </w:tcPr>
          <w:p w14:paraId="2F2D3A08"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75182317"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3A070F8F"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3BECB17F"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601332" w:rsidRPr="00594DB0" w14:paraId="1592EBE5" w14:textId="77777777" w:rsidTr="00601332">
        <w:trPr>
          <w:cantSplit/>
          <w:trHeight w:val="300"/>
        </w:trPr>
        <w:tc>
          <w:tcPr>
            <w:tcW w:w="3119" w:type="dxa"/>
          </w:tcPr>
          <w:p w14:paraId="0D350D09"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4741D868"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Neutropenia</w:t>
            </w:r>
          </w:p>
        </w:tc>
        <w:tc>
          <w:tcPr>
            <w:tcW w:w="709" w:type="dxa"/>
            <w:shd w:val="clear" w:color="auto" w:fill="auto"/>
            <w:vAlign w:val="center"/>
            <w:hideMark/>
          </w:tcPr>
          <w:p w14:paraId="4417D8DA"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61E6EDE6"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73416E10"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30285007"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3DBD59F9" w14:textId="77777777" w:rsidTr="00601332">
        <w:trPr>
          <w:cantSplit/>
          <w:trHeight w:val="300"/>
        </w:trPr>
        <w:tc>
          <w:tcPr>
            <w:tcW w:w="3119" w:type="dxa"/>
          </w:tcPr>
          <w:p w14:paraId="40707161"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34BA7121"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Cardiac disorders</w:t>
            </w:r>
          </w:p>
        </w:tc>
        <w:tc>
          <w:tcPr>
            <w:tcW w:w="709" w:type="dxa"/>
            <w:shd w:val="clear" w:color="auto" w:fill="auto"/>
            <w:vAlign w:val="center"/>
            <w:hideMark/>
          </w:tcPr>
          <w:p w14:paraId="6F92BF20"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850" w:type="dxa"/>
            <w:shd w:val="clear" w:color="auto" w:fill="auto"/>
            <w:vAlign w:val="center"/>
            <w:hideMark/>
          </w:tcPr>
          <w:p w14:paraId="6BBB1B0B"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851" w:type="dxa"/>
            <w:shd w:val="clear" w:color="auto" w:fill="auto"/>
            <w:vAlign w:val="center"/>
            <w:hideMark/>
          </w:tcPr>
          <w:p w14:paraId="04096EE9"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850" w:type="dxa"/>
            <w:shd w:val="clear" w:color="auto" w:fill="auto"/>
            <w:vAlign w:val="center"/>
            <w:hideMark/>
          </w:tcPr>
          <w:p w14:paraId="78F08222" w14:textId="77777777" w:rsidR="00AE45CE" w:rsidRPr="00594DB0" w:rsidRDefault="00AE45CE" w:rsidP="0021426A">
            <w:pPr>
              <w:jc w:val="left"/>
              <w:rPr>
                <w:rFonts w:ascii="Times New Roman" w:eastAsia="Times New Roman" w:hAnsi="Times New Roman" w:cs="Times New Roman"/>
                <w:color w:val="000000"/>
                <w:sz w:val="20"/>
                <w:szCs w:val="20"/>
              </w:rPr>
            </w:pPr>
          </w:p>
        </w:tc>
      </w:tr>
      <w:tr w:rsidR="00601332" w:rsidRPr="00594DB0" w14:paraId="592B24C0" w14:textId="77777777" w:rsidTr="00601332">
        <w:trPr>
          <w:cantSplit/>
          <w:trHeight w:val="300"/>
        </w:trPr>
        <w:tc>
          <w:tcPr>
            <w:tcW w:w="3119" w:type="dxa"/>
          </w:tcPr>
          <w:p w14:paraId="2431769B"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189FE749"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Atrioventricular block first degree</w:t>
            </w:r>
          </w:p>
        </w:tc>
        <w:tc>
          <w:tcPr>
            <w:tcW w:w="709" w:type="dxa"/>
            <w:shd w:val="clear" w:color="auto" w:fill="auto"/>
            <w:vAlign w:val="center"/>
            <w:hideMark/>
          </w:tcPr>
          <w:p w14:paraId="4978A03B"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33A7C091"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459338F1"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3BFC4D38"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7DF30A2D" w14:textId="77777777" w:rsidTr="00601332">
        <w:trPr>
          <w:cantSplit/>
          <w:trHeight w:val="300"/>
        </w:trPr>
        <w:tc>
          <w:tcPr>
            <w:tcW w:w="3119" w:type="dxa"/>
          </w:tcPr>
          <w:p w14:paraId="672DB78F"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General disorders and administration site conditions</w:t>
            </w:r>
          </w:p>
        </w:tc>
        <w:tc>
          <w:tcPr>
            <w:tcW w:w="3260" w:type="dxa"/>
            <w:shd w:val="clear" w:color="auto" w:fill="auto"/>
            <w:vAlign w:val="center"/>
            <w:hideMark/>
          </w:tcPr>
          <w:p w14:paraId="5FE7D2AC"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Injection site erythema</w:t>
            </w:r>
          </w:p>
        </w:tc>
        <w:tc>
          <w:tcPr>
            <w:tcW w:w="709" w:type="dxa"/>
            <w:shd w:val="clear" w:color="auto" w:fill="auto"/>
            <w:vAlign w:val="center"/>
            <w:hideMark/>
          </w:tcPr>
          <w:p w14:paraId="5B89F5A3"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56A1504B"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05924489"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575BF5D6"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r w:rsidR="00AE45CE" w:rsidRPr="00594DB0" w14:paraId="2651E28D" w14:textId="77777777" w:rsidTr="00B37960">
        <w:trPr>
          <w:cantSplit/>
          <w:trHeight w:val="300"/>
        </w:trPr>
        <w:tc>
          <w:tcPr>
            <w:tcW w:w="3119" w:type="dxa"/>
          </w:tcPr>
          <w:p w14:paraId="6FDA4EB7"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6520" w:type="dxa"/>
            <w:gridSpan w:val="5"/>
            <w:shd w:val="clear" w:color="auto" w:fill="auto"/>
            <w:vAlign w:val="center"/>
            <w:hideMark/>
          </w:tcPr>
          <w:p w14:paraId="250AB1C0"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Infections and infestations</w:t>
            </w:r>
          </w:p>
        </w:tc>
      </w:tr>
      <w:tr w:rsidR="00601332" w:rsidRPr="00594DB0" w14:paraId="653FF4DB" w14:textId="77777777" w:rsidTr="00601332">
        <w:trPr>
          <w:cantSplit/>
          <w:trHeight w:val="300"/>
        </w:trPr>
        <w:tc>
          <w:tcPr>
            <w:tcW w:w="3119" w:type="dxa"/>
          </w:tcPr>
          <w:p w14:paraId="2E6CFFDC"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26A05D16"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Respiratory tract infection viral</w:t>
            </w:r>
          </w:p>
        </w:tc>
        <w:tc>
          <w:tcPr>
            <w:tcW w:w="709" w:type="dxa"/>
            <w:shd w:val="clear" w:color="auto" w:fill="auto"/>
            <w:vAlign w:val="center"/>
            <w:hideMark/>
          </w:tcPr>
          <w:p w14:paraId="711FD760"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6D967B87"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410DDB69"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4BA71E3D"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5850DD1A" w14:textId="77777777" w:rsidTr="00601332">
        <w:trPr>
          <w:cantSplit/>
          <w:trHeight w:val="300"/>
        </w:trPr>
        <w:tc>
          <w:tcPr>
            <w:tcW w:w="3119" w:type="dxa"/>
          </w:tcPr>
          <w:p w14:paraId="61A16892" w14:textId="77777777" w:rsidR="00AE45CE" w:rsidRPr="00594DB0" w:rsidRDefault="00AE45CE" w:rsidP="0021426A">
            <w:pPr>
              <w:jc w:val="left"/>
              <w:rPr>
                <w:rFonts w:ascii="Times New Roman" w:eastAsia="Times New Roman" w:hAnsi="Times New Roman" w:cs="Times New Roman"/>
                <w:color w:val="000000"/>
                <w:sz w:val="20"/>
                <w:szCs w:val="20"/>
              </w:rPr>
            </w:pPr>
          </w:p>
        </w:tc>
        <w:tc>
          <w:tcPr>
            <w:tcW w:w="3260" w:type="dxa"/>
            <w:shd w:val="clear" w:color="auto" w:fill="auto"/>
            <w:vAlign w:val="center"/>
            <w:hideMark/>
          </w:tcPr>
          <w:p w14:paraId="0835A247"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Urinary tract infection</w:t>
            </w:r>
          </w:p>
        </w:tc>
        <w:tc>
          <w:tcPr>
            <w:tcW w:w="709" w:type="dxa"/>
            <w:shd w:val="clear" w:color="auto" w:fill="auto"/>
            <w:vAlign w:val="center"/>
            <w:hideMark/>
          </w:tcPr>
          <w:p w14:paraId="0C9F2D3A"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5196BCB9"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1" w:type="dxa"/>
            <w:shd w:val="clear" w:color="auto" w:fill="auto"/>
            <w:vAlign w:val="center"/>
            <w:hideMark/>
          </w:tcPr>
          <w:p w14:paraId="1ED2D6F5"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198D2F00"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10</w:t>
            </w:r>
          </w:p>
        </w:tc>
      </w:tr>
      <w:tr w:rsidR="00601332" w:rsidRPr="00594DB0" w14:paraId="594E1A31" w14:textId="77777777" w:rsidTr="00601332">
        <w:trPr>
          <w:cantSplit/>
          <w:trHeight w:val="300"/>
        </w:trPr>
        <w:tc>
          <w:tcPr>
            <w:tcW w:w="3119" w:type="dxa"/>
          </w:tcPr>
          <w:p w14:paraId="313F20F0"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Musculoskeletal and connective tissue disorders</w:t>
            </w:r>
          </w:p>
        </w:tc>
        <w:tc>
          <w:tcPr>
            <w:tcW w:w="3260" w:type="dxa"/>
            <w:shd w:val="clear" w:color="auto" w:fill="auto"/>
            <w:vAlign w:val="center"/>
            <w:hideMark/>
          </w:tcPr>
          <w:p w14:paraId="5DDF5FA4"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  Rheumatoid arthritis</w:t>
            </w:r>
          </w:p>
        </w:tc>
        <w:tc>
          <w:tcPr>
            <w:tcW w:w="709" w:type="dxa"/>
            <w:shd w:val="clear" w:color="auto" w:fill="auto"/>
            <w:vAlign w:val="center"/>
            <w:hideMark/>
          </w:tcPr>
          <w:p w14:paraId="5D650938"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w:t>
            </w:r>
          </w:p>
        </w:tc>
        <w:tc>
          <w:tcPr>
            <w:tcW w:w="850" w:type="dxa"/>
            <w:shd w:val="clear" w:color="auto" w:fill="auto"/>
            <w:vAlign w:val="center"/>
            <w:hideMark/>
          </w:tcPr>
          <w:p w14:paraId="081F7FBD"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12.5</w:t>
            </w:r>
          </w:p>
        </w:tc>
        <w:tc>
          <w:tcPr>
            <w:tcW w:w="851" w:type="dxa"/>
            <w:shd w:val="clear" w:color="auto" w:fill="auto"/>
            <w:vAlign w:val="center"/>
            <w:hideMark/>
          </w:tcPr>
          <w:p w14:paraId="3B7439B2"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c>
          <w:tcPr>
            <w:tcW w:w="850" w:type="dxa"/>
            <w:shd w:val="clear" w:color="auto" w:fill="auto"/>
            <w:vAlign w:val="center"/>
            <w:hideMark/>
          </w:tcPr>
          <w:p w14:paraId="74D638CE" w14:textId="77777777" w:rsidR="00AE45CE" w:rsidRPr="00594DB0" w:rsidRDefault="00AE45CE" w:rsidP="0021426A">
            <w:pPr>
              <w:jc w:val="left"/>
              <w:rPr>
                <w:rFonts w:ascii="Times New Roman" w:eastAsia="Times New Roman" w:hAnsi="Times New Roman" w:cs="Times New Roman"/>
                <w:color w:val="000000"/>
                <w:sz w:val="20"/>
                <w:szCs w:val="20"/>
              </w:rPr>
            </w:pPr>
            <w:r w:rsidRPr="00594DB0">
              <w:rPr>
                <w:rFonts w:ascii="Times New Roman" w:eastAsia="Times New Roman" w:hAnsi="Times New Roman" w:cs="Times New Roman"/>
                <w:color w:val="000000"/>
                <w:sz w:val="20"/>
                <w:szCs w:val="20"/>
              </w:rPr>
              <w:t>0</w:t>
            </w:r>
          </w:p>
        </w:tc>
      </w:tr>
    </w:tbl>
    <w:p w14:paraId="24C14C50" w14:textId="77777777" w:rsidR="009948C6" w:rsidRDefault="009948C6" w:rsidP="0021426A">
      <w:pPr>
        <w:jc w:val="left"/>
      </w:pPr>
    </w:p>
    <w:p w14:paraId="05B62AD6" w14:textId="3A283871" w:rsidR="0096130B" w:rsidRDefault="0096130B" w:rsidP="0021426A">
      <w:pPr>
        <w:pStyle w:val="Heading4"/>
        <w:jc w:val="left"/>
      </w:pPr>
      <w:r w:rsidRPr="003A2DFB">
        <w:t xml:space="preserve">Comparative Safety of </w:t>
      </w:r>
      <w:r>
        <w:t>Rymti</w:t>
      </w:r>
      <w:r w:rsidRPr="003A2DFB">
        <w:t xml:space="preserve"> and E</w:t>
      </w:r>
      <w:r w:rsidR="00CE3728" w:rsidRPr="003A2DFB">
        <w:t>nbrel</w:t>
      </w:r>
      <w:r w:rsidRPr="003A2DFB">
        <w:t xml:space="preserve">® </w:t>
      </w:r>
      <w:r>
        <w:t>Injection Site Reactions</w:t>
      </w:r>
      <w:r w:rsidR="004968B6">
        <w:t xml:space="preserve"> and Immunogenicity</w:t>
      </w:r>
    </w:p>
    <w:p w14:paraId="3E2AA985" w14:textId="77777777" w:rsidR="0096130B" w:rsidRDefault="0096130B" w:rsidP="0021426A">
      <w:pPr>
        <w:autoSpaceDE w:val="0"/>
        <w:autoSpaceDN w:val="0"/>
        <w:adjustRightInd w:val="0"/>
        <w:ind w:left="425"/>
        <w:jc w:val="left"/>
        <w:rPr>
          <w:lang w:val="en-US"/>
        </w:rPr>
      </w:pPr>
    </w:p>
    <w:p w14:paraId="0AD32757" w14:textId="3ACBF4B7" w:rsidR="0096130B" w:rsidRPr="00EA1B35" w:rsidRDefault="0096130B" w:rsidP="0021426A">
      <w:pPr>
        <w:autoSpaceDE w:val="0"/>
        <w:autoSpaceDN w:val="0"/>
        <w:adjustRightInd w:val="0"/>
        <w:ind w:left="425"/>
        <w:jc w:val="left"/>
        <w:rPr>
          <w:lang w:val="en-US"/>
        </w:rPr>
      </w:pPr>
      <w:r w:rsidRPr="00EA1B35">
        <w:rPr>
          <w:lang w:val="en-US"/>
        </w:rPr>
        <w:t xml:space="preserve">Results from the Phase 3 clinical </w:t>
      </w:r>
      <w:r w:rsidRPr="00EA1B35">
        <w:t xml:space="preserve">Study </w:t>
      </w:r>
      <w:r w:rsidRPr="000C0B82">
        <w:t xml:space="preserve">YLP113-002 </w:t>
      </w:r>
      <w:r w:rsidRPr="00EA1B35">
        <w:rPr>
          <w:lang w:val="en-US"/>
        </w:rPr>
        <w:t>indicated that the incidence of reactions in the Rymti treatment arm was significantly lower (11.0 %) in comparison to those observed in the Enbrel</w:t>
      </w:r>
      <w:r w:rsidR="00CE3728" w:rsidRPr="000C0B82">
        <w:t>®</w:t>
      </w:r>
      <w:r w:rsidRPr="00EA1B35">
        <w:rPr>
          <w:lang w:val="en-US"/>
        </w:rPr>
        <w:t xml:space="preserve"> treatment arm (31.1 %). Some variation was observed between the treatment groups: injection site erythema (Rymti 1.9% vs Enbrel</w:t>
      </w:r>
      <w:r w:rsidR="00CE3728" w:rsidRPr="000C0B82">
        <w:t>®</w:t>
      </w:r>
      <w:r w:rsidRPr="00EA1B35">
        <w:rPr>
          <w:lang w:val="en-US"/>
        </w:rPr>
        <w:t xml:space="preserve"> 9.8%) and injection site reaction (3.8% vs 13.8%) were lower in the Rymti treatment arm. A possible explanation for the differences may be due to the latex component in the needle shield of Enbrel</w:t>
      </w:r>
      <w:r w:rsidR="00CE3728" w:rsidRPr="000C0B82">
        <w:t>®</w:t>
      </w:r>
      <w:r w:rsidRPr="00EA1B35">
        <w:rPr>
          <w:lang w:val="en-US"/>
        </w:rPr>
        <w:t>, which is not a component in the needle shield of Rymti. However, tests on the component of the needle shield ha</w:t>
      </w:r>
      <w:r w:rsidR="00041231" w:rsidRPr="00EA1B35">
        <w:rPr>
          <w:lang w:val="en-US"/>
        </w:rPr>
        <w:t>ve</w:t>
      </w:r>
      <w:r w:rsidRPr="00EA1B35">
        <w:rPr>
          <w:lang w:val="en-US"/>
        </w:rPr>
        <w:t xml:space="preserve"> not been conducted to establish that the local site </w:t>
      </w:r>
      <w:r w:rsidR="00041231" w:rsidRPr="00EA1B35">
        <w:rPr>
          <w:lang w:val="en-US"/>
        </w:rPr>
        <w:t>reactions</w:t>
      </w:r>
      <w:r w:rsidRPr="00EA1B35">
        <w:rPr>
          <w:lang w:val="en-US"/>
        </w:rPr>
        <w:t xml:space="preserve"> are due to the presence of latex. </w:t>
      </w:r>
    </w:p>
    <w:p w14:paraId="244F9E3F" w14:textId="77777777" w:rsidR="00991D3F" w:rsidRPr="00EA1B35" w:rsidRDefault="00991D3F" w:rsidP="0021426A">
      <w:pPr>
        <w:pStyle w:val="NormalIndent1"/>
        <w:jc w:val="left"/>
        <w:rPr>
          <w:lang w:val="en-US"/>
        </w:rPr>
      </w:pPr>
    </w:p>
    <w:p w14:paraId="1D76A590" w14:textId="5794D99B" w:rsidR="00991D3F" w:rsidRPr="00EA1B35" w:rsidRDefault="00041231" w:rsidP="0021426A">
      <w:pPr>
        <w:pStyle w:val="NormalIndent1"/>
        <w:jc w:val="left"/>
      </w:pPr>
      <w:r w:rsidRPr="00EA1B35">
        <w:t>The maximum ADA rate reported at any time point over 52 weeks of treatment was 3.6% in the Enbrel</w:t>
      </w:r>
      <w:r w:rsidR="003502C3" w:rsidRPr="000C0B82">
        <w:t>®</w:t>
      </w:r>
      <w:r w:rsidRPr="00EA1B35">
        <w:t xml:space="preserve"> treatment </w:t>
      </w:r>
      <w:r w:rsidR="003502C3" w:rsidRPr="00EA1B35">
        <w:t>group</w:t>
      </w:r>
      <w:r w:rsidRPr="00EA1B35">
        <w:t xml:space="preserve"> and 0.4% in the Rymti treatment </w:t>
      </w:r>
      <w:r w:rsidR="003502C3" w:rsidRPr="00EA1B35">
        <w:t>group</w:t>
      </w:r>
      <w:r w:rsidRPr="00EA1B35">
        <w:t>.  The overall ADA incidence was 8.3% and 0.8% with Enbrel</w:t>
      </w:r>
      <w:r w:rsidR="003502C3" w:rsidRPr="000C0B82">
        <w:t>®</w:t>
      </w:r>
      <w:r w:rsidRPr="00EA1B35">
        <w:t xml:space="preserve"> and Rymti, respectively. The overall long-term immunogenicity of ADA (pooled from Stage A and B) with Rymti was lower (0.9%) compared to Enbrel</w:t>
      </w:r>
      <w:r w:rsidR="00116F09" w:rsidRPr="00EA1B35">
        <w:rPr>
          <w:rFonts w:cstheme="minorHAnsi"/>
        </w:rPr>
        <w:t>®</w:t>
      </w:r>
      <w:r w:rsidRPr="00EA1B35">
        <w:t xml:space="preserve"> (9.2%). Most of the reported ADAs were of low tit</w:t>
      </w:r>
      <w:r w:rsidR="002862B2" w:rsidRPr="00EA1B35">
        <w:t>re</w:t>
      </w:r>
      <w:r w:rsidRPr="00EA1B35">
        <w:t>. Of those subjects who tested positive for ADA, only 2 subjects in the Enbrel</w:t>
      </w:r>
      <w:r w:rsidR="00116F09" w:rsidRPr="00EA1B35">
        <w:rPr>
          <w:rFonts w:cstheme="minorHAnsi"/>
        </w:rPr>
        <w:t>®</w:t>
      </w:r>
      <w:r w:rsidRPr="00EA1B35">
        <w:t xml:space="preserve"> treatment arm had neutralizing ADA. </w:t>
      </w:r>
    </w:p>
    <w:p w14:paraId="09EB0110" w14:textId="77777777" w:rsidR="009948C6" w:rsidRPr="00EA1B35" w:rsidRDefault="009948C6" w:rsidP="0021426A">
      <w:pPr>
        <w:pStyle w:val="NormalIndent1"/>
        <w:jc w:val="left"/>
        <w:rPr>
          <w:lang w:val="en-US"/>
        </w:rPr>
      </w:pPr>
    </w:p>
    <w:bookmarkEnd w:id="7"/>
    <w:p w14:paraId="19735106" w14:textId="77777777" w:rsidR="002930BA" w:rsidRPr="008B73F6" w:rsidRDefault="002930BA" w:rsidP="0021426A">
      <w:pPr>
        <w:pStyle w:val="Heading3"/>
        <w:jc w:val="left"/>
        <w:rPr>
          <w:lang w:val="en-US"/>
        </w:rPr>
      </w:pPr>
      <w:r>
        <w:rPr>
          <w:lang w:val="en-US"/>
        </w:rPr>
        <w:t>Reporting Suspected Adverse Reactions</w:t>
      </w:r>
    </w:p>
    <w:p w14:paraId="77F81291" w14:textId="77777777" w:rsidR="00D032BE" w:rsidRPr="005D690B" w:rsidRDefault="00D032BE" w:rsidP="0021426A">
      <w:pPr>
        <w:pStyle w:val="NormalIndent1"/>
        <w:keepNext/>
        <w:keepLines/>
        <w:jc w:val="left"/>
        <w:rPr>
          <w:lang w:val="en"/>
        </w:rPr>
      </w:pPr>
    </w:p>
    <w:p w14:paraId="02ED3825" w14:textId="77777777" w:rsidR="00497C85" w:rsidRPr="00EA1B35" w:rsidRDefault="00497C85" w:rsidP="0021426A">
      <w:pPr>
        <w:pStyle w:val="NormalIndent1"/>
        <w:keepNext/>
        <w:keepLines/>
        <w:jc w:val="left"/>
        <w:rPr>
          <w:lang w:val="en"/>
        </w:rPr>
      </w:pPr>
      <w:r w:rsidRPr="00EA1B35">
        <w:rPr>
          <w:lang w:val="en"/>
        </w:rPr>
        <w:t>Reporting suspected adverse reactions after registration of the medicinal product is important.</w:t>
      </w:r>
      <w:r w:rsidR="00716FA6" w:rsidRPr="00EA1B35">
        <w:rPr>
          <w:lang w:val="en"/>
        </w:rPr>
        <w:t xml:space="preserve"> </w:t>
      </w:r>
      <w:r w:rsidRPr="00EA1B35">
        <w:rPr>
          <w:lang w:val="en"/>
        </w:rPr>
        <w:t xml:space="preserve"> It allows continued monitoring of the benefit-risk balance of the medicinal product. </w:t>
      </w:r>
      <w:r w:rsidR="00716FA6" w:rsidRPr="00EA1B35">
        <w:rPr>
          <w:lang w:val="en"/>
        </w:rPr>
        <w:t xml:space="preserve"> </w:t>
      </w:r>
      <w:r w:rsidRPr="00EA1B35">
        <w:rPr>
          <w:lang w:val="en"/>
        </w:rPr>
        <w:t xml:space="preserve">Healthcare professionals are asked to report any suspected adverse reactions at </w:t>
      </w:r>
      <w:hyperlink r:id="rId11" w:history="1">
        <w:r w:rsidRPr="000C0B82">
          <w:rPr>
            <w:rFonts w:cstheme="minorHAnsi"/>
            <w:lang w:val="en"/>
          </w:rPr>
          <w:t>www.tga.gov.au/reporting-problems</w:t>
        </w:r>
      </w:hyperlink>
      <w:r w:rsidRPr="00EA1B35">
        <w:rPr>
          <w:lang w:val="en"/>
        </w:rPr>
        <w:t>.</w:t>
      </w:r>
    </w:p>
    <w:p w14:paraId="618F9378" w14:textId="77777777" w:rsidR="005D690B" w:rsidRPr="00EA1B35" w:rsidRDefault="005D690B" w:rsidP="0021426A">
      <w:pPr>
        <w:pStyle w:val="NormalIndent1"/>
        <w:jc w:val="left"/>
      </w:pPr>
    </w:p>
    <w:p w14:paraId="5C194CFE" w14:textId="77777777" w:rsidR="001A3992" w:rsidRPr="00541FDD" w:rsidRDefault="004A3628" w:rsidP="0021426A">
      <w:pPr>
        <w:pStyle w:val="Heading2"/>
        <w:jc w:val="left"/>
        <w:rPr>
          <w:smallCaps/>
        </w:rPr>
      </w:pPr>
      <w:r>
        <w:t>4.9</w:t>
      </w:r>
      <w:r>
        <w:tab/>
      </w:r>
      <w:r w:rsidR="001A3992" w:rsidRPr="00541FDD">
        <w:t>Overdose</w:t>
      </w:r>
    </w:p>
    <w:p w14:paraId="51AB9A6B" w14:textId="77777777" w:rsidR="00AA4CBF" w:rsidRDefault="00AA4CBF" w:rsidP="0021426A">
      <w:pPr>
        <w:pStyle w:val="NormalIndent1"/>
        <w:jc w:val="left"/>
        <w:rPr>
          <w:lang w:val="en"/>
        </w:rPr>
      </w:pPr>
    </w:p>
    <w:p w14:paraId="3F4FD529" w14:textId="19FC73B6" w:rsidR="00A5774D" w:rsidRPr="00A5774D" w:rsidRDefault="00A5774D" w:rsidP="0021426A">
      <w:pPr>
        <w:pStyle w:val="NormalIndent1"/>
        <w:jc w:val="left"/>
      </w:pPr>
      <w:r w:rsidRPr="00A5774D">
        <w:t xml:space="preserve">The maximum tolerated dose of </w:t>
      </w:r>
      <w:r w:rsidR="00C36EA6">
        <w:t>etanercept</w:t>
      </w:r>
      <w:r w:rsidRPr="00A5774D">
        <w:t xml:space="preserve"> has not been established in humans.  Repeat-dose studies have been performed in cynomolgus monkeys at doses resulting in AUC-based systemic exposure levels of etanercept that were over 13-fold higher than in humans at the highest proposed therapeutic dose of 50 mg and have revealed no dose-limiting or target organ toxicity.  No dose-limiting toxicities were observed during clinical trials of RA patients.  The highest dose level evaluated has been an IV loading dose of 32 mg/m</w:t>
      </w:r>
      <w:r w:rsidRPr="00A5774D">
        <w:rPr>
          <w:vertAlign w:val="superscript"/>
        </w:rPr>
        <w:t>2</w:t>
      </w:r>
      <w:r w:rsidRPr="00A5774D">
        <w:t xml:space="preserve"> followed by SC doses of 16 mg/m</w:t>
      </w:r>
      <w:r w:rsidRPr="00A5774D">
        <w:rPr>
          <w:vertAlign w:val="superscript"/>
        </w:rPr>
        <w:t>2</w:t>
      </w:r>
      <w:r w:rsidRPr="00A5774D">
        <w:t xml:space="preserve"> administered twice weekly.  One RA patient mistakenly self-administered 62 mg </w:t>
      </w:r>
      <w:r w:rsidR="00C36EA6">
        <w:t>etanercept</w:t>
      </w:r>
      <w:r w:rsidRPr="00A5774D">
        <w:t xml:space="preserve"> SC twice weekly for three weeks without experiencing unexpected side effects.  Single IV doses up to 60 mg/m</w:t>
      </w:r>
      <w:r w:rsidRPr="00A5774D">
        <w:rPr>
          <w:vertAlign w:val="superscript"/>
        </w:rPr>
        <w:t>2</w:t>
      </w:r>
      <w:r w:rsidRPr="00A5774D">
        <w:t xml:space="preserve"> (approximately twice the recommended dose) have been administered to healthy volunteers in an </w:t>
      </w:r>
      <w:proofErr w:type="spellStart"/>
      <w:r w:rsidRPr="00A5774D">
        <w:t>endotoxaemia</w:t>
      </w:r>
      <w:proofErr w:type="spellEnd"/>
      <w:r w:rsidRPr="00A5774D">
        <w:t xml:space="preserve"> study without evidence of dose-limiting toxicities.</w:t>
      </w:r>
    </w:p>
    <w:p w14:paraId="74B15B03" w14:textId="77777777" w:rsidR="00A5774D" w:rsidRDefault="00A5774D" w:rsidP="0021426A">
      <w:pPr>
        <w:pStyle w:val="NormalIndent1"/>
        <w:jc w:val="left"/>
      </w:pPr>
    </w:p>
    <w:p w14:paraId="52FD691E" w14:textId="4C13719C" w:rsidR="00AA4CBF" w:rsidRPr="00A5774D" w:rsidRDefault="00A5774D" w:rsidP="0021426A">
      <w:pPr>
        <w:pStyle w:val="NormalIndent1"/>
        <w:jc w:val="left"/>
      </w:pPr>
      <w:r w:rsidRPr="00A5774D">
        <w:t xml:space="preserve">There is no known antidote to </w:t>
      </w:r>
      <w:r w:rsidR="00C36EA6">
        <w:t>etanercept</w:t>
      </w:r>
      <w:r w:rsidRPr="00A5774D">
        <w:t xml:space="preserve">.  For </w:t>
      </w:r>
      <w:r w:rsidR="007301B2">
        <w:t>information</w:t>
      </w:r>
      <w:r w:rsidR="007301B2" w:rsidRPr="00A5774D">
        <w:t xml:space="preserve"> </w:t>
      </w:r>
      <w:r w:rsidRPr="00A5774D">
        <w:t>on the management of overdosage, contact the Poisons Information Centre on 13</w:t>
      </w:r>
      <w:r w:rsidR="007301B2">
        <w:t xml:space="preserve"> </w:t>
      </w:r>
      <w:r w:rsidRPr="00A5774D">
        <w:t>11</w:t>
      </w:r>
      <w:r w:rsidR="007301B2">
        <w:t xml:space="preserve"> </w:t>
      </w:r>
      <w:r w:rsidRPr="00A5774D">
        <w:t>26</w:t>
      </w:r>
      <w:r w:rsidR="007301B2">
        <w:t xml:space="preserve"> (Australia)</w:t>
      </w:r>
      <w:r w:rsidRPr="00A5774D">
        <w:t>.</w:t>
      </w:r>
    </w:p>
    <w:p w14:paraId="189E1D5F" w14:textId="77777777" w:rsidR="005D690B" w:rsidRPr="005D690B" w:rsidRDefault="005D690B" w:rsidP="0021426A">
      <w:pPr>
        <w:pStyle w:val="NormalIndent1"/>
        <w:jc w:val="left"/>
      </w:pPr>
    </w:p>
    <w:p w14:paraId="04D984D4" w14:textId="77777777" w:rsidR="001A3992" w:rsidRPr="005D690B" w:rsidRDefault="005D690B" w:rsidP="0021426A">
      <w:pPr>
        <w:pStyle w:val="Heading1"/>
        <w:jc w:val="left"/>
        <w:rPr>
          <w:caps/>
          <w:lang w:val="en-US"/>
        </w:rPr>
      </w:pPr>
      <w:r w:rsidRPr="005D690B">
        <w:rPr>
          <w:lang w:val="en-US"/>
        </w:rPr>
        <w:t>PHARMACOLOGICAL PROPERTIES</w:t>
      </w:r>
    </w:p>
    <w:p w14:paraId="7B2D631A" w14:textId="77777777" w:rsidR="00C636F4" w:rsidRDefault="00C636F4" w:rsidP="0021426A">
      <w:pPr>
        <w:pStyle w:val="NormalIndent1"/>
        <w:jc w:val="left"/>
        <w:rPr>
          <w:lang w:val="en-US"/>
        </w:rPr>
      </w:pPr>
    </w:p>
    <w:p w14:paraId="3DBBB666" w14:textId="65514E15" w:rsidR="00C636F4" w:rsidRPr="00073160" w:rsidRDefault="00C636F4" w:rsidP="0021426A">
      <w:pPr>
        <w:pStyle w:val="NormalIndent1"/>
        <w:jc w:val="left"/>
        <w:rPr>
          <w:lang w:val="en-US"/>
        </w:rPr>
      </w:pPr>
      <w:r w:rsidRPr="00073160">
        <w:rPr>
          <w:lang w:val="en-US"/>
        </w:rPr>
        <w:t xml:space="preserve">The comparability of </w:t>
      </w:r>
      <w:r>
        <w:rPr>
          <w:lang w:val="en-US"/>
        </w:rPr>
        <w:t>Rymti</w:t>
      </w:r>
      <w:r w:rsidRPr="00073160">
        <w:rPr>
          <w:lang w:val="en-US"/>
        </w:rPr>
        <w:t xml:space="preserve"> with Enbrel® has been demonstrated, with regard to physicochemical characteristics and efficacy and safety outcomes [</w:t>
      </w:r>
      <w:r w:rsidRPr="00073160">
        <w:rPr>
          <w:b/>
          <w:lang w:val="en-US"/>
        </w:rPr>
        <w:t>Section 5</w:t>
      </w:r>
      <w:r>
        <w:rPr>
          <w:b/>
          <w:lang w:val="en-US"/>
        </w:rPr>
        <w:t>.</w:t>
      </w:r>
      <w:r w:rsidRPr="00073160">
        <w:rPr>
          <w:b/>
          <w:lang w:val="en-US"/>
        </w:rPr>
        <w:t>1 Pharmacodynamic Properties</w:t>
      </w:r>
      <w:r>
        <w:rPr>
          <w:b/>
          <w:lang w:val="en-US"/>
        </w:rPr>
        <w:t xml:space="preserve"> </w:t>
      </w:r>
      <w:r w:rsidRPr="00073160">
        <w:rPr>
          <w:lang w:val="en-US"/>
        </w:rPr>
        <w:t>and</w:t>
      </w:r>
      <w:r>
        <w:rPr>
          <w:b/>
          <w:lang w:val="en-US"/>
        </w:rPr>
        <w:t xml:space="preserve"> Section 5.2 Pharmacokinetic Properties</w:t>
      </w:r>
      <w:r w:rsidRPr="00073160">
        <w:rPr>
          <w:lang w:val="en-US"/>
        </w:rPr>
        <w:t xml:space="preserve">]. </w:t>
      </w:r>
      <w:r>
        <w:rPr>
          <w:lang w:val="en-US"/>
        </w:rPr>
        <w:t xml:space="preserve"> </w:t>
      </w:r>
      <w:r w:rsidRPr="00073160">
        <w:rPr>
          <w:lang w:val="en-US"/>
        </w:rPr>
        <w:t xml:space="preserve">The level of comparability that has been shown supports the use of </w:t>
      </w:r>
      <w:r>
        <w:rPr>
          <w:lang w:val="en-US"/>
        </w:rPr>
        <w:t>Rymti</w:t>
      </w:r>
      <w:r w:rsidRPr="00073160">
        <w:rPr>
          <w:lang w:val="en-US"/>
        </w:rPr>
        <w:t xml:space="preserve"> for the listed indications.</w:t>
      </w:r>
    </w:p>
    <w:p w14:paraId="27C97F26" w14:textId="77777777" w:rsidR="005D690B" w:rsidRPr="005D690B" w:rsidRDefault="005D690B" w:rsidP="0021426A">
      <w:pPr>
        <w:jc w:val="left"/>
        <w:rPr>
          <w:lang w:val="en-US"/>
        </w:rPr>
      </w:pPr>
    </w:p>
    <w:p w14:paraId="781FAF3D" w14:textId="77777777" w:rsidR="001A3992" w:rsidRDefault="004A3628" w:rsidP="0021426A">
      <w:pPr>
        <w:pStyle w:val="Heading2"/>
        <w:jc w:val="left"/>
        <w:rPr>
          <w:smallCaps/>
          <w:lang w:val="en-US"/>
        </w:rPr>
      </w:pPr>
      <w:r>
        <w:rPr>
          <w:lang w:val="en-US"/>
        </w:rPr>
        <w:t>5.1</w:t>
      </w:r>
      <w:r>
        <w:rPr>
          <w:lang w:val="en-US"/>
        </w:rPr>
        <w:tab/>
      </w:r>
      <w:r w:rsidR="001A3992" w:rsidRPr="005D690B">
        <w:rPr>
          <w:lang w:val="en-US"/>
        </w:rPr>
        <w:t xml:space="preserve">Pharmacodynamic </w:t>
      </w:r>
      <w:r w:rsidR="005D690B" w:rsidRPr="005D690B">
        <w:rPr>
          <w:lang w:val="en-US"/>
        </w:rPr>
        <w:t xml:space="preserve">Properties </w:t>
      </w:r>
    </w:p>
    <w:p w14:paraId="7292C093" w14:textId="77777777" w:rsidR="005D690B" w:rsidRPr="00F70019" w:rsidRDefault="005D690B" w:rsidP="0021426A">
      <w:pPr>
        <w:pStyle w:val="NormalIndent1"/>
        <w:jc w:val="left"/>
      </w:pPr>
    </w:p>
    <w:p w14:paraId="02F2CCB4" w14:textId="77777777" w:rsidR="00643274" w:rsidRPr="00643274" w:rsidRDefault="00643274" w:rsidP="0021426A">
      <w:pPr>
        <w:pStyle w:val="NormalIndent1"/>
        <w:jc w:val="left"/>
        <w:rPr>
          <w:lang w:val="en-US"/>
        </w:rPr>
      </w:pPr>
      <w:r w:rsidRPr="00643274">
        <w:rPr>
          <w:lang w:val="en-US"/>
        </w:rPr>
        <w:t xml:space="preserve">Etanercept binds specifically to </w:t>
      </w:r>
      <w:proofErr w:type="spellStart"/>
      <w:r w:rsidRPr="00643274">
        <w:rPr>
          <w:lang w:val="en-US"/>
        </w:rPr>
        <w:t>tumour</w:t>
      </w:r>
      <w:proofErr w:type="spellEnd"/>
      <w:r w:rsidRPr="00643274">
        <w:rPr>
          <w:lang w:val="en-US"/>
        </w:rPr>
        <w:t xml:space="preserve"> necrosis factor (TNF) and blocks its interaction with cell surface TNF receptors.  Etanercept did not induce complement-mediated cytolysis of murine T cells that expressed TNF on the cell surface.  TNF is a naturally occurring cytokine that is involved in normal inflammatory and immune responses.  TNF is a dominant cytokine in the inflammatory process of rheumatoid arthritis.  Elevated levels of TNF are also found in the synovium and psoriatic plaques of patients with psoriatic arthritis and in serum and synovial tissue of patients with ankylosing spondylitis.  In plaque psoriasis, infiltration by inflammatory cells including T-cells leads to increased TNF levels in psoriatic lesions, compared with levels in uninvolved skin. </w:t>
      </w:r>
    </w:p>
    <w:p w14:paraId="37A3CE43" w14:textId="77777777" w:rsidR="00643274" w:rsidRPr="00643274" w:rsidRDefault="00643274" w:rsidP="0021426A">
      <w:pPr>
        <w:pStyle w:val="NormalIndent1"/>
        <w:jc w:val="left"/>
        <w:rPr>
          <w:lang w:val="en-US"/>
        </w:rPr>
      </w:pPr>
    </w:p>
    <w:p w14:paraId="222CB503" w14:textId="77777777" w:rsidR="00643274" w:rsidRPr="00643274" w:rsidRDefault="00643274" w:rsidP="0021426A">
      <w:pPr>
        <w:pStyle w:val="NormalIndent1"/>
        <w:jc w:val="left"/>
        <w:rPr>
          <w:lang w:val="en-US"/>
        </w:rPr>
      </w:pPr>
      <w:r w:rsidRPr="00643274">
        <w:rPr>
          <w:lang w:val="en-US"/>
        </w:rPr>
        <w:t>Two distinct receptors for TNF (TNFRs), a 55 kilodalton protein (p55) and a 75 kilodalton protein (p75), exist naturally as monomeric molecules on cell surfaces and in soluble forms.  Biological activity of TNF is dependent upon binding to either cell surface TNFR.</w:t>
      </w:r>
    </w:p>
    <w:p w14:paraId="28290850" w14:textId="77777777" w:rsidR="00643274" w:rsidRPr="00643274" w:rsidRDefault="00643274" w:rsidP="0021426A">
      <w:pPr>
        <w:pStyle w:val="NormalIndent1"/>
        <w:jc w:val="left"/>
        <w:rPr>
          <w:lang w:val="en-US"/>
        </w:rPr>
      </w:pPr>
    </w:p>
    <w:p w14:paraId="49309ED5" w14:textId="47F503B9" w:rsidR="00643274" w:rsidRPr="00643274" w:rsidRDefault="00643274" w:rsidP="0021426A">
      <w:pPr>
        <w:pStyle w:val="NormalIndent1"/>
        <w:jc w:val="left"/>
        <w:rPr>
          <w:lang w:val="en-US"/>
        </w:rPr>
      </w:pPr>
      <w:r w:rsidRPr="00643274">
        <w:rPr>
          <w:lang w:val="en-US"/>
        </w:rPr>
        <w:t xml:space="preserve">Etanercept is a dimeric soluble form of the p75 TNF receptor that can bind to two TNF molecules. </w:t>
      </w:r>
      <w:r>
        <w:rPr>
          <w:lang w:val="en-US"/>
        </w:rPr>
        <w:t xml:space="preserve"> </w:t>
      </w:r>
      <w:r w:rsidRPr="00643274">
        <w:rPr>
          <w:lang w:val="en-US"/>
        </w:rPr>
        <w:t xml:space="preserve">It inhibits the activity of TNF </w:t>
      </w:r>
      <w:r w:rsidRPr="00643274">
        <w:rPr>
          <w:i/>
          <w:lang w:val="en-US"/>
        </w:rPr>
        <w:t xml:space="preserve">in vitro </w:t>
      </w:r>
      <w:r w:rsidRPr="00643274">
        <w:rPr>
          <w:lang w:val="en-US"/>
        </w:rPr>
        <w:t>and has been shown to affect several animal models of inflammation, including murine collagen-induced arthritis.  Etanercept inhibits binding of both TNF</w:t>
      </w:r>
      <w:r>
        <w:rPr>
          <w:lang w:val="en-US"/>
        </w:rPr>
        <w:sym w:font="Symbol" w:char="F061"/>
      </w:r>
      <w:r w:rsidRPr="00643274">
        <w:rPr>
          <w:lang w:val="en-US"/>
        </w:rPr>
        <w:t xml:space="preserve"> and TNF</w:t>
      </w:r>
      <w:r w:rsidR="002C353F">
        <w:rPr>
          <w:lang w:val="en-US"/>
        </w:rPr>
        <w:sym w:font="Symbol" w:char="F062"/>
      </w:r>
      <w:r w:rsidRPr="00643274">
        <w:rPr>
          <w:lang w:val="en-US"/>
        </w:rPr>
        <w:t xml:space="preserve"> (lymphotoxin alpha [</w:t>
      </w:r>
      <w:r w:rsidR="002C353F">
        <w:rPr>
          <w:lang w:val="en-US"/>
        </w:rPr>
        <w:t>L</w:t>
      </w:r>
      <w:r w:rsidRPr="00643274">
        <w:rPr>
          <w:lang w:val="en-US"/>
        </w:rPr>
        <w:t>T</w:t>
      </w:r>
      <w:r w:rsidR="002C353F">
        <w:rPr>
          <w:lang w:val="en-US"/>
        </w:rPr>
        <w:sym w:font="Symbol" w:char="F061"/>
      </w:r>
      <w:r w:rsidRPr="00643274">
        <w:rPr>
          <w:lang w:val="en-US"/>
        </w:rPr>
        <w:t xml:space="preserve">]) to cell surface TNFRs, rendering TNF biologically inactive. </w:t>
      </w:r>
      <w:r w:rsidR="002C353F">
        <w:rPr>
          <w:lang w:val="en-US"/>
        </w:rPr>
        <w:t xml:space="preserve"> </w:t>
      </w:r>
      <w:r w:rsidRPr="00643274">
        <w:rPr>
          <w:lang w:val="en-US"/>
        </w:rPr>
        <w:t xml:space="preserve">Cells expressing transmembrane TNF that bind </w:t>
      </w:r>
      <w:r w:rsidR="00C36EA6">
        <w:rPr>
          <w:lang w:val="en-US"/>
        </w:rPr>
        <w:t>etanercept</w:t>
      </w:r>
      <w:r w:rsidRPr="00643274">
        <w:rPr>
          <w:lang w:val="en-US"/>
        </w:rPr>
        <w:t xml:space="preserve"> are not lysed </w:t>
      </w:r>
      <w:r w:rsidRPr="00643274">
        <w:rPr>
          <w:i/>
          <w:lang w:val="en-US"/>
        </w:rPr>
        <w:t xml:space="preserve">in vitro </w:t>
      </w:r>
      <w:r w:rsidRPr="00643274">
        <w:rPr>
          <w:lang w:val="en-US"/>
        </w:rPr>
        <w:t>in the presence or absence of complement.</w:t>
      </w:r>
    </w:p>
    <w:p w14:paraId="694A2CF0" w14:textId="77777777" w:rsidR="005D690B" w:rsidRPr="00F70019" w:rsidRDefault="005D690B" w:rsidP="0021426A">
      <w:pPr>
        <w:pStyle w:val="NormalIndent1"/>
        <w:jc w:val="left"/>
      </w:pPr>
    </w:p>
    <w:p w14:paraId="5DAAF20A" w14:textId="77777777" w:rsidR="001A3992" w:rsidRDefault="001A3992" w:rsidP="0021426A">
      <w:pPr>
        <w:pStyle w:val="Heading3"/>
        <w:jc w:val="left"/>
      </w:pPr>
      <w:r w:rsidRPr="005D690B">
        <w:t xml:space="preserve">Mechanism of </w:t>
      </w:r>
      <w:r w:rsidR="005D690B" w:rsidRPr="005D690B">
        <w:t>Action</w:t>
      </w:r>
    </w:p>
    <w:p w14:paraId="02145755" w14:textId="77777777" w:rsidR="005D690B" w:rsidRPr="00F70019" w:rsidRDefault="005D690B" w:rsidP="0021426A">
      <w:pPr>
        <w:pStyle w:val="NormalIndent1"/>
        <w:jc w:val="left"/>
      </w:pPr>
    </w:p>
    <w:p w14:paraId="6167085B" w14:textId="1BF29A07" w:rsidR="005D690B" w:rsidRPr="00F70019" w:rsidRDefault="00643274" w:rsidP="0021426A">
      <w:pPr>
        <w:pStyle w:val="NormalIndent1"/>
        <w:jc w:val="left"/>
      </w:pPr>
      <w:r w:rsidRPr="00643274">
        <w:t>Pro-inflammatory molecules that are linked in a network controlled by TNF mediate much of the joint pathology in rheumatoid arthritis and ankylosing spondylitis and skin pathology in plaque psoriasis.  The mechanism of action of etanercept is thought to be its competitive inhibition of TNF binding to cell surface TNFR, preventing TNF-mediated cellular responses by rendering TNF biologically inactive.  Etanercept may also modulate biological responses controlled by additional downstream molecules (</w:t>
      </w:r>
      <w:proofErr w:type="spellStart"/>
      <w:r w:rsidRPr="00643274">
        <w:t>eg</w:t>
      </w:r>
      <w:proofErr w:type="spellEnd"/>
      <w:r w:rsidRPr="00643274">
        <w:t>. cytokines, adhesion molecules, or proteinases) that are induced or regulated by TNF</w:t>
      </w:r>
    </w:p>
    <w:p w14:paraId="48B878E8" w14:textId="77777777" w:rsidR="005D690B" w:rsidRDefault="005D690B" w:rsidP="0021426A">
      <w:pPr>
        <w:pStyle w:val="NormalIndent1"/>
        <w:jc w:val="left"/>
      </w:pPr>
    </w:p>
    <w:p w14:paraId="680331B3" w14:textId="3C86B9F3" w:rsidR="001A0063" w:rsidRDefault="001A0063" w:rsidP="0021426A">
      <w:pPr>
        <w:pStyle w:val="Heading3"/>
        <w:jc w:val="left"/>
      </w:pPr>
      <w:r>
        <w:t xml:space="preserve">Comparability of </w:t>
      </w:r>
      <w:r w:rsidR="003D1456">
        <w:t>Rymti</w:t>
      </w:r>
      <w:r>
        <w:t xml:space="preserve"> with </w:t>
      </w:r>
      <w:r w:rsidRPr="001A0063">
        <w:t>E</w:t>
      </w:r>
      <w:r w:rsidR="00116F09" w:rsidRPr="001A0063">
        <w:t>nbrel</w:t>
      </w:r>
      <w:r w:rsidRPr="002F7CFC">
        <w:t>®</w:t>
      </w:r>
    </w:p>
    <w:p w14:paraId="5D967C90" w14:textId="77777777" w:rsidR="001A0063" w:rsidRDefault="001A0063" w:rsidP="0021426A">
      <w:pPr>
        <w:pStyle w:val="NormalIndent1"/>
        <w:jc w:val="left"/>
      </w:pPr>
    </w:p>
    <w:p w14:paraId="713586A9" w14:textId="17987F57" w:rsidR="00111871" w:rsidRPr="000C0B82" w:rsidRDefault="00111871" w:rsidP="0021426A">
      <w:pPr>
        <w:pStyle w:val="NormalIndent1"/>
        <w:jc w:val="left"/>
      </w:pPr>
      <w:r w:rsidRPr="000C0B82">
        <w:t xml:space="preserve">Comparability assessment of pharmacodynamic </w:t>
      </w:r>
      <w:r w:rsidRPr="000C0B82">
        <w:rPr>
          <w:i/>
          <w:iCs/>
        </w:rPr>
        <w:t xml:space="preserve">in vitro </w:t>
      </w:r>
      <w:r w:rsidRPr="000C0B82">
        <w:t xml:space="preserve">studies including binding and cell based assays, as well as an </w:t>
      </w:r>
      <w:r w:rsidRPr="000C0B82">
        <w:rPr>
          <w:i/>
          <w:iCs/>
        </w:rPr>
        <w:t xml:space="preserve">in vivo </w:t>
      </w:r>
      <w:r w:rsidRPr="000C0B82">
        <w:t xml:space="preserve">efficacy study in </w:t>
      </w:r>
      <w:r w:rsidR="003B0A76" w:rsidRPr="000C0B82">
        <w:t>swiss albino</w:t>
      </w:r>
      <w:r w:rsidRPr="000C0B82">
        <w:t xml:space="preserve"> mice support similar/equivalent pharmacological activity of </w:t>
      </w:r>
      <w:r w:rsidR="003D1456" w:rsidRPr="000C0B82">
        <w:t>Rymti</w:t>
      </w:r>
      <w:r w:rsidRPr="000C0B82">
        <w:t xml:space="preserve"> compared to Enbrel</w:t>
      </w:r>
      <w:r w:rsidR="00116F09" w:rsidRPr="00EA1B35">
        <w:rPr>
          <w:rFonts w:cstheme="minorHAnsi"/>
        </w:rPr>
        <w:t>®</w:t>
      </w:r>
      <w:r w:rsidR="003B0A76" w:rsidRPr="000C0B82">
        <w:t>.</w:t>
      </w:r>
    </w:p>
    <w:p w14:paraId="2D7C063E" w14:textId="77777777" w:rsidR="003B0A76" w:rsidRPr="000C0B82" w:rsidRDefault="003B0A76" w:rsidP="0021426A">
      <w:pPr>
        <w:pStyle w:val="NormalIndent1"/>
        <w:jc w:val="left"/>
      </w:pPr>
    </w:p>
    <w:p w14:paraId="0A085450" w14:textId="450BC846" w:rsidR="003B0A76" w:rsidRPr="000C0B82" w:rsidRDefault="003B0A76" w:rsidP="0021426A">
      <w:pPr>
        <w:pStyle w:val="NormalIndent1"/>
        <w:jc w:val="left"/>
      </w:pPr>
      <w:r w:rsidRPr="000C0B82">
        <w:t xml:space="preserve">The </w:t>
      </w:r>
      <w:r w:rsidRPr="000C0B82">
        <w:rPr>
          <w:i/>
          <w:iCs/>
        </w:rPr>
        <w:t xml:space="preserve">in vitro </w:t>
      </w:r>
      <w:r w:rsidRPr="000C0B82">
        <w:t>assays were closely associated with the mode of action of etanercept (including TNF-α, LT-α3 binding assays and the NF-</w:t>
      </w:r>
      <w:proofErr w:type="spellStart"/>
      <w:r w:rsidRPr="000C0B82">
        <w:t>κB</w:t>
      </w:r>
      <w:proofErr w:type="spellEnd"/>
      <w:r w:rsidRPr="000C0B82">
        <w:t xml:space="preserve"> reporter gene assay). In addition, Fc-related binding and functional activities were assessed, although the main function of the Fc-region of etanercept is to prolong half-life rather than to impa</w:t>
      </w:r>
      <w:r w:rsidR="00721140" w:rsidRPr="000C0B82">
        <w:t>c</w:t>
      </w:r>
      <w:r w:rsidRPr="000C0B82">
        <w:t xml:space="preserve">t on Fc-mediated effector activity. Similarity between the activities of </w:t>
      </w:r>
      <w:r w:rsidR="003D1456" w:rsidRPr="000C0B82">
        <w:t>Rymti</w:t>
      </w:r>
      <w:r w:rsidRPr="000C0B82">
        <w:t xml:space="preserve"> and Enbrel® were demonstrated in these </w:t>
      </w:r>
      <w:r w:rsidRPr="000C0B82">
        <w:rPr>
          <w:i/>
          <w:iCs/>
        </w:rPr>
        <w:t xml:space="preserve">in vitro </w:t>
      </w:r>
      <w:r w:rsidRPr="000C0B82">
        <w:t>studies.</w:t>
      </w:r>
      <w:r w:rsidR="00B86E1C" w:rsidRPr="000C0B82">
        <w:t xml:space="preserve"> However, Rymti showed higher levels of </w:t>
      </w:r>
      <w:r w:rsidR="00FC6ABC" w:rsidRPr="000C0B82">
        <w:t>Antibody Dependent Cell Cytotoxicity (</w:t>
      </w:r>
      <w:r w:rsidR="00B86E1C" w:rsidRPr="000C0B82">
        <w:t>ADCC</w:t>
      </w:r>
      <w:r w:rsidR="00FC6ABC" w:rsidRPr="000C0B82">
        <w:t>)</w:t>
      </w:r>
      <w:r w:rsidR="00B86E1C" w:rsidRPr="000C0B82">
        <w:t xml:space="preserve"> activity than Enbrel</w:t>
      </w:r>
      <w:r w:rsidR="00116F09" w:rsidRPr="00EA1B35">
        <w:rPr>
          <w:rFonts w:cstheme="minorHAnsi"/>
        </w:rPr>
        <w:t>®</w:t>
      </w:r>
      <w:r w:rsidR="00B86E1C" w:rsidRPr="000C0B82">
        <w:t xml:space="preserve">, which is attributed to higher levels of afucosylation. </w:t>
      </w:r>
    </w:p>
    <w:p w14:paraId="7C974817" w14:textId="77777777" w:rsidR="003B0A76" w:rsidRPr="000C0B82" w:rsidRDefault="003B0A76" w:rsidP="0021426A">
      <w:pPr>
        <w:pStyle w:val="NormalIndent1"/>
        <w:jc w:val="left"/>
      </w:pPr>
    </w:p>
    <w:p w14:paraId="52B5A20D" w14:textId="73AD0556" w:rsidR="003B0A76" w:rsidRPr="00EA1B35" w:rsidRDefault="003B0A76" w:rsidP="0021426A">
      <w:pPr>
        <w:pStyle w:val="NormalIndent1"/>
        <w:jc w:val="left"/>
      </w:pPr>
      <w:r w:rsidRPr="000C0B82">
        <w:t xml:space="preserve">An </w:t>
      </w:r>
      <w:r w:rsidRPr="000C0B82">
        <w:rPr>
          <w:i/>
          <w:iCs/>
        </w:rPr>
        <w:t xml:space="preserve">in vivo </w:t>
      </w:r>
      <w:r w:rsidRPr="000C0B82">
        <w:t xml:space="preserve">study was conducted to demonstrate similar suppressive activity of </w:t>
      </w:r>
      <w:r w:rsidR="003D1456" w:rsidRPr="000C0B82">
        <w:t>Rymti</w:t>
      </w:r>
      <w:r w:rsidRPr="000C0B82">
        <w:t xml:space="preserve"> and Enbrel® on TNF-α mediated pathology in a swiss albino mouse model of collagen induced arthritis. Both products suppressed the development of arthritis, as determined by changes in footpad volumes and clinical scores, with no significant differences among treated groups.</w:t>
      </w:r>
    </w:p>
    <w:p w14:paraId="1D16A4C4" w14:textId="77777777" w:rsidR="001A0063" w:rsidRPr="00F70019" w:rsidRDefault="001A0063" w:rsidP="0021426A">
      <w:pPr>
        <w:pStyle w:val="NormalIndent1"/>
        <w:jc w:val="left"/>
      </w:pPr>
    </w:p>
    <w:p w14:paraId="08BBB718" w14:textId="77777777" w:rsidR="001A3992" w:rsidRDefault="001A3992" w:rsidP="0021426A">
      <w:pPr>
        <w:pStyle w:val="Heading3"/>
        <w:jc w:val="left"/>
        <w:rPr>
          <w:lang w:val="en-US"/>
        </w:rPr>
      </w:pPr>
      <w:r w:rsidRPr="005D690B">
        <w:t>Clinical</w:t>
      </w:r>
      <w:r w:rsidRPr="005D690B">
        <w:rPr>
          <w:lang w:val="en-US"/>
        </w:rPr>
        <w:t xml:space="preserve"> </w:t>
      </w:r>
      <w:r w:rsidR="005D690B" w:rsidRPr="005D690B">
        <w:rPr>
          <w:lang w:val="en-US"/>
        </w:rPr>
        <w:t>Trials</w:t>
      </w:r>
    </w:p>
    <w:p w14:paraId="246BB690" w14:textId="77777777" w:rsidR="002C353F" w:rsidRPr="00F70019" w:rsidRDefault="002C353F" w:rsidP="0021426A">
      <w:pPr>
        <w:pStyle w:val="NormalIndent1"/>
        <w:jc w:val="left"/>
      </w:pPr>
    </w:p>
    <w:p w14:paraId="5347778C" w14:textId="700EF513" w:rsidR="002C353F" w:rsidRPr="002C353F" w:rsidRDefault="002C353F" w:rsidP="0021426A">
      <w:pPr>
        <w:pStyle w:val="NormalIndent1"/>
        <w:jc w:val="left"/>
        <w:rPr>
          <w:lang w:val="en-US"/>
        </w:rPr>
      </w:pPr>
      <w:r w:rsidRPr="002C353F">
        <w:rPr>
          <w:lang w:val="en-US"/>
        </w:rPr>
        <w:t xml:space="preserve">This section presents data from 5 randomised controlled studies </w:t>
      </w:r>
      <w:r w:rsidR="00303788">
        <w:rPr>
          <w:lang w:val="en-US"/>
        </w:rPr>
        <w:t xml:space="preserve">with etanercept </w:t>
      </w:r>
      <w:r w:rsidRPr="002C353F">
        <w:rPr>
          <w:lang w:val="en-US"/>
        </w:rPr>
        <w:t>in adults with rheumatoid arthritis,</w:t>
      </w:r>
      <w:r>
        <w:rPr>
          <w:lang w:val="en-US"/>
        </w:rPr>
        <w:t xml:space="preserve"> </w:t>
      </w:r>
      <w:r w:rsidRPr="002C353F">
        <w:rPr>
          <w:lang w:val="en-US"/>
        </w:rPr>
        <w:t xml:space="preserve">3 studies in </w:t>
      </w:r>
      <w:proofErr w:type="spellStart"/>
      <w:r w:rsidRPr="002C353F">
        <w:rPr>
          <w:lang w:val="en-US"/>
        </w:rPr>
        <w:t>paediatric</w:t>
      </w:r>
      <w:proofErr w:type="spellEnd"/>
      <w:r w:rsidRPr="002C353F">
        <w:rPr>
          <w:lang w:val="en-US"/>
        </w:rPr>
        <w:t xml:space="preserve"> patients with JIA, 2 studies in adults with ankylosing spondylitis, 1 study in adults with non-radiographic axial spondyloarthritis, 1</w:t>
      </w:r>
      <w:r>
        <w:rPr>
          <w:lang w:val="en-US"/>
        </w:rPr>
        <w:t xml:space="preserve"> </w:t>
      </w:r>
      <w:r w:rsidRPr="002C353F">
        <w:rPr>
          <w:lang w:val="en-US"/>
        </w:rPr>
        <w:t>study in adults with psoriatic arthritis</w:t>
      </w:r>
      <w:r w:rsidR="00485977">
        <w:rPr>
          <w:lang w:val="en-US"/>
        </w:rPr>
        <w:t xml:space="preserve"> and</w:t>
      </w:r>
      <w:r>
        <w:rPr>
          <w:lang w:val="en-US"/>
        </w:rPr>
        <w:t xml:space="preserve"> </w:t>
      </w:r>
      <w:r w:rsidRPr="002C353F">
        <w:rPr>
          <w:lang w:val="en-US"/>
        </w:rPr>
        <w:t xml:space="preserve">2 studies in adults with plaque psoriasis and 1 study in </w:t>
      </w:r>
      <w:proofErr w:type="spellStart"/>
      <w:r w:rsidRPr="002C353F">
        <w:rPr>
          <w:lang w:val="en-US"/>
        </w:rPr>
        <w:t>paediatric</w:t>
      </w:r>
      <w:proofErr w:type="spellEnd"/>
      <w:r w:rsidRPr="002C353F">
        <w:rPr>
          <w:lang w:val="en-US"/>
        </w:rPr>
        <w:t xml:space="preserve"> patients with plaque psoriasis.</w:t>
      </w:r>
    </w:p>
    <w:p w14:paraId="69EFA28F" w14:textId="383F0A04" w:rsidR="00485977" w:rsidRDefault="00485977" w:rsidP="0021426A">
      <w:pPr>
        <w:pStyle w:val="Heading3"/>
        <w:jc w:val="left"/>
        <w:rPr>
          <w:lang w:val="en-US"/>
        </w:rPr>
      </w:pPr>
      <w:r>
        <w:rPr>
          <w:lang w:val="en-US"/>
        </w:rPr>
        <w:t>Clinical Trials with E</w:t>
      </w:r>
      <w:r w:rsidR="00116F09">
        <w:rPr>
          <w:lang w:val="en-US"/>
        </w:rPr>
        <w:t>nbrel</w:t>
      </w:r>
      <w:r w:rsidRPr="001A0063">
        <w:rPr>
          <w:lang w:val="en-US"/>
        </w:rPr>
        <w:t>®</w:t>
      </w:r>
    </w:p>
    <w:p w14:paraId="293C48C1" w14:textId="77777777" w:rsidR="00485977" w:rsidRPr="002C353F" w:rsidRDefault="00485977" w:rsidP="0021426A">
      <w:pPr>
        <w:pStyle w:val="NormalIndent1"/>
        <w:jc w:val="left"/>
        <w:rPr>
          <w:lang w:val="en-US"/>
        </w:rPr>
      </w:pPr>
    </w:p>
    <w:p w14:paraId="08BFD0CF" w14:textId="77777777" w:rsidR="002C353F" w:rsidRPr="002C353F" w:rsidRDefault="002C353F" w:rsidP="0021426A">
      <w:pPr>
        <w:pStyle w:val="Heading4"/>
        <w:jc w:val="left"/>
        <w:rPr>
          <w:lang w:val="en-US"/>
        </w:rPr>
      </w:pPr>
      <w:r w:rsidRPr="002C353F">
        <w:rPr>
          <w:lang w:val="en-US"/>
        </w:rPr>
        <w:t>Adult Rheumatoid Arthritis</w:t>
      </w:r>
    </w:p>
    <w:p w14:paraId="41BA4D9F" w14:textId="77777777" w:rsidR="002C353F" w:rsidRPr="002C353F" w:rsidRDefault="002C353F" w:rsidP="0021426A">
      <w:pPr>
        <w:pStyle w:val="NormalIndent1"/>
        <w:jc w:val="left"/>
        <w:rPr>
          <w:lang w:val="en-US"/>
        </w:rPr>
      </w:pPr>
    </w:p>
    <w:p w14:paraId="23409DFC" w14:textId="77777777" w:rsidR="002C353F" w:rsidRPr="002C353F" w:rsidRDefault="002C353F" w:rsidP="0021426A">
      <w:pPr>
        <w:pStyle w:val="Heading5"/>
        <w:jc w:val="left"/>
        <w:rPr>
          <w:u w:val="single"/>
          <w:lang w:val="en-US"/>
        </w:rPr>
      </w:pPr>
      <w:r w:rsidRPr="002C353F">
        <w:rPr>
          <w:u w:val="single"/>
          <w:lang w:val="en-US"/>
        </w:rPr>
        <w:t>Placebo-Controlled Studies</w:t>
      </w:r>
    </w:p>
    <w:p w14:paraId="00F9A27E" w14:textId="77777777" w:rsidR="002C353F" w:rsidRPr="002C353F" w:rsidRDefault="002C353F" w:rsidP="0021426A">
      <w:pPr>
        <w:pStyle w:val="NormalIndent1"/>
        <w:jc w:val="left"/>
        <w:rPr>
          <w:lang w:val="en-US"/>
        </w:rPr>
      </w:pPr>
    </w:p>
    <w:p w14:paraId="03DB7C5E" w14:textId="1F40441D" w:rsidR="002C353F" w:rsidRPr="002C353F" w:rsidRDefault="002C353F" w:rsidP="0021426A">
      <w:pPr>
        <w:pStyle w:val="NormalIndent1"/>
        <w:jc w:val="left"/>
        <w:rPr>
          <w:lang w:val="en-US"/>
        </w:rPr>
      </w:pPr>
      <w:r w:rsidRPr="002C353F">
        <w:rPr>
          <w:lang w:val="en-US"/>
        </w:rPr>
        <w:t xml:space="preserve">The efficacy of </w:t>
      </w:r>
      <w:r w:rsidR="00C36EA6">
        <w:rPr>
          <w:lang w:val="en-US"/>
        </w:rPr>
        <w:t>etanercept</w:t>
      </w:r>
      <w:r w:rsidRPr="002C353F">
        <w:rPr>
          <w:lang w:val="en-US"/>
        </w:rPr>
        <w:t xml:space="preserve"> was assessed in a randomised, double-blind, placebo-controlled study. </w:t>
      </w:r>
      <w:r>
        <w:rPr>
          <w:lang w:val="en-US"/>
        </w:rPr>
        <w:t xml:space="preserve"> </w:t>
      </w:r>
      <w:r w:rsidRPr="002C353F">
        <w:rPr>
          <w:lang w:val="en-US"/>
        </w:rPr>
        <w:t>The study evaluated 234 adult patients with active rheumatoid arthritis who had failed therapy with at least one but no more than four disease-modifying antirheumatic drugs (DMARDs).  Doses of</w:t>
      </w:r>
      <w:r>
        <w:rPr>
          <w:lang w:val="en-US"/>
        </w:rPr>
        <w:t xml:space="preserve"> </w:t>
      </w:r>
      <w:r w:rsidRPr="002C353F">
        <w:rPr>
          <w:lang w:val="en-US"/>
        </w:rPr>
        <w:t xml:space="preserve">10 mg or 25 mg </w:t>
      </w:r>
      <w:r w:rsidR="00C36EA6">
        <w:rPr>
          <w:lang w:val="en-US"/>
        </w:rPr>
        <w:t>etanercept</w:t>
      </w:r>
      <w:r w:rsidRPr="002C353F">
        <w:rPr>
          <w:lang w:val="en-US"/>
        </w:rPr>
        <w:t xml:space="preserve"> or placebo were administered subcutaneously twice a week for</w:t>
      </w:r>
      <w:r>
        <w:rPr>
          <w:lang w:val="en-US"/>
        </w:rPr>
        <w:t xml:space="preserve"> </w:t>
      </w:r>
      <w:r w:rsidRPr="002C353F">
        <w:rPr>
          <w:lang w:val="en-US"/>
        </w:rPr>
        <w:t>6 consecutive months.  The results of this controlled trial were expressed in percentage</w:t>
      </w:r>
      <w:r>
        <w:rPr>
          <w:lang w:val="en-US"/>
        </w:rPr>
        <w:t xml:space="preserve"> </w:t>
      </w:r>
      <w:r w:rsidRPr="002C353F">
        <w:rPr>
          <w:lang w:val="en-US"/>
        </w:rPr>
        <w:t xml:space="preserve">improvement in rheumatoid arthritis using American College of Rheumatology (ACR) response criteria.  The primary endpoint was achievement of an ACR 20 response at month 3.  Subjects who failed to respond based on pre-specified criteria for lack of efficacy before month 3 were allowed to drop out early and were considered treatment failures.  ACR 20 and 50 responses were higher in patients treated with </w:t>
      </w:r>
      <w:r w:rsidR="00C36EA6">
        <w:rPr>
          <w:lang w:val="en-US"/>
        </w:rPr>
        <w:t>etanercept</w:t>
      </w:r>
      <w:r w:rsidRPr="002C353F">
        <w:rPr>
          <w:lang w:val="en-US"/>
        </w:rPr>
        <w:t xml:space="preserve"> at 3 and 6 months than in patients treated with placebo, at </w:t>
      </w:r>
      <w:proofErr w:type="spellStart"/>
      <w:r w:rsidRPr="002C353F">
        <w:rPr>
          <w:lang w:val="en-US"/>
        </w:rPr>
        <w:t>all time</w:t>
      </w:r>
      <w:proofErr w:type="spellEnd"/>
      <w:r w:rsidRPr="002C353F">
        <w:rPr>
          <w:lang w:val="en-US"/>
        </w:rPr>
        <w:t xml:space="preserve"> points as seen in the table below.</w:t>
      </w:r>
    </w:p>
    <w:p w14:paraId="163EC54B" w14:textId="77777777" w:rsidR="002C353F" w:rsidRPr="002C353F" w:rsidRDefault="002C353F" w:rsidP="0021426A">
      <w:pPr>
        <w:pStyle w:val="NormalIndent1"/>
        <w:jc w:val="left"/>
        <w:rPr>
          <w:lang w:val="en-US"/>
        </w:rPr>
      </w:pPr>
    </w:p>
    <w:p w14:paraId="0123947E" w14:textId="77777777" w:rsidR="002C353F" w:rsidRPr="002C353F" w:rsidRDefault="00CB0FEC" w:rsidP="0021426A">
      <w:pPr>
        <w:pStyle w:val="NormalIndent1"/>
        <w:jc w:val="left"/>
        <w:rPr>
          <w:b/>
          <w:lang w:val="en-US"/>
        </w:rPr>
      </w:pPr>
      <w:r>
        <w:rPr>
          <w:b/>
          <w:lang w:val="en-US"/>
        </w:rPr>
        <w:t xml:space="preserve">Table 6: </w:t>
      </w:r>
      <w:r w:rsidR="002C353F" w:rsidRPr="002C353F">
        <w:rPr>
          <w:b/>
          <w:lang w:val="en-US"/>
        </w:rPr>
        <w:t>ACR Responses (% of patients)</w:t>
      </w:r>
    </w:p>
    <w:p w14:paraId="4D04497F" w14:textId="77777777" w:rsidR="002C353F" w:rsidRDefault="002C353F" w:rsidP="0021426A">
      <w:pPr>
        <w:pStyle w:val="NormalIndent1"/>
        <w:jc w:val="left"/>
        <w:rPr>
          <w:lang w:val="en-US"/>
        </w:rPr>
      </w:pPr>
    </w:p>
    <w:tbl>
      <w:tblPr>
        <w:tblStyle w:val="TableGrid"/>
        <w:tblW w:w="0" w:type="auto"/>
        <w:tblInd w:w="425" w:type="dxa"/>
        <w:tblLook w:val="04A0" w:firstRow="1" w:lastRow="0" w:firstColumn="1" w:lastColumn="0" w:noHBand="0" w:noVBand="1"/>
      </w:tblPr>
      <w:tblGrid>
        <w:gridCol w:w="3068"/>
        <w:gridCol w:w="3055"/>
        <w:gridCol w:w="3060"/>
      </w:tblGrid>
      <w:tr w:rsidR="002C353F" w:rsidRPr="002C353F" w14:paraId="5AD7EE5C" w14:textId="77777777" w:rsidTr="00B37960">
        <w:trPr>
          <w:tblHeader/>
        </w:trPr>
        <w:tc>
          <w:tcPr>
            <w:tcW w:w="3068" w:type="dxa"/>
            <w:tcBorders>
              <w:top w:val="single" w:sz="12" w:space="0" w:color="auto"/>
              <w:left w:val="single" w:sz="12" w:space="0" w:color="auto"/>
              <w:bottom w:val="single" w:sz="12" w:space="0" w:color="auto"/>
              <w:right w:val="single" w:sz="12" w:space="0" w:color="auto"/>
            </w:tcBorders>
          </w:tcPr>
          <w:p w14:paraId="3884611D" w14:textId="77777777" w:rsidR="002C353F" w:rsidRPr="002C353F" w:rsidRDefault="002C353F" w:rsidP="0021426A">
            <w:pPr>
              <w:pStyle w:val="NormalIndent1"/>
              <w:ind w:left="0"/>
              <w:jc w:val="left"/>
              <w:rPr>
                <w:b/>
                <w:lang w:val="en-US"/>
              </w:rPr>
            </w:pPr>
            <w:r w:rsidRPr="002C353F">
              <w:rPr>
                <w:b/>
                <w:lang w:val="en-US"/>
              </w:rPr>
              <w:t>Response</w:t>
            </w:r>
          </w:p>
        </w:tc>
        <w:tc>
          <w:tcPr>
            <w:tcW w:w="3055" w:type="dxa"/>
            <w:tcBorders>
              <w:top w:val="single" w:sz="12" w:space="0" w:color="auto"/>
              <w:left w:val="single" w:sz="12" w:space="0" w:color="auto"/>
              <w:bottom w:val="single" w:sz="12" w:space="0" w:color="auto"/>
              <w:right w:val="single" w:sz="12" w:space="0" w:color="auto"/>
            </w:tcBorders>
          </w:tcPr>
          <w:p w14:paraId="498E7418" w14:textId="77777777" w:rsidR="002C353F" w:rsidRPr="002C353F" w:rsidRDefault="002C353F" w:rsidP="0021426A">
            <w:pPr>
              <w:pStyle w:val="NormalIndent1"/>
              <w:ind w:left="0"/>
              <w:jc w:val="left"/>
              <w:rPr>
                <w:b/>
                <w:lang w:val="en-US"/>
              </w:rPr>
            </w:pPr>
            <w:r w:rsidRPr="002C353F">
              <w:rPr>
                <w:b/>
                <w:lang w:val="en-US"/>
              </w:rPr>
              <w:t>Placebo (n=80)</w:t>
            </w:r>
          </w:p>
        </w:tc>
        <w:tc>
          <w:tcPr>
            <w:tcW w:w="3060" w:type="dxa"/>
            <w:tcBorders>
              <w:top w:val="single" w:sz="12" w:space="0" w:color="auto"/>
              <w:left w:val="single" w:sz="12" w:space="0" w:color="auto"/>
              <w:bottom w:val="single" w:sz="12" w:space="0" w:color="auto"/>
              <w:right w:val="single" w:sz="12" w:space="0" w:color="auto"/>
            </w:tcBorders>
          </w:tcPr>
          <w:p w14:paraId="79089F65" w14:textId="7F81E2A0" w:rsidR="002C353F" w:rsidRPr="002C353F" w:rsidRDefault="00C36EA6" w:rsidP="0021426A">
            <w:pPr>
              <w:pStyle w:val="NormalIndent1"/>
              <w:ind w:left="0"/>
              <w:jc w:val="left"/>
              <w:rPr>
                <w:b/>
                <w:lang w:val="en-US"/>
              </w:rPr>
            </w:pPr>
            <w:proofErr w:type="spellStart"/>
            <w:r>
              <w:rPr>
                <w:b/>
                <w:lang w:val="en-US"/>
              </w:rPr>
              <w:t>Etanercept</w:t>
            </w:r>
            <w:r w:rsidR="002C353F" w:rsidRPr="002C353F">
              <w:rPr>
                <w:b/>
                <w:vertAlign w:val="superscript"/>
                <w:lang w:val="en-US"/>
              </w:rPr>
              <w:t>a</w:t>
            </w:r>
            <w:proofErr w:type="spellEnd"/>
            <w:r w:rsidR="002C353F" w:rsidRPr="002C353F">
              <w:rPr>
                <w:b/>
                <w:lang w:val="en-US"/>
              </w:rPr>
              <w:t xml:space="preserve"> (n=78)</w:t>
            </w:r>
          </w:p>
        </w:tc>
      </w:tr>
      <w:tr w:rsidR="002C353F" w14:paraId="0F0B3E76" w14:textId="77777777" w:rsidTr="002C353F">
        <w:tc>
          <w:tcPr>
            <w:tcW w:w="3068" w:type="dxa"/>
            <w:tcBorders>
              <w:top w:val="single" w:sz="12" w:space="0" w:color="auto"/>
            </w:tcBorders>
          </w:tcPr>
          <w:p w14:paraId="28E02540" w14:textId="77777777" w:rsidR="002C353F" w:rsidRDefault="002C353F" w:rsidP="0021426A">
            <w:pPr>
              <w:pStyle w:val="NormalIndent1"/>
              <w:spacing w:before="40" w:after="40"/>
              <w:ind w:left="0"/>
              <w:jc w:val="left"/>
              <w:rPr>
                <w:lang w:val="en-US"/>
              </w:rPr>
            </w:pPr>
            <w:r w:rsidRPr="002C353F">
              <w:rPr>
                <w:lang w:val="en-US"/>
              </w:rPr>
              <w:t>ACR 20</w:t>
            </w:r>
          </w:p>
          <w:p w14:paraId="3A01DC52" w14:textId="77777777" w:rsidR="002C353F" w:rsidRDefault="002C353F" w:rsidP="0021426A">
            <w:pPr>
              <w:pStyle w:val="NormalIndent1"/>
              <w:spacing w:before="40" w:after="40"/>
              <w:ind w:left="301"/>
              <w:jc w:val="left"/>
              <w:rPr>
                <w:lang w:val="en-US"/>
              </w:rPr>
            </w:pPr>
            <w:r w:rsidRPr="002C353F">
              <w:rPr>
                <w:lang w:val="en-US"/>
              </w:rPr>
              <w:t>Month 3</w:t>
            </w:r>
          </w:p>
          <w:p w14:paraId="746E07FC" w14:textId="77777777" w:rsidR="002C353F" w:rsidRDefault="002C353F" w:rsidP="0021426A">
            <w:pPr>
              <w:pStyle w:val="NormalIndent1"/>
              <w:spacing w:before="40" w:after="40"/>
              <w:ind w:left="301"/>
              <w:jc w:val="left"/>
              <w:rPr>
                <w:lang w:val="en-US"/>
              </w:rPr>
            </w:pPr>
            <w:r w:rsidRPr="002C353F">
              <w:rPr>
                <w:lang w:val="en-US"/>
              </w:rPr>
              <w:t>Month 6</w:t>
            </w:r>
          </w:p>
        </w:tc>
        <w:tc>
          <w:tcPr>
            <w:tcW w:w="3055" w:type="dxa"/>
            <w:tcBorders>
              <w:top w:val="single" w:sz="12" w:space="0" w:color="auto"/>
            </w:tcBorders>
          </w:tcPr>
          <w:p w14:paraId="3C35325A" w14:textId="77777777" w:rsidR="002C353F" w:rsidRDefault="002C353F" w:rsidP="0021426A">
            <w:pPr>
              <w:pStyle w:val="NormalIndent1"/>
              <w:spacing w:before="40" w:after="40"/>
              <w:ind w:left="0"/>
              <w:jc w:val="left"/>
              <w:rPr>
                <w:lang w:val="en-US"/>
              </w:rPr>
            </w:pPr>
          </w:p>
          <w:p w14:paraId="5FD97E6F" w14:textId="77777777" w:rsidR="002C353F" w:rsidRDefault="002C353F" w:rsidP="0021426A">
            <w:pPr>
              <w:pStyle w:val="NormalIndent1"/>
              <w:spacing w:before="40" w:after="40"/>
              <w:ind w:left="0"/>
              <w:jc w:val="left"/>
              <w:rPr>
                <w:lang w:val="en-US"/>
              </w:rPr>
            </w:pPr>
            <w:r>
              <w:rPr>
                <w:lang w:val="en-US"/>
              </w:rPr>
              <w:t>23</w:t>
            </w:r>
          </w:p>
          <w:p w14:paraId="35D45D10" w14:textId="77777777" w:rsidR="002C353F" w:rsidRDefault="002C353F" w:rsidP="0021426A">
            <w:pPr>
              <w:pStyle w:val="NormalIndent1"/>
              <w:spacing w:before="40" w:after="40"/>
              <w:ind w:left="0"/>
              <w:jc w:val="left"/>
              <w:rPr>
                <w:lang w:val="en-US"/>
              </w:rPr>
            </w:pPr>
            <w:r>
              <w:rPr>
                <w:lang w:val="en-US"/>
              </w:rPr>
              <w:t>11</w:t>
            </w:r>
          </w:p>
        </w:tc>
        <w:tc>
          <w:tcPr>
            <w:tcW w:w="3060" w:type="dxa"/>
            <w:tcBorders>
              <w:top w:val="single" w:sz="12" w:space="0" w:color="auto"/>
            </w:tcBorders>
          </w:tcPr>
          <w:p w14:paraId="2F030881" w14:textId="77777777" w:rsidR="002C353F" w:rsidRDefault="002C353F" w:rsidP="0021426A">
            <w:pPr>
              <w:pStyle w:val="NormalIndent1"/>
              <w:spacing w:before="40" w:after="40"/>
              <w:ind w:left="0"/>
              <w:jc w:val="left"/>
              <w:rPr>
                <w:lang w:val="en-US"/>
              </w:rPr>
            </w:pPr>
          </w:p>
          <w:p w14:paraId="226A009A" w14:textId="77777777" w:rsidR="002C353F" w:rsidRDefault="002C353F" w:rsidP="0021426A">
            <w:pPr>
              <w:pStyle w:val="NormalIndent1"/>
              <w:spacing w:before="40" w:after="40"/>
              <w:ind w:left="0"/>
              <w:jc w:val="left"/>
              <w:rPr>
                <w:vertAlign w:val="superscript"/>
                <w:lang w:val="en-US"/>
              </w:rPr>
            </w:pPr>
            <w:r>
              <w:rPr>
                <w:lang w:val="en-US"/>
              </w:rPr>
              <w:t>62</w:t>
            </w:r>
            <w:r w:rsidRPr="002C353F">
              <w:rPr>
                <w:vertAlign w:val="superscript"/>
                <w:lang w:val="en-US"/>
              </w:rPr>
              <w:t>b</w:t>
            </w:r>
          </w:p>
          <w:p w14:paraId="57A5CF36" w14:textId="77777777" w:rsidR="002C353F" w:rsidRDefault="002C353F" w:rsidP="0021426A">
            <w:pPr>
              <w:pStyle w:val="NormalIndent1"/>
              <w:spacing w:before="40" w:after="40"/>
              <w:ind w:left="0"/>
              <w:jc w:val="left"/>
              <w:rPr>
                <w:lang w:val="en-US"/>
              </w:rPr>
            </w:pPr>
            <w:r>
              <w:rPr>
                <w:lang w:val="en-US"/>
              </w:rPr>
              <w:t>59</w:t>
            </w:r>
            <w:r w:rsidRPr="002C353F">
              <w:rPr>
                <w:vertAlign w:val="superscript"/>
                <w:lang w:val="en-US"/>
              </w:rPr>
              <w:t>b</w:t>
            </w:r>
          </w:p>
        </w:tc>
      </w:tr>
      <w:tr w:rsidR="002C353F" w14:paraId="06E1F2F6" w14:textId="77777777" w:rsidTr="002C353F">
        <w:tc>
          <w:tcPr>
            <w:tcW w:w="3068" w:type="dxa"/>
          </w:tcPr>
          <w:p w14:paraId="3D67E14D" w14:textId="77777777" w:rsidR="002C353F" w:rsidRDefault="002C353F" w:rsidP="0021426A">
            <w:pPr>
              <w:pStyle w:val="NormalIndent1"/>
              <w:spacing w:before="40" w:after="40"/>
              <w:ind w:left="0"/>
              <w:jc w:val="left"/>
              <w:rPr>
                <w:lang w:val="en-US"/>
              </w:rPr>
            </w:pPr>
            <w:r w:rsidRPr="002C353F">
              <w:rPr>
                <w:lang w:val="en-US"/>
              </w:rPr>
              <w:t xml:space="preserve">ACR </w:t>
            </w:r>
            <w:r>
              <w:rPr>
                <w:lang w:val="en-US"/>
              </w:rPr>
              <w:t>5</w:t>
            </w:r>
            <w:r w:rsidRPr="002C353F">
              <w:rPr>
                <w:lang w:val="en-US"/>
              </w:rPr>
              <w:t>0</w:t>
            </w:r>
          </w:p>
          <w:p w14:paraId="553B15CC" w14:textId="77777777" w:rsidR="002C353F" w:rsidRDefault="002C353F" w:rsidP="0021426A">
            <w:pPr>
              <w:pStyle w:val="NormalIndent1"/>
              <w:spacing w:before="40" w:after="40"/>
              <w:ind w:left="301"/>
              <w:jc w:val="left"/>
              <w:rPr>
                <w:lang w:val="en-US"/>
              </w:rPr>
            </w:pPr>
            <w:r w:rsidRPr="002C353F">
              <w:rPr>
                <w:lang w:val="en-US"/>
              </w:rPr>
              <w:t>Month 3</w:t>
            </w:r>
          </w:p>
          <w:p w14:paraId="56C0103F" w14:textId="77777777" w:rsidR="002C353F" w:rsidRDefault="002C353F" w:rsidP="0021426A">
            <w:pPr>
              <w:pStyle w:val="NormalIndent1"/>
              <w:spacing w:before="40" w:after="40"/>
              <w:ind w:left="301"/>
              <w:jc w:val="left"/>
              <w:rPr>
                <w:lang w:val="en-US"/>
              </w:rPr>
            </w:pPr>
            <w:r w:rsidRPr="002C353F">
              <w:rPr>
                <w:lang w:val="en-US"/>
              </w:rPr>
              <w:t>Month 6</w:t>
            </w:r>
          </w:p>
        </w:tc>
        <w:tc>
          <w:tcPr>
            <w:tcW w:w="3055" w:type="dxa"/>
          </w:tcPr>
          <w:p w14:paraId="213C1243" w14:textId="77777777" w:rsidR="002C353F" w:rsidRDefault="002C353F" w:rsidP="0021426A">
            <w:pPr>
              <w:pStyle w:val="NormalIndent1"/>
              <w:spacing w:before="40" w:after="40"/>
              <w:ind w:left="0"/>
              <w:jc w:val="left"/>
              <w:rPr>
                <w:lang w:val="en-US"/>
              </w:rPr>
            </w:pPr>
          </w:p>
          <w:p w14:paraId="189551DC" w14:textId="77777777" w:rsidR="002C353F" w:rsidRDefault="002C353F" w:rsidP="0021426A">
            <w:pPr>
              <w:pStyle w:val="NormalIndent1"/>
              <w:spacing w:before="40" w:after="40"/>
              <w:ind w:left="0"/>
              <w:jc w:val="left"/>
              <w:rPr>
                <w:lang w:val="en-US"/>
              </w:rPr>
            </w:pPr>
            <w:r>
              <w:rPr>
                <w:lang w:val="en-US"/>
              </w:rPr>
              <w:t>8</w:t>
            </w:r>
          </w:p>
          <w:p w14:paraId="33721D45" w14:textId="77777777" w:rsidR="002C353F" w:rsidRDefault="002C353F" w:rsidP="0021426A">
            <w:pPr>
              <w:pStyle w:val="NormalIndent1"/>
              <w:spacing w:before="40" w:after="40"/>
              <w:ind w:left="0"/>
              <w:jc w:val="left"/>
              <w:rPr>
                <w:lang w:val="en-US"/>
              </w:rPr>
            </w:pPr>
            <w:r>
              <w:rPr>
                <w:lang w:val="en-US"/>
              </w:rPr>
              <w:t>5</w:t>
            </w:r>
          </w:p>
        </w:tc>
        <w:tc>
          <w:tcPr>
            <w:tcW w:w="3060" w:type="dxa"/>
          </w:tcPr>
          <w:p w14:paraId="3BD9AA52" w14:textId="77777777" w:rsidR="002C353F" w:rsidRDefault="002C353F" w:rsidP="0021426A">
            <w:pPr>
              <w:pStyle w:val="NormalIndent1"/>
              <w:spacing w:before="40" w:after="40"/>
              <w:ind w:left="0"/>
              <w:jc w:val="left"/>
              <w:rPr>
                <w:lang w:val="en-US"/>
              </w:rPr>
            </w:pPr>
          </w:p>
          <w:p w14:paraId="2867E5DB" w14:textId="77777777" w:rsidR="002C353F" w:rsidRDefault="002C353F" w:rsidP="0021426A">
            <w:pPr>
              <w:pStyle w:val="NormalIndent1"/>
              <w:spacing w:before="40" w:after="40"/>
              <w:ind w:left="0"/>
              <w:jc w:val="left"/>
              <w:rPr>
                <w:vertAlign w:val="superscript"/>
                <w:lang w:val="en-US"/>
              </w:rPr>
            </w:pPr>
            <w:r>
              <w:rPr>
                <w:lang w:val="en-US"/>
              </w:rPr>
              <w:t>41</w:t>
            </w:r>
            <w:r w:rsidRPr="002C353F">
              <w:rPr>
                <w:vertAlign w:val="superscript"/>
                <w:lang w:val="en-US"/>
              </w:rPr>
              <w:t>b</w:t>
            </w:r>
          </w:p>
          <w:p w14:paraId="34E9C2C6" w14:textId="77777777" w:rsidR="002C353F" w:rsidRDefault="002C353F" w:rsidP="0021426A">
            <w:pPr>
              <w:pStyle w:val="NormalIndent1"/>
              <w:spacing w:before="40" w:after="40"/>
              <w:ind w:left="0"/>
              <w:jc w:val="left"/>
              <w:rPr>
                <w:lang w:val="en-US"/>
              </w:rPr>
            </w:pPr>
            <w:r>
              <w:rPr>
                <w:lang w:val="en-US"/>
              </w:rPr>
              <w:t>40</w:t>
            </w:r>
            <w:r w:rsidRPr="002C353F">
              <w:rPr>
                <w:vertAlign w:val="superscript"/>
                <w:lang w:val="en-US"/>
              </w:rPr>
              <w:t>b</w:t>
            </w:r>
          </w:p>
        </w:tc>
      </w:tr>
    </w:tbl>
    <w:p w14:paraId="1B0D1440" w14:textId="34E00904" w:rsidR="002C353F" w:rsidRPr="002C353F" w:rsidRDefault="002C353F" w:rsidP="0021426A">
      <w:pPr>
        <w:pStyle w:val="NormalIndent1"/>
        <w:ind w:left="851" w:hanging="426"/>
        <w:jc w:val="left"/>
        <w:rPr>
          <w:sz w:val="20"/>
          <w:lang w:val="en-US"/>
        </w:rPr>
      </w:pPr>
      <w:r w:rsidRPr="002C353F">
        <w:rPr>
          <w:vertAlign w:val="superscript"/>
          <w:lang w:val="en-US"/>
        </w:rPr>
        <w:t>a</w:t>
      </w:r>
      <w:r>
        <w:rPr>
          <w:sz w:val="20"/>
          <w:lang w:val="en-US"/>
        </w:rPr>
        <w:tab/>
      </w:r>
      <w:r w:rsidRPr="002C353F">
        <w:rPr>
          <w:sz w:val="20"/>
          <w:lang w:val="en-US"/>
        </w:rPr>
        <w:t xml:space="preserve">25 mg </w:t>
      </w:r>
      <w:proofErr w:type="spellStart"/>
      <w:r w:rsidR="00C36EA6">
        <w:rPr>
          <w:sz w:val="20"/>
          <w:lang w:val="en-US"/>
        </w:rPr>
        <w:t>etanercept</w:t>
      </w:r>
      <w:proofErr w:type="spellEnd"/>
      <w:r w:rsidRPr="002C353F">
        <w:rPr>
          <w:sz w:val="20"/>
          <w:lang w:val="en-US"/>
        </w:rPr>
        <w:t xml:space="preserve"> SC twice weekly.</w:t>
      </w:r>
    </w:p>
    <w:p w14:paraId="5FCE8FC6" w14:textId="11C69FB8" w:rsidR="002C353F" w:rsidRPr="002C353F" w:rsidRDefault="002C353F" w:rsidP="0021426A">
      <w:pPr>
        <w:pStyle w:val="NormalIndent1"/>
        <w:ind w:left="851" w:hanging="426"/>
        <w:jc w:val="left"/>
        <w:rPr>
          <w:sz w:val="20"/>
          <w:lang w:val="en-US"/>
        </w:rPr>
      </w:pPr>
      <w:r w:rsidRPr="002C353F">
        <w:rPr>
          <w:sz w:val="18"/>
          <w:vertAlign w:val="superscript"/>
          <w:lang w:val="en-US"/>
        </w:rPr>
        <w:t>b</w:t>
      </w:r>
      <w:r>
        <w:rPr>
          <w:sz w:val="20"/>
          <w:lang w:val="en-US"/>
        </w:rPr>
        <w:tab/>
      </w:r>
      <w:r w:rsidRPr="002C353F">
        <w:rPr>
          <w:sz w:val="20"/>
          <w:lang w:val="en-US"/>
        </w:rPr>
        <w:t xml:space="preserve">p </w:t>
      </w:r>
      <w:r>
        <w:rPr>
          <w:rFonts w:cstheme="minorHAnsi"/>
          <w:sz w:val="20"/>
          <w:lang w:val="en-US"/>
        </w:rPr>
        <w:t>≤</w:t>
      </w:r>
      <w:r w:rsidRPr="002C353F">
        <w:rPr>
          <w:sz w:val="20"/>
          <w:lang w:val="en-US"/>
        </w:rPr>
        <w:t xml:space="preserve"> 0.01, </w:t>
      </w:r>
      <w:r w:rsidR="00C36EA6">
        <w:rPr>
          <w:sz w:val="20"/>
          <w:lang w:val="en-US"/>
        </w:rPr>
        <w:t>etanercept</w:t>
      </w:r>
      <w:r w:rsidRPr="002C353F">
        <w:rPr>
          <w:sz w:val="20"/>
          <w:lang w:val="en-US"/>
        </w:rPr>
        <w:t xml:space="preserve"> vs. placebo.</w:t>
      </w:r>
    </w:p>
    <w:p w14:paraId="126E856F" w14:textId="77777777" w:rsidR="002C353F" w:rsidRPr="002C353F" w:rsidRDefault="002C353F" w:rsidP="0021426A">
      <w:pPr>
        <w:pStyle w:val="NormalIndent1"/>
        <w:jc w:val="left"/>
        <w:rPr>
          <w:lang w:val="en-US"/>
        </w:rPr>
      </w:pPr>
    </w:p>
    <w:p w14:paraId="3501B962" w14:textId="5082FFE6" w:rsidR="002C353F" w:rsidRDefault="002C353F" w:rsidP="0021426A">
      <w:pPr>
        <w:pStyle w:val="NormalIndent1"/>
        <w:jc w:val="left"/>
        <w:rPr>
          <w:lang w:val="en-US"/>
        </w:rPr>
      </w:pPr>
      <w:r w:rsidRPr="002C353F">
        <w:rPr>
          <w:lang w:val="en-US"/>
        </w:rPr>
        <w:t xml:space="preserve">Approximately 15% of subjects who received </w:t>
      </w:r>
      <w:r w:rsidR="00C36EA6">
        <w:rPr>
          <w:lang w:val="en-US"/>
        </w:rPr>
        <w:t>etanercept</w:t>
      </w:r>
      <w:r w:rsidRPr="002C353F">
        <w:rPr>
          <w:lang w:val="en-US"/>
        </w:rPr>
        <w:t xml:space="preserve"> achieved an ACR 70 response at month 3 and month 6 compared to fewer than 5% of subjects in the placebo arm.  Among patients receiving </w:t>
      </w:r>
      <w:r w:rsidR="00C36EA6">
        <w:rPr>
          <w:lang w:val="en-US"/>
        </w:rPr>
        <w:t>etanercept</w:t>
      </w:r>
      <w:r w:rsidRPr="002C353F">
        <w:rPr>
          <w:lang w:val="en-US"/>
        </w:rPr>
        <w:t xml:space="preserve">, the clinical responses generally appeared within 1 to 2 weeks after initiation of therapy and nearly always occurred by 3 months.  A dose response was seen; results with 10 mg were intermediate between placebo and 25 mg.  </w:t>
      </w:r>
      <w:r w:rsidR="00C36EA6">
        <w:rPr>
          <w:lang w:val="en-US"/>
        </w:rPr>
        <w:t>Etanercept</w:t>
      </w:r>
      <w:r w:rsidRPr="002C353F">
        <w:rPr>
          <w:lang w:val="en-US"/>
        </w:rPr>
        <w:t xml:space="preserve"> was significantly better than placebo in all components of the ACR criteria as well as other measures of rheumatoid arthritis disease activity not included in the ACR response criteria, such as morning stiffness.  A Health Assessment Questionnaire (HAQ), which included disability, vitality, mental health, general health status and arthritis-associated health status sub-domains, was administered every 3 months during the trial. </w:t>
      </w:r>
      <w:r>
        <w:rPr>
          <w:lang w:val="en-US"/>
        </w:rPr>
        <w:t xml:space="preserve"> </w:t>
      </w:r>
      <w:r w:rsidRPr="002C353F">
        <w:rPr>
          <w:lang w:val="en-US"/>
        </w:rPr>
        <w:t xml:space="preserve">All sub-domains of the HAQ were improved in patients treated with </w:t>
      </w:r>
      <w:r w:rsidR="00C36EA6">
        <w:rPr>
          <w:lang w:val="en-US"/>
        </w:rPr>
        <w:t>etanercept</w:t>
      </w:r>
      <w:r w:rsidRPr="002C353F">
        <w:rPr>
          <w:lang w:val="en-US"/>
        </w:rPr>
        <w:t xml:space="preserve"> compared to controls at 3 and 6 months.</w:t>
      </w:r>
    </w:p>
    <w:p w14:paraId="1E31B813" w14:textId="77777777" w:rsidR="002C353F" w:rsidRDefault="002C353F" w:rsidP="0021426A">
      <w:pPr>
        <w:pStyle w:val="NormalIndent1"/>
        <w:jc w:val="left"/>
        <w:rPr>
          <w:lang w:val="en-US"/>
        </w:rPr>
      </w:pPr>
    </w:p>
    <w:p w14:paraId="746F71B6" w14:textId="379085E8" w:rsidR="002C353F" w:rsidRPr="002C353F" w:rsidRDefault="002C353F" w:rsidP="0021426A">
      <w:pPr>
        <w:pStyle w:val="NormalIndent1"/>
        <w:jc w:val="left"/>
        <w:rPr>
          <w:lang w:val="en-US"/>
        </w:rPr>
      </w:pPr>
      <w:r w:rsidRPr="002C353F">
        <w:rPr>
          <w:lang w:val="en-US"/>
        </w:rPr>
        <w:t xml:space="preserve">After discontinuation of </w:t>
      </w:r>
      <w:r w:rsidR="00C36EA6">
        <w:rPr>
          <w:lang w:val="en-US"/>
        </w:rPr>
        <w:t>etanercept</w:t>
      </w:r>
      <w:r w:rsidRPr="002C353F">
        <w:rPr>
          <w:lang w:val="en-US"/>
        </w:rPr>
        <w:t xml:space="preserve">, symptoms of arthritis generally returned within a month. </w:t>
      </w:r>
      <w:r>
        <w:rPr>
          <w:lang w:val="en-US"/>
        </w:rPr>
        <w:t xml:space="preserve"> </w:t>
      </w:r>
      <w:r w:rsidRPr="002C353F">
        <w:rPr>
          <w:lang w:val="en-US"/>
        </w:rPr>
        <w:t xml:space="preserve">Reintroduction of treatment with </w:t>
      </w:r>
      <w:r w:rsidR="00C36EA6">
        <w:rPr>
          <w:lang w:val="en-US"/>
        </w:rPr>
        <w:t>etanercept</w:t>
      </w:r>
      <w:r w:rsidRPr="002C353F">
        <w:rPr>
          <w:lang w:val="en-US"/>
        </w:rPr>
        <w:t xml:space="preserve"> after discontinuations of up to 24 months resulted in the same magnitudes of response as patients who received </w:t>
      </w:r>
      <w:r w:rsidR="00C36EA6">
        <w:rPr>
          <w:lang w:val="en-US"/>
        </w:rPr>
        <w:t>etanercept</w:t>
      </w:r>
      <w:r w:rsidRPr="002C353F">
        <w:rPr>
          <w:lang w:val="en-US"/>
        </w:rPr>
        <w:t xml:space="preserve"> without interruption of therapy based on results of open-label studies.  Continued durable responses have been seen in open-label extension treatment trials when patients received </w:t>
      </w:r>
      <w:r w:rsidR="00C36EA6">
        <w:rPr>
          <w:lang w:val="en-US"/>
        </w:rPr>
        <w:t>etanercept</w:t>
      </w:r>
      <w:r w:rsidRPr="002C353F">
        <w:rPr>
          <w:lang w:val="en-US"/>
        </w:rPr>
        <w:t xml:space="preserve"> without interruption.</w:t>
      </w:r>
    </w:p>
    <w:p w14:paraId="726A57E3" w14:textId="77777777" w:rsidR="002C353F" w:rsidRPr="002C353F" w:rsidRDefault="002C353F" w:rsidP="0021426A">
      <w:pPr>
        <w:pStyle w:val="NormalIndent1"/>
        <w:jc w:val="left"/>
        <w:rPr>
          <w:lang w:val="en-US"/>
        </w:rPr>
      </w:pPr>
    </w:p>
    <w:p w14:paraId="74BA9A92" w14:textId="0BC29DA2" w:rsidR="002C353F" w:rsidRPr="002C353F" w:rsidRDefault="002C353F" w:rsidP="0021426A">
      <w:pPr>
        <w:pStyle w:val="NormalIndent1"/>
        <w:jc w:val="left"/>
        <w:rPr>
          <w:lang w:val="en-US"/>
        </w:rPr>
      </w:pPr>
      <w:r w:rsidRPr="002C353F">
        <w:rPr>
          <w:lang w:val="en-US"/>
        </w:rPr>
        <w:t xml:space="preserve">A second randomised, double-blind, placebo-controlled study also compared the safety and efficacy of </w:t>
      </w:r>
      <w:r w:rsidR="00C36EA6">
        <w:rPr>
          <w:lang w:val="en-US"/>
        </w:rPr>
        <w:t>etanercept</w:t>
      </w:r>
      <w:r w:rsidRPr="002C353F">
        <w:rPr>
          <w:lang w:val="en-US"/>
        </w:rPr>
        <w:t xml:space="preserve"> (25 mg) against placebo (SC, twice a week over 6 months) in 89 RA patients in addition to a stable dose of methotrexate.  The ACR response criteria were used to assess efficacy. </w:t>
      </w:r>
      <w:r>
        <w:rPr>
          <w:lang w:val="en-US"/>
        </w:rPr>
        <w:t xml:space="preserve"> </w:t>
      </w:r>
      <w:r w:rsidRPr="002C353F">
        <w:rPr>
          <w:lang w:val="en-US"/>
        </w:rPr>
        <w:t xml:space="preserve">The primary endpoint was achievement of an ACR 20 response at 6 months.  Responses were higher in patients treated with </w:t>
      </w:r>
      <w:r w:rsidR="00C36EA6">
        <w:rPr>
          <w:lang w:val="en-US"/>
        </w:rPr>
        <w:t>etanercept</w:t>
      </w:r>
      <w:r w:rsidRPr="002C353F">
        <w:rPr>
          <w:lang w:val="en-US"/>
        </w:rPr>
        <w:t xml:space="preserve"> at 3 and 6 months.  Clinical responses in </w:t>
      </w:r>
      <w:r w:rsidR="00C36EA6">
        <w:rPr>
          <w:lang w:val="en-US"/>
        </w:rPr>
        <w:t>etanercept</w:t>
      </w:r>
      <w:r w:rsidRPr="002C353F">
        <w:rPr>
          <w:lang w:val="en-US"/>
        </w:rPr>
        <w:t xml:space="preserve">-treated patients generally appeared after 1-2 weeks of therapy.  In addition, approximately 15% of </w:t>
      </w:r>
      <w:r w:rsidR="00C36EA6">
        <w:rPr>
          <w:lang w:val="en-US"/>
        </w:rPr>
        <w:t>etanercept</w:t>
      </w:r>
      <w:r w:rsidRPr="002C353F">
        <w:rPr>
          <w:lang w:val="en-US"/>
        </w:rPr>
        <w:t xml:space="preserve">-treated patients achieved an ACR 70 response at month 3 and month 6, compared to less than 5% of subjects in the placebo arm.  </w:t>
      </w:r>
      <w:r w:rsidR="00C36EA6">
        <w:rPr>
          <w:lang w:val="en-US"/>
        </w:rPr>
        <w:t>Etanercept</w:t>
      </w:r>
      <w:r w:rsidRPr="002C353F">
        <w:rPr>
          <w:lang w:val="en-US"/>
        </w:rPr>
        <w:t>-treated patients experienced significantly greater improvements in all components of the ACR criteria, compared to patients in the placebo arm.</w:t>
      </w:r>
    </w:p>
    <w:p w14:paraId="35C8BDAA" w14:textId="77777777" w:rsidR="002C353F" w:rsidRPr="002C353F" w:rsidRDefault="002C353F" w:rsidP="0021426A">
      <w:pPr>
        <w:pStyle w:val="NormalIndent1"/>
        <w:jc w:val="left"/>
        <w:rPr>
          <w:lang w:val="en-US"/>
        </w:rPr>
      </w:pPr>
    </w:p>
    <w:p w14:paraId="7120E883" w14:textId="51A3B869" w:rsidR="002C353F" w:rsidRPr="002C353F" w:rsidRDefault="002C353F" w:rsidP="0021426A">
      <w:pPr>
        <w:pStyle w:val="NormalIndent1"/>
        <w:jc w:val="left"/>
        <w:rPr>
          <w:lang w:val="en-US"/>
        </w:rPr>
      </w:pPr>
      <w:r w:rsidRPr="002C353F">
        <w:rPr>
          <w:lang w:val="en-US"/>
        </w:rPr>
        <w:t xml:space="preserve">The safety and efficacy of 50 mg </w:t>
      </w:r>
      <w:r w:rsidR="00C36EA6">
        <w:rPr>
          <w:lang w:val="en-US"/>
        </w:rPr>
        <w:t>etanercept</w:t>
      </w:r>
      <w:r w:rsidRPr="002C353F">
        <w:rPr>
          <w:lang w:val="en-US"/>
        </w:rPr>
        <w:t xml:space="preserve"> (two 25 mg SC injections) administered once weekly were evaluated in a double-blind, placebo-controlled study of 420 patients with active RA.  In this study, 53 patients received placebo, 214 patients received 50 mg </w:t>
      </w:r>
      <w:r w:rsidR="00C36EA6">
        <w:rPr>
          <w:lang w:val="en-US"/>
        </w:rPr>
        <w:t>etanercept</w:t>
      </w:r>
      <w:r w:rsidRPr="002C353F">
        <w:rPr>
          <w:lang w:val="en-US"/>
        </w:rPr>
        <w:t xml:space="preserve"> once weekly and</w:t>
      </w:r>
      <w:r>
        <w:rPr>
          <w:lang w:val="en-US"/>
        </w:rPr>
        <w:t xml:space="preserve"> </w:t>
      </w:r>
      <w:r w:rsidRPr="002C353F">
        <w:rPr>
          <w:lang w:val="en-US"/>
        </w:rPr>
        <w:t xml:space="preserve">153 patients received 25 mg </w:t>
      </w:r>
      <w:r w:rsidR="00C36EA6">
        <w:rPr>
          <w:lang w:val="en-US"/>
        </w:rPr>
        <w:t>etanercept</w:t>
      </w:r>
      <w:r w:rsidRPr="002C353F">
        <w:rPr>
          <w:lang w:val="en-US"/>
        </w:rPr>
        <w:t xml:space="preserve"> twice weekly.  The safety and efficacy profiles of the two</w:t>
      </w:r>
      <w:r>
        <w:rPr>
          <w:lang w:val="en-US"/>
        </w:rPr>
        <w:t xml:space="preserve"> </w:t>
      </w:r>
      <w:r w:rsidR="00C36EA6">
        <w:rPr>
          <w:lang w:val="en-US"/>
        </w:rPr>
        <w:t>etanercept</w:t>
      </w:r>
      <w:r w:rsidRPr="002C353F">
        <w:rPr>
          <w:lang w:val="en-US"/>
        </w:rPr>
        <w:t xml:space="preserve"> treatment regimens were comparable in their effect on signs and symptoms of RA.</w:t>
      </w:r>
    </w:p>
    <w:p w14:paraId="1684EDEB" w14:textId="77777777" w:rsidR="002C353F" w:rsidRPr="002C353F" w:rsidRDefault="002C353F" w:rsidP="0021426A">
      <w:pPr>
        <w:pStyle w:val="NormalIndent1"/>
        <w:jc w:val="left"/>
        <w:rPr>
          <w:lang w:val="en-US"/>
        </w:rPr>
      </w:pPr>
    </w:p>
    <w:p w14:paraId="04A7FB75" w14:textId="77777777" w:rsidR="002C353F" w:rsidRPr="002C353F" w:rsidRDefault="002C353F" w:rsidP="0021426A">
      <w:pPr>
        <w:pStyle w:val="Heading5"/>
        <w:keepNext/>
        <w:keepLines/>
        <w:jc w:val="left"/>
        <w:rPr>
          <w:u w:val="single"/>
          <w:lang w:val="en-US"/>
        </w:rPr>
      </w:pPr>
      <w:r w:rsidRPr="002C353F">
        <w:rPr>
          <w:u w:val="single"/>
          <w:lang w:val="en-US"/>
        </w:rPr>
        <w:t>Active-Controlled Studies</w:t>
      </w:r>
    </w:p>
    <w:p w14:paraId="3B667BFD" w14:textId="77777777" w:rsidR="002C353F" w:rsidRPr="002C353F" w:rsidRDefault="002C353F" w:rsidP="0021426A">
      <w:pPr>
        <w:pStyle w:val="NormalIndent1"/>
        <w:keepNext/>
        <w:keepLines/>
        <w:jc w:val="left"/>
        <w:rPr>
          <w:lang w:val="en-US"/>
        </w:rPr>
      </w:pPr>
    </w:p>
    <w:p w14:paraId="65AF737F" w14:textId="564614EE" w:rsidR="002C353F" w:rsidRPr="002C353F" w:rsidRDefault="002C353F" w:rsidP="0021426A">
      <w:pPr>
        <w:pStyle w:val="NormalIndent1"/>
        <w:keepNext/>
        <w:keepLines/>
        <w:jc w:val="left"/>
        <w:rPr>
          <w:lang w:val="en-US"/>
        </w:rPr>
      </w:pPr>
      <w:r w:rsidRPr="002C353F">
        <w:rPr>
          <w:lang w:val="en-US"/>
        </w:rPr>
        <w:t xml:space="preserve">A randomised, active-controlled study with blinded radiographic evaluations as a primary endpoint compared the efficacy of </w:t>
      </w:r>
      <w:r w:rsidR="00C36EA6">
        <w:rPr>
          <w:lang w:val="en-US"/>
        </w:rPr>
        <w:t>etanercept</w:t>
      </w:r>
      <w:r w:rsidRPr="002C353F">
        <w:rPr>
          <w:lang w:val="en-US"/>
        </w:rPr>
        <w:t xml:space="preserve"> to oral methotrexate in 632 adult patients with active rheumatoid arthritis (&lt;</w:t>
      </w:r>
      <w:r>
        <w:rPr>
          <w:lang w:val="en-US"/>
        </w:rPr>
        <w:t xml:space="preserve"> </w:t>
      </w:r>
      <w:r w:rsidRPr="002C353F">
        <w:rPr>
          <w:lang w:val="en-US"/>
        </w:rPr>
        <w:t>3 years duration) who had never received treatment with methotrexate.  The patients had to have &gt;</w:t>
      </w:r>
      <w:r>
        <w:rPr>
          <w:lang w:val="en-US"/>
        </w:rPr>
        <w:t xml:space="preserve"> </w:t>
      </w:r>
      <w:r w:rsidRPr="002C353F">
        <w:rPr>
          <w:lang w:val="en-US"/>
        </w:rPr>
        <w:t>12 tender joints, &gt;</w:t>
      </w:r>
      <w:r>
        <w:rPr>
          <w:lang w:val="en-US"/>
        </w:rPr>
        <w:t xml:space="preserve"> </w:t>
      </w:r>
      <w:r w:rsidRPr="002C353F">
        <w:rPr>
          <w:lang w:val="en-US"/>
        </w:rPr>
        <w:t>10 swollen joints and either ESR &gt;</w:t>
      </w:r>
      <w:r>
        <w:rPr>
          <w:lang w:val="en-US"/>
        </w:rPr>
        <w:t xml:space="preserve"> </w:t>
      </w:r>
      <w:r w:rsidRPr="002C353F">
        <w:rPr>
          <w:lang w:val="en-US"/>
        </w:rPr>
        <w:t>28 mm/</w:t>
      </w:r>
      <w:proofErr w:type="spellStart"/>
      <w:r w:rsidRPr="002C353F">
        <w:rPr>
          <w:lang w:val="en-US"/>
        </w:rPr>
        <w:t>hr</w:t>
      </w:r>
      <w:proofErr w:type="spellEnd"/>
      <w:r w:rsidRPr="002C353F">
        <w:rPr>
          <w:lang w:val="en-US"/>
        </w:rPr>
        <w:t>, CRP</w:t>
      </w:r>
      <w:r>
        <w:rPr>
          <w:lang w:val="en-US"/>
        </w:rPr>
        <w:t xml:space="preserve"> </w:t>
      </w:r>
      <w:r w:rsidRPr="002C353F">
        <w:rPr>
          <w:lang w:val="en-US"/>
        </w:rPr>
        <w:t>&gt;</w:t>
      </w:r>
      <w:r>
        <w:rPr>
          <w:lang w:val="en-US"/>
        </w:rPr>
        <w:t xml:space="preserve"> </w:t>
      </w:r>
      <w:r w:rsidRPr="002C353F">
        <w:rPr>
          <w:lang w:val="en-US"/>
        </w:rPr>
        <w:t>2.0 mg/dL, or morning stiffness for &gt;</w:t>
      </w:r>
      <w:r>
        <w:rPr>
          <w:lang w:val="en-US"/>
        </w:rPr>
        <w:t xml:space="preserve"> </w:t>
      </w:r>
      <w:r w:rsidRPr="002C353F">
        <w:rPr>
          <w:lang w:val="en-US"/>
        </w:rPr>
        <w:t>45 minutes.  Patients were at high risk of erosive disease defined as being rheumatoid factor positive or having at least three erosions at baseline.  Doses of</w:t>
      </w:r>
      <w:r w:rsidR="00DC5CB5">
        <w:rPr>
          <w:lang w:val="en-US"/>
        </w:rPr>
        <w:t xml:space="preserve"> </w:t>
      </w:r>
      <w:r w:rsidRPr="002C353F">
        <w:rPr>
          <w:lang w:val="en-US"/>
        </w:rPr>
        <w:t xml:space="preserve">10 mg or 25 mg </w:t>
      </w:r>
      <w:r w:rsidR="00C36EA6">
        <w:rPr>
          <w:lang w:val="en-US"/>
        </w:rPr>
        <w:t>etanercept</w:t>
      </w:r>
      <w:r w:rsidRPr="002C353F">
        <w:rPr>
          <w:lang w:val="en-US"/>
        </w:rPr>
        <w:t xml:space="preserve"> were administered SC twice a week for up to 24 months.  Methotrexate doses were escalated from 7.5 mg/week to a maximum of 20 mg/week over the first 8 weeks of the trial and continued for up to 24 months.  Clinical improvement including onset of action within</w:t>
      </w:r>
      <w:r w:rsidR="00DC5CB5">
        <w:rPr>
          <w:lang w:val="en-US"/>
        </w:rPr>
        <w:t xml:space="preserve"> </w:t>
      </w:r>
      <w:r w:rsidRPr="002C353F">
        <w:rPr>
          <w:lang w:val="en-US"/>
        </w:rPr>
        <w:t xml:space="preserve">2 weeks with </w:t>
      </w:r>
      <w:r w:rsidR="00C36EA6">
        <w:rPr>
          <w:lang w:val="en-US"/>
        </w:rPr>
        <w:t>etanercept</w:t>
      </w:r>
      <w:r w:rsidRPr="002C353F">
        <w:rPr>
          <w:lang w:val="en-US"/>
        </w:rPr>
        <w:t xml:space="preserve"> 25 mg was similar to that seen in the previous 2 trials and was maintained for up to 24 months.  At baseline, patients had a moderate degree of disability, with mean HAQ scores of 1.4 to 1.5.  Treatment with </w:t>
      </w:r>
      <w:r w:rsidR="00C36EA6">
        <w:rPr>
          <w:lang w:val="en-US"/>
        </w:rPr>
        <w:t>etanercept</w:t>
      </w:r>
      <w:r w:rsidRPr="002C353F">
        <w:rPr>
          <w:lang w:val="en-US"/>
        </w:rPr>
        <w:t xml:space="preserve"> 25 mg resulted in substantial improvement at</w:t>
      </w:r>
      <w:r w:rsidR="00DC5CB5">
        <w:rPr>
          <w:lang w:val="en-US"/>
        </w:rPr>
        <w:t xml:space="preserve"> </w:t>
      </w:r>
      <w:r w:rsidRPr="002C353F">
        <w:rPr>
          <w:lang w:val="en-US"/>
        </w:rPr>
        <w:t>12 months, with about 44% of patients achieving a normal HAQ score (less than 0.5).  This benefit was maintained in Year 2 of this study.</w:t>
      </w:r>
    </w:p>
    <w:p w14:paraId="16EEC022" w14:textId="77777777" w:rsidR="002C353F" w:rsidRPr="002C353F" w:rsidRDefault="002C353F" w:rsidP="0021426A">
      <w:pPr>
        <w:pStyle w:val="NormalIndent1"/>
        <w:jc w:val="left"/>
        <w:rPr>
          <w:lang w:val="en-US"/>
        </w:rPr>
      </w:pPr>
    </w:p>
    <w:p w14:paraId="604D8887" w14:textId="237519F8" w:rsidR="005D690B" w:rsidRDefault="002C353F" w:rsidP="0021426A">
      <w:pPr>
        <w:pStyle w:val="NormalIndent1"/>
        <w:jc w:val="left"/>
        <w:rPr>
          <w:lang w:val="en-US"/>
        </w:rPr>
      </w:pPr>
      <w:r w:rsidRPr="002C353F">
        <w:rPr>
          <w:lang w:val="en-US"/>
        </w:rPr>
        <w:t>In this study, structural joint damage was assessed radiographically and expressed as change in Total Sharp Score (TSS) and its components, the erosion score and joint space narrowing score (JSN).  Radiographs of hands/wrists and feet were read at baseline and 6, 12 and 24 months.  The</w:t>
      </w:r>
      <w:r w:rsidR="00DC5CB5">
        <w:rPr>
          <w:lang w:val="en-US"/>
        </w:rPr>
        <w:t xml:space="preserve"> </w:t>
      </w:r>
      <w:r w:rsidRPr="002C353F">
        <w:rPr>
          <w:lang w:val="en-US"/>
        </w:rPr>
        <w:t xml:space="preserve">10 mg </w:t>
      </w:r>
      <w:r w:rsidR="00C36EA6">
        <w:rPr>
          <w:lang w:val="en-US"/>
        </w:rPr>
        <w:t>etanercept</w:t>
      </w:r>
      <w:r w:rsidRPr="002C353F">
        <w:rPr>
          <w:lang w:val="en-US"/>
        </w:rPr>
        <w:t xml:space="preserve"> dose had consistently less effect on structural damage than the 25 mg dose. </w:t>
      </w:r>
      <w:r w:rsidR="00DC5CB5">
        <w:rPr>
          <w:lang w:val="en-US"/>
        </w:rPr>
        <w:t xml:space="preserve"> </w:t>
      </w:r>
      <w:r w:rsidR="00C36EA6">
        <w:rPr>
          <w:lang w:val="en-US"/>
        </w:rPr>
        <w:t>Etanercept</w:t>
      </w:r>
      <w:r w:rsidRPr="002C353F">
        <w:rPr>
          <w:lang w:val="en-US"/>
        </w:rPr>
        <w:t xml:space="preserve"> 25 mg was significantly superior to methotrexate for erosion scores at both 12 and</w:t>
      </w:r>
      <w:r w:rsidR="00DC5CB5">
        <w:rPr>
          <w:lang w:val="en-US"/>
        </w:rPr>
        <w:t xml:space="preserve"> </w:t>
      </w:r>
      <w:r w:rsidRPr="002C353F">
        <w:rPr>
          <w:lang w:val="en-US"/>
        </w:rPr>
        <w:t xml:space="preserve">24 months.  The differences in TSS and JSN were not statistically significant between methotrexate and </w:t>
      </w:r>
      <w:r w:rsidR="00C36EA6">
        <w:rPr>
          <w:lang w:val="en-US"/>
        </w:rPr>
        <w:t>etanercept</w:t>
      </w:r>
      <w:r w:rsidRPr="002C353F">
        <w:rPr>
          <w:lang w:val="en-US"/>
        </w:rPr>
        <w:t xml:space="preserve"> 25 mg.  The results are shown in the figure below</w:t>
      </w:r>
      <w:r w:rsidR="00DC5CB5">
        <w:rPr>
          <w:lang w:val="en-US"/>
        </w:rPr>
        <w:t>.</w:t>
      </w:r>
    </w:p>
    <w:p w14:paraId="197B9B61" w14:textId="77777777" w:rsidR="00DC5CB5" w:rsidRDefault="00DC5CB5" w:rsidP="0021426A">
      <w:pPr>
        <w:pStyle w:val="NormalIndent1"/>
        <w:jc w:val="left"/>
      </w:pPr>
    </w:p>
    <w:p w14:paraId="3604A724" w14:textId="77777777" w:rsidR="00DC5CB5" w:rsidRDefault="00CB0FEC" w:rsidP="00EC69B5">
      <w:pPr>
        <w:pStyle w:val="NormalIndent1"/>
        <w:pageBreakBefore/>
        <w:jc w:val="left"/>
        <w:rPr>
          <w:b/>
        </w:rPr>
      </w:pPr>
      <w:r>
        <w:rPr>
          <w:b/>
        </w:rPr>
        <w:t xml:space="preserve">Figure 1: </w:t>
      </w:r>
      <w:r w:rsidR="00DC5CB5">
        <w:rPr>
          <w:b/>
        </w:rPr>
        <w:t>Radiographic Progression Over 24 Months</w:t>
      </w:r>
    </w:p>
    <w:p w14:paraId="6B8CCDD1" w14:textId="77777777" w:rsidR="00DC5CB5" w:rsidRDefault="00DC5CB5" w:rsidP="0021426A">
      <w:pPr>
        <w:pStyle w:val="NormalIndent1"/>
        <w:jc w:val="left"/>
        <w:rPr>
          <w:b/>
        </w:rPr>
      </w:pPr>
    </w:p>
    <w:p w14:paraId="13C0BE8B" w14:textId="77777777" w:rsidR="00DC5CB5" w:rsidRDefault="00DC5CB5" w:rsidP="0021426A">
      <w:pPr>
        <w:pStyle w:val="NormalIndent1"/>
        <w:jc w:val="left"/>
      </w:pPr>
      <w:r>
        <w:rPr>
          <w:noProof/>
          <w:lang w:eastAsia="en-AU"/>
        </w:rPr>
        <w:drawing>
          <wp:inline distT="0" distB="0" distL="0" distR="0" wp14:anchorId="57C07CF9" wp14:editId="0E874E0D">
            <wp:extent cx="4628564" cy="19243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644480" cy="1930933"/>
                    </a:xfrm>
                    <a:prstGeom prst="rect">
                      <a:avLst/>
                    </a:prstGeom>
                    <a:ln>
                      <a:noFill/>
                    </a:ln>
                    <a:extLst>
                      <a:ext uri="{53640926-AAD7-44D8-BBD7-CCE9431645EC}">
                        <a14:shadowObscured xmlns:a14="http://schemas.microsoft.com/office/drawing/2010/main"/>
                      </a:ext>
                    </a:extLst>
                  </pic:spPr>
                </pic:pic>
              </a:graphicData>
            </a:graphic>
          </wp:inline>
        </w:drawing>
      </w:r>
    </w:p>
    <w:p w14:paraId="645A9876" w14:textId="77777777" w:rsidR="004364BD" w:rsidRPr="004364BD" w:rsidRDefault="004364BD" w:rsidP="0021426A">
      <w:pPr>
        <w:pStyle w:val="NormalIndent1"/>
        <w:tabs>
          <w:tab w:val="left" w:pos="2694"/>
          <w:tab w:val="left" w:pos="6663"/>
        </w:tabs>
        <w:jc w:val="left"/>
        <w:rPr>
          <w:sz w:val="16"/>
          <w:szCs w:val="16"/>
        </w:rPr>
      </w:pPr>
    </w:p>
    <w:p w14:paraId="0297C907" w14:textId="77777777" w:rsidR="00DC5CB5" w:rsidRPr="00DC5CB5" w:rsidRDefault="00DC5CB5" w:rsidP="0021426A">
      <w:pPr>
        <w:pStyle w:val="NormalIndent1"/>
        <w:tabs>
          <w:tab w:val="left" w:pos="2694"/>
          <w:tab w:val="left" w:pos="6663"/>
        </w:tabs>
        <w:jc w:val="left"/>
      </w:pPr>
      <w:r w:rsidRPr="00DC5CB5">
        <w:tab/>
      </w:r>
      <w:r w:rsidRPr="00DC5CB5">
        <w:rPr>
          <w:sz w:val="24"/>
          <w:szCs w:val="24"/>
        </w:rPr>
        <w:sym w:font="Wingdings 2" w:char="F0A3"/>
      </w:r>
      <w:r w:rsidRPr="00DC5CB5">
        <w:t xml:space="preserve">  MTX</w:t>
      </w:r>
      <w:r w:rsidR="004364BD">
        <w:tab/>
      </w:r>
      <w:r w:rsidR="004364BD" w:rsidRPr="00DC5CB5">
        <w:rPr>
          <w:sz w:val="24"/>
          <w:szCs w:val="24"/>
        </w:rPr>
        <w:sym w:font="Wingdings 2" w:char="F0A3"/>
      </w:r>
      <w:r w:rsidR="004364BD" w:rsidRPr="00DC5CB5">
        <w:t xml:space="preserve">  </w:t>
      </w:r>
      <w:proofErr w:type="spellStart"/>
      <w:r w:rsidR="004364BD" w:rsidRPr="00DC5CB5">
        <w:t>MTX</w:t>
      </w:r>
      <w:proofErr w:type="spellEnd"/>
    </w:p>
    <w:p w14:paraId="1407C313" w14:textId="57D4D5C8" w:rsidR="00DC5CB5" w:rsidRPr="00DC5CB5" w:rsidRDefault="00DC5CB5" w:rsidP="0021426A">
      <w:pPr>
        <w:pStyle w:val="NormalIndent1"/>
        <w:tabs>
          <w:tab w:val="left" w:pos="2694"/>
          <w:tab w:val="left" w:pos="6663"/>
        </w:tabs>
        <w:jc w:val="left"/>
      </w:pPr>
      <w:r w:rsidRPr="00DC5CB5">
        <w:tab/>
      </w:r>
      <w:r w:rsidRPr="00DC5CB5">
        <w:rPr>
          <w:sz w:val="24"/>
          <w:szCs w:val="24"/>
        </w:rPr>
        <w:sym w:font="Wingdings 2" w:char="F0A2"/>
      </w:r>
      <w:r w:rsidRPr="00DC5CB5">
        <w:t xml:space="preserve">  E</w:t>
      </w:r>
      <w:r w:rsidR="003272FD">
        <w:t>tanercept</w:t>
      </w:r>
      <w:r w:rsidRPr="00DC5CB5">
        <w:t xml:space="preserve"> 25 mg</w:t>
      </w:r>
      <w:r w:rsidR="004364BD">
        <w:tab/>
      </w:r>
      <w:r w:rsidR="004364BD" w:rsidRPr="00DC5CB5">
        <w:rPr>
          <w:sz w:val="24"/>
          <w:szCs w:val="24"/>
        </w:rPr>
        <w:sym w:font="Wingdings 2" w:char="F0A2"/>
      </w:r>
      <w:r w:rsidR="004364BD" w:rsidRPr="00DC5CB5">
        <w:t xml:space="preserve">  E</w:t>
      </w:r>
      <w:r w:rsidR="003272FD">
        <w:t>tanercept</w:t>
      </w:r>
      <w:r w:rsidR="004364BD" w:rsidRPr="00DC5CB5">
        <w:t xml:space="preserve"> 25 mg</w:t>
      </w:r>
    </w:p>
    <w:p w14:paraId="08D365DB" w14:textId="77777777" w:rsidR="00DC5CB5" w:rsidRPr="00DC5CB5" w:rsidRDefault="00DC5CB5" w:rsidP="0021426A">
      <w:pPr>
        <w:pStyle w:val="NormalIndent1"/>
        <w:tabs>
          <w:tab w:val="left" w:pos="2694"/>
          <w:tab w:val="left" w:pos="6663"/>
        </w:tabs>
        <w:jc w:val="left"/>
      </w:pPr>
      <w:r w:rsidRPr="00DC5CB5">
        <w:tab/>
        <w:t>* p &lt; 0.05</w:t>
      </w:r>
      <w:r w:rsidR="004364BD">
        <w:tab/>
      </w:r>
      <w:r w:rsidR="004364BD" w:rsidRPr="00DC5CB5">
        <w:t>* p &lt; 0.05</w:t>
      </w:r>
    </w:p>
    <w:p w14:paraId="30F744A6" w14:textId="77777777" w:rsidR="00DC5CB5" w:rsidRDefault="00DC5CB5" w:rsidP="0021426A">
      <w:pPr>
        <w:pStyle w:val="NormalIndent1"/>
        <w:jc w:val="left"/>
      </w:pPr>
    </w:p>
    <w:p w14:paraId="19114FBA" w14:textId="5AF9557C" w:rsidR="004364BD" w:rsidRPr="004364BD" w:rsidRDefault="004364BD" w:rsidP="0021426A">
      <w:pPr>
        <w:pStyle w:val="NormalIndent1"/>
        <w:jc w:val="left"/>
        <w:rPr>
          <w:lang w:val="en-US"/>
        </w:rPr>
      </w:pPr>
      <w:r w:rsidRPr="004364BD">
        <w:rPr>
          <w:lang w:val="en-US"/>
        </w:rPr>
        <w:t xml:space="preserve">In another active-controlled, double-blind, randomised study, clinical efficacy, safety and radiographic progression in RA patients treated with </w:t>
      </w:r>
      <w:r w:rsidR="00C36EA6">
        <w:rPr>
          <w:lang w:val="en-US"/>
        </w:rPr>
        <w:t>etanercept</w:t>
      </w:r>
      <w:r w:rsidRPr="004364BD">
        <w:rPr>
          <w:lang w:val="en-US"/>
        </w:rPr>
        <w:t xml:space="preserve"> alone (25 mg twice weekly), methotrexate alone (7.5 to 20 mg weekly, median dose 20 mg) and of the combination of </w:t>
      </w:r>
      <w:r w:rsidR="00C36EA6">
        <w:rPr>
          <w:lang w:val="en-US"/>
        </w:rPr>
        <w:t>etanercept</w:t>
      </w:r>
      <w:r w:rsidRPr="004364BD">
        <w:rPr>
          <w:lang w:val="en-US"/>
        </w:rPr>
        <w:t xml:space="preserve"> and methotrexate initiated concurrently were compared in 682 adult patients with active rheumatoid arthritis of 6 months to 20 years duration (median 5 years) who had a less than satisfactory response to at least 1 DMARD other than methotrexate.  Forty-three percent of patients had previously received methotrexate a mean of 2 years prior to the trial at a mean dose of 12.9 mg/week.  Patients were excluded from this study if methotrexate had been discontinued for lack of efficacy or for safety considerations.</w:t>
      </w:r>
    </w:p>
    <w:p w14:paraId="482C479F" w14:textId="77777777" w:rsidR="004364BD" w:rsidRPr="004364BD" w:rsidRDefault="004364BD" w:rsidP="0021426A">
      <w:pPr>
        <w:pStyle w:val="NormalIndent1"/>
        <w:jc w:val="left"/>
        <w:rPr>
          <w:lang w:val="en-US"/>
        </w:rPr>
      </w:pPr>
    </w:p>
    <w:p w14:paraId="65C46950" w14:textId="2A514FF6" w:rsidR="004364BD" w:rsidRDefault="004364BD" w:rsidP="0021426A">
      <w:pPr>
        <w:pStyle w:val="NormalIndent1"/>
        <w:jc w:val="left"/>
        <w:rPr>
          <w:lang w:val="en-US"/>
        </w:rPr>
      </w:pPr>
      <w:r w:rsidRPr="004364BD">
        <w:rPr>
          <w:lang w:val="en-US"/>
        </w:rPr>
        <w:t xml:space="preserve">Patients in the </w:t>
      </w:r>
      <w:r w:rsidR="00C36EA6">
        <w:rPr>
          <w:lang w:val="en-US"/>
        </w:rPr>
        <w:t>etanercept</w:t>
      </w:r>
      <w:r w:rsidRPr="004364BD">
        <w:rPr>
          <w:lang w:val="en-US"/>
        </w:rPr>
        <w:t xml:space="preserve"> in combination with methotrexate therapy group had significantly higher ACR 20, ACR 50, ACR 70 responses and improvement for disease activity scores (DAS) at both 24 and 52 weeks than patients in either of the single therapy groups (results shown in table below).</w:t>
      </w:r>
    </w:p>
    <w:p w14:paraId="3B091800" w14:textId="77777777" w:rsidR="004364BD" w:rsidRDefault="004364BD" w:rsidP="0021426A">
      <w:pPr>
        <w:pStyle w:val="NormalIndent1"/>
        <w:jc w:val="left"/>
        <w:rPr>
          <w:lang w:val="en-US"/>
        </w:rPr>
      </w:pPr>
    </w:p>
    <w:p w14:paraId="7AC7CBB9" w14:textId="48194EE2" w:rsidR="004364BD" w:rsidRPr="000C0B82" w:rsidRDefault="00CB0FEC" w:rsidP="0021426A">
      <w:pPr>
        <w:pStyle w:val="NormalIndent1"/>
        <w:jc w:val="left"/>
        <w:rPr>
          <w:b/>
          <w:lang w:val="en-US"/>
        </w:rPr>
      </w:pPr>
      <w:r w:rsidRPr="000C0B82">
        <w:rPr>
          <w:b/>
          <w:lang w:val="en-US"/>
        </w:rPr>
        <w:t xml:space="preserve">Table 7: </w:t>
      </w:r>
      <w:r w:rsidR="004364BD" w:rsidRPr="000C0B82">
        <w:rPr>
          <w:b/>
          <w:lang w:val="en-US"/>
        </w:rPr>
        <w:t>Clinical Efficacy Results:</w:t>
      </w:r>
      <w:r w:rsidR="000C0B82">
        <w:rPr>
          <w:b/>
          <w:lang w:val="en-US"/>
        </w:rPr>
        <w:t xml:space="preserve"> </w:t>
      </w:r>
      <w:r w:rsidR="004364BD" w:rsidRPr="000C0B82">
        <w:rPr>
          <w:b/>
          <w:lang w:val="en-US"/>
        </w:rPr>
        <w:t xml:space="preserve">Comparison of </w:t>
      </w:r>
      <w:r w:rsidR="00C36EA6" w:rsidRPr="000C0B82">
        <w:rPr>
          <w:b/>
          <w:lang w:val="en-US"/>
        </w:rPr>
        <w:t>Etanercept</w:t>
      </w:r>
      <w:r w:rsidR="004364BD" w:rsidRPr="000C0B82">
        <w:rPr>
          <w:b/>
          <w:lang w:val="en-US"/>
        </w:rPr>
        <w:t xml:space="preserve"> vs. Methotrexate vs. </w:t>
      </w:r>
      <w:r w:rsidR="00C36EA6" w:rsidRPr="000C0B82">
        <w:rPr>
          <w:b/>
          <w:lang w:val="en-US"/>
        </w:rPr>
        <w:t>Etanercept</w:t>
      </w:r>
      <w:r w:rsidR="004364BD" w:rsidRPr="000C0B82">
        <w:rPr>
          <w:b/>
          <w:lang w:val="en-US"/>
        </w:rPr>
        <w:t xml:space="preserve"> in Combination with Methotrexate in patients with RA of 6 Months to 20 Years Duration</w:t>
      </w:r>
    </w:p>
    <w:p w14:paraId="5DDF6E84" w14:textId="77777777" w:rsidR="004364BD" w:rsidRDefault="004364BD" w:rsidP="0021426A">
      <w:pPr>
        <w:pStyle w:val="NormalIndent1"/>
        <w:jc w:val="left"/>
        <w:rPr>
          <w:lang w:val="en-US"/>
        </w:rPr>
      </w:pPr>
    </w:p>
    <w:tbl>
      <w:tblPr>
        <w:tblStyle w:val="TableGrid"/>
        <w:tblW w:w="0" w:type="auto"/>
        <w:tblInd w:w="425" w:type="dxa"/>
        <w:tblLook w:val="04A0" w:firstRow="1" w:lastRow="0" w:firstColumn="1" w:lastColumn="0" w:noHBand="0" w:noVBand="1"/>
      </w:tblPr>
      <w:tblGrid>
        <w:gridCol w:w="2294"/>
        <w:gridCol w:w="2321"/>
        <w:gridCol w:w="2267"/>
        <w:gridCol w:w="2321"/>
      </w:tblGrid>
      <w:tr w:rsidR="004364BD" w14:paraId="2B07CEDC" w14:textId="77777777" w:rsidTr="00B37960">
        <w:trPr>
          <w:tblHeader/>
        </w:trPr>
        <w:tc>
          <w:tcPr>
            <w:tcW w:w="2294" w:type="dxa"/>
            <w:vAlign w:val="center"/>
          </w:tcPr>
          <w:p w14:paraId="5F9FB6F6" w14:textId="77777777" w:rsidR="004364BD" w:rsidRDefault="004364BD" w:rsidP="0021426A">
            <w:pPr>
              <w:pStyle w:val="NormalIndent1"/>
              <w:ind w:left="0"/>
              <w:jc w:val="left"/>
              <w:rPr>
                <w:b/>
                <w:lang w:val="en-US"/>
              </w:rPr>
            </w:pPr>
            <w:r>
              <w:rPr>
                <w:b/>
                <w:lang w:val="en-US"/>
              </w:rPr>
              <w:t>Endpoint</w:t>
            </w:r>
          </w:p>
          <w:p w14:paraId="0D3AE29F" w14:textId="77777777" w:rsidR="004364BD" w:rsidRPr="004364BD" w:rsidRDefault="004364BD" w:rsidP="0021426A">
            <w:pPr>
              <w:pStyle w:val="NormalIndent1"/>
              <w:ind w:left="456" w:hanging="456"/>
              <w:jc w:val="left"/>
              <w:rPr>
                <w:b/>
                <w:lang w:val="en-US"/>
              </w:rPr>
            </w:pPr>
            <w:r>
              <w:rPr>
                <w:b/>
                <w:lang w:val="en-US"/>
              </w:rPr>
              <w:tab/>
              <w:t>Time Point</w:t>
            </w:r>
          </w:p>
        </w:tc>
        <w:tc>
          <w:tcPr>
            <w:tcW w:w="2321" w:type="dxa"/>
            <w:vAlign w:val="center"/>
          </w:tcPr>
          <w:p w14:paraId="2714ACC7" w14:textId="77777777" w:rsidR="004364BD" w:rsidRDefault="004364BD" w:rsidP="0021426A">
            <w:pPr>
              <w:pStyle w:val="NormalIndent1"/>
              <w:ind w:left="0"/>
              <w:jc w:val="left"/>
              <w:rPr>
                <w:b/>
                <w:lang w:val="en-US"/>
              </w:rPr>
            </w:pPr>
            <w:r>
              <w:rPr>
                <w:b/>
                <w:lang w:val="en-US"/>
              </w:rPr>
              <w:t>Methotrexate</w:t>
            </w:r>
          </w:p>
          <w:p w14:paraId="5F351EEA" w14:textId="77777777" w:rsidR="004364BD" w:rsidRPr="004364BD" w:rsidRDefault="004364BD" w:rsidP="0021426A">
            <w:pPr>
              <w:pStyle w:val="NormalIndent1"/>
              <w:ind w:left="0"/>
              <w:jc w:val="left"/>
              <w:rPr>
                <w:b/>
                <w:lang w:val="en-US"/>
              </w:rPr>
            </w:pPr>
            <w:r>
              <w:rPr>
                <w:b/>
                <w:lang w:val="en-US"/>
              </w:rPr>
              <w:t>(n = 228)</w:t>
            </w:r>
          </w:p>
        </w:tc>
        <w:tc>
          <w:tcPr>
            <w:tcW w:w="2267" w:type="dxa"/>
            <w:vAlign w:val="center"/>
          </w:tcPr>
          <w:p w14:paraId="13EFE1EF" w14:textId="4698798E" w:rsidR="004364BD" w:rsidRDefault="00C36EA6" w:rsidP="0021426A">
            <w:pPr>
              <w:pStyle w:val="NormalIndent1"/>
              <w:ind w:left="0"/>
              <w:jc w:val="left"/>
              <w:rPr>
                <w:b/>
                <w:lang w:val="en-US"/>
              </w:rPr>
            </w:pPr>
            <w:r>
              <w:rPr>
                <w:b/>
                <w:lang w:val="en-US"/>
              </w:rPr>
              <w:t>Etanercept</w:t>
            </w:r>
          </w:p>
          <w:p w14:paraId="74BB4904" w14:textId="77777777" w:rsidR="004364BD" w:rsidRPr="004364BD" w:rsidRDefault="004364BD" w:rsidP="0021426A">
            <w:pPr>
              <w:pStyle w:val="NormalIndent1"/>
              <w:ind w:left="0"/>
              <w:jc w:val="left"/>
              <w:rPr>
                <w:b/>
                <w:lang w:val="en-US"/>
              </w:rPr>
            </w:pPr>
            <w:r>
              <w:rPr>
                <w:b/>
                <w:lang w:val="en-US"/>
              </w:rPr>
              <w:t>(n = 223)</w:t>
            </w:r>
          </w:p>
        </w:tc>
        <w:tc>
          <w:tcPr>
            <w:tcW w:w="2321" w:type="dxa"/>
            <w:vAlign w:val="center"/>
          </w:tcPr>
          <w:p w14:paraId="4FED0B53" w14:textId="627C27BB" w:rsidR="004364BD" w:rsidRDefault="00C36EA6" w:rsidP="0021426A">
            <w:pPr>
              <w:pStyle w:val="NormalIndent1"/>
              <w:ind w:left="0"/>
              <w:jc w:val="left"/>
              <w:rPr>
                <w:b/>
                <w:lang w:val="en-US"/>
              </w:rPr>
            </w:pPr>
            <w:r>
              <w:rPr>
                <w:b/>
                <w:lang w:val="en-US"/>
              </w:rPr>
              <w:t>Etanercept</w:t>
            </w:r>
            <w:r w:rsidR="004364BD">
              <w:rPr>
                <w:b/>
                <w:lang w:val="en-US"/>
              </w:rPr>
              <w:t xml:space="preserve"> + Methotrexate</w:t>
            </w:r>
          </w:p>
          <w:p w14:paraId="53D84625" w14:textId="77777777" w:rsidR="004364BD" w:rsidRPr="004364BD" w:rsidRDefault="004364BD" w:rsidP="0021426A">
            <w:pPr>
              <w:pStyle w:val="NormalIndent1"/>
              <w:ind w:left="0"/>
              <w:jc w:val="left"/>
              <w:rPr>
                <w:b/>
                <w:lang w:val="en-US"/>
              </w:rPr>
            </w:pPr>
            <w:r>
              <w:rPr>
                <w:b/>
                <w:lang w:val="en-US"/>
              </w:rPr>
              <w:t>(n = 231)</w:t>
            </w:r>
          </w:p>
        </w:tc>
      </w:tr>
      <w:tr w:rsidR="004364BD" w14:paraId="24282E56" w14:textId="77777777" w:rsidTr="004364BD">
        <w:tc>
          <w:tcPr>
            <w:tcW w:w="2294" w:type="dxa"/>
          </w:tcPr>
          <w:p w14:paraId="6597AA75" w14:textId="77777777" w:rsidR="004364BD" w:rsidRDefault="004364BD" w:rsidP="0021426A">
            <w:pPr>
              <w:pStyle w:val="NormalIndent1"/>
              <w:spacing w:before="40" w:after="40"/>
              <w:ind w:left="0"/>
              <w:jc w:val="left"/>
              <w:rPr>
                <w:lang w:val="en-US"/>
              </w:rPr>
            </w:pPr>
            <w:r>
              <w:rPr>
                <w:lang w:val="en-US"/>
              </w:rPr>
              <w:t>ACR 20 Response</w:t>
            </w:r>
          </w:p>
          <w:p w14:paraId="067330DC" w14:textId="77777777" w:rsidR="004364BD" w:rsidRDefault="004364BD" w:rsidP="0021426A">
            <w:pPr>
              <w:pStyle w:val="NormalIndent1"/>
              <w:spacing w:before="40" w:after="40"/>
              <w:ind w:left="456" w:hanging="456"/>
              <w:jc w:val="left"/>
              <w:rPr>
                <w:lang w:val="en-US"/>
              </w:rPr>
            </w:pPr>
            <w:r>
              <w:rPr>
                <w:lang w:val="en-US"/>
              </w:rPr>
              <w:tab/>
              <w:t>Week 24</w:t>
            </w:r>
          </w:p>
          <w:p w14:paraId="0C26200C" w14:textId="77777777" w:rsidR="004364BD" w:rsidRDefault="004364BD" w:rsidP="0021426A">
            <w:pPr>
              <w:pStyle w:val="NormalIndent1"/>
              <w:spacing w:before="40" w:after="40"/>
              <w:ind w:left="456" w:hanging="456"/>
              <w:jc w:val="left"/>
              <w:rPr>
                <w:lang w:val="en-US"/>
              </w:rPr>
            </w:pPr>
            <w:r>
              <w:rPr>
                <w:lang w:val="en-US"/>
              </w:rPr>
              <w:tab/>
              <w:t>Week 52</w:t>
            </w:r>
          </w:p>
        </w:tc>
        <w:tc>
          <w:tcPr>
            <w:tcW w:w="2321" w:type="dxa"/>
          </w:tcPr>
          <w:p w14:paraId="2DA821B6" w14:textId="77777777" w:rsidR="004364BD" w:rsidRDefault="004364BD" w:rsidP="0021426A">
            <w:pPr>
              <w:pStyle w:val="NormalIndent1"/>
              <w:spacing w:before="40" w:after="40"/>
              <w:ind w:left="0"/>
              <w:jc w:val="left"/>
              <w:rPr>
                <w:lang w:val="en-US"/>
              </w:rPr>
            </w:pPr>
          </w:p>
          <w:p w14:paraId="2622032F" w14:textId="77777777" w:rsidR="004364BD" w:rsidRDefault="004364BD" w:rsidP="0021426A">
            <w:pPr>
              <w:pStyle w:val="NormalIndent1"/>
              <w:spacing w:before="40" w:after="40"/>
              <w:ind w:left="0"/>
              <w:jc w:val="left"/>
              <w:rPr>
                <w:lang w:val="en-US"/>
              </w:rPr>
            </w:pPr>
            <w:r>
              <w:rPr>
                <w:lang w:val="en-US"/>
              </w:rPr>
              <w:t>73.7%</w:t>
            </w:r>
          </w:p>
          <w:p w14:paraId="01E0E12B" w14:textId="77777777" w:rsidR="004364BD" w:rsidRDefault="004364BD" w:rsidP="0021426A">
            <w:pPr>
              <w:pStyle w:val="NormalIndent1"/>
              <w:spacing w:before="40" w:after="40"/>
              <w:ind w:left="0"/>
              <w:jc w:val="left"/>
              <w:rPr>
                <w:lang w:val="en-US"/>
              </w:rPr>
            </w:pPr>
            <w:r>
              <w:rPr>
                <w:lang w:val="en-US"/>
              </w:rPr>
              <w:t>75.0%</w:t>
            </w:r>
          </w:p>
        </w:tc>
        <w:tc>
          <w:tcPr>
            <w:tcW w:w="2267" w:type="dxa"/>
          </w:tcPr>
          <w:p w14:paraId="2B2ADFDA" w14:textId="77777777" w:rsidR="004364BD" w:rsidRDefault="004364BD" w:rsidP="0021426A">
            <w:pPr>
              <w:pStyle w:val="NormalIndent1"/>
              <w:spacing w:before="40" w:after="40"/>
              <w:ind w:left="0"/>
              <w:jc w:val="left"/>
              <w:rPr>
                <w:lang w:val="en-US"/>
              </w:rPr>
            </w:pPr>
          </w:p>
          <w:p w14:paraId="26DA6EA3" w14:textId="77777777" w:rsidR="004364BD" w:rsidRDefault="004364BD" w:rsidP="0021426A">
            <w:pPr>
              <w:pStyle w:val="NormalIndent1"/>
              <w:spacing w:before="40" w:after="40"/>
              <w:ind w:left="0"/>
              <w:jc w:val="left"/>
              <w:rPr>
                <w:lang w:val="en-US"/>
              </w:rPr>
            </w:pPr>
            <w:r>
              <w:rPr>
                <w:lang w:val="en-US"/>
              </w:rPr>
              <w:t>71.3%</w:t>
            </w:r>
          </w:p>
          <w:p w14:paraId="24D335CA" w14:textId="77777777" w:rsidR="004364BD" w:rsidRDefault="004364BD" w:rsidP="0021426A">
            <w:pPr>
              <w:pStyle w:val="NormalIndent1"/>
              <w:spacing w:before="40" w:after="40"/>
              <w:ind w:left="0"/>
              <w:jc w:val="left"/>
              <w:rPr>
                <w:lang w:val="en-US"/>
              </w:rPr>
            </w:pPr>
            <w:r>
              <w:rPr>
                <w:lang w:val="en-US"/>
              </w:rPr>
              <w:t>75.8%</w:t>
            </w:r>
          </w:p>
        </w:tc>
        <w:tc>
          <w:tcPr>
            <w:tcW w:w="2321" w:type="dxa"/>
          </w:tcPr>
          <w:p w14:paraId="55C3404D" w14:textId="77777777" w:rsidR="004364BD" w:rsidRDefault="004364BD" w:rsidP="0021426A">
            <w:pPr>
              <w:pStyle w:val="NormalIndent1"/>
              <w:spacing w:before="40" w:after="40"/>
              <w:ind w:left="0"/>
              <w:jc w:val="left"/>
              <w:rPr>
                <w:lang w:val="en-US"/>
              </w:rPr>
            </w:pPr>
          </w:p>
          <w:p w14:paraId="3E86B379" w14:textId="77777777" w:rsidR="004364BD" w:rsidRPr="004364BD" w:rsidRDefault="004364BD" w:rsidP="0021426A">
            <w:pPr>
              <w:pStyle w:val="NormalIndent1"/>
              <w:spacing w:before="40" w:after="40"/>
              <w:ind w:left="0"/>
              <w:jc w:val="left"/>
              <w:rPr>
                <w:rFonts w:eastAsia="Symbol" w:cstheme="minorHAnsi"/>
                <w:w w:val="99"/>
              </w:rPr>
            </w:pPr>
            <w:r>
              <w:rPr>
                <w:lang w:val="en-US"/>
              </w:rPr>
              <w:t xml:space="preserve">81.8% </w:t>
            </w:r>
            <w:r w:rsidRPr="004364BD">
              <w:rPr>
                <w:rFonts w:cstheme="minorHAnsi"/>
                <w:vertAlign w:val="superscript"/>
                <w:lang w:val="en-US"/>
              </w:rPr>
              <w:t>†,</w:t>
            </w:r>
            <w:r>
              <w:rPr>
                <w:rFonts w:cstheme="minorHAnsi"/>
                <w:vertAlign w:val="superscript"/>
                <w:lang w:val="en-US"/>
              </w:rPr>
              <w:t>§</w:t>
            </w:r>
          </w:p>
          <w:p w14:paraId="509FF934" w14:textId="77777777" w:rsidR="004364BD" w:rsidRPr="004364BD" w:rsidRDefault="004364BD" w:rsidP="0021426A">
            <w:pPr>
              <w:pStyle w:val="NormalIndent1"/>
              <w:spacing w:before="40" w:after="40"/>
              <w:ind w:left="0"/>
              <w:jc w:val="left"/>
              <w:rPr>
                <w:rFonts w:ascii="Symbol" w:eastAsia="Symbol" w:hAnsi="Symbol" w:cs="Symbol"/>
                <w:w w:val="99"/>
              </w:rPr>
            </w:pPr>
            <w:r>
              <w:rPr>
                <w:lang w:val="en-US"/>
              </w:rPr>
              <w:t xml:space="preserve">84.8% </w:t>
            </w:r>
            <w:r w:rsidRPr="004364BD">
              <w:rPr>
                <w:rFonts w:cstheme="minorHAnsi"/>
                <w:vertAlign w:val="superscript"/>
                <w:lang w:val="en-US"/>
              </w:rPr>
              <w:t>†,</w:t>
            </w:r>
            <w:r>
              <w:rPr>
                <w:rFonts w:cstheme="minorHAnsi"/>
                <w:vertAlign w:val="superscript"/>
                <w:lang w:val="en-US"/>
              </w:rPr>
              <w:t>§</w:t>
            </w:r>
          </w:p>
        </w:tc>
      </w:tr>
      <w:tr w:rsidR="00B917A5" w14:paraId="110F01E1" w14:textId="77777777" w:rsidTr="004364BD">
        <w:tc>
          <w:tcPr>
            <w:tcW w:w="2294" w:type="dxa"/>
          </w:tcPr>
          <w:p w14:paraId="3486690B" w14:textId="77777777" w:rsidR="00B917A5" w:rsidRDefault="00B917A5" w:rsidP="0021426A">
            <w:pPr>
              <w:pStyle w:val="NormalIndent1"/>
              <w:spacing w:before="40" w:after="40"/>
              <w:ind w:left="0"/>
              <w:jc w:val="left"/>
              <w:rPr>
                <w:lang w:val="en-US"/>
              </w:rPr>
            </w:pPr>
            <w:r>
              <w:rPr>
                <w:lang w:val="en-US"/>
              </w:rPr>
              <w:t>ACR 50 Response</w:t>
            </w:r>
          </w:p>
          <w:p w14:paraId="23788FA2" w14:textId="77777777" w:rsidR="00B917A5" w:rsidRDefault="00B917A5" w:rsidP="0021426A">
            <w:pPr>
              <w:pStyle w:val="NormalIndent1"/>
              <w:spacing w:before="40" w:after="40"/>
              <w:ind w:left="456" w:hanging="456"/>
              <w:jc w:val="left"/>
              <w:rPr>
                <w:lang w:val="en-US"/>
              </w:rPr>
            </w:pPr>
            <w:r>
              <w:rPr>
                <w:lang w:val="en-US"/>
              </w:rPr>
              <w:tab/>
              <w:t>Week 24</w:t>
            </w:r>
          </w:p>
          <w:p w14:paraId="632AFC03" w14:textId="77777777" w:rsidR="00B917A5" w:rsidRDefault="00B917A5" w:rsidP="0021426A">
            <w:pPr>
              <w:pStyle w:val="NormalIndent1"/>
              <w:spacing w:before="40" w:after="40"/>
              <w:ind w:left="456" w:hanging="456"/>
              <w:jc w:val="left"/>
              <w:rPr>
                <w:lang w:val="en-US"/>
              </w:rPr>
            </w:pPr>
            <w:r>
              <w:rPr>
                <w:lang w:val="en-US"/>
              </w:rPr>
              <w:tab/>
              <w:t>Week 52</w:t>
            </w:r>
          </w:p>
        </w:tc>
        <w:tc>
          <w:tcPr>
            <w:tcW w:w="2321" w:type="dxa"/>
          </w:tcPr>
          <w:p w14:paraId="0312E7D8" w14:textId="77777777" w:rsidR="00B917A5" w:rsidRDefault="00B917A5" w:rsidP="0021426A">
            <w:pPr>
              <w:pStyle w:val="NormalIndent1"/>
              <w:spacing w:before="40" w:after="40"/>
              <w:ind w:left="0"/>
              <w:jc w:val="left"/>
              <w:rPr>
                <w:lang w:val="en-US"/>
              </w:rPr>
            </w:pPr>
          </w:p>
          <w:p w14:paraId="0754FA67" w14:textId="77777777" w:rsidR="00B917A5" w:rsidRDefault="00B917A5" w:rsidP="0021426A">
            <w:pPr>
              <w:pStyle w:val="NormalIndent1"/>
              <w:spacing w:before="40" w:after="40"/>
              <w:ind w:left="0"/>
              <w:jc w:val="left"/>
              <w:rPr>
                <w:lang w:val="en-US"/>
              </w:rPr>
            </w:pPr>
            <w:r>
              <w:rPr>
                <w:lang w:val="en-US"/>
              </w:rPr>
              <w:t>40.8%</w:t>
            </w:r>
          </w:p>
          <w:p w14:paraId="6216E5FC" w14:textId="77777777" w:rsidR="00B917A5" w:rsidRDefault="00B917A5" w:rsidP="0021426A">
            <w:pPr>
              <w:pStyle w:val="NormalIndent1"/>
              <w:spacing w:before="40" w:after="40"/>
              <w:ind w:left="0"/>
              <w:jc w:val="left"/>
              <w:rPr>
                <w:lang w:val="en-US"/>
              </w:rPr>
            </w:pPr>
            <w:r>
              <w:rPr>
                <w:lang w:val="en-US"/>
              </w:rPr>
              <w:t>42.5%</w:t>
            </w:r>
          </w:p>
        </w:tc>
        <w:tc>
          <w:tcPr>
            <w:tcW w:w="2267" w:type="dxa"/>
          </w:tcPr>
          <w:p w14:paraId="2381D798" w14:textId="77777777" w:rsidR="00B917A5" w:rsidRDefault="00B917A5" w:rsidP="0021426A">
            <w:pPr>
              <w:pStyle w:val="NormalIndent1"/>
              <w:spacing w:before="40" w:after="40"/>
              <w:ind w:left="0"/>
              <w:jc w:val="left"/>
              <w:rPr>
                <w:lang w:val="en-US"/>
              </w:rPr>
            </w:pPr>
          </w:p>
          <w:p w14:paraId="4738B1B8" w14:textId="77777777" w:rsidR="00B917A5" w:rsidRDefault="00B917A5" w:rsidP="0021426A">
            <w:pPr>
              <w:pStyle w:val="NormalIndent1"/>
              <w:spacing w:before="40" w:after="40"/>
              <w:ind w:left="0"/>
              <w:jc w:val="left"/>
              <w:rPr>
                <w:lang w:val="en-US"/>
              </w:rPr>
            </w:pPr>
            <w:r>
              <w:rPr>
                <w:lang w:val="en-US"/>
              </w:rPr>
              <w:t>40.4%</w:t>
            </w:r>
          </w:p>
          <w:p w14:paraId="6506AEF7" w14:textId="77777777" w:rsidR="00B917A5" w:rsidRDefault="00B917A5" w:rsidP="0021426A">
            <w:pPr>
              <w:pStyle w:val="NormalIndent1"/>
              <w:spacing w:before="40" w:after="40"/>
              <w:ind w:left="0"/>
              <w:jc w:val="left"/>
              <w:rPr>
                <w:lang w:val="en-US"/>
              </w:rPr>
            </w:pPr>
            <w:r>
              <w:rPr>
                <w:lang w:val="en-US"/>
              </w:rPr>
              <w:t>48.4%</w:t>
            </w:r>
          </w:p>
        </w:tc>
        <w:tc>
          <w:tcPr>
            <w:tcW w:w="2321" w:type="dxa"/>
          </w:tcPr>
          <w:p w14:paraId="4C7332BD" w14:textId="77777777" w:rsidR="00B917A5" w:rsidRDefault="00B917A5" w:rsidP="0021426A">
            <w:pPr>
              <w:pStyle w:val="NormalIndent1"/>
              <w:spacing w:before="40" w:after="40"/>
              <w:ind w:left="0"/>
              <w:jc w:val="left"/>
              <w:rPr>
                <w:lang w:val="en-US"/>
              </w:rPr>
            </w:pPr>
          </w:p>
          <w:p w14:paraId="7A6E63E8" w14:textId="77777777" w:rsidR="00B917A5" w:rsidRPr="004364BD" w:rsidRDefault="00B917A5" w:rsidP="0021426A">
            <w:pPr>
              <w:pStyle w:val="NormalIndent1"/>
              <w:spacing w:before="40" w:after="40"/>
              <w:ind w:left="0"/>
              <w:jc w:val="left"/>
              <w:rPr>
                <w:rFonts w:eastAsia="Symbol" w:cstheme="minorHAnsi"/>
                <w:w w:val="99"/>
              </w:rPr>
            </w:pPr>
            <w:r>
              <w:rPr>
                <w:lang w:val="en-US"/>
              </w:rPr>
              <w:t xml:space="preserve">59.3% </w:t>
            </w:r>
            <w:r w:rsidRPr="004364BD">
              <w:rPr>
                <w:rFonts w:cstheme="minorHAnsi"/>
                <w:vertAlign w:val="superscript"/>
                <w:lang w:val="en-US"/>
              </w:rPr>
              <w:t>†,</w:t>
            </w:r>
            <w:r>
              <w:rPr>
                <w:rFonts w:cstheme="minorHAnsi"/>
                <w:vertAlign w:val="superscript"/>
                <w:lang w:val="en-US"/>
              </w:rPr>
              <w:t>§</w:t>
            </w:r>
          </w:p>
          <w:p w14:paraId="77FBC705" w14:textId="77777777" w:rsidR="00B917A5" w:rsidRDefault="00B917A5" w:rsidP="0021426A">
            <w:pPr>
              <w:pStyle w:val="NormalIndent1"/>
              <w:spacing w:before="40" w:after="40"/>
              <w:ind w:left="0"/>
              <w:jc w:val="left"/>
              <w:rPr>
                <w:lang w:val="en-US"/>
              </w:rPr>
            </w:pPr>
            <w:r>
              <w:rPr>
                <w:lang w:val="en-US"/>
              </w:rPr>
              <w:t xml:space="preserve">69.3% </w:t>
            </w:r>
            <w:r w:rsidRPr="004364BD">
              <w:rPr>
                <w:rFonts w:cstheme="minorHAnsi"/>
                <w:vertAlign w:val="superscript"/>
                <w:lang w:val="en-US"/>
              </w:rPr>
              <w:t>†,</w:t>
            </w:r>
            <w:r>
              <w:rPr>
                <w:rFonts w:cstheme="minorHAnsi"/>
                <w:vertAlign w:val="superscript"/>
                <w:lang w:val="en-US"/>
              </w:rPr>
              <w:t>§</w:t>
            </w:r>
          </w:p>
        </w:tc>
      </w:tr>
      <w:tr w:rsidR="00B917A5" w14:paraId="1D7642C4" w14:textId="77777777" w:rsidTr="004364BD">
        <w:tc>
          <w:tcPr>
            <w:tcW w:w="2294" w:type="dxa"/>
          </w:tcPr>
          <w:p w14:paraId="07C7E058" w14:textId="77777777" w:rsidR="00B917A5" w:rsidRDefault="00B917A5" w:rsidP="0021426A">
            <w:pPr>
              <w:pStyle w:val="NormalIndent1"/>
              <w:spacing w:before="40" w:after="40"/>
              <w:ind w:left="0"/>
              <w:jc w:val="left"/>
              <w:rPr>
                <w:lang w:val="en-US"/>
              </w:rPr>
            </w:pPr>
            <w:r>
              <w:rPr>
                <w:lang w:val="en-US"/>
              </w:rPr>
              <w:t>ACR 70 Response</w:t>
            </w:r>
          </w:p>
          <w:p w14:paraId="19F64E03" w14:textId="77777777" w:rsidR="00B917A5" w:rsidRDefault="00B917A5" w:rsidP="0021426A">
            <w:pPr>
              <w:pStyle w:val="NormalIndent1"/>
              <w:spacing w:before="40" w:after="40"/>
              <w:ind w:left="456" w:hanging="456"/>
              <w:jc w:val="left"/>
              <w:rPr>
                <w:lang w:val="en-US"/>
              </w:rPr>
            </w:pPr>
            <w:r>
              <w:rPr>
                <w:lang w:val="en-US"/>
              </w:rPr>
              <w:tab/>
              <w:t>Week 24</w:t>
            </w:r>
          </w:p>
          <w:p w14:paraId="191B8BDB" w14:textId="77777777" w:rsidR="00B917A5" w:rsidRDefault="00B917A5" w:rsidP="0021426A">
            <w:pPr>
              <w:pStyle w:val="NormalIndent1"/>
              <w:spacing w:before="40" w:after="40"/>
              <w:ind w:left="456" w:hanging="456"/>
              <w:jc w:val="left"/>
              <w:rPr>
                <w:lang w:val="en-US"/>
              </w:rPr>
            </w:pPr>
            <w:r>
              <w:rPr>
                <w:lang w:val="en-US"/>
              </w:rPr>
              <w:tab/>
              <w:t>Week 52</w:t>
            </w:r>
          </w:p>
        </w:tc>
        <w:tc>
          <w:tcPr>
            <w:tcW w:w="2321" w:type="dxa"/>
          </w:tcPr>
          <w:p w14:paraId="50D0FDF7" w14:textId="77777777" w:rsidR="00B917A5" w:rsidRDefault="00B917A5" w:rsidP="0021426A">
            <w:pPr>
              <w:pStyle w:val="NormalIndent1"/>
              <w:spacing w:before="40" w:after="40"/>
              <w:ind w:left="0"/>
              <w:jc w:val="left"/>
              <w:rPr>
                <w:lang w:val="en-US"/>
              </w:rPr>
            </w:pPr>
          </w:p>
          <w:p w14:paraId="7CABC96A" w14:textId="77777777" w:rsidR="00B917A5" w:rsidRDefault="00B917A5" w:rsidP="0021426A">
            <w:pPr>
              <w:pStyle w:val="NormalIndent1"/>
              <w:spacing w:before="40" w:after="40"/>
              <w:ind w:left="0"/>
              <w:jc w:val="left"/>
              <w:rPr>
                <w:lang w:val="en-US"/>
              </w:rPr>
            </w:pPr>
            <w:r>
              <w:rPr>
                <w:lang w:val="en-US"/>
              </w:rPr>
              <w:t>15.4%</w:t>
            </w:r>
          </w:p>
          <w:p w14:paraId="655ADBCB" w14:textId="77777777" w:rsidR="00B917A5" w:rsidRDefault="00B917A5" w:rsidP="0021426A">
            <w:pPr>
              <w:pStyle w:val="NormalIndent1"/>
              <w:spacing w:before="40" w:after="40"/>
              <w:ind w:left="0"/>
              <w:jc w:val="left"/>
              <w:rPr>
                <w:lang w:val="en-US"/>
              </w:rPr>
            </w:pPr>
            <w:r>
              <w:rPr>
                <w:lang w:val="en-US"/>
              </w:rPr>
              <w:t>18.9%</w:t>
            </w:r>
          </w:p>
        </w:tc>
        <w:tc>
          <w:tcPr>
            <w:tcW w:w="2267" w:type="dxa"/>
          </w:tcPr>
          <w:p w14:paraId="69AEF75A" w14:textId="77777777" w:rsidR="00B917A5" w:rsidRDefault="00B917A5" w:rsidP="0021426A">
            <w:pPr>
              <w:pStyle w:val="NormalIndent1"/>
              <w:spacing w:before="40" w:after="40"/>
              <w:ind w:left="0"/>
              <w:jc w:val="left"/>
              <w:rPr>
                <w:lang w:val="en-US"/>
              </w:rPr>
            </w:pPr>
          </w:p>
          <w:p w14:paraId="78541427" w14:textId="77777777" w:rsidR="00B917A5" w:rsidRDefault="00B917A5" w:rsidP="0021426A">
            <w:pPr>
              <w:pStyle w:val="NormalIndent1"/>
              <w:spacing w:before="40" w:after="40"/>
              <w:ind w:left="0"/>
              <w:jc w:val="left"/>
              <w:rPr>
                <w:lang w:val="en-US"/>
              </w:rPr>
            </w:pPr>
            <w:r>
              <w:rPr>
                <w:lang w:val="en-US"/>
              </w:rPr>
              <w:t>17.0%</w:t>
            </w:r>
          </w:p>
          <w:p w14:paraId="4C9621EA" w14:textId="77777777" w:rsidR="00B917A5" w:rsidRDefault="00B917A5" w:rsidP="0021426A">
            <w:pPr>
              <w:pStyle w:val="NormalIndent1"/>
              <w:spacing w:before="40" w:after="40"/>
              <w:ind w:left="0"/>
              <w:jc w:val="left"/>
              <w:rPr>
                <w:lang w:val="en-US"/>
              </w:rPr>
            </w:pPr>
            <w:r>
              <w:rPr>
                <w:lang w:val="en-US"/>
              </w:rPr>
              <w:t>24.2%</w:t>
            </w:r>
          </w:p>
        </w:tc>
        <w:tc>
          <w:tcPr>
            <w:tcW w:w="2321" w:type="dxa"/>
          </w:tcPr>
          <w:p w14:paraId="369FF0B0" w14:textId="77777777" w:rsidR="00B917A5" w:rsidRDefault="00B917A5" w:rsidP="0021426A">
            <w:pPr>
              <w:pStyle w:val="NormalIndent1"/>
              <w:spacing w:before="40" w:after="40"/>
              <w:ind w:left="0"/>
              <w:jc w:val="left"/>
              <w:rPr>
                <w:lang w:val="en-US"/>
              </w:rPr>
            </w:pPr>
          </w:p>
          <w:p w14:paraId="30E1723F" w14:textId="77777777" w:rsidR="00B917A5" w:rsidRPr="004364BD" w:rsidRDefault="00B917A5" w:rsidP="0021426A">
            <w:pPr>
              <w:pStyle w:val="NormalIndent1"/>
              <w:spacing w:before="40" w:after="40"/>
              <w:ind w:left="0"/>
              <w:jc w:val="left"/>
              <w:rPr>
                <w:rFonts w:eastAsia="Symbol" w:cstheme="minorHAnsi"/>
                <w:w w:val="99"/>
              </w:rPr>
            </w:pPr>
            <w:r>
              <w:rPr>
                <w:lang w:val="en-US"/>
              </w:rPr>
              <w:t xml:space="preserve">35.9% </w:t>
            </w:r>
            <w:r w:rsidRPr="004364BD">
              <w:rPr>
                <w:rFonts w:cstheme="minorHAnsi"/>
                <w:vertAlign w:val="superscript"/>
                <w:lang w:val="en-US"/>
              </w:rPr>
              <w:t>†,</w:t>
            </w:r>
            <w:r>
              <w:rPr>
                <w:rFonts w:cstheme="minorHAnsi"/>
                <w:vertAlign w:val="superscript"/>
                <w:lang w:val="en-US"/>
              </w:rPr>
              <w:t>§</w:t>
            </w:r>
          </w:p>
          <w:p w14:paraId="53E89A5A" w14:textId="77777777" w:rsidR="00B917A5" w:rsidRDefault="00B917A5" w:rsidP="0021426A">
            <w:pPr>
              <w:pStyle w:val="NormalIndent1"/>
              <w:spacing w:before="40" w:after="40"/>
              <w:ind w:left="0"/>
              <w:jc w:val="left"/>
              <w:rPr>
                <w:lang w:val="en-US"/>
              </w:rPr>
            </w:pPr>
            <w:r>
              <w:rPr>
                <w:lang w:val="en-US"/>
              </w:rPr>
              <w:t xml:space="preserve">42.9% </w:t>
            </w:r>
            <w:r w:rsidRPr="004364BD">
              <w:rPr>
                <w:rFonts w:cstheme="minorHAnsi"/>
                <w:vertAlign w:val="superscript"/>
                <w:lang w:val="en-US"/>
              </w:rPr>
              <w:t>†,</w:t>
            </w:r>
            <w:r>
              <w:rPr>
                <w:rFonts w:cstheme="minorHAnsi"/>
                <w:vertAlign w:val="superscript"/>
                <w:lang w:val="en-US"/>
              </w:rPr>
              <w:t>§</w:t>
            </w:r>
          </w:p>
        </w:tc>
      </w:tr>
      <w:tr w:rsidR="00B917A5" w14:paraId="58D94F25" w14:textId="77777777" w:rsidTr="004364BD">
        <w:tc>
          <w:tcPr>
            <w:tcW w:w="2294" w:type="dxa"/>
          </w:tcPr>
          <w:p w14:paraId="5CEC2B66" w14:textId="77777777" w:rsidR="00B917A5" w:rsidRDefault="00B917A5" w:rsidP="0021426A">
            <w:pPr>
              <w:pStyle w:val="NormalIndent1"/>
              <w:spacing w:before="40" w:after="40"/>
              <w:ind w:left="0"/>
              <w:jc w:val="left"/>
              <w:rPr>
                <w:lang w:val="en-US"/>
              </w:rPr>
            </w:pPr>
            <w:proofErr w:type="spellStart"/>
            <w:r>
              <w:rPr>
                <w:lang w:val="en-US"/>
              </w:rPr>
              <w:t>DAS</w:t>
            </w:r>
            <w:r w:rsidRPr="004364BD">
              <w:rPr>
                <w:vertAlign w:val="superscript"/>
                <w:lang w:val="en-US"/>
              </w:rPr>
              <w:t>a</w:t>
            </w:r>
            <w:proofErr w:type="spellEnd"/>
          </w:p>
          <w:p w14:paraId="6B49CBDB" w14:textId="77777777" w:rsidR="00B917A5" w:rsidRDefault="00B917A5" w:rsidP="0021426A">
            <w:pPr>
              <w:pStyle w:val="NormalIndent1"/>
              <w:spacing w:before="40" w:after="40"/>
              <w:ind w:left="0"/>
              <w:jc w:val="left"/>
              <w:rPr>
                <w:lang w:val="en-US"/>
              </w:rPr>
            </w:pPr>
            <w:r>
              <w:rPr>
                <w:lang w:val="en-US"/>
              </w:rPr>
              <w:t>Baseline Score</w:t>
            </w:r>
          </w:p>
          <w:p w14:paraId="091E8EAB" w14:textId="77777777" w:rsidR="00B917A5" w:rsidRDefault="00B917A5" w:rsidP="0021426A">
            <w:pPr>
              <w:pStyle w:val="NormalIndent1"/>
              <w:spacing w:before="40" w:after="40"/>
              <w:ind w:left="456" w:hanging="456"/>
              <w:jc w:val="left"/>
              <w:rPr>
                <w:lang w:val="en-US"/>
              </w:rPr>
            </w:pPr>
            <w:r>
              <w:rPr>
                <w:lang w:val="en-US"/>
              </w:rPr>
              <w:tab/>
              <w:t>Week 24</w:t>
            </w:r>
          </w:p>
          <w:p w14:paraId="7453DE34" w14:textId="77777777" w:rsidR="00B917A5" w:rsidRDefault="00B917A5" w:rsidP="0021426A">
            <w:pPr>
              <w:pStyle w:val="NormalIndent1"/>
              <w:spacing w:before="40" w:after="40"/>
              <w:ind w:left="456" w:hanging="456"/>
              <w:jc w:val="left"/>
              <w:rPr>
                <w:lang w:val="en-US"/>
              </w:rPr>
            </w:pPr>
            <w:r>
              <w:rPr>
                <w:lang w:val="en-US"/>
              </w:rPr>
              <w:tab/>
              <w:t>Week 52</w:t>
            </w:r>
          </w:p>
        </w:tc>
        <w:tc>
          <w:tcPr>
            <w:tcW w:w="2321" w:type="dxa"/>
          </w:tcPr>
          <w:p w14:paraId="508077E9" w14:textId="77777777" w:rsidR="00B917A5" w:rsidRDefault="00B917A5" w:rsidP="0021426A">
            <w:pPr>
              <w:pStyle w:val="NormalIndent1"/>
              <w:spacing w:before="40" w:after="40"/>
              <w:ind w:left="0"/>
              <w:jc w:val="left"/>
              <w:rPr>
                <w:lang w:val="en-US"/>
              </w:rPr>
            </w:pPr>
          </w:p>
          <w:p w14:paraId="6B850BC5" w14:textId="77777777" w:rsidR="00B917A5" w:rsidRDefault="00B917A5" w:rsidP="0021426A">
            <w:pPr>
              <w:pStyle w:val="NormalIndent1"/>
              <w:spacing w:before="40" w:after="40"/>
              <w:ind w:left="0"/>
              <w:jc w:val="left"/>
              <w:rPr>
                <w:lang w:val="en-US"/>
              </w:rPr>
            </w:pPr>
            <w:r>
              <w:rPr>
                <w:lang w:val="en-US"/>
              </w:rPr>
              <w:t>5.5</w:t>
            </w:r>
          </w:p>
          <w:p w14:paraId="6A217482" w14:textId="77777777" w:rsidR="00B917A5" w:rsidRDefault="00B917A5" w:rsidP="0021426A">
            <w:pPr>
              <w:pStyle w:val="NormalIndent1"/>
              <w:spacing w:before="40" w:after="40"/>
              <w:ind w:left="0"/>
              <w:jc w:val="left"/>
              <w:rPr>
                <w:lang w:val="en-US"/>
              </w:rPr>
            </w:pPr>
            <w:r>
              <w:rPr>
                <w:lang w:val="en-US"/>
              </w:rPr>
              <w:t>3.1</w:t>
            </w:r>
          </w:p>
          <w:p w14:paraId="207F8774" w14:textId="77777777" w:rsidR="00B917A5" w:rsidRDefault="00B917A5" w:rsidP="0021426A">
            <w:pPr>
              <w:pStyle w:val="NormalIndent1"/>
              <w:spacing w:before="40" w:after="40"/>
              <w:ind w:left="0"/>
              <w:jc w:val="left"/>
              <w:rPr>
                <w:lang w:val="en-US"/>
              </w:rPr>
            </w:pPr>
            <w:r>
              <w:rPr>
                <w:lang w:val="en-US"/>
              </w:rPr>
              <w:t>3.0</w:t>
            </w:r>
          </w:p>
        </w:tc>
        <w:tc>
          <w:tcPr>
            <w:tcW w:w="2267" w:type="dxa"/>
          </w:tcPr>
          <w:p w14:paraId="577C3A04" w14:textId="77777777" w:rsidR="00B917A5" w:rsidRDefault="00B917A5" w:rsidP="0021426A">
            <w:pPr>
              <w:pStyle w:val="NormalIndent1"/>
              <w:spacing w:before="40" w:after="40"/>
              <w:ind w:left="0"/>
              <w:jc w:val="left"/>
              <w:rPr>
                <w:lang w:val="en-US"/>
              </w:rPr>
            </w:pPr>
          </w:p>
          <w:p w14:paraId="53CA933A" w14:textId="77777777" w:rsidR="00B917A5" w:rsidRDefault="00B917A5" w:rsidP="0021426A">
            <w:pPr>
              <w:pStyle w:val="NormalIndent1"/>
              <w:spacing w:before="40" w:after="40"/>
              <w:ind w:left="0"/>
              <w:jc w:val="left"/>
              <w:rPr>
                <w:lang w:val="en-US"/>
              </w:rPr>
            </w:pPr>
            <w:r>
              <w:rPr>
                <w:lang w:val="en-US"/>
              </w:rPr>
              <w:t>5.7</w:t>
            </w:r>
          </w:p>
          <w:p w14:paraId="1D7F07DE" w14:textId="77777777" w:rsidR="00B917A5" w:rsidRDefault="00B917A5" w:rsidP="0021426A">
            <w:pPr>
              <w:pStyle w:val="NormalIndent1"/>
              <w:spacing w:before="40" w:after="40"/>
              <w:ind w:left="0"/>
              <w:jc w:val="left"/>
              <w:rPr>
                <w:lang w:val="en-US"/>
              </w:rPr>
            </w:pPr>
            <w:r>
              <w:rPr>
                <w:lang w:val="en-US"/>
              </w:rPr>
              <w:t>3.1</w:t>
            </w:r>
          </w:p>
          <w:p w14:paraId="2D5D836D" w14:textId="77777777" w:rsidR="00B917A5" w:rsidRDefault="00B917A5" w:rsidP="0021426A">
            <w:pPr>
              <w:pStyle w:val="NormalIndent1"/>
              <w:spacing w:before="40" w:after="40"/>
              <w:ind w:left="0"/>
              <w:jc w:val="left"/>
              <w:rPr>
                <w:lang w:val="en-US"/>
              </w:rPr>
            </w:pPr>
            <w:r>
              <w:rPr>
                <w:lang w:val="en-US"/>
              </w:rPr>
              <w:t>3.0</w:t>
            </w:r>
          </w:p>
        </w:tc>
        <w:tc>
          <w:tcPr>
            <w:tcW w:w="2321" w:type="dxa"/>
          </w:tcPr>
          <w:p w14:paraId="7787B3C7" w14:textId="77777777" w:rsidR="00B917A5" w:rsidRDefault="00B917A5" w:rsidP="0021426A">
            <w:pPr>
              <w:pStyle w:val="NormalIndent1"/>
              <w:spacing w:before="40" w:after="40"/>
              <w:ind w:left="0"/>
              <w:jc w:val="left"/>
              <w:rPr>
                <w:lang w:val="en-US"/>
              </w:rPr>
            </w:pPr>
          </w:p>
          <w:p w14:paraId="2C08C890" w14:textId="77777777" w:rsidR="00B917A5" w:rsidRDefault="00B917A5" w:rsidP="0021426A">
            <w:pPr>
              <w:pStyle w:val="NormalIndent1"/>
              <w:spacing w:before="40" w:after="40"/>
              <w:ind w:left="0"/>
              <w:jc w:val="left"/>
              <w:rPr>
                <w:lang w:val="en-US"/>
              </w:rPr>
            </w:pPr>
            <w:r>
              <w:rPr>
                <w:lang w:val="en-US"/>
              </w:rPr>
              <w:t>5.5</w:t>
            </w:r>
          </w:p>
          <w:p w14:paraId="68030C1C" w14:textId="77777777" w:rsidR="00B917A5" w:rsidRDefault="00B917A5" w:rsidP="0021426A">
            <w:pPr>
              <w:pStyle w:val="NormalIndent1"/>
              <w:spacing w:before="40" w:after="40"/>
              <w:ind w:left="0"/>
              <w:jc w:val="left"/>
              <w:rPr>
                <w:lang w:val="en-US"/>
              </w:rPr>
            </w:pPr>
            <w:r>
              <w:rPr>
                <w:lang w:val="en-US"/>
              </w:rPr>
              <w:t xml:space="preserve">2.5 </w:t>
            </w:r>
            <w:r w:rsidRPr="004364BD">
              <w:rPr>
                <w:rFonts w:cstheme="minorHAnsi"/>
                <w:vertAlign w:val="superscript"/>
                <w:lang w:val="en-US"/>
              </w:rPr>
              <w:t>†,</w:t>
            </w:r>
            <w:r>
              <w:rPr>
                <w:rFonts w:cstheme="minorHAnsi"/>
                <w:vertAlign w:val="superscript"/>
                <w:lang w:val="en-US"/>
              </w:rPr>
              <w:t>§</w:t>
            </w:r>
          </w:p>
          <w:p w14:paraId="57F4792B" w14:textId="77777777" w:rsidR="00B917A5" w:rsidRDefault="00B917A5" w:rsidP="0021426A">
            <w:pPr>
              <w:pStyle w:val="NormalIndent1"/>
              <w:spacing w:before="40" w:after="40"/>
              <w:ind w:left="0"/>
              <w:jc w:val="left"/>
              <w:rPr>
                <w:lang w:val="en-US"/>
              </w:rPr>
            </w:pPr>
            <w:r>
              <w:rPr>
                <w:lang w:val="en-US"/>
              </w:rPr>
              <w:t xml:space="preserve">2.3 </w:t>
            </w:r>
            <w:r w:rsidRPr="004364BD">
              <w:rPr>
                <w:rFonts w:cstheme="minorHAnsi"/>
                <w:vertAlign w:val="superscript"/>
                <w:lang w:val="en-US"/>
              </w:rPr>
              <w:t>†,</w:t>
            </w:r>
            <w:r>
              <w:rPr>
                <w:rFonts w:cstheme="minorHAnsi"/>
                <w:vertAlign w:val="superscript"/>
                <w:lang w:val="en-US"/>
              </w:rPr>
              <w:t>§</w:t>
            </w:r>
          </w:p>
        </w:tc>
      </w:tr>
    </w:tbl>
    <w:p w14:paraId="23BE2731" w14:textId="77777777" w:rsidR="004364BD" w:rsidRPr="00B917A5" w:rsidRDefault="004364BD" w:rsidP="0021426A">
      <w:pPr>
        <w:pStyle w:val="NormalIndent1"/>
        <w:ind w:left="851" w:hanging="426"/>
        <w:jc w:val="left"/>
        <w:rPr>
          <w:sz w:val="20"/>
          <w:szCs w:val="20"/>
          <w:lang w:val="en-US"/>
        </w:rPr>
      </w:pPr>
    </w:p>
    <w:p w14:paraId="50F25A17" w14:textId="77777777" w:rsidR="00B917A5" w:rsidRPr="00B917A5" w:rsidRDefault="00B917A5" w:rsidP="0021426A">
      <w:pPr>
        <w:pStyle w:val="NormalIndent1"/>
        <w:ind w:left="851" w:hanging="426"/>
        <w:jc w:val="left"/>
        <w:rPr>
          <w:sz w:val="20"/>
          <w:szCs w:val="20"/>
          <w:lang w:val="en-US"/>
        </w:rPr>
      </w:pPr>
      <w:r w:rsidRPr="00B917A5">
        <w:rPr>
          <w:sz w:val="18"/>
          <w:szCs w:val="20"/>
          <w:vertAlign w:val="superscript"/>
          <w:lang w:val="en-US"/>
        </w:rPr>
        <w:t>a</w:t>
      </w:r>
      <w:r>
        <w:rPr>
          <w:sz w:val="20"/>
          <w:szCs w:val="20"/>
          <w:lang w:val="en-US"/>
        </w:rPr>
        <w:tab/>
      </w:r>
      <w:r w:rsidRPr="00B917A5">
        <w:rPr>
          <w:sz w:val="20"/>
          <w:szCs w:val="20"/>
          <w:lang w:val="en-US"/>
        </w:rPr>
        <w:t>Values for DAS are means.</w:t>
      </w:r>
    </w:p>
    <w:p w14:paraId="7C7715A5" w14:textId="77777777" w:rsidR="00B917A5" w:rsidRDefault="00B917A5" w:rsidP="0021426A">
      <w:pPr>
        <w:pStyle w:val="NormalIndent1"/>
        <w:ind w:left="851" w:hanging="426"/>
        <w:jc w:val="left"/>
        <w:rPr>
          <w:sz w:val="20"/>
          <w:szCs w:val="20"/>
          <w:lang w:val="en-US"/>
        </w:rPr>
      </w:pPr>
      <w:r w:rsidRPr="00B917A5">
        <w:rPr>
          <w:sz w:val="20"/>
          <w:szCs w:val="20"/>
          <w:lang w:val="en-US"/>
        </w:rPr>
        <w:t>Pairwise comparison p-values:</w:t>
      </w:r>
    </w:p>
    <w:p w14:paraId="7F864D5A" w14:textId="500D2765" w:rsidR="00B917A5" w:rsidRPr="00B917A5" w:rsidRDefault="00B917A5" w:rsidP="0021426A">
      <w:pPr>
        <w:pStyle w:val="NormalIndent1"/>
        <w:ind w:left="851" w:hanging="426"/>
        <w:jc w:val="left"/>
        <w:rPr>
          <w:sz w:val="20"/>
          <w:szCs w:val="20"/>
          <w:lang w:val="en-US"/>
        </w:rPr>
      </w:pPr>
      <w:r w:rsidRPr="00B917A5">
        <w:rPr>
          <w:rFonts w:cstheme="minorHAnsi"/>
          <w:vertAlign w:val="superscript"/>
          <w:lang w:val="en-US"/>
        </w:rPr>
        <w:t>†</w:t>
      </w:r>
      <w:r w:rsidRPr="00B917A5">
        <w:rPr>
          <w:sz w:val="20"/>
          <w:szCs w:val="20"/>
          <w:lang w:val="en-US"/>
        </w:rPr>
        <w:t xml:space="preserve"> = p &lt; 0.05 for comparisons of </w:t>
      </w:r>
      <w:r w:rsidR="00C36EA6">
        <w:rPr>
          <w:sz w:val="20"/>
          <w:szCs w:val="20"/>
          <w:lang w:val="en-US"/>
        </w:rPr>
        <w:t>etanercept</w:t>
      </w:r>
      <w:r w:rsidRPr="00B917A5">
        <w:rPr>
          <w:sz w:val="20"/>
          <w:szCs w:val="20"/>
          <w:lang w:val="en-US"/>
        </w:rPr>
        <w:t xml:space="preserve"> + methotrexate vs. methotrexate</w:t>
      </w:r>
      <w:r>
        <w:rPr>
          <w:sz w:val="20"/>
          <w:szCs w:val="20"/>
          <w:lang w:val="en-US"/>
        </w:rPr>
        <w:t>;</w:t>
      </w:r>
      <w:r w:rsidRPr="00B917A5">
        <w:rPr>
          <w:sz w:val="20"/>
          <w:szCs w:val="20"/>
          <w:lang w:val="en-US"/>
        </w:rPr>
        <w:t xml:space="preserve"> and</w:t>
      </w:r>
    </w:p>
    <w:p w14:paraId="5E5283FC" w14:textId="45D23291" w:rsidR="00DC5CB5" w:rsidRPr="00B917A5" w:rsidRDefault="00B917A5" w:rsidP="0021426A">
      <w:pPr>
        <w:pStyle w:val="NormalIndent1"/>
        <w:ind w:left="851" w:hanging="426"/>
        <w:jc w:val="left"/>
        <w:rPr>
          <w:sz w:val="20"/>
          <w:szCs w:val="20"/>
        </w:rPr>
      </w:pPr>
      <w:r>
        <w:rPr>
          <w:rFonts w:cstheme="minorHAnsi"/>
          <w:vertAlign w:val="superscript"/>
          <w:lang w:val="en-US"/>
        </w:rPr>
        <w:t>§</w:t>
      </w:r>
      <w:r w:rsidRPr="00B917A5">
        <w:rPr>
          <w:sz w:val="20"/>
          <w:szCs w:val="20"/>
          <w:lang w:val="en-US"/>
        </w:rPr>
        <w:t xml:space="preserve"> = p &lt; 0.05 for comparisons of </w:t>
      </w:r>
      <w:r w:rsidR="00C36EA6">
        <w:rPr>
          <w:sz w:val="20"/>
          <w:szCs w:val="20"/>
          <w:lang w:val="en-US"/>
        </w:rPr>
        <w:t>etanercept</w:t>
      </w:r>
      <w:r w:rsidRPr="00B917A5">
        <w:rPr>
          <w:sz w:val="20"/>
          <w:szCs w:val="20"/>
          <w:lang w:val="en-US"/>
        </w:rPr>
        <w:t xml:space="preserve"> + methotrexate vs. </w:t>
      </w:r>
      <w:r w:rsidR="00C36EA6">
        <w:rPr>
          <w:sz w:val="20"/>
          <w:szCs w:val="20"/>
          <w:lang w:val="en-US"/>
        </w:rPr>
        <w:t>etanercept</w:t>
      </w:r>
      <w:r>
        <w:rPr>
          <w:sz w:val="20"/>
          <w:szCs w:val="20"/>
          <w:lang w:val="en-US"/>
        </w:rPr>
        <w:t>.</w:t>
      </w:r>
    </w:p>
    <w:p w14:paraId="1E9E31FE" w14:textId="77777777" w:rsidR="009067ED" w:rsidRDefault="009067ED" w:rsidP="0021426A">
      <w:pPr>
        <w:pStyle w:val="NormalIndent1"/>
        <w:jc w:val="left"/>
      </w:pPr>
    </w:p>
    <w:p w14:paraId="35F08FC7" w14:textId="2E842C92" w:rsidR="00B917A5" w:rsidRPr="00B917A5" w:rsidRDefault="00B917A5" w:rsidP="0021426A">
      <w:pPr>
        <w:pStyle w:val="NormalIndent1"/>
        <w:jc w:val="left"/>
        <w:rPr>
          <w:lang w:val="en-US"/>
        </w:rPr>
      </w:pPr>
      <w:r w:rsidRPr="00B917A5">
        <w:rPr>
          <w:lang w:val="en-US"/>
        </w:rPr>
        <w:t xml:space="preserve">The percentage of patients who achieved low disease activity (defined as DAS &lt; 2.4) at 52 weeks was 39%, 35% and 61% for patients in the </w:t>
      </w:r>
      <w:r w:rsidR="00C36EA6">
        <w:rPr>
          <w:lang w:val="en-US"/>
        </w:rPr>
        <w:t>etanercept</w:t>
      </w:r>
      <w:r w:rsidRPr="00B917A5">
        <w:rPr>
          <w:lang w:val="en-US"/>
        </w:rPr>
        <w:t xml:space="preserve"> alone group, methotrexate alone group and the </w:t>
      </w:r>
      <w:r w:rsidR="00C36EA6">
        <w:rPr>
          <w:lang w:val="en-US"/>
        </w:rPr>
        <w:t>etanercept</w:t>
      </w:r>
      <w:r w:rsidRPr="00B917A5">
        <w:rPr>
          <w:lang w:val="en-US"/>
        </w:rPr>
        <w:t xml:space="preserve"> combination group, respectively.  Remission (defined as DAS &lt; 1.6) was experienced by</w:t>
      </w:r>
      <w:r>
        <w:rPr>
          <w:lang w:val="en-US"/>
        </w:rPr>
        <w:t xml:space="preserve"> </w:t>
      </w:r>
      <w:r w:rsidRPr="00B917A5">
        <w:rPr>
          <w:lang w:val="en-US"/>
        </w:rPr>
        <w:t xml:space="preserve">18%, 14% and 37% of patients administered </w:t>
      </w:r>
      <w:r w:rsidR="00C36EA6">
        <w:rPr>
          <w:lang w:val="en-US"/>
        </w:rPr>
        <w:t>etanercept</w:t>
      </w:r>
      <w:r w:rsidRPr="00B917A5">
        <w:rPr>
          <w:lang w:val="en-US"/>
        </w:rPr>
        <w:t xml:space="preserve"> alone, methotrexate alone and combination therapy respectively.</w:t>
      </w:r>
    </w:p>
    <w:p w14:paraId="68C8891A" w14:textId="77777777" w:rsidR="00B917A5" w:rsidRPr="00B917A5" w:rsidRDefault="00B917A5" w:rsidP="0021426A">
      <w:pPr>
        <w:pStyle w:val="NormalIndent1"/>
        <w:jc w:val="left"/>
        <w:rPr>
          <w:lang w:val="en-US"/>
        </w:rPr>
      </w:pPr>
    </w:p>
    <w:p w14:paraId="7040930B" w14:textId="25DF44F7" w:rsidR="00B917A5" w:rsidRPr="00B917A5" w:rsidRDefault="00B917A5" w:rsidP="0021426A">
      <w:pPr>
        <w:pStyle w:val="NormalIndent1"/>
        <w:jc w:val="left"/>
        <w:rPr>
          <w:lang w:val="en-US"/>
        </w:rPr>
      </w:pPr>
      <w:r w:rsidRPr="00B917A5">
        <w:rPr>
          <w:lang w:val="en-US"/>
        </w:rPr>
        <w:t>Mean HAQ scores improved from baseline levels of (1.7, 1.7 and 1.8) to (1.0, 1.1 and 0.8) at</w:t>
      </w:r>
      <w:r>
        <w:rPr>
          <w:lang w:val="en-US"/>
        </w:rPr>
        <w:t xml:space="preserve"> </w:t>
      </w:r>
      <w:r w:rsidRPr="00B917A5">
        <w:rPr>
          <w:lang w:val="en-US"/>
        </w:rPr>
        <w:t xml:space="preserve">52 weeks in the </w:t>
      </w:r>
      <w:r w:rsidR="00C36EA6">
        <w:rPr>
          <w:lang w:val="en-US"/>
        </w:rPr>
        <w:t>etanercept</w:t>
      </w:r>
      <w:r w:rsidRPr="00B917A5">
        <w:rPr>
          <w:lang w:val="en-US"/>
        </w:rPr>
        <w:t xml:space="preserve">, methotrexate and </w:t>
      </w:r>
      <w:r w:rsidR="00C36EA6">
        <w:rPr>
          <w:lang w:val="en-US"/>
        </w:rPr>
        <w:t>etanercept</w:t>
      </w:r>
      <w:r w:rsidRPr="00B917A5">
        <w:rPr>
          <w:lang w:val="en-US"/>
        </w:rPr>
        <w:t xml:space="preserve"> in combination with methotrexate treatment groups, respectively (combination versus both methotrexate and </w:t>
      </w:r>
      <w:r w:rsidR="00C36EA6">
        <w:rPr>
          <w:lang w:val="en-US"/>
        </w:rPr>
        <w:t>etanercept</w:t>
      </w:r>
      <w:r w:rsidRPr="00B917A5">
        <w:rPr>
          <w:lang w:val="en-US"/>
        </w:rPr>
        <w:t>, p</w:t>
      </w:r>
      <w:r w:rsidR="00B20D25">
        <w:rPr>
          <w:lang w:val="en-US"/>
        </w:rPr>
        <w:t xml:space="preserve">  </w:t>
      </w:r>
      <w:r w:rsidRPr="00B917A5">
        <w:rPr>
          <w:lang w:val="en-US"/>
        </w:rPr>
        <w:t>0.01).</w:t>
      </w:r>
    </w:p>
    <w:p w14:paraId="7855FCB6" w14:textId="77777777" w:rsidR="00B917A5" w:rsidRPr="00B917A5" w:rsidRDefault="00B917A5" w:rsidP="0021426A">
      <w:pPr>
        <w:pStyle w:val="NormalIndent1"/>
        <w:jc w:val="left"/>
        <w:rPr>
          <w:lang w:val="en-US"/>
        </w:rPr>
      </w:pPr>
    </w:p>
    <w:p w14:paraId="15CCCBBB" w14:textId="360FEAD3" w:rsidR="00B917A5" w:rsidRDefault="00B917A5" w:rsidP="0021426A">
      <w:pPr>
        <w:pStyle w:val="NormalIndent1"/>
        <w:jc w:val="left"/>
        <w:rPr>
          <w:lang w:val="en-US"/>
        </w:rPr>
      </w:pPr>
      <w:r w:rsidRPr="00B917A5">
        <w:rPr>
          <w:lang w:val="en-US"/>
        </w:rPr>
        <w:t xml:space="preserve">Radiographic progression as measured by Total Sharp Score (TSS) was significantly less in the </w:t>
      </w:r>
      <w:r w:rsidR="00C36EA6">
        <w:rPr>
          <w:lang w:val="en-US"/>
        </w:rPr>
        <w:t>etanercept</w:t>
      </w:r>
      <w:r w:rsidRPr="00B917A5">
        <w:rPr>
          <w:lang w:val="en-US"/>
        </w:rPr>
        <w:t xml:space="preserve"> group than in the methotrexate group at week 52.  Significantly less radiographic progression (TSS) was observed with </w:t>
      </w:r>
      <w:r w:rsidR="00C36EA6">
        <w:rPr>
          <w:lang w:val="en-US"/>
        </w:rPr>
        <w:t>etanercept</w:t>
      </w:r>
      <w:r w:rsidRPr="00B917A5">
        <w:rPr>
          <w:lang w:val="en-US"/>
        </w:rPr>
        <w:t xml:space="preserve"> in combination with methotrexate compared with </w:t>
      </w:r>
      <w:r w:rsidR="00C36EA6">
        <w:rPr>
          <w:lang w:val="en-US"/>
        </w:rPr>
        <w:t>etanercept</w:t>
      </w:r>
      <w:r w:rsidRPr="00B917A5">
        <w:rPr>
          <w:lang w:val="en-US"/>
        </w:rPr>
        <w:t xml:space="preserve"> alone or methotrexate alone at week 52.  The results for radiographic results (TSS), joint erosion and joint space narrowing (JSN) at week 52 are shown in the figure below.  </w:t>
      </w:r>
      <w:r>
        <w:rPr>
          <w:lang w:val="en-US"/>
        </w:rPr>
        <w:t xml:space="preserve">There was a significant decrease </w:t>
      </w:r>
      <w:proofErr w:type="spellStart"/>
      <w:r>
        <w:rPr>
          <w:lang w:val="en-US"/>
        </w:rPr>
        <w:t>inTSS</w:t>
      </w:r>
      <w:proofErr w:type="spellEnd"/>
      <w:r>
        <w:rPr>
          <w:lang w:val="en-US"/>
        </w:rPr>
        <w:t xml:space="preserve"> compared with baseline in the combination of </w:t>
      </w:r>
      <w:r w:rsidR="00C36EA6">
        <w:rPr>
          <w:lang w:val="en-US"/>
        </w:rPr>
        <w:t>etanercept</w:t>
      </w:r>
      <w:r>
        <w:rPr>
          <w:lang w:val="en-US"/>
        </w:rPr>
        <w:t xml:space="preserve"> with methotrexate group.</w:t>
      </w:r>
    </w:p>
    <w:p w14:paraId="6CB070EA" w14:textId="77777777" w:rsidR="00B917A5" w:rsidRDefault="00B917A5" w:rsidP="0021426A">
      <w:pPr>
        <w:pStyle w:val="NormalIndent1"/>
        <w:jc w:val="left"/>
      </w:pPr>
    </w:p>
    <w:p w14:paraId="5E97B9CA" w14:textId="5B879EDC" w:rsidR="00B917A5" w:rsidRPr="00B917A5" w:rsidRDefault="0030673C" w:rsidP="0021426A">
      <w:pPr>
        <w:pStyle w:val="NormalIndent1"/>
        <w:keepNext/>
        <w:keepLines/>
        <w:jc w:val="left"/>
        <w:rPr>
          <w:b/>
        </w:rPr>
      </w:pPr>
      <w:r>
        <w:rPr>
          <w:b/>
        </w:rPr>
        <w:t xml:space="preserve">Figure 2: </w:t>
      </w:r>
      <w:r w:rsidR="00B917A5">
        <w:rPr>
          <w:b/>
        </w:rPr>
        <w:t xml:space="preserve">Radiographic Progression:  Comparison of </w:t>
      </w:r>
      <w:r w:rsidR="00C36EA6">
        <w:rPr>
          <w:b/>
        </w:rPr>
        <w:t>Etanercept</w:t>
      </w:r>
      <w:r w:rsidR="00B917A5">
        <w:rPr>
          <w:b/>
        </w:rPr>
        <w:t xml:space="preserve"> vs. Methotrexate vs. </w:t>
      </w:r>
      <w:r w:rsidR="00C36EA6">
        <w:rPr>
          <w:b/>
        </w:rPr>
        <w:t>Etanercept</w:t>
      </w:r>
      <w:r w:rsidR="00B917A5">
        <w:rPr>
          <w:b/>
        </w:rPr>
        <w:t xml:space="preserve"> in Combination with Methotrexate in patients with RA of 5 Months to 20 years Duration (52-Week Results)</w:t>
      </w:r>
    </w:p>
    <w:p w14:paraId="7DBF6E85" w14:textId="77777777" w:rsidR="00B917A5" w:rsidRDefault="00B917A5" w:rsidP="0021426A">
      <w:pPr>
        <w:pStyle w:val="NormalIndent1"/>
        <w:keepNext/>
        <w:keepLines/>
        <w:jc w:val="left"/>
      </w:pPr>
    </w:p>
    <w:p w14:paraId="33FFD2FD" w14:textId="7CE632AA" w:rsidR="003272FD" w:rsidRDefault="003272FD" w:rsidP="0021426A">
      <w:pPr>
        <w:pStyle w:val="NormalIndent1"/>
        <w:keepNext/>
        <w:keepLines/>
        <w:jc w:val="left"/>
      </w:pPr>
      <w:r>
        <w:rPr>
          <w:noProof/>
          <w:lang w:eastAsia="en-AU"/>
        </w:rPr>
        <w:drawing>
          <wp:inline distT="0" distB="0" distL="0" distR="0" wp14:anchorId="275FFB83" wp14:editId="2840A676">
            <wp:extent cx="4457700"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7357" t="11349" r="9815" b="7407"/>
                    <a:stretch/>
                  </pic:blipFill>
                  <pic:spPr bwMode="auto">
                    <a:xfrm>
                      <a:off x="0" y="0"/>
                      <a:ext cx="4462769" cy="2917964"/>
                    </a:xfrm>
                    <a:prstGeom prst="rect">
                      <a:avLst/>
                    </a:prstGeom>
                    <a:ln>
                      <a:noFill/>
                    </a:ln>
                    <a:extLst>
                      <a:ext uri="{53640926-AAD7-44D8-BBD7-CCE9431645EC}">
                        <a14:shadowObscured xmlns:a14="http://schemas.microsoft.com/office/drawing/2010/main"/>
                      </a:ext>
                    </a:extLst>
                  </pic:spPr>
                </pic:pic>
              </a:graphicData>
            </a:graphic>
          </wp:inline>
        </w:drawing>
      </w:r>
    </w:p>
    <w:p w14:paraId="784DF253" w14:textId="77777777" w:rsidR="00B917A5" w:rsidRDefault="00B917A5" w:rsidP="0021426A">
      <w:pPr>
        <w:pStyle w:val="NormalIndent1"/>
        <w:jc w:val="left"/>
      </w:pPr>
    </w:p>
    <w:p w14:paraId="61563FC1" w14:textId="65288277" w:rsidR="00B917A5" w:rsidRPr="00EA1B35" w:rsidRDefault="00B917A5" w:rsidP="0021426A">
      <w:pPr>
        <w:pStyle w:val="NormalIndent1"/>
        <w:jc w:val="left"/>
        <w:rPr>
          <w:lang w:val="en-US"/>
        </w:rPr>
      </w:pPr>
      <w:r w:rsidRPr="00EA1B35">
        <w:rPr>
          <w:lang w:val="en-US"/>
        </w:rPr>
        <w:t xml:space="preserve">Pairwise comparison p-values:  * = p &lt; 0.05 for comparisons of </w:t>
      </w:r>
      <w:r w:rsidR="00C36EA6" w:rsidRPr="00EA1B35">
        <w:rPr>
          <w:lang w:val="en-US"/>
        </w:rPr>
        <w:t>etanercept</w:t>
      </w:r>
      <w:r w:rsidRPr="00EA1B35">
        <w:rPr>
          <w:lang w:val="en-US"/>
        </w:rPr>
        <w:t xml:space="preserve"> vs. methotrexate, </w:t>
      </w:r>
      <w:r w:rsidRPr="000C0B82">
        <w:rPr>
          <w:rFonts w:cs="Times New Roman"/>
          <w:spacing w:val="1"/>
          <w:w w:val="179"/>
          <w:vertAlign w:val="superscript"/>
        </w:rPr>
        <w:t>†</w:t>
      </w:r>
      <w:r w:rsidRPr="00EA1B35">
        <w:rPr>
          <w:lang w:val="en-US"/>
        </w:rPr>
        <w:t xml:space="preserve"> = p &lt; 0.05 for comparisons of </w:t>
      </w:r>
      <w:r w:rsidR="00C36EA6" w:rsidRPr="00EA1B35">
        <w:rPr>
          <w:lang w:val="en-US"/>
        </w:rPr>
        <w:t>etanercept</w:t>
      </w:r>
      <w:r w:rsidRPr="00EA1B35">
        <w:rPr>
          <w:lang w:val="en-US"/>
        </w:rPr>
        <w:t xml:space="preserve"> + methotrexate vs. methotrexate and </w:t>
      </w:r>
      <w:r w:rsidRPr="000C0B82">
        <w:rPr>
          <w:rFonts w:eastAsia="Symbol" w:cs="Symbol"/>
          <w:w w:val="99"/>
        </w:rPr>
        <w:t></w:t>
      </w:r>
      <w:r w:rsidRPr="00EA1B35">
        <w:rPr>
          <w:lang w:val="en-US"/>
        </w:rPr>
        <w:t xml:space="preserve"> = p &lt; 0.05 for comparisons of </w:t>
      </w:r>
      <w:r w:rsidR="00C36EA6" w:rsidRPr="00EA1B35">
        <w:rPr>
          <w:lang w:val="en-US"/>
        </w:rPr>
        <w:t>etanercept</w:t>
      </w:r>
      <w:r w:rsidRPr="00EA1B35">
        <w:rPr>
          <w:lang w:val="en-US"/>
        </w:rPr>
        <w:t xml:space="preserve"> + methotrexate vs. </w:t>
      </w:r>
      <w:r w:rsidR="00C36EA6" w:rsidRPr="00EA1B35">
        <w:rPr>
          <w:lang w:val="en-US"/>
        </w:rPr>
        <w:t>etanercept</w:t>
      </w:r>
    </w:p>
    <w:p w14:paraId="44D8B4A4" w14:textId="77777777" w:rsidR="00B917A5" w:rsidRPr="00EA1B35" w:rsidRDefault="00B917A5" w:rsidP="0021426A">
      <w:pPr>
        <w:pStyle w:val="NormalIndent1"/>
        <w:jc w:val="left"/>
        <w:rPr>
          <w:lang w:val="en-US"/>
        </w:rPr>
      </w:pPr>
    </w:p>
    <w:p w14:paraId="4896D623" w14:textId="54B4F8EA" w:rsidR="00B917A5" w:rsidRPr="00EA1B35" w:rsidRDefault="00B917A5" w:rsidP="0021426A">
      <w:pPr>
        <w:pStyle w:val="NormalIndent1"/>
        <w:jc w:val="left"/>
        <w:rPr>
          <w:lang w:val="en-US"/>
        </w:rPr>
      </w:pPr>
      <w:r w:rsidRPr="00EA1B35">
        <w:rPr>
          <w:lang w:val="en-US"/>
        </w:rPr>
        <w:t xml:space="preserve">The percentage of patients without progression (TSS change ≤ 0.5) was higher in the </w:t>
      </w:r>
      <w:r w:rsidR="00C36EA6" w:rsidRPr="00EA1B35">
        <w:rPr>
          <w:lang w:val="en-US"/>
        </w:rPr>
        <w:t>etanercept</w:t>
      </w:r>
      <w:r w:rsidRPr="00EA1B35">
        <w:rPr>
          <w:lang w:val="en-US"/>
        </w:rPr>
        <w:t xml:space="preserve"> in combination with methotrexate and </w:t>
      </w:r>
      <w:r w:rsidR="00C36EA6" w:rsidRPr="00EA1B35">
        <w:rPr>
          <w:lang w:val="en-US"/>
        </w:rPr>
        <w:t>etanercept</w:t>
      </w:r>
      <w:r w:rsidRPr="00EA1B35">
        <w:rPr>
          <w:lang w:val="en-US"/>
        </w:rPr>
        <w:t xml:space="preserve"> groups compared with methotrexate at week 24 (74%, 68% and 56%, respectively; p</w:t>
      </w:r>
      <w:r w:rsidR="00B20D25" w:rsidRPr="00EA1B35">
        <w:rPr>
          <w:lang w:val="en-US"/>
        </w:rPr>
        <w:t xml:space="preserve"> </w:t>
      </w:r>
      <w:r w:rsidRPr="00EA1B35">
        <w:rPr>
          <w:lang w:val="en-US"/>
        </w:rPr>
        <w:t>&lt;</w:t>
      </w:r>
      <w:r w:rsidR="00B20D25" w:rsidRPr="00EA1B35">
        <w:rPr>
          <w:lang w:val="en-US"/>
        </w:rPr>
        <w:t xml:space="preserve"> </w:t>
      </w:r>
      <w:r w:rsidRPr="00EA1B35">
        <w:rPr>
          <w:lang w:val="en-US"/>
        </w:rPr>
        <w:t>0.05) and week 52 (80%, 68% and 57%, respectively; p</w:t>
      </w:r>
      <w:r w:rsidR="00B20D25" w:rsidRPr="00EA1B35">
        <w:rPr>
          <w:lang w:val="en-US"/>
        </w:rPr>
        <w:t xml:space="preserve"> </w:t>
      </w:r>
      <w:r w:rsidRPr="00EA1B35">
        <w:rPr>
          <w:lang w:val="en-US"/>
        </w:rPr>
        <w:t>&lt;</w:t>
      </w:r>
      <w:r w:rsidR="00B20D25" w:rsidRPr="00EA1B35">
        <w:rPr>
          <w:lang w:val="en-US"/>
        </w:rPr>
        <w:t xml:space="preserve"> </w:t>
      </w:r>
      <w:r w:rsidRPr="00EA1B35">
        <w:rPr>
          <w:lang w:val="en-US"/>
        </w:rPr>
        <w:t>0.05).</w:t>
      </w:r>
    </w:p>
    <w:p w14:paraId="5DA1DF65" w14:textId="77777777" w:rsidR="00B917A5" w:rsidRPr="00EA1B35" w:rsidRDefault="00B917A5" w:rsidP="0021426A">
      <w:pPr>
        <w:pStyle w:val="NormalIndent1"/>
        <w:jc w:val="left"/>
        <w:rPr>
          <w:lang w:val="en-US"/>
        </w:rPr>
      </w:pPr>
    </w:p>
    <w:p w14:paraId="26040800" w14:textId="3C523E15" w:rsidR="00B917A5" w:rsidRPr="00EA1B35" w:rsidRDefault="00B917A5" w:rsidP="0021426A">
      <w:pPr>
        <w:pStyle w:val="NormalIndent1"/>
        <w:jc w:val="left"/>
        <w:rPr>
          <w:lang w:val="en-US"/>
        </w:rPr>
      </w:pPr>
      <w:r w:rsidRPr="00EA1B35">
        <w:rPr>
          <w:lang w:val="en-US"/>
        </w:rPr>
        <w:t xml:space="preserve">Safety, efficacy and immunogenicity were assessed in an open label study of </w:t>
      </w:r>
      <w:r w:rsidR="00C36EA6" w:rsidRPr="00EA1B35">
        <w:rPr>
          <w:lang w:val="en-US"/>
        </w:rPr>
        <w:t>etanercept</w:t>
      </w:r>
      <w:r w:rsidRPr="00EA1B35">
        <w:rPr>
          <w:lang w:val="en-US"/>
        </w:rPr>
        <w:t xml:space="preserve"> manufactured by the serum-free process (SFP) in patients with rheumatoid arthritis.  Based on indirect comparisons with historical data, the results were comparable to two previous phase 3 controlled studies in subjects with RA using </w:t>
      </w:r>
      <w:r w:rsidR="00C36EA6" w:rsidRPr="00EA1B35">
        <w:rPr>
          <w:lang w:val="en-US"/>
        </w:rPr>
        <w:t>etanercept</w:t>
      </w:r>
      <w:r w:rsidRPr="00EA1B35">
        <w:rPr>
          <w:lang w:val="en-US"/>
        </w:rPr>
        <w:t xml:space="preserve"> manufactured by a serum-based process.</w:t>
      </w:r>
    </w:p>
    <w:p w14:paraId="03B3A778" w14:textId="77777777" w:rsidR="00B917A5" w:rsidRPr="00B917A5" w:rsidRDefault="00B917A5" w:rsidP="0021426A">
      <w:pPr>
        <w:pStyle w:val="NormalIndent1"/>
        <w:jc w:val="left"/>
        <w:rPr>
          <w:lang w:val="en-US"/>
        </w:rPr>
      </w:pPr>
    </w:p>
    <w:p w14:paraId="1E2C544D" w14:textId="77777777" w:rsidR="00B917A5" w:rsidRPr="00B917A5" w:rsidRDefault="00B917A5" w:rsidP="0021426A">
      <w:pPr>
        <w:pStyle w:val="Heading4"/>
        <w:jc w:val="left"/>
        <w:rPr>
          <w:lang w:val="en-US"/>
        </w:rPr>
      </w:pPr>
      <w:r w:rsidRPr="00B917A5">
        <w:rPr>
          <w:lang w:val="en-US"/>
        </w:rPr>
        <w:t>Juvenile Idiopathic Arthritis</w:t>
      </w:r>
    </w:p>
    <w:p w14:paraId="25AAE02C" w14:textId="77777777" w:rsidR="00B917A5" w:rsidRPr="00B917A5" w:rsidRDefault="00B917A5" w:rsidP="0021426A">
      <w:pPr>
        <w:pStyle w:val="NormalIndent1"/>
        <w:jc w:val="left"/>
        <w:rPr>
          <w:lang w:val="en-US"/>
        </w:rPr>
      </w:pPr>
    </w:p>
    <w:p w14:paraId="2766B56D" w14:textId="27AAEC8D" w:rsidR="00B917A5" w:rsidRPr="00B917A5" w:rsidRDefault="00B917A5" w:rsidP="0021426A">
      <w:pPr>
        <w:pStyle w:val="NormalIndent1"/>
        <w:jc w:val="left"/>
        <w:rPr>
          <w:lang w:val="en-US"/>
        </w:rPr>
      </w:pPr>
      <w:r w:rsidRPr="00B917A5">
        <w:rPr>
          <w:lang w:val="en-US"/>
        </w:rPr>
        <w:t>The safety and efficacy of E</w:t>
      </w:r>
      <w:r w:rsidR="00116F09" w:rsidRPr="00B917A5">
        <w:rPr>
          <w:lang w:val="en-US"/>
        </w:rPr>
        <w:t>nbrel</w:t>
      </w:r>
      <w:r w:rsidR="00116F09" w:rsidRPr="006D4A57">
        <w:rPr>
          <w:rFonts w:cstheme="minorHAnsi"/>
        </w:rPr>
        <w:t>®</w:t>
      </w:r>
      <w:r w:rsidRPr="00B917A5">
        <w:rPr>
          <w:lang w:val="en-US"/>
        </w:rPr>
        <w:t xml:space="preserve"> were assessed in a two-part study of 69 children with polyarticular-course juvenile idiopathic arthritis (JIA) who had a variety of JIA onset types (polyarthritis, </w:t>
      </w:r>
      <w:proofErr w:type="spellStart"/>
      <w:r w:rsidRPr="00B917A5">
        <w:rPr>
          <w:lang w:val="en-US"/>
        </w:rPr>
        <w:t>pauciarthritis</w:t>
      </w:r>
      <w:proofErr w:type="spellEnd"/>
      <w:r w:rsidRPr="00B917A5">
        <w:rPr>
          <w:lang w:val="en-US"/>
        </w:rPr>
        <w:t>, systemic-onset).  Patients aged 4 to 17 years with moderately to severely active polyarticular-course JIA refractory to or intolerant of methotrexate were enrolled; patients remained on a stable dose of a single non-steroidal anti-inflammatory drug and/or prednisone (</w:t>
      </w:r>
      <w:r w:rsidR="00B93ACA">
        <w:rPr>
          <w:rFonts w:cstheme="minorHAnsi"/>
          <w:lang w:val="en-US"/>
        </w:rPr>
        <w:t>≤</w:t>
      </w:r>
      <w:r w:rsidRPr="00B917A5">
        <w:rPr>
          <w:lang w:val="en-US"/>
        </w:rPr>
        <w:t xml:space="preserve"> 0.2 mg/kg/day or 10 mg maximum).  In part 1, all patients received 0.4 mg/kg (maximum 25 mg per dose) </w:t>
      </w:r>
      <w:r w:rsidR="00116F09" w:rsidRPr="00B917A5">
        <w:rPr>
          <w:lang w:val="en-US"/>
        </w:rPr>
        <w:t>Enbrel</w:t>
      </w:r>
      <w:r w:rsidR="00116F09" w:rsidRPr="006D4A57">
        <w:rPr>
          <w:rFonts w:cstheme="minorHAnsi"/>
        </w:rPr>
        <w:t>®</w:t>
      </w:r>
      <w:r w:rsidRPr="00B917A5">
        <w:rPr>
          <w:lang w:val="en-US"/>
        </w:rPr>
        <w:t xml:space="preserve"> SC twice weekly.  In part 2, patients with a clinical response at day 90 were randomised to remain on </w:t>
      </w:r>
      <w:r w:rsidR="00116F09" w:rsidRPr="00B917A5">
        <w:rPr>
          <w:lang w:val="en-US"/>
        </w:rPr>
        <w:t>Enbrel</w:t>
      </w:r>
      <w:r w:rsidR="00116F09" w:rsidRPr="006D4A57">
        <w:rPr>
          <w:rFonts w:cstheme="minorHAnsi"/>
        </w:rPr>
        <w:t>®</w:t>
      </w:r>
      <w:r w:rsidRPr="00B917A5">
        <w:rPr>
          <w:lang w:val="en-US"/>
        </w:rPr>
        <w:t xml:space="preserve"> or receive placebo for four months and assessed for disease flare.  Responses were measured using the ACR Pedi 30, defined as </w:t>
      </w:r>
      <w:r w:rsidR="00B93ACA">
        <w:rPr>
          <w:rFonts w:cstheme="minorHAnsi"/>
          <w:lang w:val="en-US"/>
        </w:rPr>
        <w:t>≥</w:t>
      </w:r>
      <w:r w:rsidRPr="00B917A5">
        <w:rPr>
          <w:lang w:val="en-US"/>
        </w:rPr>
        <w:t xml:space="preserve"> 30% improvement in at least three of six JIA core set criteria (active joint count, limitation of motion, physician and patient/parent global assessments, functional assessment and ESR) with no more than one variable worsening by more than 30%.  Disease flare was defined as a </w:t>
      </w:r>
      <w:r w:rsidR="00B93ACA">
        <w:rPr>
          <w:rFonts w:cstheme="minorHAnsi"/>
          <w:lang w:val="en-US"/>
        </w:rPr>
        <w:t>≥</w:t>
      </w:r>
      <w:r w:rsidRPr="00B917A5">
        <w:rPr>
          <w:lang w:val="en-US"/>
        </w:rPr>
        <w:t xml:space="preserve"> 30% worsening in three of six JIA core set criteria and a minimum of two active joints.  They could also have </w:t>
      </w:r>
      <w:r w:rsidR="00B93ACA">
        <w:rPr>
          <w:rFonts w:cstheme="minorHAnsi"/>
          <w:lang w:val="en-US"/>
        </w:rPr>
        <w:t>≥</w:t>
      </w:r>
      <w:r w:rsidRPr="00B917A5">
        <w:rPr>
          <w:lang w:val="en-US"/>
        </w:rPr>
        <w:t xml:space="preserve"> 30% improvement in not more than one of six JIA core set criteria.</w:t>
      </w:r>
    </w:p>
    <w:p w14:paraId="2A4AEE57" w14:textId="77777777" w:rsidR="00B917A5" w:rsidRPr="00B917A5" w:rsidRDefault="00B917A5" w:rsidP="0021426A">
      <w:pPr>
        <w:pStyle w:val="NormalIndent1"/>
        <w:jc w:val="left"/>
        <w:rPr>
          <w:lang w:val="en-US"/>
        </w:rPr>
      </w:pPr>
    </w:p>
    <w:p w14:paraId="17A64DFC" w14:textId="71797347" w:rsidR="00B917A5" w:rsidRPr="00B917A5" w:rsidRDefault="00B917A5" w:rsidP="0021426A">
      <w:pPr>
        <w:pStyle w:val="NormalIndent1"/>
        <w:jc w:val="left"/>
        <w:rPr>
          <w:lang w:val="en-US"/>
        </w:rPr>
      </w:pPr>
      <w:r w:rsidRPr="00B917A5">
        <w:rPr>
          <w:lang w:val="en-US"/>
        </w:rPr>
        <w:t xml:space="preserve">In part 1 of the study, 51 of 69 (74%) patients demonstrated a clinical response and entered part 2. </w:t>
      </w:r>
      <w:r w:rsidR="00B93ACA">
        <w:rPr>
          <w:lang w:val="en-US"/>
        </w:rPr>
        <w:t xml:space="preserve"> </w:t>
      </w:r>
      <w:r w:rsidRPr="00B917A5">
        <w:rPr>
          <w:lang w:val="en-US"/>
        </w:rPr>
        <w:t xml:space="preserve">In part 2, 6 of 25 (24%) patients remaining on </w:t>
      </w:r>
      <w:r w:rsidR="00116F09" w:rsidRPr="00B917A5">
        <w:rPr>
          <w:lang w:val="en-US"/>
        </w:rPr>
        <w:t>Enbrel</w:t>
      </w:r>
      <w:r w:rsidR="00116F09" w:rsidRPr="006D4A57">
        <w:rPr>
          <w:rFonts w:cstheme="minorHAnsi"/>
        </w:rPr>
        <w:t>®</w:t>
      </w:r>
      <w:r w:rsidRPr="00B917A5">
        <w:rPr>
          <w:lang w:val="en-US"/>
        </w:rPr>
        <w:t xml:space="preserve"> experienced a disease flare compared to 20 of 26 (77%) patients receiving placebo (p=0.007).  From the start of part 2, the median time to flare was </w:t>
      </w:r>
      <w:r w:rsidR="00B93ACA">
        <w:rPr>
          <w:rFonts w:cstheme="minorHAnsi"/>
          <w:lang w:val="en-US"/>
        </w:rPr>
        <w:t>≥</w:t>
      </w:r>
      <w:r w:rsidRPr="00B917A5">
        <w:rPr>
          <w:lang w:val="en-US"/>
        </w:rPr>
        <w:t xml:space="preserve"> 116 days for patients who received </w:t>
      </w:r>
      <w:r w:rsidR="00116F09" w:rsidRPr="00B917A5">
        <w:rPr>
          <w:lang w:val="en-US"/>
        </w:rPr>
        <w:t>Enbrel</w:t>
      </w:r>
      <w:r w:rsidR="00116F09" w:rsidRPr="006D4A57">
        <w:rPr>
          <w:rFonts w:cstheme="minorHAnsi"/>
        </w:rPr>
        <w:t>®</w:t>
      </w:r>
      <w:r w:rsidRPr="00B917A5">
        <w:rPr>
          <w:lang w:val="en-US"/>
        </w:rPr>
        <w:t xml:space="preserve"> and 28 days for patients who received placebo.</w:t>
      </w:r>
      <w:r w:rsidR="00B93ACA">
        <w:rPr>
          <w:lang w:val="en-US"/>
        </w:rPr>
        <w:t xml:space="preserve"> </w:t>
      </w:r>
      <w:r w:rsidRPr="00B917A5">
        <w:rPr>
          <w:lang w:val="en-US"/>
        </w:rPr>
        <w:t xml:space="preserve"> Each component of the JIA core set criteria worsened in the arm that received placebo and remained stable or improved in the arm that continued on </w:t>
      </w:r>
      <w:r w:rsidR="00116F09" w:rsidRPr="00B917A5">
        <w:rPr>
          <w:lang w:val="en-US"/>
        </w:rPr>
        <w:t>Enbrel</w:t>
      </w:r>
      <w:r w:rsidR="00116F09" w:rsidRPr="006D4A57">
        <w:rPr>
          <w:rFonts w:cstheme="minorHAnsi"/>
        </w:rPr>
        <w:t>®</w:t>
      </w:r>
      <w:r w:rsidRPr="00B917A5">
        <w:rPr>
          <w:lang w:val="en-US"/>
        </w:rPr>
        <w:t xml:space="preserve">.  The data suggested the possibility of a higher flare rate among those patients with a higher baseline ESR.  Of patients who demonstrated a clinical response at 90 days and entered part 2 of the study, some of the patients remaining on </w:t>
      </w:r>
      <w:r w:rsidR="00116F09" w:rsidRPr="00B917A5">
        <w:rPr>
          <w:lang w:val="en-US"/>
        </w:rPr>
        <w:t>Enbrel</w:t>
      </w:r>
      <w:r w:rsidR="00116F09" w:rsidRPr="006D4A57">
        <w:rPr>
          <w:rFonts w:cstheme="minorHAnsi"/>
        </w:rPr>
        <w:t>®</w:t>
      </w:r>
      <w:r w:rsidRPr="00B917A5">
        <w:rPr>
          <w:lang w:val="en-US"/>
        </w:rPr>
        <w:t xml:space="preserve"> continued to improve from month 3 through month 7, while those who received placebo did not improve.</w:t>
      </w:r>
    </w:p>
    <w:p w14:paraId="620A6FDF" w14:textId="77777777" w:rsidR="00B917A5" w:rsidRPr="00B917A5" w:rsidRDefault="00B917A5" w:rsidP="0021426A">
      <w:pPr>
        <w:pStyle w:val="NormalIndent1"/>
        <w:jc w:val="left"/>
        <w:rPr>
          <w:lang w:val="en-US"/>
        </w:rPr>
      </w:pPr>
    </w:p>
    <w:p w14:paraId="4572A81C" w14:textId="5B486620" w:rsidR="00B917A5" w:rsidRPr="00B917A5" w:rsidRDefault="00B917A5" w:rsidP="0021426A">
      <w:pPr>
        <w:pStyle w:val="NormalIndent1"/>
        <w:jc w:val="left"/>
        <w:rPr>
          <w:lang w:val="en-US"/>
        </w:rPr>
      </w:pPr>
      <w:r w:rsidRPr="00B917A5">
        <w:rPr>
          <w:lang w:val="en-US"/>
        </w:rPr>
        <w:t xml:space="preserve">In an open-label, safety extension study, 58 </w:t>
      </w:r>
      <w:proofErr w:type="spellStart"/>
      <w:r w:rsidRPr="00B917A5">
        <w:rPr>
          <w:lang w:val="en-US"/>
        </w:rPr>
        <w:t>paediatric</w:t>
      </w:r>
      <w:proofErr w:type="spellEnd"/>
      <w:r w:rsidRPr="00B917A5">
        <w:rPr>
          <w:lang w:val="en-US"/>
        </w:rPr>
        <w:t xml:space="preserve"> patients from the above study (from the age of 4 years at time of enrolment) continued to receive </w:t>
      </w:r>
      <w:r w:rsidR="00116F09" w:rsidRPr="00B917A5">
        <w:rPr>
          <w:lang w:val="en-US"/>
        </w:rPr>
        <w:t>Enbrel</w:t>
      </w:r>
      <w:r w:rsidR="00116F09" w:rsidRPr="006D4A57">
        <w:rPr>
          <w:rFonts w:cstheme="minorHAnsi"/>
        </w:rPr>
        <w:t>®</w:t>
      </w:r>
      <w:r w:rsidRPr="00B917A5">
        <w:rPr>
          <w:lang w:val="en-US"/>
        </w:rPr>
        <w:t xml:space="preserve"> for up to 10 years.  Rates of serious adverse events and serious infections did not increase with long-term exposure.</w:t>
      </w:r>
    </w:p>
    <w:p w14:paraId="5AA81BCD" w14:textId="77777777" w:rsidR="00B917A5" w:rsidRPr="00B917A5" w:rsidRDefault="00B917A5" w:rsidP="0021426A">
      <w:pPr>
        <w:pStyle w:val="NormalIndent1"/>
        <w:jc w:val="left"/>
        <w:rPr>
          <w:lang w:val="en-US"/>
        </w:rPr>
      </w:pPr>
    </w:p>
    <w:p w14:paraId="7E3F7B4F" w14:textId="0382BE42" w:rsidR="00B917A5" w:rsidRPr="00B917A5" w:rsidRDefault="00B917A5" w:rsidP="0021426A">
      <w:pPr>
        <w:pStyle w:val="NormalIndent1"/>
        <w:jc w:val="left"/>
        <w:rPr>
          <w:lang w:val="en-US"/>
        </w:rPr>
      </w:pPr>
      <w:r w:rsidRPr="00B917A5">
        <w:rPr>
          <w:lang w:val="en-US"/>
        </w:rPr>
        <w:t xml:space="preserve">In another open-label single-arm study, 60 patients with extended </w:t>
      </w:r>
      <w:proofErr w:type="spellStart"/>
      <w:r w:rsidRPr="00B917A5">
        <w:rPr>
          <w:lang w:val="en-US"/>
        </w:rPr>
        <w:t>oligoarthritis</w:t>
      </w:r>
      <w:proofErr w:type="spellEnd"/>
      <w:r w:rsidRPr="00B917A5">
        <w:rPr>
          <w:lang w:val="en-US"/>
        </w:rPr>
        <w:t xml:space="preserve"> (15 patients aged 2 to 4, 23 patients aged 5 to 11 and 22 patients aged 12 to 17 years old), 38 patients with </w:t>
      </w:r>
      <w:proofErr w:type="spellStart"/>
      <w:r w:rsidRPr="00B917A5">
        <w:rPr>
          <w:lang w:val="en-US"/>
        </w:rPr>
        <w:t>enthesitis</w:t>
      </w:r>
      <w:proofErr w:type="spellEnd"/>
      <w:r w:rsidRPr="00B917A5">
        <w:rPr>
          <w:lang w:val="en-US"/>
        </w:rPr>
        <w:t xml:space="preserve">-related arthritis (12 to 17 years old), and 29 patients with psoriatic arthritis (12 to 17 years old) were treated with </w:t>
      </w:r>
      <w:r w:rsidR="00116F09" w:rsidRPr="00B917A5">
        <w:rPr>
          <w:lang w:val="en-US"/>
        </w:rPr>
        <w:t>Enbrel</w:t>
      </w:r>
      <w:r w:rsidR="00116F09" w:rsidRPr="006D4A57">
        <w:rPr>
          <w:rFonts w:cstheme="minorHAnsi"/>
        </w:rPr>
        <w:t>®</w:t>
      </w:r>
      <w:r w:rsidRPr="00B917A5">
        <w:rPr>
          <w:lang w:val="en-US"/>
        </w:rPr>
        <w:t xml:space="preserve"> at a dose of 0.8 mg/kg (up to a maximum of 50 mg per dose) administered weekly for 12 weeks.  In each of the JIA subtypes, the majority of patients met ACR Pedi 30 criteria and demonstrated clinical improvement in secondary endpoints such as number of tender joints and physician global assessment.  The safety profile was consistent with that observed in other JIA studies.</w:t>
      </w:r>
    </w:p>
    <w:p w14:paraId="646A7EDB" w14:textId="77777777" w:rsidR="00B917A5" w:rsidRPr="00B917A5" w:rsidRDefault="00B917A5" w:rsidP="0021426A">
      <w:pPr>
        <w:pStyle w:val="NormalIndent1"/>
        <w:jc w:val="left"/>
        <w:rPr>
          <w:lang w:val="en-US"/>
        </w:rPr>
      </w:pPr>
    </w:p>
    <w:p w14:paraId="64918CD2" w14:textId="2116D8FD" w:rsidR="00B917A5" w:rsidRPr="00B917A5" w:rsidRDefault="00B917A5" w:rsidP="0021426A">
      <w:pPr>
        <w:pStyle w:val="NormalIndent1"/>
        <w:jc w:val="left"/>
        <w:rPr>
          <w:lang w:val="en-US"/>
        </w:rPr>
      </w:pPr>
      <w:r w:rsidRPr="00B917A5">
        <w:rPr>
          <w:lang w:val="en-US"/>
        </w:rPr>
        <w:t xml:space="preserve">Long-term safety of </w:t>
      </w:r>
      <w:r w:rsidR="00116F09" w:rsidRPr="00B917A5">
        <w:rPr>
          <w:lang w:val="en-US"/>
        </w:rPr>
        <w:t>Enbrel</w:t>
      </w:r>
      <w:r w:rsidR="00116F09" w:rsidRPr="006D4A57">
        <w:rPr>
          <w:rFonts w:cstheme="minorHAnsi"/>
        </w:rPr>
        <w:t>®</w:t>
      </w:r>
      <w:r w:rsidRPr="00B917A5">
        <w:rPr>
          <w:lang w:val="en-US"/>
        </w:rPr>
        <w:t xml:space="preserve"> monotherapy (n</w:t>
      </w:r>
      <w:r w:rsidR="00B93ACA">
        <w:rPr>
          <w:lang w:val="en-US"/>
        </w:rPr>
        <w:t xml:space="preserve"> </w:t>
      </w:r>
      <w:r w:rsidRPr="00B917A5">
        <w:rPr>
          <w:lang w:val="en-US"/>
        </w:rPr>
        <w:t>=</w:t>
      </w:r>
      <w:r w:rsidR="00B93ACA">
        <w:rPr>
          <w:lang w:val="en-US"/>
        </w:rPr>
        <w:t xml:space="preserve"> </w:t>
      </w:r>
      <w:r w:rsidRPr="00B917A5">
        <w:rPr>
          <w:lang w:val="en-US"/>
        </w:rPr>
        <w:t xml:space="preserve">103), </w:t>
      </w:r>
      <w:r w:rsidR="00116F09" w:rsidRPr="00B917A5">
        <w:rPr>
          <w:lang w:val="en-US"/>
        </w:rPr>
        <w:t>Enbrel</w:t>
      </w:r>
      <w:r w:rsidR="00116F09" w:rsidRPr="006D4A57">
        <w:rPr>
          <w:rFonts w:cstheme="minorHAnsi"/>
        </w:rPr>
        <w:t>®</w:t>
      </w:r>
      <w:r w:rsidRPr="00B917A5">
        <w:rPr>
          <w:lang w:val="en-US"/>
        </w:rPr>
        <w:t xml:space="preserve"> plus methotrexate (n</w:t>
      </w:r>
      <w:r w:rsidR="00B93ACA">
        <w:rPr>
          <w:lang w:val="en-US"/>
        </w:rPr>
        <w:t xml:space="preserve"> </w:t>
      </w:r>
      <w:r w:rsidRPr="00B917A5">
        <w:rPr>
          <w:lang w:val="en-US"/>
        </w:rPr>
        <w:t>=</w:t>
      </w:r>
      <w:r w:rsidR="00B93ACA">
        <w:rPr>
          <w:lang w:val="en-US"/>
        </w:rPr>
        <w:t xml:space="preserve"> </w:t>
      </w:r>
      <w:r w:rsidRPr="00B917A5">
        <w:rPr>
          <w:lang w:val="en-US"/>
        </w:rPr>
        <w:t>294), or methotrexate monotherapy (n</w:t>
      </w:r>
      <w:r w:rsidR="00B93ACA">
        <w:rPr>
          <w:lang w:val="en-US"/>
        </w:rPr>
        <w:t xml:space="preserve"> </w:t>
      </w:r>
      <w:r w:rsidRPr="00B917A5">
        <w:rPr>
          <w:lang w:val="en-US"/>
        </w:rPr>
        <w:t>=</w:t>
      </w:r>
      <w:r w:rsidR="00B93ACA">
        <w:rPr>
          <w:lang w:val="en-US"/>
        </w:rPr>
        <w:t xml:space="preserve"> </w:t>
      </w:r>
      <w:r w:rsidRPr="00B917A5">
        <w:rPr>
          <w:lang w:val="en-US"/>
        </w:rPr>
        <w:t>197) were assessed for up to 3 years in a registry of 594 children aged 2 to 18 years with juvenile idiopathic arthritis, 39 of whom were 2 to 3 years of age.  Overall,</w:t>
      </w:r>
      <w:r w:rsidR="00B93ACA">
        <w:rPr>
          <w:lang w:val="en-US"/>
        </w:rPr>
        <w:t xml:space="preserve"> </w:t>
      </w:r>
      <w:r w:rsidRPr="00B917A5">
        <w:rPr>
          <w:lang w:val="en-US"/>
        </w:rPr>
        <w:t xml:space="preserve">infections were more commonly reported in patients treated with </w:t>
      </w:r>
      <w:r w:rsidR="00116F09" w:rsidRPr="00B917A5">
        <w:rPr>
          <w:lang w:val="en-US"/>
        </w:rPr>
        <w:t>Enbrel</w:t>
      </w:r>
      <w:r w:rsidR="00116F09" w:rsidRPr="006D4A57">
        <w:rPr>
          <w:rFonts w:cstheme="minorHAnsi"/>
        </w:rPr>
        <w:t>®</w:t>
      </w:r>
      <w:r w:rsidRPr="00B917A5">
        <w:rPr>
          <w:lang w:val="en-US"/>
        </w:rPr>
        <w:t xml:space="preserve"> compared to methotrexate alone (3.8 versus 2%), and the infections associated with </w:t>
      </w:r>
      <w:r w:rsidR="00116F09" w:rsidRPr="00B917A5">
        <w:rPr>
          <w:lang w:val="en-US"/>
        </w:rPr>
        <w:t>Enbrel</w:t>
      </w:r>
      <w:r w:rsidR="00116F09" w:rsidRPr="006D4A57">
        <w:rPr>
          <w:rFonts w:cstheme="minorHAnsi"/>
        </w:rPr>
        <w:t>®</w:t>
      </w:r>
      <w:r w:rsidRPr="00B917A5">
        <w:rPr>
          <w:lang w:val="en-US"/>
        </w:rPr>
        <w:t xml:space="preserve"> use were of a more severe nature.</w:t>
      </w:r>
    </w:p>
    <w:p w14:paraId="3ED43865" w14:textId="77777777" w:rsidR="00B917A5" w:rsidRPr="00B917A5" w:rsidRDefault="00B917A5" w:rsidP="0021426A">
      <w:pPr>
        <w:pStyle w:val="NormalIndent1"/>
        <w:jc w:val="left"/>
        <w:rPr>
          <w:lang w:val="en-US"/>
        </w:rPr>
      </w:pPr>
    </w:p>
    <w:p w14:paraId="6E8447F1" w14:textId="7C5BE417" w:rsidR="00B917A5" w:rsidRPr="00B917A5" w:rsidRDefault="00B917A5" w:rsidP="0021426A">
      <w:pPr>
        <w:pStyle w:val="NormalIndent1"/>
        <w:jc w:val="left"/>
        <w:rPr>
          <w:lang w:val="en-US"/>
        </w:rPr>
      </w:pPr>
      <w:r w:rsidRPr="00B917A5">
        <w:rPr>
          <w:lang w:val="en-US"/>
        </w:rPr>
        <w:t xml:space="preserve">Studies have not been done in patients with juvenile idiopathic arthritis to assess the effects of continued </w:t>
      </w:r>
      <w:r w:rsidR="00116F09" w:rsidRPr="00B917A5">
        <w:rPr>
          <w:lang w:val="en-US"/>
        </w:rPr>
        <w:t>Enbrel</w:t>
      </w:r>
      <w:r w:rsidR="00116F09" w:rsidRPr="006D4A57">
        <w:rPr>
          <w:rFonts w:cstheme="minorHAnsi"/>
        </w:rPr>
        <w:t>®</w:t>
      </w:r>
      <w:r w:rsidRPr="00B917A5">
        <w:rPr>
          <w:lang w:val="en-US"/>
        </w:rPr>
        <w:t xml:space="preserve"> therapy in patients who do not respond within 3 months of initiating </w:t>
      </w:r>
      <w:r w:rsidR="00116F09" w:rsidRPr="00B917A5">
        <w:rPr>
          <w:lang w:val="en-US"/>
        </w:rPr>
        <w:t>Enbrel</w:t>
      </w:r>
      <w:r w:rsidR="00116F09" w:rsidRPr="006D4A57">
        <w:rPr>
          <w:rFonts w:cstheme="minorHAnsi"/>
        </w:rPr>
        <w:t>®</w:t>
      </w:r>
      <w:r w:rsidRPr="00B917A5">
        <w:rPr>
          <w:lang w:val="en-US"/>
        </w:rPr>
        <w:t xml:space="preserve"> therapy.  Additionally, studies have not been conducted to assess the effects of discontinuing or reducing the recommended dose of </w:t>
      </w:r>
      <w:r w:rsidR="00116F09" w:rsidRPr="00B917A5">
        <w:rPr>
          <w:lang w:val="en-US"/>
        </w:rPr>
        <w:t>Enbrel</w:t>
      </w:r>
      <w:r w:rsidR="00116F09" w:rsidRPr="006D4A57">
        <w:rPr>
          <w:rFonts w:cstheme="minorHAnsi"/>
        </w:rPr>
        <w:t>®</w:t>
      </w:r>
      <w:r w:rsidRPr="00B917A5">
        <w:rPr>
          <w:lang w:val="en-US"/>
        </w:rPr>
        <w:t xml:space="preserve"> following its long-term use in patients with JIA.</w:t>
      </w:r>
    </w:p>
    <w:p w14:paraId="63C8CCCE" w14:textId="77777777" w:rsidR="00B917A5" w:rsidRPr="00B917A5" w:rsidRDefault="00B917A5" w:rsidP="0021426A">
      <w:pPr>
        <w:pStyle w:val="NormalIndent1"/>
        <w:jc w:val="left"/>
        <w:rPr>
          <w:lang w:val="en-US"/>
        </w:rPr>
      </w:pPr>
    </w:p>
    <w:p w14:paraId="42D63FEF" w14:textId="66F5E4AD" w:rsidR="00B917A5" w:rsidRDefault="00B917A5" w:rsidP="0021426A">
      <w:pPr>
        <w:pStyle w:val="NormalIndent1"/>
        <w:jc w:val="left"/>
        <w:rPr>
          <w:lang w:val="en-US"/>
        </w:rPr>
      </w:pPr>
      <w:r w:rsidRPr="00B917A5">
        <w:rPr>
          <w:lang w:val="en-US"/>
        </w:rPr>
        <w:t xml:space="preserve">The long-term effects of </w:t>
      </w:r>
      <w:r w:rsidR="00116F09" w:rsidRPr="00B917A5">
        <w:rPr>
          <w:lang w:val="en-US"/>
        </w:rPr>
        <w:t>Enbrel</w:t>
      </w:r>
      <w:r w:rsidR="00116F09" w:rsidRPr="006D4A57">
        <w:rPr>
          <w:rFonts w:cstheme="minorHAnsi"/>
        </w:rPr>
        <w:t>®</w:t>
      </w:r>
      <w:r w:rsidRPr="00B917A5">
        <w:rPr>
          <w:lang w:val="en-US"/>
        </w:rPr>
        <w:t xml:space="preserve"> on the growth and development of children are not known.  No formal clinical trials have been conducted in children aged 2 to 3 years.  However, limited safety data from a patient registry suggest that the safety profile in children aged 2 to 3 years of age is similar to that seen in adults and children aged 4 years and older, when dosed every week with 0.8 mg/kg subcutaneously.</w:t>
      </w:r>
    </w:p>
    <w:p w14:paraId="0252B630" w14:textId="77777777" w:rsidR="004D28A6" w:rsidRPr="00B917A5" w:rsidRDefault="004D28A6" w:rsidP="0021426A">
      <w:pPr>
        <w:pStyle w:val="NormalIndent1"/>
        <w:jc w:val="left"/>
        <w:rPr>
          <w:lang w:val="en-US"/>
        </w:rPr>
      </w:pPr>
    </w:p>
    <w:p w14:paraId="305F8785" w14:textId="77777777" w:rsidR="00B917A5" w:rsidRPr="00B917A5" w:rsidRDefault="00B917A5" w:rsidP="0021426A">
      <w:pPr>
        <w:pStyle w:val="Heading4"/>
        <w:jc w:val="left"/>
        <w:rPr>
          <w:lang w:val="en-US"/>
        </w:rPr>
      </w:pPr>
      <w:r w:rsidRPr="00B917A5">
        <w:rPr>
          <w:lang w:val="en-US"/>
        </w:rPr>
        <w:t xml:space="preserve">Adults with </w:t>
      </w:r>
      <w:r w:rsidR="00B93ACA" w:rsidRPr="00B917A5">
        <w:rPr>
          <w:lang w:val="en-US"/>
        </w:rPr>
        <w:t>Psoriatic Arthritis</w:t>
      </w:r>
    </w:p>
    <w:p w14:paraId="5BDECF08" w14:textId="77777777" w:rsidR="00B917A5" w:rsidRPr="00B917A5" w:rsidRDefault="00B917A5" w:rsidP="0021426A">
      <w:pPr>
        <w:pStyle w:val="NormalIndent1"/>
        <w:jc w:val="left"/>
        <w:rPr>
          <w:lang w:val="en-US"/>
        </w:rPr>
      </w:pPr>
    </w:p>
    <w:p w14:paraId="0DB95E52" w14:textId="374CC29E" w:rsidR="00B917A5" w:rsidRPr="00B917A5" w:rsidRDefault="00B917A5" w:rsidP="0021426A">
      <w:pPr>
        <w:pStyle w:val="NormalIndent1"/>
        <w:jc w:val="left"/>
        <w:rPr>
          <w:lang w:val="en-US"/>
        </w:rPr>
      </w:pPr>
      <w:r w:rsidRPr="00B917A5">
        <w:rPr>
          <w:lang w:val="en-US"/>
        </w:rPr>
        <w:t xml:space="preserve">The efficacy of </w:t>
      </w:r>
      <w:r w:rsidR="00C36EA6">
        <w:rPr>
          <w:lang w:val="en-US"/>
        </w:rPr>
        <w:t>etanercept</w:t>
      </w:r>
      <w:r w:rsidRPr="00B917A5">
        <w:rPr>
          <w:lang w:val="en-US"/>
        </w:rPr>
        <w:t xml:space="preserve"> was assessed in a randomised, double-blind, placebo-controlled study of</w:t>
      </w:r>
      <w:r w:rsidR="00B93ACA">
        <w:rPr>
          <w:lang w:val="en-US"/>
        </w:rPr>
        <w:t xml:space="preserve"> </w:t>
      </w:r>
      <w:r w:rsidRPr="00B917A5">
        <w:rPr>
          <w:lang w:val="en-US"/>
        </w:rPr>
        <w:t>205 patients with psoriatic arthritis.  Patients were between 18 and 70 years of age and had active psoriatic arthritis (</w:t>
      </w:r>
      <w:r w:rsidR="00B93ACA">
        <w:rPr>
          <w:rFonts w:cstheme="minorHAnsi"/>
          <w:lang w:val="en-US"/>
        </w:rPr>
        <w:t xml:space="preserve">≥ </w:t>
      </w:r>
      <w:r w:rsidRPr="00B917A5">
        <w:rPr>
          <w:lang w:val="en-US"/>
        </w:rPr>
        <w:t xml:space="preserve">3 swollen joints and </w:t>
      </w:r>
      <w:r w:rsidR="00B93ACA">
        <w:rPr>
          <w:rFonts w:cstheme="minorHAnsi"/>
          <w:lang w:val="en-US"/>
        </w:rPr>
        <w:t xml:space="preserve">≥ </w:t>
      </w:r>
      <w:r w:rsidRPr="00B917A5">
        <w:rPr>
          <w:lang w:val="en-US"/>
        </w:rPr>
        <w:t xml:space="preserve">3 tender joints) in at least one of the following forms: (1) distal interphalangeal (DIP) involvement; (2) polyarticular arthritis (absence of rheumatoid nodules and presence of psoriasis); (3) arthritis </w:t>
      </w:r>
      <w:proofErr w:type="spellStart"/>
      <w:r w:rsidRPr="00B917A5">
        <w:rPr>
          <w:lang w:val="en-US"/>
        </w:rPr>
        <w:t>mutilans</w:t>
      </w:r>
      <w:proofErr w:type="spellEnd"/>
      <w:r w:rsidRPr="00B917A5">
        <w:rPr>
          <w:lang w:val="en-US"/>
        </w:rPr>
        <w:t xml:space="preserve">; (4) asymmetric psoriatic arthritis; or (5) spondylitis-like ankylosis.  Patients also had plaque psoriasis with a qualifying target lesion </w:t>
      </w:r>
      <w:r w:rsidR="00B93ACA">
        <w:rPr>
          <w:rFonts w:cstheme="minorHAnsi"/>
          <w:lang w:val="en-US"/>
        </w:rPr>
        <w:t>≥</w:t>
      </w:r>
      <w:r w:rsidRPr="00B917A5">
        <w:rPr>
          <w:lang w:val="en-US"/>
        </w:rPr>
        <w:t xml:space="preserve"> 2cm in diameter.  Patients currently on methotrexate therapy (stable for </w:t>
      </w:r>
      <w:r w:rsidR="00B93ACA">
        <w:rPr>
          <w:rFonts w:cstheme="minorHAnsi"/>
          <w:lang w:val="en-US"/>
        </w:rPr>
        <w:t>≥</w:t>
      </w:r>
      <w:r w:rsidRPr="00B917A5">
        <w:rPr>
          <w:lang w:val="en-US"/>
        </w:rPr>
        <w:t xml:space="preserve"> 2 months) could continue at a stable dose of </w:t>
      </w:r>
      <w:r w:rsidR="00B93ACA">
        <w:rPr>
          <w:rFonts w:cstheme="minorHAnsi"/>
          <w:lang w:val="en-US"/>
        </w:rPr>
        <w:t>≤</w:t>
      </w:r>
      <w:r w:rsidR="00B93ACA">
        <w:rPr>
          <w:lang w:val="en-US"/>
        </w:rPr>
        <w:t xml:space="preserve"> </w:t>
      </w:r>
      <w:r w:rsidRPr="00B917A5">
        <w:rPr>
          <w:lang w:val="en-US"/>
        </w:rPr>
        <w:t xml:space="preserve">25 mg/week methotrexate.  Doses of 25 mg </w:t>
      </w:r>
      <w:r w:rsidR="00C36EA6">
        <w:rPr>
          <w:lang w:val="en-US"/>
        </w:rPr>
        <w:t>etanercept</w:t>
      </w:r>
      <w:r w:rsidRPr="00B917A5">
        <w:rPr>
          <w:lang w:val="en-US"/>
        </w:rPr>
        <w:t xml:space="preserve"> or placebo were administered SC twice a week for 6 months.  At the end of the double-blind study, patients could enter a long- term open-label extension study for a total duration of up to 2 years.</w:t>
      </w:r>
    </w:p>
    <w:p w14:paraId="1B641F4C" w14:textId="77777777" w:rsidR="00B917A5" w:rsidRPr="00B917A5" w:rsidRDefault="00B917A5" w:rsidP="0021426A">
      <w:pPr>
        <w:pStyle w:val="NormalIndent1"/>
        <w:jc w:val="left"/>
        <w:rPr>
          <w:lang w:val="en-US"/>
        </w:rPr>
      </w:pPr>
    </w:p>
    <w:p w14:paraId="6B11603A" w14:textId="16D2F2EE" w:rsidR="00B917A5" w:rsidRDefault="00B917A5" w:rsidP="0021426A">
      <w:pPr>
        <w:pStyle w:val="NormalIndent1"/>
        <w:jc w:val="left"/>
      </w:pPr>
      <w:r w:rsidRPr="00B917A5">
        <w:rPr>
          <w:lang w:val="en-US"/>
        </w:rPr>
        <w:t>The clinical responses were expressed as percentages of patients achieving the ACR 20, 50 and 70 response and percentages with improvement in Psoriatic Arthritis Response Criteria (</w:t>
      </w:r>
      <w:proofErr w:type="spellStart"/>
      <w:r w:rsidRPr="00B917A5">
        <w:rPr>
          <w:lang w:val="en-US"/>
        </w:rPr>
        <w:t>PsARC</w:t>
      </w:r>
      <w:proofErr w:type="spellEnd"/>
      <w:r w:rsidRPr="00B917A5">
        <w:rPr>
          <w:lang w:val="en-US"/>
        </w:rPr>
        <w:t xml:space="preserve">).  The </w:t>
      </w:r>
      <w:proofErr w:type="spellStart"/>
      <w:r w:rsidRPr="00B917A5">
        <w:rPr>
          <w:lang w:val="en-US"/>
        </w:rPr>
        <w:t>PsARC</w:t>
      </w:r>
      <w:proofErr w:type="spellEnd"/>
      <w:r w:rsidRPr="00B917A5">
        <w:rPr>
          <w:lang w:val="en-US"/>
        </w:rPr>
        <w:t xml:space="preserve"> endpoint comprises of four measures: (1) patient global assessment, (2) physician global assessment, (3) joint pain/tenderness score and (4) joint swelling score.  Achievement of the </w:t>
      </w:r>
      <w:proofErr w:type="spellStart"/>
      <w:r w:rsidRPr="00B917A5">
        <w:rPr>
          <w:lang w:val="en-US"/>
        </w:rPr>
        <w:t>PsARC</w:t>
      </w:r>
      <w:proofErr w:type="spellEnd"/>
      <w:r w:rsidRPr="00B917A5">
        <w:rPr>
          <w:lang w:val="en-US"/>
        </w:rPr>
        <w:t xml:space="preserve"> endpoint requires improvement in at least two of the four measures, one of which must be joint pain/tenderness or swelling and no worsening in any of the four measures.  Data have not been evaluated to establish whether </w:t>
      </w:r>
      <w:r w:rsidR="00C36EA6">
        <w:rPr>
          <w:lang w:val="en-US"/>
        </w:rPr>
        <w:t>etanercept</w:t>
      </w:r>
      <w:r w:rsidRPr="00B917A5">
        <w:rPr>
          <w:lang w:val="en-US"/>
        </w:rPr>
        <w:t xml:space="preserve"> inhibits progressive joint destruction in psoriatic arthritis.</w:t>
      </w:r>
      <w:r w:rsidR="00B93ACA">
        <w:rPr>
          <w:lang w:val="en-US"/>
        </w:rPr>
        <w:t xml:space="preserve"> </w:t>
      </w:r>
      <w:r w:rsidRPr="00B917A5">
        <w:rPr>
          <w:lang w:val="en-US"/>
        </w:rPr>
        <w:t xml:space="preserve"> Results are summarised in the </w:t>
      </w:r>
      <w:r w:rsidR="00B93ACA" w:rsidRPr="00B917A5">
        <w:rPr>
          <w:lang w:val="en-US"/>
        </w:rPr>
        <w:t xml:space="preserve">table </w:t>
      </w:r>
      <w:r w:rsidRPr="00B917A5">
        <w:rPr>
          <w:lang w:val="en-US"/>
        </w:rPr>
        <w:t>below.</w:t>
      </w:r>
    </w:p>
    <w:p w14:paraId="14A58510" w14:textId="77777777" w:rsidR="00B917A5" w:rsidRDefault="00B917A5" w:rsidP="0021426A">
      <w:pPr>
        <w:pStyle w:val="NormalIndent1"/>
        <w:jc w:val="left"/>
      </w:pPr>
    </w:p>
    <w:p w14:paraId="2CEE712F" w14:textId="77777777" w:rsidR="00B93ACA" w:rsidRPr="00B93ACA" w:rsidRDefault="0030673C" w:rsidP="0021426A">
      <w:pPr>
        <w:pStyle w:val="NormalIndent1"/>
        <w:jc w:val="left"/>
        <w:rPr>
          <w:b/>
        </w:rPr>
      </w:pPr>
      <w:r>
        <w:rPr>
          <w:b/>
          <w:lang w:val="en-US"/>
        </w:rPr>
        <w:t xml:space="preserve">Table 8: </w:t>
      </w:r>
      <w:r w:rsidR="00B93ACA" w:rsidRPr="00B93ACA">
        <w:rPr>
          <w:b/>
          <w:lang w:val="en-US"/>
        </w:rPr>
        <w:t xml:space="preserve">ACR and </w:t>
      </w:r>
      <w:proofErr w:type="spellStart"/>
      <w:r w:rsidR="00B93ACA" w:rsidRPr="00B93ACA">
        <w:rPr>
          <w:b/>
          <w:lang w:val="en-US"/>
        </w:rPr>
        <w:t>PsARC</w:t>
      </w:r>
      <w:proofErr w:type="spellEnd"/>
      <w:r w:rsidR="00B93ACA" w:rsidRPr="00B93ACA">
        <w:rPr>
          <w:b/>
          <w:lang w:val="en-US"/>
        </w:rPr>
        <w:t xml:space="preserve"> Responses of Patients with Psoriatic Arthritis in Placebo-Controlled Trial</w:t>
      </w:r>
    </w:p>
    <w:p w14:paraId="5278DEA8" w14:textId="77777777" w:rsidR="00B93ACA" w:rsidRDefault="00B93ACA" w:rsidP="0021426A">
      <w:pPr>
        <w:pStyle w:val="NormalIndent1"/>
        <w:jc w:val="left"/>
        <w:rPr>
          <w:lang w:val="en-US"/>
        </w:rPr>
      </w:pPr>
    </w:p>
    <w:tbl>
      <w:tblPr>
        <w:tblStyle w:val="TableGrid"/>
        <w:tblW w:w="0" w:type="auto"/>
        <w:tblInd w:w="425" w:type="dxa"/>
        <w:tblLook w:val="04A0" w:firstRow="1" w:lastRow="0" w:firstColumn="1" w:lastColumn="0" w:noHBand="0" w:noVBand="1"/>
      </w:tblPr>
      <w:tblGrid>
        <w:gridCol w:w="3060"/>
        <w:gridCol w:w="3061"/>
        <w:gridCol w:w="3062"/>
      </w:tblGrid>
      <w:tr w:rsidR="00B93ACA" w14:paraId="67913A80" w14:textId="77777777" w:rsidTr="00B37960">
        <w:trPr>
          <w:tblHeader/>
        </w:trPr>
        <w:tc>
          <w:tcPr>
            <w:tcW w:w="3067" w:type="dxa"/>
            <w:tcBorders>
              <w:top w:val="single" w:sz="12" w:space="0" w:color="auto"/>
              <w:left w:val="single" w:sz="12" w:space="0" w:color="auto"/>
              <w:bottom w:val="single" w:sz="12" w:space="0" w:color="auto"/>
              <w:right w:val="single" w:sz="12" w:space="0" w:color="auto"/>
            </w:tcBorders>
            <w:vAlign w:val="center"/>
          </w:tcPr>
          <w:p w14:paraId="0202B0EC" w14:textId="77777777" w:rsidR="00B93ACA" w:rsidRPr="004364BD" w:rsidRDefault="00B93ACA" w:rsidP="0021426A">
            <w:pPr>
              <w:pStyle w:val="NormalIndent1"/>
              <w:ind w:left="456" w:hanging="456"/>
              <w:jc w:val="left"/>
              <w:rPr>
                <w:b/>
                <w:lang w:val="en-US"/>
              </w:rPr>
            </w:pPr>
          </w:p>
        </w:tc>
        <w:tc>
          <w:tcPr>
            <w:tcW w:w="3068" w:type="dxa"/>
            <w:tcBorders>
              <w:top w:val="single" w:sz="12" w:space="0" w:color="auto"/>
              <w:left w:val="single" w:sz="12" w:space="0" w:color="auto"/>
              <w:bottom w:val="single" w:sz="12" w:space="0" w:color="auto"/>
              <w:right w:val="single" w:sz="12" w:space="0" w:color="auto"/>
            </w:tcBorders>
            <w:vAlign w:val="center"/>
          </w:tcPr>
          <w:p w14:paraId="3C49F1B3" w14:textId="77777777" w:rsidR="00B93ACA" w:rsidRDefault="00B93ACA" w:rsidP="0021426A">
            <w:pPr>
              <w:pStyle w:val="NormalIndent1"/>
              <w:ind w:left="0"/>
              <w:jc w:val="left"/>
              <w:rPr>
                <w:b/>
                <w:lang w:val="en-US"/>
              </w:rPr>
            </w:pPr>
            <w:r>
              <w:rPr>
                <w:b/>
                <w:lang w:val="en-US"/>
              </w:rPr>
              <w:t>Percent of Patients</w:t>
            </w:r>
          </w:p>
          <w:p w14:paraId="7BCA410F" w14:textId="77777777" w:rsidR="00B93ACA" w:rsidRDefault="00B93ACA" w:rsidP="0021426A">
            <w:pPr>
              <w:pStyle w:val="NormalIndent1"/>
              <w:ind w:left="0"/>
              <w:jc w:val="left"/>
              <w:rPr>
                <w:b/>
                <w:lang w:val="en-US"/>
              </w:rPr>
            </w:pPr>
            <w:r>
              <w:rPr>
                <w:b/>
                <w:lang w:val="en-US"/>
              </w:rPr>
              <w:t>Placebo</w:t>
            </w:r>
          </w:p>
          <w:p w14:paraId="192ED5E9" w14:textId="77777777" w:rsidR="00B93ACA" w:rsidRPr="004364BD" w:rsidRDefault="00B93ACA" w:rsidP="0021426A">
            <w:pPr>
              <w:pStyle w:val="NormalIndent1"/>
              <w:ind w:left="0"/>
              <w:jc w:val="left"/>
              <w:rPr>
                <w:b/>
                <w:lang w:val="en-US"/>
              </w:rPr>
            </w:pPr>
            <w:r>
              <w:rPr>
                <w:b/>
                <w:lang w:val="en-US"/>
              </w:rPr>
              <w:t>(n = 104)</w:t>
            </w:r>
          </w:p>
        </w:tc>
        <w:tc>
          <w:tcPr>
            <w:tcW w:w="3068" w:type="dxa"/>
            <w:tcBorders>
              <w:top w:val="single" w:sz="12" w:space="0" w:color="auto"/>
              <w:left w:val="single" w:sz="12" w:space="0" w:color="auto"/>
              <w:bottom w:val="single" w:sz="12" w:space="0" w:color="auto"/>
              <w:right w:val="single" w:sz="12" w:space="0" w:color="auto"/>
            </w:tcBorders>
            <w:vAlign w:val="center"/>
          </w:tcPr>
          <w:p w14:paraId="34D1100E" w14:textId="35BE4B89" w:rsidR="00B93ACA" w:rsidRDefault="00C36EA6" w:rsidP="0021426A">
            <w:pPr>
              <w:pStyle w:val="NormalIndent1"/>
              <w:ind w:left="0"/>
              <w:jc w:val="left"/>
              <w:rPr>
                <w:b/>
                <w:lang w:val="en-US"/>
              </w:rPr>
            </w:pPr>
            <w:proofErr w:type="spellStart"/>
            <w:r>
              <w:rPr>
                <w:b/>
                <w:lang w:val="en-US"/>
              </w:rPr>
              <w:t>Etanercept</w:t>
            </w:r>
            <w:r w:rsidR="00B93ACA" w:rsidRPr="00B93ACA">
              <w:rPr>
                <w:b/>
                <w:vertAlign w:val="superscript"/>
                <w:lang w:val="en-US"/>
              </w:rPr>
              <w:t>a</w:t>
            </w:r>
            <w:proofErr w:type="spellEnd"/>
          </w:p>
          <w:p w14:paraId="5361BCB4" w14:textId="77777777" w:rsidR="00B93ACA" w:rsidRPr="004364BD" w:rsidRDefault="00B93ACA" w:rsidP="0021426A">
            <w:pPr>
              <w:pStyle w:val="NormalIndent1"/>
              <w:ind w:left="0"/>
              <w:jc w:val="left"/>
              <w:rPr>
                <w:b/>
                <w:lang w:val="en-US"/>
              </w:rPr>
            </w:pPr>
            <w:r>
              <w:rPr>
                <w:b/>
                <w:lang w:val="en-US"/>
              </w:rPr>
              <w:t>(n = 101)</w:t>
            </w:r>
          </w:p>
        </w:tc>
      </w:tr>
      <w:tr w:rsidR="00B93ACA" w14:paraId="4A1DF679" w14:textId="77777777" w:rsidTr="00B929B6">
        <w:tc>
          <w:tcPr>
            <w:tcW w:w="3067" w:type="dxa"/>
            <w:tcBorders>
              <w:top w:val="single" w:sz="12" w:space="0" w:color="auto"/>
            </w:tcBorders>
          </w:tcPr>
          <w:p w14:paraId="497E3D08" w14:textId="77777777" w:rsidR="00B93ACA" w:rsidRDefault="00B93ACA" w:rsidP="0021426A">
            <w:pPr>
              <w:pStyle w:val="NormalIndent1"/>
              <w:spacing w:before="40" w:after="40"/>
              <w:ind w:left="0"/>
              <w:jc w:val="left"/>
              <w:rPr>
                <w:lang w:val="en-US"/>
              </w:rPr>
            </w:pPr>
            <w:r>
              <w:rPr>
                <w:lang w:val="en-US"/>
              </w:rPr>
              <w:t xml:space="preserve">ACR 20 </w:t>
            </w:r>
          </w:p>
          <w:p w14:paraId="0AF83167" w14:textId="77777777" w:rsidR="00B93ACA" w:rsidRDefault="00B93ACA" w:rsidP="0021426A">
            <w:pPr>
              <w:pStyle w:val="NormalIndent1"/>
              <w:spacing w:before="40" w:after="40"/>
              <w:ind w:left="456" w:hanging="456"/>
              <w:jc w:val="left"/>
              <w:rPr>
                <w:lang w:val="en-US"/>
              </w:rPr>
            </w:pPr>
            <w:r>
              <w:rPr>
                <w:lang w:val="en-US"/>
              </w:rPr>
              <w:tab/>
              <w:t>Month 3</w:t>
            </w:r>
          </w:p>
          <w:p w14:paraId="6E8BF98F" w14:textId="77777777" w:rsidR="00B93ACA" w:rsidRDefault="00B93ACA" w:rsidP="0021426A">
            <w:pPr>
              <w:pStyle w:val="NormalIndent1"/>
              <w:spacing w:before="40" w:after="40"/>
              <w:ind w:left="456" w:hanging="456"/>
              <w:jc w:val="left"/>
              <w:rPr>
                <w:lang w:val="en-US"/>
              </w:rPr>
            </w:pPr>
            <w:r>
              <w:rPr>
                <w:lang w:val="en-US"/>
              </w:rPr>
              <w:tab/>
              <w:t>Month 6</w:t>
            </w:r>
          </w:p>
        </w:tc>
        <w:tc>
          <w:tcPr>
            <w:tcW w:w="3068" w:type="dxa"/>
            <w:tcBorders>
              <w:top w:val="single" w:sz="12" w:space="0" w:color="auto"/>
            </w:tcBorders>
          </w:tcPr>
          <w:p w14:paraId="0AF1C52F" w14:textId="77777777" w:rsidR="00B93ACA" w:rsidRDefault="00B93ACA" w:rsidP="0021426A">
            <w:pPr>
              <w:pStyle w:val="NormalIndent1"/>
              <w:spacing w:before="40" w:after="40"/>
              <w:ind w:left="0"/>
              <w:jc w:val="left"/>
              <w:rPr>
                <w:lang w:val="en-US"/>
              </w:rPr>
            </w:pPr>
          </w:p>
          <w:p w14:paraId="782654A4" w14:textId="77777777" w:rsidR="00B93ACA" w:rsidRDefault="00B93ACA" w:rsidP="0021426A">
            <w:pPr>
              <w:pStyle w:val="NormalIndent1"/>
              <w:spacing w:before="40" w:after="40"/>
              <w:ind w:left="0"/>
              <w:jc w:val="left"/>
              <w:rPr>
                <w:lang w:val="en-US"/>
              </w:rPr>
            </w:pPr>
            <w:r>
              <w:rPr>
                <w:lang w:val="en-US"/>
              </w:rPr>
              <w:t>15</w:t>
            </w:r>
          </w:p>
          <w:p w14:paraId="718A1D19" w14:textId="77777777" w:rsidR="00B93ACA" w:rsidRDefault="00B93ACA" w:rsidP="0021426A">
            <w:pPr>
              <w:pStyle w:val="NormalIndent1"/>
              <w:spacing w:before="40" w:after="40"/>
              <w:ind w:left="0"/>
              <w:jc w:val="left"/>
              <w:rPr>
                <w:lang w:val="en-US"/>
              </w:rPr>
            </w:pPr>
            <w:r>
              <w:rPr>
                <w:lang w:val="en-US"/>
              </w:rPr>
              <w:t>13</w:t>
            </w:r>
          </w:p>
        </w:tc>
        <w:tc>
          <w:tcPr>
            <w:tcW w:w="3068" w:type="dxa"/>
            <w:tcBorders>
              <w:top w:val="single" w:sz="12" w:space="0" w:color="auto"/>
            </w:tcBorders>
          </w:tcPr>
          <w:p w14:paraId="5A8B3C4B" w14:textId="77777777" w:rsidR="00B93ACA" w:rsidRDefault="00B93ACA" w:rsidP="0021426A">
            <w:pPr>
              <w:pStyle w:val="NormalIndent1"/>
              <w:spacing w:before="40" w:after="40"/>
              <w:ind w:left="0"/>
              <w:jc w:val="left"/>
              <w:rPr>
                <w:lang w:val="en-US"/>
              </w:rPr>
            </w:pPr>
          </w:p>
          <w:p w14:paraId="2A94FEF6" w14:textId="77777777" w:rsidR="00B93ACA" w:rsidRDefault="00B93ACA" w:rsidP="0021426A">
            <w:pPr>
              <w:pStyle w:val="NormalIndent1"/>
              <w:spacing w:before="40" w:after="40"/>
              <w:ind w:left="0"/>
              <w:jc w:val="left"/>
              <w:rPr>
                <w:lang w:val="en-US"/>
              </w:rPr>
            </w:pPr>
            <w:r>
              <w:rPr>
                <w:lang w:val="en-US"/>
              </w:rPr>
              <w:t>59</w:t>
            </w:r>
            <w:r w:rsidRPr="00B93ACA">
              <w:rPr>
                <w:vertAlign w:val="superscript"/>
                <w:lang w:val="en-US"/>
              </w:rPr>
              <w:t>b</w:t>
            </w:r>
          </w:p>
          <w:p w14:paraId="3105E48E" w14:textId="77777777" w:rsidR="00B93ACA" w:rsidRPr="004364BD" w:rsidRDefault="00B93ACA" w:rsidP="0021426A">
            <w:pPr>
              <w:pStyle w:val="NormalIndent1"/>
              <w:spacing w:before="40" w:after="40"/>
              <w:ind w:left="0"/>
              <w:jc w:val="left"/>
              <w:rPr>
                <w:rFonts w:ascii="Symbol" w:eastAsia="Symbol" w:hAnsi="Symbol" w:cs="Symbol"/>
                <w:w w:val="99"/>
              </w:rPr>
            </w:pPr>
            <w:r>
              <w:rPr>
                <w:lang w:val="en-US"/>
              </w:rPr>
              <w:t>50</w:t>
            </w:r>
            <w:r w:rsidRPr="00B93ACA">
              <w:rPr>
                <w:vertAlign w:val="superscript"/>
                <w:lang w:val="en-US"/>
              </w:rPr>
              <w:t>b</w:t>
            </w:r>
          </w:p>
        </w:tc>
      </w:tr>
      <w:tr w:rsidR="00B93ACA" w14:paraId="467FB65E" w14:textId="77777777" w:rsidTr="00B93ACA">
        <w:tc>
          <w:tcPr>
            <w:tcW w:w="3067" w:type="dxa"/>
          </w:tcPr>
          <w:p w14:paraId="7A856675" w14:textId="77777777" w:rsidR="00B93ACA" w:rsidRDefault="00B93ACA" w:rsidP="0021426A">
            <w:pPr>
              <w:pStyle w:val="NormalIndent1"/>
              <w:spacing w:before="40" w:after="40"/>
              <w:ind w:left="0"/>
              <w:jc w:val="left"/>
              <w:rPr>
                <w:lang w:val="en-US"/>
              </w:rPr>
            </w:pPr>
            <w:r>
              <w:rPr>
                <w:lang w:val="en-US"/>
              </w:rPr>
              <w:t xml:space="preserve">ACR 50 </w:t>
            </w:r>
          </w:p>
          <w:p w14:paraId="6AB882EC" w14:textId="77777777" w:rsidR="00B93ACA" w:rsidRDefault="00B93ACA" w:rsidP="0021426A">
            <w:pPr>
              <w:pStyle w:val="NormalIndent1"/>
              <w:spacing w:before="40" w:after="40"/>
              <w:ind w:left="456" w:hanging="456"/>
              <w:jc w:val="left"/>
              <w:rPr>
                <w:lang w:val="en-US"/>
              </w:rPr>
            </w:pPr>
            <w:r>
              <w:rPr>
                <w:lang w:val="en-US"/>
              </w:rPr>
              <w:tab/>
              <w:t>Month 3</w:t>
            </w:r>
          </w:p>
          <w:p w14:paraId="438391A5" w14:textId="77777777" w:rsidR="00B93ACA" w:rsidRDefault="00B93ACA" w:rsidP="0021426A">
            <w:pPr>
              <w:pStyle w:val="NormalIndent1"/>
              <w:spacing w:before="40" w:after="40"/>
              <w:ind w:left="456" w:hanging="456"/>
              <w:jc w:val="left"/>
              <w:rPr>
                <w:lang w:val="en-US"/>
              </w:rPr>
            </w:pPr>
            <w:r>
              <w:rPr>
                <w:lang w:val="en-US"/>
              </w:rPr>
              <w:tab/>
              <w:t>Month 6</w:t>
            </w:r>
          </w:p>
        </w:tc>
        <w:tc>
          <w:tcPr>
            <w:tcW w:w="3068" w:type="dxa"/>
          </w:tcPr>
          <w:p w14:paraId="29772EB9" w14:textId="77777777" w:rsidR="00B93ACA" w:rsidRDefault="00B93ACA" w:rsidP="0021426A">
            <w:pPr>
              <w:pStyle w:val="NormalIndent1"/>
              <w:spacing w:before="40" w:after="40"/>
              <w:ind w:left="0"/>
              <w:jc w:val="left"/>
              <w:rPr>
                <w:lang w:val="en-US"/>
              </w:rPr>
            </w:pPr>
          </w:p>
          <w:p w14:paraId="5C48497F" w14:textId="77777777" w:rsidR="00B93ACA" w:rsidRDefault="00B93ACA" w:rsidP="0021426A">
            <w:pPr>
              <w:pStyle w:val="NormalIndent1"/>
              <w:spacing w:before="40" w:after="40"/>
              <w:ind w:left="0"/>
              <w:jc w:val="left"/>
              <w:rPr>
                <w:lang w:val="en-US"/>
              </w:rPr>
            </w:pPr>
            <w:r>
              <w:rPr>
                <w:lang w:val="en-US"/>
              </w:rPr>
              <w:t>4</w:t>
            </w:r>
          </w:p>
          <w:p w14:paraId="5C386241" w14:textId="77777777" w:rsidR="00B93ACA" w:rsidRDefault="00B93ACA" w:rsidP="0021426A">
            <w:pPr>
              <w:pStyle w:val="NormalIndent1"/>
              <w:spacing w:before="40" w:after="40"/>
              <w:ind w:left="0"/>
              <w:jc w:val="left"/>
              <w:rPr>
                <w:lang w:val="en-US"/>
              </w:rPr>
            </w:pPr>
            <w:r>
              <w:rPr>
                <w:lang w:val="en-US"/>
              </w:rPr>
              <w:t>4</w:t>
            </w:r>
          </w:p>
        </w:tc>
        <w:tc>
          <w:tcPr>
            <w:tcW w:w="3068" w:type="dxa"/>
          </w:tcPr>
          <w:p w14:paraId="7A1E3EA3" w14:textId="77777777" w:rsidR="00B93ACA" w:rsidRDefault="00B93ACA" w:rsidP="0021426A">
            <w:pPr>
              <w:pStyle w:val="NormalIndent1"/>
              <w:spacing w:before="40" w:after="40"/>
              <w:ind w:left="0"/>
              <w:jc w:val="left"/>
              <w:rPr>
                <w:lang w:val="en-US"/>
              </w:rPr>
            </w:pPr>
          </w:p>
          <w:p w14:paraId="7555EA0C" w14:textId="77777777" w:rsidR="00B93ACA" w:rsidRDefault="00B93ACA" w:rsidP="0021426A">
            <w:pPr>
              <w:pStyle w:val="NormalIndent1"/>
              <w:spacing w:before="40" w:after="40"/>
              <w:ind w:left="0"/>
              <w:jc w:val="left"/>
              <w:rPr>
                <w:vertAlign w:val="superscript"/>
                <w:lang w:val="en-US"/>
              </w:rPr>
            </w:pPr>
            <w:r>
              <w:rPr>
                <w:lang w:val="en-US"/>
              </w:rPr>
              <w:t>38</w:t>
            </w:r>
            <w:r w:rsidRPr="00B93ACA">
              <w:rPr>
                <w:vertAlign w:val="superscript"/>
                <w:lang w:val="en-US"/>
              </w:rPr>
              <w:t>b</w:t>
            </w:r>
          </w:p>
          <w:p w14:paraId="7C00D1DB" w14:textId="77777777" w:rsidR="00B93ACA" w:rsidRDefault="00B93ACA" w:rsidP="0021426A">
            <w:pPr>
              <w:pStyle w:val="NormalIndent1"/>
              <w:spacing w:before="40" w:after="40"/>
              <w:ind w:left="0"/>
              <w:jc w:val="left"/>
              <w:rPr>
                <w:lang w:val="en-US"/>
              </w:rPr>
            </w:pPr>
            <w:r>
              <w:rPr>
                <w:lang w:val="en-US"/>
              </w:rPr>
              <w:t>37</w:t>
            </w:r>
            <w:r w:rsidRPr="00B93ACA">
              <w:rPr>
                <w:vertAlign w:val="superscript"/>
                <w:lang w:val="en-US"/>
              </w:rPr>
              <w:t>b</w:t>
            </w:r>
          </w:p>
        </w:tc>
      </w:tr>
      <w:tr w:rsidR="00B93ACA" w14:paraId="35E11E03" w14:textId="77777777" w:rsidTr="00B93ACA">
        <w:tc>
          <w:tcPr>
            <w:tcW w:w="3067" w:type="dxa"/>
          </w:tcPr>
          <w:p w14:paraId="2C841F13" w14:textId="77777777" w:rsidR="00B93ACA" w:rsidRDefault="00B93ACA" w:rsidP="0021426A">
            <w:pPr>
              <w:pStyle w:val="NormalIndent1"/>
              <w:spacing w:before="40" w:after="40"/>
              <w:ind w:left="0"/>
              <w:jc w:val="left"/>
              <w:rPr>
                <w:lang w:val="en-US"/>
              </w:rPr>
            </w:pPr>
            <w:r>
              <w:rPr>
                <w:lang w:val="en-US"/>
              </w:rPr>
              <w:t xml:space="preserve">ACR 70 </w:t>
            </w:r>
          </w:p>
          <w:p w14:paraId="63A8D718" w14:textId="77777777" w:rsidR="00B93ACA" w:rsidRDefault="00B93ACA" w:rsidP="0021426A">
            <w:pPr>
              <w:pStyle w:val="NormalIndent1"/>
              <w:spacing w:before="40" w:after="40"/>
              <w:ind w:left="456" w:hanging="456"/>
              <w:jc w:val="left"/>
              <w:rPr>
                <w:lang w:val="en-US"/>
              </w:rPr>
            </w:pPr>
            <w:r>
              <w:rPr>
                <w:lang w:val="en-US"/>
              </w:rPr>
              <w:tab/>
              <w:t>Month 3</w:t>
            </w:r>
          </w:p>
          <w:p w14:paraId="5F50A097" w14:textId="77777777" w:rsidR="00B93ACA" w:rsidRDefault="00B93ACA" w:rsidP="0021426A">
            <w:pPr>
              <w:pStyle w:val="NormalIndent1"/>
              <w:spacing w:before="40" w:after="40"/>
              <w:ind w:left="456" w:hanging="456"/>
              <w:jc w:val="left"/>
              <w:rPr>
                <w:lang w:val="en-US"/>
              </w:rPr>
            </w:pPr>
            <w:r>
              <w:rPr>
                <w:lang w:val="en-US"/>
              </w:rPr>
              <w:tab/>
              <w:t>Month 6</w:t>
            </w:r>
          </w:p>
        </w:tc>
        <w:tc>
          <w:tcPr>
            <w:tcW w:w="3068" w:type="dxa"/>
          </w:tcPr>
          <w:p w14:paraId="332D97C6" w14:textId="77777777" w:rsidR="00B93ACA" w:rsidRDefault="00B93ACA" w:rsidP="0021426A">
            <w:pPr>
              <w:pStyle w:val="NormalIndent1"/>
              <w:spacing w:before="40" w:after="40"/>
              <w:ind w:left="0"/>
              <w:jc w:val="left"/>
              <w:rPr>
                <w:lang w:val="en-US"/>
              </w:rPr>
            </w:pPr>
          </w:p>
          <w:p w14:paraId="77245560" w14:textId="77777777" w:rsidR="00B93ACA" w:rsidRDefault="00B93ACA" w:rsidP="0021426A">
            <w:pPr>
              <w:pStyle w:val="NormalIndent1"/>
              <w:spacing w:before="40" w:after="40"/>
              <w:ind w:left="0"/>
              <w:jc w:val="left"/>
              <w:rPr>
                <w:lang w:val="en-US"/>
              </w:rPr>
            </w:pPr>
            <w:r>
              <w:rPr>
                <w:lang w:val="en-US"/>
              </w:rPr>
              <w:t>0</w:t>
            </w:r>
          </w:p>
          <w:p w14:paraId="47EC4AE5" w14:textId="77777777" w:rsidR="00B93ACA" w:rsidRDefault="00B93ACA" w:rsidP="0021426A">
            <w:pPr>
              <w:pStyle w:val="NormalIndent1"/>
              <w:spacing w:before="40" w:after="40"/>
              <w:ind w:left="0"/>
              <w:jc w:val="left"/>
              <w:rPr>
                <w:lang w:val="en-US"/>
              </w:rPr>
            </w:pPr>
            <w:r>
              <w:rPr>
                <w:lang w:val="en-US"/>
              </w:rPr>
              <w:t>1</w:t>
            </w:r>
          </w:p>
        </w:tc>
        <w:tc>
          <w:tcPr>
            <w:tcW w:w="3068" w:type="dxa"/>
          </w:tcPr>
          <w:p w14:paraId="4F021951" w14:textId="77777777" w:rsidR="00B93ACA" w:rsidRDefault="00B93ACA" w:rsidP="0021426A">
            <w:pPr>
              <w:pStyle w:val="NormalIndent1"/>
              <w:spacing w:before="40" w:after="40"/>
              <w:ind w:left="0"/>
              <w:jc w:val="left"/>
              <w:rPr>
                <w:lang w:val="en-US"/>
              </w:rPr>
            </w:pPr>
          </w:p>
          <w:p w14:paraId="1E92285F" w14:textId="77777777" w:rsidR="00B93ACA" w:rsidRDefault="00B93ACA" w:rsidP="0021426A">
            <w:pPr>
              <w:pStyle w:val="NormalIndent1"/>
              <w:spacing w:before="40" w:after="40"/>
              <w:ind w:left="0"/>
              <w:jc w:val="left"/>
              <w:rPr>
                <w:vertAlign w:val="superscript"/>
                <w:lang w:val="en-US"/>
              </w:rPr>
            </w:pPr>
            <w:r>
              <w:rPr>
                <w:lang w:val="en-US"/>
              </w:rPr>
              <w:t>11</w:t>
            </w:r>
            <w:r w:rsidRPr="00B93ACA">
              <w:rPr>
                <w:vertAlign w:val="superscript"/>
                <w:lang w:val="en-US"/>
              </w:rPr>
              <w:t>b</w:t>
            </w:r>
          </w:p>
          <w:p w14:paraId="68238639" w14:textId="77777777" w:rsidR="00B93ACA" w:rsidRDefault="00B93ACA" w:rsidP="0021426A">
            <w:pPr>
              <w:pStyle w:val="NormalIndent1"/>
              <w:spacing w:before="40" w:after="40"/>
              <w:ind w:left="0"/>
              <w:jc w:val="left"/>
              <w:rPr>
                <w:lang w:val="en-US"/>
              </w:rPr>
            </w:pPr>
            <w:r>
              <w:rPr>
                <w:lang w:val="en-US"/>
              </w:rPr>
              <w:t>9</w:t>
            </w:r>
            <w:r w:rsidRPr="00B93ACA">
              <w:rPr>
                <w:vertAlign w:val="superscript"/>
                <w:lang w:val="en-US"/>
              </w:rPr>
              <w:t>b</w:t>
            </w:r>
          </w:p>
        </w:tc>
      </w:tr>
      <w:tr w:rsidR="00B93ACA" w14:paraId="25F79C9B" w14:textId="77777777" w:rsidTr="00B93ACA">
        <w:tc>
          <w:tcPr>
            <w:tcW w:w="3067" w:type="dxa"/>
          </w:tcPr>
          <w:p w14:paraId="184922BF" w14:textId="77777777" w:rsidR="00B93ACA" w:rsidRDefault="00B93ACA" w:rsidP="0021426A">
            <w:pPr>
              <w:pStyle w:val="NormalIndent1"/>
              <w:spacing w:before="40" w:after="40"/>
              <w:ind w:left="0"/>
              <w:jc w:val="left"/>
              <w:rPr>
                <w:lang w:val="en-US"/>
              </w:rPr>
            </w:pPr>
            <w:proofErr w:type="spellStart"/>
            <w:r>
              <w:rPr>
                <w:lang w:val="en-US"/>
              </w:rPr>
              <w:t>PsARC</w:t>
            </w:r>
            <w:proofErr w:type="spellEnd"/>
          </w:p>
          <w:p w14:paraId="48C6C211" w14:textId="77777777" w:rsidR="00B93ACA" w:rsidRDefault="00B93ACA" w:rsidP="0021426A">
            <w:pPr>
              <w:pStyle w:val="NormalIndent1"/>
              <w:spacing w:before="40" w:after="40"/>
              <w:ind w:left="456" w:hanging="456"/>
              <w:jc w:val="left"/>
              <w:rPr>
                <w:lang w:val="en-US"/>
              </w:rPr>
            </w:pPr>
            <w:r>
              <w:rPr>
                <w:lang w:val="en-US"/>
              </w:rPr>
              <w:tab/>
              <w:t>Month 3</w:t>
            </w:r>
          </w:p>
          <w:p w14:paraId="0C0FE75C" w14:textId="77777777" w:rsidR="00B93ACA" w:rsidRDefault="00B93ACA" w:rsidP="0021426A">
            <w:pPr>
              <w:pStyle w:val="NormalIndent1"/>
              <w:spacing w:before="40" w:after="40"/>
              <w:ind w:left="456" w:hanging="456"/>
              <w:jc w:val="left"/>
              <w:rPr>
                <w:lang w:val="en-US"/>
              </w:rPr>
            </w:pPr>
            <w:r>
              <w:rPr>
                <w:lang w:val="en-US"/>
              </w:rPr>
              <w:tab/>
              <w:t>Month 6</w:t>
            </w:r>
          </w:p>
        </w:tc>
        <w:tc>
          <w:tcPr>
            <w:tcW w:w="3068" w:type="dxa"/>
          </w:tcPr>
          <w:p w14:paraId="592B7E73" w14:textId="77777777" w:rsidR="00B93ACA" w:rsidRDefault="00B93ACA" w:rsidP="0021426A">
            <w:pPr>
              <w:pStyle w:val="NormalIndent1"/>
              <w:spacing w:before="40" w:after="40"/>
              <w:ind w:left="0"/>
              <w:jc w:val="left"/>
              <w:rPr>
                <w:lang w:val="en-US"/>
              </w:rPr>
            </w:pPr>
          </w:p>
          <w:p w14:paraId="749EED4C" w14:textId="77777777" w:rsidR="00B93ACA" w:rsidRDefault="00B93ACA" w:rsidP="0021426A">
            <w:pPr>
              <w:pStyle w:val="NormalIndent1"/>
              <w:spacing w:before="40" w:after="40"/>
              <w:ind w:left="0"/>
              <w:jc w:val="left"/>
              <w:rPr>
                <w:lang w:val="en-US"/>
              </w:rPr>
            </w:pPr>
            <w:r>
              <w:rPr>
                <w:lang w:val="en-US"/>
              </w:rPr>
              <w:t>31</w:t>
            </w:r>
          </w:p>
          <w:p w14:paraId="10026F8D" w14:textId="77777777" w:rsidR="00B93ACA" w:rsidRDefault="00B93ACA" w:rsidP="0021426A">
            <w:pPr>
              <w:pStyle w:val="NormalIndent1"/>
              <w:spacing w:before="40" w:after="40"/>
              <w:ind w:left="0"/>
              <w:jc w:val="left"/>
              <w:rPr>
                <w:lang w:val="en-US"/>
              </w:rPr>
            </w:pPr>
            <w:r>
              <w:rPr>
                <w:lang w:val="en-US"/>
              </w:rPr>
              <w:t>23</w:t>
            </w:r>
          </w:p>
        </w:tc>
        <w:tc>
          <w:tcPr>
            <w:tcW w:w="3068" w:type="dxa"/>
          </w:tcPr>
          <w:p w14:paraId="487E4046" w14:textId="77777777" w:rsidR="00B93ACA" w:rsidRDefault="00B93ACA" w:rsidP="0021426A">
            <w:pPr>
              <w:pStyle w:val="NormalIndent1"/>
              <w:spacing w:before="40" w:after="40"/>
              <w:ind w:left="0"/>
              <w:jc w:val="left"/>
              <w:rPr>
                <w:lang w:val="en-US"/>
              </w:rPr>
            </w:pPr>
          </w:p>
          <w:p w14:paraId="2E74A548" w14:textId="77777777" w:rsidR="00B93ACA" w:rsidRDefault="00B93ACA" w:rsidP="0021426A">
            <w:pPr>
              <w:pStyle w:val="NormalIndent1"/>
              <w:spacing w:before="40" w:after="40"/>
              <w:ind w:left="0"/>
              <w:jc w:val="left"/>
              <w:rPr>
                <w:vertAlign w:val="superscript"/>
                <w:lang w:val="en-US"/>
              </w:rPr>
            </w:pPr>
            <w:r>
              <w:rPr>
                <w:lang w:val="en-US"/>
              </w:rPr>
              <w:t>72</w:t>
            </w:r>
            <w:r w:rsidRPr="00B93ACA">
              <w:rPr>
                <w:vertAlign w:val="superscript"/>
                <w:lang w:val="en-US"/>
              </w:rPr>
              <w:t>b</w:t>
            </w:r>
          </w:p>
          <w:p w14:paraId="4BF58B8E" w14:textId="77777777" w:rsidR="00B93ACA" w:rsidRDefault="00B93ACA" w:rsidP="0021426A">
            <w:pPr>
              <w:pStyle w:val="NormalIndent1"/>
              <w:spacing w:before="40" w:after="40"/>
              <w:ind w:left="0"/>
              <w:jc w:val="left"/>
              <w:rPr>
                <w:lang w:val="en-US"/>
              </w:rPr>
            </w:pPr>
            <w:r>
              <w:rPr>
                <w:lang w:val="en-US"/>
              </w:rPr>
              <w:t>70</w:t>
            </w:r>
            <w:r w:rsidRPr="00B93ACA">
              <w:rPr>
                <w:vertAlign w:val="superscript"/>
                <w:lang w:val="en-US"/>
              </w:rPr>
              <w:t>b</w:t>
            </w:r>
          </w:p>
        </w:tc>
      </w:tr>
    </w:tbl>
    <w:p w14:paraId="273FADDE" w14:textId="77777777" w:rsidR="00B93ACA" w:rsidRDefault="00B93ACA" w:rsidP="0021426A">
      <w:pPr>
        <w:pStyle w:val="NormalIndent1"/>
        <w:jc w:val="left"/>
      </w:pPr>
    </w:p>
    <w:p w14:paraId="50FDE308" w14:textId="60648DA6" w:rsidR="00B93ACA" w:rsidRDefault="00B93ACA" w:rsidP="0021426A">
      <w:pPr>
        <w:pStyle w:val="NormalIndent1"/>
        <w:jc w:val="left"/>
        <w:rPr>
          <w:lang w:val="en-US"/>
        </w:rPr>
      </w:pPr>
      <w:r w:rsidRPr="00B93ACA">
        <w:rPr>
          <w:lang w:val="en-US"/>
        </w:rPr>
        <w:t xml:space="preserve">In this study, the psoriatic skin lesions of patients with active arthritis were also improved with </w:t>
      </w:r>
      <w:r w:rsidR="00C36EA6">
        <w:rPr>
          <w:lang w:val="en-US"/>
        </w:rPr>
        <w:t>etanercept</w:t>
      </w:r>
      <w:r w:rsidRPr="00B93ACA">
        <w:rPr>
          <w:lang w:val="en-US"/>
        </w:rPr>
        <w:t xml:space="preserve"> treatment compared with placebo.  In a subset of patients with psoriasis involvement </w:t>
      </w:r>
      <w:r w:rsidRPr="00B93ACA">
        <w:rPr>
          <w:rFonts w:cstheme="minorHAnsi"/>
          <w:lang w:val="en-US"/>
        </w:rPr>
        <w:t>≥</w:t>
      </w:r>
      <w:r>
        <w:rPr>
          <w:lang w:val="en-US"/>
        </w:rPr>
        <w:t xml:space="preserve"> </w:t>
      </w:r>
      <w:r w:rsidRPr="00B93ACA">
        <w:rPr>
          <w:lang w:val="en-US"/>
        </w:rPr>
        <w:t>3% of body surface area, improvements in the Psoriasis Area and Severity Index (PASI) were assessed at Month 3 and Month 6.  The PASI is a composite score calculated from disease activity scores and the fraction of body surface area involvement.  PASI results are presented in the table below.</w:t>
      </w:r>
    </w:p>
    <w:p w14:paraId="36FB8B64" w14:textId="77777777" w:rsidR="00B93ACA" w:rsidRDefault="00B93ACA" w:rsidP="0021426A">
      <w:pPr>
        <w:pStyle w:val="NormalIndent1"/>
        <w:jc w:val="left"/>
        <w:rPr>
          <w:lang w:val="en-US"/>
        </w:rPr>
      </w:pPr>
    </w:p>
    <w:p w14:paraId="6B1F3ADD" w14:textId="77777777" w:rsidR="0030673C" w:rsidRDefault="0030673C" w:rsidP="0021426A">
      <w:pPr>
        <w:pStyle w:val="NormalIndent1"/>
        <w:jc w:val="left"/>
        <w:rPr>
          <w:b/>
          <w:lang w:val="en-US"/>
        </w:rPr>
      </w:pPr>
    </w:p>
    <w:p w14:paraId="282231B0" w14:textId="77777777" w:rsidR="00B93ACA" w:rsidRPr="00B93ACA" w:rsidRDefault="0030673C" w:rsidP="0021426A">
      <w:pPr>
        <w:pStyle w:val="NormalIndent1"/>
        <w:keepNext/>
        <w:keepLines/>
        <w:jc w:val="left"/>
        <w:rPr>
          <w:b/>
        </w:rPr>
      </w:pPr>
      <w:r>
        <w:rPr>
          <w:b/>
          <w:lang w:val="en-US"/>
        </w:rPr>
        <w:t xml:space="preserve">Table 9: </w:t>
      </w:r>
      <w:r w:rsidR="00B929B6">
        <w:rPr>
          <w:b/>
          <w:lang w:val="en-US"/>
        </w:rPr>
        <w:t>PASI Responses of patients with Psoriatic Arthritis in Placebo-Controlled Trial</w:t>
      </w:r>
    </w:p>
    <w:p w14:paraId="42D8FB16" w14:textId="77777777" w:rsidR="00B93ACA" w:rsidRDefault="00B93ACA" w:rsidP="0021426A">
      <w:pPr>
        <w:pStyle w:val="NormalIndent1"/>
        <w:keepNext/>
        <w:keepLines/>
        <w:jc w:val="left"/>
        <w:rPr>
          <w:lang w:val="en-US"/>
        </w:rPr>
      </w:pPr>
    </w:p>
    <w:tbl>
      <w:tblPr>
        <w:tblStyle w:val="TableGrid"/>
        <w:tblW w:w="0" w:type="auto"/>
        <w:tblInd w:w="425" w:type="dxa"/>
        <w:tblLook w:val="04A0" w:firstRow="1" w:lastRow="0" w:firstColumn="1" w:lastColumn="0" w:noHBand="0" w:noVBand="1"/>
      </w:tblPr>
      <w:tblGrid>
        <w:gridCol w:w="3061"/>
        <w:gridCol w:w="3060"/>
        <w:gridCol w:w="3062"/>
      </w:tblGrid>
      <w:tr w:rsidR="00B93ACA" w14:paraId="53C7C4BA" w14:textId="77777777" w:rsidTr="00B37960">
        <w:trPr>
          <w:tblHeader/>
        </w:trPr>
        <w:tc>
          <w:tcPr>
            <w:tcW w:w="3067" w:type="dxa"/>
            <w:tcBorders>
              <w:top w:val="single" w:sz="12" w:space="0" w:color="auto"/>
              <w:left w:val="single" w:sz="12" w:space="0" w:color="auto"/>
              <w:bottom w:val="single" w:sz="12" w:space="0" w:color="auto"/>
              <w:right w:val="single" w:sz="12" w:space="0" w:color="auto"/>
            </w:tcBorders>
            <w:vAlign w:val="center"/>
          </w:tcPr>
          <w:p w14:paraId="19256624" w14:textId="77777777" w:rsidR="00B93ACA" w:rsidRPr="004364BD" w:rsidRDefault="00B93ACA" w:rsidP="0021426A">
            <w:pPr>
              <w:pStyle w:val="NormalIndent1"/>
              <w:keepNext/>
              <w:keepLines/>
              <w:ind w:left="456" w:hanging="456"/>
              <w:jc w:val="left"/>
              <w:rPr>
                <w:b/>
                <w:lang w:val="en-US"/>
              </w:rPr>
            </w:pPr>
          </w:p>
        </w:tc>
        <w:tc>
          <w:tcPr>
            <w:tcW w:w="3068" w:type="dxa"/>
            <w:tcBorders>
              <w:top w:val="single" w:sz="12" w:space="0" w:color="auto"/>
              <w:left w:val="single" w:sz="12" w:space="0" w:color="auto"/>
              <w:bottom w:val="single" w:sz="12" w:space="0" w:color="auto"/>
              <w:right w:val="single" w:sz="12" w:space="0" w:color="auto"/>
            </w:tcBorders>
            <w:vAlign w:val="center"/>
          </w:tcPr>
          <w:p w14:paraId="4ACC432D" w14:textId="77777777" w:rsidR="00B93ACA" w:rsidRDefault="00B93ACA" w:rsidP="0021426A">
            <w:pPr>
              <w:pStyle w:val="NormalIndent1"/>
              <w:keepNext/>
              <w:keepLines/>
              <w:ind w:left="0"/>
              <w:jc w:val="left"/>
              <w:rPr>
                <w:b/>
                <w:lang w:val="en-US"/>
              </w:rPr>
            </w:pPr>
            <w:r>
              <w:rPr>
                <w:b/>
                <w:lang w:val="en-US"/>
              </w:rPr>
              <w:t>Percent of Patients</w:t>
            </w:r>
          </w:p>
          <w:p w14:paraId="1939F5DC" w14:textId="77777777" w:rsidR="00B93ACA" w:rsidRDefault="00B93ACA" w:rsidP="0021426A">
            <w:pPr>
              <w:pStyle w:val="NormalIndent1"/>
              <w:keepNext/>
              <w:keepLines/>
              <w:ind w:left="0"/>
              <w:jc w:val="left"/>
              <w:rPr>
                <w:b/>
                <w:lang w:val="en-US"/>
              </w:rPr>
            </w:pPr>
            <w:r>
              <w:rPr>
                <w:b/>
                <w:lang w:val="en-US"/>
              </w:rPr>
              <w:t>Placebo</w:t>
            </w:r>
          </w:p>
          <w:p w14:paraId="5F99AA99" w14:textId="77777777" w:rsidR="00B93ACA" w:rsidRPr="004364BD" w:rsidRDefault="00B93ACA" w:rsidP="0021426A">
            <w:pPr>
              <w:pStyle w:val="NormalIndent1"/>
              <w:keepNext/>
              <w:keepLines/>
              <w:ind w:left="0"/>
              <w:jc w:val="left"/>
              <w:rPr>
                <w:b/>
                <w:lang w:val="en-US"/>
              </w:rPr>
            </w:pPr>
            <w:r>
              <w:rPr>
                <w:b/>
                <w:lang w:val="en-US"/>
              </w:rPr>
              <w:t xml:space="preserve">(n = </w:t>
            </w:r>
            <w:r w:rsidR="00B929B6">
              <w:rPr>
                <w:b/>
                <w:lang w:val="en-US"/>
              </w:rPr>
              <w:t>62</w:t>
            </w:r>
            <w:r>
              <w:rPr>
                <w:b/>
                <w:lang w:val="en-US"/>
              </w:rPr>
              <w:t>)</w:t>
            </w:r>
          </w:p>
        </w:tc>
        <w:tc>
          <w:tcPr>
            <w:tcW w:w="3068" w:type="dxa"/>
            <w:tcBorders>
              <w:top w:val="single" w:sz="12" w:space="0" w:color="auto"/>
              <w:left w:val="single" w:sz="12" w:space="0" w:color="auto"/>
              <w:bottom w:val="single" w:sz="12" w:space="0" w:color="auto"/>
              <w:right w:val="single" w:sz="12" w:space="0" w:color="auto"/>
            </w:tcBorders>
            <w:vAlign w:val="center"/>
          </w:tcPr>
          <w:p w14:paraId="253299D5" w14:textId="0C9B1311" w:rsidR="00B93ACA" w:rsidRDefault="00C36EA6" w:rsidP="0021426A">
            <w:pPr>
              <w:pStyle w:val="NormalIndent1"/>
              <w:keepNext/>
              <w:keepLines/>
              <w:ind w:left="0"/>
              <w:jc w:val="left"/>
              <w:rPr>
                <w:b/>
                <w:lang w:val="en-US"/>
              </w:rPr>
            </w:pPr>
            <w:proofErr w:type="spellStart"/>
            <w:r>
              <w:rPr>
                <w:b/>
                <w:lang w:val="en-US"/>
              </w:rPr>
              <w:t>Etanercept</w:t>
            </w:r>
            <w:r w:rsidR="00B93ACA" w:rsidRPr="00B93ACA">
              <w:rPr>
                <w:b/>
                <w:vertAlign w:val="superscript"/>
                <w:lang w:val="en-US"/>
              </w:rPr>
              <w:t>a</w:t>
            </w:r>
            <w:proofErr w:type="spellEnd"/>
          </w:p>
          <w:p w14:paraId="21444996" w14:textId="77777777" w:rsidR="00B93ACA" w:rsidRPr="004364BD" w:rsidRDefault="00B93ACA" w:rsidP="0021426A">
            <w:pPr>
              <w:pStyle w:val="NormalIndent1"/>
              <w:keepNext/>
              <w:keepLines/>
              <w:ind w:left="0"/>
              <w:jc w:val="left"/>
              <w:rPr>
                <w:b/>
                <w:lang w:val="en-US"/>
              </w:rPr>
            </w:pPr>
            <w:r>
              <w:rPr>
                <w:b/>
                <w:lang w:val="en-US"/>
              </w:rPr>
              <w:t xml:space="preserve">(n = </w:t>
            </w:r>
            <w:r w:rsidR="00B929B6">
              <w:rPr>
                <w:b/>
                <w:lang w:val="en-US"/>
              </w:rPr>
              <w:t>66</w:t>
            </w:r>
            <w:r>
              <w:rPr>
                <w:b/>
                <w:lang w:val="en-US"/>
              </w:rPr>
              <w:t>)</w:t>
            </w:r>
          </w:p>
        </w:tc>
      </w:tr>
      <w:tr w:rsidR="00B93ACA" w14:paraId="70D8BD49" w14:textId="77777777" w:rsidTr="00B929B6">
        <w:tc>
          <w:tcPr>
            <w:tcW w:w="3067" w:type="dxa"/>
            <w:tcBorders>
              <w:top w:val="single" w:sz="12" w:space="0" w:color="auto"/>
            </w:tcBorders>
          </w:tcPr>
          <w:p w14:paraId="31D2E71E" w14:textId="77777777" w:rsidR="00B93ACA" w:rsidRDefault="00B929B6" w:rsidP="0021426A">
            <w:pPr>
              <w:pStyle w:val="NormalIndent1"/>
              <w:keepNext/>
              <w:keepLines/>
              <w:spacing w:before="40" w:after="40"/>
              <w:ind w:left="0"/>
              <w:jc w:val="left"/>
              <w:rPr>
                <w:lang w:val="en-US"/>
              </w:rPr>
            </w:pPr>
            <w:r>
              <w:rPr>
                <w:lang w:val="en-US"/>
              </w:rPr>
              <w:t>PASI 50% Improvement</w:t>
            </w:r>
          </w:p>
          <w:p w14:paraId="02F931AF" w14:textId="77777777" w:rsidR="00B93ACA" w:rsidRDefault="00B93ACA" w:rsidP="0021426A">
            <w:pPr>
              <w:pStyle w:val="NormalIndent1"/>
              <w:keepNext/>
              <w:keepLines/>
              <w:spacing w:before="40" w:after="40"/>
              <w:ind w:left="456" w:hanging="456"/>
              <w:jc w:val="left"/>
              <w:rPr>
                <w:lang w:val="en-US"/>
              </w:rPr>
            </w:pPr>
            <w:r>
              <w:rPr>
                <w:lang w:val="en-US"/>
              </w:rPr>
              <w:tab/>
              <w:t>Month 3</w:t>
            </w:r>
          </w:p>
          <w:p w14:paraId="2CF3BA80" w14:textId="77777777" w:rsidR="00B93ACA" w:rsidRDefault="00B93ACA" w:rsidP="0021426A">
            <w:pPr>
              <w:pStyle w:val="NormalIndent1"/>
              <w:keepNext/>
              <w:keepLines/>
              <w:spacing w:before="40" w:after="40"/>
              <w:ind w:left="456" w:hanging="456"/>
              <w:jc w:val="left"/>
              <w:rPr>
                <w:lang w:val="en-US"/>
              </w:rPr>
            </w:pPr>
            <w:r>
              <w:rPr>
                <w:lang w:val="en-US"/>
              </w:rPr>
              <w:tab/>
              <w:t>Month 6</w:t>
            </w:r>
          </w:p>
        </w:tc>
        <w:tc>
          <w:tcPr>
            <w:tcW w:w="3068" w:type="dxa"/>
            <w:tcBorders>
              <w:top w:val="single" w:sz="12" w:space="0" w:color="auto"/>
            </w:tcBorders>
          </w:tcPr>
          <w:p w14:paraId="1D4695A0" w14:textId="77777777" w:rsidR="00B93ACA" w:rsidRDefault="00B93ACA" w:rsidP="0021426A">
            <w:pPr>
              <w:pStyle w:val="NormalIndent1"/>
              <w:keepNext/>
              <w:keepLines/>
              <w:spacing w:before="40" w:after="40"/>
              <w:ind w:left="0"/>
              <w:jc w:val="left"/>
              <w:rPr>
                <w:lang w:val="en-US"/>
              </w:rPr>
            </w:pPr>
          </w:p>
          <w:p w14:paraId="37E6CC6E" w14:textId="77777777" w:rsidR="00B93ACA" w:rsidRDefault="00B93ACA" w:rsidP="0021426A">
            <w:pPr>
              <w:pStyle w:val="NormalIndent1"/>
              <w:keepNext/>
              <w:keepLines/>
              <w:spacing w:before="40" w:after="40"/>
              <w:ind w:left="0"/>
              <w:jc w:val="left"/>
              <w:rPr>
                <w:lang w:val="en-US"/>
              </w:rPr>
            </w:pPr>
            <w:r>
              <w:rPr>
                <w:lang w:val="en-US"/>
              </w:rPr>
              <w:t>15</w:t>
            </w:r>
          </w:p>
          <w:p w14:paraId="2C3D5F5E" w14:textId="77777777" w:rsidR="00B93ACA" w:rsidRDefault="00B93ACA" w:rsidP="0021426A">
            <w:pPr>
              <w:pStyle w:val="NormalIndent1"/>
              <w:keepNext/>
              <w:keepLines/>
              <w:spacing w:before="40" w:after="40"/>
              <w:ind w:left="0"/>
              <w:jc w:val="left"/>
              <w:rPr>
                <w:lang w:val="en-US"/>
              </w:rPr>
            </w:pPr>
            <w:r>
              <w:rPr>
                <w:lang w:val="en-US"/>
              </w:rPr>
              <w:t>1</w:t>
            </w:r>
            <w:r w:rsidR="00B929B6">
              <w:rPr>
                <w:lang w:val="en-US"/>
              </w:rPr>
              <w:t>8</w:t>
            </w:r>
          </w:p>
        </w:tc>
        <w:tc>
          <w:tcPr>
            <w:tcW w:w="3068" w:type="dxa"/>
            <w:tcBorders>
              <w:top w:val="single" w:sz="12" w:space="0" w:color="auto"/>
            </w:tcBorders>
          </w:tcPr>
          <w:p w14:paraId="498076F5" w14:textId="77777777" w:rsidR="00B93ACA" w:rsidRDefault="00B93ACA" w:rsidP="0021426A">
            <w:pPr>
              <w:pStyle w:val="NormalIndent1"/>
              <w:keepNext/>
              <w:keepLines/>
              <w:spacing w:before="40" w:after="40"/>
              <w:ind w:left="0"/>
              <w:jc w:val="left"/>
              <w:rPr>
                <w:lang w:val="en-US"/>
              </w:rPr>
            </w:pPr>
          </w:p>
          <w:p w14:paraId="60607EBA" w14:textId="77777777" w:rsidR="00B93ACA" w:rsidRDefault="00B929B6" w:rsidP="0021426A">
            <w:pPr>
              <w:pStyle w:val="NormalIndent1"/>
              <w:keepNext/>
              <w:keepLines/>
              <w:spacing w:before="40" w:after="40"/>
              <w:ind w:left="0"/>
              <w:jc w:val="left"/>
              <w:rPr>
                <w:lang w:val="en-US"/>
              </w:rPr>
            </w:pPr>
            <w:r>
              <w:rPr>
                <w:lang w:val="en-US"/>
              </w:rPr>
              <w:t>36</w:t>
            </w:r>
            <w:r w:rsidR="00B93ACA" w:rsidRPr="00B93ACA">
              <w:rPr>
                <w:vertAlign w:val="superscript"/>
                <w:lang w:val="en-US"/>
              </w:rPr>
              <w:t>b</w:t>
            </w:r>
          </w:p>
          <w:p w14:paraId="70EA8AB9" w14:textId="77777777" w:rsidR="00B93ACA" w:rsidRPr="004364BD" w:rsidRDefault="00B929B6" w:rsidP="0021426A">
            <w:pPr>
              <w:pStyle w:val="NormalIndent1"/>
              <w:keepNext/>
              <w:keepLines/>
              <w:spacing w:before="40" w:after="40"/>
              <w:ind w:left="0"/>
              <w:jc w:val="left"/>
              <w:rPr>
                <w:rFonts w:ascii="Symbol" w:eastAsia="Symbol" w:hAnsi="Symbol" w:cs="Symbol"/>
                <w:w w:val="99"/>
              </w:rPr>
            </w:pPr>
            <w:r>
              <w:rPr>
                <w:lang w:val="en-US"/>
              </w:rPr>
              <w:t>47</w:t>
            </w:r>
            <w:r w:rsidR="00B93ACA" w:rsidRPr="00B93ACA">
              <w:rPr>
                <w:vertAlign w:val="superscript"/>
                <w:lang w:val="en-US"/>
              </w:rPr>
              <w:t>b</w:t>
            </w:r>
          </w:p>
        </w:tc>
      </w:tr>
      <w:tr w:rsidR="00B93ACA" w14:paraId="492F249D" w14:textId="77777777" w:rsidTr="00D05543">
        <w:tc>
          <w:tcPr>
            <w:tcW w:w="3067" w:type="dxa"/>
          </w:tcPr>
          <w:p w14:paraId="45E290E1" w14:textId="77777777" w:rsidR="00B929B6" w:rsidRDefault="00B929B6" w:rsidP="0021426A">
            <w:pPr>
              <w:pStyle w:val="NormalIndent1"/>
              <w:keepNext/>
              <w:keepLines/>
              <w:spacing w:before="40" w:after="40"/>
              <w:ind w:left="0"/>
              <w:jc w:val="left"/>
              <w:rPr>
                <w:lang w:val="en-US"/>
              </w:rPr>
            </w:pPr>
            <w:r>
              <w:rPr>
                <w:lang w:val="en-US"/>
              </w:rPr>
              <w:t>PASI 75% Improvement</w:t>
            </w:r>
          </w:p>
          <w:p w14:paraId="1FDCEF37" w14:textId="77777777" w:rsidR="00B93ACA" w:rsidRDefault="00B93ACA" w:rsidP="0021426A">
            <w:pPr>
              <w:pStyle w:val="NormalIndent1"/>
              <w:keepNext/>
              <w:keepLines/>
              <w:spacing w:before="40" w:after="40"/>
              <w:ind w:left="456" w:hanging="456"/>
              <w:jc w:val="left"/>
              <w:rPr>
                <w:lang w:val="en-US"/>
              </w:rPr>
            </w:pPr>
            <w:r>
              <w:rPr>
                <w:lang w:val="en-US"/>
              </w:rPr>
              <w:tab/>
              <w:t>Month 3</w:t>
            </w:r>
          </w:p>
          <w:p w14:paraId="79D1E4E6" w14:textId="77777777" w:rsidR="00B93ACA" w:rsidRDefault="00B93ACA" w:rsidP="0021426A">
            <w:pPr>
              <w:pStyle w:val="NormalIndent1"/>
              <w:keepNext/>
              <w:keepLines/>
              <w:spacing w:before="40" w:after="40"/>
              <w:ind w:left="456" w:hanging="456"/>
              <w:jc w:val="left"/>
              <w:rPr>
                <w:lang w:val="en-US"/>
              </w:rPr>
            </w:pPr>
            <w:r>
              <w:rPr>
                <w:lang w:val="en-US"/>
              </w:rPr>
              <w:tab/>
              <w:t>Month 6</w:t>
            </w:r>
          </w:p>
        </w:tc>
        <w:tc>
          <w:tcPr>
            <w:tcW w:w="3068" w:type="dxa"/>
          </w:tcPr>
          <w:p w14:paraId="0447362E" w14:textId="77777777" w:rsidR="00B93ACA" w:rsidRDefault="00B93ACA" w:rsidP="0021426A">
            <w:pPr>
              <w:pStyle w:val="NormalIndent1"/>
              <w:keepNext/>
              <w:keepLines/>
              <w:spacing w:before="40" w:after="40"/>
              <w:ind w:left="0"/>
              <w:jc w:val="left"/>
              <w:rPr>
                <w:lang w:val="en-US"/>
              </w:rPr>
            </w:pPr>
          </w:p>
          <w:p w14:paraId="3AF64878" w14:textId="77777777" w:rsidR="00B93ACA" w:rsidRDefault="00B929B6" w:rsidP="0021426A">
            <w:pPr>
              <w:pStyle w:val="NormalIndent1"/>
              <w:keepNext/>
              <w:keepLines/>
              <w:spacing w:before="40" w:after="40"/>
              <w:ind w:left="0"/>
              <w:jc w:val="left"/>
              <w:rPr>
                <w:lang w:val="en-US"/>
              </w:rPr>
            </w:pPr>
            <w:r>
              <w:rPr>
                <w:lang w:val="en-US"/>
              </w:rPr>
              <w:t>8</w:t>
            </w:r>
          </w:p>
          <w:p w14:paraId="1547018F" w14:textId="77777777" w:rsidR="00B93ACA" w:rsidRDefault="00B929B6" w:rsidP="0021426A">
            <w:pPr>
              <w:pStyle w:val="NormalIndent1"/>
              <w:keepNext/>
              <w:keepLines/>
              <w:spacing w:before="40" w:after="40"/>
              <w:ind w:left="0"/>
              <w:jc w:val="left"/>
              <w:rPr>
                <w:lang w:val="en-US"/>
              </w:rPr>
            </w:pPr>
            <w:r>
              <w:rPr>
                <w:lang w:val="en-US"/>
              </w:rPr>
              <w:t>3</w:t>
            </w:r>
          </w:p>
        </w:tc>
        <w:tc>
          <w:tcPr>
            <w:tcW w:w="3068" w:type="dxa"/>
          </w:tcPr>
          <w:p w14:paraId="601375E2" w14:textId="77777777" w:rsidR="00B93ACA" w:rsidRDefault="00B93ACA" w:rsidP="0021426A">
            <w:pPr>
              <w:pStyle w:val="NormalIndent1"/>
              <w:keepNext/>
              <w:keepLines/>
              <w:spacing w:before="40" w:after="40"/>
              <w:ind w:left="0"/>
              <w:jc w:val="left"/>
              <w:rPr>
                <w:lang w:val="en-US"/>
              </w:rPr>
            </w:pPr>
          </w:p>
          <w:p w14:paraId="659E3C03" w14:textId="77777777" w:rsidR="00B93ACA" w:rsidRDefault="00B929B6" w:rsidP="0021426A">
            <w:pPr>
              <w:pStyle w:val="NormalIndent1"/>
              <w:keepNext/>
              <w:keepLines/>
              <w:spacing w:before="40" w:after="40"/>
              <w:ind w:left="0"/>
              <w:jc w:val="left"/>
              <w:rPr>
                <w:vertAlign w:val="superscript"/>
                <w:lang w:val="en-US"/>
              </w:rPr>
            </w:pPr>
            <w:r>
              <w:rPr>
                <w:lang w:val="en-US"/>
              </w:rPr>
              <w:t>12</w:t>
            </w:r>
          </w:p>
          <w:p w14:paraId="027121ED" w14:textId="77777777" w:rsidR="00B93ACA" w:rsidRDefault="00B929B6" w:rsidP="0021426A">
            <w:pPr>
              <w:pStyle w:val="NormalIndent1"/>
              <w:keepNext/>
              <w:keepLines/>
              <w:spacing w:before="40" w:after="40"/>
              <w:ind w:left="0"/>
              <w:jc w:val="left"/>
              <w:rPr>
                <w:lang w:val="en-US"/>
              </w:rPr>
            </w:pPr>
            <w:r>
              <w:rPr>
                <w:lang w:val="en-US"/>
              </w:rPr>
              <w:t>23</w:t>
            </w:r>
            <w:r>
              <w:rPr>
                <w:vertAlign w:val="superscript"/>
                <w:lang w:val="en-US"/>
              </w:rPr>
              <w:t>c</w:t>
            </w:r>
          </w:p>
        </w:tc>
      </w:tr>
    </w:tbl>
    <w:p w14:paraId="7DCC5795" w14:textId="34372D05" w:rsidR="00B929B6" w:rsidRDefault="00B929B6" w:rsidP="0021426A">
      <w:pPr>
        <w:pStyle w:val="NormalIndent1"/>
        <w:keepNext/>
        <w:keepLines/>
        <w:ind w:left="851" w:hanging="426"/>
        <w:jc w:val="left"/>
        <w:rPr>
          <w:sz w:val="20"/>
          <w:szCs w:val="20"/>
          <w:lang w:val="en-US"/>
        </w:rPr>
      </w:pPr>
      <w:r w:rsidRPr="00B929B6">
        <w:rPr>
          <w:szCs w:val="20"/>
          <w:vertAlign w:val="superscript"/>
          <w:lang w:val="en-US"/>
        </w:rPr>
        <w:t>a</w:t>
      </w:r>
      <w:r>
        <w:rPr>
          <w:sz w:val="20"/>
          <w:szCs w:val="20"/>
          <w:lang w:val="en-US"/>
        </w:rPr>
        <w:tab/>
      </w:r>
      <w:r w:rsidRPr="00B929B6">
        <w:rPr>
          <w:sz w:val="20"/>
          <w:szCs w:val="20"/>
          <w:lang w:val="en-US"/>
        </w:rPr>
        <w:t xml:space="preserve">25 mg </w:t>
      </w:r>
      <w:proofErr w:type="spellStart"/>
      <w:r w:rsidR="00C36EA6">
        <w:rPr>
          <w:sz w:val="20"/>
          <w:szCs w:val="20"/>
          <w:lang w:val="en-US"/>
        </w:rPr>
        <w:t>etanercept</w:t>
      </w:r>
      <w:proofErr w:type="spellEnd"/>
      <w:r w:rsidRPr="00B929B6">
        <w:rPr>
          <w:sz w:val="20"/>
          <w:szCs w:val="20"/>
          <w:lang w:val="en-US"/>
        </w:rPr>
        <w:t xml:space="preserve"> SC twice weekly</w:t>
      </w:r>
      <w:r>
        <w:rPr>
          <w:sz w:val="20"/>
          <w:szCs w:val="20"/>
          <w:lang w:val="en-US"/>
        </w:rPr>
        <w:t>.</w:t>
      </w:r>
    </w:p>
    <w:p w14:paraId="2348D795" w14:textId="43C6FB59" w:rsidR="00B929B6" w:rsidRPr="00B929B6" w:rsidRDefault="00B929B6" w:rsidP="0021426A">
      <w:pPr>
        <w:pStyle w:val="NormalIndent1"/>
        <w:keepNext/>
        <w:keepLines/>
        <w:ind w:left="851" w:hanging="426"/>
        <w:jc w:val="left"/>
        <w:rPr>
          <w:sz w:val="20"/>
          <w:szCs w:val="20"/>
          <w:lang w:val="en-US"/>
        </w:rPr>
      </w:pPr>
      <w:r w:rsidRPr="00B929B6">
        <w:rPr>
          <w:szCs w:val="20"/>
          <w:vertAlign w:val="superscript"/>
          <w:lang w:val="en-US"/>
        </w:rPr>
        <w:t>b</w:t>
      </w:r>
      <w:r>
        <w:rPr>
          <w:sz w:val="20"/>
          <w:szCs w:val="20"/>
          <w:lang w:val="en-US"/>
        </w:rPr>
        <w:tab/>
      </w:r>
      <w:r w:rsidRPr="00B929B6">
        <w:rPr>
          <w:sz w:val="20"/>
          <w:szCs w:val="20"/>
          <w:lang w:val="en-US"/>
        </w:rPr>
        <w:t xml:space="preserve">p &lt; 0.001, </w:t>
      </w:r>
      <w:r w:rsidR="00C36EA6">
        <w:rPr>
          <w:sz w:val="20"/>
          <w:szCs w:val="20"/>
          <w:lang w:val="en-US"/>
        </w:rPr>
        <w:t>etanercept</w:t>
      </w:r>
      <w:r w:rsidRPr="00B929B6">
        <w:rPr>
          <w:sz w:val="20"/>
          <w:szCs w:val="20"/>
          <w:lang w:val="en-US"/>
        </w:rPr>
        <w:t xml:space="preserve"> vs. placebo</w:t>
      </w:r>
      <w:r>
        <w:rPr>
          <w:sz w:val="20"/>
          <w:szCs w:val="20"/>
          <w:lang w:val="en-US"/>
        </w:rPr>
        <w:t>.</w:t>
      </w:r>
    </w:p>
    <w:p w14:paraId="3C832AB3" w14:textId="43A559B4" w:rsidR="00B917A5" w:rsidRPr="00B929B6" w:rsidRDefault="00B929B6" w:rsidP="0021426A">
      <w:pPr>
        <w:pStyle w:val="NormalIndent1"/>
        <w:keepNext/>
        <w:keepLines/>
        <w:ind w:left="851" w:hanging="426"/>
        <w:jc w:val="left"/>
        <w:rPr>
          <w:sz w:val="20"/>
          <w:szCs w:val="20"/>
          <w:lang w:val="en-US"/>
        </w:rPr>
      </w:pPr>
      <w:r w:rsidRPr="00B929B6">
        <w:rPr>
          <w:szCs w:val="20"/>
          <w:vertAlign w:val="superscript"/>
          <w:lang w:val="en-US"/>
        </w:rPr>
        <w:t>c</w:t>
      </w:r>
      <w:r>
        <w:rPr>
          <w:sz w:val="20"/>
          <w:szCs w:val="20"/>
          <w:lang w:val="en-US"/>
        </w:rPr>
        <w:tab/>
      </w:r>
      <w:r w:rsidRPr="00B929B6">
        <w:rPr>
          <w:sz w:val="20"/>
          <w:szCs w:val="20"/>
          <w:lang w:val="en-US"/>
        </w:rPr>
        <w:t xml:space="preserve">p &lt; 0.01, </w:t>
      </w:r>
      <w:r w:rsidR="00C36EA6">
        <w:rPr>
          <w:sz w:val="20"/>
          <w:szCs w:val="20"/>
          <w:lang w:val="en-US"/>
        </w:rPr>
        <w:t>etanercept</w:t>
      </w:r>
      <w:r w:rsidRPr="00B929B6">
        <w:rPr>
          <w:sz w:val="20"/>
          <w:szCs w:val="20"/>
          <w:lang w:val="en-US"/>
        </w:rPr>
        <w:t xml:space="preserve"> vs. placebo</w:t>
      </w:r>
      <w:r>
        <w:rPr>
          <w:sz w:val="20"/>
          <w:szCs w:val="20"/>
          <w:lang w:val="en-US"/>
        </w:rPr>
        <w:t>.</w:t>
      </w:r>
    </w:p>
    <w:p w14:paraId="0F09D804" w14:textId="77777777" w:rsidR="00B929B6" w:rsidRDefault="00B929B6" w:rsidP="0021426A">
      <w:pPr>
        <w:pStyle w:val="NormalIndent1"/>
        <w:jc w:val="left"/>
      </w:pPr>
    </w:p>
    <w:p w14:paraId="07B0D3C5" w14:textId="75AF9066" w:rsidR="00B929B6" w:rsidRPr="00B929B6" w:rsidRDefault="00B929B6" w:rsidP="0021426A">
      <w:pPr>
        <w:pStyle w:val="NormalIndent1"/>
        <w:jc w:val="left"/>
        <w:rPr>
          <w:lang w:val="en-US"/>
        </w:rPr>
      </w:pPr>
      <w:r w:rsidRPr="00B929B6">
        <w:rPr>
          <w:lang w:val="en-US"/>
        </w:rPr>
        <w:t xml:space="preserve">Among patients with psoriatic arthritis who received </w:t>
      </w:r>
      <w:r w:rsidR="00C36EA6">
        <w:rPr>
          <w:lang w:val="en-US"/>
        </w:rPr>
        <w:t>etanercept</w:t>
      </w:r>
      <w:r w:rsidRPr="00B929B6">
        <w:rPr>
          <w:lang w:val="en-US"/>
        </w:rPr>
        <w:t xml:space="preserve">, the clinical responses were apparent at the time of the first visit (4 weeks) and were maintained through 6 months of therapy.  </w:t>
      </w:r>
      <w:r w:rsidR="00C36EA6">
        <w:rPr>
          <w:lang w:val="en-US"/>
        </w:rPr>
        <w:t>Etanercept</w:t>
      </w:r>
      <w:r w:rsidRPr="00B929B6">
        <w:rPr>
          <w:lang w:val="en-US"/>
        </w:rPr>
        <w:t xml:space="preserve"> was significantly better than placebo in all measures of disease activity (p &lt; 0.001) and responses were similar with and without concomitant methotrexate therapy.</w:t>
      </w:r>
    </w:p>
    <w:p w14:paraId="25B8D687" w14:textId="77777777" w:rsidR="00B929B6" w:rsidRPr="00B929B6" w:rsidRDefault="00B929B6" w:rsidP="0021426A">
      <w:pPr>
        <w:pStyle w:val="NormalIndent1"/>
        <w:jc w:val="left"/>
        <w:rPr>
          <w:lang w:val="en-US"/>
        </w:rPr>
      </w:pPr>
    </w:p>
    <w:p w14:paraId="3F0AC818" w14:textId="77777777" w:rsidR="00B929B6" w:rsidRPr="00B929B6" w:rsidRDefault="00B929B6" w:rsidP="0021426A">
      <w:pPr>
        <w:pStyle w:val="NormalIndent1"/>
        <w:jc w:val="left"/>
        <w:rPr>
          <w:lang w:val="en-US"/>
        </w:rPr>
      </w:pPr>
      <w:r w:rsidRPr="00B929B6">
        <w:rPr>
          <w:lang w:val="en-US"/>
        </w:rPr>
        <w:t>In this study, structural joint damage was assessed radiographically and expressed as change in modified Total Sharp Score (TSS) and its components, the erosion score and joint space narrowing score (JSN).  The possible range for the modified TSS was 0 to 370.  Radiographs of hands and wrists were obtained at baseline and months 6, 12 and 24.</w:t>
      </w:r>
    </w:p>
    <w:p w14:paraId="1BAB0C66" w14:textId="77777777" w:rsidR="00B929B6" w:rsidRPr="00B929B6" w:rsidRDefault="00B929B6" w:rsidP="0021426A">
      <w:pPr>
        <w:pStyle w:val="NormalIndent1"/>
        <w:jc w:val="left"/>
        <w:rPr>
          <w:lang w:val="en-US"/>
        </w:rPr>
      </w:pPr>
    </w:p>
    <w:p w14:paraId="0C076A11" w14:textId="1B444BC3" w:rsidR="00B929B6" w:rsidRDefault="00B929B6" w:rsidP="0021426A">
      <w:pPr>
        <w:pStyle w:val="NormalIndent1"/>
        <w:jc w:val="left"/>
        <w:rPr>
          <w:lang w:val="en-US"/>
        </w:rPr>
      </w:pPr>
      <w:r w:rsidRPr="00B929B6">
        <w:rPr>
          <w:lang w:val="en-US"/>
        </w:rPr>
        <w:t xml:space="preserve">The 1-year analyses, as shown in the table below, indicates that the difference between treatment groups was significant for mean </w:t>
      </w:r>
      <w:proofErr w:type="spellStart"/>
      <w:r w:rsidRPr="00B929B6">
        <w:rPr>
          <w:lang w:val="en-US"/>
        </w:rPr>
        <w:t>annuali</w:t>
      </w:r>
      <w:r w:rsidR="00B20D25">
        <w:rPr>
          <w:lang w:val="en-US"/>
        </w:rPr>
        <w:t>s</w:t>
      </w:r>
      <w:r w:rsidRPr="00B929B6">
        <w:rPr>
          <w:lang w:val="en-US"/>
        </w:rPr>
        <w:t>ed</w:t>
      </w:r>
      <w:proofErr w:type="spellEnd"/>
      <w:r w:rsidRPr="00B929B6">
        <w:rPr>
          <w:lang w:val="en-US"/>
        </w:rPr>
        <w:t xml:space="preserve"> rate of change from baseline in TSS, erosion scores and for JSN.  In addition, significantly more subjects in the </w:t>
      </w:r>
      <w:r w:rsidR="00C36EA6">
        <w:rPr>
          <w:lang w:val="en-US"/>
        </w:rPr>
        <w:t>etanercept</w:t>
      </w:r>
      <w:r w:rsidRPr="00B929B6">
        <w:rPr>
          <w:lang w:val="en-US"/>
        </w:rPr>
        <w:t xml:space="preserve"> group had no progression (</w:t>
      </w:r>
      <w:r>
        <w:rPr>
          <w:rFonts w:cstheme="minorHAnsi"/>
          <w:lang w:val="en-US"/>
        </w:rPr>
        <w:t>≤</w:t>
      </w:r>
      <w:r>
        <w:rPr>
          <w:lang w:val="en-US"/>
        </w:rPr>
        <w:t xml:space="preserve"> </w:t>
      </w:r>
      <w:r w:rsidRPr="00B929B6">
        <w:rPr>
          <w:lang w:val="en-US"/>
        </w:rPr>
        <w:t>0 change) in TSS from baseline, compared with subjects in the placebo group</w:t>
      </w:r>
      <w:r>
        <w:rPr>
          <w:lang w:val="en-US"/>
        </w:rPr>
        <w:t>.</w:t>
      </w:r>
    </w:p>
    <w:p w14:paraId="137CCCD2" w14:textId="77777777" w:rsidR="0030673C" w:rsidRDefault="0030673C" w:rsidP="0021426A">
      <w:pPr>
        <w:pStyle w:val="NormalIndent1"/>
        <w:jc w:val="left"/>
        <w:rPr>
          <w:lang w:val="en-US"/>
        </w:rPr>
      </w:pPr>
    </w:p>
    <w:p w14:paraId="35CA4212" w14:textId="77777777" w:rsidR="0030673C" w:rsidRPr="0030673C" w:rsidRDefault="0030673C" w:rsidP="0021426A">
      <w:pPr>
        <w:pStyle w:val="NormalIndent1"/>
        <w:jc w:val="left"/>
        <w:rPr>
          <w:b/>
          <w:lang w:val="en-US"/>
        </w:rPr>
      </w:pPr>
      <w:r w:rsidRPr="0030673C">
        <w:rPr>
          <w:b/>
          <w:lang w:val="en-US"/>
        </w:rPr>
        <w:t xml:space="preserve">Table 10: </w:t>
      </w:r>
      <w:proofErr w:type="spellStart"/>
      <w:r w:rsidRPr="0030673C">
        <w:rPr>
          <w:b/>
          <w:lang w:val="en-US"/>
        </w:rPr>
        <w:t>Annualised</w:t>
      </w:r>
      <w:proofErr w:type="spellEnd"/>
      <w:r w:rsidRPr="0030673C">
        <w:rPr>
          <w:b/>
          <w:lang w:val="en-US"/>
        </w:rPr>
        <w:t xml:space="preserve"> Rate of Change (Mean </w:t>
      </w:r>
      <w:r w:rsidRPr="0030673C">
        <w:rPr>
          <w:rFonts w:cstheme="minorHAnsi"/>
          <w:b/>
          <w:lang w:val="en-US"/>
        </w:rPr>
        <w:t>±</w:t>
      </w:r>
      <w:r w:rsidRPr="0030673C">
        <w:rPr>
          <w:b/>
          <w:lang w:val="en-US"/>
        </w:rPr>
        <w:t xml:space="preserve"> SE) at 1 Year</w:t>
      </w:r>
    </w:p>
    <w:p w14:paraId="2B5585B5" w14:textId="77777777" w:rsidR="00B929B6" w:rsidRDefault="00B929B6" w:rsidP="0021426A">
      <w:pPr>
        <w:pStyle w:val="NormalIndent1"/>
        <w:jc w:val="left"/>
      </w:pPr>
    </w:p>
    <w:tbl>
      <w:tblPr>
        <w:tblStyle w:val="TableGrid"/>
        <w:tblW w:w="0" w:type="auto"/>
        <w:tblInd w:w="425" w:type="dxa"/>
        <w:tblLook w:val="04A0" w:firstRow="1" w:lastRow="0" w:firstColumn="1" w:lastColumn="0" w:noHBand="0" w:noVBand="1"/>
      </w:tblPr>
      <w:tblGrid>
        <w:gridCol w:w="4380"/>
        <w:gridCol w:w="1601"/>
        <w:gridCol w:w="1601"/>
        <w:gridCol w:w="1601"/>
      </w:tblGrid>
      <w:tr w:rsidR="00B929B6" w:rsidRPr="00B929B6" w14:paraId="625F0E0E"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0AF72A14" w14:textId="77777777" w:rsidR="00B929B6" w:rsidRPr="00B929B6" w:rsidRDefault="00B929B6" w:rsidP="0021426A">
            <w:pPr>
              <w:pStyle w:val="NormalIndent1"/>
              <w:ind w:left="0"/>
              <w:jc w:val="left"/>
              <w:rPr>
                <w:b/>
              </w:rPr>
            </w:pPr>
          </w:p>
        </w:tc>
        <w:tc>
          <w:tcPr>
            <w:tcW w:w="1601" w:type="dxa"/>
            <w:tcBorders>
              <w:top w:val="single" w:sz="12" w:space="0" w:color="auto"/>
              <w:left w:val="single" w:sz="12" w:space="0" w:color="auto"/>
              <w:bottom w:val="single" w:sz="12" w:space="0" w:color="auto"/>
              <w:right w:val="single" w:sz="12" w:space="0" w:color="auto"/>
            </w:tcBorders>
            <w:vAlign w:val="center"/>
          </w:tcPr>
          <w:p w14:paraId="4715F305" w14:textId="77777777" w:rsidR="00B929B6" w:rsidRDefault="00B929B6" w:rsidP="0021426A">
            <w:pPr>
              <w:pStyle w:val="NormalIndent1"/>
              <w:ind w:left="0"/>
              <w:jc w:val="left"/>
              <w:rPr>
                <w:b/>
              </w:rPr>
            </w:pPr>
            <w:r>
              <w:rPr>
                <w:b/>
              </w:rPr>
              <w:t>Placebo</w:t>
            </w:r>
          </w:p>
          <w:p w14:paraId="3018D1AC" w14:textId="77777777" w:rsidR="00B929B6" w:rsidRPr="00B929B6" w:rsidRDefault="00B929B6" w:rsidP="0021426A">
            <w:pPr>
              <w:pStyle w:val="NormalIndent1"/>
              <w:ind w:left="0"/>
              <w:jc w:val="left"/>
              <w:rPr>
                <w:b/>
              </w:rPr>
            </w:pPr>
            <w:r>
              <w:rPr>
                <w:b/>
              </w:rPr>
              <w:t>(n = 104)</w:t>
            </w:r>
            <w:r w:rsidRPr="00B929B6">
              <w:rPr>
                <w:b/>
                <w:vertAlign w:val="superscript"/>
              </w:rPr>
              <w:t>a</w:t>
            </w:r>
          </w:p>
        </w:tc>
        <w:tc>
          <w:tcPr>
            <w:tcW w:w="1601" w:type="dxa"/>
            <w:tcBorders>
              <w:top w:val="single" w:sz="12" w:space="0" w:color="auto"/>
              <w:left w:val="single" w:sz="12" w:space="0" w:color="auto"/>
              <w:bottom w:val="single" w:sz="12" w:space="0" w:color="auto"/>
              <w:right w:val="single" w:sz="12" w:space="0" w:color="auto"/>
            </w:tcBorders>
            <w:vAlign w:val="center"/>
          </w:tcPr>
          <w:p w14:paraId="43307892" w14:textId="261B2C84" w:rsidR="00B929B6" w:rsidRDefault="00C36EA6" w:rsidP="0021426A">
            <w:pPr>
              <w:pStyle w:val="NormalIndent1"/>
              <w:ind w:left="0"/>
              <w:jc w:val="left"/>
              <w:rPr>
                <w:b/>
              </w:rPr>
            </w:pPr>
            <w:r>
              <w:rPr>
                <w:b/>
              </w:rPr>
              <w:t>Etanercept</w:t>
            </w:r>
          </w:p>
          <w:p w14:paraId="358E3EA6" w14:textId="77777777" w:rsidR="00B929B6" w:rsidRPr="00B929B6" w:rsidRDefault="00B929B6" w:rsidP="0021426A">
            <w:pPr>
              <w:pStyle w:val="NormalIndent1"/>
              <w:ind w:left="0"/>
              <w:jc w:val="left"/>
              <w:rPr>
                <w:b/>
              </w:rPr>
            </w:pPr>
            <w:r>
              <w:rPr>
                <w:b/>
              </w:rPr>
              <w:t>(n = 101)</w:t>
            </w:r>
            <w:r w:rsidRPr="00B929B6">
              <w:rPr>
                <w:b/>
                <w:vertAlign w:val="superscript"/>
              </w:rPr>
              <w:t>a</w:t>
            </w:r>
          </w:p>
        </w:tc>
        <w:tc>
          <w:tcPr>
            <w:tcW w:w="1601" w:type="dxa"/>
            <w:tcBorders>
              <w:top w:val="single" w:sz="12" w:space="0" w:color="auto"/>
              <w:left w:val="single" w:sz="12" w:space="0" w:color="auto"/>
              <w:bottom w:val="single" w:sz="12" w:space="0" w:color="auto"/>
              <w:right w:val="single" w:sz="12" w:space="0" w:color="auto"/>
            </w:tcBorders>
            <w:vAlign w:val="center"/>
          </w:tcPr>
          <w:p w14:paraId="2D063654" w14:textId="77777777" w:rsidR="00B929B6" w:rsidRPr="00B929B6" w:rsidRDefault="00B929B6" w:rsidP="0021426A">
            <w:pPr>
              <w:pStyle w:val="NormalIndent1"/>
              <w:ind w:left="0"/>
              <w:jc w:val="left"/>
              <w:rPr>
                <w:b/>
              </w:rPr>
            </w:pPr>
            <w:r>
              <w:rPr>
                <w:b/>
              </w:rPr>
              <w:t>p-Value</w:t>
            </w:r>
          </w:p>
        </w:tc>
      </w:tr>
      <w:tr w:rsidR="00B929B6" w14:paraId="676E7183" w14:textId="77777777" w:rsidTr="00D05543">
        <w:tc>
          <w:tcPr>
            <w:tcW w:w="4380" w:type="dxa"/>
            <w:tcBorders>
              <w:top w:val="single" w:sz="12" w:space="0" w:color="auto"/>
            </w:tcBorders>
          </w:tcPr>
          <w:p w14:paraId="73AB0B3F" w14:textId="77777777" w:rsidR="00B929B6" w:rsidRDefault="00B929B6" w:rsidP="0021426A">
            <w:pPr>
              <w:pStyle w:val="NormalIndent1"/>
              <w:spacing w:before="40" w:after="40"/>
              <w:ind w:left="0"/>
              <w:jc w:val="left"/>
            </w:pPr>
            <w:r>
              <w:t>TSS</w:t>
            </w:r>
          </w:p>
        </w:tc>
        <w:tc>
          <w:tcPr>
            <w:tcW w:w="1601" w:type="dxa"/>
            <w:tcBorders>
              <w:top w:val="single" w:sz="12" w:space="0" w:color="auto"/>
            </w:tcBorders>
            <w:vAlign w:val="center"/>
          </w:tcPr>
          <w:p w14:paraId="03DB59C4" w14:textId="77777777" w:rsidR="00B929B6" w:rsidRDefault="00B929B6" w:rsidP="0021426A">
            <w:pPr>
              <w:pStyle w:val="NormalIndent1"/>
              <w:spacing w:before="40" w:after="40"/>
              <w:ind w:left="0"/>
              <w:jc w:val="left"/>
            </w:pPr>
            <w:r>
              <w:t>1.00 (0.29)</w:t>
            </w:r>
          </w:p>
        </w:tc>
        <w:tc>
          <w:tcPr>
            <w:tcW w:w="1601" w:type="dxa"/>
            <w:tcBorders>
              <w:top w:val="single" w:sz="12" w:space="0" w:color="auto"/>
            </w:tcBorders>
            <w:vAlign w:val="center"/>
          </w:tcPr>
          <w:p w14:paraId="110F5AA5" w14:textId="77777777" w:rsidR="00B929B6" w:rsidRDefault="00B929B6" w:rsidP="0021426A">
            <w:pPr>
              <w:pStyle w:val="NormalIndent1"/>
              <w:spacing w:before="40" w:after="40"/>
              <w:ind w:left="0"/>
              <w:jc w:val="left"/>
            </w:pPr>
            <w:r>
              <w:t>-0.03 (0.09)</w:t>
            </w:r>
          </w:p>
        </w:tc>
        <w:tc>
          <w:tcPr>
            <w:tcW w:w="1601" w:type="dxa"/>
            <w:tcBorders>
              <w:top w:val="single" w:sz="12" w:space="0" w:color="auto"/>
            </w:tcBorders>
            <w:vAlign w:val="center"/>
          </w:tcPr>
          <w:p w14:paraId="15152663" w14:textId="77777777" w:rsidR="00B929B6" w:rsidRDefault="00B929B6" w:rsidP="0021426A">
            <w:pPr>
              <w:pStyle w:val="NormalIndent1"/>
              <w:spacing w:before="40" w:after="40"/>
              <w:ind w:left="0"/>
              <w:jc w:val="left"/>
            </w:pPr>
            <w:r>
              <w:t>0.0001</w:t>
            </w:r>
            <w:r w:rsidRPr="00B929B6">
              <w:rPr>
                <w:vertAlign w:val="superscript"/>
              </w:rPr>
              <w:t>b</w:t>
            </w:r>
          </w:p>
        </w:tc>
      </w:tr>
      <w:tr w:rsidR="00D05543" w14:paraId="318AD80F" w14:textId="77777777" w:rsidTr="00D05543">
        <w:tc>
          <w:tcPr>
            <w:tcW w:w="4380" w:type="dxa"/>
          </w:tcPr>
          <w:p w14:paraId="1305AEB8" w14:textId="77777777" w:rsidR="00B929B6" w:rsidRDefault="00B929B6" w:rsidP="0021426A">
            <w:pPr>
              <w:pStyle w:val="NormalIndent1"/>
              <w:spacing w:before="40" w:after="40"/>
              <w:ind w:left="0"/>
              <w:jc w:val="left"/>
            </w:pPr>
            <w:r>
              <w:t>Erosions</w:t>
            </w:r>
          </w:p>
        </w:tc>
        <w:tc>
          <w:tcPr>
            <w:tcW w:w="1601" w:type="dxa"/>
            <w:vAlign w:val="center"/>
          </w:tcPr>
          <w:p w14:paraId="5C0C938C" w14:textId="77777777" w:rsidR="00B929B6" w:rsidRDefault="00D05543" w:rsidP="0021426A">
            <w:pPr>
              <w:pStyle w:val="NormalIndent1"/>
              <w:spacing w:before="40" w:after="40"/>
              <w:ind w:left="0"/>
              <w:jc w:val="left"/>
            </w:pPr>
            <w:r>
              <w:t>0.66</w:t>
            </w:r>
            <w:r w:rsidR="00B929B6">
              <w:t xml:space="preserve"> (0.</w:t>
            </w:r>
            <w:r>
              <w:t>17</w:t>
            </w:r>
            <w:r w:rsidR="00B929B6">
              <w:t>)</w:t>
            </w:r>
          </w:p>
        </w:tc>
        <w:tc>
          <w:tcPr>
            <w:tcW w:w="1601" w:type="dxa"/>
            <w:vAlign w:val="center"/>
          </w:tcPr>
          <w:p w14:paraId="69853F5E" w14:textId="77777777" w:rsidR="00B929B6" w:rsidRDefault="00B929B6" w:rsidP="0021426A">
            <w:pPr>
              <w:pStyle w:val="NormalIndent1"/>
              <w:spacing w:before="40" w:after="40"/>
              <w:ind w:left="0"/>
              <w:jc w:val="left"/>
            </w:pPr>
            <w:r>
              <w:t>-0.0</w:t>
            </w:r>
            <w:r w:rsidR="00D05543">
              <w:t>9</w:t>
            </w:r>
            <w:r>
              <w:t xml:space="preserve"> (0.0</w:t>
            </w:r>
            <w:r w:rsidR="00D05543">
              <w:t>7</w:t>
            </w:r>
            <w:r>
              <w:t>)</w:t>
            </w:r>
          </w:p>
        </w:tc>
        <w:tc>
          <w:tcPr>
            <w:tcW w:w="1601" w:type="dxa"/>
            <w:vAlign w:val="center"/>
          </w:tcPr>
          <w:p w14:paraId="37DCED5D" w14:textId="77777777" w:rsidR="00B929B6" w:rsidRDefault="00B929B6" w:rsidP="0021426A">
            <w:pPr>
              <w:pStyle w:val="NormalIndent1"/>
              <w:spacing w:before="40" w:after="40"/>
              <w:ind w:left="0"/>
              <w:jc w:val="left"/>
            </w:pPr>
            <w:r>
              <w:t>0.0001</w:t>
            </w:r>
            <w:r w:rsidRPr="00B929B6">
              <w:rPr>
                <w:vertAlign w:val="superscript"/>
              </w:rPr>
              <w:t>b</w:t>
            </w:r>
          </w:p>
        </w:tc>
      </w:tr>
      <w:tr w:rsidR="00D05543" w14:paraId="01CA6953" w14:textId="77777777" w:rsidTr="00D05543">
        <w:tc>
          <w:tcPr>
            <w:tcW w:w="4380" w:type="dxa"/>
          </w:tcPr>
          <w:p w14:paraId="368F9808" w14:textId="77777777" w:rsidR="00B929B6" w:rsidRDefault="00B929B6" w:rsidP="0021426A">
            <w:pPr>
              <w:pStyle w:val="NormalIndent1"/>
              <w:spacing w:before="40" w:after="40"/>
              <w:ind w:left="0"/>
              <w:jc w:val="left"/>
            </w:pPr>
            <w:r>
              <w:t>JSN</w:t>
            </w:r>
          </w:p>
        </w:tc>
        <w:tc>
          <w:tcPr>
            <w:tcW w:w="1601" w:type="dxa"/>
            <w:vAlign w:val="center"/>
          </w:tcPr>
          <w:p w14:paraId="3DC849EA" w14:textId="77777777" w:rsidR="00B929B6" w:rsidRDefault="00D05543" w:rsidP="0021426A">
            <w:pPr>
              <w:pStyle w:val="NormalIndent1"/>
              <w:spacing w:before="40" w:after="40"/>
              <w:ind w:left="0"/>
              <w:jc w:val="left"/>
            </w:pPr>
            <w:r>
              <w:t>0.34</w:t>
            </w:r>
            <w:r w:rsidR="00B929B6">
              <w:t xml:space="preserve"> (0.</w:t>
            </w:r>
            <w:r>
              <w:t>13</w:t>
            </w:r>
            <w:r w:rsidR="00B929B6">
              <w:t>)</w:t>
            </w:r>
          </w:p>
        </w:tc>
        <w:tc>
          <w:tcPr>
            <w:tcW w:w="1601" w:type="dxa"/>
            <w:vAlign w:val="center"/>
          </w:tcPr>
          <w:p w14:paraId="47C87C23" w14:textId="77777777" w:rsidR="00B929B6" w:rsidRDefault="00B929B6" w:rsidP="0021426A">
            <w:pPr>
              <w:pStyle w:val="NormalIndent1"/>
              <w:spacing w:before="40" w:after="40"/>
              <w:ind w:left="0"/>
              <w:jc w:val="left"/>
            </w:pPr>
            <w:r>
              <w:t>0.0</w:t>
            </w:r>
            <w:r w:rsidR="00D05543">
              <w:t>5</w:t>
            </w:r>
            <w:r>
              <w:t xml:space="preserve"> (0.0</w:t>
            </w:r>
            <w:r w:rsidR="00D05543">
              <w:t>5</w:t>
            </w:r>
            <w:r>
              <w:t>)</w:t>
            </w:r>
          </w:p>
        </w:tc>
        <w:tc>
          <w:tcPr>
            <w:tcW w:w="1601" w:type="dxa"/>
            <w:vAlign w:val="center"/>
          </w:tcPr>
          <w:p w14:paraId="714F144B" w14:textId="77777777" w:rsidR="00B929B6" w:rsidRDefault="00B929B6" w:rsidP="0021426A">
            <w:pPr>
              <w:pStyle w:val="NormalIndent1"/>
              <w:spacing w:before="40" w:after="40"/>
              <w:ind w:left="0"/>
              <w:jc w:val="left"/>
            </w:pPr>
            <w:r>
              <w:t>0.0</w:t>
            </w:r>
            <w:r w:rsidR="00D05543">
              <w:t>438</w:t>
            </w:r>
            <w:r w:rsidRPr="00B929B6">
              <w:rPr>
                <w:vertAlign w:val="superscript"/>
              </w:rPr>
              <w:t>b</w:t>
            </w:r>
          </w:p>
        </w:tc>
      </w:tr>
      <w:tr w:rsidR="00D05543" w14:paraId="2081EC7A" w14:textId="77777777" w:rsidTr="00D05543">
        <w:tc>
          <w:tcPr>
            <w:tcW w:w="4380" w:type="dxa"/>
          </w:tcPr>
          <w:p w14:paraId="4D37542B" w14:textId="77777777" w:rsidR="00B929B6" w:rsidRDefault="00B929B6" w:rsidP="0021426A">
            <w:pPr>
              <w:pStyle w:val="NormalIndent1"/>
              <w:spacing w:before="40" w:after="40"/>
              <w:ind w:left="0"/>
              <w:jc w:val="left"/>
            </w:pPr>
            <w:r>
              <w:t xml:space="preserve">Number (%) of subjects with </w:t>
            </w:r>
            <w:r>
              <w:rPr>
                <w:rFonts w:cstheme="minorHAnsi"/>
              </w:rPr>
              <w:t>≤</w:t>
            </w:r>
            <w:r w:rsidR="00B20D25">
              <w:rPr>
                <w:rFonts w:cstheme="minorHAnsi"/>
              </w:rPr>
              <w:t xml:space="preserve"> </w:t>
            </w:r>
            <w:r>
              <w:t>0 change in TSS</w:t>
            </w:r>
          </w:p>
        </w:tc>
        <w:tc>
          <w:tcPr>
            <w:tcW w:w="1601" w:type="dxa"/>
            <w:vAlign w:val="center"/>
          </w:tcPr>
          <w:p w14:paraId="5EA4C63F" w14:textId="77777777" w:rsidR="00B929B6" w:rsidRDefault="00D05543" w:rsidP="0021426A">
            <w:pPr>
              <w:pStyle w:val="NormalIndent1"/>
              <w:spacing w:before="40" w:after="40"/>
              <w:ind w:left="0"/>
              <w:jc w:val="left"/>
            </w:pPr>
            <w:r>
              <w:t xml:space="preserve">63 </w:t>
            </w:r>
            <w:r w:rsidR="00B929B6">
              <w:t>(</w:t>
            </w:r>
            <w:r>
              <w:t>61</w:t>
            </w:r>
            <w:r w:rsidR="00B929B6">
              <w:t>)</w:t>
            </w:r>
            <w:r w:rsidRPr="00D05543">
              <w:rPr>
                <w:vertAlign w:val="superscript"/>
              </w:rPr>
              <w:t>d</w:t>
            </w:r>
          </w:p>
        </w:tc>
        <w:tc>
          <w:tcPr>
            <w:tcW w:w="1601" w:type="dxa"/>
            <w:vAlign w:val="center"/>
          </w:tcPr>
          <w:p w14:paraId="72563A72" w14:textId="77777777" w:rsidR="00B929B6" w:rsidRDefault="00D05543" w:rsidP="0021426A">
            <w:pPr>
              <w:pStyle w:val="NormalIndent1"/>
              <w:spacing w:before="40" w:after="40"/>
              <w:ind w:left="0"/>
              <w:jc w:val="left"/>
            </w:pPr>
            <w:r>
              <w:t xml:space="preserve">81 </w:t>
            </w:r>
            <w:r w:rsidR="00B929B6">
              <w:t>(</w:t>
            </w:r>
            <w:r>
              <w:t>80</w:t>
            </w:r>
            <w:r w:rsidR="00B929B6">
              <w:t>)</w:t>
            </w:r>
          </w:p>
        </w:tc>
        <w:tc>
          <w:tcPr>
            <w:tcW w:w="1601" w:type="dxa"/>
            <w:vAlign w:val="center"/>
          </w:tcPr>
          <w:p w14:paraId="710D2644" w14:textId="77777777" w:rsidR="00B929B6" w:rsidRDefault="00B929B6" w:rsidP="0021426A">
            <w:pPr>
              <w:pStyle w:val="NormalIndent1"/>
              <w:spacing w:before="40" w:after="40"/>
              <w:ind w:left="0"/>
              <w:jc w:val="left"/>
            </w:pPr>
            <w:r>
              <w:t>0.00</w:t>
            </w:r>
            <w:r w:rsidR="00D05543">
              <w:t>27</w:t>
            </w:r>
            <w:r w:rsidR="00D05543">
              <w:rPr>
                <w:vertAlign w:val="superscript"/>
              </w:rPr>
              <w:t>c</w:t>
            </w:r>
          </w:p>
        </w:tc>
      </w:tr>
    </w:tbl>
    <w:p w14:paraId="3359BBD8" w14:textId="77777777" w:rsidR="00B929B6" w:rsidRPr="00D05543" w:rsidRDefault="00B929B6" w:rsidP="0021426A">
      <w:pPr>
        <w:pStyle w:val="NormalIndent1"/>
        <w:jc w:val="left"/>
        <w:rPr>
          <w:sz w:val="20"/>
          <w:szCs w:val="20"/>
        </w:rPr>
      </w:pPr>
    </w:p>
    <w:p w14:paraId="148817CD" w14:textId="77777777" w:rsidR="00D05543" w:rsidRDefault="00D05543" w:rsidP="0021426A">
      <w:pPr>
        <w:pStyle w:val="NormalIndent1"/>
        <w:jc w:val="left"/>
        <w:rPr>
          <w:sz w:val="20"/>
          <w:szCs w:val="20"/>
          <w:lang w:val="en-US"/>
        </w:rPr>
      </w:pPr>
      <w:r w:rsidRPr="00D05543">
        <w:rPr>
          <w:sz w:val="20"/>
          <w:szCs w:val="20"/>
          <w:lang w:val="en-US"/>
        </w:rPr>
        <w:t xml:space="preserve">Abbreviations: </w:t>
      </w:r>
      <w:r>
        <w:rPr>
          <w:sz w:val="20"/>
          <w:szCs w:val="20"/>
          <w:lang w:val="en-US"/>
        </w:rPr>
        <w:t xml:space="preserve"> </w:t>
      </w:r>
      <w:r w:rsidRPr="00D05543">
        <w:rPr>
          <w:sz w:val="20"/>
          <w:szCs w:val="20"/>
          <w:lang w:val="en-US"/>
        </w:rPr>
        <w:t xml:space="preserve">JSN = Joint Space Narrowing; SE = Standard Error; TSS = Total Sharp Score. </w:t>
      </w:r>
    </w:p>
    <w:p w14:paraId="4405CE24" w14:textId="7B879206" w:rsidR="00D05543" w:rsidRPr="00D05543" w:rsidRDefault="00D05543" w:rsidP="0021426A">
      <w:pPr>
        <w:pStyle w:val="NormalIndent1"/>
        <w:ind w:left="851" w:hanging="426"/>
        <w:jc w:val="left"/>
        <w:rPr>
          <w:sz w:val="20"/>
          <w:szCs w:val="20"/>
          <w:lang w:val="en-US"/>
        </w:rPr>
      </w:pPr>
      <w:r w:rsidRPr="00D05543">
        <w:rPr>
          <w:szCs w:val="20"/>
          <w:vertAlign w:val="superscript"/>
          <w:lang w:val="en-US"/>
        </w:rPr>
        <w:t>a</w:t>
      </w:r>
      <w:r>
        <w:rPr>
          <w:sz w:val="20"/>
          <w:szCs w:val="20"/>
          <w:lang w:val="en-US"/>
        </w:rPr>
        <w:tab/>
      </w:r>
      <w:r w:rsidRPr="00D05543">
        <w:rPr>
          <w:sz w:val="20"/>
          <w:szCs w:val="20"/>
          <w:lang w:val="en-US"/>
        </w:rPr>
        <w:t>Number of randomi</w:t>
      </w:r>
      <w:r w:rsidR="00B20D25">
        <w:rPr>
          <w:sz w:val="20"/>
          <w:szCs w:val="20"/>
          <w:lang w:val="en-US"/>
        </w:rPr>
        <w:t>s</w:t>
      </w:r>
      <w:r w:rsidRPr="00D05543">
        <w:rPr>
          <w:sz w:val="20"/>
          <w:szCs w:val="20"/>
          <w:lang w:val="en-US"/>
        </w:rPr>
        <w:t>ed and treatment subjects.</w:t>
      </w:r>
    </w:p>
    <w:p w14:paraId="2DC21D89" w14:textId="77777777" w:rsidR="00D05543" w:rsidRPr="00D05543" w:rsidRDefault="00D05543" w:rsidP="0021426A">
      <w:pPr>
        <w:pStyle w:val="NormalIndent1"/>
        <w:ind w:left="851" w:hanging="426"/>
        <w:jc w:val="left"/>
        <w:rPr>
          <w:sz w:val="20"/>
          <w:szCs w:val="20"/>
          <w:lang w:val="en-US"/>
        </w:rPr>
      </w:pPr>
      <w:r w:rsidRPr="00D05543">
        <w:rPr>
          <w:szCs w:val="20"/>
          <w:vertAlign w:val="superscript"/>
          <w:lang w:val="en-US"/>
        </w:rPr>
        <w:t>b</w:t>
      </w:r>
      <w:r>
        <w:rPr>
          <w:sz w:val="20"/>
          <w:szCs w:val="20"/>
          <w:lang w:val="en-US"/>
        </w:rPr>
        <w:tab/>
      </w:r>
      <w:r w:rsidRPr="00D05543">
        <w:rPr>
          <w:sz w:val="20"/>
          <w:szCs w:val="20"/>
          <w:lang w:val="en-US"/>
        </w:rPr>
        <w:t xml:space="preserve">p-Values were determined using the van </w:t>
      </w:r>
      <w:proofErr w:type="spellStart"/>
      <w:r w:rsidRPr="00D05543">
        <w:rPr>
          <w:sz w:val="20"/>
          <w:szCs w:val="20"/>
          <w:lang w:val="en-US"/>
        </w:rPr>
        <w:t>Elteren</w:t>
      </w:r>
      <w:proofErr w:type="spellEnd"/>
      <w:r w:rsidRPr="00D05543">
        <w:rPr>
          <w:sz w:val="20"/>
          <w:szCs w:val="20"/>
          <w:lang w:val="en-US"/>
        </w:rPr>
        <w:t xml:space="preserve"> test with stratification for methotrexate use and reader pair</w:t>
      </w:r>
      <w:r>
        <w:rPr>
          <w:sz w:val="20"/>
          <w:szCs w:val="20"/>
          <w:lang w:val="en-US"/>
        </w:rPr>
        <w:t xml:space="preserve"> </w:t>
      </w:r>
      <w:r w:rsidRPr="00D05543">
        <w:rPr>
          <w:sz w:val="20"/>
          <w:szCs w:val="20"/>
          <w:lang w:val="en-US"/>
        </w:rPr>
        <w:t>(in the case of TSS, p was significant in the methotrexate and no methotrexate strata).</w:t>
      </w:r>
    </w:p>
    <w:p w14:paraId="0AF3DE2D" w14:textId="77777777" w:rsidR="00D05543" w:rsidRPr="00D05543" w:rsidRDefault="00D05543" w:rsidP="0021426A">
      <w:pPr>
        <w:pStyle w:val="NormalIndent1"/>
        <w:ind w:left="851" w:hanging="426"/>
        <w:jc w:val="left"/>
        <w:rPr>
          <w:sz w:val="20"/>
          <w:szCs w:val="20"/>
          <w:lang w:val="en-US"/>
        </w:rPr>
      </w:pPr>
      <w:r w:rsidRPr="00D05543">
        <w:rPr>
          <w:szCs w:val="20"/>
          <w:vertAlign w:val="superscript"/>
          <w:lang w:val="en-US"/>
        </w:rPr>
        <w:t>c</w:t>
      </w:r>
      <w:r>
        <w:rPr>
          <w:sz w:val="20"/>
          <w:szCs w:val="20"/>
          <w:lang w:val="en-US"/>
        </w:rPr>
        <w:tab/>
      </w:r>
      <w:r w:rsidRPr="00D05543">
        <w:rPr>
          <w:sz w:val="20"/>
          <w:szCs w:val="20"/>
          <w:lang w:val="en-US"/>
        </w:rPr>
        <w:t>p-Value was determined using the Cochran-Mantel-Haenszel test with stratification for methotrexate use and reader pair.</w:t>
      </w:r>
    </w:p>
    <w:p w14:paraId="489F09D0" w14:textId="1AF9FABA" w:rsidR="00B929B6" w:rsidRPr="00D05543" w:rsidRDefault="00D05543" w:rsidP="0021426A">
      <w:pPr>
        <w:pStyle w:val="NormalIndent1"/>
        <w:ind w:left="851" w:hanging="426"/>
        <w:jc w:val="left"/>
        <w:rPr>
          <w:sz w:val="20"/>
          <w:szCs w:val="20"/>
          <w:lang w:val="en-US"/>
        </w:rPr>
      </w:pPr>
      <w:r w:rsidRPr="00D05543">
        <w:rPr>
          <w:szCs w:val="20"/>
          <w:vertAlign w:val="superscript"/>
          <w:lang w:val="en-US"/>
        </w:rPr>
        <w:t>d</w:t>
      </w:r>
      <w:r>
        <w:rPr>
          <w:sz w:val="20"/>
          <w:szCs w:val="20"/>
          <w:lang w:val="en-US"/>
        </w:rPr>
        <w:tab/>
      </w:r>
      <w:r w:rsidRPr="00D05543">
        <w:rPr>
          <w:sz w:val="20"/>
          <w:szCs w:val="20"/>
          <w:lang w:val="en-US"/>
        </w:rPr>
        <w:t xml:space="preserve">The high placebo effect was attributed to the taking of </w:t>
      </w:r>
      <w:r w:rsidR="00C36EA6">
        <w:rPr>
          <w:sz w:val="20"/>
          <w:szCs w:val="20"/>
          <w:lang w:val="en-US"/>
        </w:rPr>
        <w:t>etanercept</w:t>
      </w:r>
      <w:r w:rsidRPr="00D05543">
        <w:rPr>
          <w:sz w:val="20"/>
          <w:szCs w:val="20"/>
          <w:lang w:val="en-US"/>
        </w:rPr>
        <w:t xml:space="preserve"> by some patients in the overlap period following 6 months on placebo in the double-blind period</w:t>
      </w:r>
      <w:r>
        <w:rPr>
          <w:sz w:val="20"/>
          <w:szCs w:val="20"/>
          <w:lang w:val="en-US"/>
        </w:rPr>
        <w:t>.</w:t>
      </w:r>
    </w:p>
    <w:p w14:paraId="2752AEFD" w14:textId="77777777" w:rsidR="00D05543" w:rsidRPr="00D05543" w:rsidRDefault="00D05543" w:rsidP="0021426A">
      <w:pPr>
        <w:pStyle w:val="NormalIndent1"/>
        <w:jc w:val="left"/>
        <w:rPr>
          <w:lang w:val="en-US"/>
        </w:rPr>
      </w:pPr>
      <w:r w:rsidRPr="00D05543">
        <w:rPr>
          <w:lang w:val="en-US"/>
        </w:rPr>
        <w:t>The modified TSS at 6, 12 and 24 months are presented in the following table for those patients who entered year 2 and provided radiographs during the second year of the study.</w:t>
      </w:r>
    </w:p>
    <w:p w14:paraId="2A0FF4CE" w14:textId="77777777" w:rsidR="00D05543" w:rsidRDefault="00D05543" w:rsidP="0021426A">
      <w:pPr>
        <w:pStyle w:val="NormalIndent1"/>
        <w:jc w:val="left"/>
      </w:pPr>
    </w:p>
    <w:p w14:paraId="412F54F5" w14:textId="77777777" w:rsidR="00D05543" w:rsidRPr="00D05543" w:rsidRDefault="0030673C" w:rsidP="0021426A">
      <w:pPr>
        <w:pStyle w:val="NormalIndent1"/>
        <w:jc w:val="left"/>
        <w:rPr>
          <w:b/>
        </w:rPr>
      </w:pPr>
      <w:r>
        <w:rPr>
          <w:b/>
        </w:rPr>
        <w:t xml:space="preserve">Table 11: </w:t>
      </w:r>
      <w:r w:rsidR="00D05543">
        <w:rPr>
          <w:b/>
        </w:rPr>
        <w:t>Radiographic Progression (Mean + Standard Error Change) Annualised Change from Baseline in Total Sharp Score, Erosion and Joint Space Narrowing Scores Over time, Month 6 to Year 2</w:t>
      </w:r>
      <w:r w:rsidR="00D05543" w:rsidRPr="00D05543">
        <w:rPr>
          <w:b/>
          <w:vertAlign w:val="superscript"/>
        </w:rPr>
        <w:t>a</w:t>
      </w:r>
    </w:p>
    <w:p w14:paraId="4FDB17D7" w14:textId="77777777" w:rsidR="00D05543" w:rsidRDefault="00D05543" w:rsidP="0021426A">
      <w:pPr>
        <w:pStyle w:val="NormalIndent1"/>
        <w:jc w:val="left"/>
        <w:rPr>
          <w:lang w:val="en-US"/>
        </w:rPr>
      </w:pPr>
    </w:p>
    <w:tbl>
      <w:tblPr>
        <w:tblStyle w:val="TableGrid"/>
        <w:tblW w:w="0" w:type="auto"/>
        <w:tblInd w:w="425" w:type="dxa"/>
        <w:tblLook w:val="04A0" w:firstRow="1" w:lastRow="0" w:firstColumn="1" w:lastColumn="0" w:noHBand="0" w:noVBand="1"/>
      </w:tblPr>
      <w:tblGrid>
        <w:gridCol w:w="3060"/>
        <w:gridCol w:w="3063"/>
        <w:gridCol w:w="3060"/>
      </w:tblGrid>
      <w:tr w:rsidR="00D05543" w14:paraId="289D9785" w14:textId="77777777" w:rsidTr="00B37960">
        <w:trPr>
          <w:tblHeader/>
        </w:trPr>
        <w:tc>
          <w:tcPr>
            <w:tcW w:w="3060" w:type="dxa"/>
            <w:tcBorders>
              <w:top w:val="single" w:sz="12" w:space="0" w:color="auto"/>
              <w:left w:val="single" w:sz="12" w:space="0" w:color="auto"/>
              <w:bottom w:val="single" w:sz="12" w:space="0" w:color="auto"/>
              <w:right w:val="single" w:sz="12" w:space="0" w:color="auto"/>
            </w:tcBorders>
            <w:vAlign w:val="center"/>
          </w:tcPr>
          <w:p w14:paraId="232E6EF8" w14:textId="77777777" w:rsidR="00D05543" w:rsidRPr="004364BD" w:rsidRDefault="00D05543" w:rsidP="0021426A">
            <w:pPr>
              <w:pStyle w:val="NormalIndent1"/>
              <w:ind w:left="456" w:hanging="456"/>
              <w:jc w:val="left"/>
              <w:rPr>
                <w:b/>
                <w:lang w:val="en-US"/>
              </w:rPr>
            </w:pPr>
          </w:p>
        </w:tc>
        <w:tc>
          <w:tcPr>
            <w:tcW w:w="3063" w:type="dxa"/>
            <w:tcBorders>
              <w:top w:val="single" w:sz="12" w:space="0" w:color="auto"/>
              <w:left w:val="single" w:sz="12" w:space="0" w:color="auto"/>
              <w:bottom w:val="single" w:sz="12" w:space="0" w:color="auto"/>
              <w:right w:val="single" w:sz="12" w:space="0" w:color="auto"/>
            </w:tcBorders>
            <w:vAlign w:val="center"/>
          </w:tcPr>
          <w:p w14:paraId="4763EE18" w14:textId="03145F81" w:rsidR="00D05543" w:rsidRDefault="00D05543" w:rsidP="0021426A">
            <w:pPr>
              <w:pStyle w:val="NormalIndent1"/>
              <w:ind w:left="0"/>
              <w:jc w:val="left"/>
              <w:rPr>
                <w:b/>
                <w:lang w:val="en-US"/>
              </w:rPr>
            </w:pPr>
            <w:r>
              <w:rPr>
                <w:b/>
                <w:lang w:val="en-US"/>
              </w:rPr>
              <w:t>Placebo/</w:t>
            </w:r>
            <w:r w:rsidR="00C36EA6">
              <w:rPr>
                <w:b/>
                <w:lang w:val="en-US"/>
              </w:rPr>
              <w:t>Etanercept</w:t>
            </w:r>
          </w:p>
          <w:p w14:paraId="5FB1EBEE" w14:textId="77777777" w:rsidR="00D05543" w:rsidRPr="004364BD" w:rsidRDefault="00D05543" w:rsidP="0021426A">
            <w:pPr>
              <w:pStyle w:val="NormalIndent1"/>
              <w:ind w:left="0"/>
              <w:jc w:val="left"/>
              <w:rPr>
                <w:b/>
                <w:lang w:val="en-US"/>
              </w:rPr>
            </w:pPr>
            <w:r>
              <w:rPr>
                <w:b/>
                <w:lang w:val="en-US"/>
              </w:rPr>
              <w:t>(n = 70)</w:t>
            </w:r>
            <w:r w:rsidRPr="00D05543">
              <w:rPr>
                <w:b/>
                <w:vertAlign w:val="superscript"/>
                <w:lang w:val="en-US"/>
              </w:rPr>
              <w:t>b</w:t>
            </w:r>
          </w:p>
        </w:tc>
        <w:tc>
          <w:tcPr>
            <w:tcW w:w="3060" w:type="dxa"/>
            <w:tcBorders>
              <w:top w:val="single" w:sz="12" w:space="0" w:color="auto"/>
              <w:left w:val="single" w:sz="12" w:space="0" w:color="auto"/>
              <w:bottom w:val="single" w:sz="12" w:space="0" w:color="auto"/>
              <w:right w:val="single" w:sz="12" w:space="0" w:color="auto"/>
            </w:tcBorders>
            <w:vAlign w:val="center"/>
          </w:tcPr>
          <w:p w14:paraId="47B4E1CD" w14:textId="3FA0989A" w:rsidR="00D05543" w:rsidRDefault="00C36EA6" w:rsidP="0021426A">
            <w:pPr>
              <w:pStyle w:val="NormalIndent1"/>
              <w:ind w:left="0"/>
              <w:jc w:val="left"/>
              <w:rPr>
                <w:b/>
                <w:lang w:val="en-US"/>
              </w:rPr>
            </w:pPr>
            <w:r>
              <w:rPr>
                <w:b/>
                <w:lang w:val="en-US"/>
              </w:rPr>
              <w:t>Etanercept</w:t>
            </w:r>
          </w:p>
          <w:p w14:paraId="0147553C" w14:textId="77777777" w:rsidR="00D05543" w:rsidRPr="004364BD" w:rsidRDefault="00D05543" w:rsidP="0021426A">
            <w:pPr>
              <w:pStyle w:val="NormalIndent1"/>
              <w:ind w:left="0"/>
              <w:jc w:val="left"/>
              <w:rPr>
                <w:b/>
                <w:lang w:val="en-US"/>
              </w:rPr>
            </w:pPr>
            <w:r>
              <w:rPr>
                <w:b/>
                <w:lang w:val="en-US"/>
              </w:rPr>
              <w:t>(n = 71)</w:t>
            </w:r>
            <w:r w:rsidRPr="00D05543">
              <w:rPr>
                <w:b/>
                <w:vertAlign w:val="superscript"/>
                <w:lang w:val="en-US"/>
              </w:rPr>
              <w:t>b</w:t>
            </w:r>
          </w:p>
        </w:tc>
      </w:tr>
      <w:tr w:rsidR="00D05543" w14:paraId="09175251" w14:textId="77777777" w:rsidTr="00D05543">
        <w:tc>
          <w:tcPr>
            <w:tcW w:w="3060" w:type="dxa"/>
            <w:tcBorders>
              <w:top w:val="single" w:sz="12" w:space="0" w:color="auto"/>
            </w:tcBorders>
          </w:tcPr>
          <w:p w14:paraId="40CA900D" w14:textId="77777777" w:rsidR="00D05543" w:rsidRDefault="00D05543" w:rsidP="0021426A">
            <w:pPr>
              <w:pStyle w:val="NormalIndent1"/>
              <w:spacing w:before="40" w:after="40"/>
              <w:ind w:left="0"/>
              <w:jc w:val="left"/>
              <w:rPr>
                <w:lang w:val="en-US"/>
              </w:rPr>
            </w:pPr>
            <w:r>
              <w:rPr>
                <w:lang w:val="en-US"/>
              </w:rPr>
              <w:t>Mean (SE) Change in TSS</w:t>
            </w:r>
          </w:p>
          <w:p w14:paraId="360513AF" w14:textId="77777777" w:rsidR="00D05543" w:rsidRDefault="00D05543" w:rsidP="0021426A">
            <w:pPr>
              <w:pStyle w:val="NormalIndent1"/>
              <w:spacing w:before="40" w:after="40"/>
              <w:ind w:left="456" w:hanging="456"/>
              <w:jc w:val="left"/>
              <w:rPr>
                <w:lang w:val="en-US"/>
              </w:rPr>
            </w:pPr>
            <w:r>
              <w:rPr>
                <w:lang w:val="en-US"/>
              </w:rPr>
              <w:tab/>
              <w:t>6 months</w:t>
            </w:r>
          </w:p>
          <w:p w14:paraId="7BD0F158" w14:textId="77777777" w:rsidR="00D05543" w:rsidRDefault="00D05543" w:rsidP="0021426A">
            <w:pPr>
              <w:pStyle w:val="NormalIndent1"/>
              <w:spacing w:before="40" w:after="40"/>
              <w:ind w:left="456" w:hanging="456"/>
              <w:jc w:val="left"/>
              <w:rPr>
                <w:lang w:val="en-US"/>
              </w:rPr>
            </w:pPr>
            <w:r>
              <w:rPr>
                <w:lang w:val="en-US"/>
              </w:rPr>
              <w:tab/>
              <w:t>1 year</w:t>
            </w:r>
          </w:p>
          <w:p w14:paraId="19C7B5D5" w14:textId="77777777" w:rsidR="00D05543" w:rsidRDefault="00D05543" w:rsidP="0021426A">
            <w:pPr>
              <w:pStyle w:val="NormalIndent1"/>
              <w:spacing w:before="40" w:after="40"/>
              <w:ind w:left="456" w:hanging="456"/>
              <w:jc w:val="left"/>
              <w:rPr>
                <w:lang w:val="en-US"/>
              </w:rPr>
            </w:pPr>
            <w:r>
              <w:rPr>
                <w:lang w:val="en-US"/>
              </w:rPr>
              <w:tab/>
              <w:t>2 years</w:t>
            </w:r>
          </w:p>
        </w:tc>
        <w:tc>
          <w:tcPr>
            <w:tcW w:w="3063" w:type="dxa"/>
            <w:tcBorders>
              <w:top w:val="single" w:sz="12" w:space="0" w:color="auto"/>
            </w:tcBorders>
          </w:tcPr>
          <w:p w14:paraId="1D975F68" w14:textId="77777777" w:rsidR="00D05543" w:rsidRDefault="00D05543" w:rsidP="0021426A">
            <w:pPr>
              <w:pStyle w:val="NormalIndent1"/>
              <w:spacing w:before="40" w:after="40"/>
              <w:ind w:left="0"/>
              <w:jc w:val="left"/>
              <w:rPr>
                <w:lang w:val="en-US"/>
              </w:rPr>
            </w:pPr>
          </w:p>
          <w:p w14:paraId="5333E701" w14:textId="77777777" w:rsidR="00D05543" w:rsidRDefault="00D05543" w:rsidP="0021426A">
            <w:pPr>
              <w:pStyle w:val="NormalIndent1"/>
              <w:spacing w:before="40" w:after="40"/>
              <w:ind w:left="0"/>
              <w:jc w:val="left"/>
              <w:rPr>
                <w:lang w:val="en-US"/>
              </w:rPr>
            </w:pPr>
            <w:r>
              <w:rPr>
                <w:lang w:val="en-US"/>
              </w:rPr>
              <w:t>0.39 (0.13)</w:t>
            </w:r>
          </w:p>
          <w:p w14:paraId="0932037C" w14:textId="77777777" w:rsidR="00D05543" w:rsidRDefault="00D05543" w:rsidP="0021426A">
            <w:pPr>
              <w:pStyle w:val="NormalIndent1"/>
              <w:spacing w:before="40" w:after="40"/>
              <w:ind w:left="0"/>
              <w:jc w:val="left"/>
              <w:rPr>
                <w:lang w:val="en-US"/>
              </w:rPr>
            </w:pPr>
            <w:r>
              <w:rPr>
                <w:lang w:val="en-US"/>
              </w:rPr>
              <w:t>0.72 (0.27)</w:t>
            </w:r>
          </w:p>
          <w:p w14:paraId="5EBC51A9" w14:textId="77777777" w:rsidR="00D05543" w:rsidRDefault="00D05543" w:rsidP="0021426A">
            <w:pPr>
              <w:pStyle w:val="NormalIndent1"/>
              <w:spacing w:before="40" w:after="40"/>
              <w:ind w:left="0"/>
              <w:jc w:val="left"/>
              <w:rPr>
                <w:lang w:val="en-US"/>
              </w:rPr>
            </w:pPr>
            <w:r>
              <w:rPr>
                <w:lang w:val="en-US"/>
              </w:rPr>
              <w:t>0.50 (0.24)</w:t>
            </w:r>
          </w:p>
        </w:tc>
        <w:tc>
          <w:tcPr>
            <w:tcW w:w="3060" w:type="dxa"/>
            <w:tcBorders>
              <w:top w:val="single" w:sz="12" w:space="0" w:color="auto"/>
            </w:tcBorders>
          </w:tcPr>
          <w:p w14:paraId="7995A146" w14:textId="77777777" w:rsidR="00D05543" w:rsidRDefault="00D05543" w:rsidP="0021426A">
            <w:pPr>
              <w:pStyle w:val="NormalIndent1"/>
              <w:spacing w:before="40" w:after="40"/>
              <w:ind w:left="0"/>
              <w:jc w:val="left"/>
              <w:rPr>
                <w:lang w:val="en-US"/>
              </w:rPr>
            </w:pPr>
          </w:p>
          <w:p w14:paraId="7C58F54F" w14:textId="77777777" w:rsidR="00D05543" w:rsidRDefault="00D05543" w:rsidP="0021426A">
            <w:pPr>
              <w:pStyle w:val="NormalIndent1"/>
              <w:spacing w:before="40" w:after="40"/>
              <w:ind w:left="0"/>
              <w:jc w:val="left"/>
              <w:rPr>
                <w:lang w:val="en-US"/>
              </w:rPr>
            </w:pPr>
            <w:r>
              <w:rPr>
                <w:lang w:val="en-US"/>
              </w:rPr>
              <w:t>-0.33 (0.10)</w:t>
            </w:r>
          </w:p>
          <w:p w14:paraId="7BC7D3B4" w14:textId="77777777" w:rsidR="00D05543" w:rsidRDefault="00D05543" w:rsidP="0021426A">
            <w:pPr>
              <w:pStyle w:val="NormalIndent1"/>
              <w:spacing w:before="40" w:after="40"/>
              <w:ind w:left="0"/>
              <w:jc w:val="left"/>
              <w:rPr>
                <w:lang w:val="en-US"/>
              </w:rPr>
            </w:pPr>
            <w:r>
              <w:rPr>
                <w:lang w:val="en-US"/>
              </w:rPr>
              <w:t>-0.28 (0.15)</w:t>
            </w:r>
          </w:p>
          <w:p w14:paraId="3C1191E8" w14:textId="77777777" w:rsidR="00D05543" w:rsidRPr="004364BD" w:rsidRDefault="00D05543" w:rsidP="0021426A">
            <w:pPr>
              <w:pStyle w:val="NormalIndent1"/>
              <w:spacing w:before="40" w:after="40"/>
              <w:ind w:left="0"/>
              <w:jc w:val="left"/>
              <w:rPr>
                <w:rFonts w:ascii="Symbol" w:eastAsia="Symbol" w:hAnsi="Symbol" w:cs="Symbol"/>
                <w:w w:val="99"/>
              </w:rPr>
            </w:pPr>
            <w:r>
              <w:rPr>
                <w:lang w:val="en-US"/>
              </w:rPr>
              <w:t>-0.38 (0.25)</w:t>
            </w:r>
          </w:p>
        </w:tc>
      </w:tr>
      <w:tr w:rsidR="00D05543" w14:paraId="7572579E" w14:textId="77777777" w:rsidTr="00D05543">
        <w:tc>
          <w:tcPr>
            <w:tcW w:w="3060" w:type="dxa"/>
          </w:tcPr>
          <w:p w14:paraId="5EBDA984" w14:textId="77777777" w:rsidR="00D05543" w:rsidRDefault="00D05543" w:rsidP="0021426A">
            <w:pPr>
              <w:pStyle w:val="NormalIndent1"/>
              <w:spacing w:before="40" w:after="40"/>
              <w:ind w:left="0"/>
              <w:jc w:val="left"/>
              <w:rPr>
                <w:lang w:val="en-US"/>
              </w:rPr>
            </w:pPr>
            <w:r>
              <w:rPr>
                <w:lang w:val="en-US"/>
              </w:rPr>
              <w:t>Mean (SE) Change in Erosions</w:t>
            </w:r>
          </w:p>
          <w:p w14:paraId="2D1D20B8" w14:textId="77777777" w:rsidR="00D05543" w:rsidRDefault="00D05543" w:rsidP="0021426A">
            <w:pPr>
              <w:pStyle w:val="NormalIndent1"/>
              <w:spacing w:before="40" w:after="40"/>
              <w:ind w:left="456" w:hanging="456"/>
              <w:jc w:val="left"/>
              <w:rPr>
                <w:lang w:val="en-US"/>
              </w:rPr>
            </w:pPr>
            <w:r>
              <w:rPr>
                <w:lang w:val="en-US"/>
              </w:rPr>
              <w:tab/>
              <w:t>6 months</w:t>
            </w:r>
          </w:p>
          <w:p w14:paraId="517CFEAC" w14:textId="77777777" w:rsidR="00D05543" w:rsidRDefault="00D05543" w:rsidP="0021426A">
            <w:pPr>
              <w:pStyle w:val="NormalIndent1"/>
              <w:spacing w:before="40" w:after="40"/>
              <w:ind w:left="456" w:hanging="456"/>
              <w:jc w:val="left"/>
              <w:rPr>
                <w:lang w:val="en-US"/>
              </w:rPr>
            </w:pPr>
            <w:r>
              <w:rPr>
                <w:lang w:val="en-US"/>
              </w:rPr>
              <w:tab/>
              <w:t>1 year</w:t>
            </w:r>
          </w:p>
          <w:p w14:paraId="4342DF6E" w14:textId="77777777" w:rsidR="00D05543" w:rsidRDefault="00D05543" w:rsidP="0021426A">
            <w:pPr>
              <w:pStyle w:val="NormalIndent1"/>
              <w:spacing w:before="40" w:after="40"/>
              <w:ind w:left="456" w:hanging="456"/>
              <w:jc w:val="left"/>
              <w:rPr>
                <w:lang w:val="en-US"/>
              </w:rPr>
            </w:pPr>
            <w:r>
              <w:rPr>
                <w:lang w:val="en-US"/>
              </w:rPr>
              <w:tab/>
              <w:t>2 years</w:t>
            </w:r>
          </w:p>
        </w:tc>
        <w:tc>
          <w:tcPr>
            <w:tcW w:w="3063" w:type="dxa"/>
          </w:tcPr>
          <w:p w14:paraId="77825BB8" w14:textId="77777777" w:rsidR="00D05543" w:rsidRDefault="00D05543" w:rsidP="0021426A">
            <w:pPr>
              <w:pStyle w:val="NormalIndent1"/>
              <w:spacing w:before="40" w:after="40"/>
              <w:ind w:left="0"/>
              <w:jc w:val="left"/>
              <w:rPr>
                <w:lang w:val="en-US"/>
              </w:rPr>
            </w:pPr>
          </w:p>
          <w:p w14:paraId="5F059D19" w14:textId="77777777" w:rsidR="00D05543" w:rsidRDefault="00D05543" w:rsidP="0021426A">
            <w:pPr>
              <w:pStyle w:val="NormalIndent1"/>
              <w:spacing w:before="40" w:after="40"/>
              <w:ind w:left="0"/>
              <w:jc w:val="left"/>
              <w:rPr>
                <w:lang w:val="en-US"/>
              </w:rPr>
            </w:pPr>
            <w:r>
              <w:rPr>
                <w:lang w:val="en-US"/>
              </w:rPr>
              <w:t>0.27(0.11)</w:t>
            </w:r>
          </w:p>
          <w:p w14:paraId="7568C0A4" w14:textId="77777777" w:rsidR="00D05543" w:rsidRDefault="00D05543" w:rsidP="0021426A">
            <w:pPr>
              <w:pStyle w:val="NormalIndent1"/>
              <w:spacing w:before="40" w:after="40"/>
              <w:ind w:left="0"/>
              <w:jc w:val="left"/>
              <w:rPr>
                <w:lang w:val="en-US"/>
              </w:rPr>
            </w:pPr>
            <w:r>
              <w:rPr>
                <w:lang w:val="en-US"/>
              </w:rPr>
              <w:t>0.48 (0.20)</w:t>
            </w:r>
          </w:p>
          <w:p w14:paraId="4EB33762" w14:textId="77777777" w:rsidR="00D05543" w:rsidRDefault="00D05543" w:rsidP="0021426A">
            <w:pPr>
              <w:pStyle w:val="NormalIndent1"/>
              <w:spacing w:before="40" w:after="40"/>
              <w:ind w:left="0"/>
              <w:jc w:val="left"/>
              <w:rPr>
                <w:lang w:val="en-US"/>
              </w:rPr>
            </w:pPr>
            <w:r>
              <w:rPr>
                <w:lang w:val="en-US"/>
              </w:rPr>
              <w:t>0.23 (0.17)</w:t>
            </w:r>
          </w:p>
        </w:tc>
        <w:tc>
          <w:tcPr>
            <w:tcW w:w="3060" w:type="dxa"/>
          </w:tcPr>
          <w:p w14:paraId="4C608258" w14:textId="77777777" w:rsidR="00D05543" w:rsidRDefault="00D05543" w:rsidP="0021426A">
            <w:pPr>
              <w:pStyle w:val="NormalIndent1"/>
              <w:spacing w:before="40" w:after="40"/>
              <w:ind w:left="0"/>
              <w:jc w:val="left"/>
              <w:rPr>
                <w:lang w:val="en-US"/>
              </w:rPr>
            </w:pPr>
          </w:p>
          <w:p w14:paraId="2D753858" w14:textId="77777777" w:rsidR="00D05543" w:rsidRDefault="00D05543" w:rsidP="0021426A">
            <w:pPr>
              <w:pStyle w:val="NormalIndent1"/>
              <w:spacing w:before="40" w:after="40"/>
              <w:ind w:left="0"/>
              <w:jc w:val="left"/>
              <w:rPr>
                <w:lang w:val="en-US"/>
              </w:rPr>
            </w:pPr>
            <w:r>
              <w:rPr>
                <w:lang w:val="en-US"/>
              </w:rPr>
              <w:t>-0.29 (0.09)</w:t>
            </w:r>
          </w:p>
          <w:p w14:paraId="04FF61A9" w14:textId="77777777" w:rsidR="00D05543" w:rsidRDefault="00D05543" w:rsidP="0021426A">
            <w:pPr>
              <w:pStyle w:val="NormalIndent1"/>
              <w:spacing w:before="40" w:after="40"/>
              <w:ind w:left="0"/>
              <w:jc w:val="left"/>
              <w:rPr>
                <w:lang w:val="en-US"/>
              </w:rPr>
            </w:pPr>
            <w:r>
              <w:rPr>
                <w:lang w:val="en-US"/>
              </w:rPr>
              <w:t>-0.31 (0.14)</w:t>
            </w:r>
          </w:p>
          <w:p w14:paraId="54525421" w14:textId="77777777" w:rsidR="00D05543" w:rsidRDefault="00D05543" w:rsidP="0021426A">
            <w:pPr>
              <w:pStyle w:val="NormalIndent1"/>
              <w:spacing w:before="40" w:after="40"/>
              <w:ind w:left="0"/>
              <w:jc w:val="left"/>
              <w:rPr>
                <w:lang w:val="en-US"/>
              </w:rPr>
            </w:pPr>
            <w:r>
              <w:rPr>
                <w:lang w:val="en-US"/>
              </w:rPr>
              <w:t>-0.40 (0.18)</w:t>
            </w:r>
          </w:p>
        </w:tc>
      </w:tr>
      <w:tr w:rsidR="00D05543" w14:paraId="22B0DB83" w14:textId="77777777" w:rsidTr="00D05543">
        <w:tc>
          <w:tcPr>
            <w:tcW w:w="3060" w:type="dxa"/>
          </w:tcPr>
          <w:p w14:paraId="3E983C3D" w14:textId="77777777" w:rsidR="00D05543" w:rsidRDefault="00D05543" w:rsidP="0021426A">
            <w:pPr>
              <w:pStyle w:val="NormalIndent1"/>
              <w:spacing w:before="40" w:after="40"/>
              <w:ind w:left="0"/>
              <w:jc w:val="left"/>
              <w:rPr>
                <w:lang w:val="en-US"/>
              </w:rPr>
            </w:pPr>
            <w:r>
              <w:rPr>
                <w:lang w:val="en-US"/>
              </w:rPr>
              <w:t>Mean (SE) Change in JSN</w:t>
            </w:r>
          </w:p>
          <w:p w14:paraId="714BC31A" w14:textId="77777777" w:rsidR="00D05543" w:rsidRDefault="00D05543" w:rsidP="0021426A">
            <w:pPr>
              <w:pStyle w:val="NormalIndent1"/>
              <w:spacing w:before="40" w:after="40"/>
              <w:ind w:left="456" w:hanging="456"/>
              <w:jc w:val="left"/>
              <w:rPr>
                <w:lang w:val="en-US"/>
              </w:rPr>
            </w:pPr>
            <w:r>
              <w:rPr>
                <w:lang w:val="en-US"/>
              </w:rPr>
              <w:tab/>
              <w:t>6 months</w:t>
            </w:r>
          </w:p>
          <w:p w14:paraId="0288BF93" w14:textId="77777777" w:rsidR="00D05543" w:rsidRDefault="00D05543" w:rsidP="0021426A">
            <w:pPr>
              <w:pStyle w:val="NormalIndent1"/>
              <w:spacing w:before="40" w:after="40"/>
              <w:ind w:left="456" w:hanging="456"/>
              <w:jc w:val="left"/>
              <w:rPr>
                <w:lang w:val="en-US"/>
              </w:rPr>
            </w:pPr>
            <w:r>
              <w:rPr>
                <w:lang w:val="en-US"/>
              </w:rPr>
              <w:tab/>
              <w:t>1 year</w:t>
            </w:r>
          </w:p>
          <w:p w14:paraId="532A1915" w14:textId="77777777" w:rsidR="00D05543" w:rsidRDefault="00D05543" w:rsidP="0021426A">
            <w:pPr>
              <w:pStyle w:val="NormalIndent1"/>
              <w:spacing w:before="40" w:after="40"/>
              <w:ind w:left="456" w:hanging="456"/>
              <w:jc w:val="left"/>
              <w:rPr>
                <w:lang w:val="en-US"/>
              </w:rPr>
            </w:pPr>
            <w:r>
              <w:rPr>
                <w:lang w:val="en-US"/>
              </w:rPr>
              <w:tab/>
              <w:t>2 years</w:t>
            </w:r>
          </w:p>
        </w:tc>
        <w:tc>
          <w:tcPr>
            <w:tcW w:w="3063" w:type="dxa"/>
          </w:tcPr>
          <w:p w14:paraId="11111AB1" w14:textId="77777777" w:rsidR="00D05543" w:rsidRDefault="00D05543" w:rsidP="0021426A">
            <w:pPr>
              <w:pStyle w:val="NormalIndent1"/>
              <w:spacing w:before="40" w:after="40"/>
              <w:ind w:left="0"/>
              <w:jc w:val="left"/>
              <w:rPr>
                <w:lang w:val="en-US"/>
              </w:rPr>
            </w:pPr>
          </w:p>
          <w:p w14:paraId="5839BD89" w14:textId="77777777" w:rsidR="00D05543" w:rsidRDefault="00D05543" w:rsidP="0021426A">
            <w:pPr>
              <w:pStyle w:val="NormalIndent1"/>
              <w:spacing w:before="40" w:after="40"/>
              <w:ind w:left="0"/>
              <w:jc w:val="left"/>
              <w:rPr>
                <w:lang w:val="en-US"/>
              </w:rPr>
            </w:pPr>
            <w:r>
              <w:rPr>
                <w:lang w:val="en-US"/>
              </w:rPr>
              <w:t>0.12(0.06)</w:t>
            </w:r>
          </w:p>
          <w:p w14:paraId="3A290451" w14:textId="77777777" w:rsidR="00D05543" w:rsidRDefault="00D05543" w:rsidP="0021426A">
            <w:pPr>
              <w:pStyle w:val="NormalIndent1"/>
              <w:spacing w:before="40" w:after="40"/>
              <w:ind w:left="0"/>
              <w:jc w:val="left"/>
              <w:rPr>
                <w:lang w:val="en-US"/>
              </w:rPr>
            </w:pPr>
            <w:r>
              <w:rPr>
                <w:lang w:val="en-US"/>
              </w:rPr>
              <w:t>0.24 (0.11)</w:t>
            </w:r>
          </w:p>
          <w:p w14:paraId="52975F35" w14:textId="77777777" w:rsidR="00D05543" w:rsidRDefault="00D05543" w:rsidP="0021426A">
            <w:pPr>
              <w:pStyle w:val="NormalIndent1"/>
              <w:spacing w:before="40" w:after="40"/>
              <w:ind w:left="0"/>
              <w:jc w:val="left"/>
              <w:rPr>
                <w:lang w:val="en-US"/>
              </w:rPr>
            </w:pPr>
            <w:r>
              <w:rPr>
                <w:lang w:val="en-US"/>
              </w:rPr>
              <w:t>0.27 (0.11)</w:t>
            </w:r>
          </w:p>
        </w:tc>
        <w:tc>
          <w:tcPr>
            <w:tcW w:w="3060" w:type="dxa"/>
          </w:tcPr>
          <w:p w14:paraId="142C4E8C" w14:textId="77777777" w:rsidR="00D05543" w:rsidRDefault="00D05543" w:rsidP="0021426A">
            <w:pPr>
              <w:pStyle w:val="NormalIndent1"/>
              <w:spacing w:before="40" w:after="40"/>
              <w:ind w:left="0"/>
              <w:jc w:val="left"/>
              <w:rPr>
                <w:lang w:val="en-US"/>
              </w:rPr>
            </w:pPr>
          </w:p>
          <w:p w14:paraId="02CDFF9E" w14:textId="77777777" w:rsidR="00D05543" w:rsidRDefault="00D05543" w:rsidP="0021426A">
            <w:pPr>
              <w:pStyle w:val="NormalIndent1"/>
              <w:spacing w:before="40" w:after="40"/>
              <w:ind w:left="0"/>
              <w:jc w:val="left"/>
              <w:rPr>
                <w:lang w:val="en-US"/>
              </w:rPr>
            </w:pPr>
            <w:r>
              <w:rPr>
                <w:lang w:val="en-US"/>
              </w:rPr>
              <w:t>-0.04 (0.05)</w:t>
            </w:r>
          </w:p>
          <w:p w14:paraId="33D41110" w14:textId="77777777" w:rsidR="00D05543" w:rsidRDefault="00D05543" w:rsidP="0021426A">
            <w:pPr>
              <w:pStyle w:val="NormalIndent1"/>
              <w:spacing w:before="40" w:after="40"/>
              <w:ind w:left="0"/>
              <w:jc w:val="left"/>
              <w:rPr>
                <w:lang w:val="en-US"/>
              </w:rPr>
            </w:pPr>
            <w:r>
              <w:rPr>
                <w:lang w:val="en-US"/>
              </w:rPr>
              <w:t>0.03 (0.07)</w:t>
            </w:r>
          </w:p>
          <w:p w14:paraId="699F6349" w14:textId="77777777" w:rsidR="00D05543" w:rsidRDefault="00D05543" w:rsidP="0021426A">
            <w:pPr>
              <w:pStyle w:val="NormalIndent1"/>
              <w:spacing w:before="40" w:after="40"/>
              <w:ind w:left="0"/>
              <w:jc w:val="left"/>
              <w:rPr>
                <w:lang w:val="en-US"/>
              </w:rPr>
            </w:pPr>
            <w:r>
              <w:rPr>
                <w:lang w:val="en-US"/>
              </w:rPr>
              <w:t>0.02 (0.11)</w:t>
            </w:r>
          </w:p>
        </w:tc>
      </w:tr>
    </w:tbl>
    <w:p w14:paraId="75E1EAF5" w14:textId="77777777" w:rsidR="00D05543" w:rsidRPr="00431920" w:rsidRDefault="00D05543" w:rsidP="0021426A">
      <w:pPr>
        <w:pStyle w:val="NormalIndent1"/>
        <w:jc w:val="left"/>
        <w:rPr>
          <w:sz w:val="20"/>
        </w:rPr>
      </w:pPr>
    </w:p>
    <w:p w14:paraId="76FFA5F2" w14:textId="77777777" w:rsidR="00431920" w:rsidRPr="00431920" w:rsidRDefault="00431920" w:rsidP="0021426A">
      <w:pPr>
        <w:pStyle w:val="NormalIndent1"/>
        <w:jc w:val="left"/>
        <w:rPr>
          <w:sz w:val="20"/>
          <w:lang w:val="en-US"/>
        </w:rPr>
      </w:pPr>
      <w:r w:rsidRPr="00431920">
        <w:rPr>
          <w:sz w:val="20"/>
          <w:lang w:val="en-US"/>
        </w:rPr>
        <w:t xml:space="preserve">Abbreviations: </w:t>
      </w:r>
      <w:r>
        <w:rPr>
          <w:sz w:val="20"/>
          <w:lang w:val="en-US"/>
        </w:rPr>
        <w:t xml:space="preserve"> </w:t>
      </w:r>
      <w:r w:rsidRPr="00431920">
        <w:rPr>
          <w:sz w:val="20"/>
          <w:lang w:val="en-US"/>
        </w:rPr>
        <w:t>JSN = Joint Space Narrowing; SE = Standard Error; TSS = Total Sharp Score.</w:t>
      </w:r>
    </w:p>
    <w:p w14:paraId="488E3950" w14:textId="3916D87D" w:rsidR="00431920" w:rsidRPr="00431920" w:rsidRDefault="00431920" w:rsidP="0021426A">
      <w:pPr>
        <w:pStyle w:val="NormalIndent1"/>
        <w:ind w:left="851" w:hanging="426"/>
        <w:jc w:val="left"/>
        <w:rPr>
          <w:sz w:val="20"/>
          <w:lang w:val="en-US"/>
        </w:rPr>
      </w:pPr>
      <w:r w:rsidRPr="00431920">
        <w:rPr>
          <w:vertAlign w:val="superscript"/>
          <w:lang w:val="en-US"/>
        </w:rPr>
        <w:t>a</w:t>
      </w:r>
      <w:r>
        <w:rPr>
          <w:sz w:val="20"/>
          <w:lang w:val="en-US"/>
        </w:rPr>
        <w:tab/>
      </w:r>
      <w:r w:rsidRPr="00431920">
        <w:rPr>
          <w:sz w:val="20"/>
          <w:lang w:val="en-US"/>
        </w:rPr>
        <w:t>Patients in this study were originally randomi</w:t>
      </w:r>
      <w:r w:rsidR="00B20D25">
        <w:rPr>
          <w:sz w:val="20"/>
          <w:lang w:val="en-US"/>
        </w:rPr>
        <w:t>s</w:t>
      </w:r>
      <w:r w:rsidRPr="00431920">
        <w:rPr>
          <w:sz w:val="20"/>
          <w:lang w:val="en-US"/>
        </w:rPr>
        <w:t xml:space="preserve">ed to </w:t>
      </w:r>
      <w:r w:rsidR="00C36EA6">
        <w:rPr>
          <w:sz w:val="20"/>
          <w:lang w:val="en-US"/>
        </w:rPr>
        <w:t>etanercept</w:t>
      </w:r>
      <w:r w:rsidRPr="00431920">
        <w:rPr>
          <w:sz w:val="20"/>
          <w:lang w:val="en-US"/>
        </w:rPr>
        <w:t xml:space="preserve"> or to placebo. </w:t>
      </w:r>
      <w:r>
        <w:rPr>
          <w:sz w:val="20"/>
          <w:lang w:val="en-US"/>
        </w:rPr>
        <w:t xml:space="preserve"> </w:t>
      </w:r>
      <w:r w:rsidRPr="00431920">
        <w:rPr>
          <w:sz w:val="20"/>
          <w:lang w:val="en-US"/>
        </w:rPr>
        <w:t>The study design included</w:t>
      </w:r>
      <w:r>
        <w:rPr>
          <w:sz w:val="20"/>
          <w:lang w:val="en-US"/>
        </w:rPr>
        <w:t xml:space="preserve"> </w:t>
      </w:r>
      <w:r w:rsidRPr="00431920">
        <w:rPr>
          <w:sz w:val="20"/>
          <w:lang w:val="en-US"/>
        </w:rPr>
        <w:t xml:space="preserve">a blinded maintenance period that continued until all patients had completed at least 6 months of treatment. </w:t>
      </w:r>
      <w:r>
        <w:rPr>
          <w:sz w:val="20"/>
          <w:lang w:val="en-US"/>
        </w:rPr>
        <w:t xml:space="preserve"> </w:t>
      </w:r>
      <w:r w:rsidRPr="00431920">
        <w:rPr>
          <w:sz w:val="20"/>
          <w:lang w:val="en-US"/>
        </w:rPr>
        <w:t xml:space="preserve">After the last patient completed 6 months of treatment, an open-label phase followed in which all patients received </w:t>
      </w:r>
      <w:r w:rsidR="00C36EA6">
        <w:rPr>
          <w:sz w:val="20"/>
          <w:lang w:val="en-US"/>
        </w:rPr>
        <w:t>etanercept</w:t>
      </w:r>
      <w:r w:rsidRPr="00431920">
        <w:rPr>
          <w:sz w:val="20"/>
          <w:lang w:val="en-US"/>
        </w:rPr>
        <w:t>.</w:t>
      </w:r>
    </w:p>
    <w:p w14:paraId="13398A68" w14:textId="3C7BF679" w:rsidR="00431920" w:rsidRPr="00431920" w:rsidRDefault="00431920" w:rsidP="0021426A">
      <w:pPr>
        <w:pStyle w:val="NormalIndent1"/>
        <w:ind w:left="851" w:hanging="426"/>
        <w:jc w:val="left"/>
        <w:rPr>
          <w:sz w:val="20"/>
        </w:rPr>
      </w:pPr>
      <w:r w:rsidRPr="00431920">
        <w:rPr>
          <w:vertAlign w:val="superscript"/>
          <w:lang w:val="en-US"/>
        </w:rPr>
        <w:t>b</w:t>
      </w:r>
      <w:r>
        <w:rPr>
          <w:sz w:val="20"/>
          <w:lang w:val="en-US"/>
        </w:rPr>
        <w:tab/>
      </w:r>
      <w:r w:rsidRPr="00431920">
        <w:rPr>
          <w:sz w:val="20"/>
          <w:lang w:val="en-US"/>
        </w:rPr>
        <w:t>Number of randomi</w:t>
      </w:r>
      <w:r w:rsidR="00B20D25">
        <w:rPr>
          <w:sz w:val="20"/>
          <w:lang w:val="en-US"/>
        </w:rPr>
        <w:t>s</w:t>
      </w:r>
      <w:r w:rsidRPr="00431920">
        <w:rPr>
          <w:sz w:val="20"/>
          <w:lang w:val="en-US"/>
        </w:rPr>
        <w:t>ed and treated subjects with radiograph at year 2 time point</w:t>
      </w:r>
      <w:r>
        <w:rPr>
          <w:sz w:val="20"/>
          <w:lang w:val="en-US"/>
        </w:rPr>
        <w:t>.</w:t>
      </w:r>
    </w:p>
    <w:p w14:paraId="217F712E" w14:textId="77777777" w:rsidR="00D05543" w:rsidRDefault="00D05543" w:rsidP="0021426A">
      <w:pPr>
        <w:pStyle w:val="NormalIndent1"/>
        <w:jc w:val="left"/>
      </w:pPr>
    </w:p>
    <w:p w14:paraId="3125AA6F" w14:textId="70144048" w:rsidR="00431920" w:rsidRPr="00431920" w:rsidRDefault="00431920" w:rsidP="0021426A">
      <w:pPr>
        <w:pStyle w:val="NormalIndent1"/>
        <w:jc w:val="left"/>
        <w:rPr>
          <w:lang w:val="en-US"/>
        </w:rPr>
      </w:pPr>
      <w:r w:rsidRPr="00431920">
        <w:rPr>
          <w:lang w:val="en-US"/>
        </w:rPr>
        <w:t xml:space="preserve">In subjects who received placebo during the controlled part of the study and </w:t>
      </w:r>
      <w:r w:rsidR="00C36EA6">
        <w:rPr>
          <w:lang w:val="en-US"/>
        </w:rPr>
        <w:t>etanercept</w:t>
      </w:r>
      <w:r w:rsidRPr="00431920">
        <w:rPr>
          <w:lang w:val="en-US"/>
        </w:rPr>
        <w:t xml:space="preserve"> in the open-label part, further radiographic progression was inhibited after subjects began receiving </w:t>
      </w:r>
      <w:r w:rsidR="00C36EA6">
        <w:rPr>
          <w:lang w:val="en-US"/>
        </w:rPr>
        <w:t>etanercept</w:t>
      </w:r>
      <w:r w:rsidRPr="00431920">
        <w:rPr>
          <w:lang w:val="en-US"/>
        </w:rPr>
        <w:t xml:space="preserve">. </w:t>
      </w:r>
      <w:r>
        <w:rPr>
          <w:lang w:val="en-US"/>
        </w:rPr>
        <w:t xml:space="preserve"> </w:t>
      </w:r>
      <w:r w:rsidR="00C36EA6">
        <w:rPr>
          <w:lang w:val="en-US"/>
        </w:rPr>
        <w:t>Etanercept</w:t>
      </w:r>
      <w:r w:rsidRPr="00431920">
        <w:rPr>
          <w:lang w:val="en-US"/>
        </w:rPr>
        <w:t xml:space="preserve"> treatment resulted in improvement in physical function during the double-blind period and this benefit was maintained during the longer-term exposure of up to 2 years.</w:t>
      </w:r>
    </w:p>
    <w:p w14:paraId="0D082B0F" w14:textId="77777777" w:rsidR="00431920" w:rsidRPr="00431920" w:rsidRDefault="00431920" w:rsidP="0021426A">
      <w:pPr>
        <w:pStyle w:val="NormalIndent1"/>
        <w:jc w:val="left"/>
        <w:rPr>
          <w:lang w:val="en-US"/>
        </w:rPr>
      </w:pPr>
    </w:p>
    <w:p w14:paraId="0D68A3E9" w14:textId="53F2FFA5" w:rsidR="00431920" w:rsidRDefault="00431920" w:rsidP="0021426A">
      <w:pPr>
        <w:pStyle w:val="NormalIndent1"/>
        <w:jc w:val="left"/>
        <w:rPr>
          <w:lang w:val="en-US"/>
        </w:rPr>
      </w:pPr>
      <w:r w:rsidRPr="00431920">
        <w:rPr>
          <w:lang w:val="en-US"/>
        </w:rPr>
        <w:t xml:space="preserve">Quality of life in psoriatic arthritis patients assessed using the Health Assessment Questionnaire (HAQ) and SF-36 instruments.  There was a statistically significant improvement in mean HAQ score from 1.1 to 0.5 on a scale of 0 to 3 for patients treated with </w:t>
      </w:r>
      <w:r w:rsidR="00C36EA6">
        <w:rPr>
          <w:lang w:val="en-US"/>
        </w:rPr>
        <w:t>etanercept</w:t>
      </w:r>
      <w:r w:rsidRPr="00431920">
        <w:rPr>
          <w:lang w:val="en-US"/>
        </w:rPr>
        <w:t>.  The SF-36 showed improvements in the physical but not the mental components of the quality of life score</w:t>
      </w:r>
      <w:r>
        <w:rPr>
          <w:lang w:val="en-US"/>
        </w:rPr>
        <w:t>.</w:t>
      </w:r>
    </w:p>
    <w:p w14:paraId="0264E3BC" w14:textId="77777777" w:rsidR="00431920" w:rsidRDefault="00431920" w:rsidP="0021426A">
      <w:pPr>
        <w:pStyle w:val="NormalIndent1"/>
        <w:jc w:val="left"/>
        <w:rPr>
          <w:lang w:val="en-US"/>
        </w:rPr>
      </w:pPr>
    </w:p>
    <w:p w14:paraId="73815EB6" w14:textId="77777777" w:rsidR="00431920" w:rsidRDefault="00431920" w:rsidP="0021426A">
      <w:pPr>
        <w:pStyle w:val="Heading4"/>
        <w:jc w:val="left"/>
        <w:rPr>
          <w:lang w:val="en-US"/>
        </w:rPr>
      </w:pPr>
      <w:r>
        <w:rPr>
          <w:lang w:val="en-US"/>
        </w:rPr>
        <w:t>Adults with Ankylosing Spondylitis</w:t>
      </w:r>
    </w:p>
    <w:p w14:paraId="451B6DE5" w14:textId="77777777" w:rsidR="00431920" w:rsidRDefault="00431920" w:rsidP="0021426A">
      <w:pPr>
        <w:pStyle w:val="NormalIndent1"/>
        <w:jc w:val="left"/>
      </w:pPr>
    </w:p>
    <w:p w14:paraId="4853CBD3" w14:textId="1B9C74BF" w:rsidR="00431920" w:rsidRPr="00EA1B35" w:rsidRDefault="00431920" w:rsidP="0021426A">
      <w:pPr>
        <w:pStyle w:val="NormalIndent1"/>
        <w:jc w:val="left"/>
      </w:pPr>
      <w:r w:rsidRPr="00EA1B35">
        <w:rPr>
          <w:lang w:val="en-US"/>
        </w:rPr>
        <w:t xml:space="preserve">The efficacy of </w:t>
      </w:r>
      <w:r w:rsidR="00C36EA6" w:rsidRPr="00EA1B35">
        <w:rPr>
          <w:lang w:val="en-US"/>
        </w:rPr>
        <w:t>etanercept</w:t>
      </w:r>
      <w:r w:rsidRPr="00EA1B35">
        <w:rPr>
          <w:lang w:val="en-US"/>
        </w:rPr>
        <w:t xml:space="preserve"> was assessed in 2 randomised, double-blind, placebo-controlled studies in 361 patients with ankylosing spondylitis.  The largest of these trials (n = 277) enrolled patients who were between 18 and 70 years of age and had active ankylosing spondylitis as defined by the modified New York Criteria for Ankylosing Spondylitis.  Patients were to have evidence of active disease based on visual analog scale (VAS) scores of </w:t>
      </w:r>
      <w:r w:rsidRPr="00EA1B35">
        <w:rPr>
          <w:rFonts w:cstheme="minorHAnsi"/>
          <w:lang w:val="en-US"/>
        </w:rPr>
        <w:t>≥</w:t>
      </w:r>
      <w:r w:rsidRPr="00EA1B35">
        <w:rPr>
          <w:lang w:val="en-US"/>
        </w:rPr>
        <w:t xml:space="preserve"> 30 for average of duration and intensity of morning stiffness plus VAS scores of </w:t>
      </w:r>
      <w:r w:rsidRPr="00EA1B35">
        <w:rPr>
          <w:rFonts w:cstheme="minorHAnsi"/>
          <w:lang w:val="en-US"/>
        </w:rPr>
        <w:t>≥</w:t>
      </w:r>
      <w:r w:rsidRPr="00EA1B35">
        <w:rPr>
          <w:lang w:val="en-US"/>
        </w:rPr>
        <w:t xml:space="preserve"> 30 for at least 2 of the following 3 parameters:  patient global assessment; average of VAS values for nocturnal back pain and total back pain; average of 10 questions on the Bath Ankylosing Spondylitis Functional Index (BASFI).  The duration of this study was up to 24 weeks and patients had a mean diagnosis of AS for 10 years.  </w:t>
      </w:r>
      <w:r w:rsidRPr="000C0B82">
        <w:t>Patients with complete ankylosis of the spine were excluded from study participation.  Patients taking hydroxychloroquine, sulfasalazine, methotrexate or prednisolone (</w:t>
      </w:r>
      <w:r w:rsidRPr="000C0B82">
        <w:rPr>
          <w:rFonts w:cstheme="minorHAnsi"/>
        </w:rPr>
        <w:t>≤</w:t>
      </w:r>
      <w:r w:rsidR="00B20D25" w:rsidRPr="000C0B82">
        <w:rPr>
          <w:rFonts w:cstheme="minorHAnsi"/>
        </w:rPr>
        <w:t xml:space="preserve"> </w:t>
      </w:r>
      <w:r w:rsidRPr="000C0B82">
        <w:t xml:space="preserve">10 mg/day) or equivalent, could continue these drugs at stable doses for the duration of the study.  Doses of 25 mg of </w:t>
      </w:r>
      <w:r w:rsidR="00C36EA6" w:rsidRPr="000C0B82">
        <w:t>etanercept</w:t>
      </w:r>
      <w:r w:rsidRPr="000C0B82">
        <w:t xml:space="preserve"> (based on dose-finding studies in patients with rheumatoid arthritis) or placebo were administered subcutaneously twice a week for 6 months.</w:t>
      </w:r>
    </w:p>
    <w:p w14:paraId="51BF2B21" w14:textId="77777777" w:rsidR="00431920" w:rsidRPr="00EA1B35" w:rsidRDefault="00431920" w:rsidP="0021426A">
      <w:pPr>
        <w:pStyle w:val="NormalIndent1"/>
        <w:jc w:val="left"/>
        <w:rPr>
          <w:lang w:val="en-US"/>
        </w:rPr>
      </w:pPr>
    </w:p>
    <w:p w14:paraId="2DE663C9" w14:textId="5C378266" w:rsidR="00431920" w:rsidRPr="00EA1B35" w:rsidRDefault="00431920" w:rsidP="0021426A">
      <w:pPr>
        <w:pStyle w:val="NormalIndent1"/>
        <w:jc w:val="left"/>
      </w:pPr>
      <w:r w:rsidRPr="00EA1B35">
        <w:rPr>
          <w:lang w:val="en-US"/>
        </w:rPr>
        <w:t xml:space="preserve">The primary measure of efficacy was a 20% improvement in the Assessment in Ankylosing Spondylitis (ASAS 20) response criteria.  Compared to placebo, treatment with </w:t>
      </w:r>
      <w:r w:rsidR="00C36EA6" w:rsidRPr="00EA1B35">
        <w:rPr>
          <w:lang w:val="en-US"/>
        </w:rPr>
        <w:t>etanercept</w:t>
      </w:r>
      <w:r w:rsidRPr="00EA1B35">
        <w:rPr>
          <w:lang w:val="en-US"/>
        </w:rPr>
        <w:t xml:space="preserve"> resulted in significant improvements in clinical response as early as 2 weeks after the initiation of therapy (see figure below).</w:t>
      </w:r>
    </w:p>
    <w:p w14:paraId="7A8EE4D7" w14:textId="77777777" w:rsidR="00431920" w:rsidRPr="00EA1B35" w:rsidRDefault="00431920" w:rsidP="0021426A">
      <w:pPr>
        <w:pStyle w:val="NormalIndent1"/>
        <w:jc w:val="left"/>
        <w:rPr>
          <w:lang w:val="en-US"/>
        </w:rPr>
      </w:pPr>
    </w:p>
    <w:p w14:paraId="5C14B5A9" w14:textId="77777777" w:rsidR="00431920" w:rsidRPr="00431920" w:rsidRDefault="0030673C" w:rsidP="0021426A">
      <w:pPr>
        <w:pStyle w:val="NormalIndent1"/>
        <w:keepNext/>
        <w:keepLines/>
        <w:jc w:val="left"/>
        <w:rPr>
          <w:b/>
        </w:rPr>
      </w:pPr>
      <w:r>
        <w:rPr>
          <w:b/>
        </w:rPr>
        <w:t xml:space="preserve">Figure 3: </w:t>
      </w:r>
      <w:r w:rsidR="00431920" w:rsidRPr="00431920">
        <w:rPr>
          <w:b/>
        </w:rPr>
        <w:t>ASAS 20 Response in Patients with Ankylosing Spondylitis in a Placebo-Controlled Trial</w:t>
      </w:r>
    </w:p>
    <w:p w14:paraId="218A09A9" w14:textId="77777777" w:rsidR="00431920" w:rsidRPr="00431920" w:rsidRDefault="00431920" w:rsidP="0021426A">
      <w:pPr>
        <w:pStyle w:val="NormalIndent1"/>
        <w:keepNext/>
        <w:keepLines/>
        <w:jc w:val="left"/>
        <w:rPr>
          <w:lang w:val="en-US"/>
        </w:rPr>
      </w:pPr>
    </w:p>
    <w:p w14:paraId="47A15623" w14:textId="77777777" w:rsidR="00431920" w:rsidRDefault="00431920" w:rsidP="0021426A">
      <w:pPr>
        <w:pStyle w:val="NormalIndent1"/>
        <w:keepNext/>
        <w:keepLines/>
        <w:jc w:val="left"/>
      </w:pPr>
      <w:r>
        <w:rPr>
          <w:noProof/>
          <w:lang w:eastAsia="en-AU"/>
        </w:rPr>
        <w:drawing>
          <wp:inline distT="0" distB="0" distL="0" distR="0" wp14:anchorId="533EB67C" wp14:editId="27EBA70A">
            <wp:extent cx="4184414" cy="2876204"/>
            <wp:effectExtent l="0" t="0" r="6985" b="63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188500" cy="2879012"/>
                    </a:xfrm>
                    <a:prstGeom prst="rect">
                      <a:avLst/>
                    </a:prstGeom>
                    <a:ln>
                      <a:noFill/>
                    </a:ln>
                    <a:extLst>
                      <a:ext uri="{53640926-AAD7-44D8-BBD7-CCE9431645EC}">
                        <a14:shadowObscured xmlns:a14="http://schemas.microsoft.com/office/drawing/2010/main"/>
                      </a:ext>
                    </a:extLst>
                  </pic:spPr>
                </pic:pic>
              </a:graphicData>
            </a:graphic>
          </wp:inline>
        </w:drawing>
      </w:r>
    </w:p>
    <w:p w14:paraId="137249F8" w14:textId="77777777" w:rsidR="00431920" w:rsidRDefault="00431920" w:rsidP="0021426A">
      <w:pPr>
        <w:pStyle w:val="NormalIndent1"/>
        <w:keepNext/>
        <w:keepLines/>
        <w:jc w:val="left"/>
      </w:pPr>
    </w:p>
    <w:p w14:paraId="228C6CFD" w14:textId="58927A0A" w:rsidR="00431920" w:rsidRDefault="00431920" w:rsidP="0021426A">
      <w:pPr>
        <w:pStyle w:val="NormalIndent1"/>
        <w:keepNext/>
        <w:keepLines/>
        <w:jc w:val="left"/>
      </w:pPr>
      <w:r>
        <w:rPr>
          <w:sz w:val="20"/>
          <w:szCs w:val="20"/>
        </w:rPr>
        <w:t>*</w:t>
      </w:r>
      <w:r w:rsidR="00C36EA6">
        <w:rPr>
          <w:sz w:val="20"/>
          <w:szCs w:val="20"/>
        </w:rPr>
        <w:t xml:space="preserve">  </w:t>
      </w:r>
      <w:r>
        <w:rPr>
          <w:sz w:val="20"/>
          <w:szCs w:val="20"/>
        </w:rPr>
        <w:t xml:space="preserve">p &lt; 0.001 for </w:t>
      </w:r>
      <w:r w:rsidR="00C36EA6">
        <w:rPr>
          <w:sz w:val="20"/>
          <w:szCs w:val="20"/>
        </w:rPr>
        <w:t>etanercept</w:t>
      </w:r>
      <w:r>
        <w:rPr>
          <w:sz w:val="20"/>
          <w:szCs w:val="20"/>
        </w:rPr>
        <w:t xml:space="preserve"> vs. placebo.</w:t>
      </w:r>
    </w:p>
    <w:p w14:paraId="003DDABD" w14:textId="77777777" w:rsidR="00431920" w:rsidRDefault="00431920" w:rsidP="0021426A">
      <w:pPr>
        <w:pStyle w:val="NormalIndent1"/>
        <w:keepNext/>
        <w:keepLines/>
        <w:jc w:val="left"/>
      </w:pPr>
    </w:p>
    <w:p w14:paraId="5FFD3A4F" w14:textId="482E7524" w:rsidR="00431920" w:rsidRDefault="00431920" w:rsidP="0021426A">
      <w:pPr>
        <w:pStyle w:val="NormalIndent1"/>
        <w:keepNext/>
        <w:keepLines/>
        <w:jc w:val="left"/>
        <w:rPr>
          <w:lang w:val="en-US"/>
        </w:rPr>
      </w:pPr>
      <w:r w:rsidRPr="00431920">
        <w:rPr>
          <w:lang w:val="en-US"/>
        </w:rPr>
        <w:t xml:space="preserve">At 12 weeks, the ASAS 20/50/70 responses were achieved by 60%, 45% and 29%, respectively, of patients receiving </w:t>
      </w:r>
      <w:r w:rsidR="00C36EA6">
        <w:rPr>
          <w:lang w:val="en-US"/>
        </w:rPr>
        <w:t>etanercept</w:t>
      </w:r>
      <w:r w:rsidRPr="00431920">
        <w:rPr>
          <w:lang w:val="en-US"/>
        </w:rPr>
        <w:t>, compared to 27%, 13% and 7%, respectively, of patients receiving placebo (p</w:t>
      </w:r>
      <w:r w:rsidR="00B20D25">
        <w:rPr>
          <w:lang w:val="en-US"/>
        </w:rPr>
        <w:t xml:space="preserve"> </w:t>
      </w:r>
      <w:r w:rsidRPr="00431920">
        <w:rPr>
          <w:lang w:val="en-US"/>
        </w:rPr>
        <w:t>&lt;</w:t>
      </w:r>
      <w:r w:rsidR="00B20D25">
        <w:rPr>
          <w:lang w:val="en-US"/>
        </w:rPr>
        <w:t xml:space="preserve"> </w:t>
      </w:r>
      <w:r w:rsidRPr="00431920">
        <w:rPr>
          <w:lang w:val="en-US"/>
        </w:rPr>
        <w:t xml:space="preserve">0.001 for </w:t>
      </w:r>
      <w:r w:rsidR="00C36EA6">
        <w:rPr>
          <w:lang w:val="en-US"/>
        </w:rPr>
        <w:t>etanercept</w:t>
      </w:r>
      <w:r w:rsidRPr="00431920">
        <w:rPr>
          <w:lang w:val="en-US"/>
        </w:rPr>
        <w:t xml:space="preserve"> vs placebo).  Similar results were seen at week 24</w:t>
      </w:r>
      <w:r>
        <w:rPr>
          <w:lang w:val="en-US"/>
        </w:rPr>
        <w:t>.</w:t>
      </w:r>
    </w:p>
    <w:p w14:paraId="10B2C4A4" w14:textId="77777777" w:rsidR="00431920" w:rsidRDefault="00431920" w:rsidP="0021426A">
      <w:pPr>
        <w:pStyle w:val="NormalIndent1"/>
        <w:jc w:val="left"/>
      </w:pPr>
    </w:p>
    <w:p w14:paraId="352E8492" w14:textId="77777777" w:rsidR="00431920" w:rsidRPr="00431920" w:rsidRDefault="0030673C" w:rsidP="0021426A">
      <w:pPr>
        <w:pStyle w:val="NormalIndent1"/>
        <w:jc w:val="left"/>
        <w:rPr>
          <w:b/>
        </w:rPr>
      </w:pPr>
      <w:r>
        <w:rPr>
          <w:b/>
        </w:rPr>
        <w:t xml:space="preserve">Table 12: </w:t>
      </w:r>
      <w:r w:rsidR="00431920" w:rsidRPr="00431920">
        <w:rPr>
          <w:b/>
        </w:rPr>
        <w:t>C</w:t>
      </w:r>
      <w:r w:rsidR="00431920" w:rsidRPr="00431920">
        <w:rPr>
          <w:b/>
          <w:spacing w:val="4"/>
        </w:rPr>
        <w:t>o</w:t>
      </w:r>
      <w:r w:rsidR="00431920" w:rsidRPr="00431920">
        <w:rPr>
          <w:b/>
          <w:spacing w:val="-3"/>
        </w:rPr>
        <w:t>m</w:t>
      </w:r>
      <w:r w:rsidR="00431920" w:rsidRPr="00431920">
        <w:rPr>
          <w:b/>
        </w:rPr>
        <w:t>p</w:t>
      </w:r>
      <w:r w:rsidR="00431920" w:rsidRPr="00431920">
        <w:rPr>
          <w:b/>
          <w:spacing w:val="1"/>
        </w:rPr>
        <w:t>o</w:t>
      </w:r>
      <w:r w:rsidR="00431920" w:rsidRPr="00431920">
        <w:rPr>
          <w:b/>
        </w:rPr>
        <w:t>nents</w:t>
      </w:r>
      <w:r w:rsidR="00431920" w:rsidRPr="00431920">
        <w:rPr>
          <w:b/>
          <w:spacing w:val="-11"/>
        </w:rPr>
        <w:t xml:space="preserve"> </w:t>
      </w:r>
      <w:r w:rsidR="00431920" w:rsidRPr="00431920">
        <w:rPr>
          <w:b/>
          <w:spacing w:val="1"/>
        </w:rPr>
        <w:t>o</w:t>
      </w:r>
      <w:r w:rsidR="00431920" w:rsidRPr="00431920">
        <w:rPr>
          <w:b/>
        </w:rPr>
        <w:t>f</w:t>
      </w:r>
      <w:r w:rsidR="00431920" w:rsidRPr="00431920">
        <w:rPr>
          <w:b/>
          <w:spacing w:val="-1"/>
        </w:rPr>
        <w:t xml:space="preserve"> </w:t>
      </w:r>
      <w:r w:rsidR="00431920" w:rsidRPr="00431920">
        <w:rPr>
          <w:b/>
        </w:rPr>
        <w:t>A</w:t>
      </w:r>
      <w:r w:rsidR="00431920" w:rsidRPr="00431920">
        <w:rPr>
          <w:b/>
          <w:spacing w:val="2"/>
        </w:rPr>
        <w:t>n</w:t>
      </w:r>
      <w:r w:rsidR="00431920" w:rsidRPr="00431920">
        <w:rPr>
          <w:b/>
          <w:spacing w:val="-3"/>
        </w:rPr>
        <w:t>k</w:t>
      </w:r>
      <w:r w:rsidR="00431920" w:rsidRPr="00431920">
        <w:rPr>
          <w:b/>
          <w:spacing w:val="1"/>
        </w:rPr>
        <w:t>y</w:t>
      </w:r>
      <w:r w:rsidR="00431920" w:rsidRPr="00431920">
        <w:rPr>
          <w:b/>
        </w:rPr>
        <w:t>l</w:t>
      </w:r>
      <w:r w:rsidR="00431920" w:rsidRPr="00431920">
        <w:rPr>
          <w:b/>
          <w:spacing w:val="1"/>
        </w:rPr>
        <w:t>o</w:t>
      </w:r>
      <w:r w:rsidR="00431920" w:rsidRPr="00431920">
        <w:rPr>
          <w:b/>
          <w:spacing w:val="-1"/>
        </w:rPr>
        <w:t>s</w:t>
      </w:r>
      <w:r w:rsidR="00431920" w:rsidRPr="00431920">
        <w:rPr>
          <w:b/>
          <w:spacing w:val="2"/>
        </w:rPr>
        <w:t>i</w:t>
      </w:r>
      <w:r w:rsidR="00431920" w:rsidRPr="00431920">
        <w:rPr>
          <w:b/>
        </w:rPr>
        <w:t>ng</w:t>
      </w:r>
      <w:r w:rsidR="00431920" w:rsidRPr="00431920">
        <w:rPr>
          <w:b/>
          <w:spacing w:val="-9"/>
        </w:rPr>
        <w:t xml:space="preserve"> </w:t>
      </w:r>
      <w:r w:rsidR="00431920" w:rsidRPr="00431920">
        <w:rPr>
          <w:b/>
        </w:rPr>
        <w:t>S</w:t>
      </w:r>
      <w:r w:rsidR="00431920" w:rsidRPr="00431920">
        <w:rPr>
          <w:b/>
          <w:spacing w:val="-1"/>
        </w:rPr>
        <w:t>p</w:t>
      </w:r>
      <w:r w:rsidR="00431920" w:rsidRPr="00431920">
        <w:rPr>
          <w:b/>
          <w:spacing w:val="1"/>
        </w:rPr>
        <w:t>o</w:t>
      </w:r>
      <w:r w:rsidR="00431920" w:rsidRPr="00431920">
        <w:rPr>
          <w:b/>
        </w:rPr>
        <w:t>n</w:t>
      </w:r>
      <w:r w:rsidR="00431920" w:rsidRPr="00431920">
        <w:rPr>
          <w:b/>
          <w:spacing w:val="-1"/>
        </w:rPr>
        <w:t>d</w:t>
      </w:r>
      <w:r w:rsidR="00431920" w:rsidRPr="00431920">
        <w:rPr>
          <w:b/>
          <w:spacing w:val="1"/>
        </w:rPr>
        <w:t>y</w:t>
      </w:r>
      <w:r w:rsidR="00431920" w:rsidRPr="00431920">
        <w:rPr>
          <w:b/>
        </w:rPr>
        <w:t>lit</w:t>
      </w:r>
      <w:r w:rsidR="00431920" w:rsidRPr="00431920">
        <w:rPr>
          <w:b/>
          <w:spacing w:val="4"/>
        </w:rPr>
        <w:t>i</w:t>
      </w:r>
      <w:r w:rsidR="00431920" w:rsidRPr="00431920">
        <w:rPr>
          <w:b/>
        </w:rPr>
        <w:t>s</w:t>
      </w:r>
      <w:r w:rsidR="00431920" w:rsidRPr="00431920">
        <w:rPr>
          <w:b/>
          <w:spacing w:val="-10"/>
        </w:rPr>
        <w:t xml:space="preserve"> </w:t>
      </w:r>
      <w:r w:rsidR="00431920" w:rsidRPr="00431920">
        <w:rPr>
          <w:b/>
          <w:spacing w:val="2"/>
        </w:rPr>
        <w:t>D</w:t>
      </w:r>
      <w:r w:rsidR="00431920" w:rsidRPr="00431920">
        <w:rPr>
          <w:b/>
        </w:rPr>
        <w:t>i</w:t>
      </w:r>
      <w:r w:rsidR="00431920" w:rsidRPr="00431920">
        <w:rPr>
          <w:b/>
          <w:spacing w:val="-1"/>
        </w:rPr>
        <w:t>s</w:t>
      </w:r>
      <w:r w:rsidR="00431920" w:rsidRPr="00431920">
        <w:rPr>
          <w:b/>
        </w:rPr>
        <w:t>e</w:t>
      </w:r>
      <w:r w:rsidR="00431920" w:rsidRPr="00431920">
        <w:rPr>
          <w:b/>
          <w:spacing w:val="1"/>
        </w:rPr>
        <w:t>a</w:t>
      </w:r>
      <w:r w:rsidR="00431920" w:rsidRPr="00431920">
        <w:rPr>
          <w:b/>
          <w:spacing w:val="-1"/>
        </w:rPr>
        <w:t>s</w:t>
      </w:r>
      <w:r w:rsidR="00431920" w:rsidRPr="00431920">
        <w:rPr>
          <w:b/>
        </w:rPr>
        <w:t>e</w:t>
      </w:r>
      <w:r w:rsidR="00431920" w:rsidRPr="00431920">
        <w:rPr>
          <w:b/>
          <w:spacing w:val="-5"/>
        </w:rPr>
        <w:t xml:space="preserve"> </w:t>
      </w:r>
      <w:r w:rsidR="00431920" w:rsidRPr="00431920">
        <w:rPr>
          <w:b/>
        </w:rPr>
        <w:t>Ac</w:t>
      </w:r>
      <w:r w:rsidR="00431920" w:rsidRPr="00431920">
        <w:rPr>
          <w:b/>
          <w:spacing w:val="1"/>
        </w:rPr>
        <w:t>t</w:t>
      </w:r>
      <w:r w:rsidR="00431920" w:rsidRPr="00431920">
        <w:rPr>
          <w:b/>
        </w:rPr>
        <w:t>i</w:t>
      </w:r>
      <w:r w:rsidR="00431920" w:rsidRPr="00431920">
        <w:rPr>
          <w:b/>
          <w:spacing w:val="1"/>
        </w:rPr>
        <w:t>v</w:t>
      </w:r>
      <w:r w:rsidR="00431920" w:rsidRPr="00431920">
        <w:rPr>
          <w:b/>
        </w:rPr>
        <w:t>ity</w:t>
      </w:r>
    </w:p>
    <w:p w14:paraId="54A0A955" w14:textId="77777777" w:rsidR="00431920" w:rsidRDefault="00431920" w:rsidP="0021426A">
      <w:pPr>
        <w:pStyle w:val="NormalIndent1"/>
        <w:jc w:val="left"/>
      </w:pPr>
    </w:p>
    <w:tbl>
      <w:tblPr>
        <w:tblStyle w:val="TableGrid"/>
        <w:tblW w:w="0" w:type="auto"/>
        <w:tblInd w:w="425" w:type="dxa"/>
        <w:tblLook w:val="04A0" w:firstRow="1" w:lastRow="0" w:firstColumn="1" w:lastColumn="0" w:noHBand="0" w:noVBand="1"/>
      </w:tblPr>
      <w:tblGrid>
        <w:gridCol w:w="3350"/>
        <w:gridCol w:w="1458"/>
        <w:gridCol w:w="1458"/>
        <w:gridCol w:w="1458"/>
        <w:gridCol w:w="1459"/>
      </w:tblGrid>
      <w:tr w:rsidR="00431920" w:rsidRPr="00431920" w14:paraId="108060CB" w14:textId="77777777" w:rsidTr="00B37960">
        <w:trPr>
          <w:tblHeader/>
        </w:trPr>
        <w:tc>
          <w:tcPr>
            <w:tcW w:w="3350" w:type="dxa"/>
            <w:vMerge w:val="restart"/>
            <w:tcBorders>
              <w:top w:val="single" w:sz="12" w:space="0" w:color="auto"/>
              <w:left w:val="single" w:sz="12" w:space="0" w:color="auto"/>
              <w:right w:val="single" w:sz="12" w:space="0" w:color="auto"/>
            </w:tcBorders>
            <w:vAlign w:val="center"/>
          </w:tcPr>
          <w:p w14:paraId="328D08FB" w14:textId="77777777" w:rsidR="00431920" w:rsidRPr="00431920" w:rsidRDefault="00431920" w:rsidP="0021426A">
            <w:pPr>
              <w:pStyle w:val="NormalIndent1"/>
              <w:ind w:left="0"/>
              <w:jc w:val="left"/>
              <w:rPr>
                <w:b/>
              </w:rPr>
            </w:pPr>
            <w:r>
              <w:rPr>
                <w:b/>
              </w:rPr>
              <w:t>Mean Values at Time Points</w:t>
            </w:r>
          </w:p>
        </w:tc>
        <w:tc>
          <w:tcPr>
            <w:tcW w:w="2916" w:type="dxa"/>
            <w:gridSpan w:val="2"/>
            <w:tcBorders>
              <w:top w:val="single" w:sz="12" w:space="0" w:color="auto"/>
              <w:left w:val="single" w:sz="12" w:space="0" w:color="auto"/>
              <w:bottom w:val="single" w:sz="12" w:space="0" w:color="auto"/>
              <w:right w:val="single" w:sz="12" w:space="0" w:color="auto"/>
            </w:tcBorders>
            <w:vAlign w:val="center"/>
          </w:tcPr>
          <w:p w14:paraId="679E5C9F" w14:textId="77777777" w:rsidR="00431920" w:rsidRDefault="00431920" w:rsidP="0021426A">
            <w:pPr>
              <w:pStyle w:val="NormalIndent1"/>
              <w:ind w:left="0"/>
              <w:jc w:val="left"/>
              <w:rPr>
                <w:b/>
              </w:rPr>
            </w:pPr>
            <w:r>
              <w:rPr>
                <w:b/>
              </w:rPr>
              <w:t>Placebo</w:t>
            </w:r>
          </w:p>
          <w:p w14:paraId="41543EFD" w14:textId="77777777" w:rsidR="00431920" w:rsidRPr="00431920" w:rsidRDefault="00431920" w:rsidP="0021426A">
            <w:pPr>
              <w:pStyle w:val="NormalIndent1"/>
              <w:ind w:left="0"/>
              <w:jc w:val="left"/>
              <w:rPr>
                <w:b/>
              </w:rPr>
            </w:pPr>
            <w:r>
              <w:rPr>
                <w:b/>
              </w:rPr>
              <w:t>n = 139</w:t>
            </w:r>
          </w:p>
        </w:tc>
        <w:tc>
          <w:tcPr>
            <w:tcW w:w="2917" w:type="dxa"/>
            <w:gridSpan w:val="2"/>
            <w:tcBorders>
              <w:top w:val="single" w:sz="12" w:space="0" w:color="auto"/>
              <w:left w:val="single" w:sz="12" w:space="0" w:color="auto"/>
              <w:bottom w:val="single" w:sz="12" w:space="0" w:color="auto"/>
              <w:right w:val="single" w:sz="12" w:space="0" w:color="auto"/>
            </w:tcBorders>
            <w:vAlign w:val="center"/>
          </w:tcPr>
          <w:p w14:paraId="58015A15" w14:textId="3950D2F3" w:rsidR="00431920" w:rsidRDefault="00C36EA6" w:rsidP="0021426A">
            <w:pPr>
              <w:pStyle w:val="NormalIndent1"/>
              <w:ind w:left="0"/>
              <w:jc w:val="left"/>
              <w:rPr>
                <w:b/>
              </w:rPr>
            </w:pPr>
            <w:proofErr w:type="spellStart"/>
            <w:r>
              <w:rPr>
                <w:b/>
              </w:rPr>
              <w:t>Etanercept</w:t>
            </w:r>
            <w:r w:rsidR="00431920" w:rsidRPr="00431920">
              <w:rPr>
                <w:b/>
                <w:vertAlign w:val="superscript"/>
              </w:rPr>
              <w:t>a</w:t>
            </w:r>
            <w:proofErr w:type="spellEnd"/>
          </w:p>
          <w:p w14:paraId="46E9C03B" w14:textId="77777777" w:rsidR="00431920" w:rsidRPr="00431920" w:rsidRDefault="00431920" w:rsidP="0021426A">
            <w:pPr>
              <w:pStyle w:val="NormalIndent1"/>
              <w:ind w:left="0"/>
              <w:jc w:val="left"/>
              <w:rPr>
                <w:b/>
              </w:rPr>
            </w:pPr>
            <w:r>
              <w:rPr>
                <w:b/>
              </w:rPr>
              <w:t>n = 138</w:t>
            </w:r>
          </w:p>
        </w:tc>
      </w:tr>
      <w:tr w:rsidR="00431920" w:rsidRPr="00431920" w14:paraId="7FEFD63F" w14:textId="77777777" w:rsidTr="00B37960">
        <w:trPr>
          <w:tblHeader/>
        </w:trPr>
        <w:tc>
          <w:tcPr>
            <w:tcW w:w="3350" w:type="dxa"/>
            <w:vMerge/>
            <w:tcBorders>
              <w:left w:val="single" w:sz="12" w:space="0" w:color="auto"/>
              <w:bottom w:val="single" w:sz="12" w:space="0" w:color="auto"/>
              <w:right w:val="single" w:sz="12" w:space="0" w:color="auto"/>
            </w:tcBorders>
            <w:vAlign w:val="center"/>
          </w:tcPr>
          <w:p w14:paraId="280DF88E" w14:textId="77777777" w:rsidR="00431920" w:rsidRPr="00431920" w:rsidRDefault="00431920" w:rsidP="0021426A">
            <w:pPr>
              <w:pStyle w:val="NormalIndent1"/>
              <w:ind w:left="0"/>
              <w:jc w:val="left"/>
              <w:rPr>
                <w:b/>
              </w:rPr>
            </w:pPr>
          </w:p>
        </w:tc>
        <w:tc>
          <w:tcPr>
            <w:tcW w:w="1458" w:type="dxa"/>
            <w:tcBorders>
              <w:top w:val="single" w:sz="12" w:space="0" w:color="auto"/>
              <w:left w:val="single" w:sz="12" w:space="0" w:color="auto"/>
              <w:bottom w:val="single" w:sz="12" w:space="0" w:color="auto"/>
              <w:right w:val="single" w:sz="12" w:space="0" w:color="auto"/>
            </w:tcBorders>
            <w:vAlign w:val="center"/>
          </w:tcPr>
          <w:p w14:paraId="3B052AE4" w14:textId="77777777" w:rsidR="00431920" w:rsidRPr="00431920" w:rsidRDefault="00C47741" w:rsidP="0021426A">
            <w:pPr>
              <w:pStyle w:val="NormalIndent1"/>
              <w:ind w:left="0"/>
              <w:jc w:val="left"/>
              <w:rPr>
                <w:b/>
              </w:rPr>
            </w:pPr>
            <w:r>
              <w:rPr>
                <w:b/>
              </w:rPr>
              <w:t>Baseline</w:t>
            </w:r>
          </w:p>
        </w:tc>
        <w:tc>
          <w:tcPr>
            <w:tcW w:w="1458" w:type="dxa"/>
            <w:tcBorders>
              <w:top w:val="single" w:sz="12" w:space="0" w:color="auto"/>
              <w:left w:val="single" w:sz="12" w:space="0" w:color="auto"/>
              <w:bottom w:val="single" w:sz="12" w:space="0" w:color="auto"/>
              <w:right w:val="single" w:sz="12" w:space="0" w:color="auto"/>
            </w:tcBorders>
            <w:vAlign w:val="center"/>
          </w:tcPr>
          <w:p w14:paraId="504B355C" w14:textId="77777777" w:rsidR="00431920" w:rsidRPr="00431920" w:rsidRDefault="00C47741" w:rsidP="0021426A">
            <w:pPr>
              <w:pStyle w:val="NormalIndent1"/>
              <w:ind w:left="0"/>
              <w:jc w:val="left"/>
              <w:rPr>
                <w:b/>
              </w:rPr>
            </w:pPr>
            <w:r>
              <w:rPr>
                <w:b/>
              </w:rPr>
              <w:t>6 Months</w:t>
            </w:r>
          </w:p>
        </w:tc>
        <w:tc>
          <w:tcPr>
            <w:tcW w:w="1458" w:type="dxa"/>
            <w:tcBorders>
              <w:top w:val="single" w:sz="12" w:space="0" w:color="auto"/>
              <w:left w:val="single" w:sz="12" w:space="0" w:color="auto"/>
              <w:bottom w:val="single" w:sz="12" w:space="0" w:color="auto"/>
              <w:right w:val="single" w:sz="12" w:space="0" w:color="auto"/>
            </w:tcBorders>
            <w:vAlign w:val="center"/>
          </w:tcPr>
          <w:p w14:paraId="704ADDAA" w14:textId="77777777" w:rsidR="00431920" w:rsidRPr="00431920" w:rsidRDefault="00C47741" w:rsidP="0021426A">
            <w:pPr>
              <w:pStyle w:val="NormalIndent1"/>
              <w:ind w:left="0"/>
              <w:jc w:val="left"/>
              <w:rPr>
                <w:b/>
              </w:rPr>
            </w:pPr>
            <w:r>
              <w:rPr>
                <w:b/>
              </w:rPr>
              <w:t>Baseline</w:t>
            </w:r>
          </w:p>
        </w:tc>
        <w:tc>
          <w:tcPr>
            <w:tcW w:w="1459" w:type="dxa"/>
            <w:tcBorders>
              <w:top w:val="single" w:sz="12" w:space="0" w:color="auto"/>
              <w:left w:val="single" w:sz="12" w:space="0" w:color="auto"/>
              <w:bottom w:val="single" w:sz="12" w:space="0" w:color="auto"/>
              <w:right w:val="single" w:sz="12" w:space="0" w:color="auto"/>
            </w:tcBorders>
            <w:vAlign w:val="center"/>
          </w:tcPr>
          <w:p w14:paraId="0326BB65" w14:textId="77777777" w:rsidR="00431920" w:rsidRPr="00431920" w:rsidRDefault="00C47741" w:rsidP="0021426A">
            <w:pPr>
              <w:pStyle w:val="NormalIndent1"/>
              <w:ind w:left="0"/>
              <w:jc w:val="left"/>
              <w:rPr>
                <w:b/>
              </w:rPr>
            </w:pPr>
            <w:r>
              <w:rPr>
                <w:b/>
              </w:rPr>
              <w:t>6 Months</w:t>
            </w:r>
          </w:p>
        </w:tc>
      </w:tr>
      <w:tr w:rsidR="00431920" w14:paraId="0BB238DD" w14:textId="77777777" w:rsidTr="00C47741">
        <w:tc>
          <w:tcPr>
            <w:tcW w:w="3350" w:type="dxa"/>
            <w:tcBorders>
              <w:top w:val="single" w:sz="12" w:space="0" w:color="auto"/>
            </w:tcBorders>
          </w:tcPr>
          <w:p w14:paraId="2EFB36CF" w14:textId="77777777" w:rsidR="00431920" w:rsidRDefault="00C47741" w:rsidP="0021426A">
            <w:pPr>
              <w:pStyle w:val="NormalIndent1"/>
              <w:spacing w:before="40" w:after="40"/>
              <w:ind w:left="0"/>
              <w:jc w:val="left"/>
              <w:rPr>
                <w:b/>
              </w:rPr>
            </w:pPr>
            <w:r>
              <w:rPr>
                <w:b/>
              </w:rPr>
              <w:t>ASAS Response Criteria</w:t>
            </w:r>
          </w:p>
          <w:p w14:paraId="767280C8" w14:textId="77777777" w:rsidR="00C47741" w:rsidRDefault="00C47741" w:rsidP="0021426A">
            <w:pPr>
              <w:pStyle w:val="NormalIndent1"/>
              <w:spacing w:before="40" w:after="40"/>
              <w:ind w:left="301"/>
              <w:jc w:val="left"/>
            </w:pPr>
            <w:r>
              <w:t xml:space="preserve">Patient Global </w:t>
            </w:r>
            <w:proofErr w:type="spellStart"/>
            <w:r>
              <w:t>Assessment</w:t>
            </w:r>
            <w:r w:rsidRPr="00C47741">
              <w:rPr>
                <w:vertAlign w:val="superscript"/>
              </w:rPr>
              <w:t>b</w:t>
            </w:r>
            <w:proofErr w:type="spellEnd"/>
          </w:p>
          <w:p w14:paraId="21C373D7" w14:textId="77777777" w:rsidR="00C47741" w:rsidRDefault="00C47741" w:rsidP="0021426A">
            <w:pPr>
              <w:pStyle w:val="NormalIndent1"/>
              <w:spacing w:before="40" w:after="40"/>
              <w:ind w:left="301"/>
              <w:jc w:val="left"/>
            </w:pPr>
            <w:r>
              <w:t xml:space="preserve">Back </w:t>
            </w:r>
            <w:proofErr w:type="spellStart"/>
            <w:r>
              <w:t>Pain</w:t>
            </w:r>
            <w:r w:rsidRPr="00C47741">
              <w:rPr>
                <w:vertAlign w:val="superscript"/>
              </w:rPr>
              <w:t>c</w:t>
            </w:r>
            <w:proofErr w:type="spellEnd"/>
          </w:p>
          <w:p w14:paraId="623FCA42" w14:textId="77777777" w:rsidR="00C47741" w:rsidRDefault="00C47741" w:rsidP="0021426A">
            <w:pPr>
              <w:pStyle w:val="NormalIndent1"/>
              <w:spacing w:before="40" w:after="40"/>
              <w:ind w:left="301"/>
              <w:jc w:val="left"/>
            </w:pPr>
            <w:proofErr w:type="spellStart"/>
            <w:r>
              <w:t>BAASFI</w:t>
            </w:r>
            <w:r w:rsidRPr="00C47741">
              <w:rPr>
                <w:vertAlign w:val="superscript"/>
              </w:rPr>
              <w:t>d</w:t>
            </w:r>
            <w:proofErr w:type="spellEnd"/>
          </w:p>
          <w:p w14:paraId="443F26EF" w14:textId="77777777" w:rsidR="00C47741" w:rsidRPr="00C47741" w:rsidRDefault="00C47741" w:rsidP="0021426A">
            <w:pPr>
              <w:pStyle w:val="NormalIndent1"/>
              <w:spacing w:before="40" w:after="40"/>
              <w:ind w:left="301"/>
              <w:jc w:val="left"/>
            </w:pPr>
            <w:proofErr w:type="spellStart"/>
            <w:r>
              <w:t>Inflammation</w:t>
            </w:r>
            <w:r>
              <w:rPr>
                <w:vertAlign w:val="superscript"/>
              </w:rPr>
              <w:t>e</w:t>
            </w:r>
            <w:proofErr w:type="spellEnd"/>
          </w:p>
        </w:tc>
        <w:tc>
          <w:tcPr>
            <w:tcW w:w="1458" w:type="dxa"/>
            <w:tcBorders>
              <w:top w:val="single" w:sz="12" w:space="0" w:color="auto"/>
            </w:tcBorders>
          </w:tcPr>
          <w:p w14:paraId="45C57A50" w14:textId="77777777" w:rsidR="00C47741" w:rsidRDefault="00C47741" w:rsidP="0021426A">
            <w:pPr>
              <w:pStyle w:val="NormalIndent1"/>
              <w:spacing w:before="40" w:after="40"/>
              <w:ind w:left="0"/>
              <w:jc w:val="left"/>
            </w:pPr>
          </w:p>
          <w:p w14:paraId="43F22096" w14:textId="77777777" w:rsidR="00431920" w:rsidRDefault="00C47741" w:rsidP="0021426A">
            <w:pPr>
              <w:pStyle w:val="NormalIndent1"/>
              <w:spacing w:before="40" w:after="40"/>
              <w:ind w:left="0"/>
              <w:jc w:val="left"/>
            </w:pPr>
            <w:r>
              <w:t>63</w:t>
            </w:r>
          </w:p>
          <w:p w14:paraId="3AD8E5F2" w14:textId="77777777" w:rsidR="00C47741" w:rsidRDefault="00C47741" w:rsidP="0021426A">
            <w:pPr>
              <w:pStyle w:val="NormalIndent1"/>
              <w:spacing w:before="40" w:after="40"/>
              <w:ind w:left="0"/>
              <w:jc w:val="left"/>
            </w:pPr>
            <w:r>
              <w:t>62</w:t>
            </w:r>
          </w:p>
          <w:p w14:paraId="2DFA4B62" w14:textId="77777777" w:rsidR="00C47741" w:rsidRDefault="00C47741" w:rsidP="0021426A">
            <w:pPr>
              <w:pStyle w:val="NormalIndent1"/>
              <w:spacing w:before="40" w:after="40"/>
              <w:ind w:left="0"/>
              <w:jc w:val="left"/>
            </w:pPr>
            <w:r>
              <w:t>56</w:t>
            </w:r>
          </w:p>
          <w:p w14:paraId="762AB99A" w14:textId="77777777" w:rsidR="00C47741" w:rsidRDefault="00C47741" w:rsidP="0021426A">
            <w:pPr>
              <w:pStyle w:val="NormalIndent1"/>
              <w:spacing w:before="40" w:after="40"/>
              <w:ind w:left="0"/>
              <w:jc w:val="left"/>
            </w:pPr>
            <w:r>
              <w:t>64</w:t>
            </w:r>
          </w:p>
        </w:tc>
        <w:tc>
          <w:tcPr>
            <w:tcW w:w="1458" w:type="dxa"/>
            <w:tcBorders>
              <w:top w:val="single" w:sz="12" w:space="0" w:color="auto"/>
            </w:tcBorders>
          </w:tcPr>
          <w:p w14:paraId="601F4254" w14:textId="77777777" w:rsidR="00431920" w:rsidRDefault="00431920" w:rsidP="0021426A">
            <w:pPr>
              <w:pStyle w:val="NormalIndent1"/>
              <w:spacing w:before="40" w:after="40"/>
              <w:ind w:left="0"/>
              <w:jc w:val="left"/>
            </w:pPr>
          </w:p>
          <w:p w14:paraId="2A40743F" w14:textId="77777777" w:rsidR="00C47741" w:rsidRDefault="00C47741" w:rsidP="0021426A">
            <w:pPr>
              <w:pStyle w:val="NormalIndent1"/>
              <w:spacing w:before="40" w:after="40"/>
              <w:ind w:left="0"/>
              <w:jc w:val="left"/>
            </w:pPr>
            <w:r>
              <w:t>56</w:t>
            </w:r>
          </w:p>
          <w:p w14:paraId="05B865AA" w14:textId="77777777" w:rsidR="00C47741" w:rsidRDefault="00C47741" w:rsidP="0021426A">
            <w:pPr>
              <w:pStyle w:val="NormalIndent1"/>
              <w:spacing w:before="40" w:after="40"/>
              <w:ind w:left="0"/>
              <w:jc w:val="left"/>
            </w:pPr>
            <w:r>
              <w:t>56</w:t>
            </w:r>
          </w:p>
          <w:p w14:paraId="0E20D6E5" w14:textId="77777777" w:rsidR="00C47741" w:rsidRDefault="00C47741" w:rsidP="0021426A">
            <w:pPr>
              <w:pStyle w:val="NormalIndent1"/>
              <w:spacing w:before="40" w:after="40"/>
              <w:ind w:left="0"/>
              <w:jc w:val="left"/>
            </w:pPr>
            <w:r>
              <w:t>55</w:t>
            </w:r>
          </w:p>
          <w:p w14:paraId="1CE0C225" w14:textId="77777777" w:rsidR="00C47741" w:rsidRDefault="00C47741" w:rsidP="0021426A">
            <w:pPr>
              <w:pStyle w:val="NormalIndent1"/>
              <w:spacing w:before="40" w:after="40"/>
              <w:ind w:left="0"/>
              <w:jc w:val="left"/>
            </w:pPr>
            <w:r>
              <w:t>57</w:t>
            </w:r>
          </w:p>
        </w:tc>
        <w:tc>
          <w:tcPr>
            <w:tcW w:w="1458" w:type="dxa"/>
            <w:tcBorders>
              <w:top w:val="single" w:sz="12" w:space="0" w:color="auto"/>
            </w:tcBorders>
          </w:tcPr>
          <w:p w14:paraId="7584CCB2" w14:textId="77777777" w:rsidR="00431920" w:rsidRDefault="00431920" w:rsidP="0021426A">
            <w:pPr>
              <w:pStyle w:val="NormalIndent1"/>
              <w:spacing w:before="40" w:after="40"/>
              <w:ind w:left="0"/>
              <w:jc w:val="left"/>
            </w:pPr>
          </w:p>
          <w:p w14:paraId="02ADBEE8" w14:textId="77777777" w:rsidR="00C47741" w:rsidRDefault="00C47741" w:rsidP="0021426A">
            <w:pPr>
              <w:pStyle w:val="NormalIndent1"/>
              <w:spacing w:before="40" w:after="40"/>
              <w:ind w:left="0"/>
              <w:jc w:val="left"/>
            </w:pPr>
            <w:r>
              <w:t>63</w:t>
            </w:r>
          </w:p>
          <w:p w14:paraId="5E816FAB" w14:textId="77777777" w:rsidR="00C47741" w:rsidRDefault="00C47741" w:rsidP="0021426A">
            <w:pPr>
              <w:pStyle w:val="NormalIndent1"/>
              <w:spacing w:before="40" w:after="40"/>
              <w:ind w:left="0"/>
              <w:jc w:val="left"/>
            </w:pPr>
            <w:r>
              <w:t>60</w:t>
            </w:r>
          </w:p>
          <w:p w14:paraId="26A5E577" w14:textId="77777777" w:rsidR="00C47741" w:rsidRDefault="00C47741" w:rsidP="0021426A">
            <w:pPr>
              <w:pStyle w:val="NormalIndent1"/>
              <w:spacing w:before="40" w:after="40"/>
              <w:ind w:left="0"/>
              <w:jc w:val="left"/>
            </w:pPr>
            <w:r>
              <w:t>52</w:t>
            </w:r>
          </w:p>
          <w:p w14:paraId="4560D7C1" w14:textId="77777777" w:rsidR="00C47741" w:rsidRDefault="00C47741" w:rsidP="0021426A">
            <w:pPr>
              <w:pStyle w:val="NormalIndent1"/>
              <w:spacing w:before="40" w:after="40"/>
              <w:ind w:left="0"/>
              <w:jc w:val="left"/>
            </w:pPr>
            <w:r>
              <w:t>61</w:t>
            </w:r>
          </w:p>
        </w:tc>
        <w:tc>
          <w:tcPr>
            <w:tcW w:w="1459" w:type="dxa"/>
            <w:tcBorders>
              <w:top w:val="single" w:sz="12" w:space="0" w:color="auto"/>
            </w:tcBorders>
          </w:tcPr>
          <w:p w14:paraId="2F41D291" w14:textId="77777777" w:rsidR="00431920" w:rsidRDefault="00431920" w:rsidP="0021426A">
            <w:pPr>
              <w:pStyle w:val="NormalIndent1"/>
              <w:spacing w:before="40" w:after="40"/>
              <w:ind w:left="0"/>
              <w:jc w:val="left"/>
            </w:pPr>
          </w:p>
          <w:p w14:paraId="0B37DB26" w14:textId="77777777" w:rsidR="00C47741" w:rsidRDefault="00C47741" w:rsidP="0021426A">
            <w:pPr>
              <w:pStyle w:val="NormalIndent1"/>
              <w:spacing w:before="40" w:after="40"/>
              <w:ind w:left="0"/>
              <w:jc w:val="left"/>
            </w:pPr>
            <w:r>
              <w:t>36</w:t>
            </w:r>
          </w:p>
          <w:p w14:paraId="78DEE571" w14:textId="77777777" w:rsidR="00C47741" w:rsidRDefault="00C47741" w:rsidP="0021426A">
            <w:pPr>
              <w:pStyle w:val="NormalIndent1"/>
              <w:spacing w:before="40" w:after="40"/>
              <w:ind w:left="0"/>
              <w:jc w:val="left"/>
            </w:pPr>
            <w:r>
              <w:t>34</w:t>
            </w:r>
          </w:p>
          <w:p w14:paraId="1A151970" w14:textId="77777777" w:rsidR="00C47741" w:rsidRDefault="00C47741" w:rsidP="0021426A">
            <w:pPr>
              <w:pStyle w:val="NormalIndent1"/>
              <w:spacing w:before="40" w:after="40"/>
              <w:ind w:left="0"/>
              <w:jc w:val="left"/>
            </w:pPr>
            <w:r>
              <w:t>36</w:t>
            </w:r>
          </w:p>
          <w:p w14:paraId="367D9B0E" w14:textId="77777777" w:rsidR="00C47741" w:rsidRDefault="00C47741" w:rsidP="0021426A">
            <w:pPr>
              <w:pStyle w:val="NormalIndent1"/>
              <w:spacing w:before="40" w:after="40"/>
              <w:ind w:left="0"/>
              <w:jc w:val="left"/>
            </w:pPr>
            <w:r>
              <w:t>33</w:t>
            </w:r>
          </w:p>
        </w:tc>
      </w:tr>
      <w:tr w:rsidR="00431920" w14:paraId="27147238" w14:textId="77777777" w:rsidTr="00C47741">
        <w:tc>
          <w:tcPr>
            <w:tcW w:w="3350" w:type="dxa"/>
          </w:tcPr>
          <w:p w14:paraId="4F3C226B" w14:textId="77777777" w:rsidR="00431920" w:rsidRDefault="00C47741" w:rsidP="0021426A">
            <w:pPr>
              <w:pStyle w:val="NormalIndent1"/>
              <w:spacing w:before="40" w:after="40"/>
              <w:ind w:left="0"/>
              <w:jc w:val="left"/>
              <w:rPr>
                <w:b/>
              </w:rPr>
            </w:pPr>
            <w:r>
              <w:rPr>
                <w:b/>
              </w:rPr>
              <w:t>Acute Phase Reactants</w:t>
            </w:r>
          </w:p>
          <w:p w14:paraId="51013C2F" w14:textId="77777777" w:rsidR="00C47741" w:rsidRPr="00C47741" w:rsidRDefault="00C47741" w:rsidP="0021426A">
            <w:pPr>
              <w:pStyle w:val="NormalIndent1"/>
              <w:spacing w:before="40" w:after="40"/>
              <w:ind w:left="301"/>
              <w:jc w:val="left"/>
            </w:pPr>
            <w:r>
              <w:t>CRP (mg/dL)</w:t>
            </w:r>
            <w:r w:rsidRPr="00C47741">
              <w:rPr>
                <w:vertAlign w:val="superscript"/>
              </w:rPr>
              <w:t>f</w:t>
            </w:r>
          </w:p>
        </w:tc>
        <w:tc>
          <w:tcPr>
            <w:tcW w:w="1458" w:type="dxa"/>
          </w:tcPr>
          <w:p w14:paraId="376EC4B2" w14:textId="77777777" w:rsidR="00431920" w:rsidRDefault="00431920" w:rsidP="0021426A">
            <w:pPr>
              <w:pStyle w:val="NormalIndent1"/>
              <w:spacing w:before="40" w:after="40"/>
              <w:ind w:left="0"/>
              <w:jc w:val="left"/>
            </w:pPr>
          </w:p>
          <w:p w14:paraId="2F7CB08A" w14:textId="77777777" w:rsidR="00C47741" w:rsidRDefault="00C47741" w:rsidP="0021426A">
            <w:pPr>
              <w:pStyle w:val="NormalIndent1"/>
              <w:spacing w:before="40" w:after="40"/>
              <w:ind w:left="0"/>
              <w:jc w:val="left"/>
            </w:pPr>
            <w:r>
              <w:t>2.0</w:t>
            </w:r>
          </w:p>
        </w:tc>
        <w:tc>
          <w:tcPr>
            <w:tcW w:w="1458" w:type="dxa"/>
          </w:tcPr>
          <w:p w14:paraId="5D8D69BC" w14:textId="77777777" w:rsidR="00431920" w:rsidRDefault="00431920" w:rsidP="0021426A">
            <w:pPr>
              <w:pStyle w:val="NormalIndent1"/>
              <w:spacing w:before="40" w:after="40"/>
              <w:ind w:left="0"/>
              <w:jc w:val="left"/>
            </w:pPr>
          </w:p>
          <w:p w14:paraId="151E35B4" w14:textId="77777777" w:rsidR="00C47741" w:rsidRDefault="00C47741" w:rsidP="0021426A">
            <w:pPr>
              <w:pStyle w:val="NormalIndent1"/>
              <w:spacing w:before="40" w:after="40"/>
              <w:ind w:left="0"/>
              <w:jc w:val="left"/>
            </w:pPr>
            <w:r>
              <w:t>1.9</w:t>
            </w:r>
          </w:p>
        </w:tc>
        <w:tc>
          <w:tcPr>
            <w:tcW w:w="1458" w:type="dxa"/>
          </w:tcPr>
          <w:p w14:paraId="42FEFD27" w14:textId="77777777" w:rsidR="00431920" w:rsidRDefault="00431920" w:rsidP="0021426A">
            <w:pPr>
              <w:pStyle w:val="NormalIndent1"/>
              <w:spacing w:before="40" w:after="40"/>
              <w:ind w:left="0"/>
              <w:jc w:val="left"/>
            </w:pPr>
          </w:p>
          <w:p w14:paraId="4B4294F0" w14:textId="77777777" w:rsidR="00C47741" w:rsidRDefault="00C47741" w:rsidP="0021426A">
            <w:pPr>
              <w:pStyle w:val="NormalIndent1"/>
              <w:spacing w:before="40" w:after="40"/>
              <w:ind w:left="0"/>
              <w:jc w:val="left"/>
            </w:pPr>
            <w:r>
              <w:t>1.9</w:t>
            </w:r>
          </w:p>
        </w:tc>
        <w:tc>
          <w:tcPr>
            <w:tcW w:w="1459" w:type="dxa"/>
          </w:tcPr>
          <w:p w14:paraId="545897DF" w14:textId="77777777" w:rsidR="00431920" w:rsidRDefault="00431920" w:rsidP="0021426A">
            <w:pPr>
              <w:pStyle w:val="NormalIndent1"/>
              <w:spacing w:before="40" w:after="40"/>
              <w:ind w:left="0"/>
              <w:jc w:val="left"/>
            </w:pPr>
          </w:p>
          <w:p w14:paraId="65C73A4C" w14:textId="77777777" w:rsidR="00C47741" w:rsidRDefault="00C47741" w:rsidP="0021426A">
            <w:pPr>
              <w:pStyle w:val="NormalIndent1"/>
              <w:spacing w:before="40" w:after="40"/>
              <w:ind w:left="0"/>
              <w:jc w:val="left"/>
            </w:pPr>
            <w:r>
              <w:t>0.6</w:t>
            </w:r>
          </w:p>
        </w:tc>
      </w:tr>
      <w:tr w:rsidR="00C47741" w14:paraId="695FCF57" w14:textId="77777777" w:rsidTr="00C47741">
        <w:tc>
          <w:tcPr>
            <w:tcW w:w="3350" w:type="dxa"/>
          </w:tcPr>
          <w:p w14:paraId="566E8471" w14:textId="77777777" w:rsidR="00C47741" w:rsidRDefault="00C47741" w:rsidP="0021426A">
            <w:pPr>
              <w:pStyle w:val="NormalIndent1"/>
              <w:spacing w:before="40" w:after="40"/>
              <w:ind w:left="0"/>
              <w:jc w:val="left"/>
              <w:rPr>
                <w:b/>
              </w:rPr>
            </w:pPr>
            <w:r>
              <w:rPr>
                <w:b/>
              </w:rPr>
              <w:t>Spinal Mobility (cm)</w:t>
            </w:r>
          </w:p>
          <w:p w14:paraId="68DBC26F" w14:textId="77777777" w:rsidR="00C47741" w:rsidRDefault="00C47741" w:rsidP="0021426A">
            <w:pPr>
              <w:pStyle w:val="NormalIndent1"/>
              <w:spacing w:before="40" w:after="40"/>
              <w:ind w:left="301"/>
              <w:jc w:val="left"/>
            </w:pPr>
            <w:r>
              <w:t>Modified Schober’s Test</w:t>
            </w:r>
          </w:p>
          <w:p w14:paraId="51BEFEEE" w14:textId="77777777" w:rsidR="00C47741" w:rsidRDefault="00C47741" w:rsidP="0021426A">
            <w:pPr>
              <w:pStyle w:val="NormalIndent1"/>
              <w:spacing w:before="40" w:after="40"/>
              <w:ind w:left="301"/>
              <w:jc w:val="left"/>
            </w:pPr>
            <w:r>
              <w:t>Chest Expansion</w:t>
            </w:r>
          </w:p>
          <w:p w14:paraId="2746CBCD" w14:textId="77777777" w:rsidR="00C47741" w:rsidRPr="00C47741" w:rsidRDefault="00C47741" w:rsidP="0021426A">
            <w:pPr>
              <w:pStyle w:val="NormalIndent1"/>
              <w:spacing w:before="40" w:after="40"/>
              <w:ind w:left="301"/>
              <w:jc w:val="left"/>
            </w:pPr>
            <w:r>
              <w:t>Occiput-to-Wall Measurement</w:t>
            </w:r>
          </w:p>
        </w:tc>
        <w:tc>
          <w:tcPr>
            <w:tcW w:w="1458" w:type="dxa"/>
          </w:tcPr>
          <w:p w14:paraId="62053B0E" w14:textId="77777777" w:rsidR="00C47741" w:rsidRDefault="00C47741" w:rsidP="0021426A">
            <w:pPr>
              <w:pStyle w:val="NormalIndent1"/>
              <w:spacing w:before="40" w:after="40"/>
              <w:ind w:left="0"/>
              <w:jc w:val="left"/>
            </w:pPr>
          </w:p>
          <w:p w14:paraId="7DB78224" w14:textId="77777777" w:rsidR="00C47741" w:rsidRDefault="00C47741" w:rsidP="0021426A">
            <w:pPr>
              <w:pStyle w:val="NormalIndent1"/>
              <w:spacing w:before="40" w:after="40"/>
              <w:ind w:left="0"/>
              <w:jc w:val="left"/>
            </w:pPr>
            <w:r>
              <w:t>3.0</w:t>
            </w:r>
          </w:p>
          <w:p w14:paraId="04089B2A" w14:textId="77777777" w:rsidR="00C47741" w:rsidRDefault="00C47741" w:rsidP="0021426A">
            <w:pPr>
              <w:pStyle w:val="NormalIndent1"/>
              <w:spacing w:before="40" w:after="40"/>
              <w:ind w:left="0"/>
              <w:jc w:val="left"/>
            </w:pPr>
            <w:r>
              <w:t>3.2</w:t>
            </w:r>
          </w:p>
          <w:p w14:paraId="593545F1" w14:textId="77777777" w:rsidR="00C47741" w:rsidRDefault="00C47741" w:rsidP="0021426A">
            <w:pPr>
              <w:pStyle w:val="NormalIndent1"/>
              <w:spacing w:before="40" w:after="40"/>
              <w:ind w:left="0"/>
              <w:jc w:val="left"/>
            </w:pPr>
            <w:r>
              <w:t>5.3</w:t>
            </w:r>
          </w:p>
        </w:tc>
        <w:tc>
          <w:tcPr>
            <w:tcW w:w="1458" w:type="dxa"/>
          </w:tcPr>
          <w:p w14:paraId="6BC9046B" w14:textId="77777777" w:rsidR="00C47741" w:rsidRDefault="00C47741" w:rsidP="0021426A">
            <w:pPr>
              <w:pStyle w:val="NormalIndent1"/>
              <w:spacing w:before="40" w:after="40"/>
              <w:ind w:left="0"/>
              <w:jc w:val="left"/>
            </w:pPr>
          </w:p>
          <w:p w14:paraId="19BB5CDB" w14:textId="77777777" w:rsidR="00C47741" w:rsidRDefault="00C47741" w:rsidP="0021426A">
            <w:pPr>
              <w:pStyle w:val="NormalIndent1"/>
              <w:spacing w:before="40" w:after="40"/>
              <w:ind w:left="0"/>
              <w:jc w:val="left"/>
            </w:pPr>
            <w:r>
              <w:t>2.9</w:t>
            </w:r>
          </w:p>
          <w:p w14:paraId="43E60B42" w14:textId="77777777" w:rsidR="00C47741" w:rsidRDefault="00C47741" w:rsidP="0021426A">
            <w:pPr>
              <w:pStyle w:val="NormalIndent1"/>
              <w:spacing w:before="40" w:after="40"/>
              <w:ind w:left="0"/>
              <w:jc w:val="left"/>
            </w:pPr>
            <w:r>
              <w:t>3.0</w:t>
            </w:r>
          </w:p>
          <w:p w14:paraId="6B4ACAAD" w14:textId="77777777" w:rsidR="00C47741" w:rsidRDefault="00C47741" w:rsidP="0021426A">
            <w:pPr>
              <w:pStyle w:val="NormalIndent1"/>
              <w:spacing w:before="40" w:after="40"/>
              <w:ind w:left="0"/>
              <w:jc w:val="left"/>
            </w:pPr>
            <w:r>
              <w:t>6.0</w:t>
            </w:r>
          </w:p>
        </w:tc>
        <w:tc>
          <w:tcPr>
            <w:tcW w:w="1458" w:type="dxa"/>
          </w:tcPr>
          <w:p w14:paraId="2F4E37AC" w14:textId="77777777" w:rsidR="00C47741" w:rsidRDefault="00C47741" w:rsidP="0021426A">
            <w:pPr>
              <w:pStyle w:val="NormalIndent1"/>
              <w:spacing w:before="40" w:after="40"/>
              <w:ind w:left="0"/>
              <w:jc w:val="left"/>
            </w:pPr>
          </w:p>
          <w:p w14:paraId="66BA9FD1" w14:textId="77777777" w:rsidR="00C47741" w:rsidRDefault="00C47741" w:rsidP="0021426A">
            <w:pPr>
              <w:pStyle w:val="NormalIndent1"/>
              <w:spacing w:before="40" w:after="40"/>
              <w:ind w:left="0"/>
              <w:jc w:val="left"/>
            </w:pPr>
            <w:r>
              <w:t>3.1</w:t>
            </w:r>
          </w:p>
          <w:p w14:paraId="20920911" w14:textId="77777777" w:rsidR="00C47741" w:rsidRDefault="00C47741" w:rsidP="0021426A">
            <w:pPr>
              <w:pStyle w:val="NormalIndent1"/>
              <w:spacing w:before="40" w:after="40"/>
              <w:ind w:left="0"/>
              <w:jc w:val="left"/>
            </w:pPr>
            <w:r>
              <w:t>3.3</w:t>
            </w:r>
          </w:p>
          <w:p w14:paraId="1D72997C" w14:textId="77777777" w:rsidR="00C47741" w:rsidRDefault="00C47741" w:rsidP="0021426A">
            <w:pPr>
              <w:pStyle w:val="NormalIndent1"/>
              <w:spacing w:before="40" w:after="40"/>
              <w:ind w:left="0"/>
              <w:jc w:val="left"/>
            </w:pPr>
            <w:r>
              <w:t>5.6</w:t>
            </w:r>
          </w:p>
        </w:tc>
        <w:tc>
          <w:tcPr>
            <w:tcW w:w="1459" w:type="dxa"/>
          </w:tcPr>
          <w:p w14:paraId="5076E863" w14:textId="77777777" w:rsidR="00C47741" w:rsidRDefault="00C47741" w:rsidP="0021426A">
            <w:pPr>
              <w:pStyle w:val="NormalIndent1"/>
              <w:spacing w:before="40" w:after="40"/>
              <w:ind w:left="0"/>
              <w:jc w:val="left"/>
            </w:pPr>
          </w:p>
          <w:p w14:paraId="7CBDFC99" w14:textId="77777777" w:rsidR="00C47741" w:rsidRDefault="00C47741" w:rsidP="0021426A">
            <w:pPr>
              <w:pStyle w:val="NormalIndent1"/>
              <w:spacing w:before="40" w:after="40"/>
              <w:ind w:left="0"/>
              <w:jc w:val="left"/>
            </w:pPr>
            <w:r>
              <w:t>3.3</w:t>
            </w:r>
          </w:p>
          <w:p w14:paraId="1F90633C" w14:textId="77777777" w:rsidR="00C47741" w:rsidRDefault="00C47741" w:rsidP="0021426A">
            <w:pPr>
              <w:pStyle w:val="NormalIndent1"/>
              <w:spacing w:before="40" w:after="40"/>
              <w:ind w:left="0"/>
              <w:jc w:val="left"/>
            </w:pPr>
            <w:r>
              <w:t>3.9</w:t>
            </w:r>
          </w:p>
          <w:p w14:paraId="013BACC6" w14:textId="77777777" w:rsidR="00C47741" w:rsidRDefault="00C47741" w:rsidP="0021426A">
            <w:pPr>
              <w:pStyle w:val="NormalIndent1"/>
              <w:spacing w:before="40" w:after="40"/>
              <w:ind w:left="0"/>
              <w:jc w:val="left"/>
            </w:pPr>
            <w:r>
              <w:t>4.5</w:t>
            </w:r>
          </w:p>
        </w:tc>
      </w:tr>
    </w:tbl>
    <w:p w14:paraId="1BA22B47" w14:textId="77777777" w:rsidR="00431920" w:rsidRDefault="00431920" w:rsidP="0021426A">
      <w:pPr>
        <w:pStyle w:val="NormalIndent1"/>
        <w:jc w:val="left"/>
      </w:pPr>
    </w:p>
    <w:p w14:paraId="37630C99" w14:textId="6CB98B31" w:rsidR="00C47741" w:rsidRPr="00C47741" w:rsidRDefault="00C47741" w:rsidP="0021426A">
      <w:pPr>
        <w:pStyle w:val="NormalIndent1"/>
        <w:ind w:left="851" w:hanging="426"/>
        <w:jc w:val="left"/>
        <w:rPr>
          <w:sz w:val="20"/>
          <w:szCs w:val="20"/>
          <w:lang w:val="en-US"/>
        </w:rPr>
      </w:pPr>
      <w:r w:rsidRPr="00C47741">
        <w:rPr>
          <w:szCs w:val="20"/>
          <w:vertAlign w:val="superscript"/>
          <w:lang w:val="en-US"/>
        </w:rPr>
        <w:t>a</w:t>
      </w:r>
      <w:r>
        <w:rPr>
          <w:sz w:val="20"/>
          <w:szCs w:val="20"/>
          <w:lang w:val="en-US"/>
        </w:rPr>
        <w:tab/>
      </w:r>
      <w:r w:rsidRPr="00C47741">
        <w:rPr>
          <w:sz w:val="20"/>
          <w:szCs w:val="20"/>
          <w:lang w:val="en-US"/>
        </w:rPr>
        <w:t xml:space="preserve">p &lt; 0.0015 for all comparisons between </w:t>
      </w:r>
      <w:r w:rsidR="00C36EA6">
        <w:rPr>
          <w:sz w:val="20"/>
          <w:szCs w:val="20"/>
          <w:lang w:val="en-US"/>
        </w:rPr>
        <w:t>etanercept</w:t>
      </w:r>
      <w:r w:rsidRPr="00C47741">
        <w:rPr>
          <w:sz w:val="20"/>
          <w:szCs w:val="20"/>
          <w:lang w:val="en-US"/>
        </w:rPr>
        <w:t xml:space="preserve"> and placebo at 6 months. </w:t>
      </w:r>
      <w:r>
        <w:rPr>
          <w:sz w:val="20"/>
          <w:szCs w:val="20"/>
          <w:lang w:val="en-US"/>
        </w:rPr>
        <w:t xml:space="preserve"> </w:t>
      </w:r>
      <w:r w:rsidRPr="00C47741">
        <w:rPr>
          <w:sz w:val="20"/>
          <w:szCs w:val="20"/>
          <w:lang w:val="en-US"/>
        </w:rPr>
        <w:t>p-values for continuous endpoints were based on percent change from baseline.</w:t>
      </w:r>
    </w:p>
    <w:p w14:paraId="6DE72032" w14:textId="77777777" w:rsidR="00C47741" w:rsidRPr="00C47741" w:rsidRDefault="00C47741" w:rsidP="0021426A">
      <w:pPr>
        <w:pStyle w:val="NormalIndent1"/>
        <w:ind w:left="851" w:hanging="426"/>
        <w:jc w:val="left"/>
        <w:rPr>
          <w:sz w:val="20"/>
          <w:szCs w:val="20"/>
          <w:lang w:val="en-US"/>
        </w:rPr>
      </w:pPr>
      <w:r w:rsidRPr="00C47741">
        <w:rPr>
          <w:szCs w:val="20"/>
          <w:vertAlign w:val="superscript"/>
          <w:lang w:val="en-US"/>
        </w:rPr>
        <w:t>b</w:t>
      </w:r>
      <w:r>
        <w:rPr>
          <w:sz w:val="20"/>
          <w:szCs w:val="20"/>
          <w:lang w:val="en-US"/>
        </w:rPr>
        <w:tab/>
      </w:r>
      <w:r w:rsidRPr="00C47741">
        <w:rPr>
          <w:sz w:val="20"/>
          <w:szCs w:val="20"/>
          <w:lang w:val="en-US"/>
        </w:rPr>
        <w:t>Measured on a Visual Analog Scale (VAS) scale with 0 = "none" and 100 = "severe"</w:t>
      </w:r>
      <w:r>
        <w:rPr>
          <w:sz w:val="20"/>
          <w:szCs w:val="20"/>
          <w:lang w:val="en-US"/>
        </w:rPr>
        <w:t>.</w:t>
      </w:r>
    </w:p>
    <w:p w14:paraId="56CB1D77" w14:textId="77777777" w:rsidR="00C47741" w:rsidRPr="00C47741" w:rsidRDefault="00C47741" w:rsidP="0021426A">
      <w:pPr>
        <w:pStyle w:val="NormalIndent1"/>
        <w:ind w:left="851" w:hanging="426"/>
        <w:jc w:val="left"/>
        <w:rPr>
          <w:sz w:val="20"/>
          <w:szCs w:val="20"/>
          <w:lang w:val="en-US"/>
        </w:rPr>
      </w:pPr>
      <w:r w:rsidRPr="00C47741">
        <w:rPr>
          <w:szCs w:val="20"/>
          <w:vertAlign w:val="superscript"/>
          <w:lang w:val="en-US"/>
        </w:rPr>
        <w:t>c</w:t>
      </w:r>
      <w:r>
        <w:rPr>
          <w:sz w:val="20"/>
          <w:szCs w:val="20"/>
          <w:lang w:val="en-US"/>
        </w:rPr>
        <w:tab/>
      </w:r>
      <w:r w:rsidRPr="00C47741">
        <w:rPr>
          <w:sz w:val="20"/>
          <w:szCs w:val="20"/>
          <w:lang w:val="en-US"/>
        </w:rPr>
        <w:t>Average of total nocturnal and back pain scores, measured on a VAS scale with 0 = "no pain" and 100 = "most severe pain"</w:t>
      </w:r>
      <w:r>
        <w:rPr>
          <w:sz w:val="20"/>
          <w:szCs w:val="20"/>
          <w:lang w:val="en-US"/>
        </w:rPr>
        <w:t>.</w:t>
      </w:r>
    </w:p>
    <w:p w14:paraId="49364F72" w14:textId="77777777" w:rsidR="00C47741" w:rsidRPr="00C47741" w:rsidRDefault="00C47741" w:rsidP="0021426A">
      <w:pPr>
        <w:pStyle w:val="NormalIndent1"/>
        <w:ind w:left="851" w:hanging="426"/>
        <w:jc w:val="left"/>
        <w:rPr>
          <w:sz w:val="20"/>
          <w:szCs w:val="20"/>
          <w:lang w:val="en-US"/>
        </w:rPr>
      </w:pPr>
      <w:r w:rsidRPr="00C47741">
        <w:rPr>
          <w:szCs w:val="20"/>
          <w:vertAlign w:val="superscript"/>
          <w:lang w:val="en-US"/>
        </w:rPr>
        <w:t>d</w:t>
      </w:r>
      <w:r>
        <w:rPr>
          <w:sz w:val="20"/>
          <w:szCs w:val="20"/>
          <w:lang w:val="en-US"/>
        </w:rPr>
        <w:tab/>
      </w:r>
      <w:r w:rsidRPr="00C47741">
        <w:rPr>
          <w:sz w:val="20"/>
          <w:szCs w:val="20"/>
          <w:lang w:val="en-US"/>
        </w:rPr>
        <w:t>Bath Ankylosing Spondylitis Functional Index (BASFI), average of 10 questions.</w:t>
      </w:r>
    </w:p>
    <w:p w14:paraId="4392B3DD" w14:textId="77777777" w:rsidR="00C47741" w:rsidRPr="00C47741" w:rsidRDefault="00C47741" w:rsidP="0021426A">
      <w:pPr>
        <w:pStyle w:val="NormalIndent1"/>
        <w:ind w:left="851" w:hanging="426"/>
        <w:jc w:val="left"/>
        <w:rPr>
          <w:sz w:val="20"/>
          <w:szCs w:val="20"/>
          <w:lang w:val="en-US"/>
        </w:rPr>
      </w:pPr>
      <w:r w:rsidRPr="00C47741">
        <w:rPr>
          <w:szCs w:val="20"/>
          <w:vertAlign w:val="superscript"/>
          <w:lang w:val="en-US"/>
        </w:rPr>
        <w:t>e</w:t>
      </w:r>
      <w:r>
        <w:rPr>
          <w:sz w:val="20"/>
          <w:szCs w:val="20"/>
          <w:lang w:val="en-US"/>
        </w:rPr>
        <w:tab/>
      </w:r>
      <w:r w:rsidRPr="00C47741">
        <w:rPr>
          <w:sz w:val="20"/>
          <w:szCs w:val="20"/>
          <w:lang w:val="en-US"/>
        </w:rPr>
        <w:t>Inflammation represented by the average of the last 2 questions on the 6-question Bath Ankylosing Spondylitis</w:t>
      </w:r>
      <w:r>
        <w:rPr>
          <w:sz w:val="20"/>
          <w:szCs w:val="20"/>
          <w:lang w:val="en-US"/>
        </w:rPr>
        <w:t xml:space="preserve"> </w:t>
      </w:r>
      <w:r w:rsidRPr="00C47741">
        <w:rPr>
          <w:sz w:val="20"/>
          <w:szCs w:val="20"/>
          <w:lang w:val="en-US"/>
        </w:rPr>
        <w:t>Disease Activity Index (BASDAI).</w:t>
      </w:r>
    </w:p>
    <w:p w14:paraId="6E0AEAE4" w14:textId="77777777" w:rsidR="00C47741" w:rsidRPr="00C47741" w:rsidRDefault="00C47741" w:rsidP="0021426A">
      <w:pPr>
        <w:pStyle w:val="NormalIndent1"/>
        <w:ind w:left="851" w:hanging="426"/>
        <w:jc w:val="left"/>
        <w:rPr>
          <w:sz w:val="20"/>
          <w:szCs w:val="20"/>
        </w:rPr>
      </w:pPr>
      <w:r w:rsidRPr="00C47741">
        <w:rPr>
          <w:szCs w:val="20"/>
          <w:vertAlign w:val="superscript"/>
          <w:lang w:val="en-US"/>
        </w:rPr>
        <w:t>f</w:t>
      </w:r>
      <w:r>
        <w:rPr>
          <w:sz w:val="20"/>
          <w:szCs w:val="20"/>
          <w:lang w:val="en-US"/>
        </w:rPr>
        <w:tab/>
      </w:r>
      <w:r w:rsidRPr="00C47741">
        <w:rPr>
          <w:sz w:val="20"/>
          <w:szCs w:val="20"/>
          <w:lang w:val="en-US"/>
        </w:rPr>
        <w:t>C-reactive protein (CRP) normal range: 0 - 1.0 mg/dL</w:t>
      </w:r>
      <w:r>
        <w:rPr>
          <w:sz w:val="20"/>
          <w:szCs w:val="20"/>
          <w:lang w:val="en-US"/>
        </w:rPr>
        <w:t>.</w:t>
      </w:r>
    </w:p>
    <w:p w14:paraId="33E22337" w14:textId="77777777" w:rsidR="00431920" w:rsidRDefault="00431920" w:rsidP="0021426A">
      <w:pPr>
        <w:pStyle w:val="NormalIndent1"/>
        <w:jc w:val="left"/>
      </w:pPr>
    </w:p>
    <w:p w14:paraId="056DCE86" w14:textId="77777777" w:rsidR="00C47741" w:rsidRPr="00C47741" w:rsidRDefault="00C47741" w:rsidP="0021426A">
      <w:pPr>
        <w:pStyle w:val="Heading4"/>
        <w:jc w:val="left"/>
        <w:rPr>
          <w:lang w:val="en-US"/>
        </w:rPr>
      </w:pPr>
      <w:r w:rsidRPr="00C47741">
        <w:rPr>
          <w:lang w:val="en-US"/>
        </w:rPr>
        <w:t>Adults with Non-Radiographic Axial Spondyloarthritis</w:t>
      </w:r>
    </w:p>
    <w:p w14:paraId="6098A07A" w14:textId="77777777" w:rsidR="00C47741" w:rsidRPr="00C47741" w:rsidRDefault="00C47741" w:rsidP="0021426A">
      <w:pPr>
        <w:pStyle w:val="NormalIndent1"/>
        <w:jc w:val="left"/>
        <w:rPr>
          <w:lang w:val="en-US"/>
        </w:rPr>
      </w:pPr>
    </w:p>
    <w:p w14:paraId="5A515231" w14:textId="76F11A25" w:rsidR="00C47741" w:rsidRPr="00C47741" w:rsidRDefault="00C47741" w:rsidP="0021426A">
      <w:pPr>
        <w:pStyle w:val="NormalIndent1"/>
        <w:jc w:val="left"/>
        <w:rPr>
          <w:lang w:val="en-US"/>
        </w:rPr>
      </w:pPr>
      <w:r w:rsidRPr="00C47741">
        <w:rPr>
          <w:lang w:val="en-US"/>
        </w:rPr>
        <w:t xml:space="preserve">The efficacy of </w:t>
      </w:r>
      <w:r w:rsidR="00C36EA6">
        <w:rPr>
          <w:lang w:val="en-US"/>
        </w:rPr>
        <w:t>etanercept</w:t>
      </w:r>
      <w:r w:rsidRPr="00C47741">
        <w:rPr>
          <w:lang w:val="en-US"/>
        </w:rPr>
        <w:t xml:space="preserve"> in patients with non-radiographic axial spondyloarthritis (nr-AxSpA) was assessed in a randomised, 12-week double-blind, placebo-controlled study followed by an open-label period for up to an additional 92 weeks.  The study evaluated 215 adult patients (modified intent-to-treat population) with active (baseline BASDAI score of </w:t>
      </w:r>
      <w:r w:rsidRPr="00C47741">
        <w:rPr>
          <w:rFonts w:cstheme="minorHAnsi"/>
          <w:lang w:val="en-US"/>
        </w:rPr>
        <w:t>≥</w:t>
      </w:r>
      <w:r w:rsidR="00B20D25">
        <w:rPr>
          <w:rFonts w:cstheme="minorHAnsi"/>
          <w:lang w:val="en-US"/>
        </w:rPr>
        <w:t xml:space="preserve"> </w:t>
      </w:r>
      <w:r w:rsidRPr="00C47741">
        <w:rPr>
          <w:lang w:val="en-US"/>
        </w:rPr>
        <w:t>4) nr-AxSpA (18 to 49 years of age), defined as those patients meeting the ASAS classification criteria of axial spondyloarthritis but not the modified New York criteria for AS.</w:t>
      </w:r>
      <w:r>
        <w:rPr>
          <w:lang w:val="en-US"/>
        </w:rPr>
        <w:t xml:space="preserve"> </w:t>
      </w:r>
      <w:r w:rsidRPr="00C47741">
        <w:rPr>
          <w:lang w:val="en-US"/>
        </w:rPr>
        <w:t xml:space="preserve"> Patients were also required to have an inadequate response or intolerance to two or more NSAIDs.  In the double-blind period, patients received </w:t>
      </w:r>
      <w:r w:rsidR="00C36EA6">
        <w:rPr>
          <w:lang w:val="en-US"/>
        </w:rPr>
        <w:t>etanercept</w:t>
      </w:r>
      <w:r w:rsidRPr="00C47741">
        <w:rPr>
          <w:lang w:val="en-US"/>
        </w:rPr>
        <w:t xml:space="preserve"> 50 mg weekly or placebo for 12 weeks and in the open-label period, all patients received </w:t>
      </w:r>
      <w:r w:rsidR="00C36EA6">
        <w:rPr>
          <w:lang w:val="en-US"/>
        </w:rPr>
        <w:t>etanercept</w:t>
      </w:r>
      <w:r w:rsidRPr="00C47741">
        <w:rPr>
          <w:lang w:val="en-US"/>
        </w:rPr>
        <w:t xml:space="preserve"> 50 mg weekly for up to an additional 92 weeks.  Throughout the study, patients were required to continue on an optimal tolerated dose of NSAIDs.  The primary measure of efficacy was a 40% improvement in at least three of the four ASAS domains and absence of deterioration (ASAS</w:t>
      </w:r>
      <w:r>
        <w:rPr>
          <w:lang w:val="en-US"/>
        </w:rPr>
        <w:t xml:space="preserve"> </w:t>
      </w:r>
      <w:r w:rsidRPr="00C47741">
        <w:rPr>
          <w:lang w:val="en-US"/>
        </w:rPr>
        <w:t>40) in the remaining domain at week 12 of the double-blind period.  MRIs of the sacroiliac joint and spine and CRP were obtained to assess inflammation at baseline and at week 12.  Results from the double-blind period are included below, unless noted otherwise.</w:t>
      </w:r>
    </w:p>
    <w:p w14:paraId="7CCB14E3" w14:textId="77777777" w:rsidR="00C47741" w:rsidRPr="00C47741" w:rsidRDefault="00C47741" w:rsidP="0021426A">
      <w:pPr>
        <w:pStyle w:val="NormalIndent1"/>
        <w:jc w:val="left"/>
        <w:rPr>
          <w:lang w:val="en-US"/>
        </w:rPr>
      </w:pPr>
    </w:p>
    <w:p w14:paraId="15ED48AC" w14:textId="1A8501B2" w:rsidR="00C47741" w:rsidRDefault="00C47741" w:rsidP="0021426A">
      <w:pPr>
        <w:pStyle w:val="NormalIndent1"/>
        <w:jc w:val="left"/>
      </w:pPr>
      <w:r w:rsidRPr="00C47741">
        <w:rPr>
          <w:lang w:val="en-US"/>
        </w:rPr>
        <w:t xml:space="preserve">Compared to placebo, treatment with </w:t>
      </w:r>
      <w:r w:rsidR="00C36EA6">
        <w:rPr>
          <w:lang w:val="en-US"/>
        </w:rPr>
        <w:t>etanercept</w:t>
      </w:r>
      <w:r w:rsidRPr="00C47741">
        <w:rPr>
          <w:lang w:val="en-US"/>
        </w:rPr>
        <w:t xml:space="preserve"> resulted in statistically significant improvement in the ASAS 40, ASAS 20 and ASAS 5/6.  Significant improvement was also observed for the ASAS partial remission and BASDAI 50.  Week 12 results are shown in the following table</w:t>
      </w:r>
      <w:r>
        <w:rPr>
          <w:lang w:val="en-US"/>
        </w:rPr>
        <w:t>.</w:t>
      </w:r>
    </w:p>
    <w:p w14:paraId="4B0999DE" w14:textId="77777777" w:rsidR="00C47741" w:rsidRDefault="00C47741" w:rsidP="0021426A">
      <w:pPr>
        <w:pStyle w:val="NormalIndent1"/>
        <w:jc w:val="left"/>
      </w:pPr>
    </w:p>
    <w:p w14:paraId="4A60BA02" w14:textId="77777777" w:rsidR="00C47741" w:rsidRPr="00C47741" w:rsidRDefault="0030673C" w:rsidP="00EC69B5">
      <w:pPr>
        <w:pStyle w:val="NormalIndent1"/>
        <w:pageBreakBefore/>
        <w:jc w:val="left"/>
        <w:rPr>
          <w:b/>
        </w:rPr>
      </w:pPr>
      <w:r>
        <w:rPr>
          <w:b/>
        </w:rPr>
        <w:t xml:space="preserve">Table 13: </w:t>
      </w:r>
      <w:r w:rsidR="00C47741" w:rsidRPr="00C47741">
        <w:rPr>
          <w:b/>
        </w:rPr>
        <w:t>Ef</w:t>
      </w:r>
      <w:r w:rsidR="00C47741" w:rsidRPr="00C47741">
        <w:rPr>
          <w:b/>
          <w:spacing w:val="1"/>
        </w:rPr>
        <w:t>f</w:t>
      </w:r>
      <w:r w:rsidR="00C47741" w:rsidRPr="00C47741">
        <w:rPr>
          <w:b/>
        </w:rPr>
        <w:t>ica</w:t>
      </w:r>
      <w:r w:rsidR="00C47741" w:rsidRPr="00C47741">
        <w:rPr>
          <w:b/>
          <w:spacing w:val="-1"/>
        </w:rPr>
        <w:t>c</w:t>
      </w:r>
      <w:r w:rsidR="00C47741" w:rsidRPr="00C47741">
        <w:rPr>
          <w:b/>
        </w:rPr>
        <w:t>y R</w:t>
      </w:r>
      <w:r w:rsidR="00C47741" w:rsidRPr="00C47741">
        <w:rPr>
          <w:b/>
          <w:spacing w:val="-1"/>
        </w:rPr>
        <w:t>e</w:t>
      </w:r>
      <w:r w:rsidR="00C47741" w:rsidRPr="00C47741">
        <w:rPr>
          <w:b/>
        </w:rPr>
        <w:t>s</w:t>
      </w:r>
      <w:r w:rsidR="00C47741" w:rsidRPr="00C47741">
        <w:rPr>
          <w:b/>
          <w:spacing w:val="1"/>
        </w:rPr>
        <w:t>p</w:t>
      </w:r>
      <w:r w:rsidR="00C47741" w:rsidRPr="00C47741">
        <w:rPr>
          <w:b/>
        </w:rPr>
        <w:t>o</w:t>
      </w:r>
      <w:r w:rsidR="00C47741" w:rsidRPr="00C47741">
        <w:rPr>
          <w:b/>
          <w:spacing w:val="1"/>
        </w:rPr>
        <w:t>n</w:t>
      </w:r>
      <w:r w:rsidR="00C47741" w:rsidRPr="00C47741">
        <w:rPr>
          <w:b/>
        </w:rPr>
        <w:t>se in</w:t>
      </w:r>
      <w:r w:rsidR="00C47741" w:rsidRPr="00C47741">
        <w:rPr>
          <w:b/>
          <w:spacing w:val="1"/>
        </w:rPr>
        <w:t xml:space="preserve"> </w:t>
      </w:r>
      <w:r w:rsidR="00C47741" w:rsidRPr="00C47741">
        <w:rPr>
          <w:b/>
          <w:spacing w:val="-3"/>
        </w:rPr>
        <w:t>P</w:t>
      </w:r>
      <w:r w:rsidR="00C47741" w:rsidRPr="00C47741">
        <w:rPr>
          <w:b/>
        </w:rPr>
        <w:t>lac</w:t>
      </w:r>
      <w:r w:rsidR="00C47741" w:rsidRPr="00C47741">
        <w:rPr>
          <w:b/>
          <w:spacing w:val="-1"/>
        </w:rPr>
        <w:t>e</w:t>
      </w:r>
      <w:r w:rsidR="00C47741" w:rsidRPr="00C47741">
        <w:rPr>
          <w:b/>
          <w:spacing w:val="1"/>
        </w:rPr>
        <w:t>bo</w:t>
      </w:r>
      <w:r w:rsidR="00C47741" w:rsidRPr="00C47741">
        <w:rPr>
          <w:b/>
          <w:spacing w:val="-1"/>
        </w:rPr>
        <w:t>-</w:t>
      </w:r>
      <w:r w:rsidR="00C47741" w:rsidRPr="00C47741">
        <w:rPr>
          <w:b/>
        </w:rPr>
        <w:t>Cont</w:t>
      </w:r>
      <w:r w:rsidR="00C47741" w:rsidRPr="00C47741">
        <w:rPr>
          <w:b/>
          <w:spacing w:val="-1"/>
        </w:rPr>
        <w:t>r</w:t>
      </w:r>
      <w:r w:rsidR="00C47741" w:rsidRPr="00C47741">
        <w:rPr>
          <w:b/>
        </w:rPr>
        <w:t>ol</w:t>
      </w:r>
      <w:r w:rsidR="00C47741" w:rsidRPr="00C47741">
        <w:rPr>
          <w:b/>
          <w:spacing w:val="1"/>
        </w:rPr>
        <w:t>l</w:t>
      </w:r>
      <w:r w:rsidR="00C47741" w:rsidRPr="00C47741">
        <w:rPr>
          <w:b/>
          <w:spacing w:val="-1"/>
        </w:rPr>
        <w:t>e</w:t>
      </w:r>
      <w:r w:rsidR="00C47741" w:rsidRPr="00C47741">
        <w:rPr>
          <w:b/>
        </w:rPr>
        <w:t>d</w:t>
      </w:r>
      <w:r w:rsidR="00C47741" w:rsidRPr="00C47741">
        <w:rPr>
          <w:b/>
          <w:spacing w:val="1"/>
        </w:rPr>
        <w:t xml:space="preserve"> n</w:t>
      </w:r>
      <w:r w:rsidR="00C47741" w:rsidRPr="00C47741">
        <w:rPr>
          <w:b/>
          <w:spacing w:val="-1"/>
        </w:rPr>
        <w:t>r-</w:t>
      </w:r>
      <w:r w:rsidR="00C47741" w:rsidRPr="00C47741">
        <w:rPr>
          <w:b/>
        </w:rPr>
        <w:t>A</w:t>
      </w:r>
      <w:r w:rsidR="00C47741" w:rsidRPr="00C47741">
        <w:rPr>
          <w:b/>
          <w:spacing w:val="2"/>
        </w:rPr>
        <w:t>x</w:t>
      </w:r>
      <w:r w:rsidR="00C47741" w:rsidRPr="00C47741">
        <w:rPr>
          <w:b/>
          <w:spacing w:val="1"/>
        </w:rPr>
        <w:t>Sp</w:t>
      </w:r>
      <w:r w:rsidR="00C47741" w:rsidRPr="00C47741">
        <w:rPr>
          <w:b/>
        </w:rPr>
        <w:t xml:space="preserve">A </w:t>
      </w:r>
      <w:r w:rsidR="00C47741" w:rsidRPr="00C47741">
        <w:rPr>
          <w:b/>
          <w:spacing w:val="1"/>
        </w:rPr>
        <w:t>S</w:t>
      </w:r>
      <w:r w:rsidR="00C47741" w:rsidRPr="00C47741">
        <w:rPr>
          <w:b/>
        </w:rPr>
        <w:t>tu</w:t>
      </w:r>
      <w:r w:rsidR="00C47741" w:rsidRPr="00C47741">
        <w:rPr>
          <w:b/>
          <w:spacing w:val="1"/>
        </w:rPr>
        <w:t>d</w:t>
      </w:r>
      <w:r w:rsidR="00C47741" w:rsidRPr="00C47741">
        <w:rPr>
          <w:b/>
        </w:rPr>
        <w:t xml:space="preserve">y: </w:t>
      </w:r>
      <w:r w:rsidR="00C47741">
        <w:rPr>
          <w:b/>
        </w:rPr>
        <w:t xml:space="preserve"> </w:t>
      </w:r>
      <w:r w:rsidR="00C47741" w:rsidRPr="00C47741">
        <w:rPr>
          <w:b/>
          <w:spacing w:val="-3"/>
        </w:rPr>
        <w:t>P</w:t>
      </w:r>
      <w:r w:rsidR="00C47741" w:rsidRPr="00C47741">
        <w:rPr>
          <w:b/>
          <w:spacing w:val="-1"/>
        </w:rPr>
        <w:t>er</w:t>
      </w:r>
      <w:r w:rsidR="00C47741" w:rsidRPr="00C47741">
        <w:rPr>
          <w:b/>
          <w:spacing w:val="1"/>
        </w:rPr>
        <w:t>c</w:t>
      </w:r>
      <w:r w:rsidR="00C47741" w:rsidRPr="00C47741">
        <w:rPr>
          <w:b/>
          <w:spacing w:val="-1"/>
        </w:rPr>
        <w:t>e</w:t>
      </w:r>
      <w:r w:rsidR="00C47741" w:rsidRPr="00C47741">
        <w:rPr>
          <w:b/>
          <w:spacing w:val="1"/>
        </w:rPr>
        <w:t>n</w:t>
      </w:r>
      <w:r w:rsidR="00C47741" w:rsidRPr="00C47741">
        <w:rPr>
          <w:b/>
        </w:rPr>
        <w:t>t of</w:t>
      </w:r>
      <w:r w:rsidR="00C47741" w:rsidRPr="00C47741">
        <w:rPr>
          <w:b/>
          <w:spacing w:val="1"/>
        </w:rPr>
        <w:t xml:space="preserve"> </w:t>
      </w:r>
      <w:r w:rsidR="00C47741" w:rsidRPr="00C47741">
        <w:rPr>
          <w:b/>
          <w:spacing w:val="-3"/>
        </w:rPr>
        <w:t>P</w:t>
      </w:r>
      <w:r w:rsidR="00C47741" w:rsidRPr="00C47741">
        <w:rPr>
          <w:b/>
        </w:rPr>
        <w:t>at</w:t>
      </w:r>
      <w:r w:rsidR="00C47741" w:rsidRPr="00C47741">
        <w:rPr>
          <w:b/>
          <w:spacing w:val="2"/>
        </w:rPr>
        <w:t>i</w:t>
      </w:r>
      <w:r w:rsidR="00C47741" w:rsidRPr="00C47741">
        <w:rPr>
          <w:b/>
          <w:spacing w:val="-1"/>
        </w:rPr>
        <w:t>e</w:t>
      </w:r>
      <w:r w:rsidR="00C47741" w:rsidRPr="00C47741">
        <w:rPr>
          <w:b/>
          <w:spacing w:val="1"/>
        </w:rPr>
        <w:t>n</w:t>
      </w:r>
      <w:r w:rsidR="00C47741" w:rsidRPr="00C47741">
        <w:rPr>
          <w:b/>
        </w:rPr>
        <w:t xml:space="preserve">ts </w:t>
      </w:r>
      <w:r w:rsidR="00C47741" w:rsidRPr="00C47741">
        <w:rPr>
          <w:b/>
          <w:spacing w:val="-1"/>
        </w:rPr>
        <w:t>Ac</w:t>
      </w:r>
      <w:r w:rsidR="00C47741" w:rsidRPr="00C47741">
        <w:rPr>
          <w:b/>
          <w:spacing w:val="1"/>
        </w:rPr>
        <w:t>h</w:t>
      </w:r>
      <w:r w:rsidR="00C47741" w:rsidRPr="00C47741">
        <w:rPr>
          <w:b/>
        </w:rPr>
        <w:t>ievi</w:t>
      </w:r>
      <w:r w:rsidR="00C47741" w:rsidRPr="00C47741">
        <w:rPr>
          <w:b/>
          <w:spacing w:val="1"/>
        </w:rPr>
        <w:t>n</w:t>
      </w:r>
      <w:r w:rsidR="00C47741" w:rsidRPr="00C47741">
        <w:rPr>
          <w:b/>
        </w:rPr>
        <w:t>g</w:t>
      </w:r>
      <w:r w:rsidR="00C47741">
        <w:rPr>
          <w:b/>
        </w:rPr>
        <w:t xml:space="preserve"> </w:t>
      </w:r>
      <w:r w:rsidR="00C47741" w:rsidRPr="00C47741">
        <w:rPr>
          <w:b/>
        </w:rPr>
        <w:t>Cli</w:t>
      </w:r>
      <w:r w:rsidR="00C47741" w:rsidRPr="00C47741">
        <w:rPr>
          <w:b/>
          <w:spacing w:val="1"/>
        </w:rPr>
        <w:t>n</w:t>
      </w:r>
      <w:r w:rsidR="00C47741" w:rsidRPr="00C47741">
        <w:rPr>
          <w:b/>
        </w:rPr>
        <w:t>ical E</w:t>
      </w:r>
      <w:r w:rsidR="00C47741" w:rsidRPr="00C47741">
        <w:rPr>
          <w:b/>
          <w:spacing w:val="-1"/>
        </w:rPr>
        <w:t>n</w:t>
      </w:r>
      <w:r w:rsidR="00C47741" w:rsidRPr="00C47741">
        <w:rPr>
          <w:b/>
          <w:spacing w:val="1"/>
        </w:rPr>
        <w:t>dp</w:t>
      </w:r>
      <w:r w:rsidR="00C47741" w:rsidRPr="00C47741">
        <w:rPr>
          <w:b/>
        </w:rPr>
        <w:t>o</w:t>
      </w:r>
      <w:r w:rsidR="00C47741" w:rsidRPr="00C47741">
        <w:rPr>
          <w:b/>
          <w:spacing w:val="-2"/>
        </w:rPr>
        <w:t>i</w:t>
      </w:r>
      <w:r w:rsidR="00C47741" w:rsidRPr="00C47741">
        <w:rPr>
          <w:b/>
          <w:spacing w:val="1"/>
        </w:rPr>
        <w:t>n</w:t>
      </w:r>
      <w:r w:rsidR="00C47741" w:rsidRPr="00C47741">
        <w:rPr>
          <w:b/>
        </w:rPr>
        <w:t>ts</w:t>
      </w:r>
    </w:p>
    <w:p w14:paraId="7BCCA8D4" w14:textId="77777777" w:rsidR="00C47741" w:rsidRDefault="00C47741" w:rsidP="0021426A">
      <w:pPr>
        <w:pStyle w:val="NormalIndent1"/>
        <w:jc w:val="left"/>
      </w:pPr>
    </w:p>
    <w:tbl>
      <w:tblPr>
        <w:tblStyle w:val="TableGrid"/>
        <w:tblW w:w="0" w:type="auto"/>
        <w:tblInd w:w="425" w:type="dxa"/>
        <w:tblLook w:val="04A0" w:firstRow="1" w:lastRow="0" w:firstColumn="1" w:lastColumn="0" w:noHBand="0" w:noVBand="1"/>
      </w:tblPr>
      <w:tblGrid>
        <w:gridCol w:w="4380"/>
        <w:gridCol w:w="2401"/>
        <w:gridCol w:w="2402"/>
      </w:tblGrid>
      <w:tr w:rsidR="006C0FEB" w:rsidRPr="00B929B6" w14:paraId="14628E2D"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7575BF81" w14:textId="77777777" w:rsidR="006C0FEB" w:rsidRPr="00B929B6" w:rsidRDefault="006C0FEB" w:rsidP="0021426A">
            <w:pPr>
              <w:pStyle w:val="NormalIndent1"/>
              <w:ind w:left="0"/>
              <w:jc w:val="left"/>
              <w:rPr>
                <w:b/>
              </w:rPr>
            </w:pPr>
            <w:r>
              <w:rPr>
                <w:b/>
              </w:rPr>
              <w:t>Double-Blind Clinical Responses at Week 12</w:t>
            </w:r>
          </w:p>
        </w:tc>
        <w:tc>
          <w:tcPr>
            <w:tcW w:w="2401" w:type="dxa"/>
            <w:tcBorders>
              <w:top w:val="single" w:sz="12" w:space="0" w:color="auto"/>
              <w:left w:val="single" w:sz="12" w:space="0" w:color="auto"/>
              <w:bottom w:val="single" w:sz="12" w:space="0" w:color="auto"/>
              <w:right w:val="single" w:sz="12" w:space="0" w:color="auto"/>
            </w:tcBorders>
            <w:vAlign w:val="center"/>
          </w:tcPr>
          <w:p w14:paraId="4140A6AF" w14:textId="77777777" w:rsidR="006C0FEB" w:rsidRDefault="006C0FEB" w:rsidP="0021426A">
            <w:pPr>
              <w:pStyle w:val="NormalIndent1"/>
              <w:ind w:left="0"/>
              <w:jc w:val="left"/>
              <w:rPr>
                <w:b/>
              </w:rPr>
            </w:pPr>
            <w:r>
              <w:rPr>
                <w:b/>
              </w:rPr>
              <w:t>Placebo</w:t>
            </w:r>
          </w:p>
          <w:p w14:paraId="684753ED" w14:textId="77777777" w:rsidR="006C0FEB" w:rsidRPr="00B929B6" w:rsidRDefault="006C0FEB" w:rsidP="0021426A">
            <w:pPr>
              <w:pStyle w:val="NormalIndent1"/>
              <w:ind w:left="0"/>
              <w:jc w:val="left"/>
              <w:rPr>
                <w:b/>
              </w:rPr>
            </w:pPr>
            <w:r>
              <w:rPr>
                <w:b/>
              </w:rPr>
              <w:t>n = 106 to 109*</w:t>
            </w:r>
          </w:p>
        </w:tc>
        <w:tc>
          <w:tcPr>
            <w:tcW w:w="2402" w:type="dxa"/>
            <w:tcBorders>
              <w:top w:val="single" w:sz="12" w:space="0" w:color="auto"/>
              <w:left w:val="single" w:sz="12" w:space="0" w:color="auto"/>
              <w:bottom w:val="single" w:sz="12" w:space="0" w:color="auto"/>
              <w:right w:val="single" w:sz="12" w:space="0" w:color="auto"/>
            </w:tcBorders>
            <w:vAlign w:val="center"/>
          </w:tcPr>
          <w:p w14:paraId="136B8876" w14:textId="7B9EC4A1" w:rsidR="006C0FEB" w:rsidRDefault="00C36EA6" w:rsidP="0021426A">
            <w:pPr>
              <w:pStyle w:val="NormalIndent1"/>
              <w:ind w:left="0"/>
              <w:jc w:val="left"/>
              <w:rPr>
                <w:b/>
              </w:rPr>
            </w:pPr>
            <w:r>
              <w:rPr>
                <w:b/>
              </w:rPr>
              <w:t>Etanercept</w:t>
            </w:r>
          </w:p>
          <w:p w14:paraId="1F5ED6C9" w14:textId="77777777" w:rsidR="006C0FEB" w:rsidRPr="00B929B6" w:rsidRDefault="006C0FEB" w:rsidP="0021426A">
            <w:pPr>
              <w:pStyle w:val="NormalIndent1"/>
              <w:ind w:left="0"/>
              <w:jc w:val="left"/>
              <w:rPr>
                <w:b/>
              </w:rPr>
            </w:pPr>
            <w:r>
              <w:rPr>
                <w:b/>
              </w:rPr>
              <w:t>n = 103 to 105*</w:t>
            </w:r>
          </w:p>
        </w:tc>
      </w:tr>
      <w:tr w:rsidR="006C0FEB" w:rsidRPr="006C0FEB" w14:paraId="0B1FF0FB" w14:textId="77777777" w:rsidTr="006E544D">
        <w:tc>
          <w:tcPr>
            <w:tcW w:w="9183" w:type="dxa"/>
            <w:gridSpan w:val="3"/>
            <w:tcBorders>
              <w:top w:val="single" w:sz="12" w:space="0" w:color="auto"/>
            </w:tcBorders>
          </w:tcPr>
          <w:p w14:paraId="23F50DD2" w14:textId="77777777" w:rsidR="006C0FEB" w:rsidRPr="006C0FEB" w:rsidRDefault="006C0FEB" w:rsidP="0021426A">
            <w:pPr>
              <w:pStyle w:val="NormalIndent1"/>
              <w:ind w:left="0"/>
              <w:jc w:val="left"/>
              <w:rPr>
                <w:b/>
              </w:rPr>
            </w:pPr>
            <w:r w:rsidRPr="006C0FEB">
              <w:rPr>
                <w:b/>
              </w:rPr>
              <w:t>Primary Endpoint</w:t>
            </w:r>
          </w:p>
        </w:tc>
      </w:tr>
      <w:tr w:rsidR="006C0FEB" w14:paraId="1D520FDD" w14:textId="77777777" w:rsidTr="006C0FEB">
        <w:tc>
          <w:tcPr>
            <w:tcW w:w="4380" w:type="dxa"/>
          </w:tcPr>
          <w:p w14:paraId="636C8FCB" w14:textId="77777777" w:rsidR="006C0FEB" w:rsidRDefault="006C0FEB" w:rsidP="0021426A">
            <w:pPr>
              <w:pStyle w:val="NormalIndent1"/>
              <w:spacing w:before="40" w:after="40"/>
              <w:ind w:left="301"/>
              <w:jc w:val="left"/>
            </w:pPr>
            <w:r>
              <w:t>ASAS** 40</w:t>
            </w:r>
          </w:p>
        </w:tc>
        <w:tc>
          <w:tcPr>
            <w:tcW w:w="2401" w:type="dxa"/>
            <w:vAlign w:val="center"/>
          </w:tcPr>
          <w:p w14:paraId="56D54AF1" w14:textId="77777777" w:rsidR="006C0FEB" w:rsidRDefault="006C0FEB" w:rsidP="0021426A">
            <w:pPr>
              <w:pStyle w:val="NormalIndent1"/>
              <w:spacing w:before="40" w:after="40"/>
              <w:ind w:left="0"/>
              <w:jc w:val="left"/>
            </w:pPr>
            <w:r>
              <w:t>15.7</w:t>
            </w:r>
            <w:r>
              <w:rPr>
                <w:rFonts w:cstheme="minorHAnsi"/>
              </w:rPr>
              <w:t>†</w:t>
            </w:r>
          </w:p>
        </w:tc>
        <w:tc>
          <w:tcPr>
            <w:tcW w:w="2402" w:type="dxa"/>
            <w:vAlign w:val="center"/>
          </w:tcPr>
          <w:p w14:paraId="4FA8E47B" w14:textId="77777777" w:rsidR="006C0FEB" w:rsidRDefault="006C0FEB" w:rsidP="0021426A">
            <w:pPr>
              <w:pStyle w:val="NormalIndent1"/>
              <w:spacing w:before="40" w:after="40"/>
              <w:ind w:left="0"/>
              <w:jc w:val="left"/>
            </w:pPr>
            <w:r>
              <w:t>32.4</w:t>
            </w:r>
            <w:r w:rsidRPr="006C0FEB">
              <w:rPr>
                <w:vertAlign w:val="superscript"/>
              </w:rPr>
              <w:t>a</w:t>
            </w:r>
            <w:r>
              <w:rPr>
                <w:rFonts w:cstheme="minorHAnsi"/>
              </w:rPr>
              <w:t>†</w:t>
            </w:r>
          </w:p>
        </w:tc>
      </w:tr>
      <w:tr w:rsidR="006C0FEB" w14:paraId="13D9F891" w14:textId="77777777" w:rsidTr="006E544D">
        <w:tc>
          <w:tcPr>
            <w:tcW w:w="9183" w:type="dxa"/>
            <w:gridSpan w:val="3"/>
          </w:tcPr>
          <w:p w14:paraId="70374834" w14:textId="77777777" w:rsidR="006C0FEB" w:rsidRPr="006C0FEB" w:rsidRDefault="006C0FEB" w:rsidP="0021426A">
            <w:pPr>
              <w:pStyle w:val="NormalIndent1"/>
              <w:ind w:left="0"/>
              <w:jc w:val="left"/>
              <w:rPr>
                <w:b/>
              </w:rPr>
            </w:pPr>
            <w:r w:rsidRPr="006C0FEB">
              <w:rPr>
                <w:b/>
              </w:rPr>
              <w:t>Secondary Endpoints</w:t>
            </w:r>
          </w:p>
        </w:tc>
      </w:tr>
      <w:tr w:rsidR="006C0FEB" w14:paraId="18EFD73B" w14:textId="77777777" w:rsidTr="006C0FEB">
        <w:tc>
          <w:tcPr>
            <w:tcW w:w="4380" w:type="dxa"/>
          </w:tcPr>
          <w:p w14:paraId="2C2187F4" w14:textId="77777777" w:rsidR="006C0FEB" w:rsidRDefault="006C0FEB" w:rsidP="0021426A">
            <w:pPr>
              <w:pStyle w:val="NormalIndent1"/>
              <w:spacing w:before="40" w:after="40"/>
              <w:ind w:left="301"/>
              <w:jc w:val="left"/>
            </w:pPr>
            <w:r>
              <w:t>ASAS 20</w:t>
            </w:r>
          </w:p>
        </w:tc>
        <w:tc>
          <w:tcPr>
            <w:tcW w:w="2401" w:type="dxa"/>
            <w:vAlign w:val="center"/>
          </w:tcPr>
          <w:p w14:paraId="1D6954BD" w14:textId="77777777" w:rsidR="006C0FEB" w:rsidRDefault="006C0FEB" w:rsidP="0021426A">
            <w:pPr>
              <w:pStyle w:val="NormalIndent1"/>
              <w:spacing w:before="40" w:after="40"/>
              <w:ind w:left="0"/>
              <w:jc w:val="left"/>
            </w:pPr>
            <w:r>
              <w:t>36.1</w:t>
            </w:r>
          </w:p>
        </w:tc>
        <w:tc>
          <w:tcPr>
            <w:tcW w:w="2402" w:type="dxa"/>
            <w:vAlign w:val="center"/>
          </w:tcPr>
          <w:p w14:paraId="6CE499DE" w14:textId="77777777" w:rsidR="006C0FEB" w:rsidRDefault="006C0FEB" w:rsidP="0021426A">
            <w:pPr>
              <w:pStyle w:val="NormalIndent1"/>
              <w:spacing w:before="40" w:after="40"/>
              <w:ind w:left="0"/>
              <w:jc w:val="left"/>
            </w:pPr>
            <w:r>
              <w:t>52.4</w:t>
            </w:r>
          </w:p>
        </w:tc>
      </w:tr>
      <w:tr w:rsidR="006C0FEB" w14:paraId="2D0E6DC3" w14:textId="77777777" w:rsidTr="006C0FEB">
        <w:tc>
          <w:tcPr>
            <w:tcW w:w="4380" w:type="dxa"/>
          </w:tcPr>
          <w:p w14:paraId="4420B665" w14:textId="77777777" w:rsidR="006C0FEB" w:rsidRDefault="006C0FEB" w:rsidP="0021426A">
            <w:pPr>
              <w:pStyle w:val="NormalIndent1"/>
              <w:spacing w:before="40" w:after="40"/>
              <w:ind w:left="301"/>
              <w:jc w:val="left"/>
            </w:pPr>
            <w:r>
              <w:t>ASAS 5/6</w:t>
            </w:r>
          </w:p>
        </w:tc>
        <w:tc>
          <w:tcPr>
            <w:tcW w:w="2401" w:type="dxa"/>
            <w:vAlign w:val="center"/>
          </w:tcPr>
          <w:p w14:paraId="360210DE" w14:textId="77777777" w:rsidR="006C0FEB" w:rsidRDefault="006C0FEB" w:rsidP="0021426A">
            <w:pPr>
              <w:pStyle w:val="NormalIndent1"/>
              <w:spacing w:before="40" w:after="40"/>
              <w:ind w:left="0"/>
              <w:jc w:val="left"/>
            </w:pPr>
            <w:r>
              <w:t>10.4</w:t>
            </w:r>
          </w:p>
        </w:tc>
        <w:tc>
          <w:tcPr>
            <w:tcW w:w="2402" w:type="dxa"/>
            <w:vAlign w:val="center"/>
          </w:tcPr>
          <w:p w14:paraId="084DD5C4" w14:textId="77777777" w:rsidR="006C0FEB" w:rsidRDefault="006C0FEB" w:rsidP="0021426A">
            <w:pPr>
              <w:pStyle w:val="NormalIndent1"/>
              <w:spacing w:before="40" w:after="40"/>
              <w:ind w:left="0"/>
              <w:jc w:val="left"/>
            </w:pPr>
            <w:r>
              <w:t>33.0</w:t>
            </w:r>
          </w:p>
        </w:tc>
      </w:tr>
      <w:tr w:rsidR="006C0FEB" w14:paraId="4AC94B9A" w14:textId="77777777" w:rsidTr="006C0FEB">
        <w:tc>
          <w:tcPr>
            <w:tcW w:w="4380" w:type="dxa"/>
          </w:tcPr>
          <w:p w14:paraId="1D95961A" w14:textId="77777777" w:rsidR="006C0FEB" w:rsidRDefault="006C0FEB" w:rsidP="0021426A">
            <w:pPr>
              <w:pStyle w:val="NormalIndent1"/>
              <w:spacing w:before="40" w:after="40"/>
              <w:ind w:left="301"/>
              <w:jc w:val="left"/>
            </w:pPr>
            <w:r>
              <w:t>ASAS Partial Remission</w:t>
            </w:r>
          </w:p>
        </w:tc>
        <w:tc>
          <w:tcPr>
            <w:tcW w:w="2401" w:type="dxa"/>
            <w:vAlign w:val="center"/>
          </w:tcPr>
          <w:p w14:paraId="0EAC2922" w14:textId="77777777" w:rsidR="006C0FEB" w:rsidRDefault="006C0FEB" w:rsidP="0021426A">
            <w:pPr>
              <w:pStyle w:val="NormalIndent1"/>
              <w:spacing w:before="40" w:after="40"/>
              <w:ind w:left="0"/>
              <w:jc w:val="left"/>
            </w:pPr>
            <w:r>
              <w:t>11.9</w:t>
            </w:r>
          </w:p>
        </w:tc>
        <w:tc>
          <w:tcPr>
            <w:tcW w:w="2402" w:type="dxa"/>
            <w:vAlign w:val="center"/>
          </w:tcPr>
          <w:p w14:paraId="7DB2ADFA" w14:textId="77777777" w:rsidR="006C0FEB" w:rsidRDefault="006C0FEB" w:rsidP="0021426A">
            <w:pPr>
              <w:pStyle w:val="NormalIndent1"/>
              <w:spacing w:before="40" w:after="40"/>
              <w:ind w:left="0"/>
              <w:jc w:val="left"/>
            </w:pPr>
            <w:r>
              <w:t>24.8</w:t>
            </w:r>
          </w:p>
        </w:tc>
      </w:tr>
      <w:tr w:rsidR="006C0FEB" w14:paraId="3A8F6AD3" w14:textId="77777777" w:rsidTr="006C0FEB">
        <w:tc>
          <w:tcPr>
            <w:tcW w:w="4380" w:type="dxa"/>
          </w:tcPr>
          <w:p w14:paraId="27662F7C" w14:textId="77777777" w:rsidR="006C0FEB" w:rsidRDefault="006C0FEB" w:rsidP="0021426A">
            <w:pPr>
              <w:pStyle w:val="NormalIndent1"/>
              <w:spacing w:before="40" w:after="40"/>
              <w:ind w:left="301"/>
              <w:jc w:val="left"/>
            </w:pPr>
            <w:r>
              <w:t>BASDAI*** 50</w:t>
            </w:r>
          </w:p>
        </w:tc>
        <w:tc>
          <w:tcPr>
            <w:tcW w:w="2401" w:type="dxa"/>
            <w:vAlign w:val="center"/>
          </w:tcPr>
          <w:p w14:paraId="1638680A" w14:textId="77777777" w:rsidR="006C0FEB" w:rsidRDefault="006C0FEB" w:rsidP="0021426A">
            <w:pPr>
              <w:pStyle w:val="NormalIndent1"/>
              <w:spacing w:before="40" w:after="40"/>
              <w:ind w:left="0"/>
              <w:jc w:val="left"/>
            </w:pPr>
            <w:r>
              <w:t>23.9</w:t>
            </w:r>
          </w:p>
        </w:tc>
        <w:tc>
          <w:tcPr>
            <w:tcW w:w="2402" w:type="dxa"/>
            <w:vAlign w:val="center"/>
          </w:tcPr>
          <w:p w14:paraId="0CFBFFC2" w14:textId="77777777" w:rsidR="006C0FEB" w:rsidRDefault="006C0FEB" w:rsidP="0021426A">
            <w:pPr>
              <w:pStyle w:val="NormalIndent1"/>
              <w:spacing w:before="40" w:after="40"/>
              <w:ind w:left="0"/>
              <w:jc w:val="left"/>
            </w:pPr>
            <w:r>
              <w:t>43.8</w:t>
            </w:r>
          </w:p>
        </w:tc>
      </w:tr>
    </w:tbl>
    <w:p w14:paraId="07D66FB9" w14:textId="77777777" w:rsidR="006C0FEB" w:rsidRPr="006C0FEB" w:rsidRDefault="006C0FEB" w:rsidP="0021426A">
      <w:pPr>
        <w:pStyle w:val="NormalIndent1"/>
        <w:ind w:left="993" w:hanging="568"/>
        <w:jc w:val="left"/>
        <w:rPr>
          <w:sz w:val="20"/>
          <w:szCs w:val="20"/>
          <w:lang w:val="en-US"/>
        </w:rPr>
      </w:pPr>
      <w:r>
        <w:rPr>
          <w:rFonts w:cstheme="minorHAnsi"/>
        </w:rPr>
        <w:t>†</w:t>
      </w:r>
      <w:r>
        <w:rPr>
          <w:rFonts w:cstheme="minorHAnsi"/>
        </w:rPr>
        <w:tab/>
      </w:r>
      <w:r w:rsidRPr="006C0FEB">
        <w:rPr>
          <w:sz w:val="20"/>
          <w:szCs w:val="20"/>
          <w:lang w:val="en-US"/>
        </w:rPr>
        <w:t>Difference in proportions % (95% CI) = 16.64 (5.36, 27.92)</w:t>
      </w:r>
      <w:r>
        <w:rPr>
          <w:sz w:val="20"/>
          <w:szCs w:val="20"/>
          <w:lang w:val="en-US"/>
        </w:rPr>
        <w:t>.</w:t>
      </w:r>
    </w:p>
    <w:p w14:paraId="4888BD6F" w14:textId="77777777" w:rsidR="006C0FEB" w:rsidRPr="006C0FEB" w:rsidRDefault="006C0FEB" w:rsidP="0021426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Some patients did not provide complete data for each endpoint</w:t>
      </w:r>
      <w:r>
        <w:rPr>
          <w:sz w:val="20"/>
          <w:szCs w:val="20"/>
          <w:lang w:val="en-US"/>
        </w:rPr>
        <w:t>.</w:t>
      </w:r>
    </w:p>
    <w:p w14:paraId="40D83220" w14:textId="77777777" w:rsidR="006C0FEB" w:rsidRPr="006C0FEB" w:rsidRDefault="006C0FEB" w:rsidP="0021426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ASAS=Assessments in Spondyloarthritis International Society</w:t>
      </w:r>
      <w:r>
        <w:rPr>
          <w:sz w:val="20"/>
          <w:szCs w:val="20"/>
          <w:lang w:val="en-US"/>
        </w:rPr>
        <w:t>.</w:t>
      </w:r>
    </w:p>
    <w:p w14:paraId="4107D78E" w14:textId="77777777" w:rsidR="006C0FEB" w:rsidRDefault="006C0FEB" w:rsidP="0021426A">
      <w:pPr>
        <w:pStyle w:val="NormalIndent1"/>
        <w:ind w:left="993" w:hanging="568"/>
        <w:jc w:val="left"/>
        <w:rPr>
          <w:sz w:val="20"/>
          <w:szCs w:val="20"/>
          <w:lang w:val="en-US"/>
        </w:rPr>
      </w:pPr>
      <w:r w:rsidRPr="006C0FEB">
        <w:rPr>
          <w:szCs w:val="20"/>
          <w:lang w:val="en-US"/>
        </w:rPr>
        <w:t>***</w:t>
      </w:r>
      <w:r>
        <w:rPr>
          <w:sz w:val="20"/>
          <w:szCs w:val="20"/>
          <w:lang w:val="en-US"/>
        </w:rPr>
        <w:tab/>
      </w:r>
      <w:r w:rsidRPr="006C0FEB">
        <w:rPr>
          <w:sz w:val="20"/>
          <w:szCs w:val="20"/>
          <w:lang w:val="en-US"/>
        </w:rPr>
        <w:t>Bath Ankylosing Spondylitis Disease Activity Index</w:t>
      </w:r>
      <w:r>
        <w:rPr>
          <w:sz w:val="20"/>
          <w:szCs w:val="20"/>
          <w:lang w:val="en-US"/>
        </w:rPr>
        <w:t>.</w:t>
      </w:r>
    </w:p>
    <w:p w14:paraId="64E54BEF" w14:textId="14EA52D2" w:rsidR="006C0FEB" w:rsidRPr="006C0FEB" w:rsidRDefault="006C0FEB" w:rsidP="0021426A">
      <w:pPr>
        <w:pStyle w:val="NormalIndent1"/>
        <w:ind w:left="993" w:hanging="568"/>
        <w:jc w:val="left"/>
        <w:rPr>
          <w:sz w:val="20"/>
          <w:szCs w:val="20"/>
          <w:lang w:val="en-US"/>
        </w:rPr>
      </w:pPr>
      <w:r w:rsidRPr="006C0FEB">
        <w:rPr>
          <w:szCs w:val="20"/>
          <w:vertAlign w:val="superscript"/>
          <w:lang w:val="en-US"/>
        </w:rPr>
        <w:t>a</w:t>
      </w:r>
      <w:r>
        <w:rPr>
          <w:sz w:val="20"/>
          <w:szCs w:val="20"/>
          <w:lang w:val="en-US"/>
        </w:rPr>
        <w:tab/>
      </w:r>
      <w:r w:rsidRPr="006C0FEB">
        <w:rPr>
          <w:sz w:val="20"/>
          <w:szCs w:val="20"/>
          <w:lang w:val="en-US"/>
        </w:rPr>
        <w:t>p</w:t>
      </w:r>
      <w:r w:rsidR="00B20D25">
        <w:rPr>
          <w:sz w:val="20"/>
          <w:szCs w:val="20"/>
          <w:lang w:val="en-US"/>
        </w:rPr>
        <w:t xml:space="preserve"> </w:t>
      </w:r>
      <w:r w:rsidRPr="006C0FEB">
        <w:rPr>
          <w:sz w:val="20"/>
          <w:szCs w:val="20"/>
          <w:lang w:val="en-US"/>
        </w:rPr>
        <w:t>&lt;</w:t>
      </w:r>
      <w:r w:rsidR="00B20D25">
        <w:rPr>
          <w:sz w:val="20"/>
          <w:szCs w:val="20"/>
          <w:lang w:val="en-US"/>
        </w:rPr>
        <w:t xml:space="preserve"> </w:t>
      </w:r>
      <w:r w:rsidRPr="006C0FEB">
        <w:rPr>
          <w:sz w:val="20"/>
          <w:szCs w:val="20"/>
          <w:lang w:val="en-US"/>
        </w:rPr>
        <w:t xml:space="preserve">0.01 between </w:t>
      </w:r>
      <w:r w:rsidR="00C36EA6">
        <w:rPr>
          <w:sz w:val="20"/>
          <w:szCs w:val="20"/>
          <w:lang w:val="en-US"/>
        </w:rPr>
        <w:t>etanercept</w:t>
      </w:r>
      <w:r w:rsidRPr="006C0FEB">
        <w:rPr>
          <w:sz w:val="20"/>
          <w:szCs w:val="20"/>
          <w:lang w:val="en-US"/>
        </w:rPr>
        <w:t xml:space="preserve"> and placebo</w:t>
      </w:r>
      <w:r>
        <w:rPr>
          <w:sz w:val="20"/>
          <w:szCs w:val="20"/>
          <w:lang w:val="en-US"/>
        </w:rPr>
        <w:t>.</w:t>
      </w:r>
    </w:p>
    <w:p w14:paraId="4B9EF880" w14:textId="77777777" w:rsidR="006C0FEB" w:rsidRDefault="006C0FEB" w:rsidP="0021426A">
      <w:pPr>
        <w:pStyle w:val="NormalIndent1"/>
        <w:jc w:val="left"/>
      </w:pPr>
    </w:p>
    <w:p w14:paraId="2CB016D3" w14:textId="228C2153" w:rsidR="006C0FEB" w:rsidRPr="006C0FEB" w:rsidRDefault="006C0FEB" w:rsidP="0021426A">
      <w:pPr>
        <w:pStyle w:val="NormalIndent1"/>
        <w:jc w:val="left"/>
        <w:rPr>
          <w:lang w:val="en-US"/>
        </w:rPr>
      </w:pPr>
      <w:r w:rsidRPr="006C0FEB">
        <w:rPr>
          <w:lang w:val="en-US"/>
        </w:rPr>
        <w:t xml:space="preserve">At week 12, there was an improvement in the secondary MRI endpoint SPARCC (Spondyloarthritis Research Consortium of Canada) score for the sacroiliac joint for patients receiving </w:t>
      </w:r>
      <w:r w:rsidR="00C36EA6">
        <w:rPr>
          <w:lang w:val="en-US"/>
        </w:rPr>
        <w:t>etanercept</w:t>
      </w:r>
      <w:r w:rsidRPr="006C0FEB">
        <w:rPr>
          <w:lang w:val="en-US"/>
        </w:rPr>
        <w:t xml:space="preserve">. </w:t>
      </w:r>
      <w:r>
        <w:rPr>
          <w:lang w:val="en-US"/>
        </w:rPr>
        <w:t xml:space="preserve"> </w:t>
      </w:r>
      <w:r w:rsidRPr="006C0FEB">
        <w:rPr>
          <w:lang w:val="en-US"/>
        </w:rPr>
        <w:t xml:space="preserve">Adjusted mean change from baseline was -3.8 for </w:t>
      </w:r>
      <w:r w:rsidR="00C36EA6">
        <w:rPr>
          <w:lang w:val="en-US"/>
        </w:rPr>
        <w:t>etanercept</w:t>
      </w:r>
      <w:r w:rsidRPr="006C0FEB">
        <w:rPr>
          <w:lang w:val="en-US"/>
        </w:rPr>
        <w:t xml:space="preserve"> treated (n</w:t>
      </w:r>
      <w:r>
        <w:rPr>
          <w:lang w:val="en-US"/>
        </w:rPr>
        <w:t xml:space="preserve"> </w:t>
      </w:r>
      <w:r w:rsidRPr="006C0FEB">
        <w:rPr>
          <w:lang w:val="en-US"/>
        </w:rPr>
        <w:t>=</w:t>
      </w:r>
      <w:r>
        <w:rPr>
          <w:lang w:val="en-US"/>
        </w:rPr>
        <w:t xml:space="preserve"> </w:t>
      </w:r>
      <w:r w:rsidRPr="006C0FEB">
        <w:rPr>
          <w:lang w:val="en-US"/>
        </w:rPr>
        <w:t>95) versus -0.8 for placebo treated (n</w:t>
      </w:r>
      <w:r>
        <w:rPr>
          <w:lang w:val="en-US"/>
        </w:rPr>
        <w:t xml:space="preserve"> </w:t>
      </w:r>
      <w:r w:rsidRPr="006C0FEB">
        <w:rPr>
          <w:lang w:val="en-US"/>
        </w:rPr>
        <w:t>=</w:t>
      </w:r>
      <w:r>
        <w:rPr>
          <w:lang w:val="en-US"/>
        </w:rPr>
        <w:t xml:space="preserve"> </w:t>
      </w:r>
      <w:r w:rsidRPr="006C0FEB">
        <w:rPr>
          <w:lang w:val="en-US"/>
        </w:rPr>
        <w:t>105) patients.</w:t>
      </w:r>
    </w:p>
    <w:p w14:paraId="7A686BB3" w14:textId="77777777" w:rsidR="006C0FEB" w:rsidRPr="006C0FEB" w:rsidRDefault="006C0FEB" w:rsidP="0021426A">
      <w:pPr>
        <w:pStyle w:val="NormalIndent1"/>
        <w:jc w:val="left"/>
        <w:rPr>
          <w:lang w:val="en-US"/>
        </w:rPr>
      </w:pPr>
    </w:p>
    <w:p w14:paraId="12F8A412" w14:textId="74E729EB" w:rsidR="006C0FEB" w:rsidRPr="006C0FEB" w:rsidRDefault="006C0FEB" w:rsidP="0021426A">
      <w:pPr>
        <w:pStyle w:val="NormalIndent1"/>
        <w:jc w:val="left"/>
        <w:rPr>
          <w:lang w:val="en-US"/>
        </w:rPr>
      </w:pPr>
      <w:r w:rsidRPr="006C0FEB">
        <w:rPr>
          <w:lang w:val="en-US"/>
        </w:rPr>
        <w:t xml:space="preserve">The secondary endpoints physical function and health-related quality of life were assessed using the BASFI (Bath Ankylosing Spondylitis Functional Index), </w:t>
      </w:r>
      <w:proofErr w:type="spellStart"/>
      <w:r w:rsidRPr="006C0FEB">
        <w:rPr>
          <w:lang w:val="en-US"/>
        </w:rPr>
        <w:t>EuroQol</w:t>
      </w:r>
      <w:proofErr w:type="spellEnd"/>
      <w:r w:rsidRPr="006C0FEB">
        <w:rPr>
          <w:lang w:val="en-US"/>
        </w:rPr>
        <w:t xml:space="preserve"> 5D and the SF-36 questionnaires.</w:t>
      </w:r>
      <w:r>
        <w:rPr>
          <w:lang w:val="en-US"/>
        </w:rPr>
        <w:t xml:space="preserve"> </w:t>
      </w:r>
      <w:r w:rsidRPr="006C0FEB">
        <w:rPr>
          <w:lang w:val="en-US"/>
        </w:rPr>
        <w:t xml:space="preserve"> </w:t>
      </w:r>
      <w:r w:rsidR="00C36EA6">
        <w:rPr>
          <w:lang w:val="en-US"/>
        </w:rPr>
        <w:t>etanercept</w:t>
      </w:r>
      <w:r w:rsidRPr="006C0FEB">
        <w:rPr>
          <w:lang w:val="en-US"/>
        </w:rPr>
        <w:t xml:space="preserve"> showed greater improvement in the BASFI, EQ5D Overall Health State Score and the SF-36 Physical Component Score (PCS) from baseline to week 12 compared to placebo.  Other measures of quality of life and anxiety/depression scales (including Ankylosing Spondylitis Quality of Life (</w:t>
      </w:r>
      <w:proofErr w:type="spellStart"/>
      <w:r w:rsidRPr="006C0FEB">
        <w:rPr>
          <w:lang w:val="en-US"/>
        </w:rPr>
        <w:t>ASQoL</w:t>
      </w:r>
      <w:proofErr w:type="spellEnd"/>
      <w:r w:rsidRPr="006C0FEB">
        <w:rPr>
          <w:lang w:val="en-US"/>
        </w:rPr>
        <w:t>) Scores, Ankylosing Spondylitis Work Instability Index (AS-WIS) and Hospital Anxiety and Depression Scale (HADS)), and the Bath Ankylosing Spondylitis Patient Global Assessment Score (BAS-G), all secondary endpoints, showed no evidence of difference between the etanercept and placebo groups.</w:t>
      </w:r>
    </w:p>
    <w:p w14:paraId="67BB0BB2" w14:textId="77777777" w:rsidR="006C0FEB" w:rsidRPr="006C0FEB" w:rsidRDefault="006C0FEB" w:rsidP="0021426A">
      <w:pPr>
        <w:pStyle w:val="NormalIndent1"/>
        <w:jc w:val="left"/>
        <w:rPr>
          <w:lang w:val="en-US"/>
        </w:rPr>
      </w:pPr>
    </w:p>
    <w:p w14:paraId="0DBC9E9C" w14:textId="6340021F" w:rsidR="006C0FEB" w:rsidRDefault="006C0FEB" w:rsidP="0021426A">
      <w:pPr>
        <w:pStyle w:val="NormalIndent1"/>
        <w:jc w:val="left"/>
        <w:rPr>
          <w:lang w:val="en-US"/>
        </w:rPr>
      </w:pPr>
      <w:r w:rsidRPr="006C0FEB">
        <w:rPr>
          <w:lang w:val="en-US"/>
        </w:rPr>
        <w:t xml:space="preserve">Clinical responses among nr-AxSpA patients who received </w:t>
      </w:r>
      <w:r w:rsidR="00C36EA6">
        <w:rPr>
          <w:lang w:val="en-US"/>
        </w:rPr>
        <w:t>etanercept</w:t>
      </w:r>
      <w:r w:rsidRPr="006C0FEB">
        <w:rPr>
          <w:lang w:val="en-US"/>
        </w:rPr>
        <w:t xml:space="preserve"> (as assessed by ASAS 40) were apparent at the time of the first visit (2 weeks) and were maintained through 2 years of therapy.  Improvements in health-related quality of life as assessed by SF-36) and physical function (as assessed by BASFI) were also maintained through 2 years of therapy</w:t>
      </w:r>
      <w:r>
        <w:rPr>
          <w:lang w:val="en-US"/>
        </w:rPr>
        <w:t>.</w:t>
      </w:r>
    </w:p>
    <w:p w14:paraId="181D6C37" w14:textId="77777777" w:rsidR="006C0FEB" w:rsidRDefault="006C0FEB" w:rsidP="0021426A">
      <w:pPr>
        <w:pStyle w:val="NormalIndent1"/>
        <w:jc w:val="left"/>
      </w:pPr>
    </w:p>
    <w:p w14:paraId="3BCD2D88" w14:textId="77777777" w:rsidR="006C0FEB" w:rsidRPr="006C0FEB" w:rsidRDefault="0030673C" w:rsidP="00EC69B5">
      <w:pPr>
        <w:pStyle w:val="NormalIndent1"/>
        <w:pageBreakBefore/>
        <w:jc w:val="left"/>
        <w:rPr>
          <w:b/>
        </w:rPr>
      </w:pPr>
      <w:r>
        <w:rPr>
          <w:b/>
        </w:rPr>
        <w:t xml:space="preserve">Figure 4: </w:t>
      </w:r>
      <w:r w:rsidR="006C0FEB" w:rsidRPr="006C0FEB">
        <w:rPr>
          <w:b/>
        </w:rPr>
        <w:t>Ef</w:t>
      </w:r>
      <w:r w:rsidR="006C0FEB" w:rsidRPr="006C0FEB">
        <w:rPr>
          <w:b/>
          <w:spacing w:val="1"/>
        </w:rPr>
        <w:t>f</w:t>
      </w:r>
      <w:r w:rsidR="006C0FEB" w:rsidRPr="006C0FEB">
        <w:rPr>
          <w:b/>
        </w:rPr>
        <w:t>ica</w:t>
      </w:r>
      <w:r w:rsidR="006C0FEB" w:rsidRPr="006C0FEB">
        <w:rPr>
          <w:b/>
          <w:spacing w:val="-1"/>
        </w:rPr>
        <w:t>c</w:t>
      </w:r>
      <w:r w:rsidR="006C0FEB" w:rsidRPr="006C0FEB">
        <w:rPr>
          <w:b/>
        </w:rPr>
        <w:t>y R</w:t>
      </w:r>
      <w:r w:rsidR="006C0FEB" w:rsidRPr="006C0FEB">
        <w:rPr>
          <w:b/>
          <w:spacing w:val="-1"/>
        </w:rPr>
        <w:t>e</w:t>
      </w:r>
      <w:r w:rsidR="006C0FEB" w:rsidRPr="006C0FEB">
        <w:rPr>
          <w:b/>
        </w:rPr>
        <w:t>s</w:t>
      </w:r>
      <w:r w:rsidR="006C0FEB" w:rsidRPr="006C0FEB">
        <w:rPr>
          <w:b/>
          <w:spacing w:val="1"/>
        </w:rPr>
        <w:t>p</w:t>
      </w:r>
      <w:r w:rsidR="006C0FEB" w:rsidRPr="006C0FEB">
        <w:rPr>
          <w:b/>
        </w:rPr>
        <w:t>o</w:t>
      </w:r>
      <w:r w:rsidR="006C0FEB" w:rsidRPr="006C0FEB">
        <w:rPr>
          <w:b/>
          <w:spacing w:val="1"/>
        </w:rPr>
        <w:t>n</w:t>
      </w:r>
      <w:r w:rsidR="006C0FEB" w:rsidRPr="006C0FEB">
        <w:rPr>
          <w:b/>
        </w:rPr>
        <w:t>se</w:t>
      </w:r>
      <w:r w:rsidR="006C0FEB" w:rsidRPr="006C0FEB">
        <w:rPr>
          <w:b/>
          <w:spacing w:val="-1"/>
        </w:rPr>
        <w:t xml:space="preserve"> </w:t>
      </w:r>
      <w:r w:rsidR="006C0FEB" w:rsidRPr="006C0FEB">
        <w:rPr>
          <w:b/>
        </w:rPr>
        <w:t>in</w:t>
      </w:r>
      <w:r w:rsidR="006C0FEB" w:rsidRPr="006C0FEB">
        <w:rPr>
          <w:b/>
          <w:spacing w:val="1"/>
        </w:rPr>
        <w:t xml:space="preserve"> </w:t>
      </w:r>
      <w:r w:rsidR="006C0FEB" w:rsidRPr="006C0FEB">
        <w:rPr>
          <w:b/>
          <w:spacing w:val="-3"/>
        </w:rPr>
        <w:t>P</w:t>
      </w:r>
      <w:r w:rsidR="006C0FEB" w:rsidRPr="006C0FEB">
        <w:rPr>
          <w:b/>
        </w:rPr>
        <w:t>lac</w:t>
      </w:r>
      <w:r w:rsidR="006C0FEB" w:rsidRPr="006C0FEB">
        <w:rPr>
          <w:b/>
          <w:spacing w:val="-1"/>
        </w:rPr>
        <w:t>e</w:t>
      </w:r>
      <w:r w:rsidR="006C0FEB" w:rsidRPr="006C0FEB">
        <w:rPr>
          <w:b/>
          <w:spacing w:val="1"/>
        </w:rPr>
        <w:t>b</w:t>
      </w:r>
      <w:r w:rsidR="006C0FEB" w:rsidRPr="006C0FEB">
        <w:rPr>
          <w:b/>
          <w:spacing w:val="2"/>
        </w:rPr>
        <w:t>o</w:t>
      </w:r>
      <w:r w:rsidR="006C0FEB" w:rsidRPr="006C0FEB">
        <w:rPr>
          <w:b/>
          <w:spacing w:val="-1"/>
        </w:rPr>
        <w:t>-</w:t>
      </w:r>
      <w:r w:rsidR="006C0FEB" w:rsidRPr="006C0FEB">
        <w:rPr>
          <w:b/>
        </w:rPr>
        <w:t>Cont</w:t>
      </w:r>
      <w:r w:rsidR="006C0FEB" w:rsidRPr="006C0FEB">
        <w:rPr>
          <w:b/>
          <w:spacing w:val="-1"/>
        </w:rPr>
        <w:t>r</w:t>
      </w:r>
      <w:r w:rsidR="006C0FEB" w:rsidRPr="006C0FEB">
        <w:rPr>
          <w:b/>
        </w:rPr>
        <w:t>ol</w:t>
      </w:r>
      <w:r w:rsidR="006C0FEB" w:rsidRPr="006C0FEB">
        <w:rPr>
          <w:b/>
          <w:spacing w:val="1"/>
        </w:rPr>
        <w:t>l</w:t>
      </w:r>
      <w:r w:rsidR="006C0FEB" w:rsidRPr="006C0FEB">
        <w:rPr>
          <w:b/>
          <w:spacing w:val="-1"/>
        </w:rPr>
        <w:t>e</w:t>
      </w:r>
      <w:r w:rsidR="006C0FEB" w:rsidRPr="006C0FEB">
        <w:rPr>
          <w:b/>
        </w:rPr>
        <w:t>d</w:t>
      </w:r>
      <w:r w:rsidR="006C0FEB" w:rsidRPr="006C0FEB">
        <w:rPr>
          <w:b/>
          <w:spacing w:val="1"/>
        </w:rPr>
        <w:t xml:space="preserve"> n</w:t>
      </w:r>
      <w:r w:rsidR="006C0FEB" w:rsidRPr="006C0FEB">
        <w:rPr>
          <w:b/>
          <w:spacing w:val="-1"/>
        </w:rPr>
        <w:t>r-</w:t>
      </w:r>
      <w:r w:rsidR="006C0FEB" w:rsidRPr="006C0FEB">
        <w:rPr>
          <w:b/>
        </w:rPr>
        <w:t>A</w:t>
      </w:r>
      <w:r w:rsidR="006C0FEB" w:rsidRPr="006C0FEB">
        <w:rPr>
          <w:b/>
          <w:spacing w:val="2"/>
        </w:rPr>
        <w:t>x</w:t>
      </w:r>
      <w:r w:rsidR="006C0FEB" w:rsidRPr="006C0FEB">
        <w:rPr>
          <w:b/>
          <w:spacing w:val="1"/>
        </w:rPr>
        <w:t>Sp</w:t>
      </w:r>
      <w:r w:rsidR="006C0FEB" w:rsidRPr="006C0FEB">
        <w:rPr>
          <w:b/>
        </w:rPr>
        <w:t xml:space="preserve">A </w:t>
      </w:r>
      <w:r w:rsidR="006C0FEB" w:rsidRPr="006C0FEB">
        <w:rPr>
          <w:b/>
          <w:spacing w:val="1"/>
        </w:rPr>
        <w:t>S</w:t>
      </w:r>
      <w:r w:rsidR="006C0FEB" w:rsidRPr="006C0FEB">
        <w:rPr>
          <w:b/>
        </w:rPr>
        <w:t>tu</w:t>
      </w:r>
      <w:r w:rsidR="006C0FEB" w:rsidRPr="006C0FEB">
        <w:rPr>
          <w:b/>
          <w:spacing w:val="1"/>
        </w:rPr>
        <w:t>d</w:t>
      </w:r>
      <w:r w:rsidR="006C0FEB" w:rsidRPr="006C0FEB">
        <w:rPr>
          <w:b/>
        </w:rPr>
        <w:t xml:space="preserve">y: </w:t>
      </w:r>
      <w:r w:rsidR="006C0FEB">
        <w:rPr>
          <w:b/>
        </w:rPr>
        <w:t xml:space="preserve"> </w:t>
      </w:r>
      <w:r w:rsidR="006C0FEB" w:rsidRPr="006C0FEB">
        <w:rPr>
          <w:b/>
          <w:spacing w:val="-3"/>
        </w:rPr>
        <w:t>P</w:t>
      </w:r>
      <w:r w:rsidR="006C0FEB" w:rsidRPr="006C0FEB">
        <w:rPr>
          <w:b/>
          <w:spacing w:val="-1"/>
        </w:rPr>
        <w:t>r</w:t>
      </w:r>
      <w:r w:rsidR="006C0FEB" w:rsidRPr="006C0FEB">
        <w:rPr>
          <w:b/>
        </w:rPr>
        <w:t>o</w:t>
      </w:r>
      <w:r w:rsidR="006C0FEB" w:rsidRPr="006C0FEB">
        <w:rPr>
          <w:b/>
          <w:spacing w:val="1"/>
        </w:rPr>
        <w:t>p</w:t>
      </w:r>
      <w:r w:rsidR="006C0FEB" w:rsidRPr="006C0FEB">
        <w:rPr>
          <w:b/>
        </w:rPr>
        <w:t>o</w:t>
      </w:r>
      <w:r w:rsidR="006C0FEB" w:rsidRPr="006C0FEB">
        <w:rPr>
          <w:b/>
          <w:spacing w:val="-1"/>
        </w:rPr>
        <w:t>r</w:t>
      </w:r>
      <w:r w:rsidR="006C0FEB" w:rsidRPr="006C0FEB">
        <w:rPr>
          <w:b/>
        </w:rPr>
        <w:t>tion of</w:t>
      </w:r>
      <w:r w:rsidR="006C0FEB" w:rsidRPr="006C0FEB">
        <w:rPr>
          <w:b/>
          <w:spacing w:val="1"/>
        </w:rPr>
        <w:t xml:space="preserve"> </w:t>
      </w:r>
      <w:r w:rsidR="006C0FEB" w:rsidRPr="006C0FEB">
        <w:rPr>
          <w:b/>
          <w:spacing w:val="-3"/>
        </w:rPr>
        <w:t>P</w:t>
      </w:r>
      <w:r w:rsidR="006C0FEB" w:rsidRPr="006C0FEB">
        <w:rPr>
          <w:b/>
        </w:rPr>
        <w:t>ati</w:t>
      </w:r>
      <w:r w:rsidR="006C0FEB" w:rsidRPr="006C0FEB">
        <w:rPr>
          <w:b/>
          <w:spacing w:val="-1"/>
        </w:rPr>
        <w:t>e</w:t>
      </w:r>
      <w:r w:rsidR="006C0FEB" w:rsidRPr="006C0FEB">
        <w:rPr>
          <w:b/>
          <w:spacing w:val="1"/>
        </w:rPr>
        <w:t>n</w:t>
      </w:r>
      <w:r w:rsidR="006C0FEB" w:rsidRPr="006C0FEB">
        <w:rPr>
          <w:b/>
        </w:rPr>
        <w:t xml:space="preserve">ts </w:t>
      </w:r>
      <w:r w:rsidR="006C0FEB" w:rsidRPr="006C0FEB">
        <w:rPr>
          <w:b/>
          <w:spacing w:val="-1"/>
        </w:rPr>
        <w:t>Ac</w:t>
      </w:r>
      <w:r w:rsidR="006C0FEB" w:rsidRPr="006C0FEB">
        <w:rPr>
          <w:b/>
          <w:spacing w:val="1"/>
        </w:rPr>
        <w:t>h</w:t>
      </w:r>
      <w:r w:rsidR="006C0FEB" w:rsidRPr="006C0FEB">
        <w:rPr>
          <w:b/>
        </w:rPr>
        <w:t>ievi</w:t>
      </w:r>
      <w:r w:rsidR="006C0FEB" w:rsidRPr="006C0FEB">
        <w:rPr>
          <w:b/>
          <w:spacing w:val="1"/>
        </w:rPr>
        <w:t>n</w:t>
      </w:r>
      <w:r w:rsidR="006C0FEB" w:rsidRPr="006C0FEB">
        <w:rPr>
          <w:b/>
        </w:rPr>
        <w:t>g</w:t>
      </w:r>
      <w:r w:rsidR="006C0FEB">
        <w:rPr>
          <w:b/>
        </w:rPr>
        <w:t xml:space="preserve"> </w:t>
      </w:r>
      <w:r w:rsidR="006C0FEB" w:rsidRPr="006C0FEB">
        <w:rPr>
          <w:b/>
          <w:position w:val="-1"/>
        </w:rPr>
        <w:t>ASAS</w:t>
      </w:r>
      <w:r w:rsidR="006C0FEB" w:rsidRPr="006C0FEB">
        <w:rPr>
          <w:b/>
          <w:spacing w:val="1"/>
          <w:position w:val="-1"/>
        </w:rPr>
        <w:t xml:space="preserve"> </w:t>
      </w:r>
      <w:r w:rsidR="006C0FEB" w:rsidRPr="006C0FEB">
        <w:rPr>
          <w:b/>
          <w:position w:val="-1"/>
        </w:rPr>
        <w:t xml:space="preserve">40, </w:t>
      </w:r>
      <w:proofErr w:type="spellStart"/>
      <w:r w:rsidR="006C0FEB" w:rsidRPr="006C0FEB">
        <w:rPr>
          <w:b/>
          <w:spacing w:val="-3"/>
          <w:position w:val="-1"/>
        </w:rPr>
        <w:t>m</w:t>
      </w:r>
      <w:r w:rsidR="006C0FEB" w:rsidRPr="006C0FEB">
        <w:rPr>
          <w:b/>
          <w:position w:val="-1"/>
        </w:rPr>
        <w:t>I</w:t>
      </w:r>
      <w:r w:rsidR="006C0FEB" w:rsidRPr="006C0FEB">
        <w:rPr>
          <w:b/>
          <w:spacing w:val="1"/>
          <w:position w:val="-1"/>
        </w:rPr>
        <w:t>T</w:t>
      </w:r>
      <w:r w:rsidR="006C0FEB" w:rsidRPr="006C0FEB">
        <w:rPr>
          <w:b/>
          <w:position w:val="-1"/>
        </w:rPr>
        <w:t>T</w:t>
      </w:r>
      <w:proofErr w:type="spellEnd"/>
      <w:r w:rsidR="006C0FEB" w:rsidRPr="006C0FEB">
        <w:rPr>
          <w:b/>
          <w:position w:val="-1"/>
        </w:rPr>
        <w:t xml:space="preserve"> </w:t>
      </w:r>
      <w:r w:rsidR="006C0FEB" w:rsidRPr="006C0FEB">
        <w:rPr>
          <w:b/>
          <w:spacing w:val="-3"/>
          <w:position w:val="-1"/>
        </w:rPr>
        <w:t>P</w:t>
      </w:r>
      <w:r w:rsidR="006C0FEB" w:rsidRPr="006C0FEB">
        <w:rPr>
          <w:b/>
          <w:position w:val="-1"/>
        </w:rPr>
        <w:t>o</w:t>
      </w:r>
      <w:r w:rsidR="006C0FEB" w:rsidRPr="006C0FEB">
        <w:rPr>
          <w:b/>
          <w:spacing w:val="1"/>
          <w:position w:val="-1"/>
        </w:rPr>
        <w:t>pu</w:t>
      </w:r>
      <w:r w:rsidR="006C0FEB" w:rsidRPr="006C0FEB">
        <w:rPr>
          <w:b/>
          <w:position w:val="-1"/>
        </w:rPr>
        <w:t>lation</w:t>
      </w:r>
      <w:r w:rsidR="006C0FEB" w:rsidRPr="006C0FEB">
        <w:rPr>
          <w:b/>
          <w:spacing w:val="1"/>
          <w:position w:val="-1"/>
        </w:rPr>
        <w:t xml:space="preserve"> </w:t>
      </w:r>
      <w:r w:rsidR="006C0FEB" w:rsidRPr="006C0FEB">
        <w:rPr>
          <w:b/>
          <w:position w:val="-1"/>
        </w:rPr>
        <w:t>(</w:t>
      </w:r>
      <w:r w:rsidR="006C0FEB" w:rsidRPr="006C0FEB">
        <w:rPr>
          <w:b/>
          <w:spacing w:val="-1"/>
          <w:position w:val="-1"/>
        </w:rPr>
        <w:t>D</w:t>
      </w:r>
      <w:r w:rsidR="006C0FEB" w:rsidRPr="006C0FEB">
        <w:rPr>
          <w:b/>
          <w:position w:val="-1"/>
        </w:rPr>
        <w:t>o</w:t>
      </w:r>
      <w:r w:rsidR="006C0FEB" w:rsidRPr="006C0FEB">
        <w:rPr>
          <w:b/>
          <w:spacing w:val="1"/>
          <w:position w:val="-1"/>
        </w:rPr>
        <w:t>ub</w:t>
      </w:r>
      <w:r w:rsidR="006C0FEB" w:rsidRPr="006C0FEB">
        <w:rPr>
          <w:b/>
          <w:position w:val="-1"/>
        </w:rPr>
        <w:t>l</w:t>
      </w:r>
      <w:r w:rsidR="006C0FEB" w:rsidRPr="006C0FEB">
        <w:rPr>
          <w:b/>
          <w:spacing w:val="2"/>
          <w:position w:val="-1"/>
        </w:rPr>
        <w:t>e</w:t>
      </w:r>
      <w:r w:rsidR="006C0FEB" w:rsidRPr="006C0FEB">
        <w:rPr>
          <w:b/>
          <w:spacing w:val="-1"/>
          <w:position w:val="-1"/>
        </w:rPr>
        <w:t>-</w:t>
      </w:r>
      <w:r w:rsidR="006C0FEB" w:rsidRPr="006C0FEB">
        <w:rPr>
          <w:b/>
          <w:spacing w:val="1"/>
          <w:position w:val="-1"/>
        </w:rPr>
        <w:t>b</w:t>
      </w:r>
      <w:r w:rsidR="006C0FEB" w:rsidRPr="006C0FEB">
        <w:rPr>
          <w:b/>
          <w:position w:val="-1"/>
        </w:rPr>
        <w:t>l</w:t>
      </w:r>
      <w:r w:rsidR="006C0FEB" w:rsidRPr="006C0FEB">
        <w:rPr>
          <w:b/>
          <w:spacing w:val="1"/>
          <w:position w:val="-1"/>
        </w:rPr>
        <w:t>i</w:t>
      </w:r>
      <w:r w:rsidR="006C0FEB" w:rsidRPr="006C0FEB">
        <w:rPr>
          <w:b/>
          <w:spacing w:val="-1"/>
          <w:position w:val="-1"/>
        </w:rPr>
        <w:t>n</w:t>
      </w:r>
      <w:r w:rsidR="006C0FEB" w:rsidRPr="006C0FEB">
        <w:rPr>
          <w:b/>
          <w:position w:val="-1"/>
        </w:rPr>
        <w:t>d</w:t>
      </w:r>
      <w:r w:rsidR="006C0FEB" w:rsidRPr="006C0FEB">
        <w:rPr>
          <w:b/>
          <w:spacing w:val="1"/>
          <w:position w:val="-1"/>
        </w:rPr>
        <w:t xml:space="preserve"> </w:t>
      </w:r>
      <w:r w:rsidR="006C0FEB" w:rsidRPr="006C0FEB">
        <w:rPr>
          <w:b/>
          <w:position w:val="-1"/>
        </w:rPr>
        <w:t>a</w:t>
      </w:r>
      <w:r w:rsidR="006C0FEB" w:rsidRPr="006C0FEB">
        <w:rPr>
          <w:b/>
          <w:spacing w:val="1"/>
          <w:position w:val="-1"/>
        </w:rPr>
        <w:t>n</w:t>
      </w:r>
      <w:r w:rsidR="006C0FEB" w:rsidRPr="006C0FEB">
        <w:rPr>
          <w:b/>
          <w:position w:val="-1"/>
        </w:rPr>
        <w:t>d</w:t>
      </w:r>
      <w:r w:rsidR="006C0FEB" w:rsidRPr="006C0FEB">
        <w:rPr>
          <w:b/>
          <w:spacing w:val="-2"/>
          <w:position w:val="-1"/>
        </w:rPr>
        <w:t xml:space="preserve"> </w:t>
      </w:r>
      <w:r w:rsidR="006C0FEB" w:rsidRPr="006C0FEB">
        <w:rPr>
          <w:b/>
          <w:position w:val="-1"/>
        </w:rPr>
        <w:t>O</w:t>
      </w:r>
      <w:r w:rsidR="006C0FEB" w:rsidRPr="006C0FEB">
        <w:rPr>
          <w:b/>
          <w:spacing w:val="1"/>
          <w:position w:val="-1"/>
        </w:rPr>
        <w:t>p</w:t>
      </w:r>
      <w:r w:rsidR="006C0FEB" w:rsidRPr="006C0FEB">
        <w:rPr>
          <w:b/>
          <w:spacing w:val="-1"/>
          <w:position w:val="-1"/>
        </w:rPr>
        <w:t>e</w:t>
      </w:r>
      <w:r w:rsidR="006C0FEB" w:rsidRPr="006C0FEB">
        <w:rPr>
          <w:b/>
          <w:spacing w:val="3"/>
          <w:position w:val="-1"/>
        </w:rPr>
        <w:t>n</w:t>
      </w:r>
      <w:r w:rsidR="006C0FEB" w:rsidRPr="006C0FEB">
        <w:rPr>
          <w:b/>
          <w:spacing w:val="-1"/>
          <w:position w:val="-1"/>
        </w:rPr>
        <w:t>-</w:t>
      </w:r>
      <w:r w:rsidR="006C0FEB" w:rsidRPr="006C0FEB">
        <w:rPr>
          <w:b/>
          <w:position w:val="-1"/>
        </w:rPr>
        <w:t>la</w:t>
      </w:r>
      <w:r w:rsidR="006C0FEB" w:rsidRPr="006C0FEB">
        <w:rPr>
          <w:b/>
          <w:spacing w:val="1"/>
          <w:position w:val="-1"/>
        </w:rPr>
        <w:t>b</w:t>
      </w:r>
      <w:r w:rsidR="006C0FEB" w:rsidRPr="006C0FEB">
        <w:rPr>
          <w:b/>
          <w:spacing w:val="-1"/>
          <w:position w:val="-1"/>
        </w:rPr>
        <w:t>e</w:t>
      </w:r>
      <w:r w:rsidR="006C0FEB" w:rsidRPr="006C0FEB">
        <w:rPr>
          <w:b/>
          <w:position w:val="-1"/>
        </w:rPr>
        <w:t xml:space="preserve">l </w:t>
      </w:r>
      <w:r w:rsidR="006C0FEB" w:rsidRPr="006C0FEB">
        <w:rPr>
          <w:b/>
          <w:spacing w:val="-2"/>
          <w:position w:val="-1"/>
        </w:rPr>
        <w:t>P</w:t>
      </w:r>
      <w:r w:rsidR="006C0FEB" w:rsidRPr="006C0FEB">
        <w:rPr>
          <w:b/>
          <w:spacing w:val="-1"/>
          <w:position w:val="-1"/>
        </w:rPr>
        <w:t>er</w:t>
      </w:r>
      <w:r w:rsidR="006C0FEB" w:rsidRPr="006C0FEB">
        <w:rPr>
          <w:b/>
          <w:position w:val="-1"/>
        </w:rPr>
        <w:t>io</w:t>
      </w:r>
      <w:r w:rsidR="006C0FEB" w:rsidRPr="006C0FEB">
        <w:rPr>
          <w:b/>
          <w:spacing w:val="1"/>
          <w:position w:val="-1"/>
        </w:rPr>
        <w:t>d</w:t>
      </w:r>
      <w:r w:rsidR="006C0FEB" w:rsidRPr="006C0FEB">
        <w:rPr>
          <w:b/>
          <w:position w:val="-1"/>
        </w:rPr>
        <w:t>s</w:t>
      </w:r>
      <w:r w:rsidR="006C0FEB">
        <w:rPr>
          <w:b/>
          <w:position w:val="-1"/>
        </w:rPr>
        <w:t>)</w:t>
      </w:r>
    </w:p>
    <w:p w14:paraId="4958930C" w14:textId="77777777" w:rsidR="00C47741" w:rsidRDefault="00C47741" w:rsidP="0021426A">
      <w:pPr>
        <w:pStyle w:val="NormalIndent1"/>
        <w:jc w:val="left"/>
      </w:pPr>
    </w:p>
    <w:p w14:paraId="660E08A0" w14:textId="77777777" w:rsidR="006C0FEB" w:rsidRDefault="006C0FEB" w:rsidP="0021426A">
      <w:pPr>
        <w:pStyle w:val="NormalIndent1"/>
        <w:jc w:val="left"/>
      </w:pPr>
      <w:r>
        <w:rPr>
          <w:noProof/>
          <w:lang w:eastAsia="en-AU"/>
        </w:rPr>
        <w:drawing>
          <wp:inline distT="0" distB="0" distL="0" distR="0" wp14:anchorId="1673E501" wp14:editId="77251DF1">
            <wp:extent cx="4694935" cy="3294071"/>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4709641" cy="3304389"/>
                    </a:xfrm>
                    <a:prstGeom prst="rect">
                      <a:avLst/>
                    </a:prstGeom>
                    <a:ln>
                      <a:noFill/>
                    </a:ln>
                    <a:extLst>
                      <a:ext uri="{53640926-AAD7-44D8-BBD7-CCE9431645EC}">
                        <a14:shadowObscured xmlns:a14="http://schemas.microsoft.com/office/drawing/2010/main"/>
                      </a:ext>
                    </a:extLst>
                  </pic:spPr>
                </pic:pic>
              </a:graphicData>
            </a:graphic>
          </wp:inline>
        </w:drawing>
      </w:r>
    </w:p>
    <w:p w14:paraId="67E15596" w14:textId="77777777" w:rsidR="006C0FEB" w:rsidRPr="006C0FEB" w:rsidRDefault="006C0FEB" w:rsidP="0021426A">
      <w:pPr>
        <w:pStyle w:val="NormalIndent1"/>
        <w:jc w:val="left"/>
        <w:rPr>
          <w:sz w:val="20"/>
          <w:szCs w:val="20"/>
          <w:lang w:val="en-US"/>
        </w:rPr>
      </w:pPr>
      <w:r w:rsidRPr="006C0FEB">
        <w:rPr>
          <w:sz w:val="20"/>
          <w:szCs w:val="20"/>
          <w:lang w:val="en-US"/>
        </w:rPr>
        <w:t xml:space="preserve">* </w:t>
      </w:r>
      <w:r w:rsidR="00C86504">
        <w:rPr>
          <w:sz w:val="20"/>
          <w:szCs w:val="20"/>
          <w:lang w:val="en-US"/>
        </w:rPr>
        <w:t xml:space="preserve"> </w:t>
      </w:r>
      <w:r w:rsidRPr="006C0FEB">
        <w:rPr>
          <w:sz w:val="20"/>
          <w:szCs w:val="20"/>
          <w:lang w:val="en-US"/>
        </w:rPr>
        <w:t>p</w:t>
      </w:r>
      <w:r w:rsidR="00B20D25">
        <w:rPr>
          <w:sz w:val="20"/>
          <w:szCs w:val="20"/>
          <w:lang w:val="en-US"/>
        </w:rPr>
        <w:t xml:space="preserve"> </w:t>
      </w:r>
      <w:r w:rsidRPr="006C0FEB">
        <w:rPr>
          <w:sz w:val="20"/>
          <w:szCs w:val="20"/>
          <w:lang w:val="en-US"/>
        </w:rPr>
        <w:t>&lt; 0.05 (Double-blind period only)</w:t>
      </w:r>
      <w:r>
        <w:rPr>
          <w:sz w:val="20"/>
          <w:szCs w:val="20"/>
          <w:lang w:val="en-US"/>
        </w:rPr>
        <w:t>.</w:t>
      </w:r>
    </w:p>
    <w:p w14:paraId="4A9D393A" w14:textId="77777777" w:rsidR="006C0FEB" w:rsidRPr="006C0FEB" w:rsidRDefault="006C0FEB" w:rsidP="0021426A">
      <w:pPr>
        <w:pStyle w:val="NormalIndent1"/>
        <w:jc w:val="left"/>
        <w:rPr>
          <w:sz w:val="20"/>
          <w:szCs w:val="20"/>
          <w:lang w:val="en-US"/>
        </w:rPr>
      </w:pPr>
      <w:r w:rsidRPr="006C0FEB">
        <w:rPr>
          <w:sz w:val="20"/>
          <w:szCs w:val="20"/>
          <w:lang w:val="en-US"/>
        </w:rPr>
        <w:t>ETN = etanercept 50 mg weekly</w:t>
      </w:r>
      <w:r w:rsidR="00C86504">
        <w:rPr>
          <w:sz w:val="20"/>
          <w:szCs w:val="20"/>
          <w:lang w:val="en-US"/>
        </w:rPr>
        <w:t>;</w:t>
      </w:r>
      <w:r w:rsidRPr="006C0FEB">
        <w:rPr>
          <w:sz w:val="20"/>
          <w:szCs w:val="20"/>
          <w:lang w:val="en-US"/>
        </w:rPr>
        <w:t xml:space="preserve"> </w:t>
      </w:r>
      <w:proofErr w:type="spellStart"/>
      <w:r w:rsidRPr="006C0FEB">
        <w:rPr>
          <w:sz w:val="20"/>
          <w:szCs w:val="20"/>
          <w:lang w:val="en-US"/>
        </w:rPr>
        <w:t>mITT</w:t>
      </w:r>
      <w:proofErr w:type="spellEnd"/>
      <w:r w:rsidRPr="006C0FEB">
        <w:rPr>
          <w:sz w:val="20"/>
          <w:szCs w:val="20"/>
          <w:lang w:val="en-US"/>
        </w:rPr>
        <w:t xml:space="preserve"> = modified intent-to-treat</w:t>
      </w:r>
      <w:r w:rsidR="00C86504">
        <w:rPr>
          <w:sz w:val="20"/>
          <w:szCs w:val="20"/>
          <w:lang w:val="en-US"/>
        </w:rPr>
        <w:t>;</w:t>
      </w:r>
      <w:r w:rsidRPr="006C0FEB">
        <w:rPr>
          <w:sz w:val="20"/>
          <w:szCs w:val="20"/>
          <w:lang w:val="en-US"/>
        </w:rPr>
        <w:t xml:space="preserve"> N = number of subjects randomised</w:t>
      </w:r>
      <w:r w:rsidR="00C86504">
        <w:rPr>
          <w:sz w:val="20"/>
          <w:szCs w:val="20"/>
          <w:lang w:val="en-US"/>
        </w:rPr>
        <w:t>;</w:t>
      </w:r>
      <w:r w:rsidRPr="006C0FEB">
        <w:rPr>
          <w:sz w:val="20"/>
          <w:szCs w:val="20"/>
          <w:lang w:val="en-US"/>
        </w:rPr>
        <w:t xml:space="preserve"> PBO = placebo.</w:t>
      </w:r>
    </w:p>
    <w:p w14:paraId="0CA948D4" w14:textId="77777777" w:rsidR="00B93ACA" w:rsidRDefault="00B93ACA" w:rsidP="0021426A">
      <w:pPr>
        <w:pStyle w:val="NormalIndent1"/>
        <w:jc w:val="left"/>
      </w:pPr>
    </w:p>
    <w:p w14:paraId="555BAFED" w14:textId="77777777" w:rsidR="00C86504" w:rsidRPr="00C86504" w:rsidRDefault="00C86504" w:rsidP="0021426A">
      <w:pPr>
        <w:pStyle w:val="NormalIndent1"/>
        <w:jc w:val="left"/>
        <w:rPr>
          <w:lang w:val="en-US"/>
        </w:rPr>
      </w:pPr>
      <w:r w:rsidRPr="00C86504">
        <w:rPr>
          <w:lang w:val="en-US"/>
        </w:rPr>
        <w:t xml:space="preserve">The proportions of subjects in the </w:t>
      </w:r>
      <w:proofErr w:type="spellStart"/>
      <w:r w:rsidRPr="00C86504">
        <w:rPr>
          <w:lang w:val="en-US"/>
        </w:rPr>
        <w:t>mITT</w:t>
      </w:r>
      <w:proofErr w:type="spellEnd"/>
      <w:r w:rsidRPr="00C86504">
        <w:rPr>
          <w:lang w:val="en-US"/>
        </w:rPr>
        <w:t xml:space="preserve"> who achieved ASAS 40 were measured at a number of time points in the open label period. </w:t>
      </w:r>
      <w:r w:rsidR="00640543">
        <w:rPr>
          <w:lang w:val="en-US"/>
        </w:rPr>
        <w:t xml:space="preserve"> </w:t>
      </w:r>
      <w:r w:rsidRPr="00C86504">
        <w:rPr>
          <w:lang w:val="en-US"/>
        </w:rPr>
        <w:t xml:space="preserve">At Week 12, 101 subjects who had been randomised to etanercept contributed to the ASAS 40 outcome.  By Week 104, 81 subjects who had been randomised to etanercept contributed to the ASAS 40 outcome. </w:t>
      </w:r>
      <w:r w:rsidR="00640543">
        <w:rPr>
          <w:lang w:val="en-US"/>
        </w:rPr>
        <w:t xml:space="preserve"> </w:t>
      </w:r>
      <w:r w:rsidRPr="00C86504">
        <w:rPr>
          <w:lang w:val="en-US"/>
        </w:rPr>
        <w:t xml:space="preserve">Last observation carried forward was used to handle missing values. </w:t>
      </w:r>
      <w:r w:rsidR="00640543">
        <w:rPr>
          <w:lang w:val="en-US"/>
        </w:rPr>
        <w:t xml:space="preserve"> </w:t>
      </w:r>
      <w:r w:rsidRPr="00C86504">
        <w:rPr>
          <w:lang w:val="en-US"/>
        </w:rPr>
        <w:t>Based on exploratory analyses, there were no decreases in the proportions of subjects who achieved ASAS 40 at the measurement time points over the open label period compared to Week 12.  There are no data on the effects of etanercept on disease progression or structural damage in nr-AxSpA patients.  The 2 year data did not reveal any new safety findings.</w:t>
      </w:r>
    </w:p>
    <w:p w14:paraId="70EDCB47" w14:textId="77777777" w:rsidR="00C86504" w:rsidRPr="00C86504" w:rsidRDefault="00C86504" w:rsidP="00EC69B5">
      <w:pPr>
        <w:pStyle w:val="Heading4"/>
        <w:rPr>
          <w:lang w:val="en-US"/>
        </w:rPr>
      </w:pPr>
      <w:r w:rsidRPr="00C86504">
        <w:rPr>
          <w:lang w:val="en-US"/>
        </w:rPr>
        <w:t xml:space="preserve">Adults with </w:t>
      </w:r>
      <w:r w:rsidR="00640543" w:rsidRPr="00C86504">
        <w:rPr>
          <w:lang w:val="en-US"/>
        </w:rPr>
        <w:t>Plaque Psoriasis</w:t>
      </w:r>
    </w:p>
    <w:p w14:paraId="6D9C57D4" w14:textId="77777777" w:rsidR="00C86504" w:rsidRPr="00EC69B5" w:rsidRDefault="00C86504" w:rsidP="00EC69B5">
      <w:pPr>
        <w:pStyle w:val="NormalIndent1"/>
      </w:pPr>
    </w:p>
    <w:p w14:paraId="21E255BB" w14:textId="4BDBC9DC" w:rsidR="00C86504" w:rsidRPr="00C86504" w:rsidRDefault="00C86504" w:rsidP="00EC69B5">
      <w:pPr>
        <w:pStyle w:val="NormalIndent1"/>
        <w:jc w:val="left"/>
        <w:rPr>
          <w:lang w:val="en-US"/>
        </w:rPr>
      </w:pPr>
      <w:r w:rsidRPr="00C86504">
        <w:rPr>
          <w:lang w:val="en-US"/>
        </w:rPr>
        <w:t xml:space="preserve">The safety and efficacy of </w:t>
      </w:r>
      <w:r w:rsidR="00C36EA6">
        <w:rPr>
          <w:lang w:val="en-US"/>
        </w:rPr>
        <w:t>etanercept</w:t>
      </w:r>
      <w:r w:rsidRPr="00C86504">
        <w:rPr>
          <w:lang w:val="en-US"/>
        </w:rPr>
        <w:t xml:space="preserve"> were assessed in two randomised, double-blind, placebo-controlled studies.  Study 1 evaluated 652 patients with chronic plaque psoriasis who were</w:t>
      </w:r>
      <w:r w:rsidR="00640543">
        <w:rPr>
          <w:lang w:val="en-US"/>
        </w:rPr>
        <w:t xml:space="preserve"> </w:t>
      </w:r>
      <w:r w:rsidR="00640543">
        <w:rPr>
          <w:rFonts w:cstheme="minorHAnsi"/>
          <w:lang w:val="en-US"/>
        </w:rPr>
        <w:t>≥</w:t>
      </w:r>
      <w:r w:rsidRPr="00C86504">
        <w:rPr>
          <w:lang w:val="en-US"/>
        </w:rPr>
        <w:t xml:space="preserve"> 18 years old, had active but clinically stable plaque psoriasis involving </w:t>
      </w:r>
      <w:r w:rsidR="00640543">
        <w:rPr>
          <w:rFonts w:cstheme="minorHAnsi"/>
          <w:lang w:val="en-US"/>
        </w:rPr>
        <w:t>≥</w:t>
      </w:r>
      <w:r w:rsidR="00640543">
        <w:rPr>
          <w:lang w:val="en-US"/>
        </w:rPr>
        <w:t xml:space="preserve"> </w:t>
      </w:r>
      <w:r w:rsidRPr="00C86504">
        <w:rPr>
          <w:lang w:val="en-US"/>
        </w:rPr>
        <w:t xml:space="preserve">10% of the body surface area and had a minimum psoriasis area and severity index (PASI) of 10 at screening.  </w:t>
      </w:r>
      <w:r w:rsidR="00C36EA6">
        <w:rPr>
          <w:lang w:val="en-US"/>
        </w:rPr>
        <w:t>Etanercept</w:t>
      </w:r>
      <w:r w:rsidRPr="00C86504">
        <w:rPr>
          <w:lang w:val="en-US"/>
        </w:rPr>
        <w:t xml:space="preserve"> was administered subcutaneously at doses of 25 mg once a week, 25 mg twice a week or 50 mg twice a week for 6 consecutive months.  During the first 12 weeks of the double-blind treatment period, patients received placebo or one of the above three </w:t>
      </w:r>
      <w:r w:rsidR="00C36EA6">
        <w:rPr>
          <w:lang w:val="en-US"/>
        </w:rPr>
        <w:t>etanercept</w:t>
      </w:r>
      <w:r w:rsidRPr="00C86504">
        <w:rPr>
          <w:lang w:val="en-US"/>
        </w:rPr>
        <w:t xml:space="preserve"> doses.  After 12 weeks of treatment, patients in the placebo group began treatment with blinded </w:t>
      </w:r>
      <w:r w:rsidR="00C36EA6">
        <w:rPr>
          <w:lang w:val="en-US"/>
        </w:rPr>
        <w:t>etanercept</w:t>
      </w:r>
      <w:r w:rsidRPr="00C86504">
        <w:rPr>
          <w:lang w:val="en-US"/>
        </w:rPr>
        <w:t xml:space="preserve"> (25 mg twice weekly); patients in the active treatment groups continued to week 24 on the dose to which they were originally randomised.  This study also had a drug withdrawal period during which patients who achieved PASI improvement of at least 50% at week 24 had treatment stopped.  Patients were observed off treatment for the occurrence of rebound (PASI </w:t>
      </w:r>
      <w:r w:rsidR="00640543">
        <w:rPr>
          <w:rFonts w:cstheme="minorHAnsi"/>
          <w:lang w:val="en-US"/>
        </w:rPr>
        <w:t>≥</w:t>
      </w:r>
      <w:r w:rsidR="00640543">
        <w:rPr>
          <w:lang w:val="en-US"/>
        </w:rPr>
        <w:t xml:space="preserve"> </w:t>
      </w:r>
      <w:r w:rsidRPr="00C86504">
        <w:rPr>
          <w:lang w:val="en-US"/>
        </w:rPr>
        <w:t>150% of baseline) and for the time</w:t>
      </w:r>
      <w:r>
        <w:rPr>
          <w:lang w:val="en-US"/>
        </w:rPr>
        <w:t xml:space="preserve"> to </w:t>
      </w:r>
      <w:r w:rsidRPr="00C86504">
        <w:rPr>
          <w:lang w:val="en-US"/>
        </w:rPr>
        <w:t>relapse (defined as a loss of at least half of the improvement achieved between baseline and week</w:t>
      </w:r>
      <w:r w:rsidR="00640543">
        <w:rPr>
          <w:lang w:val="en-US"/>
        </w:rPr>
        <w:t xml:space="preserve"> </w:t>
      </w:r>
      <w:r w:rsidRPr="00C86504">
        <w:rPr>
          <w:lang w:val="en-US"/>
        </w:rPr>
        <w:t xml:space="preserve">24).  Upon relapse, patients were retreated with </w:t>
      </w:r>
      <w:r w:rsidR="00C36EA6">
        <w:rPr>
          <w:lang w:val="en-US"/>
        </w:rPr>
        <w:t>etanercept</w:t>
      </w:r>
      <w:r w:rsidRPr="00C86504">
        <w:rPr>
          <w:lang w:val="en-US"/>
        </w:rPr>
        <w:t xml:space="preserve"> in a blinded fashion at the dose they had been receiving at week 24.</w:t>
      </w:r>
    </w:p>
    <w:p w14:paraId="02FFA833" w14:textId="77777777" w:rsidR="00C86504" w:rsidRPr="00C86504" w:rsidRDefault="00C86504" w:rsidP="00EC69B5">
      <w:pPr>
        <w:pStyle w:val="NormalIndent1"/>
        <w:jc w:val="left"/>
        <w:rPr>
          <w:lang w:val="en-US"/>
        </w:rPr>
      </w:pPr>
    </w:p>
    <w:p w14:paraId="24E46806" w14:textId="1112D0CB" w:rsidR="00C86504" w:rsidRPr="00C86504" w:rsidRDefault="00C86504" w:rsidP="0021426A">
      <w:pPr>
        <w:pStyle w:val="NormalIndent1"/>
        <w:jc w:val="left"/>
        <w:rPr>
          <w:lang w:val="en-US"/>
        </w:rPr>
      </w:pPr>
      <w:r w:rsidRPr="00C86504">
        <w:rPr>
          <w:lang w:val="en-US"/>
        </w:rPr>
        <w:t xml:space="preserve">Study 2 evaluated 583 patients and had the same inclusion criteria as study 1. </w:t>
      </w:r>
      <w:r w:rsidR="00640543">
        <w:rPr>
          <w:lang w:val="en-US"/>
        </w:rPr>
        <w:t xml:space="preserve"> </w:t>
      </w:r>
      <w:r w:rsidRPr="00C86504">
        <w:rPr>
          <w:lang w:val="en-US"/>
        </w:rPr>
        <w:t xml:space="preserve">Patients in this study received a dose of 25 mg or 50 mg </w:t>
      </w:r>
      <w:r w:rsidR="00C36EA6">
        <w:rPr>
          <w:lang w:val="en-US"/>
        </w:rPr>
        <w:t>etanercept</w:t>
      </w:r>
      <w:r w:rsidRPr="00C86504">
        <w:rPr>
          <w:lang w:val="en-US"/>
        </w:rPr>
        <w:t xml:space="preserve">, or placebo subcutaneously twice a week for 12 weeks and then all patients received open-label 25 mg </w:t>
      </w:r>
      <w:r w:rsidR="00C36EA6">
        <w:rPr>
          <w:lang w:val="en-US"/>
        </w:rPr>
        <w:t>etanercept</w:t>
      </w:r>
      <w:r w:rsidRPr="00C86504">
        <w:rPr>
          <w:lang w:val="en-US"/>
        </w:rPr>
        <w:t xml:space="preserve"> twice weekly for an additional 24 weeks.</w:t>
      </w:r>
    </w:p>
    <w:p w14:paraId="69776A33" w14:textId="77777777" w:rsidR="00C86504" w:rsidRPr="00C86504" w:rsidRDefault="00C86504" w:rsidP="0021426A">
      <w:pPr>
        <w:pStyle w:val="NormalIndent1"/>
        <w:jc w:val="left"/>
        <w:rPr>
          <w:lang w:val="en-US"/>
        </w:rPr>
      </w:pPr>
    </w:p>
    <w:p w14:paraId="253203F7" w14:textId="5AE5B86E" w:rsidR="00C86504" w:rsidRDefault="00C86504" w:rsidP="0021426A">
      <w:pPr>
        <w:pStyle w:val="NormalIndent1"/>
        <w:jc w:val="left"/>
        <w:rPr>
          <w:lang w:val="en-US"/>
        </w:rPr>
      </w:pPr>
      <w:r w:rsidRPr="00C86504">
        <w:rPr>
          <w:lang w:val="en-US"/>
        </w:rPr>
        <w:t>The primary efficacy endpoint in both studies was the proportion of patients in each treatment group that achieved the PASI 75 (</w:t>
      </w:r>
      <w:proofErr w:type="spellStart"/>
      <w:r w:rsidRPr="00C86504">
        <w:rPr>
          <w:lang w:val="en-US"/>
        </w:rPr>
        <w:t>ie</w:t>
      </w:r>
      <w:proofErr w:type="spellEnd"/>
      <w:r w:rsidRPr="00C86504">
        <w:rPr>
          <w:lang w:val="en-US"/>
        </w:rPr>
        <w:t>. at least a 75% improvement in the PASI score from baseline) at 12 weeks.  The results of the primary and secondary endpoints of both studies are shown below</w:t>
      </w:r>
      <w:r>
        <w:rPr>
          <w:lang w:val="en-US"/>
        </w:rPr>
        <w:t>.</w:t>
      </w:r>
    </w:p>
    <w:p w14:paraId="0ACEE19E" w14:textId="77777777" w:rsidR="0030673C" w:rsidRDefault="0030673C" w:rsidP="0021426A">
      <w:pPr>
        <w:pStyle w:val="NormalIndent1"/>
        <w:jc w:val="left"/>
      </w:pPr>
    </w:p>
    <w:p w14:paraId="3DB2176E" w14:textId="77777777" w:rsidR="0030673C" w:rsidRPr="0030673C" w:rsidRDefault="0030673C" w:rsidP="0021426A">
      <w:pPr>
        <w:pStyle w:val="NormalIndent1"/>
        <w:jc w:val="left"/>
        <w:rPr>
          <w:b/>
        </w:rPr>
      </w:pPr>
      <w:r w:rsidRPr="0030673C">
        <w:rPr>
          <w:b/>
        </w:rPr>
        <w:t>Table 14: Responses of Patients with Psoriasis in Studies 1 and 2</w:t>
      </w:r>
    </w:p>
    <w:p w14:paraId="7439B72A" w14:textId="77777777" w:rsidR="006C0FEB" w:rsidRDefault="006C0FEB" w:rsidP="0021426A">
      <w:pPr>
        <w:pStyle w:val="NormalIndent1"/>
        <w:jc w:val="left"/>
      </w:pPr>
    </w:p>
    <w:tbl>
      <w:tblPr>
        <w:tblStyle w:val="TableGrid"/>
        <w:tblW w:w="9493" w:type="dxa"/>
        <w:tblInd w:w="425" w:type="dxa"/>
        <w:tblLook w:val="04A0" w:firstRow="1" w:lastRow="0" w:firstColumn="1" w:lastColumn="0" w:noHBand="0" w:noVBand="1"/>
      </w:tblPr>
      <w:tblGrid>
        <w:gridCol w:w="2460"/>
        <w:gridCol w:w="879"/>
        <w:gridCol w:w="879"/>
        <w:gridCol w:w="879"/>
        <w:gridCol w:w="879"/>
        <w:gridCol w:w="879"/>
        <w:gridCol w:w="879"/>
        <w:gridCol w:w="879"/>
        <w:gridCol w:w="880"/>
      </w:tblGrid>
      <w:tr w:rsidR="007C6CFA" w14:paraId="135E0D52" w14:textId="77777777" w:rsidTr="00B37960">
        <w:trPr>
          <w:tblHeader/>
        </w:trPr>
        <w:tc>
          <w:tcPr>
            <w:tcW w:w="2460" w:type="dxa"/>
            <w:vMerge w:val="restart"/>
            <w:tcBorders>
              <w:top w:val="single" w:sz="12" w:space="0" w:color="auto"/>
              <w:left w:val="single" w:sz="12" w:space="0" w:color="auto"/>
              <w:bottom w:val="single" w:sz="12" w:space="0" w:color="auto"/>
              <w:right w:val="single" w:sz="12" w:space="0" w:color="auto"/>
            </w:tcBorders>
            <w:vAlign w:val="center"/>
          </w:tcPr>
          <w:p w14:paraId="6534CF26"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Response</w:t>
            </w:r>
          </w:p>
        </w:tc>
        <w:tc>
          <w:tcPr>
            <w:tcW w:w="4395" w:type="dxa"/>
            <w:gridSpan w:val="5"/>
            <w:tcBorders>
              <w:top w:val="single" w:sz="12" w:space="0" w:color="auto"/>
              <w:left w:val="single" w:sz="12" w:space="0" w:color="auto"/>
              <w:bottom w:val="single" w:sz="12" w:space="0" w:color="auto"/>
              <w:right w:val="single" w:sz="12" w:space="0" w:color="auto"/>
            </w:tcBorders>
            <w:vAlign w:val="center"/>
          </w:tcPr>
          <w:p w14:paraId="35FBDF9D"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Study 1</w:t>
            </w:r>
          </w:p>
        </w:tc>
        <w:tc>
          <w:tcPr>
            <w:tcW w:w="2638" w:type="dxa"/>
            <w:gridSpan w:val="3"/>
            <w:tcBorders>
              <w:top w:val="single" w:sz="12" w:space="0" w:color="auto"/>
              <w:left w:val="single" w:sz="12" w:space="0" w:color="auto"/>
              <w:bottom w:val="single" w:sz="12" w:space="0" w:color="auto"/>
              <w:right w:val="single" w:sz="12" w:space="0" w:color="auto"/>
            </w:tcBorders>
            <w:vAlign w:val="center"/>
          </w:tcPr>
          <w:p w14:paraId="1ABE58B6"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Study 2</w:t>
            </w:r>
          </w:p>
        </w:tc>
      </w:tr>
      <w:tr w:rsidR="007C6CFA" w14:paraId="0FB1FA53"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1A31B60B" w14:textId="77777777" w:rsidR="007C6CFA" w:rsidRPr="007C6CFA" w:rsidRDefault="007C6CFA" w:rsidP="0021426A">
            <w:pPr>
              <w:pStyle w:val="NormalIndent1"/>
              <w:ind w:left="0"/>
              <w:jc w:val="left"/>
              <w:rPr>
                <w:rFonts w:cstheme="minorHAnsi"/>
                <w:b/>
                <w:sz w:val="20"/>
                <w:szCs w:val="20"/>
              </w:rPr>
            </w:pPr>
          </w:p>
        </w:tc>
        <w:tc>
          <w:tcPr>
            <w:tcW w:w="4395" w:type="dxa"/>
            <w:gridSpan w:val="5"/>
            <w:tcBorders>
              <w:top w:val="single" w:sz="12" w:space="0" w:color="auto"/>
              <w:left w:val="single" w:sz="12" w:space="0" w:color="auto"/>
              <w:bottom w:val="single" w:sz="12" w:space="0" w:color="auto"/>
              <w:right w:val="single" w:sz="12" w:space="0" w:color="auto"/>
            </w:tcBorders>
            <w:vAlign w:val="center"/>
          </w:tcPr>
          <w:p w14:paraId="002180C4" w14:textId="39E14148" w:rsidR="007C6CFA" w:rsidRPr="007C6CFA" w:rsidRDefault="00C36EA6" w:rsidP="0021426A">
            <w:pPr>
              <w:pStyle w:val="NormalIndent1"/>
              <w:ind w:left="0"/>
              <w:jc w:val="left"/>
              <w:rPr>
                <w:rFonts w:cstheme="minorHAnsi"/>
                <w:b/>
                <w:sz w:val="20"/>
                <w:szCs w:val="20"/>
              </w:rPr>
            </w:pPr>
            <w:r>
              <w:rPr>
                <w:rFonts w:cstheme="minorHAnsi"/>
                <w:b/>
                <w:sz w:val="20"/>
                <w:szCs w:val="20"/>
              </w:rPr>
              <w:t>Etanercept</w:t>
            </w:r>
          </w:p>
        </w:tc>
        <w:tc>
          <w:tcPr>
            <w:tcW w:w="2638" w:type="dxa"/>
            <w:gridSpan w:val="3"/>
            <w:tcBorders>
              <w:top w:val="single" w:sz="12" w:space="0" w:color="auto"/>
              <w:left w:val="single" w:sz="12" w:space="0" w:color="auto"/>
              <w:bottom w:val="single" w:sz="12" w:space="0" w:color="auto"/>
              <w:right w:val="single" w:sz="12" w:space="0" w:color="auto"/>
            </w:tcBorders>
            <w:vAlign w:val="center"/>
          </w:tcPr>
          <w:p w14:paraId="20559E98" w14:textId="11924186" w:rsidR="007C6CFA" w:rsidRPr="007C6CFA" w:rsidRDefault="00C36EA6" w:rsidP="0021426A">
            <w:pPr>
              <w:pStyle w:val="NormalIndent1"/>
              <w:ind w:left="0"/>
              <w:jc w:val="left"/>
              <w:rPr>
                <w:rFonts w:cstheme="minorHAnsi"/>
                <w:b/>
                <w:sz w:val="20"/>
                <w:szCs w:val="20"/>
              </w:rPr>
            </w:pPr>
            <w:r>
              <w:rPr>
                <w:rFonts w:cstheme="minorHAnsi"/>
                <w:b/>
                <w:sz w:val="20"/>
                <w:szCs w:val="20"/>
              </w:rPr>
              <w:t>Etanercept</w:t>
            </w:r>
          </w:p>
        </w:tc>
      </w:tr>
      <w:tr w:rsidR="007C6CFA" w14:paraId="500C76FB"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39DD007E" w14:textId="77777777" w:rsidR="007C6CFA" w:rsidRPr="007C6CFA" w:rsidRDefault="007C6CFA" w:rsidP="0021426A">
            <w:pPr>
              <w:pStyle w:val="NormalIndent1"/>
              <w:ind w:left="0"/>
              <w:jc w:val="left"/>
              <w:rPr>
                <w:rFonts w:cstheme="minorHAnsi"/>
                <w:b/>
                <w:sz w:val="20"/>
                <w:szCs w:val="20"/>
              </w:rPr>
            </w:pPr>
          </w:p>
        </w:tc>
        <w:tc>
          <w:tcPr>
            <w:tcW w:w="879" w:type="dxa"/>
            <w:tcBorders>
              <w:top w:val="single" w:sz="12" w:space="0" w:color="auto"/>
              <w:left w:val="single" w:sz="12" w:space="0" w:color="auto"/>
              <w:bottom w:val="single" w:sz="12" w:space="0" w:color="auto"/>
              <w:right w:val="single" w:sz="12" w:space="0" w:color="auto"/>
            </w:tcBorders>
            <w:vAlign w:val="center"/>
          </w:tcPr>
          <w:p w14:paraId="6E68C068"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Placebo</w:t>
            </w:r>
          </w:p>
        </w:tc>
        <w:tc>
          <w:tcPr>
            <w:tcW w:w="1758" w:type="dxa"/>
            <w:gridSpan w:val="2"/>
            <w:tcBorders>
              <w:top w:val="single" w:sz="12" w:space="0" w:color="auto"/>
              <w:left w:val="single" w:sz="12" w:space="0" w:color="auto"/>
              <w:bottom w:val="single" w:sz="12" w:space="0" w:color="auto"/>
              <w:right w:val="single" w:sz="12" w:space="0" w:color="auto"/>
            </w:tcBorders>
            <w:vAlign w:val="center"/>
          </w:tcPr>
          <w:p w14:paraId="43AA3F6E"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25 mg BIW</w:t>
            </w:r>
          </w:p>
        </w:tc>
        <w:tc>
          <w:tcPr>
            <w:tcW w:w="1758" w:type="dxa"/>
            <w:gridSpan w:val="2"/>
            <w:tcBorders>
              <w:top w:val="single" w:sz="12" w:space="0" w:color="auto"/>
              <w:left w:val="single" w:sz="12" w:space="0" w:color="auto"/>
              <w:bottom w:val="single" w:sz="12" w:space="0" w:color="auto"/>
              <w:right w:val="single" w:sz="12" w:space="0" w:color="auto"/>
            </w:tcBorders>
            <w:vAlign w:val="center"/>
          </w:tcPr>
          <w:p w14:paraId="75503D4B"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50 mg BIW</w:t>
            </w:r>
          </w:p>
        </w:tc>
        <w:tc>
          <w:tcPr>
            <w:tcW w:w="879" w:type="dxa"/>
            <w:tcBorders>
              <w:top w:val="single" w:sz="12" w:space="0" w:color="auto"/>
              <w:left w:val="single" w:sz="12" w:space="0" w:color="auto"/>
              <w:bottom w:val="single" w:sz="12" w:space="0" w:color="auto"/>
              <w:right w:val="single" w:sz="12" w:space="0" w:color="auto"/>
            </w:tcBorders>
            <w:vAlign w:val="center"/>
          </w:tcPr>
          <w:p w14:paraId="224C5A63"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Placebo</w:t>
            </w:r>
          </w:p>
        </w:tc>
        <w:tc>
          <w:tcPr>
            <w:tcW w:w="879" w:type="dxa"/>
            <w:tcBorders>
              <w:top w:val="single" w:sz="12" w:space="0" w:color="auto"/>
              <w:left w:val="single" w:sz="12" w:space="0" w:color="auto"/>
              <w:bottom w:val="single" w:sz="12" w:space="0" w:color="auto"/>
              <w:right w:val="single" w:sz="12" w:space="0" w:color="auto"/>
            </w:tcBorders>
            <w:vAlign w:val="center"/>
          </w:tcPr>
          <w:p w14:paraId="6634506B"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25 mg BIW</w:t>
            </w:r>
          </w:p>
        </w:tc>
        <w:tc>
          <w:tcPr>
            <w:tcW w:w="880" w:type="dxa"/>
            <w:tcBorders>
              <w:top w:val="single" w:sz="12" w:space="0" w:color="auto"/>
              <w:left w:val="single" w:sz="12" w:space="0" w:color="auto"/>
              <w:bottom w:val="single" w:sz="12" w:space="0" w:color="auto"/>
              <w:right w:val="single" w:sz="12" w:space="0" w:color="auto"/>
            </w:tcBorders>
            <w:vAlign w:val="center"/>
          </w:tcPr>
          <w:p w14:paraId="7FFE0B82"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50 mg BIW</w:t>
            </w:r>
          </w:p>
        </w:tc>
      </w:tr>
      <w:tr w:rsidR="007C6CFA" w14:paraId="2E61096C" w14:textId="77777777" w:rsidTr="00B37960">
        <w:trPr>
          <w:tblHeader/>
        </w:trPr>
        <w:tc>
          <w:tcPr>
            <w:tcW w:w="2460" w:type="dxa"/>
            <w:vMerge/>
            <w:tcBorders>
              <w:top w:val="single" w:sz="12" w:space="0" w:color="auto"/>
              <w:left w:val="single" w:sz="12" w:space="0" w:color="auto"/>
              <w:bottom w:val="single" w:sz="12" w:space="0" w:color="auto"/>
              <w:right w:val="single" w:sz="12" w:space="0" w:color="auto"/>
            </w:tcBorders>
            <w:vAlign w:val="center"/>
          </w:tcPr>
          <w:p w14:paraId="093D65A9" w14:textId="77777777" w:rsidR="007C6CFA" w:rsidRPr="007C6CFA" w:rsidRDefault="007C6CFA" w:rsidP="0021426A">
            <w:pPr>
              <w:pStyle w:val="NormalIndent1"/>
              <w:ind w:left="0"/>
              <w:jc w:val="left"/>
              <w:rPr>
                <w:rFonts w:cstheme="minorHAnsi"/>
                <w:b/>
                <w:sz w:val="20"/>
                <w:szCs w:val="20"/>
              </w:rPr>
            </w:pPr>
          </w:p>
        </w:tc>
        <w:tc>
          <w:tcPr>
            <w:tcW w:w="879" w:type="dxa"/>
            <w:tcBorders>
              <w:top w:val="single" w:sz="12" w:space="0" w:color="auto"/>
              <w:left w:val="single" w:sz="12" w:space="0" w:color="auto"/>
              <w:bottom w:val="single" w:sz="12" w:space="0" w:color="auto"/>
              <w:right w:val="single" w:sz="12" w:space="0" w:color="auto"/>
            </w:tcBorders>
            <w:vAlign w:val="center"/>
          </w:tcPr>
          <w:p w14:paraId="1371BC25"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166</w:t>
            </w:r>
          </w:p>
          <w:p w14:paraId="0D4B9051"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c>
          <w:tcPr>
            <w:tcW w:w="879" w:type="dxa"/>
            <w:tcBorders>
              <w:top w:val="single" w:sz="12" w:space="0" w:color="auto"/>
              <w:left w:val="single" w:sz="12" w:space="0" w:color="auto"/>
              <w:bottom w:val="single" w:sz="12" w:space="0" w:color="auto"/>
              <w:right w:val="single" w:sz="12" w:space="0" w:color="auto"/>
            </w:tcBorders>
            <w:vAlign w:val="center"/>
          </w:tcPr>
          <w:p w14:paraId="26EC21BC"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162</w:t>
            </w:r>
          </w:p>
          <w:p w14:paraId="4BD6E683"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c>
          <w:tcPr>
            <w:tcW w:w="879" w:type="dxa"/>
            <w:tcBorders>
              <w:top w:val="single" w:sz="12" w:space="0" w:color="auto"/>
              <w:left w:val="single" w:sz="12" w:space="0" w:color="auto"/>
              <w:bottom w:val="single" w:sz="12" w:space="0" w:color="auto"/>
              <w:right w:val="single" w:sz="12" w:space="0" w:color="auto"/>
            </w:tcBorders>
            <w:vAlign w:val="center"/>
          </w:tcPr>
          <w:p w14:paraId="0E5618CB"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162</w:t>
            </w:r>
          </w:p>
          <w:p w14:paraId="1801D820"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24</w:t>
            </w:r>
            <w:r w:rsidRPr="007C6CFA">
              <w:rPr>
                <w:rFonts w:cstheme="minorHAnsi"/>
                <w:b/>
                <w:sz w:val="20"/>
                <w:szCs w:val="20"/>
                <w:vertAlign w:val="superscript"/>
              </w:rPr>
              <w:t>a</w:t>
            </w:r>
          </w:p>
        </w:tc>
        <w:tc>
          <w:tcPr>
            <w:tcW w:w="879" w:type="dxa"/>
            <w:tcBorders>
              <w:top w:val="single" w:sz="12" w:space="0" w:color="auto"/>
              <w:left w:val="single" w:sz="12" w:space="0" w:color="auto"/>
              <w:bottom w:val="single" w:sz="12" w:space="0" w:color="auto"/>
              <w:right w:val="single" w:sz="12" w:space="0" w:color="auto"/>
            </w:tcBorders>
            <w:vAlign w:val="center"/>
          </w:tcPr>
          <w:p w14:paraId="19CCF5D4"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164</w:t>
            </w:r>
          </w:p>
          <w:p w14:paraId="66FF9450"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c>
          <w:tcPr>
            <w:tcW w:w="879" w:type="dxa"/>
            <w:tcBorders>
              <w:top w:val="single" w:sz="12" w:space="0" w:color="auto"/>
              <w:left w:val="single" w:sz="12" w:space="0" w:color="auto"/>
              <w:bottom w:val="single" w:sz="12" w:space="0" w:color="auto"/>
              <w:right w:val="single" w:sz="12" w:space="0" w:color="auto"/>
            </w:tcBorders>
            <w:vAlign w:val="center"/>
          </w:tcPr>
          <w:p w14:paraId="75E9BA25"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164</w:t>
            </w:r>
          </w:p>
          <w:p w14:paraId="22970BAA"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24</w:t>
            </w:r>
            <w:r w:rsidRPr="007C6CFA">
              <w:rPr>
                <w:rFonts w:cstheme="minorHAnsi"/>
                <w:b/>
                <w:sz w:val="20"/>
                <w:szCs w:val="20"/>
                <w:vertAlign w:val="superscript"/>
              </w:rPr>
              <w:t>a</w:t>
            </w:r>
          </w:p>
        </w:tc>
        <w:tc>
          <w:tcPr>
            <w:tcW w:w="879" w:type="dxa"/>
            <w:tcBorders>
              <w:top w:val="single" w:sz="12" w:space="0" w:color="auto"/>
              <w:left w:val="single" w:sz="12" w:space="0" w:color="auto"/>
              <w:bottom w:val="single" w:sz="12" w:space="0" w:color="auto"/>
              <w:right w:val="single" w:sz="12" w:space="0" w:color="auto"/>
            </w:tcBorders>
            <w:vAlign w:val="center"/>
          </w:tcPr>
          <w:p w14:paraId="17A733BB"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193</w:t>
            </w:r>
          </w:p>
          <w:p w14:paraId="04783E8A"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c>
          <w:tcPr>
            <w:tcW w:w="879" w:type="dxa"/>
            <w:tcBorders>
              <w:top w:val="single" w:sz="12" w:space="0" w:color="auto"/>
              <w:left w:val="single" w:sz="12" w:space="0" w:color="auto"/>
              <w:bottom w:val="single" w:sz="12" w:space="0" w:color="auto"/>
              <w:right w:val="single" w:sz="12" w:space="0" w:color="auto"/>
            </w:tcBorders>
            <w:vAlign w:val="center"/>
          </w:tcPr>
          <w:p w14:paraId="1403F10D"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196</w:t>
            </w:r>
          </w:p>
          <w:p w14:paraId="76434D0C"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c>
          <w:tcPr>
            <w:tcW w:w="880" w:type="dxa"/>
            <w:tcBorders>
              <w:top w:val="single" w:sz="12" w:space="0" w:color="auto"/>
              <w:left w:val="single" w:sz="12" w:space="0" w:color="auto"/>
              <w:bottom w:val="single" w:sz="12" w:space="0" w:color="auto"/>
              <w:right w:val="single" w:sz="12" w:space="0" w:color="auto"/>
            </w:tcBorders>
            <w:vAlign w:val="center"/>
          </w:tcPr>
          <w:p w14:paraId="0EEFB096" w14:textId="77777777" w:rsidR="007C6CFA" w:rsidRPr="007C6CFA" w:rsidRDefault="007C6CFA" w:rsidP="0021426A">
            <w:pPr>
              <w:pStyle w:val="NormalIndent1"/>
              <w:ind w:left="0"/>
              <w:jc w:val="left"/>
              <w:rPr>
                <w:rFonts w:cstheme="minorHAnsi"/>
                <w:b/>
                <w:sz w:val="20"/>
                <w:szCs w:val="20"/>
              </w:rPr>
            </w:pPr>
            <w:r w:rsidRPr="007C6CFA">
              <w:rPr>
                <w:rFonts w:cstheme="minorHAnsi"/>
                <w:b/>
                <w:sz w:val="20"/>
                <w:szCs w:val="20"/>
              </w:rPr>
              <w:t>n = 196</w:t>
            </w:r>
          </w:p>
          <w:p w14:paraId="1C561B46" w14:textId="77777777" w:rsidR="007C6CFA" w:rsidRPr="007C6CFA" w:rsidRDefault="007C6CFA" w:rsidP="0021426A">
            <w:pPr>
              <w:pStyle w:val="NormalIndent1"/>
              <w:ind w:left="0"/>
              <w:jc w:val="left"/>
              <w:rPr>
                <w:rFonts w:cstheme="minorHAnsi"/>
                <w:b/>
                <w:sz w:val="20"/>
                <w:szCs w:val="20"/>
              </w:rPr>
            </w:pPr>
            <w:proofErr w:type="spellStart"/>
            <w:r w:rsidRPr="007C6CFA">
              <w:rPr>
                <w:rFonts w:cstheme="minorHAnsi"/>
                <w:b/>
                <w:sz w:val="20"/>
                <w:szCs w:val="20"/>
              </w:rPr>
              <w:t>wk</w:t>
            </w:r>
            <w:proofErr w:type="spellEnd"/>
            <w:r w:rsidRPr="007C6CFA">
              <w:rPr>
                <w:rFonts w:cstheme="minorHAnsi"/>
                <w:b/>
                <w:sz w:val="20"/>
                <w:szCs w:val="20"/>
              </w:rPr>
              <w:t xml:space="preserve"> 12</w:t>
            </w:r>
          </w:p>
        </w:tc>
      </w:tr>
      <w:tr w:rsidR="007C6CFA" w14:paraId="7725C35F" w14:textId="77777777" w:rsidTr="00634163">
        <w:tc>
          <w:tcPr>
            <w:tcW w:w="2460" w:type="dxa"/>
            <w:tcBorders>
              <w:top w:val="single" w:sz="12" w:space="0" w:color="auto"/>
              <w:bottom w:val="single" w:sz="4" w:space="0" w:color="auto"/>
              <w:right w:val="single" w:sz="4" w:space="0" w:color="auto"/>
            </w:tcBorders>
          </w:tcPr>
          <w:p w14:paraId="5BB34887" w14:textId="77777777" w:rsidR="007C6CFA" w:rsidRDefault="007C6CFA" w:rsidP="0021426A">
            <w:pPr>
              <w:pStyle w:val="NormalIndent1"/>
              <w:spacing w:before="40" w:after="40"/>
              <w:ind w:left="0"/>
              <w:jc w:val="left"/>
              <w:rPr>
                <w:rFonts w:cstheme="minorHAnsi"/>
                <w:sz w:val="20"/>
                <w:szCs w:val="20"/>
              </w:rPr>
            </w:pPr>
            <w:r>
              <w:rPr>
                <w:rFonts w:cstheme="minorHAnsi"/>
                <w:sz w:val="20"/>
                <w:szCs w:val="20"/>
              </w:rPr>
              <w:t>PASI 50, %</w:t>
            </w:r>
          </w:p>
          <w:p w14:paraId="07F24A26"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PASI 75, %</w:t>
            </w:r>
          </w:p>
          <w:p w14:paraId="751344E1"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PASI 90, %</w:t>
            </w:r>
          </w:p>
        </w:tc>
        <w:tc>
          <w:tcPr>
            <w:tcW w:w="879" w:type="dxa"/>
            <w:tcBorders>
              <w:top w:val="single" w:sz="12" w:space="0" w:color="auto"/>
              <w:left w:val="single" w:sz="4" w:space="0" w:color="auto"/>
              <w:bottom w:val="single" w:sz="4" w:space="0" w:color="auto"/>
              <w:right w:val="single" w:sz="4" w:space="0" w:color="auto"/>
            </w:tcBorders>
          </w:tcPr>
          <w:p w14:paraId="7F466AF7"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14</w:t>
            </w:r>
          </w:p>
          <w:p w14:paraId="4B82700E"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4</w:t>
            </w:r>
          </w:p>
          <w:p w14:paraId="66119955"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1</w:t>
            </w:r>
          </w:p>
        </w:tc>
        <w:tc>
          <w:tcPr>
            <w:tcW w:w="879" w:type="dxa"/>
            <w:tcBorders>
              <w:top w:val="single" w:sz="12" w:space="0" w:color="auto"/>
              <w:left w:val="single" w:sz="4" w:space="0" w:color="auto"/>
              <w:bottom w:val="single" w:sz="4" w:space="0" w:color="auto"/>
              <w:right w:val="single" w:sz="4" w:space="0" w:color="auto"/>
            </w:tcBorders>
          </w:tcPr>
          <w:p w14:paraId="4C344053"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58*</w:t>
            </w:r>
          </w:p>
          <w:p w14:paraId="0B947FF4"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34*</w:t>
            </w:r>
          </w:p>
          <w:p w14:paraId="5AFD7846"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12*</w:t>
            </w:r>
          </w:p>
        </w:tc>
        <w:tc>
          <w:tcPr>
            <w:tcW w:w="879" w:type="dxa"/>
            <w:tcBorders>
              <w:top w:val="single" w:sz="12" w:space="0" w:color="auto"/>
              <w:left w:val="single" w:sz="4" w:space="0" w:color="auto"/>
              <w:bottom w:val="single" w:sz="4" w:space="0" w:color="auto"/>
              <w:right w:val="single" w:sz="4" w:space="0" w:color="auto"/>
            </w:tcBorders>
          </w:tcPr>
          <w:p w14:paraId="48FBFDF4"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70</w:t>
            </w:r>
          </w:p>
          <w:p w14:paraId="064A6265"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44</w:t>
            </w:r>
          </w:p>
          <w:p w14:paraId="6EAD6D9E"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20</w:t>
            </w:r>
          </w:p>
        </w:tc>
        <w:tc>
          <w:tcPr>
            <w:tcW w:w="879" w:type="dxa"/>
            <w:tcBorders>
              <w:top w:val="single" w:sz="12" w:space="0" w:color="auto"/>
              <w:left w:val="single" w:sz="4" w:space="0" w:color="auto"/>
              <w:bottom w:val="single" w:sz="4" w:space="0" w:color="auto"/>
              <w:right w:val="single" w:sz="4" w:space="0" w:color="auto"/>
            </w:tcBorders>
          </w:tcPr>
          <w:p w14:paraId="0E5337B2"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74*</w:t>
            </w:r>
          </w:p>
          <w:p w14:paraId="298C4D5B"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49*</w:t>
            </w:r>
          </w:p>
          <w:p w14:paraId="06805D8D"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22*</w:t>
            </w:r>
          </w:p>
        </w:tc>
        <w:tc>
          <w:tcPr>
            <w:tcW w:w="879" w:type="dxa"/>
            <w:tcBorders>
              <w:top w:val="single" w:sz="12" w:space="0" w:color="auto"/>
              <w:left w:val="single" w:sz="4" w:space="0" w:color="auto"/>
              <w:bottom w:val="single" w:sz="4" w:space="0" w:color="auto"/>
              <w:right w:val="single" w:sz="18" w:space="0" w:color="auto"/>
            </w:tcBorders>
          </w:tcPr>
          <w:p w14:paraId="05919443"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77</w:t>
            </w:r>
          </w:p>
          <w:p w14:paraId="3CF17DFF"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59</w:t>
            </w:r>
          </w:p>
          <w:p w14:paraId="177B6732"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30</w:t>
            </w:r>
          </w:p>
        </w:tc>
        <w:tc>
          <w:tcPr>
            <w:tcW w:w="879" w:type="dxa"/>
            <w:tcBorders>
              <w:top w:val="single" w:sz="12" w:space="0" w:color="auto"/>
              <w:left w:val="single" w:sz="18" w:space="0" w:color="auto"/>
              <w:bottom w:val="single" w:sz="4" w:space="0" w:color="auto"/>
              <w:right w:val="single" w:sz="4" w:space="0" w:color="auto"/>
            </w:tcBorders>
          </w:tcPr>
          <w:p w14:paraId="7432AE8B"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9</w:t>
            </w:r>
          </w:p>
          <w:p w14:paraId="575F1257"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3</w:t>
            </w:r>
          </w:p>
          <w:p w14:paraId="754F7994"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1</w:t>
            </w:r>
          </w:p>
        </w:tc>
        <w:tc>
          <w:tcPr>
            <w:tcW w:w="879" w:type="dxa"/>
            <w:tcBorders>
              <w:top w:val="single" w:sz="12" w:space="0" w:color="auto"/>
              <w:left w:val="single" w:sz="4" w:space="0" w:color="auto"/>
              <w:bottom w:val="single" w:sz="4" w:space="0" w:color="auto"/>
              <w:right w:val="single" w:sz="4" w:space="0" w:color="auto"/>
            </w:tcBorders>
          </w:tcPr>
          <w:p w14:paraId="04F82B24"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64*</w:t>
            </w:r>
          </w:p>
          <w:p w14:paraId="3F9BA7AB"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34*</w:t>
            </w:r>
          </w:p>
          <w:p w14:paraId="517C2FAD"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11*</w:t>
            </w:r>
          </w:p>
        </w:tc>
        <w:tc>
          <w:tcPr>
            <w:tcW w:w="880" w:type="dxa"/>
            <w:tcBorders>
              <w:top w:val="single" w:sz="12" w:space="0" w:color="auto"/>
              <w:left w:val="single" w:sz="4" w:space="0" w:color="auto"/>
              <w:bottom w:val="single" w:sz="4" w:space="0" w:color="auto"/>
              <w:right w:val="single" w:sz="4" w:space="0" w:color="auto"/>
            </w:tcBorders>
          </w:tcPr>
          <w:p w14:paraId="243DD08C" w14:textId="77777777" w:rsidR="007C6CFA" w:rsidRDefault="00634163" w:rsidP="0021426A">
            <w:pPr>
              <w:pStyle w:val="NormalIndent1"/>
              <w:spacing w:before="40" w:after="40"/>
              <w:ind w:left="0"/>
              <w:jc w:val="left"/>
              <w:rPr>
                <w:rFonts w:cstheme="minorHAnsi"/>
                <w:sz w:val="20"/>
                <w:szCs w:val="20"/>
              </w:rPr>
            </w:pPr>
            <w:r>
              <w:rPr>
                <w:rFonts w:cstheme="minorHAnsi"/>
                <w:sz w:val="20"/>
                <w:szCs w:val="20"/>
              </w:rPr>
              <w:t>77*</w:t>
            </w:r>
          </w:p>
          <w:p w14:paraId="72765662" w14:textId="77777777" w:rsidR="00634163" w:rsidRDefault="00634163" w:rsidP="0021426A">
            <w:pPr>
              <w:pStyle w:val="NormalIndent1"/>
              <w:spacing w:before="40" w:after="40"/>
              <w:ind w:left="0"/>
              <w:jc w:val="left"/>
              <w:rPr>
                <w:rFonts w:cstheme="minorHAnsi"/>
                <w:sz w:val="20"/>
                <w:szCs w:val="20"/>
              </w:rPr>
            </w:pPr>
            <w:r>
              <w:rPr>
                <w:rFonts w:cstheme="minorHAnsi"/>
                <w:sz w:val="20"/>
                <w:szCs w:val="20"/>
              </w:rPr>
              <w:t>49*</w:t>
            </w:r>
          </w:p>
          <w:p w14:paraId="40DCF167" w14:textId="77777777" w:rsidR="00634163" w:rsidRPr="007C6CFA" w:rsidRDefault="00634163" w:rsidP="0021426A">
            <w:pPr>
              <w:pStyle w:val="NormalIndent1"/>
              <w:spacing w:before="40" w:after="40"/>
              <w:ind w:left="0"/>
              <w:jc w:val="left"/>
              <w:rPr>
                <w:rFonts w:cstheme="minorHAnsi"/>
                <w:sz w:val="20"/>
                <w:szCs w:val="20"/>
              </w:rPr>
            </w:pPr>
            <w:r>
              <w:rPr>
                <w:rFonts w:cstheme="minorHAnsi"/>
                <w:sz w:val="20"/>
                <w:szCs w:val="20"/>
              </w:rPr>
              <w:t>21*</w:t>
            </w:r>
          </w:p>
        </w:tc>
      </w:tr>
      <w:tr w:rsidR="007C6CFA" w14:paraId="6FF6ACE0" w14:textId="77777777" w:rsidTr="00634163">
        <w:tc>
          <w:tcPr>
            <w:tcW w:w="2460" w:type="dxa"/>
            <w:tcBorders>
              <w:bottom w:val="single" w:sz="4" w:space="0" w:color="auto"/>
              <w:right w:val="nil"/>
            </w:tcBorders>
          </w:tcPr>
          <w:p w14:paraId="7EC5143C" w14:textId="77777777" w:rsidR="007C6CFA" w:rsidRP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69A64465"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2A9AC79C"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0EE87B40"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07CCF5FC" w14:textId="77777777" w:rsidR="007C6CFA" w:rsidRP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5D056CB5"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34284361"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07ADC219" w14:textId="77777777" w:rsidR="007C6CFA" w:rsidRPr="007C6CFA" w:rsidRDefault="007C6CFA" w:rsidP="0021426A">
            <w:pPr>
              <w:pStyle w:val="NormalIndent1"/>
              <w:ind w:left="0"/>
              <w:jc w:val="left"/>
              <w:rPr>
                <w:rFonts w:cstheme="minorHAnsi"/>
                <w:sz w:val="20"/>
                <w:szCs w:val="20"/>
              </w:rPr>
            </w:pPr>
          </w:p>
        </w:tc>
        <w:tc>
          <w:tcPr>
            <w:tcW w:w="880" w:type="dxa"/>
            <w:tcBorders>
              <w:left w:val="nil"/>
              <w:right w:val="single" w:sz="4" w:space="0" w:color="auto"/>
            </w:tcBorders>
          </w:tcPr>
          <w:p w14:paraId="2FFBF51A" w14:textId="77777777" w:rsidR="007C6CFA" w:rsidRPr="007C6CFA" w:rsidRDefault="007C6CFA" w:rsidP="0021426A">
            <w:pPr>
              <w:pStyle w:val="NormalIndent1"/>
              <w:ind w:left="0"/>
              <w:jc w:val="left"/>
              <w:rPr>
                <w:rFonts w:cstheme="minorHAnsi"/>
                <w:sz w:val="20"/>
                <w:szCs w:val="20"/>
              </w:rPr>
            </w:pPr>
          </w:p>
        </w:tc>
      </w:tr>
      <w:tr w:rsidR="007C6CFA" w14:paraId="583F2413" w14:textId="77777777" w:rsidTr="00634163">
        <w:tc>
          <w:tcPr>
            <w:tcW w:w="2460" w:type="dxa"/>
            <w:tcBorders>
              <w:bottom w:val="single" w:sz="4" w:space="0" w:color="auto"/>
              <w:right w:val="single" w:sz="4" w:space="0" w:color="auto"/>
            </w:tcBorders>
          </w:tcPr>
          <w:p w14:paraId="655303AF" w14:textId="77777777" w:rsidR="007C6CFA" w:rsidRPr="007C6CFA" w:rsidRDefault="007C6CFA" w:rsidP="0021426A">
            <w:pPr>
              <w:pStyle w:val="NormalIndent1"/>
              <w:spacing w:before="40" w:after="40"/>
              <w:ind w:left="0"/>
              <w:jc w:val="left"/>
              <w:rPr>
                <w:rFonts w:cstheme="minorHAnsi"/>
                <w:sz w:val="20"/>
                <w:szCs w:val="20"/>
              </w:rPr>
            </w:pPr>
            <w:r>
              <w:rPr>
                <w:rFonts w:cstheme="minorHAnsi"/>
                <w:sz w:val="20"/>
                <w:szCs w:val="20"/>
              </w:rPr>
              <w:t>Dermatologist static global assessment, clear or almost clear, %</w:t>
            </w:r>
            <w:r w:rsidR="00634163">
              <w:rPr>
                <w:rFonts w:cstheme="minorHAnsi"/>
                <w:sz w:val="20"/>
                <w:szCs w:val="20"/>
              </w:rPr>
              <w:br/>
            </w:r>
            <w:r>
              <w:rPr>
                <w:rFonts w:cstheme="minorHAnsi"/>
                <w:sz w:val="20"/>
                <w:szCs w:val="20"/>
              </w:rPr>
              <w:t>(0 or 1 on 0-5 scale)</w:t>
            </w:r>
          </w:p>
        </w:tc>
        <w:tc>
          <w:tcPr>
            <w:tcW w:w="879" w:type="dxa"/>
            <w:tcBorders>
              <w:left w:val="single" w:sz="4" w:space="0" w:color="auto"/>
              <w:bottom w:val="single" w:sz="4" w:space="0" w:color="auto"/>
            </w:tcBorders>
          </w:tcPr>
          <w:p w14:paraId="3CC14995" w14:textId="77777777" w:rsidR="007C6CFA" w:rsidRDefault="007C6CFA" w:rsidP="0021426A">
            <w:pPr>
              <w:pStyle w:val="NormalIndent1"/>
              <w:spacing w:before="40"/>
              <w:ind w:left="0"/>
              <w:jc w:val="left"/>
              <w:rPr>
                <w:rFonts w:cstheme="minorHAnsi"/>
                <w:sz w:val="20"/>
                <w:szCs w:val="20"/>
              </w:rPr>
            </w:pPr>
          </w:p>
          <w:p w14:paraId="5E30C061" w14:textId="77777777" w:rsidR="00634163" w:rsidRDefault="00634163" w:rsidP="0021426A">
            <w:pPr>
              <w:pStyle w:val="NormalIndent1"/>
              <w:ind w:left="0"/>
              <w:jc w:val="left"/>
              <w:rPr>
                <w:rFonts w:cstheme="minorHAnsi"/>
                <w:sz w:val="20"/>
                <w:szCs w:val="20"/>
              </w:rPr>
            </w:pPr>
          </w:p>
          <w:p w14:paraId="0F512E9F" w14:textId="77777777" w:rsidR="00634163" w:rsidRDefault="00634163" w:rsidP="0021426A">
            <w:pPr>
              <w:pStyle w:val="NormalIndent1"/>
              <w:ind w:left="0"/>
              <w:jc w:val="left"/>
              <w:rPr>
                <w:rFonts w:cstheme="minorHAnsi"/>
                <w:sz w:val="20"/>
                <w:szCs w:val="20"/>
              </w:rPr>
            </w:pPr>
          </w:p>
          <w:p w14:paraId="38763406" w14:textId="77777777" w:rsidR="00634163" w:rsidRPr="007C6CFA" w:rsidRDefault="00634163" w:rsidP="0021426A">
            <w:pPr>
              <w:pStyle w:val="NormalIndent1"/>
              <w:ind w:left="0"/>
              <w:jc w:val="left"/>
              <w:rPr>
                <w:rFonts w:cstheme="minorHAnsi"/>
                <w:sz w:val="20"/>
                <w:szCs w:val="20"/>
              </w:rPr>
            </w:pPr>
            <w:r>
              <w:rPr>
                <w:rFonts w:cstheme="minorHAnsi"/>
                <w:sz w:val="20"/>
                <w:szCs w:val="20"/>
              </w:rPr>
              <w:t>5</w:t>
            </w:r>
          </w:p>
        </w:tc>
        <w:tc>
          <w:tcPr>
            <w:tcW w:w="879" w:type="dxa"/>
            <w:tcBorders>
              <w:bottom w:val="single" w:sz="4" w:space="0" w:color="auto"/>
            </w:tcBorders>
          </w:tcPr>
          <w:p w14:paraId="29B68EBE" w14:textId="77777777" w:rsidR="007C6CFA" w:rsidRDefault="007C6CFA" w:rsidP="0021426A">
            <w:pPr>
              <w:pStyle w:val="NormalIndent1"/>
              <w:spacing w:before="40"/>
              <w:ind w:left="0"/>
              <w:jc w:val="left"/>
              <w:rPr>
                <w:rFonts w:cstheme="minorHAnsi"/>
                <w:sz w:val="20"/>
                <w:szCs w:val="20"/>
              </w:rPr>
            </w:pPr>
          </w:p>
          <w:p w14:paraId="5B8ECA37" w14:textId="77777777" w:rsidR="00634163" w:rsidRDefault="00634163" w:rsidP="0021426A">
            <w:pPr>
              <w:pStyle w:val="NormalIndent1"/>
              <w:ind w:left="0"/>
              <w:jc w:val="left"/>
              <w:rPr>
                <w:rFonts w:cstheme="minorHAnsi"/>
                <w:sz w:val="20"/>
                <w:szCs w:val="20"/>
              </w:rPr>
            </w:pPr>
          </w:p>
          <w:p w14:paraId="0FF08CDB" w14:textId="77777777" w:rsidR="00634163" w:rsidRDefault="00634163" w:rsidP="0021426A">
            <w:pPr>
              <w:pStyle w:val="NormalIndent1"/>
              <w:ind w:left="0"/>
              <w:jc w:val="left"/>
              <w:rPr>
                <w:rFonts w:cstheme="minorHAnsi"/>
                <w:sz w:val="20"/>
                <w:szCs w:val="20"/>
              </w:rPr>
            </w:pPr>
          </w:p>
          <w:p w14:paraId="1A585E1D" w14:textId="77777777" w:rsidR="00634163" w:rsidRPr="007C6CFA" w:rsidRDefault="00634163" w:rsidP="0021426A">
            <w:pPr>
              <w:pStyle w:val="NormalIndent1"/>
              <w:ind w:left="0"/>
              <w:jc w:val="left"/>
              <w:rPr>
                <w:rFonts w:cstheme="minorHAnsi"/>
                <w:sz w:val="20"/>
                <w:szCs w:val="20"/>
              </w:rPr>
            </w:pPr>
            <w:r>
              <w:rPr>
                <w:rFonts w:cstheme="minorHAnsi"/>
                <w:sz w:val="20"/>
                <w:szCs w:val="20"/>
              </w:rPr>
              <w:t>34*</w:t>
            </w:r>
          </w:p>
        </w:tc>
        <w:tc>
          <w:tcPr>
            <w:tcW w:w="879" w:type="dxa"/>
            <w:tcBorders>
              <w:bottom w:val="single" w:sz="4" w:space="0" w:color="auto"/>
            </w:tcBorders>
          </w:tcPr>
          <w:p w14:paraId="4B1F4CFC" w14:textId="77777777" w:rsidR="007C6CFA" w:rsidRDefault="007C6CFA" w:rsidP="0021426A">
            <w:pPr>
              <w:pStyle w:val="NormalIndent1"/>
              <w:spacing w:before="40"/>
              <w:ind w:left="0"/>
              <w:jc w:val="left"/>
              <w:rPr>
                <w:rFonts w:cstheme="minorHAnsi"/>
                <w:sz w:val="20"/>
                <w:szCs w:val="20"/>
              </w:rPr>
            </w:pPr>
          </w:p>
          <w:p w14:paraId="0AD94035" w14:textId="77777777" w:rsidR="00634163" w:rsidRDefault="00634163" w:rsidP="0021426A">
            <w:pPr>
              <w:pStyle w:val="NormalIndent1"/>
              <w:ind w:left="0"/>
              <w:jc w:val="left"/>
              <w:rPr>
                <w:rFonts w:cstheme="minorHAnsi"/>
                <w:sz w:val="20"/>
                <w:szCs w:val="20"/>
              </w:rPr>
            </w:pPr>
          </w:p>
          <w:p w14:paraId="4B80F0DE" w14:textId="77777777" w:rsidR="00634163" w:rsidRDefault="00634163" w:rsidP="0021426A">
            <w:pPr>
              <w:pStyle w:val="NormalIndent1"/>
              <w:ind w:left="0"/>
              <w:jc w:val="left"/>
              <w:rPr>
                <w:rFonts w:cstheme="minorHAnsi"/>
                <w:sz w:val="20"/>
                <w:szCs w:val="20"/>
              </w:rPr>
            </w:pPr>
          </w:p>
          <w:p w14:paraId="2CA556A8" w14:textId="77777777" w:rsidR="00634163" w:rsidRPr="007C6CFA" w:rsidRDefault="00634163" w:rsidP="0021426A">
            <w:pPr>
              <w:pStyle w:val="NormalIndent1"/>
              <w:ind w:left="0"/>
              <w:jc w:val="left"/>
              <w:rPr>
                <w:rFonts w:cstheme="minorHAnsi"/>
                <w:sz w:val="20"/>
                <w:szCs w:val="20"/>
              </w:rPr>
            </w:pPr>
            <w:r>
              <w:rPr>
                <w:rFonts w:cstheme="minorHAnsi"/>
                <w:sz w:val="20"/>
                <w:szCs w:val="20"/>
              </w:rPr>
              <w:t>39</w:t>
            </w:r>
          </w:p>
        </w:tc>
        <w:tc>
          <w:tcPr>
            <w:tcW w:w="879" w:type="dxa"/>
            <w:tcBorders>
              <w:bottom w:val="single" w:sz="4" w:space="0" w:color="auto"/>
            </w:tcBorders>
          </w:tcPr>
          <w:p w14:paraId="5DFA34FC" w14:textId="77777777" w:rsidR="007C6CFA" w:rsidRDefault="007C6CFA" w:rsidP="0021426A">
            <w:pPr>
              <w:pStyle w:val="NormalIndent1"/>
              <w:spacing w:before="40"/>
              <w:ind w:left="0"/>
              <w:jc w:val="left"/>
              <w:rPr>
                <w:rFonts w:cstheme="minorHAnsi"/>
                <w:sz w:val="20"/>
                <w:szCs w:val="20"/>
              </w:rPr>
            </w:pPr>
          </w:p>
          <w:p w14:paraId="62CF8C19" w14:textId="77777777" w:rsidR="00634163" w:rsidRDefault="00634163" w:rsidP="0021426A">
            <w:pPr>
              <w:pStyle w:val="NormalIndent1"/>
              <w:ind w:left="0"/>
              <w:jc w:val="left"/>
              <w:rPr>
                <w:rFonts w:cstheme="minorHAnsi"/>
                <w:sz w:val="20"/>
                <w:szCs w:val="20"/>
              </w:rPr>
            </w:pPr>
          </w:p>
          <w:p w14:paraId="4F3E9224" w14:textId="77777777" w:rsidR="00634163" w:rsidRDefault="00634163" w:rsidP="0021426A">
            <w:pPr>
              <w:pStyle w:val="NormalIndent1"/>
              <w:ind w:left="0"/>
              <w:jc w:val="left"/>
              <w:rPr>
                <w:rFonts w:cstheme="minorHAnsi"/>
                <w:sz w:val="20"/>
                <w:szCs w:val="20"/>
              </w:rPr>
            </w:pPr>
          </w:p>
          <w:p w14:paraId="2E7960F8" w14:textId="77777777" w:rsidR="00634163" w:rsidRPr="007C6CFA" w:rsidRDefault="00634163" w:rsidP="0021426A">
            <w:pPr>
              <w:pStyle w:val="NormalIndent1"/>
              <w:ind w:left="0"/>
              <w:jc w:val="left"/>
              <w:rPr>
                <w:rFonts w:cstheme="minorHAnsi"/>
                <w:sz w:val="20"/>
                <w:szCs w:val="20"/>
              </w:rPr>
            </w:pPr>
            <w:r>
              <w:rPr>
                <w:rFonts w:cstheme="minorHAnsi"/>
                <w:sz w:val="20"/>
                <w:szCs w:val="20"/>
              </w:rPr>
              <w:t>49*</w:t>
            </w:r>
          </w:p>
        </w:tc>
        <w:tc>
          <w:tcPr>
            <w:tcW w:w="879" w:type="dxa"/>
            <w:tcBorders>
              <w:bottom w:val="single" w:sz="4" w:space="0" w:color="auto"/>
              <w:right w:val="single" w:sz="18" w:space="0" w:color="auto"/>
            </w:tcBorders>
          </w:tcPr>
          <w:p w14:paraId="0189E789" w14:textId="77777777" w:rsidR="007C6CFA" w:rsidRDefault="007C6CFA" w:rsidP="0021426A">
            <w:pPr>
              <w:pStyle w:val="NormalIndent1"/>
              <w:spacing w:before="40"/>
              <w:ind w:left="0"/>
              <w:jc w:val="left"/>
              <w:rPr>
                <w:rFonts w:cstheme="minorHAnsi"/>
                <w:sz w:val="20"/>
                <w:szCs w:val="20"/>
              </w:rPr>
            </w:pPr>
          </w:p>
          <w:p w14:paraId="2284134A" w14:textId="77777777" w:rsidR="00634163" w:rsidRDefault="00634163" w:rsidP="0021426A">
            <w:pPr>
              <w:pStyle w:val="NormalIndent1"/>
              <w:ind w:left="0"/>
              <w:jc w:val="left"/>
              <w:rPr>
                <w:rFonts w:cstheme="minorHAnsi"/>
                <w:sz w:val="20"/>
                <w:szCs w:val="20"/>
              </w:rPr>
            </w:pPr>
          </w:p>
          <w:p w14:paraId="3FE4D148" w14:textId="77777777" w:rsidR="00634163" w:rsidRDefault="00634163" w:rsidP="0021426A">
            <w:pPr>
              <w:pStyle w:val="NormalIndent1"/>
              <w:ind w:left="0"/>
              <w:jc w:val="left"/>
              <w:rPr>
                <w:rFonts w:cstheme="minorHAnsi"/>
                <w:sz w:val="20"/>
                <w:szCs w:val="20"/>
              </w:rPr>
            </w:pPr>
          </w:p>
          <w:p w14:paraId="483D7C81" w14:textId="77777777" w:rsidR="00634163" w:rsidRPr="007C6CFA" w:rsidRDefault="00634163" w:rsidP="0021426A">
            <w:pPr>
              <w:pStyle w:val="NormalIndent1"/>
              <w:ind w:left="0"/>
              <w:jc w:val="left"/>
              <w:rPr>
                <w:rFonts w:cstheme="minorHAnsi"/>
                <w:sz w:val="20"/>
                <w:szCs w:val="20"/>
              </w:rPr>
            </w:pPr>
            <w:r>
              <w:rPr>
                <w:rFonts w:cstheme="minorHAnsi"/>
                <w:sz w:val="20"/>
                <w:szCs w:val="20"/>
              </w:rPr>
              <w:t>55</w:t>
            </w:r>
          </w:p>
        </w:tc>
        <w:tc>
          <w:tcPr>
            <w:tcW w:w="879" w:type="dxa"/>
            <w:tcBorders>
              <w:left w:val="single" w:sz="18" w:space="0" w:color="auto"/>
              <w:bottom w:val="single" w:sz="4" w:space="0" w:color="auto"/>
            </w:tcBorders>
          </w:tcPr>
          <w:p w14:paraId="79DE2BA3" w14:textId="77777777" w:rsidR="007C6CFA" w:rsidRDefault="007C6CFA" w:rsidP="0021426A">
            <w:pPr>
              <w:pStyle w:val="NormalIndent1"/>
              <w:spacing w:before="40"/>
              <w:ind w:left="0"/>
              <w:jc w:val="left"/>
              <w:rPr>
                <w:rFonts w:cstheme="minorHAnsi"/>
                <w:sz w:val="20"/>
                <w:szCs w:val="20"/>
              </w:rPr>
            </w:pPr>
          </w:p>
          <w:p w14:paraId="5B3D170E" w14:textId="77777777" w:rsidR="00634163" w:rsidRDefault="00634163" w:rsidP="0021426A">
            <w:pPr>
              <w:pStyle w:val="NormalIndent1"/>
              <w:ind w:left="0"/>
              <w:jc w:val="left"/>
              <w:rPr>
                <w:rFonts w:cstheme="minorHAnsi"/>
                <w:sz w:val="20"/>
                <w:szCs w:val="20"/>
              </w:rPr>
            </w:pPr>
          </w:p>
          <w:p w14:paraId="51AA6441" w14:textId="77777777" w:rsidR="00634163" w:rsidRDefault="00634163" w:rsidP="0021426A">
            <w:pPr>
              <w:pStyle w:val="NormalIndent1"/>
              <w:ind w:left="0"/>
              <w:jc w:val="left"/>
              <w:rPr>
                <w:rFonts w:cstheme="minorHAnsi"/>
                <w:sz w:val="20"/>
                <w:szCs w:val="20"/>
              </w:rPr>
            </w:pPr>
          </w:p>
          <w:p w14:paraId="10D4E83C" w14:textId="77777777" w:rsidR="00634163" w:rsidRPr="007C6CFA" w:rsidRDefault="00634163" w:rsidP="0021426A">
            <w:pPr>
              <w:pStyle w:val="NormalIndent1"/>
              <w:ind w:left="0"/>
              <w:jc w:val="left"/>
              <w:rPr>
                <w:rFonts w:cstheme="minorHAnsi"/>
                <w:sz w:val="20"/>
                <w:szCs w:val="20"/>
              </w:rPr>
            </w:pPr>
            <w:r>
              <w:rPr>
                <w:rFonts w:cstheme="minorHAnsi"/>
                <w:sz w:val="20"/>
                <w:szCs w:val="20"/>
              </w:rPr>
              <w:t>4</w:t>
            </w:r>
          </w:p>
        </w:tc>
        <w:tc>
          <w:tcPr>
            <w:tcW w:w="879" w:type="dxa"/>
            <w:tcBorders>
              <w:bottom w:val="single" w:sz="4" w:space="0" w:color="auto"/>
            </w:tcBorders>
          </w:tcPr>
          <w:p w14:paraId="52DDF85F" w14:textId="77777777" w:rsidR="007C6CFA" w:rsidRDefault="007C6CFA" w:rsidP="0021426A">
            <w:pPr>
              <w:pStyle w:val="NormalIndent1"/>
              <w:spacing w:before="40"/>
              <w:ind w:left="0"/>
              <w:jc w:val="left"/>
              <w:rPr>
                <w:rFonts w:cstheme="minorHAnsi"/>
                <w:sz w:val="20"/>
                <w:szCs w:val="20"/>
              </w:rPr>
            </w:pPr>
          </w:p>
          <w:p w14:paraId="288E45A8" w14:textId="77777777" w:rsidR="00634163" w:rsidRDefault="00634163" w:rsidP="0021426A">
            <w:pPr>
              <w:pStyle w:val="NormalIndent1"/>
              <w:ind w:left="0"/>
              <w:jc w:val="left"/>
              <w:rPr>
                <w:rFonts w:cstheme="minorHAnsi"/>
                <w:sz w:val="20"/>
                <w:szCs w:val="20"/>
              </w:rPr>
            </w:pPr>
          </w:p>
          <w:p w14:paraId="7512FC25" w14:textId="77777777" w:rsidR="00634163" w:rsidRDefault="00634163" w:rsidP="0021426A">
            <w:pPr>
              <w:pStyle w:val="NormalIndent1"/>
              <w:ind w:left="0"/>
              <w:jc w:val="left"/>
              <w:rPr>
                <w:rFonts w:cstheme="minorHAnsi"/>
                <w:sz w:val="20"/>
                <w:szCs w:val="20"/>
              </w:rPr>
            </w:pPr>
          </w:p>
          <w:p w14:paraId="74600788" w14:textId="77777777" w:rsidR="00634163" w:rsidRPr="007C6CFA" w:rsidRDefault="00634163" w:rsidP="0021426A">
            <w:pPr>
              <w:pStyle w:val="NormalIndent1"/>
              <w:ind w:left="0"/>
              <w:jc w:val="left"/>
              <w:rPr>
                <w:rFonts w:cstheme="minorHAnsi"/>
                <w:sz w:val="20"/>
                <w:szCs w:val="20"/>
              </w:rPr>
            </w:pPr>
            <w:r>
              <w:rPr>
                <w:rFonts w:cstheme="minorHAnsi"/>
                <w:sz w:val="20"/>
                <w:szCs w:val="20"/>
              </w:rPr>
              <w:t>39*</w:t>
            </w:r>
          </w:p>
        </w:tc>
        <w:tc>
          <w:tcPr>
            <w:tcW w:w="880" w:type="dxa"/>
            <w:tcBorders>
              <w:bottom w:val="single" w:sz="4" w:space="0" w:color="auto"/>
              <w:right w:val="single" w:sz="4" w:space="0" w:color="auto"/>
            </w:tcBorders>
          </w:tcPr>
          <w:p w14:paraId="230DE26C" w14:textId="77777777" w:rsidR="007C6CFA" w:rsidRDefault="007C6CFA" w:rsidP="0021426A">
            <w:pPr>
              <w:pStyle w:val="NormalIndent1"/>
              <w:spacing w:before="40"/>
              <w:ind w:left="0"/>
              <w:jc w:val="left"/>
              <w:rPr>
                <w:rFonts w:cstheme="minorHAnsi"/>
                <w:sz w:val="20"/>
                <w:szCs w:val="20"/>
              </w:rPr>
            </w:pPr>
          </w:p>
          <w:p w14:paraId="66B40001" w14:textId="77777777" w:rsidR="00634163" w:rsidRDefault="00634163" w:rsidP="0021426A">
            <w:pPr>
              <w:pStyle w:val="NormalIndent1"/>
              <w:ind w:left="0"/>
              <w:jc w:val="left"/>
              <w:rPr>
                <w:rFonts w:cstheme="minorHAnsi"/>
                <w:sz w:val="20"/>
                <w:szCs w:val="20"/>
              </w:rPr>
            </w:pPr>
          </w:p>
          <w:p w14:paraId="22711E1A" w14:textId="77777777" w:rsidR="00634163" w:rsidRDefault="00634163" w:rsidP="0021426A">
            <w:pPr>
              <w:pStyle w:val="NormalIndent1"/>
              <w:ind w:left="0"/>
              <w:jc w:val="left"/>
              <w:rPr>
                <w:rFonts w:cstheme="minorHAnsi"/>
                <w:sz w:val="20"/>
                <w:szCs w:val="20"/>
              </w:rPr>
            </w:pPr>
          </w:p>
          <w:p w14:paraId="689C88F6" w14:textId="77777777" w:rsidR="00634163" w:rsidRPr="007C6CFA" w:rsidRDefault="00634163" w:rsidP="0021426A">
            <w:pPr>
              <w:pStyle w:val="NormalIndent1"/>
              <w:ind w:left="0"/>
              <w:jc w:val="left"/>
              <w:rPr>
                <w:rFonts w:cstheme="minorHAnsi"/>
                <w:sz w:val="20"/>
                <w:szCs w:val="20"/>
              </w:rPr>
            </w:pPr>
            <w:r>
              <w:rPr>
                <w:rFonts w:cstheme="minorHAnsi"/>
                <w:sz w:val="20"/>
                <w:szCs w:val="20"/>
              </w:rPr>
              <w:t>57*</w:t>
            </w:r>
          </w:p>
        </w:tc>
      </w:tr>
      <w:tr w:rsidR="007C6CFA" w14:paraId="5E40A061" w14:textId="77777777" w:rsidTr="00634163">
        <w:tc>
          <w:tcPr>
            <w:tcW w:w="2460" w:type="dxa"/>
            <w:tcBorders>
              <w:bottom w:val="single" w:sz="4" w:space="0" w:color="auto"/>
              <w:right w:val="nil"/>
            </w:tcBorders>
          </w:tcPr>
          <w:p w14:paraId="0957DD86" w14:textId="77777777" w:rsid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0ADA1162"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6AD99CD0"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3961CAF4"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77B3C1FD" w14:textId="77777777" w:rsidR="007C6CFA" w:rsidRP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4625EE76"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3839FFE8"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241B355C" w14:textId="77777777" w:rsidR="007C6CFA" w:rsidRPr="007C6CFA" w:rsidRDefault="007C6CFA" w:rsidP="0021426A">
            <w:pPr>
              <w:pStyle w:val="NormalIndent1"/>
              <w:ind w:left="0"/>
              <w:jc w:val="left"/>
              <w:rPr>
                <w:rFonts w:cstheme="minorHAnsi"/>
                <w:sz w:val="20"/>
                <w:szCs w:val="20"/>
              </w:rPr>
            </w:pPr>
          </w:p>
        </w:tc>
        <w:tc>
          <w:tcPr>
            <w:tcW w:w="880" w:type="dxa"/>
            <w:tcBorders>
              <w:left w:val="nil"/>
              <w:right w:val="single" w:sz="4" w:space="0" w:color="auto"/>
            </w:tcBorders>
          </w:tcPr>
          <w:p w14:paraId="42DAC83D" w14:textId="77777777" w:rsidR="007C6CFA" w:rsidRPr="007C6CFA" w:rsidRDefault="007C6CFA" w:rsidP="0021426A">
            <w:pPr>
              <w:pStyle w:val="NormalIndent1"/>
              <w:ind w:left="0"/>
              <w:jc w:val="left"/>
              <w:rPr>
                <w:rFonts w:cstheme="minorHAnsi"/>
                <w:sz w:val="20"/>
                <w:szCs w:val="20"/>
              </w:rPr>
            </w:pPr>
          </w:p>
        </w:tc>
      </w:tr>
      <w:tr w:rsidR="007C6CFA" w14:paraId="638E056D" w14:textId="77777777" w:rsidTr="00634163">
        <w:tc>
          <w:tcPr>
            <w:tcW w:w="2460" w:type="dxa"/>
            <w:tcBorders>
              <w:bottom w:val="single" w:sz="4" w:space="0" w:color="auto"/>
              <w:right w:val="single" w:sz="4" w:space="0" w:color="auto"/>
            </w:tcBorders>
          </w:tcPr>
          <w:p w14:paraId="7055895E" w14:textId="77777777" w:rsidR="007C6CFA" w:rsidRDefault="007C6CFA" w:rsidP="0021426A">
            <w:pPr>
              <w:pStyle w:val="NormalIndent1"/>
              <w:spacing w:before="40" w:after="40"/>
              <w:ind w:left="0"/>
              <w:jc w:val="left"/>
              <w:rPr>
                <w:rFonts w:cstheme="minorHAnsi"/>
                <w:sz w:val="20"/>
                <w:szCs w:val="20"/>
              </w:rPr>
            </w:pPr>
            <w:r>
              <w:rPr>
                <w:rFonts w:cstheme="minorHAnsi"/>
                <w:sz w:val="20"/>
                <w:szCs w:val="20"/>
              </w:rPr>
              <w:t>Percent improvement from baseline in PASI, mean</w:t>
            </w:r>
          </w:p>
        </w:tc>
        <w:tc>
          <w:tcPr>
            <w:tcW w:w="879" w:type="dxa"/>
            <w:tcBorders>
              <w:left w:val="single" w:sz="4" w:space="0" w:color="auto"/>
              <w:bottom w:val="single" w:sz="4" w:space="0" w:color="auto"/>
            </w:tcBorders>
          </w:tcPr>
          <w:p w14:paraId="1C83DD14" w14:textId="77777777" w:rsidR="007C6CFA" w:rsidRDefault="007C6CFA" w:rsidP="0021426A">
            <w:pPr>
              <w:pStyle w:val="NormalIndent1"/>
              <w:spacing w:before="40"/>
              <w:ind w:left="0"/>
              <w:jc w:val="left"/>
              <w:rPr>
                <w:rFonts w:cstheme="minorHAnsi"/>
                <w:sz w:val="20"/>
                <w:szCs w:val="20"/>
              </w:rPr>
            </w:pPr>
          </w:p>
          <w:p w14:paraId="09C4FA8C" w14:textId="77777777" w:rsidR="00634163" w:rsidRPr="007C6CFA" w:rsidRDefault="00634163" w:rsidP="0021426A">
            <w:pPr>
              <w:pStyle w:val="NormalIndent1"/>
              <w:ind w:left="0"/>
              <w:jc w:val="left"/>
              <w:rPr>
                <w:rFonts w:cstheme="minorHAnsi"/>
                <w:sz w:val="20"/>
                <w:szCs w:val="20"/>
              </w:rPr>
            </w:pPr>
            <w:r>
              <w:rPr>
                <w:rFonts w:cstheme="minorHAnsi"/>
                <w:sz w:val="20"/>
                <w:szCs w:val="20"/>
              </w:rPr>
              <w:t>14.0</w:t>
            </w:r>
          </w:p>
        </w:tc>
        <w:tc>
          <w:tcPr>
            <w:tcW w:w="879" w:type="dxa"/>
            <w:tcBorders>
              <w:bottom w:val="single" w:sz="4" w:space="0" w:color="auto"/>
            </w:tcBorders>
          </w:tcPr>
          <w:p w14:paraId="64CC7BC3" w14:textId="77777777" w:rsidR="007C6CFA" w:rsidRDefault="007C6CFA" w:rsidP="0021426A">
            <w:pPr>
              <w:pStyle w:val="NormalIndent1"/>
              <w:spacing w:before="40"/>
              <w:ind w:left="0"/>
              <w:jc w:val="left"/>
              <w:rPr>
                <w:rFonts w:cstheme="minorHAnsi"/>
                <w:sz w:val="20"/>
                <w:szCs w:val="20"/>
              </w:rPr>
            </w:pPr>
          </w:p>
          <w:p w14:paraId="13B4DCCE" w14:textId="77777777" w:rsidR="00634163" w:rsidRPr="007C6CFA" w:rsidRDefault="00634163" w:rsidP="0021426A">
            <w:pPr>
              <w:pStyle w:val="NormalIndent1"/>
              <w:ind w:left="0"/>
              <w:jc w:val="left"/>
              <w:rPr>
                <w:rFonts w:cstheme="minorHAnsi"/>
                <w:sz w:val="20"/>
                <w:szCs w:val="20"/>
              </w:rPr>
            </w:pPr>
            <w:r>
              <w:rPr>
                <w:rFonts w:cstheme="minorHAnsi"/>
                <w:sz w:val="20"/>
                <w:szCs w:val="20"/>
              </w:rPr>
              <w:t>52.6*</w:t>
            </w:r>
          </w:p>
        </w:tc>
        <w:tc>
          <w:tcPr>
            <w:tcW w:w="879" w:type="dxa"/>
            <w:tcBorders>
              <w:bottom w:val="single" w:sz="4" w:space="0" w:color="auto"/>
            </w:tcBorders>
          </w:tcPr>
          <w:p w14:paraId="1C879312" w14:textId="77777777" w:rsidR="007C6CFA" w:rsidRDefault="007C6CFA" w:rsidP="0021426A">
            <w:pPr>
              <w:pStyle w:val="NormalIndent1"/>
              <w:spacing w:before="40"/>
              <w:ind w:left="0"/>
              <w:jc w:val="left"/>
              <w:rPr>
                <w:rFonts w:cstheme="minorHAnsi"/>
                <w:sz w:val="20"/>
                <w:szCs w:val="20"/>
              </w:rPr>
            </w:pPr>
          </w:p>
          <w:p w14:paraId="1821D0EA" w14:textId="77777777" w:rsidR="00634163" w:rsidRPr="007C6CFA" w:rsidRDefault="00634163" w:rsidP="0021426A">
            <w:pPr>
              <w:pStyle w:val="NormalIndent1"/>
              <w:ind w:left="0"/>
              <w:jc w:val="left"/>
              <w:rPr>
                <w:rFonts w:cstheme="minorHAnsi"/>
                <w:sz w:val="20"/>
                <w:szCs w:val="20"/>
              </w:rPr>
            </w:pPr>
            <w:r>
              <w:rPr>
                <w:rFonts w:cstheme="minorHAnsi"/>
                <w:sz w:val="20"/>
                <w:szCs w:val="20"/>
              </w:rPr>
              <w:t>62.1</w:t>
            </w:r>
          </w:p>
        </w:tc>
        <w:tc>
          <w:tcPr>
            <w:tcW w:w="879" w:type="dxa"/>
            <w:tcBorders>
              <w:bottom w:val="single" w:sz="4" w:space="0" w:color="auto"/>
            </w:tcBorders>
          </w:tcPr>
          <w:p w14:paraId="64585D66" w14:textId="77777777" w:rsidR="007C6CFA" w:rsidRDefault="007C6CFA" w:rsidP="0021426A">
            <w:pPr>
              <w:pStyle w:val="NormalIndent1"/>
              <w:spacing w:before="40"/>
              <w:ind w:left="0"/>
              <w:jc w:val="left"/>
              <w:rPr>
                <w:rFonts w:cstheme="minorHAnsi"/>
                <w:sz w:val="20"/>
                <w:szCs w:val="20"/>
              </w:rPr>
            </w:pPr>
          </w:p>
          <w:p w14:paraId="2D03FB55" w14:textId="77777777" w:rsidR="00634163" w:rsidRPr="007C6CFA" w:rsidRDefault="00634163" w:rsidP="0021426A">
            <w:pPr>
              <w:pStyle w:val="NormalIndent1"/>
              <w:ind w:left="0"/>
              <w:jc w:val="left"/>
              <w:rPr>
                <w:rFonts w:cstheme="minorHAnsi"/>
                <w:sz w:val="20"/>
                <w:szCs w:val="20"/>
              </w:rPr>
            </w:pPr>
            <w:r>
              <w:rPr>
                <w:rFonts w:cstheme="minorHAnsi"/>
                <w:sz w:val="20"/>
                <w:szCs w:val="20"/>
              </w:rPr>
              <w:t>64.2*</w:t>
            </w:r>
          </w:p>
        </w:tc>
        <w:tc>
          <w:tcPr>
            <w:tcW w:w="879" w:type="dxa"/>
            <w:tcBorders>
              <w:bottom w:val="single" w:sz="4" w:space="0" w:color="auto"/>
              <w:right w:val="single" w:sz="18" w:space="0" w:color="auto"/>
            </w:tcBorders>
          </w:tcPr>
          <w:p w14:paraId="0CCDA73A" w14:textId="77777777" w:rsidR="00634163" w:rsidRDefault="00634163" w:rsidP="0021426A">
            <w:pPr>
              <w:pStyle w:val="NormalIndent1"/>
              <w:spacing w:before="40"/>
              <w:ind w:left="0"/>
              <w:jc w:val="left"/>
              <w:rPr>
                <w:rFonts w:cstheme="minorHAnsi"/>
                <w:sz w:val="20"/>
                <w:szCs w:val="20"/>
              </w:rPr>
            </w:pPr>
          </w:p>
          <w:p w14:paraId="48950A27" w14:textId="77777777" w:rsidR="007C6CFA" w:rsidRPr="007C6CFA" w:rsidRDefault="00634163" w:rsidP="0021426A">
            <w:pPr>
              <w:pStyle w:val="NormalIndent1"/>
              <w:ind w:left="0"/>
              <w:jc w:val="left"/>
              <w:rPr>
                <w:rFonts w:cstheme="minorHAnsi"/>
                <w:sz w:val="20"/>
                <w:szCs w:val="20"/>
              </w:rPr>
            </w:pPr>
            <w:r>
              <w:rPr>
                <w:rFonts w:cstheme="minorHAnsi"/>
                <w:sz w:val="20"/>
                <w:szCs w:val="20"/>
              </w:rPr>
              <w:t>71.1</w:t>
            </w:r>
          </w:p>
        </w:tc>
        <w:tc>
          <w:tcPr>
            <w:tcW w:w="879" w:type="dxa"/>
            <w:tcBorders>
              <w:left w:val="single" w:sz="18" w:space="0" w:color="auto"/>
              <w:bottom w:val="single" w:sz="4" w:space="0" w:color="auto"/>
            </w:tcBorders>
          </w:tcPr>
          <w:p w14:paraId="18B348D8" w14:textId="77777777" w:rsidR="007C6CFA" w:rsidRDefault="007C6CFA" w:rsidP="0021426A">
            <w:pPr>
              <w:pStyle w:val="NormalIndent1"/>
              <w:spacing w:before="40"/>
              <w:ind w:left="0"/>
              <w:jc w:val="left"/>
              <w:rPr>
                <w:rFonts w:cstheme="minorHAnsi"/>
                <w:sz w:val="20"/>
                <w:szCs w:val="20"/>
              </w:rPr>
            </w:pPr>
          </w:p>
          <w:p w14:paraId="30FE55AB" w14:textId="77777777" w:rsidR="00634163" w:rsidRPr="007C6CFA" w:rsidRDefault="00634163" w:rsidP="0021426A">
            <w:pPr>
              <w:pStyle w:val="NormalIndent1"/>
              <w:ind w:left="0"/>
              <w:jc w:val="left"/>
              <w:rPr>
                <w:rFonts w:cstheme="minorHAnsi"/>
                <w:sz w:val="20"/>
                <w:szCs w:val="20"/>
              </w:rPr>
            </w:pPr>
            <w:r>
              <w:rPr>
                <w:rFonts w:cstheme="minorHAnsi"/>
                <w:sz w:val="20"/>
                <w:szCs w:val="20"/>
              </w:rPr>
              <w:t>0.2</w:t>
            </w:r>
          </w:p>
        </w:tc>
        <w:tc>
          <w:tcPr>
            <w:tcW w:w="879" w:type="dxa"/>
            <w:tcBorders>
              <w:bottom w:val="single" w:sz="4" w:space="0" w:color="auto"/>
            </w:tcBorders>
          </w:tcPr>
          <w:p w14:paraId="28295ABD" w14:textId="77777777" w:rsidR="007C6CFA" w:rsidRDefault="007C6CFA" w:rsidP="0021426A">
            <w:pPr>
              <w:pStyle w:val="NormalIndent1"/>
              <w:spacing w:before="40"/>
              <w:ind w:left="0"/>
              <w:jc w:val="left"/>
              <w:rPr>
                <w:rFonts w:cstheme="minorHAnsi"/>
                <w:sz w:val="20"/>
                <w:szCs w:val="20"/>
              </w:rPr>
            </w:pPr>
          </w:p>
          <w:p w14:paraId="558AC16D" w14:textId="77777777" w:rsidR="00634163" w:rsidRPr="007C6CFA" w:rsidRDefault="00634163" w:rsidP="0021426A">
            <w:pPr>
              <w:pStyle w:val="NormalIndent1"/>
              <w:ind w:left="0"/>
              <w:jc w:val="left"/>
              <w:rPr>
                <w:rFonts w:cstheme="minorHAnsi"/>
                <w:sz w:val="20"/>
                <w:szCs w:val="20"/>
              </w:rPr>
            </w:pPr>
            <w:r>
              <w:rPr>
                <w:rFonts w:cstheme="minorHAnsi"/>
                <w:sz w:val="20"/>
                <w:szCs w:val="20"/>
              </w:rPr>
              <w:t>56.8*</w:t>
            </w:r>
          </w:p>
        </w:tc>
        <w:tc>
          <w:tcPr>
            <w:tcW w:w="880" w:type="dxa"/>
            <w:tcBorders>
              <w:bottom w:val="single" w:sz="4" w:space="0" w:color="auto"/>
              <w:right w:val="single" w:sz="4" w:space="0" w:color="auto"/>
            </w:tcBorders>
          </w:tcPr>
          <w:p w14:paraId="472B585A" w14:textId="77777777" w:rsidR="007C6CFA" w:rsidRDefault="007C6CFA" w:rsidP="0021426A">
            <w:pPr>
              <w:pStyle w:val="NormalIndent1"/>
              <w:spacing w:before="40"/>
              <w:ind w:left="0"/>
              <w:jc w:val="left"/>
              <w:rPr>
                <w:rFonts w:cstheme="minorHAnsi"/>
                <w:sz w:val="20"/>
                <w:szCs w:val="20"/>
              </w:rPr>
            </w:pPr>
          </w:p>
          <w:p w14:paraId="64E941CB" w14:textId="77777777" w:rsidR="00634163" w:rsidRPr="007C6CFA" w:rsidRDefault="00634163" w:rsidP="0021426A">
            <w:pPr>
              <w:pStyle w:val="NormalIndent1"/>
              <w:ind w:left="0"/>
              <w:jc w:val="left"/>
              <w:rPr>
                <w:rFonts w:cstheme="minorHAnsi"/>
                <w:sz w:val="20"/>
                <w:szCs w:val="20"/>
              </w:rPr>
            </w:pPr>
            <w:r>
              <w:rPr>
                <w:rFonts w:cstheme="minorHAnsi"/>
                <w:sz w:val="20"/>
                <w:szCs w:val="20"/>
              </w:rPr>
              <w:t>67.5*</w:t>
            </w:r>
          </w:p>
        </w:tc>
      </w:tr>
      <w:tr w:rsidR="007C6CFA" w14:paraId="4587920D" w14:textId="77777777" w:rsidTr="00634163">
        <w:tc>
          <w:tcPr>
            <w:tcW w:w="2460" w:type="dxa"/>
            <w:tcBorders>
              <w:bottom w:val="single" w:sz="4" w:space="0" w:color="auto"/>
              <w:right w:val="nil"/>
            </w:tcBorders>
          </w:tcPr>
          <w:p w14:paraId="5A730A07" w14:textId="77777777" w:rsid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0A5489CF"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683786D0"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353BD7BE"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53D0695E" w14:textId="77777777" w:rsidR="007C6CFA" w:rsidRP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7D6710B7"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75F926F3"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72583CD3" w14:textId="77777777" w:rsidR="007C6CFA" w:rsidRPr="007C6CFA" w:rsidRDefault="007C6CFA" w:rsidP="0021426A">
            <w:pPr>
              <w:pStyle w:val="NormalIndent1"/>
              <w:ind w:left="0"/>
              <w:jc w:val="left"/>
              <w:rPr>
                <w:rFonts w:cstheme="minorHAnsi"/>
                <w:sz w:val="20"/>
                <w:szCs w:val="20"/>
              </w:rPr>
            </w:pPr>
          </w:p>
        </w:tc>
        <w:tc>
          <w:tcPr>
            <w:tcW w:w="880" w:type="dxa"/>
            <w:tcBorders>
              <w:left w:val="nil"/>
              <w:right w:val="single" w:sz="4" w:space="0" w:color="auto"/>
            </w:tcBorders>
          </w:tcPr>
          <w:p w14:paraId="3E2250EE" w14:textId="77777777" w:rsidR="007C6CFA" w:rsidRPr="007C6CFA" w:rsidRDefault="007C6CFA" w:rsidP="0021426A">
            <w:pPr>
              <w:pStyle w:val="NormalIndent1"/>
              <w:ind w:left="0"/>
              <w:jc w:val="left"/>
              <w:rPr>
                <w:rFonts w:cstheme="minorHAnsi"/>
                <w:sz w:val="20"/>
                <w:szCs w:val="20"/>
              </w:rPr>
            </w:pPr>
          </w:p>
        </w:tc>
      </w:tr>
      <w:tr w:rsidR="007C6CFA" w14:paraId="797501B1" w14:textId="77777777" w:rsidTr="00634163">
        <w:tc>
          <w:tcPr>
            <w:tcW w:w="2460" w:type="dxa"/>
            <w:tcBorders>
              <w:bottom w:val="single" w:sz="4" w:space="0" w:color="auto"/>
              <w:right w:val="single" w:sz="4" w:space="0" w:color="auto"/>
            </w:tcBorders>
          </w:tcPr>
          <w:p w14:paraId="7CFAE385" w14:textId="77777777" w:rsidR="007C6CFA" w:rsidRDefault="007C6CFA" w:rsidP="0021426A">
            <w:pPr>
              <w:pStyle w:val="NormalIndent1"/>
              <w:spacing w:before="40" w:after="40"/>
              <w:ind w:left="0"/>
              <w:jc w:val="left"/>
              <w:rPr>
                <w:rFonts w:cstheme="minorHAnsi"/>
                <w:sz w:val="20"/>
                <w:szCs w:val="20"/>
              </w:rPr>
            </w:pPr>
            <w:r>
              <w:rPr>
                <w:rFonts w:cstheme="minorHAnsi"/>
                <w:sz w:val="20"/>
                <w:szCs w:val="20"/>
              </w:rPr>
              <w:t xml:space="preserve">Patient global assessment of psoriasis, </w:t>
            </w:r>
            <w:r w:rsidR="00634163">
              <w:rPr>
                <w:rFonts w:cstheme="minorHAnsi"/>
                <w:sz w:val="20"/>
                <w:szCs w:val="20"/>
              </w:rPr>
              <w:br/>
            </w:r>
            <w:r>
              <w:rPr>
                <w:rFonts w:cstheme="minorHAnsi"/>
                <w:sz w:val="20"/>
                <w:szCs w:val="20"/>
              </w:rPr>
              <w:t>median (0-5 scale)</w:t>
            </w:r>
          </w:p>
        </w:tc>
        <w:tc>
          <w:tcPr>
            <w:tcW w:w="879" w:type="dxa"/>
            <w:tcBorders>
              <w:left w:val="single" w:sz="4" w:space="0" w:color="auto"/>
              <w:bottom w:val="single" w:sz="4" w:space="0" w:color="auto"/>
            </w:tcBorders>
          </w:tcPr>
          <w:p w14:paraId="3FF76D9C" w14:textId="77777777" w:rsidR="007C6CFA" w:rsidRDefault="007C6CFA" w:rsidP="0021426A">
            <w:pPr>
              <w:pStyle w:val="NormalIndent1"/>
              <w:spacing w:before="40"/>
              <w:ind w:left="0"/>
              <w:jc w:val="left"/>
              <w:rPr>
                <w:rFonts w:cstheme="minorHAnsi"/>
                <w:sz w:val="20"/>
                <w:szCs w:val="20"/>
              </w:rPr>
            </w:pPr>
          </w:p>
          <w:p w14:paraId="1234E319" w14:textId="77777777" w:rsidR="00634163" w:rsidRDefault="00634163" w:rsidP="0021426A">
            <w:pPr>
              <w:pStyle w:val="NormalIndent1"/>
              <w:ind w:left="0"/>
              <w:jc w:val="left"/>
              <w:rPr>
                <w:rFonts w:cstheme="minorHAnsi"/>
                <w:sz w:val="20"/>
                <w:szCs w:val="20"/>
              </w:rPr>
            </w:pPr>
          </w:p>
          <w:p w14:paraId="11F8FF5D" w14:textId="77777777" w:rsidR="00634163" w:rsidRPr="007C6CFA" w:rsidRDefault="00634163" w:rsidP="0021426A">
            <w:pPr>
              <w:pStyle w:val="NormalIndent1"/>
              <w:ind w:left="0"/>
              <w:jc w:val="left"/>
              <w:rPr>
                <w:rFonts w:cstheme="minorHAnsi"/>
                <w:sz w:val="20"/>
                <w:szCs w:val="20"/>
              </w:rPr>
            </w:pPr>
            <w:r>
              <w:rPr>
                <w:rFonts w:cstheme="minorHAnsi"/>
                <w:sz w:val="20"/>
                <w:szCs w:val="20"/>
              </w:rPr>
              <w:t>4.0</w:t>
            </w:r>
          </w:p>
        </w:tc>
        <w:tc>
          <w:tcPr>
            <w:tcW w:w="879" w:type="dxa"/>
            <w:tcBorders>
              <w:bottom w:val="single" w:sz="4" w:space="0" w:color="auto"/>
            </w:tcBorders>
          </w:tcPr>
          <w:p w14:paraId="18695EFD" w14:textId="77777777" w:rsidR="007C6CFA" w:rsidRDefault="007C6CFA" w:rsidP="0021426A">
            <w:pPr>
              <w:pStyle w:val="NormalIndent1"/>
              <w:spacing w:before="40"/>
              <w:ind w:left="0"/>
              <w:jc w:val="left"/>
              <w:rPr>
                <w:rFonts w:cstheme="minorHAnsi"/>
                <w:sz w:val="20"/>
                <w:szCs w:val="20"/>
              </w:rPr>
            </w:pPr>
          </w:p>
          <w:p w14:paraId="1D6DDF56" w14:textId="77777777" w:rsidR="00634163" w:rsidRDefault="00634163" w:rsidP="0021426A">
            <w:pPr>
              <w:pStyle w:val="NormalIndent1"/>
              <w:ind w:left="0"/>
              <w:jc w:val="left"/>
              <w:rPr>
                <w:rFonts w:cstheme="minorHAnsi"/>
                <w:sz w:val="20"/>
                <w:szCs w:val="20"/>
              </w:rPr>
            </w:pPr>
          </w:p>
          <w:p w14:paraId="1B1DAE67" w14:textId="77777777" w:rsidR="00634163" w:rsidRPr="007C6CFA" w:rsidRDefault="00634163" w:rsidP="0021426A">
            <w:pPr>
              <w:pStyle w:val="NormalIndent1"/>
              <w:ind w:left="0"/>
              <w:jc w:val="left"/>
              <w:rPr>
                <w:rFonts w:cstheme="minorHAnsi"/>
                <w:sz w:val="20"/>
                <w:szCs w:val="20"/>
              </w:rPr>
            </w:pPr>
            <w:r>
              <w:rPr>
                <w:rFonts w:cstheme="minorHAnsi"/>
                <w:sz w:val="20"/>
                <w:szCs w:val="20"/>
              </w:rPr>
              <w:t>2.0*</w:t>
            </w:r>
          </w:p>
        </w:tc>
        <w:tc>
          <w:tcPr>
            <w:tcW w:w="879" w:type="dxa"/>
            <w:tcBorders>
              <w:bottom w:val="single" w:sz="4" w:space="0" w:color="auto"/>
            </w:tcBorders>
          </w:tcPr>
          <w:p w14:paraId="5CB855D2" w14:textId="77777777" w:rsidR="007C6CFA" w:rsidRDefault="007C6CFA" w:rsidP="0021426A">
            <w:pPr>
              <w:pStyle w:val="NormalIndent1"/>
              <w:spacing w:before="40"/>
              <w:ind w:left="0"/>
              <w:jc w:val="left"/>
              <w:rPr>
                <w:rFonts w:cstheme="minorHAnsi"/>
                <w:sz w:val="20"/>
                <w:szCs w:val="20"/>
              </w:rPr>
            </w:pPr>
          </w:p>
          <w:p w14:paraId="26C1402B" w14:textId="77777777" w:rsidR="00634163" w:rsidRDefault="00634163" w:rsidP="0021426A">
            <w:pPr>
              <w:pStyle w:val="NormalIndent1"/>
              <w:ind w:left="0"/>
              <w:jc w:val="left"/>
              <w:rPr>
                <w:rFonts w:cstheme="minorHAnsi"/>
                <w:sz w:val="20"/>
                <w:szCs w:val="20"/>
              </w:rPr>
            </w:pPr>
          </w:p>
          <w:p w14:paraId="5EC77428" w14:textId="77777777" w:rsidR="00634163" w:rsidRPr="007C6CFA" w:rsidRDefault="00634163" w:rsidP="0021426A">
            <w:pPr>
              <w:pStyle w:val="NormalIndent1"/>
              <w:ind w:left="0"/>
              <w:jc w:val="left"/>
              <w:rPr>
                <w:rFonts w:cstheme="minorHAnsi"/>
                <w:sz w:val="20"/>
                <w:szCs w:val="20"/>
              </w:rPr>
            </w:pPr>
            <w:r>
              <w:rPr>
                <w:rFonts w:cstheme="minorHAnsi"/>
                <w:sz w:val="20"/>
                <w:szCs w:val="20"/>
              </w:rPr>
              <w:t>2.0</w:t>
            </w:r>
          </w:p>
        </w:tc>
        <w:tc>
          <w:tcPr>
            <w:tcW w:w="879" w:type="dxa"/>
            <w:tcBorders>
              <w:bottom w:val="single" w:sz="4" w:space="0" w:color="auto"/>
            </w:tcBorders>
          </w:tcPr>
          <w:p w14:paraId="24C007C3" w14:textId="77777777" w:rsidR="007C6CFA" w:rsidRDefault="007C6CFA" w:rsidP="0021426A">
            <w:pPr>
              <w:pStyle w:val="NormalIndent1"/>
              <w:spacing w:before="40"/>
              <w:ind w:left="0"/>
              <w:jc w:val="left"/>
              <w:rPr>
                <w:rFonts w:cstheme="minorHAnsi"/>
                <w:sz w:val="20"/>
                <w:szCs w:val="20"/>
              </w:rPr>
            </w:pPr>
          </w:p>
          <w:p w14:paraId="75F68686" w14:textId="77777777" w:rsidR="00634163" w:rsidRDefault="00634163" w:rsidP="0021426A">
            <w:pPr>
              <w:pStyle w:val="NormalIndent1"/>
              <w:ind w:left="0"/>
              <w:jc w:val="left"/>
              <w:rPr>
                <w:rFonts w:cstheme="minorHAnsi"/>
                <w:sz w:val="20"/>
                <w:szCs w:val="20"/>
              </w:rPr>
            </w:pPr>
          </w:p>
          <w:p w14:paraId="0D93B5D9" w14:textId="77777777" w:rsidR="00634163" w:rsidRPr="007C6CFA" w:rsidRDefault="00634163" w:rsidP="0021426A">
            <w:pPr>
              <w:pStyle w:val="NormalIndent1"/>
              <w:ind w:left="0"/>
              <w:jc w:val="left"/>
              <w:rPr>
                <w:rFonts w:cstheme="minorHAnsi"/>
                <w:sz w:val="20"/>
                <w:szCs w:val="20"/>
              </w:rPr>
            </w:pPr>
            <w:r>
              <w:rPr>
                <w:rFonts w:cstheme="minorHAnsi"/>
                <w:sz w:val="20"/>
                <w:szCs w:val="20"/>
              </w:rPr>
              <w:t>1.5*</w:t>
            </w:r>
          </w:p>
        </w:tc>
        <w:tc>
          <w:tcPr>
            <w:tcW w:w="879" w:type="dxa"/>
            <w:tcBorders>
              <w:bottom w:val="single" w:sz="4" w:space="0" w:color="auto"/>
              <w:right w:val="single" w:sz="18" w:space="0" w:color="auto"/>
            </w:tcBorders>
          </w:tcPr>
          <w:p w14:paraId="76B40059" w14:textId="77777777" w:rsidR="007C6CFA" w:rsidRDefault="007C6CFA" w:rsidP="0021426A">
            <w:pPr>
              <w:pStyle w:val="NormalIndent1"/>
              <w:spacing w:before="40"/>
              <w:ind w:left="0"/>
              <w:jc w:val="left"/>
              <w:rPr>
                <w:rFonts w:cstheme="minorHAnsi"/>
                <w:sz w:val="20"/>
                <w:szCs w:val="20"/>
              </w:rPr>
            </w:pPr>
          </w:p>
          <w:p w14:paraId="727E5136" w14:textId="77777777" w:rsidR="00634163" w:rsidRDefault="00634163" w:rsidP="0021426A">
            <w:pPr>
              <w:pStyle w:val="NormalIndent1"/>
              <w:ind w:left="0"/>
              <w:jc w:val="left"/>
              <w:rPr>
                <w:rFonts w:cstheme="minorHAnsi"/>
                <w:sz w:val="20"/>
                <w:szCs w:val="20"/>
              </w:rPr>
            </w:pPr>
          </w:p>
          <w:p w14:paraId="72FE809F" w14:textId="77777777" w:rsidR="00634163" w:rsidRPr="007C6CFA" w:rsidRDefault="00634163" w:rsidP="0021426A">
            <w:pPr>
              <w:pStyle w:val="NormalIndent1"/>
              <w:ind w:left="0"/>
              <w:jc w:val="left"/>
              <w:rPr>
                <w:rFonts w:cstheme="minorHAnsi"/>
                <w:sz w:val="20"/>
                <w:szCs w:val="20"/>
              </w:rPr>
            </w:pPr>
            <w:r>
              <w:rPr>
                <w:rFonts w:cstheme="minorHAnsi"/>
                <w:sz w:val="20"/>
                <w:szCs w:val="20"/>
              </w:rPr>
              <w:t>1.0</w:t>
            </w:r>
          </w:p>
        </w:tc>
        <w:tc>
          <w:tcPr>
            <w:tcW w:w="879" w:type="dxa"/>
            <w:tcBorders>
              <w:left w:val="single" w:sz="18" w:space="0" w:color="auto"/>
              <w:bottom w:val="single" w:sz="4" w:space="0" w:color="auto"/>
            </w:tcBorders>
          </w:tcPr>
          <w:p w14:paraId="28994548" w14:textId="77777777" w:rsidR="007C6CFA" w:rsidRDefault="007C6CFA" w:rsidP="0021426A">
            <w:pPr>
              <w:pStyle w:val="NormalIndent1"/>
              <w:spacing w:before="40"/>
              <w:ind w:left="0"/>
              <w:jc w:val="left"/>
              <w:rPr>
                <w:rFonts w:cstheme="minorHAnsi"/>
                <w:sz w:val="20"/>
                <w:szCs w:val="20"/>
              </w:rPr>
            </w:pPr>
          </w:p>
          <w:p w14:paraId="1B0395D4" w14:textId="77777777" w:rsidR="00634163" w:rsidRDefault="00634163" w:rsidP="0021426A">
            <w:pPr>
              <w:pStyle w:val="NormalIndent1"/>
              <w:ind w:left="0"/>
              <w:jc w:val="left"/>
              <w:rPr>
                <w:rFonts w:cstheme="minorHAnsi"/>
                <w:sz w:val="20"/>
                <w:szCs w:val="20"/>
              </w:rPr>
            </w:pPr>
          </w:p>
          <w:p w14:paraId="7397A21B" w14:textId="77777777" w:rsidR="00634163" w:rsidRPr="007C6CFA" w:rsidRDefault="00634163" w:rsidP="0021426A">
            <w:pPr>
              <w:pStyle w:val="NormalIndent1"/>
              <w:ind w:left="0"/>
              <w:jc w:val="left"/>
              <w:rPr>
                <w:rFonts w:cstheme="minorHAnsi"/>
                <w:sz w:val="20"/>
                <w:szCs w:val="20"/>
              </w:rPr>
            </w:pPr>
            <w:r>
              <w:rPr>
                <w:rFonts w:cstheme="minorHAnsi"/>
                <w:sz w:val="20"/>
                <w:szCs w:val="20"/>
              </w:rPr>
              <w:t>4.0</w:t>
            </w:r>
          </w:p>
        </w:tc>
        <w:tc>
          <w:tcPr>
            <w:tcW w:w="879" w:type="dxa"/>
            <w:tcBorders>
              <w:bottom w:val="single" w:sz="4" w:space="0" w:color="auto"/>
            </w:tcBorders>
          </w:tcPr>
          <w:p w14:paraId="1B32D993" w14:textId="77777777" w:rsidR="007C6CFA" w:rsidRDefault="007C6CFA" w:rsidP="0021426A">
            <w:pPr>
              <w:pStyle w:val="NormalIndent1"/>
              <w:spacing w:before="40"/>
              <w:ind w:left="0"/>
              <w:jc w:val="left"/>
              <w:rPr>
                <w:rFonts w:cstheme="minorHAnsi"/>
                <w:sz w:val="20"/>
                <w:szCs w:val="20"/>
              </w:rPr>
            </w:pPr>
          </w:p>
          <w:p w14:paraId="08D1A84F" w14:textId="77777777" w:rsidR="00634163" w:rsidRDefault="00634163" w:rsidP="0021426A">
            <w:pPr>
              <w:pStyle w:val="NormalIndent1"/>
              <w:ind w:left="0"/>
              <w:jc w:val="left"/>
              <w:rPr>
                <w:rFonts w:cstheme="minorHAnsi"/>
                <w:sz w:val="20"/>
                <w:szCs w:val="20"/>
              </w:rPr>
            </w:pPr>
          </w:p>
          <w:p w14:paraId="6E32923F" w14:textId="77777777" w:rsidR="00634163" w:rsidRPr="007C6CFA" w:rsidRDefault="00634163" w:rsidP="0021426A">
            <w:pPr>
              <w:pStyle w:val="NormalIndent1"/>
              <w:ind w:left="0"/>
              <w:jc w:val="left"/>
              <w:rPr>
                <w:rFonts w:cstheme="minorHAnsi"/>
                <w:sz w:val="20"/>
                <w:szCs w:val="20"/>
              </w:rPr>
            </w:pPr>
            <w:r>
              <w:rPr>
                <w:rFonts w:cstheme="minorHAnsi"/>
                <w:sz w:val="20"/>
                <w:szCs w:val="20"/>
              </w:rPr>
              <w:t>2.0*</w:t>
            </w:r>
          </w:p>
        </w:tc>
        <w:tc>
          <w:tcPr>
            <w:tcW w:w="880" w:type="dxa"/>
            <w:tcBorders>
              <w:bottom w:val="single" w:sz="4" w:space="0" w:color="auto"/>
              <w:right w:val="single" w:sz="4" w:space="0" w:color="auto"/>
            </w:tcBorders>
          </w:tcPr>
          <w:p w14:paraId="252179E4" w14:textId="77777777" w:rsidR="007C6CFA" w:rsidRDefault="007C6CFA" w:rsidP="0021426A">
            <w:pPr>
              <w:pStyle w:val="NormalIndent1"/>
              <w:spacing w:before="40"/>
              <w:ind w:left="0"/>
              <w:jc w:val="left"/>
              <w:rPr>
                <w:rFonts w:cstheme="minorHAnsi"/>
                <w:sz w:val="20"/>
                <w:szCs w:val="20"/>
              </w:rPr>
            </w:pPr>
          </w:p>
          <w:p w14:paraId="104DF52D" w14:textId="77777777" w:rsidR="00634163" w:rsidRDefault="00634163" w:rsidP="0021426A">
            <w:pPr>
              <w:pStyle w:val="NormalIndent1"/>
              <w:ind w:left="0"/>
              <w:jc w:val="left"/>
              <w:rPr>
                <w:rFonts w:cstheme="minorHAnsi"/>
                <w:sz w:val="20"/>
                <w:szCs w:val="20"/>
              </w:rPr>
            </w:pPr>
          </w:p>
          <w:p w14:paraId="19C36E8E" w14:textId="77777777" w:rsidR="00634163" w:rsidRPr="007C6CFA" w:rsidRDefault="00634163" w:rsidP="0021426A">
            <w:pPr>
              <w:pStyle w:val="NormalIndent1"/>
              <w:ind w:left="0"/>
              <w:jc w:val="left"/>
              <w:rPr>
                <w:rFonts w:cstheme="minorHAnsi"/>
                <w:sz w:val="20"/>
                <w:szCs w:val="20"/>
              </w:rPr>
            </w:pPr>
            <w:r>
              <w:rPr>
                <w:rFonts w:cstheme="minorHAnsi"/>
                <w:sz w:val="20"/>
                <w:szCs w:val="20"/>
              </w:rPr>
              <w:t>1.0*</w:t>
            </w:r>
          </w:p>
        </w:tc>
      </w:tr>
      <w:tr w:rsidR="007C6CFA" w14:paraId="3E7389C3" w14:textId="77777777" w:rsidTr="00634163">
        <w:tc>
          <w:tcPr>
            <w:tcW w:w="2460" w:type="dxa"/>
            <w:tcBorders>
              <w:bottom w:val="single" w:sz="4" w:space="0" w:color="auto"/>
              <w:right w:val="nil"/>
            </w:tcBorders>
          </w:tcPr>
          <w:p w14:paraId="18CEE7C7" w14:textId="77777777" w:rsid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549E762A"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5E27FDED"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3F4550AD"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6134E60C" w14:textId="77777777" w:rsidR="007C6CFA" w:rsidRPr="007C6CFA" w:rsidRDefault="007C6CFA" w:rsidP="0021426A">
            <w:pPr>
              <w:pStyle w:val="NormalIndent1"/>
              <w:ind w:left="0"/>
              <w:jc w:val="left"/>
              <w:rPr>
                <w:rFonts w:cstheme="minorHAnsi"/>
                <w:sz w:val="20"/>
                <w:szCs w:val="20"/>
              </w:rPr>
            </w:pPr>
          </w:p>
        </w:tc>
        <w:tc>
          <w:tcPr>
            <w:tcW w:w="879" w:type="dxa"/>
            <w:tcBorders>
              <w:left w:val="nil"/>
              <w:bottom w:val="single" w:sz="4" w:space="0" w:color="auto"/>
              <w:right w:val="nil"/>
            </w:tcBorders>
          </w:tcPr>
          <w:p w14:paraId="456A3519"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1683D8A6" w14:textId="77777777" w:rsidR="007C6CFA" w:rsidRPr="007C6CFA" w:rsidRDefault="007C6CFA" w:rsidP="0021426A">
            <w:pPr>
              <w:pStyle w:val="NormalIndent1"/>
              <w:ind w:left="0"/>
              <w:jc w:val="left"/>
              <w:rPr>
                <w:rFonts w:cstheme="minorHAnsi"/>
                <w:sz w:val="20"/>
                <w:szCs w:val="20"/>
              </w:rPr>
            </w:pPr>
          </w:p>
        </w:tc>
        <w:tc>
          <w:tcPr>
            <w:tcW w:w="879" w:type="dxa"/>
            <w:tcBorders>
              <w:left w:val="nil"/>
              <w:right w:val="nil"/>
            </w:tcBorders>
          </w:tcPr>
          <w:p w14:paraId="5B1B269A" w14:textId="77777777" w:rsidR="007C6CFA" w:rsidRPr="007C6CFA" w:rsidRDefault="007C6CFA" w:rsidP="0021426A">
            <w:pPr>
              <w:pStyle w:val="NormalIndent1"/>
              <w:ind w:left="0"/>
              <w:jc w:val="left"/>
              <w:rPr>
                <w:rFonts w:cstheme="minorHAnsi"/>
                <w:sz w:val="20"/>
                <w:szCs w:val="20"/>
              </w:rPr>
            </w:pPr>
          </w:p>
        </w:tc>
        <w:tc>
          <w:tcPr>
            <w:tcW w:w="880" w:type="dxa"/>
            <w:tcBorders>
              <w:left w:val="nil"/>
              <w:right w:val="single" w:sz="4" w:space="0" w:color="auto"/>
            </w:tcBorders>
          </w:tcPr>
          <w:p w14:paraId="3BA4DB08" w14:textId="77777777" w:rsidR="007C6CFA" w:rsidRPr="007C6CFA" w:rsidRDefault="007C6CFA" w:rsidP="0021426A">
            <w:pPr>
              <w:pStyle w:val="NormalIndent1"/>
              <w:ind w:left="0"/>
              <w:jc w:val="left"/>
              <w:rPr>
                <w:rFonts w:cstheme="minorHAnsi"/>
                <w:sz w:val="20"/>
                <w:szCs w:val="20"/>
              </w:rPr>
            </w:pPr>
          </w:p>
        </w:tc>
      </w:tr>
      <w:tr w:rsidR="007C6CFA" w14:paraId="4509484F" w14:textId="77777777" w:rsidTr="00634163">
        <w:tc>
          <w:tcPr>
            <w:tcW w:w="2460" w:type="dxa"/>
            <w:tcBorders>
              <w:bottom w:val="single" w:sz="4" w:space="0" w:color="auto"/>
              <w:right w:val="single" w:sz="4" w:space="0" w:color="auto"/>
            </w:tcBorders>
          </w:tcPr>
          <w:p w14:paraId="7178DF18" w14:textId="77777777" w:rsidR="007C6CFA" w:rsidRDefault="007C6CFA" w:rsidP="0021426A">
            <w:pPr>
              <w:pStyle w:val="NormalIndent1"/>
              <w:spacing w:before="40" w:after="40"/>
              <w:ind w:left="0"/>
              <w:jc w:val="left"/>
              <w:rPr>
                <w:rFonts w:cstheme="minorHAnsi"/>
                <w:sz w:val="20"/>
                <w:szCs w:val="20"/>
              </w:rPr>
            </w:pPr>
            <w:r>
              <w:rPr>
                <w:rFonts w:cstheme="minorHAnsi"/>
                <w:sz w:val="20"/>
                <w:szCs w:val="20"/>
              </w:rPr>
              <w:t>Percent improvement from baseline in Dermatology Life Quality Index, mean</w:t>
            </w:r>
          </w:p>
        </w:tc>
        <w:tc>
          <w:tcPr>
            <w:tcW w:w="879" w:type="dxa"/>
            <w:tcBorders>
              <w:left w:val="single" w:sz="4" w:space="0" w:color="auto"/>
              <w:bottom w:val="single" w:sz="4" w:space="0" w:color="auto"/>
            </w:tcBorders>
          </w:tcPr>
          <w:p w14:paraId="45139314" w14:textId="77777777" w:rsidR="007C6CFA" w:rsidRDefault="007C6CFA" w:rsidP="0021426A">
            <w:pPr>
              <w:pStyle w:val="NormalIndent1"/>
              <w:spacing w:before="40"/>
              <w:ind w:left="0"/>
              <w:jc w:val="left"/>
              <w:rPr>
                <w:rFonts w:cstheme="minorHAnsi"/>
                <w:sz w:val="20"/>
                <w:szCs w:val="20"/>
              </w:rPr>
            </w:pPr>
          </w:p>
          <w:p w14:paraId="1AFE4DBF" w14:textId="77777777" w:rsidR="00634163" w:rsidRDefault="00634163" w:rsidP="0021426A">
            <w:pPr>
              <w:pStyle w:val="NormalIndent1"/>
              <w:ind w:left="0"/>
              <w:jc w:val="left"/>
              <w:rPr>
                <w:rFonts w:cstheme="minorHAnsi"/>
                <w:sz w:val="20"/>
                <w:szCs w:val="20"/>
              </w:rPr>
            </w:pPr>
          </w:p>
          <w:p w14:paraId="28F945F2" w14:textId="77777777" w:rsidR="00634163" w:rsidRPr="007C6CFA" w:rsidRDefault="00634163" w:rsidP="0021426A">
            <w:pPr>
              <w:pStyle w:val="NormalIndent1"/>
              <w:ind w:left="0"/>
              <w:jc w:val="left"/>
              <w:rPr>
                <w:rFonts w:cstheme="minorHAnsi"/>
                <w:sz w:val="20"/>
                <w:szCs w:val="20"/>
              </w:rPr>
            </w:pPr>
            <w:r>
              <w:rPr>
                <w:rFonts w:cstheme="minorHAnsi"/>
                <w:sz w:val="20"/>
                <w:szCs w:val="20"/>
              </w:rPr>
              <w:t>10.9</w:t>
            </w:r>
          </w:p>
        </w:tc>
        <w:tc>
          <w:tcPr>
            <w:tcW w:w="879" w:type="dxa"/>
            <w:tcBorders>
              <w:bottom w:val="single" w:sz="4" w:space="0" w:color="auto"/>
            </w:tcBorders>
          </w:tcPr>
          <w:p w14:paraId="7DFD192C" w14:textId="77777777" w:rsidR="007C6CFA" w:rsidRDefault="007C6CFA" w:rsidP="0021426A">
            <w:pPr>
              <w:pStyle w:val="NormalIndent1"/>
              <w:spacing w:before="40"/>
              <w:ind w:left="0"/>
              <w:jc w:val="left"/>
              <w:rPr>
                <w:rFonts w:cstheme="minorHAnsi"/>
                <w:sz w:val="20"/>
                <w:szCs w:val="20"/>
              </w:rPr>
            </w:pPr>
          </w:p>
          <w:p w14:paraId="71BB9907" w14:textId="77777777" w:rsidR="00634163" w:rsidRDefault="00634163" w:rsidP="0021426A">
            <w:pPr>
              <w:pStyle w:val="NormalIndent1"/>
              <w:ind w:left="0"/>
              <w:jc w:val="left"/>
              <w:rPr>
                <w:rFonts w:cstheme="minorHAnsi"/>
                <w:sz w:val="20"/>
                <w:szCs w:val="20"/>
              </w:rPr>
            </w:pPr>
          </w:p>
          <w:p w14:paraId="44EA9F0C" w14:textId="77777777" w:rsidR="00634163" w:rsidRPr="007C6CFA" w:rsidRDefault="00634163" w:rsidP="0021426A">
            <w:pPr>
              <w:pStyle w:val="NormalIndent1"/>
              <w:ind w:left="0"/>
              <w:jc w:val="left"/>
              <w:rPr>
                <w:rFonts w:cstheme="minorHAnsi"/>
                <w:sz w:val="20"/>
                <w:szCs w:val="20"/>
              </w:rPr>
            </w:pPr>
            <w:r>
              <w:rPr>
                <w:rFonts w:cstheme="minorHAnsi"/>
                <w:sz w:val="20"/>
                <w:szCs w:val="20"/>
              </w:rPr>
              <w:t>50.8*</w:t>
            </w:r>
          </w:p>
        </w:tc>
        <w:tc>
          <w:tcPr>
            <w:tcW w:w="879" w:type="dxa"/>
            <w:tcBorders>
              <w:bottom w:val="single" w:sz="4" w:space="0" w:color="auto"/>
            </w:tcBorders>
          </w:tcPr>
          <w:p w14:paraId="77E472C9" w14:textId="77777777" w:rsidR="007C6CFA" w:rsidRDefault="007C6CFA" w:rsidP="0021426A">
            <w:pPr>
              <w:pStyle w:val="NormalIndent1"/>
              <w:spacing w:before="40"/>
              <w:ind w:left="0"/>
              <w:jc w:val="left"/>
              <w:rPr>
                <w:rFonts w:cstheme="minorHAnsi"/>
                <w:sz w:val="20"/>
                <w:szCs w:val="20"/>
              </w:rPr>
            </w:pPr>
          </w:p>
          <w:p w14:paraId="12148AA6" w14:textId="77777777" w:rsidR="00634163" w:rsidRDefault="00634163" w:rsidP="0021426A">
            <w:pPr>
              <w:pStyle w:val="NormalIndent1"/>
              <w:ind w:left="0"/>
              <w:jc w:val="left"/>
              <w:rPr>
                <w:rFonts w:cstheme="minorHAnsi"/>
                <w:sz w:val="20"/>
                <w:szCs w:val="20"/>
              </w:rPr>
            </w:pPr>
          </w:p>
          <w:p w14:paraId="3917BF13" w14:textId="77777777" w:rsidR="00634163" w:rsidRPr="007C6CFA" w:rsidRDefault="00634163" w:rsidP="0021426A">
            <w:pPr>
              <w:pStyle w:val="NormalIndent1"/>
              <w:ind w:left="0"/>
              <w:jc w:val="left"/>
              <w:rPr>
                <w:rFonts w:cstheme="minorHAnsi"/>
                <w:sz w:val="20"/>
                <w:szCs w:val="20"/>
              </w:rPr>
            </w:pPr>
            <w:r>
              <w:rPr>
                <w:rFonts w:cstheme="minorHAnsi"/>
                <w:sz w:val="20"/>
                <w:szCs w:val="20"/>
              </w:rPr>
              <w:t>59.4</w:t>
            </w:r>
          </w:p>
        </w:tc>
        <w:tc>
          <w:tcPr>
            <w:tcW w:w="879" w:type="dxa"/>
            <w:tcBorders>
              <w:bottom w:val="single" w:sz="4" w:space="0" w:color="auto"/>
            </w:tcBorders>
          </w:tcPr>
          <w:p w14:paraId="5F09FB4A" w14:textId="77777777" w:rsidR="007C6CFA" w:rsidRDefault="007C6CFA" w:rsidP="0021426A">
            <w:pPr>
              <w:pStyle w:val="NormalIndent1"/>
              <w:spacing w:before="40"/>
              <w:ind w:left="0"/>
              <w:jc w:val="left"/>
              <w:rPr>
                <w:rFonts w:cstheme="minorHAnsi"/>
                <w:sz w:val="20"/>
                <w:szCs w:val="20"/>
              </w:rPr>
            </w:pPr>
          </w:p>
          <w:p w14:paraId="1CFA395A" w14:textId="77777777" w:rsidR="00634163" w:rsidRDefault="00634163" w:rsidP="0021426A">
            <w:pPr>
              <w:pStyle w:val="NormalIndent1"/>
              <w:ind w:left="0"/>
              <w:jc w:val="left"/>
              <w:rPr>
                <w:rFonts w:cstheme="minorHAnsi"/>
                <w:sz w:val="20"/>
                <w:szCs w:val="20"/>
              </w:rPr>
            </w:pPr>
          </w:p>
          <w:p w14:paraId="4676E1A6" w14:textId="77777777" w:rsidR="00634163" w:rsidRPr="007C6CFA" w:rsidRDefault="00634163" w:rsidP="0021426A">
            <w:pPr>
              <w:pStyle w:val="NormalIndent1"/>
              <w:ind w:left="0"/>
              <w:jc w:val="left"/>
              <w:rPr>
                <w:rFonts w:cstheme="minorHAnsi"/>
                <w:sz w:val="20"/>
                <w:szCs w:val="20"/>
              </w:rPr>
            </w:pPr>
            <w:r>
              <w:rPr>
                <w:rFonts w:cstheme="minorHAnsi"/>
                <w:sz w:val="20"/>
                <w:szCs w:val="20"/>
              </w:rPr>
              <w:t>61.0*</w:t>
            </w:r>
          </w:p>
        </w:tc>
        <w:tc>
          <w:tcPr>
            <w:tcW w:w="879" w:type="dxa"/>
            <w:tcBorders>
              <w:bottom w:val="single" w:sz="4" w:space="0" w:color="auto"/>
              <w:right w:val="single" w:sz="18" w:space="0" w:color="auto"/>
            </w:tcBorders>
          </w:tcPr>
          <w:p w14:paraId="59BB80BC" w14:textId="77777777" w:rsidR="007C6CFA" w:rsidRDefault="007C6CFA" w:rsidP="0021426A">
            <w:pPr>
              <w:pStyle w:val="NormalIndent1"/>
              <w:spacing w:before="40"/>
              <w:ind w:left="0"/>
              <w:jc w:val="left"/>
              <w:rPr>
                <w:rFonts w:cstheme="minorHAnsi"/>
                <w:sz w:val="20"/>
                <w:szCs w:val="20"/>
              </w:rPr>
            </w:pPr>
          </w:p>
          <w:p w14:paraId="09468790" w14:textId="77777777" w:rsidR="00634163" w:rsidRDefault="00634163" w:rsidP="0021426A">
            <w:pPr>
              <w:pStyle w:val="NormalIndent1"/>
              <w:ind w:left="0"/>
              <w:jc w:val="left"/>
              <w:rPr>
                <w:rFonts w:cstheme="minorHAnsi"/>
                <w:sz w:val="20"/>
                <w:szCs w:val="20"/>
              </w:rPr>
            </w:pPr>
          </w:p>
          <w:p w14:paraId="71CB5BED" w14:textId="77777777" w:rsidR="00634163" w:rsidRPr="007C6CFA" w:rsidRDefault="00634163" w:rsidP="0021426A">
            <w:pPr>
              <w:pStyle w:val="NormalIndent1"/>
              <w:ind w:left="0"/>
              <w:jc w:val="left"/>
              <w:rPr>
                <w:rFonts w:cstheme="minorHAnsi"/>
                <w:sz w:val="20"/>
                <w:szCs w:val="20"/>
              </w:rPr>
            </w:pPr>
            <w:r>
              <w:rPr>
                <w:rFonts w:cstheme="minorHAnsi"/>
                <w:sz w:val="20"/>
                <w:szCs w:val="20"/>
              </w:rPr>
              <w:t>73.8</w:t>
            </w:r>
          </w:p>
        </w:tc>
        <w:tc>
          <w:tcPr>
            <w:tcW w:w="879" w:type="dxa"/>
            <w:tcBorders>
              <w:left w:val="single" w:sz="18" w:space="0" w:color="auto"/>
              <w:bottom w:val="single" w:sz="4" w:space="0" w:color="auto"/>
            </w:tcBorders>
          </w:tcPr>
          <w:p w14:paraId="21929147" w14:textId="77777777" w:rsidR="007C6CFA" w:rsidRDefault="007C6CFA" w:rsidP="0021426A">
            <w:pPr>
              <w:pStyle w:val="NormalIndent1"/>
              <w:spacing w:before="40"/>
              <w:ind w:left="0"/>
              <w:jc w:val="left"/>
              <w:rPr>
                <w:rFonts w:cstheme="minorHAnsi"/>
                <w:sz w:val="20"/>
                <w:szCs w:val="20"/>
              </w:rPr>
            </w:pPr>
          </w:p>
          <w:p w14:paraId="0EDC2624" w14:textId="77777777" w:rsidR="00634163" w:rsidRDefault="00634163" w:rsidP="0021426A">
            <w:pPr>
              <w:pStyle w:val="NormalIndent1"/>
              <w:ind w:left="0"/>
              <w:jc w:val="left"/>
              <w:rPr>
                <w:rFonts w:cstheme="minorHAnsi"/>
                <w:sz w:val="20"/>
                <w:szCs w:val="20"/>
              </w:rPr>
            </w:pPr>
          </w:p>
          <w:p w14:paraId="2EAFE249" w14:textId="77777777" w:rsidR="00634163" w:rsidRPr="007C6CFA" w:rsidRDefault="00634163" w:rsidP="0021426A">
            <w:pPr>
              <w:pStyle w:val="NormalIndent1"/>
              <w:ind w:left="0"/>
              <w:jc w:val="left"/>
              <w:rPr>
                <w:rFonts w:cstheme="minorHAnsi"/>
                <w:sz w:val="20"/>
                <w:szCs w:val="20"/>
              </w:rPr>
            </w:pPr>
            <w:r>
              <w:rPr>
                <w:rFonts w:cstheme="minorHAnsi"/>
                <w:sz w:val="20"/>
                <w:szCs w:val="20"/>
              </w:rPr>
              <w:t>6.2</w:t>
            </w:r>
          </w:p>
        </w:tc>
        <w:tc>
          <w:tcPr>
            <w:tcW w:w="879" w:type="dxa"/>
            <w:tcBorders>
              <w:bottom w:val="single" w:sz="4" w:space="0" w:color="auto"/>
            </w:tcBorders>
          </w:tcPr>
          <w:p w14:paraId="2C88CEA2" w14:textId="77777777" w:rsidR="007C6CFA" w:rsidRDefault="007C6CFA" w:rsidP="0021426A">
            <w:pPr>
              <w:pStyle w:val="NormalIndent1"/>
              <w:spacing w:before="40"/>
              <w:ind w:left="0"/>
              <w:jc w:val="left"/>
              <w:rPr>
                <w:rFonts w:cstheme="minorHAnsi"/>
                <w:sz w:val="20"/>
                <w:szCs w:val="20"/>
              </w:rPr>
            </w:pPr>
          </w:p>
          <w:p w14:paraId="176BD49A" w14:textId="77777777" w:rsidR="00634163" w:rsidRDefault="00634163" w:rsidP="0021426A">
            <w:pPr>
              <w:pStyle w:val="NormalIndent1"/>
              <w:ind w:left="0"/>
              <w:jc w:val="left"/>
              <w:rPr>
                <w:rFonts w:cstheme="minorHAnsi"/>
                <w:sz w:val="20"/>
                <w:szCs w:val="20"/>
              </w:rPr>
            </w:pPr>
          </w:p>
          <w:p w14:paraId="1EC7D0D1" w14:textId="77777777" w:rsidR="00634163" w:rsidRPr="007C6CFA" w:rsidRDefault="00634163" w:rsidP="0021426A">
            <w:pPr>
              <w:pStyle w:val="NormalIndent1"/>
              <w:ind w:left="0"/>
              <w:jc w:val="left"/>
              <w:rPr>
                <w:rFonts w:cstheme="minorHAnsi"/>
                <w:sz w:val="20"/>
                <w:szCs w:val="20"/>
              </w:rPr>
            </w:pPr>
            <w:r>
              <w:rPr>
                <w:rFonts w:cstheme="minorHAnsi"/>
                <w:sz w:val="20"/>
                <w:szCs w:val="20"/>
              </w:rPr>
              <w:t>65.4*</w:t>
            </w:r>
          </w:p>
        </w:tc>
        <w:tc>
          <w:tcPr>
            <w:tcW w:w="880" w:type="dxa"/>
            <w:tcBorders>
              <w:bottom w:val="single" w:sz="4" w:space="0" w:color="auto"/>
              <w:right w:val="single" w:sz="4" w:space="0" w:color="auto"/>
            </w:tcBorders>
          </w:tcPr>
          <w:p w14:paraId="72A2B698" w14:textId="77777777" w:rsidR="007C6CFA" w:rsidRDefault="007C6CFA" w:rsidP="0021426A">
            <w:pPr>
              <w:pStyle w:val="NormalIndent1"/>
              <w:spacing w:before="40"/>
              <w:ind w:left="0"/>
              <w:jc w:val="left"/>
              <w:rPr>
                <w:rFonts w:cstheme="minorHAnsi"/>
                <w:sz w:val="20"/>
                <w:szCs w:val="20"/>
              </w:rPr>
            </w:pPr>
          </w:p>
          <w:p w14:paraId="6743C8CC" w14:textId="77777777" w:rsidR="00634163" w:rsidRDefault="00634163" w:rsidP="0021426A">
            <w:pPr>
              <w:pStyle w:val="NormalIndent1"/>
              <w:ind w:left="0"/>
              <w:jc w:val="left"/>
              <w:rPr>
                <w:rFonts w:cstheme="minorHAnsi"/>
                <w:sz w:val="20"/>
                <w:szCs w:val="20"/>
              </w:rPr>
            </w:pPr>
          </w:p>
          <w:p w14:paraId="2E7B2363" w14:textId="77777777" w:rsidR="00634163" w:rsidRPr="007C6CFA" w:rsidRDefault="00634163" w:rsidP="0021426A">
            <w:pPr>
              <w:pStyle w:val="NormalIndent1"/>
              <w:ind w:left="0"/>
              <w:jc w:val="left"/>
              <w:rPr>
                <w:rFonts w:cstheme="minorHAnsi"/>
                <w:sz w:val="20"/>
                <w:szCs w:val="20"/>
              </w:rPr>
            </w:pPr>
            <w:r>
              <w:rPr>
                <w:rFonts w:cstheme="minorHAnsi"/>
                <w:sz w:val="20"/>
                <w:szCs w:val="20"/>
              </w:rPr>
              <w:t>70.2</w:t>
            </w:r>
          </w:p>
        </w:tc>
      </w:tr>
    </w:tbl>
    <w:p w14:paraId="1027D326" w14:textId="77777777" w:rsidR="00634163" w:rsidRPr="00634163" w:rsidRDefault="00634163" w:rsidP="0021426A">
      <w:pPr>
        <w:pStyle w:val="NormalIndent1"/>
        <w:jc w:val="left"/>
        <w:rPr>
          <w:sz w:val="20"/>
          <w:szCs w:val="20"/>
          <w:lang w:val="en-US"/>
        </w:rPr>
      </w:pPr>
    </w:p>
    <w:p w14:paraId="62DC011D" w14:textId="77777777" w:rsidR="00634163" w:rsidRPr="00634163" w:rsidRDefault="00634163" w:rsidP="0021426A">
      <w:pPr>
        <w:pStyle w:val="NormalIndent1"/>
        <w:ind w:left="851" w:hanging="426"/>
        <w:jc w:val="left"/>
        <w:rPr>
          <w:sz w:val="20"/>
          <w:szCs w:val="20"/>
          <w:lang w:val="en-US"/>
        </w:rPr>
      </w:pPr>
      <w:r w:rsidRPr="00634163">
        <w:rPr>
          <w:sz w:val="20"/>
          <w:szCs w:val="20"/>
          <w:lang w:val="en-US"/>
        </w:rPr>
        <w:t>*</w:t>
      </w:r>
      <w:r>
        <w:rPr>
          <w:sz w:val="20"/>
          <w:szCs w:val="20"/>
          <w:lang w:val="en-US"/>
        </w:rPr>
        <w:tab/>
      </w:r>
      <w:r w:rsidRPr="00634163">
        <w:rPr>
          <w:sz w:val="20"/>
          <w:szCs w:val="20"/>
          <w:lang w:val="en-US"/>
        </w:rPr>
        <w:t xml:space="preserve">p </w:t>
      </w:r>
      <w:r>
        <w:rPr>
          <w:rFonts w:cstheme="minorHAnsi"/>
          <w:sz w:val="20"/>
          <w:szCs w:val="20"/>
          <w:lang w:val="en-US"/>
        </w:rPr>
        <w:t>≤</w:t>
      </w:r>
      <w:r w:rsidRPr="00634163">
        <w:rPr>
          <w:sz w:val="20"/>
          <w:szCs w:val="20"/>
          <w:lang w:val="en-US"/>
        </w:rPr>
        <w:t xml:space="preserve"> 0.0001 compared with placebo</w:t>
      </w:r>
      <w:r>
        <w:rPr>
          <w:sz w:val="20"/>
          <w:szCs w:val="20"/>
          <w:lang w:val="en-US"/>
        </w:rPr>
        <w:t>.</w:t>
      </w:r>
    </w:p>
    <w:p w14:paraId="2D23AB19" w14:textId="32E86768" w:rsidR="007C6CFA" w:rsidRPr="00634163" w:rsidRDefault="00634163" w:rsidP="0021426A">
      <w:pPr>
        <w:pStyle w:val="NormalIndent1"/>
        <w:ind w:left="851" w:hanging="426"/>
        <w:jc w:val="left"/>
        <w:rPr>
          <w:sz w:val="20"/>
          <w:szCs w:val="20"/>
        </w:rPr>
      </w:pPr>
      <w:r w:rsidRPr="00634163">
        <w:rPr>
          <w:szCs w:val="20"/>
          <w:vertAlign w:val="superscript"/>
          <w:lang w:val="en-US"/>
        </w:rPr>
        <w:t>a</w:t>
      </w:r>
      <w:r>
        <w:rPr>
          <w:sz w:val="20"/>
          <w:szCs w:val="20"/>
          <w:lang w:val="en-US"/>
        </w:rPr>
        <w:tab/>
      </w:r>
      <w:r w:rsidRPr="00634163">
        <w:rPr>
          <w:sz w:val="20"/>
          <w:szCs w:val="20"/>
          <w:lang w:val="en-US"/>
        </w:rPr>
        <w:t xml:space="preserve">No statistical comparisons to placebo were made at week 24 in Study 1 because the original placebo group began receiving </w:t>
      </w:r>
      <w:r w:rsidR="00C36EA6">
        <w:rPr>
          <w:sz w:val="20"/>
          <w:szCs w:val="20"/>
          <w:lang w:val="en-US"/>
        </w:rPr>
        <w:t>etanercept</w:t>
      </w:r>
      <w:r w:rsidRPr="00634163">
        <w:rPr>
          <w:sz w:val="20"/>
          <w:szCs w:val="20"/>
          <w:lang w:val="en-US"/>
        </w:rPr>
        <w:t xml:space="preserve"> 25 mg BIW from week 13 to week 24</w:t>
      </w:r>
      <w:r>
        <w:rPr>
          <w:sz w:val="20"/>
          <w:szCs w:val="20"/>
          <w:lang w:val="en-US"/>
        </w:rPr>
        <w:t>.</w:t>
      </w:r>
    </w:p>
    <w:p w14:paraId="4C67B7B2" w14:textId="77777777" w:rsidR="007C6CFA" w:rsidRDefault="007C6CFA" w:rsidP="0021426A">
      <w:pPr>
        <w:pStyle w:val="NormalIndent1"/>
        <w:jc w:val="left"/>
      </w:pPr>
    </w:p>
    <w:p w14:paraId="41FF0ACB" w14:textId="18D3BD53" w:rsidR="00634163" w:rsidRPr="00634163" w:rsidRDefault="00634163" w:rsidP="0021426A">
      <w:pPr>
        <w:pStyle w:val="NormalIndent1"/>
        <w:jc w:val="left"/>
        <w:rPr>
          <w:lang w:val="en-US"/>
        </w:rPr>
      </w:pPr>
      <w:r w:rsidRPr="00634163">
        <w:rPr>
          <w:lang w:val="en-US"/>
        </w:rPr>
        <w:t xml:space="preserve">Among patients with plaque psoriasis who received </w:t>
      </w:r>
      <w:r w:rsidR="00C36EA6">
        <w:rPr>
          <w:lang w:val="en-US"/>
        </w:rPr>
        <w:t>etanercept</w:t>
      </w:r>
      <w:r w:rsidRPr="00634163">
        <w:rPr>
          <w:lang w:val="en-US"/>
        </w:rPr>
        <w:t>, significant responses relative to placebo were apparent at the time of the first visit (2 weeks) for the mean percent improvement in</w:t>
      </w:r>
      <w:r>
        <w:rPr>
          <w:lang w:val="en-US"/>
        </w:rPr>
        <w:t xml:space="preserve"> </w:t>
      </w:r>
      <w:r w:rsidRPr="00634163">
        <w:rPr>
          <w:lang w:val="en-US"/>
        </w:rPr>
        <w:t>PASI, Dermatologist Static Global Assessment of Psoriasis, Dermatology Life Quality Index and</w:t>
      </w:r>
      <w:r>
        <w:rPr>
          <w:lang w:val="en-US"/>
        </w:rPr>
        <w:t xml:space="preserve"> </w:t>
      </w:r>
      <w:r w:rsidRPr="00634163">
        <w:rPr>
          <w:lang w:val="en-US"/>
        </w:rPr>
        <w:t>Patient Global Assessment of Psoriasis and were maintained through 24 weeks of therapy.</w:t>
      </w:r>
    </w:p>
    <w:p w14:paraId="704DF37F" w14:textId="77777777" w:rsidR="00634163" w:rsidRPr="00634163" w:rsidRDefault="00634163" w:rsidP="0021426A">
      <w:pPr>
        <w:pStyle w:val="NormalIndent1"/>
        <w:jc w:val="left"/>
        <w:rPr>
          <w:lang w:val="en-US"/>
        </w:rPr>
      </w:pPr>
    </w:p>
    <w:p w14:paraId="79834299" w14:textId="0E12EA01" w:rsidR="00634163" w:rsidRDefault="00634163" w:rsidP="0021426A">
      <w:pPr>
        <w:pStyle w:val="NormalIndent1"/>
        <w:jc w:val="left"/>
        <w:rPr>
          <w:lang w:val="en-US"/>
        </w:rPr>
      </w:pPr>
      <w:r w:rsidRPr="00634163">
        <w:rPr>
          <w:lang w:val="en-US"/>
        </w:rPr>
        <w:t xml:space="preserve">During the withdrawal period in study 1, symptoms of psoriasis gradually returned with a median time to disease relapse of 3 months.  No rebound flare of disease and no psoriasis-related adverse events were observed.  Retreatment with </w:t>
      </w:r>
      <w:r w:rsidR="00C36EA6">
        <w:rPr>
          <w:lang w:val="en-US"/>
        </w:rPr>
        <w:t>etanercept</w:t>
      </w:r>
      <w:r w:rsidRPr="00634163">
        <w:rPr>
          <w:lang w:val="en-US"/>
        </w:rPr>
        <w:t xml:space="preserve"> resulted in a similar magnitude of response as was seen during the initial double-blind portion of the study.</w:t>
      </w:r>
    </w:p>
    <w:p w14:paraId="3B9EE457" w14:textId="77777777" w:rsidR="00634163" w:rsidRDefault="00634163" w:rsidP="0021426A">
      <w:pPr>
        <w:pStyle w:val="NormalIndent1"/>
        <w:jc w:val="left"/>
        <w:rPr>
          <w:lang w:val="en-US"/>
        </w:rPr>
      </w:pPr>
    </w:p>
    <w:p w14:paraId="59AAA1B7" w14:textId="06A7DB78" w:rsidR="00634163" w:rsidRDefault="00634163" w:rsidP="0021426A">
      <w:pPr>
        <w:pStyle w:val="NormalIndent1"/>
        <w:jc w:val="left"/>
        <w:rPr>
          <w:lang w:val="en-US"/>
        </w:rPr>
      </w:pPr>
      <w:r>
        <w:rPr>
          <w:lang w:val="en-US"/>
        </w:rPr>
        <w:t xml:space="preserve">At weeks 4, 8 and 12 of study 2, the 50 mg twice weekly group had a significantly higher PASI 75 response rate than the 25 mt twice weekly group (p &lt; 0.05, see figure below).  The majority of patients who were initially randomised to 50 mg twice weekly and had their </w:t>
      </w:r>
      <w:r w:rsidR="00C36EA6">
        <w:rPr>
          <w:lang w:val="en-US"/>
        </w:rPr>
        <w:t>etanercept</w:t>
      </w:r>
      <w:r>
        <w:rPr>
          <w:lang w:val="en-US"/>
        </w:rPr>
        <w:t xml:space="preserve"> dose decreased at week 12 to 25 mg twice weekly maintained their PASI 75 response through week 26.  For patients who received 25 mg twice weekly throughout the study, the PASI 75 response continued to improve between weeks 12 and 36.</w:t>
      </w:r>
    </w:p>
    <w:p w14:paraId="020AC798" w14:textId="77777777" w:rsidR="00634163" w:rsidRDefault="00634163" w:rsidP="0021426A">
      <w:pPr>
        <w:pStyle w:val="NormalIndent1"/>
        <w:jc w:val="left"/>
        <w:rPr>
          <w:lang w:val="en-US"/>
        </w:rPr>
      </w:pPr>
    </w:p>
    <w:p w14:paraId="7297CB16" w14:textId="77777777" w:rsidR="00572FBD" w:rsidRDefault="0030673C" w:rsidP="0021426A">
      <w:pPr>
        <w:pStyle w:val="NormalIndent1"/>
        <w:keepNext/>
        <w:keepLines/>
        <w:jc w:val="left"/>
        <w:rPr>
          <w:b/>
          <w:lang w:val="en-US"/>
        </w:rPr>
      </w:pPr>
      <w:r>
        <w:rPr>
          <w:b/>
          <w:lang w:val="en-US"/>
        </w:rPr>
        <w:t xml:space="preserve">Figure 5: </w:t>
      </w:r>
      <w:r w:rsidR="00572FBD">
        <w:rPr>
          <w:b/>
          <w:lang w:val="en-US"/>
        </w:rPr>
        <w:t>PASI 75 Response of Patients with Plaque Psoriasis in Study 2</w:t>
      </w:r>
    </w:p>
    <w:p w14:paraId="44570607" w14:textId="77777777" w:rsidR="00572FBD" w:rsidRPr="00572FBD" w:rsidRDefault="00572FBD" w:rsidP="0021426A">
      <w:pPr>
        <w:pStyle w:val="NormalIndent1"/>
        <w:keepNext/>
        <w:keepLines/>
        <w:jc w:val="left"/>
        <w:rPr>
          <w:lang w:val="en-US"/>
        </w:rPr>
      </w:pPr>
    </w:p>
    <w:p w14:paraId="598F0ED6" w14:textId="77777777" w:rsidR="00572FBD" w:rsidRPr="00572FBD" w:rsidRDefault="00572FBD" w:rsidP="0021426A">
      <w:pPr>
        <w:pStyle w:val="NormalIndent1"/>
        <w:keepNext/>
        <w:keepLines/>
        <w:jc w:val="left"/>
        <w:rPr>
          <w:lang w:val="en-US"/>
        </w:rPr>
      </w:pPr>
      <w:r>
        <w:rPr>
          <w:noProof/>
          <w:lang w:eastAsia="en-AU"/>
        </w:rPr>
        <w:drawing>
          <wp:inline distT="0" distB="0" distL="0" distR="0" wp14:anchorId="65FAAACC" wp14:editId="5C7744E0">
            <wp:extent cx="4355869" cy="3542318"/>
            <wp:effectExtent l="0" t="0" r="6985" b="127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373740" cy="3556851"/>
                    </a:xfrm>
                    <a:prstGeom prst="rect">
                      <a:avLst/>
                    </a:prstGeom>
                    <a:ln>
                      <a:noFill/>
                    </a:ln>
                    <a:extLst>
                      <a:ext uri="{53640926-AAD7-44D8-BBD7-CCE9431645EC}">
                        <a14:shadowObscured xmlns:a14="http://schemas.microsoft.com/office/drawing/2010/main"/>
                      </a:ext>
                    </a:extLst>
                  </pic:spPr>
                </pic:pic>
              </a:graphicData>
            </a:graphic>
          </wp:inline>
        </w:drawing>
      </w:r>
    </w:p>
    <w:p w14:paraId="60390ED8" w14:textId="77777777" w:rsidR="00634163" w:rsidRPr="00572FBD" w:rsidRDefault="00634163" w:rsidP="0021426A">
      <w:pPr>
        <w:pStyle w:val="NormalIndent1"/>
        <w:ind w:left="851" w:hanging="426"/>
        <w:jc w:val="left"/>
        <w:rPr>
          <w:sz w:val="20"/>
          <w:szCs w:val="20"/>
        </w:rPr>
      </w:pPr>
    </w:p>
    <w:p w14:paraId="07FB4BEA" w14:textId="77777777" w:rsidR="00572FBD" w:rsidRDefault="00572FBD" w:rsidP="0021426A">
      <w:pPr>
        <w:pStyle w:val="NormalIndent1"/>
        <w:ind w:left="851" w:hanging="426"/>
        <w:jc w:val="left"/>
        <w:rPr>
          <w:sz w:val="20"/>
          <w:szCs w:val="20"/>
          <w:lang w:val="en-US"/>
        </w:rPr>
      </w:pPr>
      <w:r w:rsidRPr="00572FBD">
        <w:rPr>
          <w:sz w:val="20"/>
          <w:szCs w:val="20"/>
          <w:lang w:val="en-US"/>
        </w:rPr>
        <w:t>x = p</w:t>
      </w:r>
      <w:r w:rsidR="00B20D25">
        <w:rPr>
          <w:sz w:val="20"/>
          <w:szCs w:val="20"/>
          <w:lang w:val="en-US"/>
        </w:rPr>
        <w:t xml:space="preserve"> </w:t>
      </w:r>
      <w:r w:rsidRPr="00572FBD">
        <w:rPr>
          <w:sz w:val="20"/>
          <w:szCs w:val="20"/>
          <w:lang w:val="en-US"/>
        </w:rPr>
        <w:t>&lt; 0.001 compared with placebo</w:t>
      </w:r>
      <w:r>
        <w:rPr>
          <w:sz w:val="20"/>
          <w:szCs w:val="20"/>
          <w:lang w:val="en-US"/>
        </w:rPr>
        <w:t>;</w:t>
      </w:r>
      <w:r w:rsidRPr="00572FBD">
        <w:rPr>
          <w:sz w:val="20"/>
          <w:szCs w:val="20"/>
          <w:lang w:val="en-US"/>
        </w:rPr>
        <w:t xml:space="preserve"> y = p &lt; 0.05 for 50 mg BIW compared with 25 mg BIW. </w:t>
      </w:r>
    </w:p>
    <w:p w14:paraId="4E9C0282" w14:textId="77777777" w:rsidR="00572FBD" w:rsidRPr="00572FBD" w:rsidRDefault="00572FBD" w:rsidP="0021426A">
      <w:pPr>
        <w:pStyle w:val="NormalIndent1"/>
        <w:ind w:left="426" w:hanging="1"/>
        <w:jc w:val="left"/>
        <w:rPr>
          <w:sz w:val="20"/>
          <w:szCs w:val="20"/>
          <w:lang w:val="en-US"/>
        </w:rPr>
      </w:pPr>
      <w:r w:rsidRPr="00572FBD">
        <w:rPr>
          <w:sz w:val="20"/>
          <w:szCs w:val="20"/>
          <w:lang w:val="en-US"/>
        </w:rPr>
        <w:t>p-values were only calculated for the double-blind period (up to week 12).</w:t>
      </w:r>
    </w:p>
    <w:p w14:paraId="52191F66" w14:textId="77777777" w:rsidR="00572FBD" w:rsidRDefault="00572FBD" w:rsidP="0021426A">
      <w:pPr>
        <w:pStyle w:val="NormalIndent1"/>
        <w:jc w:val="left"/>
      </w:pPr>
    </w:p>
    <w:p w14:paraId="28D674A8" w14:textId="0DF6D23C" w:rsidR="00572FBD" w:rsidRDefault="00572FBD" w:rsidP="0021426A">
      <w:pPr>
        <w:pStyle w:val="NormalIndent1"/>
        <w:jc w:val="left"/>
        <w:rPr>
          <w:lang w:val="en-US"/>
        </w:rPr>
      </w:pPr>
      <w:r w:rsidRPr="00572FBD">
        <w:rPr>
          <w:lang w:val="en-US"/>
        </w:rPr>
        <w:t xml:space="preserve">Subjects enrolled in either Study 1 or Study 2 (parent studies) were eligible to enter a phase III, open-label study to evaluate the long-term safety, tolerability, and maintenance of efficacy of </w:t>
      </w:r>
      <w:r w:rsidR="00C36EA6">
        <w:rPr>
          <w:lang w:val="en-US"/>
        </w:rPr>
        <w:t>etanercept</w:t>
      </w:r>
      <w:r w:rsidRPr="00572FBD">
        <w:rPr>
          <w:lang w:val="en-US"/>
        </w:rPr>
        <w:t xml:space="preserve"> in adults with plaque </w:t>
      </w:r>
      <w:proofErr w:type="spellStart"/>
      <w:r w:rsidRPr="00572FBD">
        <w:rPr>
          <w:lang w:val="en-US"/>
        </w:rPr>
        <w:t>PsO</w:t>
      </w:r>
      <w:proofErr w:type="spellEnd"/>
      <w:r w:rsidRPr="00572FBD">
        <w:rPr>
          <w:lang w:val="en-US"/>
        </w:rPr>
        <w:t xml:space="preserve">.  During the extension study, patients in one arm received </w:t>
      </w:r>
      <w:r w:rsidR="00C36EA6">
        <w:rPr>
          <w:lang w:val="en-US"/>
        </w:rPr>
        <w:t>etanercept</w:t>
      </w:r>
      <w:r w:rsidRPr="00572FBD">
        <w:rPr>
          <w:lang w:val="en-US"/>
        </w:rPr>
        <w:t xml:space="preserve"> 50 mg once weekly for 48 additional weeks (n</w:t>
      </w:r>
      <w:r>
        <w:rPr>
          <w:lang w:val="en-US"/>
        </w:rPr>
        <w:t xml:space="preserve"> </w:t>
      </w:r>
      <w:r w:rsidRPr="00572FBD">
        <w:rPr>
          <w:lang w:val="en-US"/>
        </w:rPr>
        <w:t>=</w:t>
      </w:r>
      <w:r>
        <w:rPr>
          <w:lang w:val="en-US"/>
        </w:rPr>
        <w:t xml:space="preserve"> </w:t>
      </w:r>
      <w:r w:rsidRPr="00572FBD">
        <w:rPr>
          <w:lang w:val="en-US"/>
        </w:rPr>
        <w:t>321).</w:t>
      </w:r>
    </w:p>
    <w:p w14:paraId="46461A63" w14:textId="77777777" w:rsidR="00572FBD" w:rsidRDefault="00572FBD" w:rsidP="0021426A">
      <w:pPr>
        <w:pStyle w:val="NormalIndent1"/>
        <w:jc w:val="left"/>
      </w:pPr>
    </w:p>
    <w:p w14:paraId="6370D904" w14:textId="77777777" w:rsidR="004E6BF7" w:rsidRDefault="004E6BF7" w:rsidP="0021426A">
      <w:pPr>
        <w:pStyle w:val="NormalIndent1"/>
        <w:jc w:val="left"/>
        <w:rPr>
          <w:b/>
          <w:lang w:val="en-US"/>
        </w:rPr>
      </w:pPr>
    </w:p>
    <w:p w14:paraId="7B425D58" w14:textId="50EBEDC9" w:rsidR="00572FBD" w:rsidRDefault="0030673C" w:rsidP="00EC69B5">
      <w:pPr>
        <w:pStyle w:val="NormalIndent1"/>
        <w:pageBreakBefore/>
        <w:jc w:val="left"/>
      </w:pPr>
      <w:r>
        <w:rPr>
          <w:b/>
          <w:lang w:val="en-US"/>
        </w:rPr>
        <w:t xml:space="preserve">Figure 6: </w:t>
      </w:r>
      <w:r w:rsidR="00572FBD" w:rsidRPr="00572FBD">
        <w:rPr>
          <w:b/>
          <w:lang w:val="en-US"/>
        </w:rPr>
        <w:t xml:space="preserve">PASI Responses of Patients with Plaque </w:t>
      </w:r>
      <w:proofErr w:type="spellStart"/>
      <w:r w:rsidR="00572FBD" w:rsidRPr="00572FBD">
        <w:rPr>
          <w:b/>
          <w:lang w:val="en-US"/>
        </w:rPr>
        <w:t>PsO</w:t>
      </w:r>
      <w:proofErr w:type="spellEnd"/>
      <w:r w:rsidR="00572FBD" w:rsidRPr="00572FBD">
        <w:rPr>
          <w:b/>
          <w:lang w:val="en-US"/>
        </w:rPr>
        <w:t xml:space="preserve"> Receiving </w:t>
      </w:r>
      <w:proofErr w:type="spellStart"/>
      <w:r w:rsidR="00C36EA6">
        <w:rPr>
          <w:b/>
          <w:lang w:val="en-US"/>
        </w:rPr>
        <w:t>Etanercept</w:t>
      </w:r>
      <w:proofErr w:type="spellEnd"/>
      <w:r w:rsidR="00572FBD" w:rsidRPr="00572FBD">
        <w:rPr>
          <w:b/>
          <w:lang w:val="en-US"/>
        </w:rPr>
        <w:t xml:space="preserve"> 50 mg Once Weekly in Extension Study</w:t>
      </w:r>
      <w:r w:rsidR="00572FBD">
        <w:rPr>
          <w:b/>
          <w:lang w:val="en-US"/>
        </w:rPr>
        <w:t>#</w:t>
      </w:r>
    </w:p>
    <w:p w14:paraId="3C03F294" w14:textId="77777777" w:rsidR="00572FBD" w:rsidRDefault="00572FBD" w:rsidP="0021426A">
      <w:pPr>
        <w:pStyle w:val="NormalIndent1"/>
        <w:jc w:val="left"/>
      </w:pPr>
    </w:p>
    <w:p w14:paraId="7E7DEA1C" w14:textId="77777777" w:rsidR="00572FBD" w:rsidRDefault="00572FBD" w:rsidP="0021426A">
      <w:pPr>
        <w:pStyle w:val="NormalIndent1"/>
        <w:jc w:val="left"/>
      </w:pPr>
      <w:r>
        <w:rPr>
          <w:noProof/>
          <w:lang w:eastAsia="en-AU"/>
        </w:rPr>
        <w:drawing>
          <wp:inline distT="0" distB="0" distL="0" distR="0" wp14:anchorId="669A2D60" wp14:editId="43CB9A36">
            <wp:extent cx="5079179" cy="2360815"/>
            <wp:effectExtent l="0" t="0" r="7620" b="190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090152" cy="2365915"/>
                    </a:xfrm>
                    <a:prstGeom prst="rect">
                      <a:avLst/>
                    </a:prstGeom>
                    <a:ln>
                      <a:noFill/>
                    </a:ln>
                    <a:extLst>
                      <a:ext uri="{53640926-AAD7-44D8-BBD7-CCE9431645EC}">
                        <a14:shadowObscured xmlns:a14="http://schemas.microsoft.com/office/drawing/2010/main"/>
                      </a:ext>
                    </a:extLst>
                  </pic:spPr>
                </pic:pic>
              </a:graphicData>
            </a:graphic>
          </wp:inline>
        </w:drawing>
      </w:r>
    </w:p>
    <w:p w14:paraId="3F8B25EA" w14:textId="77777777" w:rsidR="00572FBD" w:rsidRPr="00572FBD" w:rsidRDefault="00572FBD" w:rsidP="0021426A">
      <w:pPr>
        <w:pStyle w:val="NormalIndent1"/>
        <w:jc w:val="left"/>
        <w:rPr>
          <w:sz w:val="20"/>
        </w:rPr>
      </w:pPr>
    </w:p>
    <w:p w14:paraId="583A51A8" w14:textId="060E1562" w:rsidR="00572FBD" w:rsidRPr="00572FBD" w:rsidRDefault="00572FBD" w:rsidP="0021426A">
      <w:pPr>
        <w:pStyle w:val="NormalIndent1"/>
        <w:ind w:left="851" w:hanging="426"/>
        <w:jc w:val="left"/>
        <w:rPr>
          <w:sz w:val="20"/>
          <w:lang w:val="en-US"/>
        </w:rPr>
      </w:pPr>
      <w:r w:rsidRPr="00572FBD">
        <w:rPr>
          <w:sz w:val="20"/>
          <w:lang w:val="en-US"/>
        </w:rPr>
        <w:t xml:space="preserve"># </w:t>
      </w:r>
      <w:r>
        <w:rPr>
          <w:sz w:val="20"/>
          <w:lang w:val="en-US"/>
        </w:rPr>
        <w:tab/>
      </w:r>
      <w:r w:rsidRPr="00572FBD">
        <w:rPr>
          <w:sz w:val="20"/>
          <w:lang w:val="en-US"/>
        </w:rPr>
        <w:t xml:space="preserve">PASI response percent responders from parent study baseline (LOCF) in patients receiving </w:t>
      </w:r>
      <w:r w:rsidR="00C36EA6">
        <w:rPr>
          <w:sz w:val="20"/>
          <w:lang w:val="en-US"/>
        </w:rPr>
        <w:t>etanercept</w:t>
      </w:r>
      <w:r w:rsidRPr="00572FBD">
        <w:rPr>
          <w:sz w:val="20"/>
          <w:lang w:val="en-US"/>
        </w:rPr>
        <w:t xml:space="preserve"> 50 mg once weekly.</w:t>
      </w:r>
    </w:p>
    <w:p w14:paraId="505B7717" w14:textId="77777777" w:rsidR="00572FBD" w:rsidRDefault="00572FBD" w:rsidP="0021426A">
      <w:pPr>
        <w:pStyle w:val="NormalIndent1"/>
        <w:jc w:val="left"/>
      </w:pPr>
    </w:p>
    <w:p w14:paraId="5FF49E1F" w14:textId="65571083" w:rsidR="006E544D" w:rsidRPr="00EA1B35" w:rsidRDefault="00C36EA6" w:rsidP="0021426A">
      <w:pPr>
        <w:pStyle w:val="NormalIndent1"/>
        <w:jc w:val="left"/>
        <w:rPr>
          <w:lang w:val="en-US"/>
        </w:rPr>
      </w:pPr>
      <w:r w:rsidRPr="00EA1B35">
        <w:rPr>
          <w:lang w:val="en-US"/>
        </w:rPr>
        <w:t>Etanercept</w:t>
      </w:r>
      <w:r w:rsidR="006E544D" w:rsidRPr="00EA1B35">
        <w:rPr>
          <w:lang w:val="en-US"/>
        </w:rPr>
        <w:t xml:space="preserve"> 50 mg once-weekly continued to provide durable efficacy as demonstrated by the percentage of subjects maintaining PASI 50, 75 and 90 responses over time.  It was also well tolerated in this population and its safety profile was maintained throughout the extension study.</w:t>
      </w:r>
    </w:p>
    <w:p w14:paraId="4662F343" w14:textId="77777777" w:rsidR="006E544D" w:rsidRPr="00EA1B35" w:rsidRDefault="006E544D" w:rsidP="0021426A">
      <w:pPr>
        <w:pStyle w:val="NormalIndent1"/>
        <w:jc w:val="left"/>
        <w:rPr>
          <w:lang w:val="en-US"/>
        </w:rPr>
      </w:pPr>
    </w:p>
    <w:p w14:paraId="5D1B2FAC" w14:textId="77777777" w:rsidR="006E544D" w:rsidRPr="000C0B82" w:rsidRDefault="006E544D" w:rsidP="0021426A">
      <w:pPr>
        <w:pStyle w:val="Heading4"/>
        <w:jc w:val="left"/>
        <w:rPr>
          <w:sz w:val="22"/>
          <w:szCs w:val="22"/>
          <w:lang w:val="en-US"/>
        </w:rPr>
      </w:pPr>
      <w:r w:rsidRPr="000C0B82">
        <w:rPr>
          <w:sz w:val="22"/>
          <w:szCs w:val="22"/>
          <w:lang w:val="en-US"/>
        </w:rPr>
        <w:t>Paediatric Patients with Plaque Psoriasis</w:t>
      </w:r>
    </w:p>
    <w:p w14:paraId="7700CD9F" w14:textId="77777777" w:rsidR="006E544D" w:rsidRPr="00EA1B35" w:rsidRDefault="006E544D" w:rsidP="0021426A">
      <w:pPr>
        <w:pStyle w:val="NormalIndent1"/>
        <w:jc w:val="left"/>
        <w:rPr>
          <w:lang w:val="en-US"/>
        </w:rPr>
      </w:pPr>
    </w:p>
    <w:p w14:paraId="74DD3B6E" w14:textId="58216F78" w:rsidR="006E544D" w:rsidRPr="00EA1B35" w:rsidRDefault="006E544D" w:rsidP="0021426A">
      <w:pPr>
        <w:pStyle w:val="NormalIndent1"/>
        <w:jc w:val="left"/>
        <w:rPr>
          <w:lang w:val="en-US"/>
        </w:rPr>
      </w:pPr>
      <w:r w:rsidRPr="00EA1B35">
        <w:rPr>
          <w:lang w:val="en-US"/>
        </w:rPr>
        <w:t xml:space="preserve">The efficacy of </w:t>
      </w:r>
      <w:r w:rsidR="000F7B00" w:rsidRPr="00EA1B35">
        <w:rPr>
          <w:lang w:val="en-US"/>
        </w:rPr>
        <w:t xml:space="preserve">Etanercept </w:t>
      </w:r>
      <w:r w:rsidRPr="00EA1B35">
        <w:rPr>
          <w:lang w:val="en-US"/>
        </w:rPr>
        <w:t xml:space="preserve">was assessed in a randomised, double-blind, placebo-controlled study in 211 </w:t>
      </w:r>
      <w:proofErr w:type="spellStart"/>
      <w:r w:rsidRPr="00EA1B35">
        <w:rPr>
          <w:lang w:val="en-US"/>
        </w:rPr>
        <w:t>paediatric</w:t>
      </w:r>
      <w:proofErr w:type="spellEnd"/>
      <w:r w:rsidRPr="00EA1B35">
        <w:rPr>
          <w:lang w:val="en-US"/>
        </w:rPr>
        <w:t xml:space="preserve"> patients aged 4 to 17 years with moderate to severe plaque psoriasis (as defined by a </w:t>
      </w:r>
      <w:proofErr w:type="spellStart"/>
      <w:r w:rsidRPr="00EA1B35">
        <w:rPr>
          <w:lang w:val="en-US"/>
        </w:rPr>
        <w:t>sPGA</w:t>
      </w:r>
      <w:proofErr w:type="spellEnd"/>
      <w:r w:rsidRPr="00EA1B35">
        <w:rPr>
          <w:lang w:val="en-US"/>
        </w:rPr>
        <w:t xml:space="preserve"> score &gt; 3, involving &gt; 10% of the BSA, and PASI &gt; 12).  Eligible patients had a history of receiving phototherapy or systemic therapy, or were inadequately controlled on topical therapy.</w:t>
      </w:r>
    </w:p>
    <w:p w14:paraId="663DCFBD" w14:textId="77777777" w:rsidR="006E544D" w:rsidRPr="00EA1B35" w:rsidRDefault="006E544D" w:rsidP="0021426A">
      <w:pPr>
        <w:pStyle w:val="NormalIndent1"/>
        <w:jc w:val="left"/>
        <w:rPr>
          <w:lang w:val="en-US"/>
        </w:rPr>
      </w:pPr>
    </w:p>
    <w:p w14:paraId="6C576B56" w14:textId="3C07F1A7" w:rsidR="006E544D" w:rsidRPr="00EA1B35" w:rsidRDefault="006E544D" w:rsidP="0021426A">
      <w:pPr>
        <w:pStyle w:val="NormalIndent1"/>
        <w:jc w:val="left"/>
      </w:pPr>
      <w:r w:rsidRPr="00EA1B35">
        <w:rPr>
          <w:lang w:val="en-US"/>
        </w:rPr>
        <w:t xml:space="preserve">Patients received </w:t>
      </w:r>
      <w:r w:rsidR="000F7B00" w:rsidRPr="00EA1B35">
        <w:rPr>
          <w:lang w:val="en-US"/>
        </w:rPr>
        <w:t xml:space="preserve">Etanercept </w:t>
      </w:r>
      <w:r w:rsidRPr="00EA1B35">
        <w:rPr>
          <w:lang w:val="en-US"/>
        </w:rPr>
        <w:t xml:space="preserve">0.8 mg/kg (up to 50 mg) or placebo once weekly for 12 weeks.  At week 12, more patients randomised to </w:t>
      </w:r>
      <w:r w:rsidR="00116F09" w:rsidRPr="00EA1B35">
        <w:rPr>
          <w:lang w:val="en-US"/>
        </w:rPr>
        <w:t>Enbrel</w:t>
      </w:r>
      <w:r w:rsidR="00116F09" w:rsidRPr="00EA1B35">
        <w:rPr>
          <w:rFonts w:cstheme="minorHAnsi"/>
        </w:rPr>
        <w:t>®</w:t>
      </w:r>
      <w:r w:rsidRPr="00EA1B35">
        <w:rPr>
          <w:lang w:val="en-US"/>
        </w:rPr>
        <w:t xml:space="preserve"> had positive efficacy responses (e.g. PASI 75) than those randomised to placebo.</w:t>
      </w:r>
    </w:p>
    <w:p w14:paraId="70BDAEBC" w14:textId="77777777" w:rsidR="006E544D" w:rsidRDefault="006E544D" w:rsidP="0021426A">
      <w:pPr>
        <w:pStyle w:val="NormalIndent1"/>
        <w:jc w:val="left"/>
      </w:pPr>
    </w:p>
    <w:p w14:paraId="37E56319" w14:textId="77777777" w:rsidR="006E544D" w:rsidRPr="006E544D" w:rsidRDefault="0030673C" w:rsidP="0021426A">
      <w:pPr>
        <w:pStyle w:val="NormalIndent1"/>
        <w:jc w:val="left"/>
        <w:rPr>
          <w:b/>
        </w:rPr>
      </w:pPr>
      <w:r>
        <w:rPr>
          <w:b/>
          <w:lang w:val="en-US"/>
        </w:rPr>
        <w:t xml:space="preserve">Table 15: </w:t>
      </w:r>
      <w:r w:rsidR="006E544D" w:rsidRPr="006E544D">
        <w:rPr>
          <w:b/>
          <w:lang w:val="en-US"/>
        </w:rPr>
        <w:t>Paediatric Plaque Psoriasis Outcomes at 12 Weeks</w:t>
      </w:r>
    </w:p>
    <w:p w14:paraId="76179936" w14:textId="77777777" w:rsidR="00572FBD" w:rsidRDefault="00572FBD" w:rsidP="0021426A">
      <w:pPr>
        <w:pStyle w:val="NormalIndent1"/>
        <w:jc w:val="left"/>
      </w:pPr>
    </w:p>
    <w:tbl>
      <w:tblPr>
        <w:tblStyle w:val="TableGrid"/>
        <w:tblW w:w="0" w:type="auto"/>
        <w:tblInd w:w="425" w:type="dxa"/>
        <w:tblLook w:val="04A0" w:firstRow="1" w:lastRow="0" w:firstColumn="1" w:lastColumn="0" w:noHBand="0" w:noVBand="1"/>
      </w:tblPr>
      <w:tblGrid>
        <w:gridCol w:w="4380"/>
        <w:gridCol w:w="2401"/>
        <w:gridCol w:w="2402"/>
      </w:tblGrid>
      <w:tr w:rsidR="006E544D" w:rsidRPr="00B929B6" w14:paraId="7231464A" w14:textId="77777777" w:rsidTr="00B37960">
        <w:trPr>
          <w:tblHeader/>
        </w:trPr>
        <w:tc>
          <w:tcPr>
            <w:tcW w:w="4380" w:type="dxa"/>
            <w:tcBorders>
              <w:top w:val="single" w:sz="12" w:space="0" w:color="auto"/>
              <w:left w:val="single" w:sz="12" w:space="0" w:color="auto"/>
              <w:bottom w:val="single" w:sz="12" w:space="0" w:color="auto"/>
              <w:right w:val="single" w:sz="12" w:space="0" w:color="auto"/>
            </w:tcBorders>
            <w:vAlign w:val="center"/>
          </w:tcPr>
          <w:p w14:paraId="025D9260" w14:textId="77777777" w:rsidR="006E544D" w:rsidRPr="00B929B6" w:rsidRDefault="006E544D" w:rsidP="0021426A">
            <w:pPr>
              <w:pStyle w:val="NormalIndent1"/>
              <w:ind w:left="0"/>
              <w:jc w:val="left"/>
              <w:rPr>
                <w:b/>
              </w:rPr>
            </w:pPr>
          </w:p>
        </w:tc>
        <w:tc>
          <w:tcPr>
            <w:tcW w:w="2401" w:type="dxa"/>
            <w:tcBorders>
              <w:top w:val="single" w:sz="12" w:space="0" w:color="auto"/>
              <w:left w:val="single" w:sz="12" w:space="0" w:color="auto"/>
              <w:bottom w:val="single" w:sz="12" w:space="0" w:color="auto"/>
              <w:right w:val="single" w:sz="12" w:space="0" w:color="auto"/>
            </w:tcBorders>
            <w:vAlign w:val="center"/>
          </w:tcPr>
          <w:p w14:paraId="5AC513C3" w14:textId="17CE5648" w:rsidR="006E544D" w:rsidRDefault="000F7B00" w:rsidP="0021426A">
            <w:pPr>
              <w:pStyle w:val="NormalIndent1"/>
              <w:ind w:left="0"/>
              <w:jc w:val="left"/>
              <w:rPr>
                <w:b/>
              </w:rPr>
            </w:pPr>
            <w:r>
              <w:rPr>
                <w:b/>
              </w:rPr>
              <w:t>Etanercept</w:t>
            </w:r>
          </w:p>
          <w:p w14:paraId="55940418" w14:textId="77777777" w:rsidR="006E544D" w:rsidRDefault="006E544D" w:rsidP="0021426A">
            <w:pPr>
              <w:pStyle w:val="NormalIndent1"/>
              <w:ind w:left="0"/>
              <w:jc w:val="left"/>
              <w:rPr>
                <w:b/>
              </w:rPr>
            </w:pPr>
            <w:r>
              <w:rPr>
                <w:b/>
              </w:rPr>
              <w:t>0.8 mg/kg Once Weekly</w:t>
            </w:r>
          </w:p>
          <w:p w14:paraId="2A6DFEE9" w14:textId="77777777" w:rsidR="006E544D" w:rsidRPr="00B929B6" w:rsidRDefault="006E544D" w:rsidP="0021426A">
            <w:pPr>
              <w:pStyle w:val="NormalIndent1"/>
              <w:ind w:left="0"/>
              <w:jc w:val="left"/>
              <w:rPr>
                <w:b/>
              </w:rPr>
            </w:pPr>
            <w:r>
              <w:rPr>
                <w:b/>
              </w:rPr>
              <w:t>(n = 106)</w:t>
            </w:r>
          </w:p>
        </w:tc>
        <w:tc>
          <w:tcPr>
            <w:tcW w:w="2402" w:type="dxa"/>
            <w:tcBorders>
              <w:top w:val="single" w:sz="12" w:space="0" w:color="auto"/>
              <w:left w:val="single" w:sz="12" w:space="0" w:color="auto"/>
              <w:bottom w:val="single" w:sz="12" w:space="0" w:color="auto"/>
              <w:right w:val="single" w:sz="12" w:space="0" w:color="auto"/>
            </w:tcBorders>
            <w:vAlign w:val="center"/>
          </w:tcPr>
          <w:p w14:paraId="58D90397" w14:textId="77777777" w:rsidR="006E544D" w:rsidRDefault="006E544D" w:rsidP="0021426A">
            <w:pPr>
              <w:pStyle w:val="NormalIndent1"/>
              <w:ind w:left="0"/>
              <w:jc w:val="left"/>
              <w:rPr>
                <w:b/>
              </w:rPr>
            </w:pPr>
            <w:r>
              <w:rPr>
                <w:b/>
              </w:rPr>
              <w:t>Placebo</w:t>
            </w:r>
          </w:p>
          <w:p w14:paraId="186B949F" w14:textId="77777777" w:rsidR="006E544D" w:rsidRPr="00B929B6" w:rsidRDefault="006E544D" w:rsidP="0021426A">
            <w:pPr>
              <w:pStyle w:val="NormalIndent1"/>
              <w:ind w:left="0"/>
              <w:jc w:val="left"/>
              <w:rPr>
                <w:b/>
              </w:rPr>
            </w:pPr>
            <w:r>
              <w:rPr>
                <w:b/>
              </w:rPr>
              <w:t>(n = 105)</w:t>
            </w:r>
          </w:p>
        </w:tc>
      </w:tr>
      <w:tr w:rsidR="006E544D" w14:paraId="3880C025" w14:textId="77777777" w:rsidTr="006E544D">
        <w:tc>
          <w:tcPr>
            <w:tcW w:w="4380" w:type="dxa"/>
          </w:tcPr>
          <w:p w14:paraId="67627D5E" w14:textId="77777777" w:rsidR="006E544D" w:rsidRDefault="006E544D" w:rsidP="0021426A">
            <w:pPr>
              <w:pStyle w:val="NormalIndent1"/>
              <w:spacing w:before="40" w:after="40"/>
              <w:ind w:left="0"/>
              <w:jc w:val="left"/>
            </w:pPr>
            <w:r>
              <w:t>PASI 75, n (%)</w:t>
            </w:r>
          </w:p>
        </w:tc>
        <w:tc>
          <w:tcPr>
            <w:tcW w:w="2401" w:type="dxa"/>
            <w:vAlign w:val="center"/>
          </w:tcPr>
          <w:p w14:paraId="48705BFC" w14:textId="77777777" w:rsidR="006E544D" w:rsidRDefault="006E544D" w:rsidP="0021426A">
            <w:pPr>
              <w:pStyle w:val="NormalIndent1"/>
              <w:spacing w:before="40" w:after="40"/>
              <w:ind w:left="0"/>
              <w:jc w:val="left"/>
            </w:pPr>
            <w:r>
              <w:t>60 (57%)</w:t>
            </w:r>
            <w:r w:rsidRPr="006E544D">
              <w:rPr>
                <w:vertAlign w:val="superscript"/>
              </w:rPr>
              <w:t>a</w:t>
            </w:r>
          </w:p>
        </w:tc>
        <w:tc>
          <w:tcPr>
            <w:tcW w:w="2402" w:type="dxa"/>
            <w:vAlign w:val="center"/>
          </w:tcPr>
          <w:p w14:paraId="1985AE69" w14:textId="77777777" w:rsidR="006E544D" w:rsidRDefault="006E544D" w:rsidP="0021426A">
            <w:pPr>
              <w:pStyle w:val="NormalIndent1"/>
              <w:spacing w:before="40" w:after="40"/>
              <w:ind w:left="0"/>
              <w:jc w:val="left"/>
            </w:pPr>
            <w:r>
              <w:t>12 (11%)</w:t>
            </w:r>
          </w:p>
        </w:tc>
      </w:tr>
      <w:tr w:rsidR="006E544D" w14:paraId="19C84F22" w14:textId="77777777" w:rsidTr="006E544D">
        <w:tc>
          <w:tcPr>
            <w:tcW w:w="4380" w:type="dxa"/>
          </w:tcPr>
          <w:p w14:paraId="3E5828A7" w14:textId="77777777" w:rsidR="006E544D" w:rsidRDefault="006E544D" w:rsidP="0021426A">
            <w:pPr>
              <w:pStyle w:val="NormalIndent1"/>
              <w:spacing w:before="40" w:after="40"/>
              <w:ind w:left="0"/>
              <w:jc w:val="left"/>
            </w:pPr>
            <w:r>
              <w:t>PASI 50, n (%)</w:t>
            </w:r>
          </w:p>
        </w:tc>
        <w:tc>
          <w:tcPr>
            <w:tcW w:w="2401" w:type="dxa"/>
            <w:vAlign w:val="center"/>
          </w:tcPr>
          <w:p w14:paraId="571C6702" w14:textId="77777777" w:rsidR="006E544D" w:rsidRDefault="006E544D" w:rsidP="0021426A">
            <w:pPr>
              <w:pStyle w:val="NormalIndent1"/>
              <w:spacing w:before="40" w:after="40"/>
              <w:ind w:left="0"/>
              <w:jc w:val="left"/>
            </w:pPr>
            <w:r>
              <w:t>79 (75%)</w:t>
            </w:r>
            <w:r w:rsidRPr="006E544D">
              <w:rPr>
                <w:vertAlign w:val="superscript"/>
              </w:rPr>
              <w:t>a</w:t>
            </w:r>
          </w:p>
        </w:tc>
        <w:tc>
          <w:tcPr>
            <w:tcW w:w="2402" w:type="dxa"/>
            <w:vAlign w:val="center"/>
          </w:tcPr>
          <w:p w14:paraId="77A8977B" w14:textId="77777777" w:rsidR="006E544D" w:rsidRDefault="006E544D" w:rsidP="0021426A">
            <w:pPr>
              <w:pStyle w:val="NormalIndent1"/>
              <w:spacing w:before="40" w:after="40"/>
              <w:ind w:left="0"/>
              <w:jc w:val="left"/>
            </w:pPr>
            <w:r>
              <w:t>24 (23%)</w:t>
            </w:r>
          </w:p>
        </w:tc>
      </w:tr>
      <w:tr w:rsidR="006E544D" w14:paraId="0BBA2A0F" w14:textId="77777777" w:rsidTr="006E544D">
        <w:tc>
          <w:tcPr>
            <w:tcW w:w="4380" w:type="dxa"/>
          </w:tcPr>
          <w:p w14:paraId="34909229" w14:textId="77777777" w:rsidR="006E544D" w:rsidRDefault="006E544D" w:rsidP="0021426A">
            <w:pPr>
              <w:pStyle w:val="NormalIndent1"/>
              <w:spacing w:before="40" w:after="40"/>
              <w:ind w:left="0"/>
              <w:jc w:val="left"/>
            </w:pPr>
            <w:proofErr w:type="spellStart"/>
            <w:r>
              <w:t>sPGA</w:t>
            </w:r>
            <w:proofErr w:type="spellEnd"/>
            <w:r>
              <w:t xml:space="preserve"> “clear” or “minimal”, n (%)</w:t>
            </w:r>
          </w:p>
        </w:tc>
        <w:tc>
          <w:tcPr>
            <w:tcW w:w="2401" w:type="dxa"/>
            <w:vAlign w:val="center"/>
          </w:tcPr>
          <w:p w14:paraId="2943FB53" w14:textId="77777777" w:rsidR="006E544D" w:rsidRDefault="006E544D" w:rsidP="0021426A">
            <w:pPr>
              <w:pStyle w:val="NormalIndent1"/>
              <w:spacing w:before="40" w:after="40"/>
              <w:ind w:left="0"/>
              <w:jc w:val="left"/>
            </w:pPr>
            <w:r>
              <w:t>56 (53%)</w:t>
            </w:r>
            <w:r w:rsidRPr="006E544D">
              <w:rPr>
                <w:vertAlign w:val="superscript"/>
              </w:rPr>
              <w:t>a</w:t>
            </w:r>
          </w:p>
        </w:tc>
        <w:tc>
          <w:tcPr>
            <w:tcW w:w="2402" w:type="dxa"/>
            <w:vAlign w:val="center"/>
          </w:tcPr>
          <w:p w14:paraId="300D5D1F" w14:textId="77777777" w:rsidR="006E544D" w:rsidRDefault="006E544D" w:rsidP="0021426A">
            <w:pPr>
              <w:pStyle w:val="NormalIndent1"/>
              <w:spacing w:before="40" w:after="40"/>
              <w:ind w:left="0"/>
              <w:jc w:val="left"/>
            </w:pPr>
            <w:r>
              <w:t>14 (13%)</w:t>
            </w:r>
          </w:p>
        </w:tc>
      </w:tr>
    </w:tbl>
    <w:p w14:paraId="7FEC32F9" w14:textId="77777777" w:rsidR="006E544D" w:rsidRPr="006E544D" w:rsidRDefault="006E544D" w:rsidP="0021426A">
      <w:pPr>
        <w:pStyle w:val="NormalIndent1"/>
        <w:jc w:val="left"/>
        <w:rPr>
          <w:sz w:val="20"/>
        </w:rPr>
      </w:pPr>
    </w:p>
    <w:p w14:paraId="236C7D22" w14:textId="77777777" w:rsidR="006E544D" w:rsidRDefault="006E544D" w:rsidP="0021426A">
      <w:pPr>
        <w:pStyle w:val="NormalIndent1"/>
        <w:jc w:val="left"/>
        <w:rPr>
          <w:sz w:val="20"/>
          <w:lang w:val="en-US"/>
        </w:rPr>
      </w:pPr>
      <w:r w:rsidRPr="006E544D">
        <w:rPr>
          <w:sz w:val="20"/>
          <w:lang w:val="en-US"/>
        </w:rPr>
        <w:t xml:space="preserve">Abbreviation: </w:t>
      </w:r>
      <w:r>
        <w:rPr>
          <w:sz w:val="20"/>
          <w:lang w:val="en-US"/>
        </w:rPr>
        <w:t xml:space="preserve"> </w:t>
      </w:r>
      <w:proofErr w:type="spellStart"/>
      <w:r w:rsidRPr="006E544D">
        <w:rPr>
          <w:sz w:val="20"/>
          <w:lang w:val="en-US"/>
        </w:rPr>
        <w:t>sPGA</w:t>
      </w:r>
      <w:proofErr w:type="spellEnd"/>
      <w:r>
        <w:rPr>
          <w:sz w:val="20"/>
          <w:lang w:val="en-US"/>
        </w:rPr>
        <w:t xml:space="preserve"> - </w:t>
      </w:r>
      <w:r w:rsidRPr="006E544D">
        <w:rPr>
          <w:sz w:val="20"/>
          <w:lang w:val="en-US"/>
        </w:rPr>
        <w:t xml:space="preserve">Static Physician Global Assessment. </w:t>
      </w:r>
    </w:p>
    <w:p w14:paraId="140952CD" w14:textId="77777777" w:rsidR="006E544D" w:rsidRPr="006E544D" w:rsidRDefault="006E544D" w:rsidP="0021426A">
      <w:pPr>
        <w:pStyle w:val="NormalIndent1"/>
        <w:ind w:left="851" w:hanging="426"/>
        <w:jc w:val="left"/>
        <w:rPr>
          <w:sz w:val="20"/>
        </w:rPr>
      </w:pPr>
      <w:r w:rsidRPr="006E544D">
        <w:rPr>
          <w:vertAlign w:val="superscript"/>
          <w:lang w:val="en-US"/>
        </w:rPr>
        <w:t>a</w:t>
      </w:r>
      <w:r>
        <w:rPr>
          <w:sz w:val="20"/>
          <w:lang w:val="en-US"/>
        </w:rPr>
        <w:tab/>
      </w:r>
      <w:r w:rsidRPr="006E544D">
        <w:rPr>
          <w:sz w:val="20"/>
          <w:lang w:val="en-US"/>
        </w:rPr>
        <w:t>p &lt; 0.0001 compared with placebo</w:t>
      </w:r>
      <w:r>
        <w:rPr>
          <w:sz w:val="20"/>
          <w:lang w:val="en-US"/>
        </w:rPr>
        <w:t>.</w:t>
      </w:r>
    </w:p>
    <w:p w14:paraId="44BA46F5" w14:textId="77777777" w:rsidR="006E544D" w:rsidRDefault="006E544D" w:rsidP="0021426A">
      <w:pPr>
        <w:pStyle w:val="NormalIndent1"/>
        <w:jc w:val="left"/>
      </w:pPr>
    </w:p>
    <w:p w14:paraId="3940FF98" w14:textId="61D0CDFD" w:rsidR="006E544D" w:rsidRPr="006E544D" w:rsidRDefault="006E544D" w:rsidP="0021426A">
      <w:pPr>
        <w:pStyle w:val="NormalIndent1"/>
        <w:jc w:val="left"/>
        <w:rPr>
          <w:lang w:val="en-US"/>
        </w:rPr>
      </w:pPr>
      <w:r w:rsidRPr="006E544D">
        <w:rPr>
          <w:lang w:val="en-US"/>
        </w:rPr>
        <w:t xml:space="preserve">After the 12-week double-blind treatment period, all patients received </w:t>
      </w:r>
      <w:r w:rsidR="00116F09" w:rsidRPr="00B917A5">
        <w:rPr>
          <w:lang w:val="en-US"/>
        </w:rPr>
        <w:t>Enbrel</w:t>
      </w:r>
      <w:r w:rsidR="00116F09" w:rsidRPr="006D4A57">
        <w:rPr>
          <w:rFonts w:cstheme="minorHAnsi"/>
        </w:rPr>
        <w:t>®</w:t>
      </w:r>
      <w:r w:rsidRPr="006E544D">
        <w:rPr>
          <w:lang w:val="en-US"/>
        </w:rPr>
        <w:t xml:space="preserve"> 0.8 mg/kg (up to</w:t>
      </w:r>
      <w:r>
        <w:rPr>
          <w:lang w:val="en-US"/>
        </w:rPr>
        <w:t xml:space="preserve"> </w:t>
      </w:r>
      <w:r w:rsidRPr="006E544D">
        <w:rPr>
          <w:lang w:val="en-US"/>
        </w:rPr>
        <w:t>50 mg) once weekly for an additional 24 weeks.  Responses observed during the open-label period were similar to those observed in the double-blind period.</w:t>
      </w:r>
    </w:p>
    <w:p w14:paraId="0D9A34DA" w14:textId="77777777" w:rsidR="006E544D" w:rsidRPr="006E544D" w:rsidRDefault="006E544D" w:rsidP="0021426A">
      <w:pPr>
        <w:pStyle w:val="NormalIndent1"/>
        <w:jc w:val="left"/>
        <w:rPr>
          <w:lang w:val="en-US"/>
        </w:rPr>
      </w:pPr>
    </w:p>
    <w:p w14:paraId="6FEA3F5F" w14:textId="227B47D7" w:rsidR="006E544D" w:rsidRPr="006E544D" w:rsidRDefault="006E544D" w:rsidP="0021426A">
      <w:pPr>
        <w:pStyle w:val="NormalIndent1"/>
        <w:jc w:val="left"/>
        <w:rPr>
          <w:lang w:val="en-US"/>
        </w:rPr>
      </w:pPr>
      <w:r w:rsidRPr="006E544D">
        <w:rPr>
          <w:lang w:val="en-US"/>
        </w:rPr>
        <w:t xml:space="preserve">During a randomised withdrawal period, significantly more patients re-randomised to placebo experienced disease relapse (loss of PASI 75 response) compared with patients re-randomised to </w:t>
      </w:r>
      <w:r w:rsidR="000F7B00">
        <w:rPr>
          <w:lang w:val="en-US"/>
        </w:rPr>
        <w:t>Etanercept</w:t>
      </w:r>
      <w:r w:rsidRPr="006E544D">
        <w:rPr>
          <w:lang w:val="en-US"/>
        </w:rPr>
        <w:t>.  With continued therapy, responses were maintained up to 48 weeks.</w:t>
      </w:r>
    </w:p>
    <w:p w14:paraId="088E17DA" w14:textId="77777777" w:rsidR="006E544D" w:rsidRPr="006E544D" w:rsidRDefault="006E544D" w:rsidP="0021426A">
      <w:pPr>
        <w:pStyle w:val="NormalIndent1"/>
        <w:jc w:val="left"/>
        <w:rPr>
          <w:lang w:val="en-US"/>
        </w:rPr>
      </w:pPr>
    </w:p>
    <w:p w14:paraId="4E35AEE1" w14:textId="6E7FD047" w:rsidR="006E544D" w:rsidRPr="006E544D" w:rsidRDefault="006E544D" w:rsidP="0021426A">
      <w:pPr>
        <w:pStyle w:val="NormalIndent1"/>
        <w:jc w:val="left"/>
        <w:rPr>
          <w:lang w:val="en-US"/>
        </w:rPr>
      </w:pPr>
      <w:r w:rsidRPr="006E544D">
        <w:rPr>
          <w:lang w:val="en-US"/>
        </w:rPr>
        <w:t xml:space="preserve">At week 12, the percent improvement in PASI scores from baseline was significantly higher in </w:t>
      </w:r>
      <w:r w:rsidR="000F7B00">
        <w:rPr>
          <w:lang w:val="en-US"/>
        </w:rPr>
        <w:t>Etanercept</w:t>
      </w:r>
      <w:r w:rsidRPr="006E544D">
        <w:rPr>
          <w:lang w:val="en-US"/>
        </w:rPr>
        <w:t>-treated patients compared to placebo-treated patients, across all baseline disease severity subgroups (see table below).</w:t>
      </w:r>
    </w:p>
    <w:p w14:paraId="7C82DFC7" w14:textId="77777777" w:rsidR="006E544D" w:rsidRDefault="006E544D" w:rsidP="0021426A">
      <w:pPr>
        <w:pStyle w:val="NormalIndent1"/>
        <w:jc w:val="left"/>
      </w:pPr>
    </w:p>
    <w:p w14:paraId="43CFC0AA" w14:textId="77777777" w:rsidR="006E544D" w:rsidRPr="006E544D" w:rsidRDefault="0030673C" w:rsidP="0021426A">
      <w:pPr>
        <w:pStyle w:val="NormalIndent1"/>
        <w:jc w:val="left"/>
        <w:rPr>
          <w:b/>
        </w:rPr>
      </w:pPr>
      <w:r>
        <w:rPr>
          <w:b/>
          <w:lang w:val="en-US"/>
        </w:rPr>
        <w:t xml:space="preserve">Table 16: </w:t>
      </w:r>
      <w:r w:rsidR="006E544D" w:rsidRPr="006E544D">
        <w:rPr>
          <w:b/>
          <w:lang w:val="en-US"/>
        </w:rPr>
        <w:t>Percent Improvement in PASI Score at Week 12 in Different Baseline Disease Severity Subgroups</w:t>
      </w:r>
    </w:p>
    <w:p w14:paraId="141F1ED7" w14:textId="77777777" w:rsidR="006E544D" w:rsidRDefault="006E544D" w:rsidP="0021426A">
      <w:pPr>
        <w:pStyle w:val="NormalIndent1"/>
        <w:jc w:val="left"/>
      </w:pPr>
    </w:p>
    <w:tbl>
      <w:tblPr>
        <w:tblStyle w:val="TableGrid"/>
        <w:tblW w:w="0" w:type="auto"/>
        <w:tblInd w:w="425" w:type="dxa"/>
        <w:tblLook w:val="04A0" w:firstRow="1" w:lastRow="0" w:firstColumn="1" w:lastColumn="0" w:noHBand="0" w:noVBand="1"/>
      </w:tblPr>
      <w:tblGrid>
        <w:gridCol w:w="2679"/>
        <w:gridCol w:w="2551"/>
        <w:gridCol w:w="2552"/>
        <w:gridCol w:w="1401"/>
      </w:tblGrid>
      <w:tr w:rsidR="006E544D" w:rsidRPr="00B929B6" w14:paraId="130A8DB3" w14:textId="77777777" w:rsidTr="00B37960">
        <w:trPr>
          <w:tblHeader/>
        </w:trPr>
        <w:tc>
          <w:tcPr>
            <w:tcW w:w="2679" w:type="dxa"/>
            <w:tcBorders>
              <w:top w:val="single" w:sz="12" w:space="0" w:color="auto"/>
              <w:left w:val="single" w:sz="12" w:space="0" w:color="auto"/>
              <w:bottom w:val="single" w:sz="12" w:space="0" w:color="auto"/>
              <w:right w:val="single" w:sz="12" w:space="0" w:color="auto"/>
            </w:tcBorders>
            <w:vAlign w:val="center"/>
          </w:tcPr>
          <w:p w14:paraId="08EED2DC" w14:textId="77777777" w:rsidR="006E544D" w:rsidRPr="00B929B6" w:rsidRDefault="006E544D" w:rsidP="0021426A">
            <w:pPr>
              <w:pStyle w:val="NormalIndent1"/>
              <w:ind w:left="0"/>
              <w:jc w:val="left"/>
              <w:rPr>
                <w:b/>
              </w:rPr>
            </w:pPr>
            <w:r>
              <w:rPr>
                <w:b/>
              </w:rPr>
              <w:t>Baseline Parameter</w:t>
            </w:r>
          </w:p>
        </w:tc>
        <w:tc>
          <w:tcPr>
            <w:tcW w:w="2551" w:type="dxa"/>
            <w:tcBorders>
              <w:top w:val="single" w:sz="12" w:space="0" w:color="auto"/>
              <w:left w:val="single" w:sz="12" w:space="0" w:color="auto"/>
              <w:bottom w:val="single" w:sz="12" w:space="0" w:color="auto"/>
              <w:right w:val="single" w:sz="12" w:space="0" w:color="auto"/>
            </w:tcBorders>
            <w:vAlign w:val="center"/>
          </w:tcPr>
          <w:p w14:paraId="4D1BF09A" w14:textId="77777777" w:rsidR="006E544D" w:rsidRDefault="006E544D" w:rsidP="0021426A">
            <w:pPr>
              <w:pStyle w:val="NormalIndent1"/>
              <w:ind w:left="0"/>
              <w:jc w:val="left"/>
              <w:rPr>
                <w:b/>
              </w:rPr>
            </w:pPr>
            <w:r>
              <w:rPr>
                <w:b/>
              </w:rPr>
              <w:t>Placebo</w:t>
            </w:r>
          </w:p>
          <w:p w14:paraId="43EA2401" w14:textId="77777777" w:rsidR="006E544D" w:rsidRDefault="006E544D" w:rsidP="0021426A">
            <w:pPr>
              <w:pStyle w:val="NormalIndent1"/>
              <w:ind w:left="0"/>
              <w:jc w:val="left"/>
              <w:rPr>
                <w:b/>
              </w:rPr>
            </w:pPr>
            <w:r>
              <w:rPr>
                <w:b/>
              </w:rPr>
              <w:t>Mean % Improvement in PASI Score</w:t>
            </w:r>
          </w:p>
          <w:p w14:paraId="08740EF6" w14:textId="77777777" w:rsidR="006E544D" w:rsidRPr="00B929B6" w:rsidRDefault="006E544D" w:rsidP="0021426A">
            <w:pPr>
              <w:pStyle w:val="NormalIndent1"/>
              <w:ind w:left="0"/>
              <w:jc w:val="left"/>
              <w:rPr>
                <w:b/>
              </w:rPr>
            </w:pPr>
            <w:r>
              <w:rPr>
                <w:b/>
              </w:rPr>
              <w:t>(n = 105)</w:t>
            </w:r>
          </w:p>
        </w:tc>
        <w:tc>
          <w:tcPr>
            <w:tcW w:w="2552" w:type="dxa"/>
            <w:tcBorders>
              <w:top w:val="single" w:sz="12" w:space="0" w:color="auto"/>
              <w:left w:val="single" w:sz="12" w:space="0" w:color="auto"/>
              <w:bottom w:val="single" w:sz="12" w:space="0" w:color="auto"/>
              <w:right w:val="single" w:sz="12" w:space="0" w:color="auto"/>
            </w:tcBorders>
            <w:vAlign w:val="center"/>
          </w:tcPr>
          <w:p w14:paraId="676EA99D" w14:textId="38663771" w:rsidR="006E544D" w:rsidRDefault="000F7B00" w:rsidP="0021426A">
            <w:pPr>
              <w:pStyle w:val="NormalIndent1"/>
              <w:ind w:left="0"/>
              <w:jc w:val="left"/>
              <w:rPr>
                <w:b/>
              </w:rPr>
            </w:pPr>
            <w:r>
              <w:rPr>
                <w:b/>
              </w:rPr>
              <w:t>Etanercept</w:t>
            </w:r>
          </w:p>
          <w:p w14:paraId="1B6DD95C" w14:textId="77777777" w:rsidR="006E544D" w:rsidRDefault="006E544D" w:rsidP="0021426A">
            <w:pPr>
              <w:pStyle w:val="NormalIndent1"/>
              <w:ind w:left="0"/>
              <w:jc w:val="left"/>
              <w:rPr>
                <w:b/>
              </w:rPr>
            </w:pPr>
            <w:r>
              <w:rPr>
                <w:b/>
              </w:rPr>
              <w:t>Mean % Improvement in PASI Score</w:t>
            </w:r>
          </w:p>
          <w:p w14:paraId="6038526C" w14:textId="77777777" w:rsidR="006E544D" w:rsidRPr="00B929B6" w:rsidRDefault="006E544D" w:rsidP="0021426A">
            <w:pPr>
              <w:pStyle w:val="NormalIndent1"/>
              <w:ind w:left="0"/>
              <w:jc w:val="left"/>
              <w:rPr>
                <w:b/>
              </w:rPr>
            </w:pPr>
            <w:r>
              <w:rPr>
                <w:b/>
              </w:rPr>
              <w:t>(n = 106)</w:t>
            </w:r>
          </w:p>
        </w:tc>
        <w:tc>
          <w:tcPr>
            <w:tcW w:w="1401" w:type="dxa"/>
            <w:tcBorders>
              <w:top w:val="single" w:sz="12" w:space="0" w:color="auto"/>
              <w:left w:val="single" w:sz="12" w:space="0" w:color="auto"/>
              <w:bottom w:val="single" w:sz="12" w:space="0" w:color="auto"/>
              <w:right w:val="single" w:sz="12" w:space="0" w:color="auto"/>
            </w:tcBorders>
            <w:vAlign w:val="center"/>
          </w:tcPr>
          <w:p w14:paraId="6BBED552" w14:textId="77777777" w:rsidR="006E544D" w:rsidRPr="00B929B6" w:rsidRDefault="006E544D" w:rsidP="0021426A">
            <w:pPr>
              <w:pStyle w:val="NormalIndent1"/>
              <w:ind w:left="0"/>
              <w:jc w:val="left"/>
              <w:rPr>
                <w:b/>
              </w:rPr>
            </w:pPr>
            <w:r>
              <w:rPr>
                <w:b/>
              </w:rPr>
              <w:t>p-Value</w:t>
            </w:r>
          </w:p>
        </w:tc>
      </w:tr>
      <w:tr w:rsidR="006E544D" w14:paraId="764299BB" w14:textId="77777777" w:rsidTr="006E544D">
        <w:tc>
          <w:tcPr>
            <w:tcW w:w="2679" w:type="dxa"/>
            <w:tcBorders>
              <w:top w:val="single" w:sz="12" w:space="0" w:color="auto"/>
            </w:tcBorders>
          </w:tcPr>
          <w:p w14:paraId="16EAB684" w14:textId="77777777" w:rsidR="006E544D" w:rsidRDefault="006E544D" w:rsidP="0021426A">
            <w:pPr>
              <w:pStyle w:val="NormalIndent1"/>
              <w:spacing w:before="40" w:after="40"/>
              <w:ind w:left="0"/>
              <w:jc w:val="left"/>
            </w:pPr>
            <w:r>
              <w:t xml:space="preserve">PASI Score </w:t>
            </w:r>
            <w:r>
              <w:rPr>
                <w:rFonts w:cstheme="minorHAnsi"/>
              </w:rPr>
              <w:t>≥ 10 and ≤ 15</w:t>
            </w:r>
          </w:p>
        </w:tc>
        <w:tc>
          <w:tcPr>
            <w:tcW w:w="2551" w:type="dxa"/>
            <w:tcBorders>
              <w:top w:val="single" w:sz="12" w:space="0" w:color="auto"/>
            </w:tcBorders>
            <w:vAlign w:val="center"/>
          </w:tcPr>
          <w:p w14:paraId="4568990E" w14:textId="77777777" w:rsidR="006E544D" w:rsidRDefault="006E544D" w:rsidP="0021426A">
            <w:pPr>
              <w:pStyle w:val="NormalIndent1"/>
              <w:spacing w:before="40" w:after="40"/>
              <w:ind w:left="0"/>
              <w:jc w:val="left"/>
            </w:pPr>
            <w:r>
              <w:t>25.0</w:t>
            </w:r>
          </w:p>
        </w:tc>
        <w:tc>
          <w:tcPr>
            <w:tcW w:w="2552" w:type="dxa"/>
            <w:tcBorders>
              <w:top w:val="single" w:sz="12" w:space="0" w:color="auto"/>
            </w:tcBorders>
            <w:vAlign w:val="center"/>
          </w:tcPr>
          <w:p w14:paraId="58C48347" w14:textId="77777777" w:rsidR="006E544D" w:rsidRDefault="006E544D" w:rsidP="0021426A">
            <w:pPr>
              <w:pStyle w:val="NormalIndent1"/>
              <w:spacing w:before="40" w:after="40"/>
              <w:ind w:left="0"/>
              <w:jc w:val="left"/>
            </w:pPr>
            <w:r>
              <w:t>67.4</w:t>
            </w:r>
          </w:p>
        </w:tc>
        <w:tc>
          <w:tcPr>
            <w:tcW w:w="1401" w:type="dxa"/>
            <w:tcBorders>
              <w:top w:val="single" w:sz="12" w:space="0" w:color="auto"/>
            </w:tcBorders>
            <w:vAlign w:val="center"/>
          </w:tcPr>
          <w:p w14:paraId="05ED28CB" w14:textId="77777777" w:rsidR="006E544D" w:rsidRDefault="006E544D" w:rsidP="0021426A">
            <w:pPr>
              <w:pStyle w:val="NormalIndent1"/>
              <w:spacing w:before="40" w:after="40"/>
              <w:ind w:left="0"/>
              <w:jc w:val="left"/>
            </w:pPr>
            <w:r>
              <w:t>&lt;0.0001</w:t>
            </w:r>
          </w:p>
        </w:tc>
      </w:tr>
      <w:tr w:rsidR="006E544D" w14:paraId="7A949FE8" w14:textId="77777777" w:rsidTr="006E544D">
        <w:tc>
          <w:tcPr>
            <w:tcW w:w="2679" w:type="dxa"/>
          </w:tcPr>
          <w:p w14:paraId="74109EA8" w14:textId="77777777" w:rsidR="006E544D" w:rsidRDefault="006E544D" w:rsidP="0021426A">
            <w:pPr>
              <w:pStyle w:val="NormalIndent1"/>
              <w:spacing w:before="40" w:after="40"/>
              <w:ind w:left="0"/>
              <w:jc w:val="left"/>
            </w:pPr>
            <w:r>
              <w:t>PASI Score &gt;</w:t>
            </w:r>
            <w:r>
              <w:rPr>
                <w:rFonts w:cstheme="minorHAnsi"/>
              </w:rPr>
              <w:t xml:space="preserve"> 15 and ≤ 20</w:t>
            </w:r>
          </w:p>
        </w:tc>
        <w:tc>
          <w:tcPr>
            <w:tcW w:w="2551" w:type="dxa"/>
            <w:vAlign w:val="center"/>
          </w:tcPr>
          <w:p w14:paraId="3CA37975" w14:textId="77777777" w:rsidR="006E544D" w:rsidRDefault="006E544D" w:rsidP="0021426A">
            <w:pPr>
              <w:pStyle w:val="NormalIndent1"/>
              <w:spacing w:before="40" w:after="40"/>
              <w:ind w:left="0"/>
              <w:jc w:val="left"/>
            </w:pPr>
            <w:r>
              <w:t>11.5</w:t>
            </w:r>
          </w:p>
        </w:tc>
        <w:tc>
          <w:tcPr>
            <w:tcW w:w="2552" w:type="dxa"/>
            <w:vAlign w:val="center"/>
          </w:tcPr>
          <w:p w14:paraId="66776308" w14:textId="77777777" w:rsidR="006E544D" w:rsidRDefault="006E544D" w:rsidP="0021426A">
            <w:pPr>
              <w:pStyle w:val="NormalIndent1"/>
              <w:spacing w:before="40" w:after="40"/>
              <w:ind w:left="0"/>
              <w:jc w:val="left"/>
            </w:pPr>
            <w:r>
              <w:t>60.4</w:t>
            </w:r>
          </w:p>
        </w:tc>
        <w:tc>
          <w:tcPr>
            <w:tcW w:w="1401" w:type="dxa"/>
            <w:vAlign w:val="center"/>
          </w:tcPr>
          <w:p w14:paraId="0D1F0878" w14:textId="77777777" w:rsidR="006E544D" w:rsidRDefault="006E544D" w:rsidP="0021426A">
            <w:pPr>
              <w:pStyle w:val="NormalIndent1"/>
              <w:spacing w:before="40" w:after="40"/>
              <w:ind w:left="0"/>
              <w:jc w:val="left"/>
            </w:pPr>
            <w:r>
              <w:t>&lt;0.0001</w:t>
            </w:r>
          </w:p>
        </w:tc>
      </w:tr>
      <w:tr w:rsidR="006E544D" w14:paraId="173BDFA2" w14:textId="77777777" w:rsidTr="006E544D">
        <w:tc>
          <w:tcPr>
            <w:tcW w:w="2679" w:type="dxa"/>
          </w:tcPr>
          <w:p w14:paraId="32C78FF4" w14:textId="77777777" w:rsidR="006E544D" w:rsidRDefault="006E544D" w:rsidP="0021426A">
            <w:pPr>
              <w:pStyle w:val="NormalIndent1"/>
              <w:spacing w:before="40" w:after="40"/>
              <w:ind w:left="0"/>
              <w:jc w:val="left"/>
            </w:pPr>
            <w:r>
              <w:t xml:space="preserve">PASI Score </w:t>
            </w:r>
            <w:r>
              <w:rPr>
                <w:rFonts w:cstheme="minorHAnsi"/>
              </w:rPr>
              <w:t>&gt; 20</w:t>
            </w:r>
          </w:p>
        </w:tc>
        <w:tc>
          <w:tcPr>
            <w:tcW w:w="2551" w:type="dxa"/>
            <w:vAlign w:val="center"/>
          </w:tcPr>
          <w:p w14:paraId="2CEA431B" w14:textId="77777777" w:rsidR="006E544D" w:rsidRDefault="006E544D" w:rsidP="0021426A">
            <w:pPr>
              <w:pStyle w:val="NormalIndent1"/>
              <w:spacing w:before="40" w:after="40"/>
              <w:ind w:left="0"/>
              <w:jc w:val="left"/>
            </w:pPr>
            <w:r>
              <w:t>27.2</w:t>
            </w:r>
          </w:p>
        </w:tc>
        <w:tc>
          <w:tcPr>
            <w:tcW w:w="2552" w:type="dxa"/>
            <w:vAlign w:val="center"/>
          </w:tcPr>
          <w:p w14:paraId="321D36E1" w14:textId="77777777" w:rsidR="006E544D" w:rsidRDefault="006E544D" w:rsidP="0021426A">
            <w:pPr>
              <w:pStyle w:val="NormalIndent1"/>
              <w:spacing w:before="40" w:after="40"/>
              <w:ind w:left="0"/>
              <w:jc w:val="left"/>
            </w:pPr>
            <w:r>
              <w:t>74.8</w:t>
            </w:r>
          </w:p>
        </w:tc>
        <w:tc>
          <w:tcPr>
            <w:tcW w:w="1401" w:type="dxa"/>
            <w:vAlign w:val="center"/>
          </w:tcPr>
          <w:p w14:paraId="25CF27F0" w14:textId="77777777" w:rsidR="006E544D" w:rsidRDefault="006E544D" w:rsidP="0021426A">
            <w:pPr>
              <w:pStyle w:val="NormalIndent1"/>
              <w:spacing w:before="40" w:after="40"/>
              <w:ind w:left="0"/>
              <w:jc w:val="left"/>
            </w:pPr>
            <w:r>
              <w:t>&lt;0.0001</w:t>
            </w:r>
          </w:p>
        </w:tc>
      </w:tr>
    </w:tbl>
    <w:p w14:paraId="6EFEFB3A" w14:textId="77777777" w:rsidR="006E544D" w:rsidRDefault="006E544D" w:rsidP="0021426A">
      <w:pPr>
        <w:pStyle w:val="NormalIndent1"/>
        <w:jc w:val="left"/>
      </w:pPr>
    </w:p>
    <w:p w14:paraId="5308E30A" w14:textId="3A241426" w:rsidR="006E544D" w:rsidRPr="00EA1B35" w:rsidRDefault="006E544D" w:rsidP="0021426A">
      <w:pPr>
        <w:pStyle w:val="NormalIndent1"/>
        <w:jc w:val="left"/>
        <w:rPr>
          <w:lang w:val="en-US"/>
        </w:rPr>
      </w:pPr>
      <w:r w:rsidRPr="00EA1B35">
        <w:rPr>
          <w:lang w:val="en-US"/>
        </w:rPr>
        <w:t xml:space="preserve">This study was conducted in children with moderate or severe psoriasis.  Due to the risks associated with </w:t>
      </w:r>
      <w:r w:rsidR="000F7B00" w:rsidRPr="00EA1B35">
        <w:rPr>
          <w:lang w:val="en-US"/>
        </w:rPr>
        <w:t>Etanercept</w:t>
      </w:r>
      <w:r w:rsidRPr="00EA1B35">
        <w:rPr>
          <w:lang w:val="en-US"/>
        </w:rPr>
        <w:t xml:space="preserve"> in children (see </w:t>
      </w:r>
      <w:r w:rsidRPr="00EA1B35">
        <w:rPr>
          <w:b/>
          <w:lang w:val="en-US"/>
        </w:rPr>
        <w:t xml:space="preserve">Section 4.4 </w:t>
      </w:r>
      <w:r w:rsidRPr="00EA1B35">
        <w:rPr>
          <w:b/>
        </w:rPr>
        <w:t>Special Warnings and Precautions for Use</w:t>
      </w:r>
      <w:r w:rsidRPr="00EA1B35">
        <w:rPr>
          <w:lang w:val="en-US"/>
        </w:rPr>
        <w:t>), only patients with severe disease should be treated.</w:t>
      </w:r>
    </w:p>
    <w:p w14:paraId="1525BEF1" w14:textId="77777777" w:rsidR="004D28A6" w:rsidRPr="00EA1B35" w:rsidRDefault="004D28A6" w:rsidP="0021426A">
      <w:pPr>
        <w:pStyle w:val="NormalIndent1"/>
        <w:jc w:val="left"/>
        <w:rPr>
          <w:lang w:val="en-US"/>
        </w:rPr>
      </w:pPr>
    </w:p>
    <w:p w14:paraId="16FAC84F" w14:textId="77777777" w:rsidR="006E544D" w:rsidRPr="000C0B82" w:rsidRDefault="006E544D" w:rsidP="0021426A">
      <w:pPr>
        <w:pStyle w:val="Heading4"/>
        <w:jc w:val="left"/>
        <w:rPr>
          <w:sz w:val="22"/>
          <w:szCs w:val="22"/>
          <w:lang w:val="en-US"/>
        </w:rPr>
      </w:pPr>
      <w:r w:rsidRPr="000C0B82">
        <w:rPr>
          <w:sz w:val="22"/>
          <w:szCs w:val="22"/>
          <w:lang w:val="en-US"/>
        </w:rPr>
        <w:t>Immunocompetence</w:t>
      </w:r>
    </w:p>
    <w:p w14:paraId="2DE331BA" w14:textId="77777777" w:rsidR="006E544D" w:rsidRPr="00EA1B35" w:rsidRDefault="006E544D" w:rsidP="0021426A">
      <w:pPr>
        <w:pStyle w:val="NormalIndent1"/>
        <w:jc w:val="left"/>
        <w:rPr>
          <w:lang w:val="en-US"/>
        </w:rPr>
      </w:pPr>
    </w:p>
    <w:p w14:paraId="7FF77ACB" w14:textId="1DF54ACD" w:rsidR="006E544D" w:rsidRPr="00EA1B35" w:rsidRDefault="006E544D" w:rsidP="0021426A">
      <w:pPr>
        <w:pStyle w:val="NormalIndent1"/>
        <w:jc w:val="left"/>
        <w:rPr>
          <w:lang w:val="en-US"/>
        </w:rPr>
      </w:pPr>
      <w:r w:rsidRPr="00EA1B35">
        <w:rPr>
          <w:lang w:val="en-US"/>
        </w:rPr>
        <w:t xml:space="preserve">Evaluations of immunocompetence were performed on 49 </w:t>
      </w:r>
      <w:r w:rsidR="00C36EA6" w:rsidRPr="00EA1B35">
        <w:rPr>
          <w:lang w:val="en-US"/>
        </w:rPr>
        <w:t>etanercept</w:t>
      </w:r>
      <w:r w:rsidRPr="00EA1B35">
        <w:rPr>
          <w:lang w:val="en-US"/>
        </w:rPr>
        <w:t xml:space="preserve">-treated patients with active RA.  No evidence of immunosuppression was found in evaluations of delayed-type hypersensitivity skin testing, enumeration of immune effector cell populations and immunoglobulins and </w:t>
      </w:r>
      <w:r w:rsidRPr="00EA1B35">
        <w:rPr>
          <w:i/>
          <w:lang w:val="en-US"/>
        </w:rPr>
        <w:t xml:space="preserve">in vitro </w:t>
      </w:r>
      <w:r w:rsidRPr="00EA1B35">
        <w:rPr>
          <w:lang w:val="en-US"/>
        </w:rPr>
        <w:t>testing of neutrophil and T cell function.</w:t>
      </w:r>
    </w:p>
    <w:p w14:paraId="542EAFDC" w14:textId="77777777" w:rsidR="006E544D" w:rsidRPr="00EA1B35" w:rsidRDefault="006E544D" w:rsidP="0021426A">
      <w:pPr>
        <w:pStyle w:val="NormalIndent1"/>
        <w:jc w:val="left"/>
        <w:rPr>
          <w:lang w:val="en-US"/>
        </w:rPr>
      </w:pPr>
    </w:p>
    <w:p w14:paraId="1E1D7D57" w14:textId="77777777" w:rsidR="006E544D" w:rsidRPr="000C0B82" w:rsidRDefault="006E544D" w:rsidP="0021426A">
      <w:pPr>
        <w:pStyle w:val="Heading4"/>
        <w:jc w:val="left"/>
        <w:rPr>
          <w:sz w:val="22"/>
          <w:szCs w:val="22"/>
          <w:lang w:val="en-US"/>
        </w:rPr>
      </w:pPr>
      <w:r w:rsidRPr="000C0B82">
        <w:rPr>
          <w:sz w:val="22"/>
          <w:szCs w:val="22"/>
          <w:lang w:val="en-US"/>
        </w:rPr>
        <w:t>Antibodies</w:t>
      </w:r>
    </w:p>
    <w:p w14:paraId="6C5E3417" w14:textId="77777777" w:rsidR="006E544D" w:rsidRPr="00EA1B35" w:rsidRDefault="006E544D" w:rsidP="0021426A">
      <w:pPr>
        <w:pStyle w:val="NormalIndent1"/>
        <w:jc w:val="left"/>
        <w:rPr>
          <w:lang w:val="en-US"/>
        </w:rPr>
      </w:pPr>
    </w:p>
    <w:p w14:paraId="75014D1D" w14:textId="712DC9CE" w:rsidR="006E544D" w:rsidRPr="00EA1B35" w:rsidRDefault="006E544D" w:rsidP="0021426A">
      <w:pPr>
        <w:pStyle w:val="NormalIndent1"/>
        <w:jc w:val="left"/>
      </w:pPr>
      <w:r w:rsidRPr="00EA1B35">
        <w:rPr>
          <w:lang w:val="en-US"/>
        </w:rPr>
        <w:t xml:space="preserve">Antibodies to </w:t>
      </w:r>
      <w:r w:rsidR="00C36EA6" w:rsidRPr="00EA1B35">
        <w:rPr>
          <w:lang w:val="en-US"/>
        </w:rPr>
        <w:t>etanercept</w:t>
      </w:r>
      <w:r w:rsidRPr="00EA1B35">
        <w:rPr>
          <w:lang w:val="en-US"/>
        </w:rPr>
        <w:t xml:space="preserve">, all non-neutralising, were detected in 4 out of 96 RA patients who received </w:t>
      </w:r>
      <w:r w:rsidR="00C36EA6" w:rsidRPr="00EA1B35">
        <w:rPr>
          <w:lang w:val="en-US"/>
        </w:rPr>
        <w:t>etanercept</w:t>
      </w:r>
      <w:r w:rsidRPr="00EA1B35">
        <w:rPr>
          <w:lang w:val="en-US"/>
        </w:rPr>
        <w:t xml:space="preserve"> at a dose of 25 mg twice a week for up to 3 months in a placebo-controlled trial.  Results from JIA patients were similar to those seen in adult RA patients treated with </w:t>
      </w:r>
      <w:r w:rsidR="00C36EA6" w:rsidRPr="00EA1B35">
        <w:rPr>
          <w:lang w:val="en-US"/>
        </w:rPr>
        <w:t>etanercept</w:t>
      </w:r>
      <w:r w:rsidRPr="00EA1B35">
        <w:rPr>
          <w:lang w:val="en-US"/>
        </w:rPr>
        <w:t xml:space="preserve">.  No apparent correlation of antibody development to clinical response or adverse events was seen.  Of 98 patients with psoriatic arthritis who have been tested, no patient has developed antibodies to </w:t>
      </w:r>
      <w:r w:rsidR="00C36EA6" w:rsidRPr="00EA1B35">
        <w:rPr>
          <w:lang w:val="en-US"/>
        </w:rPr>
        <w:t>etanercept</w:t>
      </w:r>
      <w:r w:rsidRPr="00EA1B35">
        <w:rPr>
          <w:lang w:val="en-US"/>
        </w:rPr>
        <w:t xml:space="preserve">.  Among 175 ankylosing spondylitis patients treated with </w:t>
      </w:r>
      <w:r w:rsidR="00C36EA6" w:rsidRPr="00EA1B35">
        <w:rPr>
          <w:lang w:val="en-US"/>
        </w:rPr>
        <w:t>etanercept</w:t>
      </w:r>
      <w:r w:rsidRPr="00EA1B35">
        <w:rPr>
          <w:lang w:val="en-US"/>
        </w:rPr>
        <w:t xml:space="preserve">, 3 patients were reported with antibodies to </w:t>
      </w:r>
      <w:r w:rsidR="00C36EA6" w:rsidRPr="00EA1B35">
        <w:rPr>
          <w:lang w:val="en-US"/>
        </w:rPr>
        <w:t>etanercept</w:t>
      </w:r>
      <w:r w:rsidRPr="00EA1B35">
        <w:rPr>
          <w:lang w:val="en-US"/>
        </w:rPr>
        <w:t xml:space="preserve">, none were neutralising.  In double-blind studies up to 6 months duration in plaque psoriasis, about 1% of the 1,084 patients developed antibodies to </w:t>
      </w:r>
      <w:r w:rsidR="00C36EA6" w:rsidRPr="00EA1B35">
        <w:rPr>
          <w:lang w:val="en-US"/>
        </w:rPr>
        <w:t>etanercept</w:t>
      </w:r>
      <w:r w:rsidRPr="00EA1B35">
        <w:rPr>
          <w:lang w:val="en-US"/>
        </w:rPr>
        <w:t>, none were neutrali</w:t>
      </w:r>
      <w:r w:rsidR="00B20D25" w:rsidRPr="00EA1B35">
        <w:rPr>
          <w:lang w:val="en-US"/>
        </w:rPr>
        <w:t>s</w:t>
      </w:r>
      <w:r w:rsidRPr="00EA1B35">
        <w:rPr>
          <w:lang w:val="en-US"/>
        </w:rPr>
        <w:t>ing.</w:t>
      </w:r>
    </w:p>
    <w:p w14:paraId="4DF84DFE" w14:textId="77777777" w:rsidR="006E544D" w:rsidRDefault="006E544D" w:rsidP="0021426A">
      <w:pPr>
        <w:pStyle w:val="NormalIndent1"/>
        <w:jc w:val="left"/>
      </w:pPr>
    </w:p>
    <w:p w14:paraId="49D4D7DF" w14:textId="04A3D0C9" w:rsidR="00485977" w:rsidRPr="00485977" w:rsidRDefault="00485977" w:rsidP="0021426A">
      <w:pPr>
        <w:pStyle w:val="Heading3"/>
        <w:jc w:val="left"/>
      </w:pPr>
      <w:bookmarkStart w:id="9" w:name="_Hlk514835270"/>
      <w:r w:rsidRPr="00485977">
        <w:t xml:space="preserve">Comparative Efficacy of </w:t>
      </w:r>
      <w:r w:rsidR="003D1456">
        <w:t>Rymti</w:t>
      </w:r>
      <w:r w:rsidRPr="00485977">
        <w:t xml:space="preserve"> and </w:t>
      </w:r>
      <w:r w:rsidR="007C28F3" w:rsidRPr="00485977">
        <w:t>E</w:t>
      </w:r>
      <w:r w:rsidR="00116F09" w:rsidRPr="00485977">
        <w:t>nbrel</w:t>
      </w:r>
      <w:r w:rsidRPr="00485977">
        <w:t xml:space="preserve">® </w:t>
      </w:r>
    </w:p>
    <w:p w14:paraId="36F454C1" w14:textId="6135D1FD" w:rsidR="00E129E4" w:rsidRPr="00EA1B35" w:rsidRDefault="000479E1" w:rsidP="0021426A">
      <w:pPr>
        <w:pStyle w:val="NormalIndent1"/>
        <w:jc w:val="left"/>
      </w:pPr>
      <w:r w:rsidRPr="000C0B82">
        <w:t>Study YLB 113-002 consisted of 517 patients between 18-75 years old with moderate to severe RA despite MTX therapy. The objective of this study was to compare the efficacy, safety</w:t>
      </w:r>
      <w:r w:rsidRPr="000C0B82" w:rsidDel="000479E1">
        <w:t xml:space="preserve"> </w:t>
      </w:r>
      <w:r w:rsidRPr="000C0B82">
        <w:t xml:space="preserve">/ </w:t>
      </w:r>
      <w:r w:rsidR="00FD1680" w:rsidRPr="000C0B82">
        <w:t xml:space="preserve">tolerability and immunogenicity of </w:t>
      </w:r>
      <w:r w:rsidR="003D1456" w:rsidRPr="000C0B82">
        <w:t>Rymti</w:t>
      </w:r>
      <w:r w:rsidR="00FD1680" w:rsidRPr="000C0B82">
        <w:t xml:space="preserve"> </w:t>
      </w:r>
      <w:r w:rsidR="00945BFB" w:rsidRPr="000C0B82">
        <w:t xml:space="preserve"> </w:t>
      </w:r>
      <w:r w:rsidR="00FD1680" w:rsidRPr="000C0B82">
        <w:t>and  Enbrel®</w:t>
      </w:r>
      <w:r w:rsidR="0098538F" w:rsidRPr="000C0B82">
        <w:t xml:space="preserve"> at week 24 of treatment</w:t>
      </w:r>
      <w:r w:rsidR="00FD1680" w:rsidRPr="000C0B82">
        <w:t xml:space="preserve"> </w:t>
      </w:r>
      <w:r w:rsidR="0098538F" w:rsidRPr="000C0B82">
        <w:t>.</w:t>
      </w:r>
      <w:r w:rsidR="00FD1680" w:rsidRPr="000C0B82">
        <w:t xml:space="preserve"> </w:t>
      </w:r>
      <w:r w:rsidR="00C840C6" w:rsidRPr="000C0B82">
        <w:t xml:space="preserve">Patients were randomised in a 1:1 ratio to receive either </w:t>
      </w:r>
      <w:r w:rsidR="003D1456" w:rsidRPr="000C0B82">
        <w:t>Rymti</w:t>
      </w:r>
      <w:r w:rsidR="00945BFB" w:rsidRPr="000C0B82">
        <w:t xml:space="preserve"> 50 mg (n=266</w:t>
      </w:r>
      <w:r w:rsidR="00C840C6" w:rsidRPr="000C0B82">
        <w:t xml:space="preserve">) or Enbrel® </w:t>
      </w:r>
      <w:r w:rsidR="00945BFB" w:rsidRPr="000C0B82">
        <w:t>50 mg (n=262</w:t>
      </w:r>
      <w:r w:rsidR="00C840C6" w:rsidRPr="000C0B82">
        <w:t>) once-weekly via subcutaneous injection</w:t>
      </w:r>
      <w:r w:rsidR="0098538F" w:rsidRPr="000C0B82">
        <w:t xml:space="preserve"> along with methotrexate (MTX) in patients with active moderate to severe RA despite MTX therapy and to evaluate the long-term safety and immunogenicity of </w:t>
      </w:r>
      <w:r w:rsidR="00F81993" w:rsidRPr="000C0B82">
        <w:t>Rymti</w:t>
      </w:r>
      <w:r w:rsidR="0098538F" w:rsidRPr="000C0B82">
        <w:t xml:space="preserve"> administration</w:t>
      </w:r>
      <w:r w:rsidR="00C840C6" w:rsidRPr="000C0B82">
        <w:t xml:space="preserve">. Patients enrolled in the study </w:t>
      </w:r>
      <w:r w:rsidRPr="000C0B82">
        <w:t>were</w:t>
      </w:r>
      <w:r w:rsidR="00C840C6" w:rsidRPr="000C0B82">
        <w:t xml:space="preserve"> followed up </w:t>
      </w:r>
      <w:r w:rsidRPr="000C0B82">
        <w:t>with</w:t>
      </w:r>
      <w:r w:rsidR="00C840C6" w:rsidRPr="000C0B82">
        <w:t xml:space="preserve"> up to 56 weeks after </w:t>
      </w:r>
      <w:r w:rsidR="00FB2023" w:rsidRPr="000C0B82">
        <w:t>r</w:t>
      </w:r>
      <w:r w:rsidR="00C840C6" w:rsidRPr="000C0B82">
        <w:t>andomisation, consisting of 52 weeks of active treatment and 4 weeks of safety follow-up.</w:t>
      </w:r>
    </w:p>
    <w:p w14:paraId="560D2EE8" w14:textId="0AADBED2" w:rsidR="00C03DBF" w:rsidRPr="000C0B82" w:rsidRDefault="00C03DBF" w:rsidP="0021426A">
      <w:pPr>
        <w:pStyle w:val="NormalIndent1"/>
        <w:ind w:left="0"/>
        <w:jc w:val="left"/>
      </w:pPr>
    </w:p>
    <w:p w14:paraId="52CD6F52" w14:textId="71B84457" w:rsidR="00A519BA" w:rsidRPr="00EA1B35" w:rsidRDefault="00A519BA" w:rsidP="0021426A">
      <w:pPr>
        <w:pStyle w:val="NormalIndent1"/>
        <w:jc w:val="left"/>
        <w:rPr>
          <w:b/>
        </w:rPr>
      </w:pPr>
      <w:r w:rsidRPr="000C0B82">
        <w:t xml:space="preserve">The study consisted of three stages; Stage A was considered the core study evaluating the comparative treatment efficacy of patients with moderate to severe RA. After Stage A treatment </w:t>
      </w:r>
      <w:r w:rsidR="003262C1" w:rsidRPr="000C0B82">
        <w:t xml:space="preserve">(24 weeks) </w:t>
      </w:r>
      <w:r w:rsidRPr="000C0B82">
        <w:t xml:space="preserve">and if the patients were judged eligible to enter a consecutive Stage, the patient were allocated to </w:t>
      </w:r>
      <w:r w:rsidR="003262C1" w:rsidRPr="000C0B82">
        <w:t xml:space="preserve">either </w:t>
      </w:r>
      <w:r w:rsidRPr="000C0B82">
        <w:t>Stage B or Stage C</w:t>
      </w:r>
      <w:r w:rsidR="003262C1" w:rsidRPr="000C0B82">
        <w:t xml:space="preserve"> (each of 24 weeks)</w:t>
      </w:r>
      <w:r w:rsidR="00C80E94" w:rsidRPr="000C0B82">
        <w:t>.</w:t>
      </w:r>
      <w:r w:rsidRPr="000C0B82">
        <w:t xml:space="preserve"> Stage B provided safety </w:t>
      </w:r>
      <w:r w:rsidR="00C80E94" w:rsidRPr="000C0B82">
        <w:t xml:space="preserve">data </w:t>
      </w:r>
      <w:r w:rsidRPr="000C0B82">
        <w:t xml:space="preserve">including long-term immunogenicity data </w:t>
      </w:r>
      <w:r w:rsidR="00C80E94" w:rsidRPr="000C0B82">
        <w:t>while</w:t>
      </w:r>
      <w:r w:rsidRPr="000C0B82">
        <w:t xml:space="preserve"> Stage C </w:t>
      </w:r>
      <w:r w:rsidR="00C03DBF" w:rsidRPr="000C0B82">
        <w:t>was a</w:t>
      </w:r>
      <w:r w:rsidR="003262C1" w:rsidRPr="000C0B82">
        <w:t xml:space="preserve"> switching </w:t>
      </w:r>
      <w:r w:rsidR="00C03DBF" w:rsidRPr="000C0B82">
        <w:t>study</w:t>
      </w:r>
      <w:r w:rsidR="003262C1" w:rsidRPr="000C0B82">
        <w:t xml:space="preserve"> whereby patients were</w:t>
      </w:r>
      <w:r w:rsidRPr="000C0B82">
        <w:t xml:space="preserve"> transition</w:t>
      </w:r>
      <w:r w:rsidR="003262C1" w:rsidRPr="000C0B82">
        <w:t>ed</w:t>
      </w:r>
      <w:r w:rsidRPr="000C0B82">
        <w:t xml:space="preserve"> </w:t>
      </w:r>
      <w:r w:rsidR="003262C1" w:rsidRPr="000C0B82">
        <w:t xml:space="preserve">from </w:t>
      </w:r>
      <w:r w:rsidR="0097657E" w:rsidRPr="000C0B82">
        <w:t>Rymti</w:t>
      </w:r>
      <w:r w:rsidRPr="000C0B82">
        <w:t xml:space="preserve"> to </w:t>
      </w:r>
      <w:r w:rsidR="00116F09" w:rsidRPr="00EA1B35">
        <w:rPr>
          <w:lang w:val="en-US"/>
        </w:rPr>
        <w:t>Enbrel</w:t>
      </w:r>
      <w:r w:rsidR="00116F09" w:rsidRPr="00EA1B35">
        <w:rPr>
          <w:rFonts w:cstheme="minorHAnsi"/>
        </w:rPr>
        <w:t>®</w:t>
      </w:r>
      <w:r w:rsidRPr="000C0B82">
        <w:t xml:space="preserve"> or </w:t>
      </w:r>
      <w:r w:rsidR="00C80E94" w:rsidRPr="000C0B82">
        <w:t>vice versa</w:t>
      </w:r>
      <w:r w:rsidRPr="000C0B82">
        <w:t xml:space="preserve">. </w:t>
      </w:r>
    </w:p>
    <w:p w14:paraId="2E346BFD" w14:textId="77777777" w:rsidR="00A519BA" w:rsidRPr="000C0B82" w:rsidRDefault="00A519BA" w:rsidP="0021426A">
      <w:pPr>
        <w:pStyle w:val="NormalIndent1"/>
        <w:jc w:val="left"/>
      </w:pPr>
    </w:p>
    <w:p w14:paraId="79CD0105" w14:textId="2E415007" w:rsidR="00DC07B1" w:rsidRPr="000C0B82" w:rsidRDefault="00A519BA" w:rsidP="0021426A">
      <w:pPr>
        <w:ind w:left="425"/>
        <w:jc w:val="left"/>
      </w:pPr>
      <w:r w:rsidRPr="000C0B82">
        <w:t xml:space="preserve">The primary objective </w:t>
      </w:r>
      <w:r w:rsidR="003262C1" w:rsidRPr="000C0B82">
        <w:t xml:space="preserve">of Study YLB 113-002 </w:t>
      </w:r>
      <w:r w:rsidRPr="000C0B82">
        <w:t xml:space="preserve">was to demonstrate equivalence of </w:t>
      </w:r>
      <w:r w:rsidR="003D1456" w:rsidRPr="000C0B82">
        <w:t>Rymti</w:t>
      </w:r>
      <w:r w:rsidRPr="000C0B82">
        <w:t xml:space="preserve"> and Enbrel® at Week 24 in terms of the American College of Rheumatology 20% response criteria (ACR20)</w:t>
      </w:r>
      <w:r w:rsidR="00316815" w:rsidRPr="000C0B82">
        <w:t xml:space="preserve">. </w:t>
      </w:r>
      <w:r w:rsidRPr="000C0B82">
        <w:t xml:space="preserve">To declare the equivalence between the treatment groups, the 2-sided 95% confidence interval of the difference in ACR20 response rates between the treatment groups should be contained within the pre-defined equivalence margin of [–15%, 15%]. Secondary objectives were to evaluate efficacy using relevant efficacy endpoints other than ACR20 at Weeks 24, and to evaluate safety / tolerability, and immunogenicity of </w:t>
      </w:r>
      <w:r w:rsidR="003D1456" w:rsidRPr="000C0B82">
        <w:t>Rymti</w:t>
      </w:r>
      <w:r w:rsidRPr="000C0B82">
        <w:t xml:space="preserve"> compared to Enbrel®.</w:t>
      </w:r>
      <w:r w:rsidR="00DC07B1" w:rsidRPr="000C0B82">
        <w:t xml:space="preserve"> </w:t>
      </w:r>
    </w:p>
    <w:p w14:paraId="35F406E8" w14:textId="77777777" w:rsidR="00DC07B1" w:rsidRPr="000C0B82" w:rsidRDefault="00DC07B1" w:rsidP="0021426A">
      <w:pPr>
        <w:ind w:left="425"/>
        <w:jc w:val="left"/>
      </w:pPr>
    </w:p>
    <w:p w14:paraId="7BF74A1B" w14:textId="69F1B663" w:rsidR="00316815" w:rsidRPr="000C0B82" w:rsidRDefault="00A3176C" w:rsidP="0021426A">
      <w:pPr>
        <w:ind w:left="425"/>
        <w:jc w:val="left"/>
      </w:pPr>
      <w:r w:rsidRPr="000C0B82">
        <w:t>At week 24 a</w:t>
      </w:r>
      <w:r w:rsidR="00DC07B1" w:rsidRPr="000C0B82">
        <w:t xml:space="preserve"> total number of </w:t>
      </w:r>
      <w:r w:rsidRPr="000C0B82">
        <w:t>51</w:t>
      </w:r>
      <w:r w:rsidR="004E45B9" w:rsidRPr="000C0B82">
        <w:t>6</w:t>
      </w:r>
      <w:r w:rsidR="00DC07B1" w:rsidRPr="000C0B82">
        <w:t xml:space="preserve"> subjects </w:t>
      </w:r>
      <w:r w:rsidRPr="000C0B82">
        <w:t>with ACR20 response in each treatment group at Stage A were evaluated</w:t>
      </w:r>
      <w:r w:rsidR="004E45B9" w:rsidRPr="000C0B82">
        <w:t xml:space="preserve"> (Rymti, N=263; Embrel®, N=253)</w:t>
      </w:r>
      <w:r w:rsidR="007B760A" w:rsidRPr="000C0B82">
        <w:t xml:space="preserve">. </w:t>
      </w:r>
      <w:r w:rsidR="00811F1A" w:rsidRPr="000C0B82">
        <w:t xml:space="preserve">Equivalence of </w:t>
      </w:r>
      <w:r w:rsidR="003D1456" w:rsidRPr="000C0B82">
        <w:t>Rymti</w:t>
      </w:r>
      <w:r w:rsidR="00A171B6" w:rsidRPr="000C0B82">
        <w:t xml:space="preserve"> </w:t>
      </w:r>
      <w:r w:rsidR="00811F1A" w:rsidRPr="000C0B82">
        <w:t xml:space="preserve">and </w:t>
      </w:r>
      <w:r w:rsidR="00116F09" w:rsidRPr="00EA1B35">
        <w:rPr>
          <w:lang w:val="en-US"/>
        </w:rPr>
        <w:t>Enbrel</w:t>
      </w:r>
      <w:r w:rsidR="00116F09" w:rsidRPr="00EA1B35">
        <w:rPr>
          <w:rFonts w:cstheme="minorHAnsi"/>
        </w:rPr>
        <w:t>®</w:t>
      </w:r>
      <w:r w:rsidR="00811F1A" w:rsidRPr="000C0B82">
        <w:t xml:space="preserve"> in terms of</w:t>
      </w:r>
      <w:r w:rsidR="00811F1A" w:rsidRPr="00C77107">
        <w:rPr>
          <w:sz w:val="23"/>
          <w:szCs w:val="23"/>
        </w:rPr>
        <w:t xml:space="preserve"> </w:t>
      </w:r>
      <w:r w:rsidR="00811F1A" w:rsidRPr="000C0B82">
        <w:t>primary endpoint of ACR20 response rate at week 24 was demonstrated</w:t>
      </w:r>
      <w:r w:rsidR="007B760A" w:rsidRPr="000C0B82">
        <w:t xml:space="preserve">; </w:t>
      </w:r>
      <w:r w:rsidR="00811F1A" w:rsidRPr="000C0B82">
        <w:t xml:space="preserve"> </w:t>
      </w:r>
      <w:r w:rsidR="007B760A" w:rsidRPr="000C0B82">
        <w:t>response rate 81.2% for Rymti and 86.8% for Enbrel (-5.6</w:t>
      </w:r>
      <w:r w:rsidR="00864452">
        <w:t>%</w:t>
      </w:r>
      <w:r w:rsidR="007B760A" w:rsidRPr="000C0B82">
        <w:t xml:space="preserve">), </w:t>
      </w:r>
      <w:r w:rsidR="00811F1A" w:rsidRPr="000C0B82">
        <w:t xml:space="preserve"> 95% CI (-11.6</w:t>
      </w:r>
      <w:r w:rsidR="00864452">
        <w:t>%</w:t>
      </w:r>
      <w:r w:rsidR="00811F1A" w:rsidRPr="000C0B82">
        <w:t xml:space="preserve">, 0.5) of which was found to be within predefined equivalence margin of ±15%. Improvements in ACR20 response rates at week 4, 8, and 12 were also similar between treatments. </w:t>
      </w:r>
      <w:r w:rsidR="00316815" w:rsidRPr="000C0B82">
        <w:t>The reported outcomes comprised of data from the pivotal Phase 3 study involving 517 evaluated patients for the Stage A analyses</w:t>
      </w:r>
      <w:r w:rsidR="006A3849" w:rsidRPr="000C0B82">
        <w:t xml:space="preserve">. </w:t>
      </w:r>
    </w:p>
    <w:p w14:paraId="044C78BF" w14:textId="77777777" w:rsidR="00811F1A" w:rsidRPr="000C0B82" w:rsidRDefault="00811F1A" w:rsidP="0021426A">
      <w:pPr>
        <w:autoSpaceDE w:val="0"/>
        <w:autoSpaceDN w:val="0"/>
        <w:adjustRightInd w:val="0"/>
        <w:ind w:left="425"/>
        <w:jc w:val="left"/>
      </w:pPr>
    </w:p>
    <w:p w14:paraId="04C0E758" w14:textId="43771A52" w:rsidR="00FC41C6" w:rsidRPr="000C0B82" w:rsidRDefault="00811F1A" w:rsidP="0021426A">
      <w:pPr>
        <w:autoSpaceDE w:val="0"/>
        <w:autoSpaceDN w:val="0"/>
        <w:adjustRightInd w:val="0"/>
        <w:ind w:left="425"/>
        <w:jc w:val="left"/>
      </w:pPr>
      <w:r w:rsidRPr="000C0B82">
        <w:t>The time course of improvement in ACR50 and ACR70 response rates at Week 4, 8, 12, and Week 24 was comparable between treatments. An improvement in DAS28 scores from the baseline was observed over a period of time and was similar between treatment arms.</w:t>
      </w:r>
      <w:r w:rsidR="00316815" w:rsidRPr="000C0B82">
        <w:t xml:space="preserve"> </w:t>
      </w:r>
    </w:p>
    <w:bookmarkEnd w:id="9"/>
    <w:p w14:paraId="416C3AEE" w14:textId="77777777" w:rsidR="006C0FEB" w:rsidRPr="00F70019" w:rsidRDefault="006C0FEB" w:rsidP="0021426A">
      <w:pPr>
        <w:pStyle w:val="NormalIndent1"/>
        <w:jc w:val="left"/>
      </w:pPr>
    </w:p>
    <w:p w14:paraId="701DA0CA" w14:textId="77777777" w:rsidR="001A3992" w:rsidRDefault="004A3628" w:rsidP="0021426A">
      <w:pPr>
        <w:pStyle w:val="Heading2"/>
        <w:jc w:val="left"/>
        <w:rPr>
          <w:smallCaps/>
          <w:lang w:val="en-US"/>
        </w:rPr>
      </w:pPr>
      <w:r>
        <w:rPr>
          <w:lang w:val="en-US"/>
        </w:rPr>
        <w:t>5.2</w:t>
      </w:r>
      <w:r>
        <w:rPr>
          <w:lang w:val="en-US"/>
        </w:rPr>
        <w:tab/>
      </w:r>
      <w:r w:rsidR="001A3992" w:rsidRPr="005D690B">
        <w:rPr>
          <w:lang w:val="en-US"/>
        </w:rPr>
        <w:t xml:space="preserve">Pharmacokinetic </w:t>
      </w:r>
      <w:r w:rsidR="005D690B" w:rsidRPr="005D690B">
        <w:rPr>
          <w:lang w:val="en-US"/>
        </w:rPr>
        <w:t xml:space="preserve">Properties </w:t>
      </w:r>
    </w:p>
    <w:p w14:paraId="3BAE478A" w14:textId="77777777" w:rsidR="005D690B" w:rsidRPr="00F70019" w:rsidRDefault="005D690B" w:rsidP="0021426A">
      <w:pPr>
        <w:pStyle w:val="NormalIndent1"/>
        <w:jc w:val="left"/>
      </w:pPr>
    </w:p>
    <w:p w14:paraId="27FB512D" w14:textId="77777777" w:rsidR="001A3992" w:rsidRDefault="001A3992" w:rsidP="0021426A">
      <w:pPr>
        <w:pStyle w:val="Heading3"/>
        <w:jc w:val="left"/>
      </w:pPr>
      <w:r w:rsidRPr="005D690B">
        <w:t>Absorption</w:t>
      </w:r>
    </w:p>
    <w:p w14:paraId="6F65EF3B" w14:textId="77777777" w:rsidR="006E544D" w:rsidRPr="006E544D" w:rsidRDefault="006E544D" w:rsidP="0021426A">
      <w:pPr>
        <w:pStyle w:val="NormalIndent1"/>
        <w:jc w:val="left"/>
        <w:rPr>
          <w:lang w:val="en-US"/>
        </w:rPr>
      </w:pPr>
    </w:p>
    <w:p w14:paraId="34979A01" w14:textId="54176226" w:rsidR="006E544D" w:rsidRPr="006E544D" w:rsidRDefault="006E544D" w:rsidP="0021426A">
      <w:pPr>
        <w:pStyle w:val="NormalIndent1"/>
        <w:jc w:val="left"/>
        <w:rPr>
          <w:lang w:val="en-US"/>
        </w:rPr>
      </w:pPr>
      <w:r w:rsidRPr="006E544D">
        <w:rPr>
          <w:lang w:val="en-US"/>
        </w:rPr>
        <w:t xml:space="preserve">Etanercept is slowly absorbed from the site of subcutaneous (SC) injection, reaching maximum concentration between 24 and 96 hours after a single dose.  The absolute bioavailability is 76% as calculated in a population pharmacokinetic analysis of several studies.  With twice weekly doses, it is anticipated that steady-state concentrations may be two to five-fold greater than those observed after single doses.  After a single SC dose of 25 mg </w:t>
      </w:r>
      <w:r w:rsidR="00C36EA6">
        <w:rPr>
          <w:lang w:val="en-US"/>
        </w:rPr>
        <w:t>etanercept</w:t>
      </w:r>
      <w:r w:rsidRPr="006E544D">
        <w:rPr>
          <w:lang w:val="en-US"/>
        </w:rPr>
        <w:t xml:space="preserve">, the average maximum serum concentration observed in healthy volunteers was 1.65 </w:t>
      </w:r>
      <w:r w:rsidR="0043042E">
        <w:rPr>
          <w:rFonts w:cstheme="minorHAnsi"/>
          <w:lang w:val="en-US"/>
        </w:rPr>
        <w:t>±</w:t>
      </w:r>
      <w:r w:rsidRPr="006E544D">
        <w:rPr>
          <w:lang w:val="en-US"/>
        </w:rPr>
        <w:t xml:space="preserve"> 0.66 mg/L, and area under the curve was</w:t>
      </w:r>
      <w:r w:rsidR="0043042E">
        <w:rPr>
          <w:lang w:val="en-US"/>
        </w:rPr>
        <w:t xml:space="preserve"> </w:t>
      </w:r>
      <w:r w:rsidRPr="006E544D">
        <w:rPr>
          <w:lang w:val="en-US"/>
        </w:rPr>
        <w:t xml:space="preserve">235 </w:t>
      </w:r>
      <w:r w:rsidR="0043042E">
        <w:rPr>
          <w:rFonts w:cstheme="minorHAnsi"/>
          <w:lang w:val="en-US"/>
        </w:rPr>
        <w:t>±</w:t>
      </w:r>
      <w:r w:rsidR="0043042E" w:rsidRPr="006E544D">
        <w:rPr>
          <w:lang w:val="en-US"/>
        </w:rPr>
        <w:t xml:space="preserve"> </w:t>
      </w:r>
      <w:r w:rsidRPr="006E544D">
        <w:rPr>
          <w:lang w:val="en-US"/>
        </w:rPr>
        <w:t>96.6 mg.hr/L.  Dose proportionality has not been formally evaluated, but there is no apparent saturation of clearance across the dosing range.</w:t>
      </w:r>
    </w:p>
    <w:p w14:paraId="7773E9FF" w14:textId="77777777" w:rsidR="006E544D" w:rsidRPr="006E544D" w:rsidRDefault="006E544D" w:rsidP="0021426A">
      <w:pPr>
        <w:pStyle w:val="Heading3"/>
        <w:jc w:val="left"/>
        <w:rPr>
          <w:lang w:val="en-US"/>
        </w:rPr>
      </w:pPr>
      <w:r w:rsidRPr="006E544D">
        <w:rPr>
          <w:lang w:val="en-US"/>
        </w:rPr>
        <w:t>Distribution</w:t>
      </w:r>
    </w:p>
    <w:p w14:paraId="34E4C5A9" w14:textId="77777777" w:rsidR="006E544D" w:rsidRPr="006E544D" w:rsidRDefault="006E544D" w:rsidP="0021426A">
      <w:pPr>
        <w:pStyle w:val="NormalIndent1"/>
        <w:jc w:val="left"/>
        <w:rPr>
          <w:lang w:val="en-US"/>
        </w:rPr>
      </w:pPr>
    </w:p>
    <w:p w14:paraId="477FBF22" w14:textId="77777777" w:rsidR="006E544D" w:rsidRPr="006E544D" w:rsidRDefault="006E544D" w:rsidP="0021426A">
      <w:pPr>
        <w:pStyle w:val="NormalIndent1"/>
        <w:jc w:val="left"/>
        <w:rPr>
          <w:lang w:val="en-US"/>
        </w:rPr>
      </w:pPr>
      <w:r w:rsidRPr="006E544D">
        <w:rPr>
          <w:lang w:val="en-US"/>
        </w:rPr>
        <w:t>A bi-exponential curve is required to describe the concentration time curve of etanercept.  The central volume of distribution of etanercept is 7.6 L, while the volume of distribution at steady state is 10.4 L.</w:t>
      </w:r>
    </w:p>
    <w:p w14:paraId="0AD453EC" w14:textId="77777777" w:rsidR="006E544D" w:rsidRPr="006E544D" w:rsidRDefault="006E544D" w:rsidP="0021426A">
      <w:pPr>
        <w:pStyle w:val="NormalIndent1"/>
        <w:jc w:val="left"/>
        <w:rPr>
          <w:lang w:val="en-US"/>
        </w:rPr>
      </w:pPr>
    </w:p>
    <w:p w14:paraId="0EA42CAD" w14:textId="201D3741" w:rsidR="006E544D" w:rsidRPr="006E544D" w:rsidRDefault="006E544D" w:rsidP="0021426A">
      <w:pPr>
        <w:pStyle w:val="NormalIndent1"/>
        <w:jc w:val="left"/>
        <w:rPr>
          <w:lang w:val="en-US"/>
        </w:rPr>
      </w:pPr>
      <w:r w:rsidRPr="006E544D">
        <w:rPr>
          <w:lang w:val="en-US"/>
        </w:rPr>
        <w:t xml:space="preserve">After continued dosing of RA patients (n = 25) with </w:t>
      </w:r>
      <w:r w:rsidR="00C36EA6">
        <w:rPr>
          <w:lang w:val="en-US"/>
        </w:rPr>
        <w:t>etanercept</w:t>
      </w:r>
      <w:r w:rsidRPr="006E544D">
        <w:rPr>
          <w:lang w:val="en-US"/>
        </w:rPr>
        <w:t xml:space="preserve"> for 6 months with 25 mg twice weekly, the median observed level was 3.0 mg/L (range 1.7 to 5.6 mg/L).</w:t>
      </w:r>
    </w:p>
    <w:p w14:paraId="4B529534" w14:textId="77777777" w:rsidR="006E544D" w:rsidRPr="006E544D" w:rsidRDefault="006E544D" w:rsidP="0021426A">
      <w:pPr>
        <w:pStyle w:val="NormalIndent1"/>
        <w:jc w:val="left"/>
        <w:rPr>
          <w:lang w:val="en-US"/>
        </w:rPr>
      </w:pPr>
    </w:p>
    <w:p w14:paraId="3A32DA1C" w14:textId="77777777" w:rsidR="006E544D" w:rsidRPr="006E544D" w:rsidRDefault="006E544D" w:rsidP="0021426A">
      <w:pPr>
        <w:pStyle w:val="Heading3"/>
        <w:jc w:val="left"/>
        <w:rPr>
          <w:lang w:val="en-US"/>
        </w:rPr>
      </w:pPr>
      <w:r w:rsidRPr="006E544D">
        <w:rPr>
          <w:lang w:val="en-US"/>
        </w:rPr>
        <w:t>Excretion</w:t>
      </w:r>
    </w:p>
    <w:p w14:paraId="4BE6456E" w14:textId="77777777" w:rsidR="006E544D" w:rsidRPr="006E544D" w:rsidRDefault="006E544D" w:rsidP="0021426A">
      <w:pPr>
        <w:pStyle w:val="NormalIndent1"/>
        <w:jc w:val="left"/>
        <w:rPr>
          <w:lang w:val="en-US"/>
        </w:rPr>
      </w:pPr>
    </w:p>
    <w:p w14:paraId="5C025DF5" w14:textId="77777777" w:rsidR="006E544D" w:rsidRPr="006E544D" w:rsidRDefault="006E544D" w:rsidP="0021426A">
      <w:pPr>
        <w:pStyle w:val="NormalIndent1"/>
        <w:jc w:val="left"/>
        <w:rPr>
          <w:lang w:val="en-US"/>
        </w:rPr>
      </w:pPr>
      <w:r w:rsidRPr="006E544D">
        <w:rPr>
          <w:lang w:val="en-US"/>
        </w:rPr>
        <w:t>Etanercept is cleared slowly from the body.  The half-life is approximately 80 hours.  Clearance is approximately 0.066 L/</w:t>
      </w:r>
      <w:proofErr w:type="spellStart"/>
      <w:r w:rsidRPr="006E544D">
        <w:rPr>
          <w:lang w:val="en-US"/>
        </w:rPr>
        <w:t>hr</w:t>
      </w:r>
      <w:proofErr w:type="spellEnd"/>
      <w:r w:rsidRPr="006E544D">
        <w:rPr>
          <w:lang w:val="en-US"/>
        </w:rPr>
        <w:t xml:space="preserve"> in patients with RA, somewhat lower than the value of 0.11 L/</w:t>
      </w:r>
      <w:proofErr w:type="spellStart"/>
      <w:r w:rsidRPr="006E544D">
        <w:rPr>
          <w:lang w:val="en-US"/>
        </w:rPr>
        <w:t>hr</w:t>
      </w:r>
      <w:proofErr w:type="spellEnd"/>
      <w:r w:rsidRPr="006E544D">
        <w:rPr>
          <w:lang w:val="en-US"/>
        </w:rPr>
        <w:t xml:space="preserve"> observed in healthy volunteers.  Additionally, the pharmacokinetics of etanercept in rheumatoid arthritis patients, plaque psoriasis and ankylosing spondylitis patients are similar.</w:t>
      </w:r>
    </w:p>
    <w:p w14:paraId="61DB6767" w14:textId="77777777" w:rsidR="006E544D" w:rsidRPr="006E544D" w:rsidRDefault="006E544D" w:rsidP="0021426A">
      <w:pPr>
        <w:pStyle w:val="NormalIndent1"/>
        <w:jc w:val="left"/>
        <w:rPr>
          <w:lang w:val="en-US"/>
        </w:rPr>
      </w:pPr>
    </w:p>
    <w:p w14:paraId="391ACDBC" w14:textId="26C69BAF" w:rsidR="005D690B" w:rsidRDefault="006E544D" w:rsidP="0021426A">
      <w:pPr>
        <w:pStyle w:val="NormalIndent1"/>
        <w:jc w:val="left"/>
        <w:rPr>
          <w:lang w:val="en-US"/>
        </w:rPr>
      </w:pPr>
      <w:r w:rsidRPr="006E544D">
        <w:rPr>
          <w:lang w:val="en-US"/>
        </w:rPr>
        <w:t>Serum concentration profiles at steady state were comparable among patients with RA treated with</w:t>
      </w:r>
      <w:r w:rsidR="0043042E">
        <w:rPr>
          <w:lang w:val="en-US"/>
        </w:rPr>
        <w:t xml:space="preserve"> </w:t>
      </w:r>
      <w:r w:rsidRPr="006E544D">
        <w:rPr>
          <w:lang w:val="en-US"/>
        </w:rPr>
        <w:t xml:space="preserve">50 mg </w:t>
      </w:r>
      <w:r w:rsidR="00C36EA6">
        <w:rPr>
          <w:lang w:val="en-US"/>
        </w:rPr>
        <w:t>etanercept</w:t>
      </w:r>
      <w:r w:rsidRPr="006E544D">
        <w:rPr>
          <w:lang w:val="en-US"/>
        </w:rPr>
        <w:t xml:space="preserve"> powder for injection once weekly and those treated with 25 mg </w:t>
      </w:r>
      <w:r w:rsidR="00C36EA6">
        <w:rPr>
          <w:lang w:val="en-US"/>
        </w:rPr>
        <w:t>etanercept</w:t>
      </w:r>
      <w:r w:rsidRPr="006E544D">
        <w:rPr>
          <w:lang w:val="en-US"/>
        </w:rPr>
        <w:t xml:space="preserve"> powder for injection twice weekly.  A single 50 mg/mL injection of </w:t>
      </w:r>
      <w:r w:rsidR="00C36EA6">
        <w:rPr>
          <w:lang w:val="en-US"/>
        </w:rPr>
        <w:t>etanercept</w:t>
      </w:r>
      <w:r w:rsidRPr="006E544D">
        <w:rPr>
          <w:lang w:val="en-US"/>
        </w:rPr>
        <w:t xml:space="preserve"> was also found to be bioequivalent to two simultaneous injections of 25 mg/mL.  The mean (± standard deviation) </w:t>
      </w:r>
      <w:proofErr w:type="spellStart"/>
      <w:r w:rsidRPr="006E544D">
        <w:rPr>
          <w:lang w:val="en-US"/>
        </w:rPr>
        <w:t>C</w:t>
      </w:r>
      <w:r w:rsidRPr="0043042E">
        <w:rPr>
          <w:vertAlign w:val="subscript"/>
          <w:lang w:val="en-US"/>
        </w:rPr>
        <w:t>max</w:t>
      </w:r>
      <w:proofErr w:type="spellEnd"/>
      <w:r w:rsidRPr="006E544D">
        <w:rPr>
          <w:lang w:val="en-US"/>
        </w:rPr>
        <w:t xml:space="preserve">, </w:t>
      </w:r>
      <w:proofErr w:type="spellStart"/>
      <w:r w:rsidRPr="006E544D">
        <w:rPr>
          <w:lang w:val="en-US"/>
        </w:rPr>
        <w:t>C</w:t>
      </w:r>
      <w:r w:rsidRPr="0043042E">
        <w:rPr>
          <w:vertAlign w:val="subscript"/>
          <w:lang w:val="en-US"/>
        </w:rPr>
        <w:t>min</w:t>
      </w:r>
      <w:proofErr w:type="spellEnd"/>
      <w:r w:rsidRPr="006E544D">
        <w:rPr>
          <w:lang w:val="en-US"/>
        </w:rPr>
        <w:t xml:space="preserve"> and partial AUC were 2.4 ± 1.5 mg/L, 1.2 ± 0.7 mg/L and 297 ± 166 </w:t>
      </w:r>
      <w:proofErr w:type="spellStart"/>
      <w:r w:rsidRPr="006E544D">
        <w:rPr>
          <w:lang w:val="en-US"/>
        </w:rPr>
        <w:t>mg.h</w:t>
      </w:r>
      <w:proofErr w:type="spellEnd"/>
      <w:r w:rsidRPr="006E544D">
        <w:rPr>
          <w:lang w:val="en-US"/>
        </w:rPr>
        <w:t>/L, respectively, for</w:t>
      </w:r>
      <w:r w:rsidR="0043042E">
        <w:rPr>
          <w:lang w:val="en-US"/>
        </w:rPr>
        <w:t xml:space="preserve"> </w:t>
      </w:r>
      <w:r w:rsidR="0043042E" w:rsidRPr="0043042E">
        <w:rPr>
          <w:lang w:val="en-US"/>
        </w:rPr>
        <w:t xml:space="preserve">patients treated with 50 mg </w:t>
      </w:r>
      <w:r w:rsidR="00C36EA6">
        <w:rPr>
          <w:lang w:val="en-US"/>
        </w:rPr>
        <w:t>etanercept</w:t>
      </w:r>
      <w:r w:rsidR="0043042E" w:rsidRPr="0043042E">
        <w:rPr>
          <w:lang w:val="en-US"/>
        </w:rPr>
        <w:t xml:space="preserve"> once weekly (n = 21); and 2.6 ± 1.2 mg/L, 1.4 ± 0.7 mg/L and</w:t>
      </w:r>
      <w:r w:rsidR="0043042E">
        <w:rPr>
          <w:lang w:val="en-US"/>
        </w:rPr>
        <w:t xml:space="preserve"> </w:t>
      </w:r>
      <w:r w:rsidR="0043042E" w:rsidRPr="0043042E">
        <w:rPr>
          <w:lang w:val="en-US"/>
        </w:rPr>
        <w:t xml:space="preserve">316 ± 135 </w:t>
      </w:r>
      <w:proofErr w:type="spellStart"/>
      <w:r w:rsidR="0043042E" w:rsidRPr="0043042E">
        <w:rPr>
          <w:lang w:val="en-US"/>
        </w:rPr>
        <w:t>mg.h</w:t>
      </w:r>
      <w:proofErr w:type="spellEnd"/>
      <w:r w:rsidR="0043042E" w:rsidRPr="0043042E">
        <w:rPr>
          <w:lang w:val="en-US"/>
        </w:rPr>
        <w:t xml:space="preserve">/L for patients treated with 25 mg </w:t>
      </w:r>
      <w:r w:rsidR="00C36EA6">
        <w:rPr>
          <w:lang w:val="en-US"/>
        </w:rPr>
        <w:t>etanercept</w:t>
      </w:r>
      <w:r w:rsidR="0043042E" w:rsidRPr="0043042E">
        <w:rPr>
          <w:lang w:val="en-US"/>
        </w:rPr>
        <w:t xml:space="preserve"> twice weekly (n = 16).  Serum concentrations in patients with RA have not been measured for periods of dosing that exceed</w:t>
      </w:r>
      <w:r w:rsidR="0043042E">
        <w:rPr>
          <w:lang w:val="en-US"/>
        </w:rPr>
        <w:t xml:space="preserve"> </w:t>
      </w:r>
      <w:r w:rsidR="0043042E" w:rsidRPr="0043042E">
        <w:rPr>
          <w:lang w:val="en-US"/>
        </w:rPr>
        <w:t xml:space="preserve">6 months.  In an open-label, single-dose, two treatment crossover study in healthy volunteers, etanercept administered as a single injection of </w:t>
      </w:r>
      <w:r w:rsidR="00C36EA6">
        <w:rPr>
          <w:lang w:val="en-US"/>
        </w:rPr>
        <w:t>etanercept</w:t>
      </w:r>
      <w:r w:rsidR="0043042E" w:rsidRPr="0043042E">
        <w:rPr>
          <w:lang w:val="en-US"/>
        </w:rPr>
        <w:t xml:space="preserve"> 50 mg solution for injection was found to be bioequivalent to two simultaneous injections of </w:t>
      </w:r>
      <w:r w:rsidR="00C36EA6">
        <w:rPr>
          <w:lang w:val="en-US"/>
        </w:rPr>
        <w:t>etanercept</w:t>
      </w:r>
      <w:r w:rsidR="0043042E" w:rsidRPr="0043042E">
        <w:rPr>
          <w:lang w:val="en-US"/>
        </w:rPr>
        <w:t xml:space="preserve"> 25 mg powder for injection.  The mean (± standard deviation) C</w:t>
      </w:r>
      <w:r w:rsidR="0043042E" w:rsidRPr="0043042E">
        <w:rPr>
          <w:vertAlign w:val="subscript"/>
          <w:lang w:val="en-US"/>
        </w:rPr>
        <w:t>max</w:t>
      </w:r>
      <w:r w:rsidR="0043042E" w:rsidRPr="0043042E">
        <w:rPr>
          <w:lang w:val="en-US"/>
        </w:rPr>
        <w:t xml:space="preserve"> and AUC(</w:t>
      </w:r>
      <w:r w:rsidR="000F6F40" w:rsidRPr="0043042E">
        <w:rPr>
          <w:b/>
          <w:vertAlign w:val="subscript"/>
        </w:rPr>
        <w:t>0-t</w:t>
      </w:r>
      <w:r w:rsidR="0043042E" w:rsidRPr="0043042E">
        <w:rPr>
          <w:lang w:val="en-US"/>
        </w:rPr>
        <w:t>) are expressed in the table below</w:t>
      </w:r>
      <w:r w:rsidR="0043042E">
        <w:rPr>
          <w:lang w:val="en-US"/>
        </w:rPr>
        <w:t>.</w:t>
      </w:r>
    </w:p>
    <w:p w14:paraId="54536DAD" w14:textId="77777777" w:rsidR="0043042E" w:rsidRDefault="0043042E" w:rsidP="0021426A">
      <w:pPr>
        <w:pStyle w:val="NormalIndent1"/>
        <w:jc w:val="left"/>
      </w:pPr>
    </w:p>
    <w:p w14:paraId="1FA37186" w14:textId="77777777" w:rsidR="0030673C" w:rsidRPr="0030673C" w:rsidRDefault="0030673C" w:rsidP="0021426A">
      <w:pPr>
        <w:pStyle w:val="NormalIndent1"/>
        <w:jc w:val="left"/>
        <w:rPr>
          <w:b/>
        </w:rPr>
      </w:pPr>
      <w:r w:rsidRPr="0030673C">
        <w:rPr>
          <w:b/>
        </w:rPr>
        <w:t>Table 17. Summary of Pharmacokinetic Parameters after a Single Dose of Etanercept 50 mg Solution and Two Simultaneous Injections of Etanercept 25 mg Powder</w:t>
      </w:r>
    </w:p>
    <w:p w14:paraId="5C46D5D4" w14:textId="77777777" w:rsidR="0030673C" w:rsidRDefault="0030673C" w:rsidP="0021426A">
      <w:pPr>
        <w:pStyle w:val="NormalIndent1"/>
        <w:jc w:val="left"/>
      </w:pPr>
    </w:p>
    <w:tbl>
      <w:tblPr>
        <w:tblStyle w:val="TableGrid"/>
        <w:tblW w:w="0" w:type="auto"/>
        <w:tblInd w:w="425" w:type="dxa"/>
        <w:tblLook w:val="04A0" w:firstRow="1" w:lastRow="0" w:firstColumn="1" w:lastColumn="0" w:noHBand="0" w:noVBand="1"/>
      </w:tblPr>
      <w:tblGrid>
        <w:gridCol w:w="4096"/>
        <w:gridCol w:w="2331"/>
        <w:gridCol w:w="2756"/>
      </w:tblGrid>
      <w:tr w:rsidR="0043042E" w:rsidRPr="00B929B6" w14:paraId="2A92FEAD" w14:textId="77777777" w:rsidTr="00B2426F">
        <w:trPr>
          <w:tblHeader/>
        </w:trPr>
        <w:tc>
          <w:tcPr>
            <w:tcW w:w="4096" w:type="dxa"/>
            <w:tcBorders>
              <w:top w:val="single" w:sz="12" w:space="0" w:color="auto"/>
              <w:left w:val="single" w:sz="12" w:space="0" w:color="auto"/>
              <w:bottom w:val="single" w:sz="12" w:space="0" w:color="auto"/>
              <w:right w:val="single" w:sz="12" w:space="0" w:color="auto"/>
            </w:tcBorders>
            <w:vAlign w:val="center"/>
          </w:tcPr>
          <w:p w14:paraId="2486100B" w14:textId="77777777" w:rsidR="0043042E" w:rsidRPr="00B929B6" w:rsidRDefault="0043042E" w:rsidP="0021426A">
            <w:pPr>
              <w:pStyle w:val="NormalIndent1"/>
              <w:ind w:left="0"/>
              <w:jc w:val="left"/>
              <w:rPr>
                <w:b/>
              </w:rPr>
            </w:pPr>
          </w:p>
        </w:tc>
        <w:tc>
          <w:tcPr>
            <w:tcW w:w="2331" w:type="dxa"/>
            <w:tcBorders>
              <w:top w:val="single" w:sz="12" w:space="0" w:color="auto"/>
              <w:left w:val="single" w:sz="12" w:space="0" w:color="auto"/>
              <w:bottom w:val="single" w:sz="12" w:space="0" w:color="auto"/>
              <w:right w:val="single" w:sz="12" w:space="0" w:color="auto"/>
            </w:tcBorders>
            <w:vAlign w:val="center"/>
          </w:tcPr>
          <w:p w14:paraId="46222A4C" w14:textId="2C4F61F7" w:rsidR="0043042E" w:rsidRPr="00B929B6" w:rsidRDefault="0043042E" w:rsidP="0021426A">
            <w:pPr>
              <w:pStyle w:val="NormalIndent1"/>
              <w:ind w:left="0"/>
              <w:jc w:val="left"/>
              <w:rPr>
                <w:b/>
              </w:rPr>
            </w:pPr>
            <w:r>
              <w:rPr>
                <w:b/>
              </w:rPr>
              <w:t>AUC</w:t>
            </w:r>
            <w:r w:rsidR="000F6F40">
              <w:rPr>
                <w:b/>
              </w:rPr>
              <w:t>(</w:t>
            </w:r>
            <w:r w:rsidRPr="0043042E">
              <w:rPr>
                <w:b/>
                <w:vertAlign w:val="subscript"/>
              </w:rPr>
              <w:t>0-t</w:t>
            </w:r>
            <w:r w:rsidR="000F6F40">
              <w:rPr>
                <w:b/>
              </w:rPr>
              <w:t xml:space="preserve">) </w:t>
            </w:r>
            <w:r>
              <w:rPr>
                <w:b/>
              </w:rPr>
              <w:t>(</w:t>
            </w:r>
            <w:proofErr w:type="spellStart"/>
            <w:r>
              <w:rPr>
                <w:b/>
              </w:rPr>
              <w:t>mg.h</w:t>
            </w:r>
            <w:proofErr w:type="spellEnd"/>
            <w:r>
              <w:rPr>
                <w:b/>
              </w:rPr>
              <w:t>/L)</w:t>
            </w:r>
          </w:p>
        </w:tc>
        <w:tc>
          <w:tcPr>
            <w:tcW w:w="2756" w:type="dxa"/>
            <w:tcBorders>
              <w:top w:val="single" w:sz="12" w:space="0" w:color="auto"/>
              <w:left w:val="single" w:sz="12" w:space="0" w:color="auto"/>
              <w:bottom w:val="single" w:sz="12" w:space="0" w:color="auto"/>
              <w:right w:val="single" w:sz="12" w:space="0" w:color="auto"/>
            </w:tcBorders>
            <w:vAlign w:val="center"/>
          </w:tcPr>
          <w:p w14:paraId="27BD7735" w14:textId="77777777" w:rsidR="0043042E" w:rsidRPr="00B929B6" w:rsidRDefault="0043042E" w:rsidP="0021426A">
            <w:pPr>
              <w:pStyle w:val="NormalIndent1"/>
              <w:ind w:left="0"/>
              <w:jc w:val="left"/>
              <w:rPr>
                <w:b/>
              </w:rPr>
            </w:pPr>
            <w:r>
              <w:rPr>
                <w:b/>
              </w:rPr>
              <w:t>C</w:t>
            </w:r>
            <w:r w:rsidRPr="0043042E">
              <w:rPr>
                <w:b/>
                <w:vertAlign w:val="subscript"/>
              </w:rPr>
              <w:t>max</w:t>
            </w:r>
            <w:r>
              <w:rPr>
                <w:b/>
              </w:rPr>
              <w:t xml:space="preserve"> (mg/L)</w:t>
            </w:r>
          </w:p>
        </w:tc>
      </w:tr>
      <w:tr w:rsidR="0043042E" w14:paraId="089CA6C4" w14:textId="77777777" w:rsidTr="004918EA">
        <w:tc>
          <w:tcPr>
            <w:tcW w:w="4096" w:type="dxa"/>
          </w:tcPr>
          <w:p w14:paraId="64410531" w14:textId="77777777" w:rsidR="0043042E" w:rsidRDefault="0043042E" w:rsidP="0021426A">
            <w:pPr>
              <w:pStyle w:val="NormalIndent1"/>
              <w:spacing w:before="40" w:after="40"/>
              <w:ind w:left="0"/>
              <w:jc w:val="left"/>
            </w:pPr>
            <w:r>
              <w:t xml:space="preserve">1 x 50 mg </w:t>
            </w:r>
            <w:r w:rsidR="004918EA">
              <w:t xml:space="preserve">etanercept </w:t>
            </w:r>
            <w:r>
              <w:t>solution SC (n = 33)</w:t>
            </w:r>
          </w:p>
        </w:tc>
        <w:tc>
          <w:tcPr>
            <w:tcW w:w="2331" w:type="dxa"/>
            <w:vAlign w:val="center"/>
          </w:tcPr>
          <w:p w14:paraId="2D711A8B" w14:textId="77777777" w:rsidR="0043042E" w:rsidRDefault="0043042E" w:rsidP="0021426A">
            <w:pPr>
              <w:pStyle w:val="NormalIndent1"/>
              <w:spacing w:before="40" w:after="40"/>
              <w:ind w:left="0"/>
              <w:jc w:val="left"/>
            </w:pPr>
            <w:r>
              <w:t xml:space="preserve">535 </w:t>
            </w:r>
            <w:r w:rsidRPr="006E544D">
              <w:rPr>
                <w:lang w:val="en-US"/>
              </w:rPr>
              <w:t>±</w:t>
            </w:r>
            <w:r>
              <w:rPr>
                <w:lang w:val="en-US"/>
              </w:rPr>
              <w:t xml:space="preserve"> 192</w:t>
            </w:r>
          </w:p>
        </w:tc>
        <w:tc>
          <w:tcPr>
            <w:tcW w:w="2756" w:type="dxa"/>
            <w:vAlign w:val="center"/>
          </w:tcPr>
          <w:p w14:paraId="671415FE" w14:textId="77777777" w:rsidR="0043042E" w:rsidRDefault="0043042E" w:rsidP="0021426A">
            <w:pPr>
              <w:pStyle w:val="NormalIndent1"/>
              <w:spacing w:before="40" w:after="40"/>
              <w:ind w:left="0"/>
              <w:jc w:val="left"/>
            </w:pPr>
            <w:r>
              <w:t xml:space="preserve">3.90 </w:t>
            </w:r>
            <w:r w:rsidRPr="006E544D">
              <w:rPr>
                <w:lang w:val="en-US"/>
              </w:rPr>
              <w:t>±</w:t>
            </w:r>
            <w:r>
              <w:rPr>
                <w:lang w:val="en-US"/>
              </w:rPr>
              <w:t xml:space="preserve"> 1.49</w:t>
            </w:r>
          </w:p>
        </w:tc>
      </w:tr>
      <w:tr w:rsidR="0043042E" w14:paraId="5C16BB59" w14:textId="77777777" w:rsidTr="004918EA">
        <w:tc>
          <w:tcPr>
            <w:tcW w:w="4096" w:type="dxa"/>
          </w:tcPr>
          <w:p w14:paraId="7CB6597B" w14:textId="77777777" w:rsidR="0043042E" w:rsidRDefault="0043042E" w:rsidP="0021426A">
            <w:pPr>
              <w:pStyle w:val="NormalIndent1"/>
              <w:spacing w:before="40" w:after="40"/>
              <w:ind w:left="0"/>
              <w:jc w:val="left"/>
            </w:pPr>
            <w:r>
              <w:t>2 x 25 mg</w:t>
            </w:r>
            <w:r w:rsidR="004918EA">
              <w:t xml:space="preserve"> etanercept</w:t>
            </w:r>
            <w:r>
              <w:t xml:space="preserve"> powder SC (n = 33)</w:t>
            </w:r>
          </w:p>
        </w:tc>
        <w:tc>
          <w:tcPr>
            <w:tcW w:w="2331" w:type="dxa"/>
            <w:vAlign w:val="center"/>
          </w:tcPr>
          <w:p w14:paraId="7A93D14B" w14:textId="77777777" w:rsidR="0043042E" w:rsidRDefault="0043042E" w:rsidP="0021426A">
            <w:pPr>
              <w:pStyle w:val="NormalIndent1"/>
              <w:spacing w:before="40" w:after="40"/>
              <w:ind w:left="0"/>
              <w:jc w:val="left"/>
            </w:pPr>
            <w:r>
              <w:t xml:space="preserve">590 </w:t>
            </w:r>
            <w:r w:rsidRPr="006E544D">
              <w:rPr>
                <w:lang w:val="en-US"/>
              </w:rPr>
              <w:t>±</w:t>
            </w:r>
            <w:r>
              <w:rPr>
                <w:lang w:val="en-US"/>
              </w:rPr>
              <w:t xml:space="preserve"> 208</w:t>
            </w:r>
          </w:p>
        </w:tc>
        <w:tc>
          <w:tcPr>
            <w:tcW w:w="2756" w:type="dxa"/>
            <w:vAlign w:val="center"/>
          </w:tcPr>
          <w:p w14:paraId="13D13624" w14:textId="77777777" w:rsidR="0043042E" w:rsidRDefault="0043042E" w:rsidP="0021426A">
            <w:pPr>
              <w:pStyle w:val="NormalIndent1"/>
              <w:spacing w:before="40" w:after="40"/>
              <w:ind w:left="0"/>
              <w:jc w:val="left"/>
            </w:pPr>
            <w:r>
              <w:t xml:space="preserve">4.09 </w:t>
            </w:r>
            <w:r w:rsidRPr="006E544D">
              <w:rPr>
                <w:lang w:val="en-US"/>
              </w:rPr>
              <w:t>±</w:t>
            </w:r>
            <w:r>
              <w:rPr>
                <w:lang w:val="en-US"/>
              </w:rPr>
              <w:t xml:space="preserve"> 1.65</w:t>
            </w:r>
          </w:p>
        </w:tc>
      </w:tr>
      <w:tr w:rsidR="0043042E" w14:paraId="034B3231" w14:textId="77777777" w:rsidTr="004918EA">
        <w:tc>
          <w:tcPr>
            <w:tcW w:w="4096" w:type="dxa"/>
          </w:tcPr>
          <w:p w14:paraId="6F1E2EFA" w14:textId="77777777" w:rsidR="0043042E" w:rsidRDefault="0043042E" w:rsidP="0021426A">
            <w:pPr>
              <w:pStyle w:val="NormalIndent1"/>
              <w:spacing w:before="40" w:after="40"/>
              <w:ind w:left="0"/>
              <w:jc w:val="left"/>
            </w:pPr>
            <w:r>
              <w:t>Point Estimate (%) 90% CI</w:t>
            </w:r>
          </w:p>
        </w:tc>
        <w:tc>
          <w:tcPr>
            <w:tcW w:w="2331" w:type="dxa"/>
            <w:vAlign w:val="center"/>
          </w:tcPr>
          <w:p w14:paraId="73FD315E" w14:textId="77777777" w:rsidR="0043042E" w:rsidRDefault="0043042E" w:rsidP="0021426A">
            <w:pPr>
              <w:pStyle w:val="NormalIndent1"/>
              <w:spacing w:before="40" w:after="40"/>
              <w:ind w:left="0"/>
              <w:jc w:val="left"/>
            </w:pPr>
            <w:r>
              <w:t>91.3 (80.9, 103.1)</w:t>
            </w:r>
          </w:p>
        </w:tc>
        <w:tc>
          <w:tcPr>
            <w:tcW w:w="2756" w:type="dxa"/>
            <w:vAlign w:val="center"/>
          </w:tcPr>
          <w:p w14:paraId="535BC96D" w14:textId="77777777" w:rsidR="0043042E" w:rsidRDefault="0043042E" w:rsidP="0021426A">
            <w:pPr>
              <w:pStyle w:val="NormalIndent1"/>
              <w:spacing w:before="40" w:after="40"/>
              <w:ind w:left="0"/>
              <w:jc w:val="left"/>
            </w:pPr>
            <w:r>
              <w:t>96.8 (84.1, 111.3)</w:t>
            </w:r>
          </w:p>
        </w:tc>
      </w:tr>
    </w:tbl>
    <w:p w14:paraId="76D1423C" w14:textId="77777777" w:rsidR="0043042E" w:rsidRDefault="0043042E" w:rsidP="0021426A">
      <w:pPr>
        <w:pStyle w:val="NormalIndent1"/>
        <w:jc w:val="left"/>
      </w:pPr>
    </w:p>
    <w:p w14:paraId="54E70018" w14:textId="77777777" w:rsidR="0043042E" w:rsidRPr="0043042E" w:rsidRDefault="0043042E" w:rsidP="0021426A">
      <w:pPr>
        <w:pStyle w:val="NormalIndent1"/>
        <w:jc w:val="left"/>
        <w:rPr>
          <w:lang w:val="en-US"/>
        </w:rPr>
      </w:pPr>
      <w:r w:rsidRPr="0043042E">
        <w:rPr>
          <w:lang w:val="en-US"/>
        </w:rPr>
        <w:t xml:space="preserve">Although there is elimination of radioactivity in urine after administration of </w:t>
      </w:r>
      <w:proofErr w:type="spellStart"/>
      <w:r w:rsidRPr="0043042E">
        <w:rPr>
          <w:lang w:val="en-US"/>
        </w:rPr>
        <w:t>radiolabelled</w:t>
      </w:r>
      <w:proofErr w:type="spellEnd"/>
      <w:r w:rsidRPr="0043042E">
        <w:rPr>
          <w:lang w:val="en-US"/>
        </w:rPr>
        <w:t xml:space="preserve"> </w:t>
      </w:r>
      <w:proofErr w:type="spellStart"/>
      <w:r w:rsidRPr="0043042E">
        <w:rPr>
          <w:lang w:val="en-US"/>
        </w:rPr>
        <w:t>etanercept</w:t>
      </w:r>
      <w:proofErr w:type="spellEnd"/>
      <w:r w:rsidRPr="0043042E">
        <w:rPr>
          <w:lang w:val="en-US"/>
        </w:rPr>
        <w:t xml:space="preserve"> to patients and volunteers, increased etanercept concentrations were not observed in patients with acute renal or hepatic failure.  The presence of renal and hepatic impairment should not require a change in dosage.  There is no apparent pharmacokinetic difference between men and women.</w:t>
      </w:r>
    </w:p>
    <w:p w14:paraId="3CFB72B5" w14:textId="77777777" w:rsidR="0043042E" w:rsidRPr="0043042E" w:rsidRDefault="0043042E" w:rsidP="0021426A">
      <w:pPr>
        <w:pStyle w:val="NormalIndent1"/>
        <w:jc w:val="left"/>
        <w:rPr>
          <w:lang w:val="en-US"/>
        </w:rPr>
      </w:pPr>
    </w:p>
    <w:p w14:paraId="156C695E" w14:textId="7C6E0EF4" w:rsidR="0043042E" w:rsidRPr="0043042E" w:rsidRDefault="0043042E" w:rsidP="0021426A">
      <w:pPr>
        <w:pStyle w:val="NormalIndent1"/>
        <w:jc w:val="left"/>
        <w:rPr>
          <w:lang w:val="en-US"/>
        </w:rPr>
      </w:pPr>
      <w:r w:rsidRPr="0043042E">
        <w:rPr>
          <w:lang w:val="en-US"/>
        </w:rPr>
        <w:t xml:space="preserve">No formal pharmacokinetic studies have been conducted to examine the metabolism of etanercept or the effects of renal or hepatic impairment.  Methotrexate has no effect on the pharmacokinetics of etanercept.  The effect of </w:t>
      </w:r>
      <w:r w:rsidR="00C36EA6">
        <w:rPr>
          <w:lang w:val="en-US"/>
        </w:rPr>
        <w:t>etanercept</w:t>
      </w:r>
      <w:r w:rsidRPr="0043042E">
        <w:rPr>
          <w:lang w:val="en-US"/>
        </w:rPr>
        <w:t xml:space="preserve"> on the human pharmacokinetics of methotrexate has not been investigated.</w:t>
      </w:r>
    </w:p>
    <w:p w14:paraId="7B12E5EE" w14:textId="77777777" w:rsidR="0043042E" w:rsidRPr="0043042E" w:rsidRDefault="0043042E" w:rsidP="0021426A">
      <w:pPr>
        <w:pStyle w:val="NormalIndent1"/>
        <w:jc w:val="left"/>
        <w:rPr>
          <w:lang w:val="en-US"/>
        </w:rPr>
      </w:pPr>
    </w:p>
    <w:p w14:paraId="1F0BD0CD" w14:textId="3A311688" w:rsidR="0043042E" w:rsidRPr="0043042E" w:rsidRDefault="0043042E" w:rsidP="0021426A">
      <w:pPr>
        <w:pStyle w:val="NormalIndent1"/>
        <w:jc w:val="left"/>
        <w:rPr>
          <w:lang w:val="en-US"/>
        </w:rPr>
      </w:pPr>
      <w:r w:rsidRPr="0043042E">
        <w:rPr>
          <w:lang w:val="en-US"/>
        </w:rPr>
        <w:t xml:space="preserve">The data described above were derived from studies using </w:t>
      </w:r>
      <w:r w:rsidR="00C36EA6">
        <w:rPr>
          <w:lang w:val="en-US"/>
        </w:rPr>
        <w:t>etanercept</w:t>
      </w:r>
      <w:r w:rsidRPr="0043042E">
        <w:rPr>
          <w:lang w:val="en-US"/>
        </w:rPr>
        <w:t xml:space="preserve"> manufactured using a serum- based process.</w:t>
      </w:r>
    </w:p>
    <w:p w14:paraId="374A4CF2" w14:textId="77777777" w:rsidR="0043042E" w:rsidRPr="0043042E" w:rsidRDefault="0043042E" w:rsidP="0021426A">
      <w:pPr>
        <w:pStyle w:val="Heading3"/>
        <w:jc w:val="left"/>
        <w:rPr>
          <w:lang w:val="en-US"/>
        </w:rPr>
      </w:pPr>
      <w:r w:rsidRPr="0043042E">
        <w:rPr>
          <w:lang w:val="en-US"/>
        </w:rPr>
        <w:t>Special Populations</w:t>
      </w:r>
    </w:p>
    <w:p w14:paraId="3876BC4D" w14:textId="77777777" w:rsidR="0043042E" w:rsidRPr="0043042E" w:rsidRDefault="0043042E" w:rsidP="0021426A">
      <w:pPr>
        <w:pStyle w:val="NormalIndent1"/>
        <w:jc w:val="left"/>
        <w:rPr>
          <w:lang w:val="en-US"/>
        </w:rPr>
      </w:pPr>
    </w:p>
    <w:p w14:paraId="3E22AE63" w14:textId="77777777" w:rsidR="0043042E" w:rsidRPr="0043042E" w:rsidRDefault="0043042E" w:rsidP="0021426A">
      <w:pPr>
        <w:pStyle w:val="Heading4"/>
        <w:jc w:val="left"/>
        <w:rPr>
          <w:lang w:val="en-US"/>
        </w:rPr>
      </w:pPr>
      <w:r w:rsidRPr="0043042E">
        <w:rPr>
          <w:lang w:val="en-US"/>
        </w:rPr>
        <w:t>Elderly (&gt;</w:t>
      </w:r>
      <w:r w:rsidR="00B20D25">
        <w:rPr>
          <w:lang w:val="en-US"/>
        </w:rPr>
        <w:t xml:space="preserve"> </w:t>
      </w:r>
      <w:r w:rsidRPr="0043042E">
        <w:rPr>
          <w:lang w:val="en-US"/>
        </w:rPr>
        <w:t>65 years)</w:t>
      </w:r>
    </w:p>
    <w:p w14:paraId="5388F2B1" w14:textId="77777777" w:rsidR="0043042E" w:rsidRPr="0043042E" w:rsidRDefault="0043042E" w:rsidP="0021426A">
      <w:pPr>
        <w:pStyle w:val="NormalIndent1"/>
        <w:jc w:val="left"/>
        <w:rPr>
          <w:lang w:val="en-US"/>
        </w:rPr>
      </w:pPr>
    </w:p>
    <w:p w14:paraId="47D34B43" w14:textId="083A20E6" w:rsidR="0043042E" w:rsidRDefault="0043042E" w:rsidP="0021426A">
      <w:pPr>
        <w:pStyle w:val="NormalIndent1"/>
        <w:jc w:val="left"/>
        <w:rPr>
          <w:lang w:val="en-US"/>
        </w:rPr>
      </w:pPr>
      <w:r w:rsidRPr="0043042E">
        <w:rPr>
          <w:lang w:val="en-US"/>
        </w:rPr>
        <w:t xml:space="preserve">The impact of advanced age was studied in the population pharmacokinetic analysis of </w:t>
      </w:r>
      <w:r w:rsidR="00C36EA6">
        <w:rPr>
          <w:lang w:val="en-US"/>
        </w:rPr>
        <w:t>etanercept</w:t>
      </w:r>
      <w:r w:rsidRPr="0043042E">
        <w:rPr>
          <w:lang w:val="en-US"/>
        </w:rPr>
        <w:t xml:space="preserve"> serum concentrations.  Clearance and volume estimates in patients aged 65 to 87 years were similar to estimates in patients less than 65 years of age.</w:t>
      </w:r>
    </w:p>
    <w:p w14:paraId="0FFB36D0" w14:textId="77777777" w:rsidR="000F6F40" w:rsidRDefault="000F6F40" w:rsidP="0021426A">
      <w:pPr>
        <w:pStyle w:val="NormalIndent1"/>
        <w:jc w:val="left"/>
        <w:rPr>
          <w:lang w:val="en-US"/>
        </w:rPr>
      </w:pPr>
    </w:p>
    <w:p w14:paraId="33728B80" w14:textId="13B56D17" w:rsidR="000F6F40" w:rsidRPr="000F6F40" w:rsidRDefault="000F6F40" w:rsidP="0021426A">
      <w:pPr>
        <w:pStyle w:val="Heading3"/>
        <w:jc w:val="left"/>
      </w:pPr>
      <w:bookmarkStart w:id="10" w:name="_Hlk514835557"/>
      <w:r w:rsidRPr="000F6F40">
        <w:t xml:space="preserve">Comparability of </w:t>
      </w:r>
      <w:r w:rsidR="003D1456">
        <w:t>Rymti</w:t>
      </w:r>
      <w:r w:rsidRPr="000F6F40">
        <w:t xml:space="preserve"> with E</w:t>
      </w:r>
      <w:r w:rsidR="00116F09" w:rsidRPr="000F6F40">
        <w:t>nbrel</w:t>
      </w:r>
      <w:r w:rsidRPr="000F6F40">
        <w:t>®</w:t>
      </w:r>
    </w:p>
    <w:p w14:paraId="4C5E8158" w14:textId="77777777" w:rsidR="000F6F40" w:rsidRDefault="000F6F40" w:rsidP="0021426A">
      <w:pPr>
        <w:pStyle w:val="NormalIndent1"/>
        <w:jc w:val="left"/>
      </w:pPr>
    </w:p>
    <w:p w14:paraId="7182E8F9" w14:textId="3744D0B1" w:rsidR="00584FA2" w:rsidRPr="000C0B82" w:rsidRDefault="00FC41C6" w:rsidP="0021426A">
      <w:pPr>
        <w:pStyle w:val="NormalIndent1"/>
        <w:jc w:val="left"/>
      </w:pPr>
      <w:r w:rsidRPr="000C0B82">
        <w:t xml:space="preserve">The pharmacokinetic profiles of </w:t>
      </w:r>
      <w:r w:rsidR="003D1456" w:rsidRPr="000C0B82">
        <w:t>Rymti</w:t>
      </w:r>
      <w:r w:rsidRPr="000C0B82">
        <w:t xml:space="preserve"> and Enbrel® were comparable in healthy volunteers following S</w:t>
      </w:r>
      <w:r w:rsidR="00BB37C4" w:rsidRPr="000C0B82">
        <w:t>C administration in study YLB 113-001 and LBC-14-155. The test/reference ratios for AUC(</w:t>
      </w:r>
      <w:r w:rsidR="00BB37C4" w:rsidRPr="000C0B82">
        <w:rPr>
          <w:vertAlign w:val="subscript"/>
        </w:rPr>
        <w:t>0-480</w:t>
      </w:r>
      <w:r w:rsidR="00BB37C4" w:rsidRPr="000C0B82">
        <w:t>) and Cmax were 1.12 and 1.13</w:t>
      </w:r>
      <w:r w:rsidR="003A2D3A" w:rsidRPr="000C0B82">
        <w:t xml:space="preserve">, </w:t>
      </w:r>
      <w:r w:rsidR="00BB37C4" w:rsidRPr="000C0B82">
        <w:t xml:space="preserve"> </w:t>
      </w:r>
      <w:r w:rsidR="003A2D3A" w:rsidRPr="000C0B82">
        <w:t>in study YLB 113-001, and</w:t>
      </w:r>
      <w:r w:rsidR="00BB37C4" w:rsidRPr="000C0B82">
        <w:t xml:space="preserve"> 1.09 and 1.05</w:t>
      </w:r>
      <w:r w:rsidR="003A2D3A" w:rsidRPr="000C0B82">
        <w:t>,</w:t>
      </w:r>
      <w:r w:rsidR="00BB37C4" w:rsidRPr="000C0B82">
        <w:t xml:space="preserve"> </w:t>
      </w:r>
      <w:r w:rsidR="003A2D3A" w:rsidRPr="000C0B82">
        <w:t xml:space="preserve">in study LBC-14-155, </w:t>
      </w:r>
      <w:r w:rsidR="00BB37C4" w:rsidRPr="000C0B82">
        <w:t xml:space="preserve">for </w:t>
      </w:r>
      <w:r w:rsidR="0097657E" w:rsidRPr="000C0B82">
        <w:t>Rymti</w:t>
      </w:r>
      <w:r w:rsidR="00BB37C4" w:rsidRPr="000C0B82">
        <w:t xml:space="preserve"> v</w:t>
      </w:r>
      <w:r w:rsidR="003A2D3A" w:rsidRPr="000C0B82">
        <w:t>ersus</w:t>
      </w:r>
      <w:r w:rsidR="00BB37C4" w:rsidRPr="000C0B82">
        <w:t xml:space="preserve"> Enbrel</w:t>
      </w:r>
      <w:r w:rsidR="003A2D3A" w:rsidRPr="000C0B82">
        <w:t>®</w:t>
      </w:r>
      <w:r w:rsidR="00BB37C4" w:rsidRPr="000C0B82">
        <w:t>, respectively.</w:t>
      </w:r>
      <w:r w:rsidR="003A2D3A" w:rsidRPr="000C0B82">
        <w:t xml:space="preserve"> </w:t>
      </w:r>
      <w:r w:rsidR="00BB37C4" w:rsidRPr="000C0B82">
        <w:t>The point estimates and 90% CIs of the ratios of AUC(</w:t>
      </w:r>
      <w:r w:rsidR="00BB37C4" w:rsidRPr="000C0B82">
        <w:rPr>
          <w:vertAlign w:val="subscript"/>
        </w:rPr>
        <w:t>0–480</w:t>
      </w:r>
      <w:r w:rsidR="00BB37C4" w:rsidRPr="000C0B82">
        <w:t>) and C</w:t>
      </w:r>
      <w:r w:rsidR="00BB37C4" w:rsidRPr="000C0B82">
        <w:rPr>
          <w:vertAlign w:val="subscript"/>
        </w:rPr>
        <w:t xml:space="preserve">max </w:t>
      </w:r>
      <w:r w:rsidR="00BB37C4" w:rsidRPr="000C0B82">
        <w:t xml:space="preserve">for the </w:t>
      </w:r>
      <w:r w:rsidR="0097657E" w:rsidRPr="000C0B82">
        <w:t>Rymti</w:t>
      </w:r>
      <w:r w:rsidR="00BB37C4" w:rsidRPr="000C0B82">
        <w:t>/Enbrel</w:t>
      </w:r>
      <w:r w:rsidR="00B85969" w:rsidRPr="000C0B82">
        <w:t>®</w:t>
      </w:r>
      <w:r w:rsidR="00BB37C4" w:rsidRPr="000C0B82">
        <w:t xml:space="preserve"> formulations were within the interval (0.80, 1.25)</w:t>
      </w:r>
      <w:r w:rsidR="003A2D3A" w:rsidRPr="000C0B82">
        <w:t xml:space="preserve"> demonstrating bioequivalence</w:t>
      </w:r>
      <w:r w:rsidR="00BB37C4" w:rsidRPr="000C0B82">
        <w:t>.</w:t>
      </w:r>
      <w:r w:rsidR="00584FA2" w:rsidRPr="000C0B82">
        <w:t xml:space="preserve"> Geometric mean AUC values, mean </w:t>
      </w:r>
      <w:proofErr w:type="spellStart"/>
      <w:r w:rsidR="00584FA2" w:rsidRPr="000C0B82">
        <w:t>T</w:t>
      </w:r>
      <w:r w:rsidR="00584FA2" w:rsidRPr="000C0B82">
        <w:rPr>
          <w:vertAlign w:val="subscript"/>
        </w:rPr>
        <w:t>max</w:t>
      </w:r>
      <w:proofErr w:type="spellEnd"/>
      <w:r w:rsidR="00584FA2" w:rsidRPr="000C0B82">
        <w:t xml:space="preserve"> and T</w:t>
      </w:r>
      <w:r w:rsidR="00584FA2" w:rsidRPr="000C0B82">
        <w:rPr>
          <w:vertAlign w:val="subscript"/>
        </w:rPr>
        <w:t xml:space="preserve">1/2 </w:t>
      </w:r>
      <w:r w:rsidR="00584FA2" w:rsidRPr="000C0B82">
        <w:t>were comparable between Rymti and Enbrel</w:t>
      </w:r>
      <w:r w:rsidR="00B85969" w:rsidRPr="000C0B82">
        <w:t>®</w:t>
      </w:r>
      <w:r w:rsidR="00584FA2" w:rsidRPr="000C0B82">
        <w:t xml:space="preserve"> treatment groups  as outlined in Table 18 below.</w:t>
      </w:r>
    </w:p>
    <w:p w14:paraId="30E95A2F" w14:textId="2BA29D78" w:rsidR="004918EA" w:rsidRPr="000C0B82" w:rsidRDefault="004918EA" w:rsidP="0021426A">
      <w:pPr>
        <w:jc w:val="left"/>
      </w:pPr>
    </w:p>
    <w:p w14:paraId="03359605" w14:textId="5637A3E1" w:rsidR="004918EA" w:rsidRDefault="003461B7" w:rsidP="0021426A">
      <w:pPr>
        <w:pStyle w:val="NormalIndent1"/>
        <w:keepNext/>
        <w:keepLines/>
        <w:jc w:val="left"/>
        <w:rPr>
          <w:b/>
          <w:bCs/>
        </w:rPr>
      </w:pPr>
      <w:r>
        <w:rPr>
          <w:b/>
          <w:bCs/>
        </w:rPr>
        <w:t xml:space="preserve">Table 18. Bioequivalence </w:t>
      </w:r>
      <w:r w:rsidR="0099059B">
        <w:rPr>
          <w:b/>
          <w:bCs/>
        </w:rPr>
        <w:t xml:space="preserve">point estimate plus 90% </w:t>
      </w:r>
      <w:r>
        <w:rPr>
          <w:b/>
          <w:bCs/>
        </w:rPr>
        <w:t xml:space="preserve">Confidence Intervals of </w:t>
      </w:r>
      <w:r w:rsidR="0097657E">
        <w:rPr>
          <w:b/>
          <w:bCs/>
        </w:rPr>
        <w:t>Rymti</w:t>
      </w:r>
      <w:r>
        <w:rPr>
          <w:b/>
          <w:bCs/>
        </w:rPr>
        <w:t xml:space="preserve"> vs. Enbrel</w:t>
      </w:r>
      <w:r w:rsidR="00116F09">
        <w:rPr>
          <w:sz w:val="16"/>
          <w:szCs w:val="16"/>
        </w:rPr>
        <w:t>®</w:t>
      </w:r>
      <w:r w:rsidR="00116F09" w:rsidRPr="00584FA2">
        <w:rPr>
          <w:sz w:val="23"/>
          <w:szCs w:val="23"/>
        </w:rPr>
        <w:t xml:space="preserve"> </w:t>
      </w:r>
      <w:r>
        <w:rPr>
          <w:b/>
          <w:bCs/>
        </w:rPr>
        <w:t>(Stud</w:t>
      </w:r>
      <w:r w:rsidR="00BB365D">
        <w:rPr>
          <w:b/>
          <w:bCs/>
        </w:rPr>
        <w:t>ies</w:t>
      </w:r>
      <w:r>
        <w:rPr>
          <w:b/>
          <w:bCs/>
        </w:rPr>
        <w:t xml:space="preserve"> YLB113-001</w:t>
      </w:r>
      <w:r w:rsidR="00BB365D">
        <w:rPr>
          <w:b/>
          <w:bCs/>
        </w:rPr>
        <w:t xml:space="preserve"> and </w:t>
      </w:r>
      <w:r w:rsidR="00BB365D" w:rsidRPr="00621FA6">
        <w:rPr>
          <w:b/>
          <w:bCs/>
        </w:rPr>
        <w:t>LBC-14-155</w:t>
      </w:r>
      <w:r>
        <w:rPr>
          <w:b/>
          <w:bCs/>
        </w:rPr>
        <w:t>)</w:t>
      </w:r>
    </w:p>
    <w:p w14:paraId="09E865C9" w14:textId="7AF12D87" w:rsidR="00B85969" w:rsidRDefault="00B85969" w:rsidP="0021426A">
      <w:pPr>
        <w:pStyle w:val="NormalIndent1"/>
        <w:keepNext/>
        <w:keepLines/>
        <w:jc w:val="left"/>
        <w:rPr>
          <w:b/>
          <w:bCs/>
        </w:rPr>
      </w:pPr>
    </w:p>
    <w:tbl>
      <w:tblPr>
        <w:tblStyle w:val="TableGrid"/>
        <w:tblW w:w="0" w:type="auto"/>
        <w:tblInd w:w="425" w:type="dxa"/>
        <w:tblLook w:val="04A0" w:firstRow="1" w:lastRow="0" w:firstColumn="1" w:lastColumn="0" w:noHBand="0" w:noVBand="1"/>
      </w:tblPr>
      <w:tblGrid>
        <w:gridCol w:w="1328"/>
        <w:gridCol w:w="1928"/>
        <w:gridCol w:w="1984"/>
        <w:gridCol w:w="993"/>
        <w:gridCol w:w="992"/>
        <w:gridCol w:w="992"/>
        <w:gridCol w:w="986"/>
      </w:tblGrid>
      <w:tr w:rsidR="00B85969" w14:paraId="4B20C093" w14:textId="77777777" w:rsidTr="0072616A">
        <w:tc>
          <w:tcPr>
            <w:tcW w:w="1328" w:type="dxa"/>
            <w:vMerge w:val="restart"/>
          </w:tcPr>
          <w:p w14:paraId="122CB9C8" w14:textId="0A2DC556" w:rsidR="00B85969" w:rsidRPr="00BB365D" w:rsidRDefault="00BB365D" w:rsidP="0021426A">
            <w:pPr>
              <w:pStyle w:val="NormalIndent1"/>
              <w:keepNext/>
              <w:keepLines/>
              <w:ind w:left="0"/>
              <w:jc w:val="left"/>
              <w:rPr>
                <w:b/>
                <w:bCs/>
              </w:rPr>
            </w:pPr>
            <w:r w:rsidRPr="00BB365D">
              <w:rPr>
                <w:b/>
                <w:bCs/>
              </w:rPr>
              <w:t>Study</w:t>
            </w:r>
          </w:p>
        </w:tc>
        <w:tc>
          <w:tcPr>
            <w:tcW w:w="7875" w:type="dxa"/>
            <w:gridSpan w:val="6"/>
          </w:tcPr>
          <w:p w14:paraId="762A2D82" w14:textId="61AB1930" w:rsidR="00B85969" w:rsidRPr="00BB365D" w:rsidRDefault="00B85969" w:rsidP="0021426A">
            <w:pPr>
              <w:pStyle w:val="NormalIndent1"/>
              <w:keepNext/>
              <w:keepLines/>
              <w:ind w:left="0"/>
              <w:jc w:val="left"/>
              <w:rPr>
                <w:b/>
                <w:bCs/>
              </w:rPr>
            </w:pPr>
            <w:r w:rsidRPr="00BB365D">
              <w:rPr>
                <w:b/>
                <w:bCs/>
              </w:rPr>
              <w:t>Parameter</w:t>
            </w:r>
          </w:p>
        </w:tc>
      </w:tr>
      <w:tr w:rsidR="00BB365D" w14:paraId="075062DB" w14:textId="77777777" w:rsidTr="0072616A">
        <w:tc>
          <w:tcPr>
            <w:tcW w:w="1328" w:type="dxa"/>
            <w:vMerge/>
          </w:tcPr>
          <w:p w14:paraId="4288940E" w14:textId="77777777" w:rsidR="00B85969" w:rsidRPr="00BB365D" w:rsidRDefault="00B85969" w:rsidP="0021426A">
            <w:pPr>
              <w:pStyle w:val="NormalIndent1"/>
              <w:keepNext/>
              <w:keepLines/>
              <w:ind w:left="0"/>
              <w:jc w:val="left"/>
              <w:rPr>
                <w:b/>
                <w:bCs/>
              </w:rPr>
            </w:pPr>
          </w:p>
        </w:tc>
        <w:tc>
          <w:tcPr>
            <w:tcW w:w="1928" w:type="dxa"/>
          </w:tcPr>
          <w:p w14:paraId="0CA4AFF6" w14:textId="46EDB716" w:rsidR="00B85969" w:rsidRPr="00BB365D" w:rsidRDefault="00B85969" w:rsidP="0021426A">
            <w:pPr>
              <w:pStyle w:val="NormalIndent1"/>
              <w:keepNext/>
              <w:keepLines/>
              <w:ind w:left="0"/>
              <w:jc w:val="left"/>
              <w:rPr>
                <w:b/>
                <w:bCs/>
              </w:rPr>
            </w:pPr>
            <w:r w:rsidRPr="00BB365D">
              <w:rPr>
                <w:b/>
                <w:bCs/>
              </w:rPr>
              <w:t xml:space="preserve">AUC </w:t>
            </w:r>
            <w:r w:rsidRPr="00BB365D">
              <w:rPr>
                <w:b/>
                <w:bCs/>
                <w:vertAlign w:val="subscript"/>
              </w:rPr>
              <w:t>0-480</w:t>
            </w:r>
          </w:p>
        </w:tc>
        <w:tc>
          <w:tcPr>
            <w:tcW w:w="1984" w:type="dxa"/>
          </w:tcPr>
          <w:p w14:paraId="24FF1FCC" w14:textId="2ED158BE" w:rsidR="00B85969" w:rsidRPr="00BB365D" w:rsidRDefault="00B85969" w:rsidP="0021426A">
            <w:pPr>
              <w:pStyle w:val="NormalIndent1"/>
              <w:keepNext/>
              <w:keepLines/>
              <w:ind w:left="0"/>
              <w:jc w:val="left"/>
              <w:rPr>
                <w:b/>
                <w:bCs/>
              </w:rPr>
            </w:pPr>
            <w:r w:rsidRPr="00BB365D">
              <w:rPr>
                <w:b/>
                <w:bCs/>
              </w:rPr>
              <w:t>C</w:t>
            </w:r>
            <w:r w:rsidRPr="00BB365D">
              <w:rPr>
                <w:b/>
                <w:bCs/>
                <w:vertAlign w:val="subscript"/>
              </w:rPr>
              <w:t>max</w:t>
            </w:r>
          </w:p>
        </w:tc>
        <w:tc>
          <w:tcPr>
            <w:tcW w:w="1985" w:type="dxa"/>
            <w:gridSpan w:val="2"/>
          </w:tcPr>
          <w:p w14:paraId="72EBD35E" w14:textId="229FD4AB" w:rsidR="00B85969" w:rsidRPr="00BB365D" w:rsidRDefault="00B85969" w:rsidP="0021426A">
            <w:pPr>
              <w:pStyle w:val="NormalIndent1"/>
              <w:keepNext/>
              <w:keepLines/>
              <w:ind w:left="0"/>
              <w:jc w:val="left"/>
              <w:rPr>
                <w:b/>
                <w:bCs/>
              </w:rPr>
            </w:pPr>
            <w:proofErr w:type="spellStart"/>
            <w:r w:rsidRPr="00BB365D">
              <w:rPr>
                <w:b/>
                <w:bCs/>
              </w:rPr>
              <w:t>T</w:t>
            </w:r>
            <w:r w:rsidRPr="00BB365D">
              <w:rPr>
                <w:b/>
                <w:bCs/>
                <w:vertAlign w:val="subscript"/>
              </w:rPr>
              <w:t>max</w:t>
            </w:r>
            <w:proofErr w:type="spellEnd"/>
            <w:r w:rsidRPr="00BB365D">
              <w:rPr>
                <w:b/>
                <w:bCs/>
              </w:rPr>
              <w:t xml:space="preserve"> [h] (SD)*</w:t>
            </w:r>
          </w:p>
        </w:tc>
        <w:tc>
          <w:tcPr>
            <w:tcW w:w="1978" w:type="dxa"/>
            <w:gridSpan w:val="2"/>
          </w:tcPr>
          <w:p w14:paraId="3D1F0C44" w14:textId="7BB0A63C" w:rsidR="00B85969" w:rsidRPr="00BB365D" w:rsidRDefault="00B85969" w:rsidP="0021426A">
            <w:pPr>
              <w:pStyle w:val="NormalIndent1"/>
              <w:keepNext/>
              <w:keepLines/>
              <w:ind w:left="0"/>
              <w:jc w:val="left"/>
              <w:rPr>
                <w:b/>
                <w:bCs/>
              </w:rPr>
            </w:pPr>
            <w:r w:rsidRPr="00BB365D">
              <w:rPr>
                <w:b/>
                <w:bCs/>
              </w:rPr>
              <w:t>T</w:t>
            </w:r>
            <w:r w:rsidRPr="00BB365D">
              <w:rPr>
                <w:b/>
                <w:bCs/>
                <w:vertAlign w:val="subscript"/>
              </w:rPr>
              <w:t xml:space="preserve">1/2 </w:t>
            </w:r>
            <w:r w:rsidRPr="00BB365D">
              <w:rPr>
                <w:b/>
                <w:bCs/>
              </w:rPr>
              <w:t>[h] (SD)*</w:t>
            </w:r>
          </w:p>
        </w:tc>
      </w:tr>
      <w:tr w:rsidR="0072616A" w14:paraId="166D7993" w14:textId="77777777" w:rsidTr="0072616A">
        <w:tc>
          <w:tcPr>
            <w:tcW w:w="1328" w:type="dxa"/>
            <w:vMerge/>
          </w:tcPr>
          <w:p w14:paraId="3B4153C8" w14:textId="77777777" w:rsidR="00B85969" w:rsidRPr="00BB365D" w:rsidRDefault="00B85969" w:rsidP="0021426A">
            <w:pPr>
              <w:pStyle w:val="NormalIndent1"/>
              <w:keepNext/>
              <w:keepLines/>
              <w:ind w:left="0"/>
              <w:jc w:val="left"/>
              <w:rPr>
                <w:b/>
                <w:bCs/>
              </w:rPr>
            </w:pPr>
          </w:p>
        </w:tc>
        <w:tc>
          <w:tcPr>
            <w:tcW w:w="3912" w:type="dxa"/>
            <w:gridSpan w:val="2"/>
          </w:tcPr>
          <w:p w14:paraId="1C000B2A" w14:textId="77777777" w:rsidR="00B85969" w:rsidRPr="00BB365D" w:rsidRDefault="00B85969" w:rsidP="0021426A">
            <w:pPr>
              <w:pStyle w:val="NormalIndent1"/>
              <w:keepNext/>
              <w:keepLines/>
              <w:jc w:val="left"/>
              <w:rPr>
                <w:b/>
                <w:bCs/>
              </w:rPr>
            </w:pPr>
            <w:r w:rsidRPr="00BB365D">
              <w:rPr>
                <w:b/>
                <w:bCs/>
              </w:rPr>
              <w:t>90% Confidence Interval</w:t>
            </w:r>
          </w:p>
          <w:p w14:paraId="0082A4CC" w14:textId="48B911E4" w:rsidR="00B85969" w:rsidRPr="00BB365D" w:rsidRDefault="00B85969" w:rsidP="0021426A">
            <w:pPr>
              <w:pStyle w:val="NormalIndent1"/>
              <w:keepNext/>
              <w:keepLines/>
              <w:ind w:left="0"/>
              <w:jc w:val="left"/>
              <w:rPr>
                <w:b/>
                <w:bCs/>
              </w:rPr>
            </w:pPr>
            <w:r w:rsidRPr="00BB365D">
              <w:rPr>
                <w:b/>
                <w:bCs/>
              </w:rPr>
              <w:t>(logarithmic conversion of average differences)</w:t>
            </w:r>
          </w:p>
        </w:tc>
        <w:tc>
          <w:tcPr>
            <w:tcW w:w="993" w:type="dxa"/>
          </w:tcPr>
          <w:p w14:paraId="2EF8E32D" w14:textId="03C475BB" w:rsidR="00B85969" w:rsidRPr="00BB365D" w:rsidRDefault="00B85969" w:rsidP="0021426A">
            <w:pPr>
              <w:pStyle w:val="NormalIndent1"/>
              <w:keepNext/>
              <w:keepLines/>
              <w:ind w:left="0"/>
              <w:jc w:val="left"/>
              <w:rPr>
                <w:b/>
                <w:bCs/>
              </w:rPr>
            </w:pPr>
            <w:r w:rsidRPr="00BB365D">
              <w:rPr>
                <w:b/>
                <w:bCs/>
              </w:rPr>
              <w:t>Rymti</w:t>
            </w:r>
          </w:p>
        </w:tc>
        <w:tc>
          <w:tcPr>
            <w:tcW w:w="992" w:type="dxa"/>
          </w:tcPr>
          <w:p w14:paraId="1D30109D" w14:textId="3226D157" w:rsidR="00B85969" w:rsidRPr="00BB365D" w:rsidRDefault="00B85969" w:rsidP="0021426A">
            <w:pPr>
              <w:pStyle w:val="NormalIndent1"/>
              <w:keepNext/>
              <w:keepLines/>
              <w:ind w:left="0"/>
              <w:jc w:val="left"/>
              <w:rPr>
                <w:b/>
                <w:bCs/>
              </w:rPr>
            </w:pPr>
            <w:r w:rsidRPr="00BB365D">
              <w:rPr>
                <w:b/>
                <w:bCs/>
              </w:rPr>
              <w:t>Enbrel</w:t>
            </w:r>
          </w:p>
        </w:tc>
        <w:tc>
          <w:tcPr>
            <w:tcW w:w="992" w:type="dxa"/>
          </w:tcPr>
          <w:p w14:paraId="57FA1F27" w14:textId="7EAF8A04" w:rsidR="00B85969" w:rsidRPr="00BB365D" w:rsidRDefault="00B85969" w:rsidP="0021426A">
            <w:pPr>
              <w:pStyle w:val="NormalIndent1"/>
              <w:keepNext/>
              <w:keepLines/>
              <w:ind w:left="0"/>
              <w:jc w:val="left"/>
              <w:rPr>
                <w:b/>
                <w:bCs/>
              </w:rPr>
            </w:pPr>
            <w:r w:rsidRPr="00BB365D">
              <w:rPr>
                <w:b/>
                <w:bCs/>
              </w:rPr>
              <w:t>Rymti</w:t>
            </w:r>
          </w:p>
        </w:tc>
        <w:tc>
          <w:tcPr>
            <w:tcW w:w="986" w:type="dxa"/>
          </w:tcPr>
          <w:p w14:paraId="318A01A2" w14:textId="1639C31C" w:rsidR="00B85969" w:rsidRPr="00BB365D" w:rsidRDefault="00B85969" w:rsidP="0021426A">
            <w:pPr>
              <w:pStyle w:val="NormalIndent1"/>
              <w:keepNext/>
              <w:keepLines/>
              <w:ind w:left="0"/>
              <w:jc w:val="left"/>
              <w:rPr>
                <w:b/>
                <w:bCs/>
              </w:rPr>
            </w:pPr>
            <w:r w:rsidRPr="00BB365D">
              <w:rPr>
                <w:b/>
                <w:bCs/>
              </w:rPr>
              <w:t>Enbrel</w:t>
            </w:r>
          </w:p>
        </w:tc>
      </w:tr>
      <w:tr w:rsidR="00BB365D" w14:paraId="7C124021" w14:textId="77777777" w:rsidTr="00BB365D">
        <w:trPr>
          <w:trHeight w:val="815"/>
        </w:trPr>
        <w:tc>
          <w:tcPr>
            <w:tcW w:w="1328" w:type="dxa"/>
          </w:tcPr>
          <w:p w14:paraId="00DDA817" w14:textId="18681D58" w:rsidR="00B85969" w:rsidRPr="00BB365D" w:rsidRDefault="00B85969" w:rsidP="0021426A">
            <w:pPr>
              <w:pStyle w:val="NormalIndent1"/>
              <w:keepNext/>
              <w:keepLines/>
              <w:ind w:left="0"/>
              <w:jc w:val="left"/>
            </w:pPr>
            <w:r w:rsidRPr="00BB365D">
              <w:t>YLB113-001</w:t>
            </w:r>
          </w:p>
        </w:tc>
        <w:tc>
          <w:tcPr>
            <w:tcW w:w="1928" w:type="dxa"/>
          </w:tcPr>
          <w:p w14:paraId="02BC716F" w14:textId="56FD6F8D" w:rsidR="00B85969" w:rsidRPr="00BB365D" w:rsidRDefault="00B85969" w:rsidP="0021426A">
            <w:pPr>
              <w:pStyle w:val="NormalIndent1"/>
              <w:keepNext/>
              <w:keepLines/>
              <w:ind w:left="0"/>
              <w:jc w:val="left"/>
            </w:pPr>
            <w:r w:rsidRPr="00BB365D">
              <w:t>1.12</w:t>
            </w:r>
          </w:p>
          <w:p w14:paraId="528629DC" w14:textId="125869EC" w:rsidR="00B85969" w:rsidRPr="00BB365D" w:rsidRDefault="00B85969" w:rsidP="0021426A">
            <w:pPr>
              <w:pStyle w:val="NormalIndent1"/>
              <w:keepNext/>
              <w:keepLines/>
              <w:ind w:left="0"/>
              <w:jc w:val="left"/>
            </w:pPr>
            <w:r w:rsidRPr="00BB365D">
              <w:t>(1.03 – 1.21)</w:t>
            </w:r>
          </w:p>
        </w:tc>
        <w:tc>
          <w:tcPr>
            <w:tcW w:w="1984" w:type="dxa"/>
          </w:tcPr>
          <w:p w14:paraId="0FE3C526" w14:textId="53AD48E4" w:rsidR="00B85969" w:rsidRPr="00BB365D" w:rsidRDefault="00B85969" w:rsidP="0021426A">
            <w:pPr>
              <w:pStyle w:val="NormalIndent1"/>
              <w:keepNext/>
              <w:keepLines/>
              <w:ind w:left="0"/>
              <w:jc w:val="left"/>
            </w:pPr>
            <w:r w:rsidRPr="00BB365D">
              <w:t>1.13</w:t>
            </w:r>
          </w:p>
          <w:p w14:paraId="0000BCE9" w14:textId="300F075E" w:rsidR="00B85969" w:rsidRPr="00BB365D" w:rsidRDefault="00B85969" w:rsidP="0021426A">
            <w:pPr>
              <w:pStyle w:val="NormalIndent1"/>
              <w:keepNext/>
              <w:keepLines/>
              <w:ind w:left="0"/>
              <w:jc w:val="left"/>
            </w:pPr>
            <w:r w:rsidRPr="00BB365D">
              <w:t>(1.04 – 1.22)</w:t>
            </w:r>
          </w:p>
        </w:tc>
        <w:tc>
          <w:tcPr>
            <w:tcW w:w="993" w:type="dxa"/>
          </w:tcPr>
          <w:p w14:paraId="7EB9D714" w14:textId="31F5AF66" w:rsidR="00BB365D" w:rsidRPr="00BB365D" w:rsidRDefault="00BB365D" w:rsidP="0021426A">
            <w:pPr>
              <w:pStyle w:val="NormalIndent1"/>
              <w:keepNext/>
              <w:keepLines/>
              <w:ind w:left="0"/>
              <w:jc w:val="left"/>
            </w:pPr>
            <w:r w:rsidRPr="00BB365D">
              <w:t>83.0</w:t>
            </w:r>
          </w:p>
          <w:p w14:paraId="375BE95F" w14:textId="3A7D0663" w:rsidR="00B85969" w:rsidRPr="00BB365D" w:rsidRDefault="00BB365D" w:rsidP="0021426A">
            <w:pPr>
              <w:pStyle w:val="NormalIndent1"/>
              <w:keepNext/>
              <w:keepLines/>
              <w:ind w:left="0"/>
              <w:jc w:val="left"/>
            </w:pPr>
            <w:r w:rsidRPr="00BB365D">
              <w:t>(29.8)</w:t>
            </w:r>
          </w:p>
        </w:tc>
        <w:tc>
          <w:tcPr>
            <w:tcW w:w="992" w:type="dxa"/>
          </w:tcPr>
          <w:p w14:paraId="3EB880AA" w14:textId="3956B1EC" w:rsidR="00BB365D" w:rsidRPr="00BB365D" w:rsidRDefault="00BB365D" w:rsidP="0021426A">
            <w:pPr>
              <w:pStyle w:val="NormalIndent1"/>
              <w:keepNext/>
              <w:keepLines/>
              <w:ind w:left="0"/>
              <w:jc w:val="left"/>
            </w:pPr>
            <w:r w:rsidRPr="00BB365D">
              <w:t>81.1</w:t>
            </w:r>
          </w:p>
          <w:p w14:paraId="5C14BA3A" w14:textId="472CCBF4" w:rsidR="00B85969" w:rsidRPr="00BB365D" w:rsidRDefault="00BB365D" w:rsidP="0021426A">
            <w:pPr>
              <w:pStyle w:val="NormalIndent1"/>
              <w:keepNext/>
              <w:keepLines/>
              <w:ind w:left="0"/>
              <w:jc w:val="left"/>
            </w:pPr>
            <w:r w:rsidRPr="00BB365D">
              <w:t>(20.3)</w:t>
            </w:r>
          </w:p>
        </w:tc>
        <w:tc>
          <w:tcPr>
            <w:tcW w:w="992" w:type="dxa"/>
          </w:tcPr>
          <w:p w14:paraId="22392D19" w14:textId="2CAE2D4F" w:rsidR="00B85969" w:rsidRPr="00BB365D" w:rsidRDefault="00BB365D" w:rsidP="0021426A">
            <w:pPr>
              <w:pStyle w:val="NormalIndent1"/>
              <w:keepNext/>
              <w:keepLines/>
              <w:ind w:left="0"/>
              <w:jc w:val="left"/>
            </w:pPr>
            <w:r w:rsidRPr="00BB365D">
              <w:t>115.14 (21.78)</w:t>
            </w:r>
          </w:p>
        </w:tc>
        <w:tc>
          <w:tcPr>
            <w:tcW w:w="986" w:type="dxa"/>
          </w:tcPr>
          <w:p w14:paraId="0683CC63" w14:textId="0878BE34" w:rsidR="00B85969" w:rsidRPr="00BB365D" w:rsidRDefault="00BB365D" w:rsidP="0021426A">
            <w:pPr>
              <w:pStyle w:val="NormalIndent1"/>
              <w:keepNext/>
              <w:keepLines/>
              <w:ind w:left="0"/>
              <w:jc w:val="left"/>
            </w:pPr>
            <w:r w:rsidRPr="00BB365D">
              <w:t>114.83 (18.29)</w:t>
            </w:r>
          </w:p>
        </w:tc>
      </w:tr>
      <w:tr w:rsidR="00BB365D" w14:paraId="2BCEA832" w14:textId="77777777" w:rsidTr="00BB365D">
        <w:trPr>
          <w:trHeight w:val="553"/>
        </w:trPr>
        <w:tc>
          <w:tcPr>
            <w:tcW w:w="1328" w:type="dxa"/>
          </w:tcPr>
          <w:p w14:paraId="284F7FF3" w14:textId="1BCF1ED2" w:rsidR="00B85969" w:rsidRPr="00BB365D" w:rsidRDefault="00B85969" w:rsidP="0021426A">
            <w:pPr>
              <w:pStyle w:val="NormalIndent1"/>
              <w:keepNext/>
              <w:keepLines/>
              <w:ind w:left="0"/>
              <w:jc w:val="left"/>
            </w:pPr>
            <w:r w:rsidRPr="00BB365D">
              <w:t>LBC-14-155</w:t>
            </w:r>
          </w:p>
        </w:tc>
        <w:tc>
          <w:tcPr>
            <w:tcW w:w="1928" w:type="dxa"/>
          </w:tcPr>
          <w:p w14:paraId="49D10E1A" w14:textId="77777777" w:rsidR="00B85969" w:rsidRPr="00BB365D" w:rsidRDefault="00B85969" w:rsidP="0021426A">
            <w:pPr>
              <w:pStyle w:val="NormalIndent1"/>
              <w:keepNext/>
              <w:keepLines/>
              <w:spacing w:before="40" w:after="40"/>
              <w:ind w:left="0"/>
              <w:jc w:val="left"/>
            </w:pPr>
            <w:r w:rsidRPr="00BB365D">
              <w:t>1.09</w:t>
            </w:r>
          </w:p>
          <w:p w14:paraId="7416DD60" w14:textId="15D6A535" w:rsidR="00B85969" w:rsidRPr="00BB365D" w:rsidRDefault="00B85969" w:rsidP="0021426A">
            <w:pPr>
              <w:pStyle w:val="NormalIndent1"/>
              <w:keepNext/>
              <w:keepLines/>
              <w:spacing w:before="40" w:after="40"/>
              <w:ind w:left="0"/>
              <w:jc w:val="left"/>
            </w:pPr>
            <w:r w:rsidRPr="00BB365D">
              <w:t>(0.9873 – 1.1990)</w:t>
            </w:r>
          </w:p>
          <w:p w14:paraId="0CEC5FA1" w14:textId="77777777" w:rsidR="00B85969" w:rsidRPr="00BB365D" w:rsidRDefault="00B85969" w:rsidP="0021426A">
            <w:pPr>
              <w:pStyle w:val="NormalIndent1"/>
              <w:keepNext/>
              <w:keepLines/>
              <w:ind w:left="0"/>
              <w:jc w:val="left"/>
              <w:rPr>
                <w:b/>
                <w:bCs/>
              </w:rPr>
            </w:pPr>
          </w:p>
        </w:tc>
        <w:tc>
          <w:tcPr>
            <w:tcW w:w="1984" w:type="dxa"/>
          </w:tcPr>
          <w:p w14:paraId="2422E27E" w14:textId="668C9EDE" w:rsidR="00B85969" w:rsidRPr="00BB365D" w:rsidRDefault="00B85969" w:rsidP="0021426A">
            <w:pPr>
              <w:pStyle w:val="NormalIndent1"/>
              <w:keepNext/>
              <w:keepLines/>
              <w:spacing w:before="40" w:after="40"/>
              <w:ind w:left="0"/>
              <w:jc w:val="left"/>
            </w:pPr>
            <w:r w:rsidRPr="00BB365D">
              <w:t>1.05</w:t>
            </w:r>
          </w:p>
          <w:p w14:paraId="631D4880" w14:textId="49F58073" w:rsidR="00B85969" w:rsidRPr="00BB365D" w:rsidRDefault="00B85969" w:rsidP="0021426A">
            <w:pPr>
              <w:pStyle w:val="NormalIndent1"/>
              <w:keepNext/>
              <w:keepLines/>
              <w:spacing w:before="40" w:after="40"/>
              <w:ind w:left="0"/>
              <w:jc w:val="left"/>
            </w:pPr>
            <w:r w:rsidRPr="00BB365D">
              <w:t>(0.9380 – 1.1815</w:t>
            </w:r>
            <w:r w:rsidR="00BB365D">
              <w:t>)</w:t>
            </w:r>
          </w:p>
        </w:tc>
        <w:tc>
          <w:tcPr>
            <w:tcW w:w="993" w:type="dxa"/>
          </w:tcPr>
          <w:p w14:paraId="75734C5C" w14:textId="31EB1CC7" w:rsidR="00B85969" w:rsidRPr="00BB365D" w:rsidRDefault="00BB365D" w:rsidP="0021426A">
            <w:pPr>
              <w:pStyle w:val="NormalIndent1"/>
              <w:keepNext/>
              <w:keepLines/>
              <w:ind w:left="0"/>
              <w:jc w:val="left"/>
            </w:pPr>
            <w:r w:rsidRPr="00BB365D">
              <w:t>55.1 (15.96)</w:t>
            </w:r>
          </w:p>
        </w:tc>
        <w:tc>
          <w:tcPr>
            <w:tcW w:w="992" w:type="dxa"/>
          </w:tcPr>
          <w:p w14:paraId="4C0A2489" w14:textId="6863BE78" w:rsidR="00BB365D" w:rsidRPr="00BB365D" w:rsidRDefault="00BB365D" w:rsidP="0021426A">
            <w:pPr>
              <w:pStyle w:val="NormalIndent1"/>
              <w:keepNext/>
              <w:keepLines/>
              <w:ind w:left="0"/>
              <w:jc w:val="left"/>
            </w:pPr>
            <w:r w:rsidRPr="00BB365D">
              <w:t>50.1</w:t>
            </w:r>
          </w:p>
          <w:p w14:paraId="63455AE8" w14:textId="3C2885F2" w:rsidR="00B85969" w:rsidRPr="00BB365D" w:rsidRDefault="00BB365D" w:rsidP="0021426A">
            <w:pPr>
              <w:pStyle w:val="NormalIndent1"/>
              <w:keepNext/>
              <w:keepLines/>
              <w:ind w:left="0"/>
              <w:jc w:val="left"/>
            </w:pPr>
            <w:r w:rsidRPr="00BB365D">
              <w:t>(23.23)</w:t>
            </w:r>
          </w:p>
        </w:tc>
        <w:tc>
          <w:tcPr>
            <w:tcW w:w="992" w:type="dxa"/>
          </w:tcPr>
          <w:p w14:paraId="2862FCE4" w14:textId="558EDFC7" w:rsidR="00BB365D" w:rsidRPr="00BB365D" w:rsidRDefault="00BB365D" w:rsidP="0021426A">
            <w:pPr>
              <w:pStyle w:val="NormalIndent1"/>
              <w:keepNext/>
              <w:keepLines/>
              <w:ind w:left="0"/>
              <w:jc w:val="left"/>
            </w:pPr>
            <w:r w:rsidRPr="00BB365D">
              <w:t>74.14</w:t>
            </w:r>
          </w:p>
          <w:p w14:paraId="76BD6F4A" w14:textId="788C887F" w:rsidR="00B85969" w:rsidRPr="00BB365D" w:rsidRDefault="00BB365D" w:rsidP="0021426A">
            <w:pPr>
              <w:pStyle w:val="NormalIndent1"/>
              <w:keepNext/>
              <w:keepLines/>
              <w:ind w:left="0"/>
              <w:jc w:val="left"/>
            </w:pPr>
            <w:r w:rsidRPr="00BB365D">
              <w:t>(28.77)</w:t>
            </w:r>
          </w:p>
        </w:tc>
        <w:tc>
          <w:tcPr>
            <w:tcW w:w="986" w:type="dxa"/>
          </w:tcPr>
          <w:p w14:paraId="5C635122" w14:textId="3E31C68D" w:rsidR="00B85969" w:rsidRPr="00BB365D" w:rsidRDefault="00BB365D" w:rsidP="0021426A">
            <w:pPr>
              <w:pStyle w:val="NormalIndent1"/>
              <w:keepNext/>
              <w:keepLines/>
              <w:ind w:left="0"/>
              <w:jc w:val="left"/>
            </w:pPr>
            <w:r w:rsidRPr="00BB365D">
              <w:t>69.06 (18.24)</w:t>
            </w:r>
          </w:p>
        </w:tc>
      </w:tr>
    </w:tbl>
    <w:p w14:paraId="116C9BAB" w14:textId="77777777" w:rsidR="00B85969" w:rsidRDefault="00B85969" w:rsidP="0021426A">
      <w:pPr>
        <w:pStyle w:val="NormalIndent1"/>
        <w:keepNext/>
        <w:keepLines/>
        <w:jc w:val="left"/>
        <w:rPr>
          <w:b/>
          <w:bCs/>
        </w:rPr>
      </w:pPr>
    </w:p>
    <w:bookmarkEnd w:id="10"/>
    <w:p w14:paraId="495F9C00" w14:textId="77777777" w:rsidR="0043042E" w:rsidRPr="0043042E" w:rsidRDefault="0043042E" w:rsidP="0021426A">
      <w:pPr>
        <w:pStyle w:val="Heading4"/>
        <w:jc w:val="left"/>
        <w:rPr>
          <w:lang w:val="en-US"/>
        </w:rPr>
      </w:pPr>
      <w:r w:rsidRPr="0043042E">
        <w:rPr>
          <w:lang w:val="en-US"/>
        </w:rPr>
        <w:t>Patients with Juvenile Idiopathic Arthritis</w:t>
      </w:r>
    </w:p>
    <w:p w14:paraId="73F07893" w14:textId="77777777" w:rsidR="0043042E" w:rsidRPr="0043042E" w:rsidRDefault="0043042E" w:rsidP="0021426A">
      <w:pPr>
        <w:pStyle w:val="NormalIndent1"/>
        <w:jc w:val="left"/>
        <w:rPr>
          <w:lang w:val="en-US"/>
        </w:rPr>
      </w:pPr>
    </w:p>
    <w:p w14:paraId="6B4E91AA" w14:textId="36EEC792" w:rsidR="0043042E" w:rsidRPr="0043042E" w:rsidRDefault="0043042E" w:rsidP="0021426A">
      <w:pPr>
        <w:pStyle w:val="NormalIndent1"/>
        <w:jc w:val="left"/>
        <w:rPr>
          <w:lang w:val="en-US"/>
        </w:rPr>
      </w:pPr>
      <w:r w:rsidRPr="0043042E">
        <w:rPr>
          <w:lang w:val="en-US"/>
        </w:rPr>
        <w:t xml:space="preserve">In a polyarticular juvenile idiopathic arthritis (JIA) trial with </w:t>
      </w:r>
      <w:r w:rsidR="000F7B00">
        <w:rPr>
          <w:lang w:val="en-US"/>
        </w:rPr>
        <w:t>Etanercept</w:t>
      </w:r>
      <w:r w:rsidRPr="0043042E">
        <w:rPr>
          <w:lang w:val="en-US"/>
        </w:rPr>
        <w:t>, 69 patients (age 4 to</w:t>
      </w:r>
      <w:r>
        <w:rPr>
          <w:lang w:val="en-US"/>
        </w:rPr>
        <w:t xml:space="preserve"> </w:t>
      </w:r>
      <w:r w:rsidRPr="0043042E">
        <w:rPr>
          <w:lang w:val="en-US"/>
        </w:rPr>
        <w:t xml:space="preserve">17 years) were administered 0.4 mg </w:t>
      </w:r>
      <w:r w:rsidR="000F7B00">
        <w:rPr>
          <w:lang w:val="en-US"/>
        </w:rPr>
        <w:t>Etanercept</w:t>
      </w:r>
      <w:r w:rsidRPr="0043042E">
        <w:rPr>
          <w:lang w:val="en-US"/>
        </w:rPr>
        <w:t xml:space="preserve">/kg twice weekly for three months.  Serum concentration profiles were similar to those seen in adult rheumatoid arthritis patients.  The youngest children (4 years of age) had reduced clearance (increased clearance when </w:t>
      </w:r>
      <w:proofErr w:type="spellStart"/>
      <w:r w:rsidRPr="0043042E">
        <w:rPr>
          <w:lang w:val="en-US"/>
        </w:rPr>
        <w:t>normalised</w:t>
      </w:r>
      <w:proofErr w:type="spellEnd"/>
      <w:r w:rsidRPr="0043042E">
        <w:rPr>
          <w:lang w:val="en-US"/>
        </w:rPr>
        <w:t xml:space="preserve"> by weight) compared with older children (12 years of age) and adults.  Simulation of dosing suggests that while older children (10-17 years of age) will have serum levels close to those seen in adults, younger children will have appreciably lower levels.</w:t>
      </w:r>
    </w:p>
    <w:p w14:paraId="4037271C" w14:textId="77777777" w:rsidR="0043042E" w:rsidRPr="0043042E" w:rsidRDefault="0043042E" w:rsidP="0021426A">
      <w:pPr>
        <w:pStyle w:val="NormalIndent1"/>
        <w:jc w:val="left"/>
        <w:rPr>
          <w:lang w:val="en-US"/>
        </w:rPr>
      </w:pPr>
    </w:p>
    <w:p w14:paraId="1EE43CDC" w14:textId="77777777" w:rsidR="0043042E" w:rsidRPr="0043042E" w:rsidRDefault="0043042E" w:rsidP="0021426A">
      <w:pPr>
        <w:pStyle w:val="Heading4"/>
        <w:jc w:val="left"/>
        <w:rPr>
          <w:lang w:val="en-US"/>
        </w:rPr>
      </w:pPr>
      <w:r w:rsidRPr="0043042E">
        <w:rPr>
          <w:lang w:val="en-US"/>
        </w:rPr>
        <w:t>Paediatric Patients with Plaque Psoriasis</w:t>
      </w:r>
    </w:p>
    <w:p w14:paraId="34FF75AD" w14:textId="77777777" w:rsidR="0043042E" w:rsidRPr="0043042E" w:rsidRDefault="0043042E" w:rsidP="0021426A">
      <w:pPr>
        <w:pStyle w:val="NormalIndent1"/>
        <w:jc w:val="left"/>
        <w:rPr>
          <w:lang w:val="en-US"/>
        </w:rPr>
      </w:pPr>
    </w:p>
    <w:p w14:paraId="475238B3" w14:textId="69FACFC1" w:rsidR="0043042E" w:rsidRPr="00F70019" w:rsidRDefault="0043042E" w:rsidP="0021426A">
      <w:pPr>
        <w:pStyle w:val="NormalIndent1"/>
        <w:jc w:val="left"/>
      </w:pPr>
      <w:r w:rsidRPr="0043042E">
        <w:rPr>
          <w:lang w:val="en-US"/>
        </w:rPr>
        <w:t xml:space="preserve">Patients with </w:t>
      </w:r>
      <w:proofErr w:type="spellStart"/>
      <w:r w:rsidRPr="0043042E">
        <w:rPr>
          <w:lang w:val="en-US"/>
        </w:rPr>
        <w:t>paediatric</w:t>
      </w:r>
      <w:proofErr w:type="spellEnd"/>
      <w:r w:rsidRPr="0043042E">
        <w:rPr>
          <w:lang w:val="en-US"/>
        </w:rPr>
        <w:t xml:space="preserve"> plaque psoriasis (aged 4 to 17 years) were administered 0.8 mg/kg (up to a maximum dose of 50 mg per week) of </w:t>
      </w:r>
      <w:r w:rsidR="000F7B00">
        <w:rPr>
          <w:lang w:val="en-US"/>
        </w:rPr>
        <w:t>Etanercept</w:t>
      </w:r>
      <w:r w:rsidRPr="0043042E">
        <w:rPr>
          <w:lang w:val="en-US"/>
        </w:rPr>
        <w:t xml:space="preserve"> once weekly for up to 48 weeks.  The mean serum steady state trough concentrations ranged from 1.6 to 2.1 mg/L at weeks 12, 24, and 48.  These mean concentrations in patients with </w:t>
      </w:r>
      <w:proofErr w:type="spellStart"/>
      <w:r w:rsidRPr="0043042E">
        <w:rPr>
          <w:lang w:val="en-US"/>
        </w:rPr>
        <w:t>paediatric</w:t>
      </w:r>
      <w:proofErr w:type="spellEnd"/>
      <w:r w:rsidRPr="0043042E">
        <w:rPr>
          <w:lang w:val="en-US"/>
        </w:rPr>
        <w:t xml:space="preserve"> plaque psoriasis were similar to the concentrations observed in patients with juvenile idiopathic arthritis (treated with 0.4 mg/kg  </w:t>
      </w:r>
      <w:r w:rsidR="000F7B00">
        <w:rPr>
          <w:lang w:val="en-US"/>
        </w:rPr>
        <w:t>Etanercept</w:t>
      </w:r>
      <w:r w:rsidRPr="0043042E">
        <w:rPr>
          <w:lang w:val="en-US"/>
        </w:rPr>
        <w:t xml:space="preserve"> twice</w:t>
      </w:r>
      <w:r>
        <w:rPr>
          <w:lang w:val="en-US"/>
        </w:rPr>
        <w:t xml:space="preserve"> </w:t>
      </w:r>
      <w:r w:rsidRPr="0043042E">
        <w:rPr>
          <w:lang w:val="en-US"/>
        </w:rPr>
        <w:t xml:space="preserve">weekly, up to maximum dose of 50 mg per week).  These mean concentrations were similar to those seen in adult patients with plaque psoriasis treated with 25 mg </w:t>
      </w:r>
      <w:r w:rsidR="000F7B00">
        <w:rPr>
          <w:lang w:val="en-US"/>
        </w:rPr>
        <w:t>Etanercept</w:t>
      </w:r>
      <w:r w:rsidRPr="0043042E">
        <w:rPr>
          <w:lang w:val="en-US"/>
        </w:rPr>
        <w:t xml:space="preserve"> twice weekly.</w:t>
      </w:r>
    </w:p>
    <w:p w14:paraId="3856167A" w14:textId="77777777" w:rsidR="005D690B" w:rsidRPr="00F70019" w:rsidRDefault="005D690B" w:rsidP="0021426A">
      <w:pPr>
        <w:pStyle w:val="NormalIndent1"/>
        <w:jc w:val="left"/>
      </w:pPr>
    </w:p>
    <w:p w14:paraId="59A90BED" w14:textId="77777777" w:rsidR="001A3992" w:rsidRDefault="004A3628" w:rsidP="0021426A">
      <w:pPr>
        <w:pStyle w:val="Heading2"/>
        <w:jc w:val="left"/>
        <w:rPr>
          <w:smallCaps/>
          <w:lang w:val="en-US"/>
        </w:rPr>
      </w:pPr>
      <w:r>
        <w:rPr>
          <w:lang w:val="en-US"/>
        </w:rPr>
        <w:t>5.3</w:t>
      </w:r>
      <w:r>
        <w:rPr>
          <w:lang w:val="en-US"/>
        </w:rPr>
        <w:tab/>
      </w:r>
      <w:r w:rsidR="001A3992" w:rsidRPr="005D690B">
        <w:rPr>
          <w:lang w:val="en-US"/>
        </w:rPr>
        <w:t xml:space="preserve">Preclinical </w:t>
      </w:r>
      <w:r w:rsidR="005D690B" w:rsidRPr="005D690B">
        <w:rPr>
          <w:lang w:val="en-US"/>
        </w:rPr>
        <w:t>Safety Data</w:t>
      </w:r>
    </w:p>
    <w:p w14:paraId="15B06397" w14:textId="77777777" w:rsidR="00A67BB1" w:rsidRPr="005D690B" w:rsidRDefault="00A67BB1" w:rsidP="0021426A">
      <w:pPr>
        <w:jc w:val="left"/>
      </w:pPr>
    </w:p>
    <w:p w14:paraId="2AE94DA8" w14:textId="77777777" w:rsidR="001A3992" w:rsidRPr="005D690B" w:rsidRDefault="001A3992" w:rsidP="0021426A">
      <w:pPr>
        <w:pStyle w:val="Heading3"/>
        <w:jc w:val="left"/>
      </w:pPr>
      <w:r w:rsidRPr="005D690B">
        <w:t>Genotoxicity</w:t>
      </w:r>
    </w:p>
    <w:p w14:paraId="5354E98A" w14:textId="77777777" w:rsidR="005D690B" w:rsidRPr="005D690B" w:rsidRDefault="005D690B" w:rsidP="0021426A">
      <w:pPr>
        <w:pStyle w:val="NormalIndent1"/>
        <w:jc w:val="left"/>
      </w:pPr>
    </w:p>
    <w:p w14:paraId="7B904638" w14:textId="77777777" w:rsidR="0043042E" w:rsidRPr="0043042E" w:rsidRDefault="0043042E" w:rsidP="0021426A">
      <w:pPr>
        <w:pStyle w:val="NormalIndent1"/>
        <w:jc w:val="left"/>
        <w:rPr>
          <w:lang w:val="en-US"/>
        </w:rPr>
      </w:pPr>
      <w:r w:rsidRPr="0043042E">
        <w:rPr>
          <w:lang w:val="en-US"/>
        </w:rPr>
        <w:t>Genotoxicity studies showed no evidence of gene mutations or chromosomal damage.</w:t>
      </w:r>
    </w:p>
    <w:p w14:paraId="68E2D28B" w14:textId="77777777" w:rsidR="005D690B" w:rsidRPr="005D690B" w:rsidRDefault="005D690B" w:rsidP="0021426A">
      <w:pPr>
        <w:pStyle w:val="NormalIndent1"/>
        <w:jc w:val="left"/>
      </w:pPr>
    </w:p>
    <w:p w14:paraId="60B4169B" w14:textId="77777777" w:rsidR="001A3992" w:rsidRPr="004C1E87" w:rsidRDefault="00AF5609" w:rsidP="0021426A">
      <w:pPr>
        <w:pStyle w:val="Heading3"/>
        <w:jc w:val="left"/>
      </w:pPr>
      <w:r w:rsidRPr="004C1E87">
        <w:t>Carcinogenicity</w:t>
      </w:r>
    </w:p>
    <w:p w14:paraId="77D418AA" w14:textId="77777777" w:rsidR="005D690B" w:rsidRDefault="005D690B" w:rsidP="0021426A">
      <w:pPr>
        <w:pStyle w:val="NormalIndent1"/>
        <w:jc w:val="left"/>
      </w:pPr>
    </w:p>
    <w:p w14:paraId="1EC3223A" w14:textId="357236E1" w:rsidR="00882590" w:rsidRPr="00EA1B35" w:rsidRDefault="00882590" w:rsidP="0021426A">
      <w:pPr>
        <w:pStyle w:val="NormalIndent1"/>
        <w:jc w:val="left"/>
      </w:pPr>
      <w:r w:rsidRPr="00EA1B35">
        <w:t>Etanercept studies in animals have not been conducted to evaluate the carcinogenic potential of etanercept.</w:t>
      </w:r>
      <w:r w:rsidR="000E0ECA" w:rsidRPr="00EA1B35">
        <w:t xml:space="preserve"> See </w:t>
      </w:r>
      <w:r w:rsidR="000E0ECA" w:rsidRPr="00EA1B35">
        <w:rPr>
          <w:b/>
          <w:lang w:val="en-US"/>
        </w:rPr>
        <w:t xml:space="preserve">Section </w:t>
      </w:r>
      <w:r w:rsidR="00BE6C49" w:rsidRPr="00EA1B35">
        <w:rPr>
          <w:b/>
          <w:lang w:val="en-US"/>
        </w:rPr>
        <w:t>4</w:t>
      </w:r>
      <w:r w:rsidR="000E0ECA" w:rsidRPr="00EA1B35">
        <w:rPr>
          <w:b/>
          <w:lang w:val="en-US"/>
        </w:rPr>
        <w:t>.</w:t>
      </w:r>
      <w:r w:rsidR="00BE6C49" w:rsidRPr="00EA1B35">
        <w:rPr>
          <w:b/>
          <w:lang w:val="en-US"/>
        </w:rPr>
        <w:t>4</w:t>
      </w:r>
      <w:r w:rsidR="000E0ECA" w:rsidRPr="00EA1B35">
        <w:rPr>
          <w:b/>
          <w:lang w:val="en-US"/>
        </w:rPr>
        <w:t xml:space="preserve"> </w:t>
      </w:r>
      <w:r w:rsidR="00BE6C49" w:rsidRPr="00EA1B35">
        <w:rPr>
          <w:b/>
          <w:lang w:val="en-US"/>
        </w:rPr>
        <w:t>Special Warnings and Precautions for Use</w:t>
      </w:r>
      <w:r w:rsidR="00BE6C49" w:rsidRPr="00EA1B35">
        <w:rPr>
          <w:bCs/>
          <w:lang w:val="en-US"/>
        </w:rPr>
        <w:t>.</w:t>
      </w:r>
      <w:r w:rsidR="00BE6C49" w:rsidRPr="00EA1B35">
        <w:rPr>
          <w:b/>
          <w:lang w:val="en-US"/>
        </w:rPr>
        <w:t xml:space="preserve"> </w:t>
      </w:r>
    </w:p>
    <w:p w14:paraId="365E4DA9" w14:textId="77777777" w:rsidR="005D690B" w:rsidRPr="005D690B" w:rsidRDefault="005D690B" w:rsidP="0021426A">
      <w:pPr>
        <w:pStyle w:val="NormalIndent1"/>
        <w:keepNext/>
        <w:keepLines/>
        <w:jc w:val="left"/>
        <w:rPr>
          <w:lang w:val="en-US"/>
        </w:rPr>
      </w:pPr>
    </w:p>
    <w:p w14:paraId="5AD626E8" w14:textId="77777777" w:rsidR="001A3992" w:rsidRDefault="005D690B" w:rsidP="0021426A">
      <w:pPr>
        <w:pStyle w:val="Heading1"/>
        <w:jc w:val="left"/>
        <w:rPr>
          <w:caps/>
          <w:lang w:val="en-US"/>
        </w:rPr>
      </w:pPr>
      <w:r w:rsidRPr="005D690B">
        <w:rPr>
          <w:lang w:val="en-US"/>
        </w:rPr>
        <w:t>PHARMACEUTICAL PARTICULARS</w:t>
      </w:r>
    </w:p>
    <w:p w14:paraId="649F7C4E" w14:textId="77777777" w:rsidR="00EB03C8" w:rsidRPr="005D690B" w:rsidRDefault="00EB03C8" w:rsidP="0021426A">
      <w:pPr>
        <w:keepNext/>
        <w:keepLines/>
        <w:jc w:val="left"/>
        <w:rPr>
          <w:lang w:val="en-US"/>
        </w:rPr>
      </w:pPr>
    </w:p>
    <w:p w14:paraId="55709700" w14:textId="77777777" w:rsidR="001A3992" w:rsidRPr="00EB03C8" w:rsidRDefault="004A3628" w:rsidP="0021426A">
      <w:pPr>
        <w:pStyle w:val="Heading2"/>
        <w:jc w:val="left"/>
        <w:rPr>
          <w:smallCaps/>
          <w:lang w:val="en-US"/>
        </w:rPr>
      </w:pPr>
      <w:r>
        <w:rPr>
          <w:lang w:val="en-US"/>
        </w:rPr>
        <w:t>6.1</w:t>
      </w:r>
      <w:r>
        <w:rPr>
          <w:lang w:val="en-US"/>
        </w:rPr>
        <w:tab/>
      </w:r>
      <w:r w:rsidR="001A3992" w:rsidRPr="00EB03C8">
        <w:rPr>
          <w:lang w:val="en-US"/>
        </w:rPr>
        <w:t xml:space="preserve">List of </w:t>
      </w:r>
      <w:r w:rsidR="00EB03C8" w:rsidRPr="00EB03C8">
        <w:rPr>
          <w:lang w:val="en-US"/>
        </w:rPr>
        <w:t>Excipients</w:t>
      </w:r>
    </w:p>
    <w:p w14:paraId="40DAE8C9" w14:textId="25E4967E" w:rsidR="007301B2" w:rsidRDefault="007301B2" w:rsidP="0021426A">
      <w:pPr>
        <w:pStyle w:val="NormalIndent1"/>
        <w:keepNext/>
        <w:keepLines/>
        <w:jc w:val="left"/>
        <w:rPr>
          <w:lang w:val="en-US"/>
        </w:rPr>
      </w:pPr>
    </w:p>
    <w:p w14:paraId="29214415" w14:textId="2EA6081C" w:rsidR="007301B2" w:rsidRPr="000C0B82" w:rsidRDefault="003D1456" w:rsidP="0021426A">
      <w:pPr>
        <w:pStyle w:val="Heading3"/>
        <w:jc w:val="left"/>
        <w:rPr>
          <w:b w:val="0"/>
          <w:sz w:val="22"/>
          <w:szCs w:val="22"/>
          <w:u w:val="none"/>
        </w:rPr>
      </w:pPr>
      <w:r w:rsidRPr="000C0B82">
        <w:rPr>
          <w:b w:val="0"/>
          <w:sz w:val="22"/>
          <w:szCs w:val="22"/>
          <w:u w:val="none"/>
        </w:rPr>
        <w:t>Rymti</w:t>
      </w:r>
      <w:r w:rsidR="009B2295" w:rsidRPr="000C0B82">
        <w:rPr>
          <w:b w:val="0"/>
          <w:sz w:val="22"/>
          <w:szCs w:val="22"/>
          <w:u w:val="none"/>
        </w:rPr>
        <w:t xml:space="preserve"> </w:t>
      </w:r>
      <w:r w:rsidR="007301B2" w:rsidRPr="000C0B82">
        <w:rPr>
          <w:b w:val="0"/>
          <w:sz w:val="22"/>
          <w:szCs w:val="22"/>
          <w:u w:val="none"/>
        </w:rPr>
        <w:t>Solution for Injection</w:t>
      </w:r>
      <w:r w:rsidR="009B2295" w:rsidRPr="000C0B82">
        <w:rPr>
          <w:b w:val="0"/>
          <w:sz w:val="22"/>
          <w:szCs w:val="22"/>
          <w:u w:val="none"/>
        </w:rPr>
        <w:t xml:space="preserve"> also contains the following excipients: </w:t>
      </w:r>
    </w:p>
    <w:p w14:paraId="7C3DA408" w14:textId="77777777" w:rsidR="007301B2" w:rsidRPr="00EA1B35" w:rsidRDefault="007301B2" w:rsidP="0021426A">
      <w:pPr>
        <w:pStyle w:val="NormalIndent1"/>
        <w:keepNext/>
        <w:keepLines/>
        <w:jc w:val="left"/>
      </w:pPr>
    </w:p>
    <w:p w14:paraId="63CAAEE8" w14:textId="77777777" w:rsidR="00533958" w:rsidRPr="00EA1B35" w:rsidRDefault="008D7C16" w:rsidP="0021426A">
      <w:pPr>
        <w:keepNext/>
        <w:keepLines/>
        <w:tabs>
          <w:tab w:val="left" w:pos="720"/>
        </w:tabs>
        <w:ind w:left="426"/>
        <w:jc w:val="left"/>
        <w:rPr>
          <w:lang w:val="en-US"/>
        </w:rPr>
      </w:pPr>
      <w:r w:rsidRPr="00EA1B35">
        <w:rPr>
          <w:lang w:val="en-US"/>
        </w:rPr>
        <w:t>S</w:t>
      </w:r>
      <w:r w:rsidR="00533958" w:rsidRPr="00EA1B35">
        <w:rPr>
          <w:lang w:val="en-US"/>
        </w:rPr>
        <w:t>odium citrate dihydrate</w:t>
      </w:r>
    </w:p>
    <w:p w14:paraId="71A4D89D" w14:textId="77777777" w:rsidR="00533958" w:rsidRPr="00EA1B35" w:rsidRDefault="005F3D73" w:rsidP="0021426A">
      <w:pPr>
        <w:keepNext/>
        <w:keepLines/>
        <w:tabs>
          <w:tab w:val="left" w:pos="720"/>
        </w:tabs>
        <w:ind w:left="426"/>
        <w:jc w:val="left"/>
        <w:rPr>
          <w:lang w:val="en-US"/>
        </w:rPr>
      </w:pPr>
      <w:r w:rsidRPr="00EA1B35">
        <w:rPr>
          <w:lang w:val="en-US"/>
        </w:rPr>
        <w:t>M</w:t>
      </w:r>
      <w:r w:rsidR="007A5291" w:rsidRPr="00EA1B35">
        <w:rPr>
          <w:lang w:val="en-US"/>
        </w:rPr>
        <w:t xml:space="preserve">onobasic </w:t>
      </w:r>
      <w:r w:rsidRPr="00EA1B35">
        <w:rPr>
          <w:lang w:val="en-US"/>
        </w:rPr>
        <w:t xml:space="preserve">sodium phosphate </w:t>
      </w:r>
      <w:r w:rsidR="007A5291" w:rsidRPr="00EA1B35">
        <w:rPr>
          <w:lang w:val="en-US"/>
        </w:rPr>
        <w:t>dihydrate</w:t>
      </w:r>
    </w:p>
    <w:p w14:paraId="5C16F32C" w14:textId="77777777" w:rsidR="00533958" w:rsidRPr="00EA1B35" w:rsidRDefault="00533958" w:rsidP="0021426A">
      <w:pPr>
        <w:keepNext/>
        <w:keepLines/>
        <w:tabs>
          <w:tab w:val="left" w:pos="720"/>
        </w:tabs>
        <w:ind w:left="426"/>
        <w:jc w:val="left"/>
        <w:rPr>
          <w:lang w:val="en-US"/>
        </w:rPr>
      </w:pPr>
      <w:r w:rsidRPr="00EA1B35">
        <w:rPr>
          <w:lang w:val="en-US"/>
        </w:rPr>
        <w:t>Glycine</w:t>
      </w:r>
    </w:p>
    <w:p w14:paraId="777BCDCD" w14:textId="77777777" w:rsidR="00533958" w:rsidRPr="00EA1B35" w:rsidRDefault="00533958" w:rsidP="0021426A">
      <w:pPr>
        <w:keepNext/>
        <w:keepLines/>
        <w:tabs>
          <w:tab w:val="left" w:pos="720"/>
        </w:tabs>
        <w:ind w:left="426"/>
        <w:jc w:val="left"/>
        <w:rPr>
          <w:lang w:val="en-US"/>
        </w:rPr>
      </w:pPr>
      <w:r w:rsidRPr="00EA1B35">
        <w:rPr>
          <w:lang w:val="en-US"/>
        </w:rPr>
        <w:t>Sucrose</w:t>
      </w:r>
    </w:p>
    <w:p w14:paraId="6393241C" w14:textId="77777777" w:rsidR="00533958" w:rsidRPr="00EA1B35" w:rsidRDefault="00533958" w:rsidP="0021426A">
      <w:pPr>
        <w:keepNext/>
        <w:keepLines/>
        <w:tabs>
          <w:tab w:val="left" w:pos="720"/>
        </w:tabs>
        <w:ind w:left="426"/>
        <w:jc w:val="left"/>
        <w:rPr>
          <w:lang w:val="en-US"/>
        </w:rPr>
      </w:pPr>
      <w:r w:rsidRPr="00EA1B35">
        <w:rPr>
          <w:lang w:val="en-US"/>
        </w:rPr>
        <w:t>Sodium chloride</w:t>
      </w:r>
    </w:p>
    <w:p w14:paraId="1EDD4314" w14:textId="380708A6" w:rsidR="00533958" w:rsidRPr="00EA1B35" w:rsidRDefault="00533958" w:rsidP="0021426A">
      <w:pPr>
        <w:keepNext/>
        <w:keepLines/>
        <w:tabs>
          <w:tab w:val="left" w:pos="720"/>
        </w:tabs>
        <w:ind w:left="426"/>
        <w:jc w:val="left"/>
        <w:rPr>
          <w:lang w:val="en-US"/>
        </w:rPr>
      </w:pPr>
      <w:r w:rsidRPr="00EA1B35">
        <w:rPr>
          <w:lang w:val="en-US"/>
        </w:rPr>
        <w:t xml:space="preserve">Water </w:t>
      </w:r>
      <w:r w:rsidR="003461B7" w:rsidRPr="00EA1B35">
        <w:rPr>
          <w:lang w:val="en-US"/>
        </w:rPr>
        <w:t>f</w:t>
      </w:r>
      <w:r w:rsidRPr="00EA1B35">
        <w:rPr>
          <w:lang w:val="en-US"/>
        </w:rPr>
        <w:t>or Injection</w:t>
      </w:r>
      <w:r w:rsidR="00100AE1" w:rsidRPr="00EA1B35">
        <w:rPr>
          <w:lang w:val="en-US"/>
        </w:rPr>
        <w:t>s</w:t>
      </w:r>
    </w:p>
    <w:p w14:paraId="32A65ED7" w14:textId="77777777" w:rsidR="00261FA5" w:rsidRDefault="00261FA5" w:rsidP="0021426A">
      <w:pPr>
        <w:pStyle w:val="NormalIndent1"/>
        <w:jc w:val="left"/>
        <w:rPr>
          <w:lang w:val="en-US"/>
        </w:rPr>
      </w:pPr>
    </w:p>
    <w:p w14:paraId="33911BFF" w14:textId="77777777" w:rsidR="001A3992" w:rsidRPr="00EB03C8" w:rsidRDefault="004A3628" w:rsidP="0021426A">
      <w:pPr>
        <w:pStyle w:val="Heading2"/>
        <w:jc w:val="left"/>
        <w:rPr>
          <w:smallCaps/>
          <w:lang w:val="en-US"/>
        </w:rPr>
      </w:pPr>
      <w:r>
        <w:rPr>
          <w:lang w:val="en-US"/>
        </w:rPr>
        <w:t>6.2</w:t>
      </w:r>
      <w:r>
        <w:rPr>
          <w:lang w:val="en-US"/>
        </w:rPr>
        <w:tab/>
      </w:r>
      <w:r w:rsidR="001A3992" w:rsidRPr="00EB03C8">
        <w:rPr>
          <w:lang w:val="en-US"/>
        </w:rPr>
        <w:t>Incompatibilities</w:t>
      </w:r>
    </w:p>
    <w:p w14:paraId="60EBE0D3" w14:textId="77777777" w:rsidR="00EB03C8" w:rsidRDefault="00EB03C8" w:rsidP="0021426A">
      <w:pPr>
        <w:pStyle w:val="NormalIndent1"/>
        <w:jc w:val="left"/>
        <w:rPr>
          <w:lang w:val="en"/>
        </w:rPr>
      </w:pPr>
    </w:p>
    <w:p w14:paraId="541CDAAA" w14:textId="77777777" w:rsidR="00497C85" w:rsidRPr="00AA7727" w:rsidRDefault="00497C85" w:rsidP="0021426A">
      <w:pPr>
        <w:pStyle w:val="NormalIndent1"/>
        <w:jc w:val="left"/>
        <w:rPr>
          <w:lang w:val="en"/>
        </w:rPr>
      </w:pPr>
      <w:r w:rsidRPr="00EB03C8">
        <w:rPr>
          <w:lang w:val="en"/>
        </w:rPr>
        <w:t xml:space="preserve">Incompatibilities were either not assessed or not identified as part of the registration of this medicine. </w:t>
      </w:r>
    </w:p>
    <w:p w14:paraId="71FD87B1" w14:textId="77777777" w:rsidR="00EB03C8" w:rsidRPr="00AA7727" w:rsidRDefault="00EB03C8" w:rsidP="0021426A">
      <w:pPr>
        <w:pStyle w:val="NormalIndent1"/>
        <w:jc w:val="left"/>
        <w:rPr>
          <w:lang w:val="en-US"/>
        </w:rPr>
      </w:pPr>
    </w:p>
    <w:p w14:paraId="264B8CA2" w14:textId="77777777" w:rsidR="001A3992" w:rsidRPr="00EB03C8" w:rsidRDefault="004A3628" w:rsidP="0021426A">
      <w:pPr>
        <w:pStyle w:val="Heading2"/>
        <w:jc w:val="left"/>
        <w:rPr>
          <w:smallCaps/>
          <w:lang w:val="en-US"/>
        </w:rPr>
      </w:pPr>
      <w:r>
        <w:rPr>
          <w:lang w:val="en-US"/>
        </w:rPr>
        <w:t>6.3</w:t>
      </w:r>
      <w:r>
        <w:rPr>
          <w:lang w:val="en-US"/>
        </w:rPr>
        <w:tab/>
      </w:r>
      <w:r w:rsidR="001A3992" w:rsidRPr="00EB03C8">
        <w:rPr>
          <w:lang w:val="en-US"/>
        </w:rPr>
        <w:t xml:space="preserve">Shelf </w:t>
      </w:r>
      <w:r w:rsidR="00EB03C8" w:rsidRPr="00EB03C8">
        <w:rPr>
          <w:lang w:val="en-US"/>
        </w:rPr>
        <w:t>Life</w:t>
      </w:r>
    </w:p>
    <w:p w14:paraId="3B5EFC17" w14:textId="77777777" w:rsidR="00EB03C8" w:rsidRDefault="00EB03C8" w:rsidP="0021426A">
      <w:pPr>
        <w:pStyle w:val="NormalIndent1"/>
        <w:jc w:val="left"/>
        <w:rPr>
          <w:lang w:val="en"/>
        </w:rPr>
      </w:pPr>
    </w:p>
    <w:p w14:paraId="45F9E502" w14:textId="77777777" w:rsidR="00497C85" w:rsidRPr="00AA7727" w:rsidRDefault="00497C85" w:rsidP="0021426A">
      <w:pPr>
        <w:pStyle w:val="NormalIndent1"/>
        <w:jc w:val="left"/>
        <w:rPr>
          <w:lang w:val="en"/>
        </w:rPr>
      </w:pPr>
      <w:r w:rsidRPr="00EB03C8">
        <w:rPr>
          <w:lang w:val="en"/>
        </w:rPr>
        <w:t xml:space="preserve">In Australia, information on the shelf life can be found on the public summary of the Australian Register of Therapeutic Goods (ARTG). The expiry date can be found on the packaging. </w:t>
      </w:r>
    </w:p>
    <w:p w14:paraId="1ED351B9" w14:textId="77777777" w:rsidR="00EB03C8" w:rsidRPr="00AA7727" w:rsidRDefault="00EB03C8" w:rsidP="0021426A">
      <w:pPr>
        <w:pStyle w:val="NormalIndent1"/>
        <w:jc w:val="left"/>
        <w:rPr>
          <w:lang w:val="en-US"/>
        </w:rPr>
      </w:pPr>
    </w:p>
    <w:p w14:paraId="2BF2F170" w14:textId="77777777" w:rsidR="001A3992" w:rsidRDefault="004A3628" w:rsidP="0021426A">
      <w:pPr>
        <w:pStyle w:val="Heading2"/>
        <w:jc w:val="left"/>
        <w:rPr>
          <w:smallCaps/>
          <w:lang w:val="en-US"/>
        </w:rPr>
      </w:pPr>
      <w:r>
        <w:rPr>
          <w:lang w:val="en-US"/>
        </w:rPr>
        <w:t>6.4</w:t>
      </w:r>
      <w:r>
        <w:rPr>
          <w:lang w:val="en-US"/>
        </w:rPr>
        <w:tab/>
      </w:r>
      <w:r w:rsidR="001A3992" w:rsidRPr="00EB03C8">
        <w:rPr>
          <w:lang w:val="en-US"/>
        </w:rPr>
        <w:t xml:space="preserve">Special </w:t>
      </w:r>
      <w:r w:rsidR="00EB03C8" w:rsidRPr="00EB03C8">
        <w:rPr>
          <w:lang w:val="en-US"/>
        </w:rPr>
        <w:t xml:space="preserve">Precautions </w:t>
      </w:r>
      <w:r w:rsidR="001A3992" w:rsidRPr="00EB03C8">
        <w:rPr>
          <w:lang w:val="en-US"/>
        </w:rPr>
        <w:t xml:space="preserve">for </w:t>
      </w:r>
      <w:r w:rsidR="00EB03C8" w:rsidRPr="00EB03C8">
        <w:rPr>
          <w:lang w:val="en-US"/>
        </w:rPr>
        <w:t>Storage</w:t>
      </w:r>
    </w:p>
    <w:p w14:paraId="36F22A89" w14:textId="23AE3CEF" w:rsidR="00FD6226" w:rsidRPr="00FD6226" w:rsidRDefault="00FD6226" w:rsidP="0021426A">
      <w:pPr>
        <w:pStyle w:val="NormalIndent1"/>
        <w:jc w:val="left"/>
        <w:rPr>
          <w:lang w:val="en-US"/>
        </w:rPr>
      </w:pPr>
    </w:p>
    <w:p w14:paraId="0356A124" w14:textId="6E64528C" w:rsidR="00FD6226" w:rsidRPr="00FD6226" w:rsidRDefault="00FD6226" w:rsidP="0021426A">
      <w:pPr>
        <w:pStyle w:val="Heading3"/>
        <w:jc w:val="left"/>
        <w:rPr>
          <w:lang w:val="en-US"/>
        </w:rPr>
      </w:pPr>
      <w:r w:rsidRPr="00FD6226">
        <w:rPr>
          <w:lang w:val="en-US"/>
        </w:rPr>
        <w:t xml:space="preserve">Solution </w:t>
      </w:r>
      <w:r>
        <w:rPr>
          <w:lang w:val="en-US"/>
        </w:rPr>
        <w:t>f</w:t>
      </w:r>
      <w:r w:rsidRPr="00FD6226">
        <w:rPr>
          <w:lang w:val="en-US"/>
        </w:rPr>
        <w:t>or Injection (Pre-</w:t>
      </w:r>
      <w:r>
        <w:rPr>
          <w:lang w:val="en-US"/>
        </w:rPr>
        <w:t>F</w:t>
      </w:r>
      <w:r w:rsidRPr="00FD6226">
        <w:rPr>
          <w:lang w:val="en-US"/>
        </w:rPr>
        <w:t>illed Syringe)</w:t>
      </w:r>
    </w:p>
    <w:p w14:paraId="2D708D9D" w14:textId="77777777" w:rsidR="00FD6226" w:rsidRPr="00FD6226" w:rsidRDefault="00FD6226" w:rsidP="0021426A">
      <w:pPr>
        <w:pStyle w:val="NormalIndent1"/>
        <w:jc w:val="left"/>
        <w:rPr>
          <w:lang w:val="en-US"/>
        </w:rPr>
      </w:pPr>
    </w:p>
    <w:p w14:paraId="51F587F7" w14:textId="77777777" w:rsidR="00D3224F" w:rsidRDefault="00FD6226" w:rsidP="0021426A">
      <w:pPr>
        <w:pStyle w:val="NormalIndent1"/>
        <w:jc w:val="left"/>
        <w:rPr>
          <w:lang w:val="en-US"/>
        </w:rPr>
      </w:pPr>
      <w:r w:rsidRPr="00FD6226">
        <w:rPr>
          <w:lang w:val="en-US"/>
        </w:rPr>
        <w:t xml:space="preserve">Store at 2°C to 8°C.  Refrigerate.  Do not freeze.  </w:t>
      </w:r>
    </w:p>
    <w:p w14:paraId="536DF6F4" w14:textId="77777777" w:rsidR="00D3224F" w:rsidRDefault="00D3224F" w:rsidP="0021426A">
      <w:pPr>
        <w:pStyle w:val="NormalIndent1"/>
        <w:jc w:val="left"/>
        <w:rPr>
          <w:lang w:val="en-US"/>
        </w:rPr>
      </w:pPr>
    </w:p>
    <w:p w14:paraId="3CA7E1E2" w14:textId="5884AF7B" w:rsidR="00FD6226" w:rsidRPr="00FD6226" w:rsidRDefault="003D1456" w:rsidP="0021426A">
      <w:pPr>
        <w:pStyle w:val="NormalIndent1"/>
        <w:jc w:val="left"/>
        <w:rPr>
          <w:lang w:val="en-US"/>
        </w:rPr>
      </w:pPr>
      <w:r>
        <w:rPr>
          <w:lang w:val="en-US"/>
        </w:rPr>
        <w:t>Rymti</w:t>
      </w:r>
      <w:r w:rsidR="00D631A3">
        <w:rPr>
          <w:lang w:val="en-US"/>
        </w:rPr>
        <w:t xml:space="preserve"> m</w:t>
      </w:r>
      <w:r w:rsidR="00FD6226" w:rsidRPr="00FD6226">
        <w:rPr>
          <w:lang w:val="en-US"/>
        </w:rPr>
        <w:t>ay be stored at temperatures up to a maximum of 25°C for a single period of up to 4 weeks</w:t>
      </w:r>
      <w:r w:rsidR="00D3224F">
        <w:rPr>
          <w:lang w:val="en-US"/>
        </w:rPr>
        <w:t>, after which it should not be refrigerated again</w:t>
      </w:r>
      <w:r w:rsidR="00FD6226" w:rsidRPr="00FD6226">
        <w:rPr>
          <w:lang w:val="en-US"/>
        </w:rPr>
        <w:t xml:space="preserve">.  </w:t>
      </w:r>
      <w:r>
        <w:rPr>
          <w:lang w:val="en-US"/>
        </w:rPr>
        <w:t>Rymti</w:t>
      </w:r>
      <w:r w:rsidR="00FD6226" w:rsidRPr="00FD6226">
        <w:rPr>
          <w:lang w:val="en-US"/>
        </w:rPr>
        <w:t xml:space="preserve"> should be discarded if exposed to high temperatures, or if not used within 4 weeks of removal from refrigeration.</w:t>
      </w:r>
    </w:p>
    <w:p w14:paraId="5696FD62" w14:textId="178A2AF0" w:rsidR="00FD6226" w:rsidRDefault="00FD6226" w:rsidP="0021426A">
      <w:pPr>
        <w:pStyle w:val="NormalIndent1"/>
        <w:jc w:val="left"/>
        <w:rPr>
          <w:lang w:val="en-US"/>
        </w:rPr>
      </w:pPr>
      <w:r w:rsidRPr="00FD6226">
        <w:rPr>
          <w:lang w:val="en-US"/>
        </w:rPr>
        <w:t>Keep the pre-filled syringes in the outer carton in order to protect from light.</w:t>
      </w:r>
      <w:r>
        <w:rPr>
          <w:lang w:val="en-US"/>
        </w:rPr>
        <w:t xml:space="preserve"> </w:t>
      </w:r>
    </w:p>
    <w:p w14:paraId="798372BD" w14:textId="77777777" w:rsidR="00D631A3" w:rsidRDefault="00D631A3" w:rsidP="0021426A">
      <w:pPr>
        <w:pStyle w:val="NormalIndent1"/>
        <w:jc w:val="left"/>
        <w:rPr>
          <w:lang w:val="en-US"/>
        </w:rPr>
      </w:pPr>
    </w:p>
    <w:p w14:paraId="42D5AA35" w14:textId="0D04FD68" w:rsidR="00EB03C8" w:rsidRPr="005D690B" w:rsidRDefault="00FD6226" w:rsidP="0021426A">
      <w:pPr>
        <w:pStyle w:val="NormalIndent1"/>
        <w:jc w:val="left"/>
      </w:pPr>
      <w:r w:rsidRPr="00FD6226">
        <w:rPr>
          <w:lang w:val="en-US"/>
        </w:rPr>
        <w:t xml:space="preserve">For additional advice on storing </w:t>
      </w:r>
      <w:r w:rsidR="003D1456">
        <w:rPr>
          <w:lang w:val="en-US"/>
        </w:rPr>
        <w:t>Rymti</w:t>
      </w:r>
      <w:r w:rsidRPr="00FD6226">
        <w:rPr>
          <w:lang w:val="en-US"/>
        </w:rPr>
        <w:t xml:space="preserve">, contact </w:t>
      </w:r>
      <w:r w:rsidR="00C36EA6">
        <w:rPr>
          <w:lang w:val="en-US"/>
        </w:rPr>
        <w:t>Generic Health Medical Information</w:t>
      </w:r>
      <w:r w:rsidR="008F5A84">
        <w:rPr>
          <w:lang w:val="en-US"/>
        </w:rPr>
        <w:t xml:space="preserve"> in Australia</w:t>
      </w:r>
      <w:r w:rsidRPr="00FD6226">
        <w:rPr>
          <w:lang w:val="en-US"/>
        </w:rPr>
        <w:t xml:space="preserve"> on </w:t>
      </w:r>
      <w:r w:rsidR="00C36EA6">
        <w:rPr>
          <w:lang w:val="en-US"/>
        </w:rPr>
        <w:t>03 9809 7900.</w:t>
      </w:r>
    </w:p>
    <w:p w14:paraId="19EF7C50" w14:textId="77777777" w:rsidR="00EB03C8" w:rsidRPr="005D690B" w:rsidRDefault="00EB03C8" w:rsidP="0021426A">
      <w:pPr>
        <w:pStyle w:val="NormalIndent1"/>
        <w:jc w:val="left"/>
      </w:pPr>
    </w:p>
    <w:p w14:paraId="1380C05D" w14:textId="77777777" w:rsidR="001A3992" w:rsidRDefault="004A3628" w:rsidP="0021426A">
      <w:pPr>
        <w:pStyle w:val="Heading2"/>
        <w:jc w:val="left"/>
        <w:rPr>
          <w:smallCaps/>
          <w:lang w:val="en-US"/>
        </w:rPr>
      </w:pPr>
      <w:r>
        <w:rPr>
          <w:lang w:val="en-US"/>
        </w:rPr>
        <w:t>6.5</w:t>
      </w:r>
      <w:r>
        <w:rPr>
          <w:lang w:val="en-US"/>
        </w:rPr>
        <w:tab/>
      </w:r>
      <w:r w:rsidR="001A3992" w:rsidRPr="00EB03C8">
        <w:rPr>
          <w:lang w:val="en-US"/>
        </w:rPr>
        <w:t xml:space="preserve">Nature and </w:t>
      </w:r>
      <w:r w:rsidR="00EB03C8" w:rsidRPr="00EB03C8">
        <w:rPr>
          <w:lang w:val="en-US"/>
        </w:rPr>
        <w:t xml:space="preserve">Contents </w:t>
      </w:r>
      <w:r w:rsidR="001A3992" w:rsidRPr="00EB03C8">
        <w:rPr>
          <w:lang w:val="en-US"/>
        </w:rPr>
        <w:t xml:space="preserve">of </w:t>
      </w:r>
      <w:r w:rsidR="00EB03C8" w:rsidRPr="00EB03C8">
        <w:rPr>
          <w:lang w:val="en-US"/>
        </w:rPr>
        <w:t>Container</w:t>
      </w:r>
    </w:p>
    <w:p w14:paraId="00D08DAE" w14:textId="4C99FF9C" w:rsidR="00FD6226" w:rsidRPr="0046124E" w:rsidRDefault="00FD6226" w:rsidP="0021426A">
      <w:pPr>
        <w:pStyle w:val="NormalIndent1"/>
        <w:jc w:val="left"/>
        <w:rPr>
          <w:lang w:val="en-US"/>
        </w:rPr>
      </w:pPr>
    </w:p>
    <w:p w14:paraId="5BD7F8CB" w14:textId="77777777" w:rsidR="00FD6226" w:rsidRPr="0046124E" w:rsidRDefault="00FD6226" w:rsidP="0021426A">
      <w:pPr>
        <w:pStyle w:val="Heading3"/>
        <w:jc w:val="left"/>
        <w:rPr>
          <w:lang w:val="en-US"/>
        </w:rPr>
      </w:pPr>
      <w:r w:rsidRPr="0046124E">
        <w:rPr>
          <w:lang w:val="en-US"/>
        </w:rPr>
        <w:t>Pre-Filled Syringe (Solution for Injection)</w:t>
      </w:r>
    </w:p>
    <w:p w14:paraId="07706083" w14:textId="77777777" w:rsidR="00FD6226" w:rsidRPr="0046124E" w:rsidRDefault="00FD6226" w:rsidP="0021426A">
      <w:pPr>
        <w:pStyle w:val="NormalIndent1"/>
        <w:jc w:val="left"/>
        <w:rPr>
          <w:lang w:val="en-US"/>
        </w:rPr>
      </w:pPr>
    </w:p>
    <w:p w14:paraId="7D333B95" w14:textId="5CFCF6F2" w:rsidR="00FD6226" w:rsidRPr="002015AF" w:rsidRDefault="003D1456" w:rsidP="0021426A">
      <w:pPr>
        <w:ind w:left="426"/>
        <w:jc w:val="left"/>
        <w:rPr>
          <w:lang w:val="en-US"/>
        </w:rPr>
      </w:pPr>
      <w:r>
        <w:rPr>
          <w:lang w:val="en-US"/>
        </w:rPr>
        <w:t>Rymti</w:t>
      </w:r>
      <w:r w:rsidR="00FD6226" w:rsidRPr="0046124E">
        <w:rPr>
          <w:lang w:val="en-US"/>
        </w:rPr>
        <w:t xml:space="preserve"> solution for injection is supplied in </w:t>
      </w:r>
      <w:r w:rsidR="00723384">
        <w:rPr>
          <w:lang w:val="en-US"/>
        </w:rPr>
        <w:t>packs</w:t>
      </w:r>
      <w:r w:rsidR="00FD6226" w:rsidRPr="0046124E">
        <w:rPr>
          <w:lang w:val="en-US"/>
        </w:rPr>
        <w:t xml:space="preserve"> containing </w:t>
      </w:r>
      <w:r w:rsidR="00723384">
        <w:rPr>
          <w:lang w:val="en-US"/>
        </w:rPr>
        <w:t>4</w:t>
      </w:r>
      <w:r w:rsidR="00723384" w:rsidRPr="0046124E">
        <w:rPr>
          <w:lang w:val="en-US"/>
        </w:rPr>
        <w:t xml:space="preserve"> </w:t>
      </w:r>
      <w:r w:rsidR="00FD6226" w:rsidRPr="0046124E">
        <w:rPr>
          <w:lang w:val="en-US"/>
        </w:rPr>
        <w:t xml:space="preserve">single-dose pre-filled glass syringes containing </w:t>
      </w:r>
      <w:r>
        <w:rPr>
          <w:lang w:val="en-US"/>
        </w:rPr>
        <w:t>Rymti</w:t>
      </w:r>
      <w:r w:rsidR="00FD6226" w:rsidRPr="0046124E">
        <w:rPr>
          <w:lang w:val="en-US"/>
        </w:rPr>
        <w:t xml:space="preserve"> solution.  Each syringe of </w:t>
      </w:r>
      <w:r>
        <w:rPr>
          <w:lang w:val="en-US"/>
        </w:rPr>
        <w:t>Rymti</w:t>
      </w:r>
      <w:r w:rsidR="00FD6226" w:rsidRPr="0046124E">
        <w:rPr>
          <w:lang w:val="en-US"/>
        </w:rPr>
        <w:t xml:space="preserve"> contains either 25 mg (in</w:t>
      </w:r>
      <w:r w:rsidR="00FD6226">
        <w:rPr>
          <w:lang w:val="en-US"/>
        </w:rPr>
        <w:t xml:space="preserve"> </w:t>
      </w:r>
      <w:r w:rsidR="00FD6226" w:rsidRPr="0046124E">
        <w:rPr>
          <w:lang w:val="en-US"/>
        </w:rPr>
        <w:t xml:space="preserve">0.5 mL) or 50 mg (in 1 mL) of the active ingredient, etanercept .  </w:t>
      </w:r>
      <w:bookmarkStart w:id="11" w:name="_Hlk515458622"/>
      <w:r w:rsidR="00F472D0">
        <w:rPr>
          <w:lang w:val="en-US"/>
        </w:rPr>
        <w:t>The syringe is</w:t>
      </w:r>
      <w:r w:rsidR="00F472D0" w:rsidRPr="00723384">
        <w:rPr>
          <w:lang w:val="en-US"/>
        </w:rPr>
        <w:t xml:space="preserve"> made from clear </w:t>
      </w:r>
      <w:r w:rsidR="00F472D0">
        <w:rPr>
          <w:lang w:val="en-US"/>
        </w:rPr>
        <w:t>T</w:t>
      </w:r>
      <w:r w:rsidR="00F472D0" w:rsidRPr="00723384">
        <w:rPr>
          <w:lang w:val="en-US"/>
        </w:rPr>
        <w:t>ype 1 glass with a stainless steel 27 gauge needle</w:t>
      </w:r>
      <w:r w:rsidR="00F472D0">
        <w:rPr>
          <w:lang w:val="en-US"/>
        </w:rPr>
        <w:t xml:space="preserve"> covered with a needle cap and a stopper made of </w:t>
      </w:r>
      <w:proofErr w:type="spellStart"/>
      <w:r w:rsidR="00F472D0">
        <w:rPr>
          <w:lang w:val="en-US"/>
        </w:rPr>
        <w:t>bromobutyl</w:t>
      </w:r>
      <w:proofErr w:type="spellEnd"/>
      <w:r w:rsidR="00F472D0">
        <w:rPr>
          <w:lang w:val="en-US"/>
        </w:rPr>
        <w:t xml:space="preserve"> rubber with </w:t>
      </w:r>
      <w:proofErr w:type="spellStart"/>
      <w:r w:rsidR="00F472D0">
        <w:rPr>
          <w:lang w:val="en-US"/>
        </w:rPr>
        <w:t>FluroTec</w:t>
      </w:r>
      <w:proofErr w:type="spellEnd"/>
      <w:r w:rsidR="00F472D0">
        <w:rPr>
          <w:rFonts w:cstheme="minorHAnsi"/>
          <w:lang w:val="en-US"/>
        </w:rPr>
        <w:t>®</w:t>
      </w:r>
      <w:r w:rsidR="00F472D0">
        <w:rPr>
          <w:lang w:val="en-US"/>
        </w:rPr>
        <w:t xml:space="preserve"> coating</w:t>
      </w:r>
      <w:r w:rsidR="00F472D0" w:rsidRPr="00723384">
        <w:rPr>
          <w:lang w:val="en-US"/>
        </w:rPr>
        <w:t>.</w:t>
      </w:r>
      <w:bookmarkEnd w:id="11"/>
      <w:r w:rsidR="00F472D0">
        <w:rPr>
          <w:lang w:val="en-US"/>
        </w:rPr>
        <w:t xml:space="preserve">  </w:t>
      </w:r>
      <w:r w:rsidR="00FD6226" w:rsidRPr="00B2426F">
        <w:rPr>
          <w:lang w:val="en-US"/>
        </w:rPr>
        <w:t xml:space="preserve">The needle </w:t>
      </w:r>
      <w:r w:rsidR="00F472D0" w:rsidRPr="00B2426F">
        <w:rPr>
          <w:lang w:val="en-US"/>
        </w:rPr>
        <w:t xml:space="preserve">cap </w:t>
      </w:r>
      <w:r w:rsidR="004470B8" w:rsidRPr="00B2426F">
        <w:rPr>
          <w:lang w:val="en-US"/>
        </w:rPr>
        <w:t xml:space="preserve">does not </w:t>
      </w:r>
      <w:r w:rsidR="00FD6226" w:rsidRPr="00B2426F">
        <w:rPr>
          <w:lang w:val="en-US"/>
        </w:rPr>
        <w:t>contain natural rubber (latex) (</w:t>
      </w:r>
      <w:r w:rsidR="003117C7" w:rsidRPr="00B2426F">
        <w:rPr>
          <w:lang w:val="en-US"/>
        </w:rPr>
        <w:t xml:space="preserve">see </w:t>
      </w:r>
      <w:r w:rsidR="00FD6226" w:rsidRPr="00B2426F">
        <w:rPr>
          <w:b/>
          <w:lang w:val="en-US"/>
        </w:rPr>
        <w:t xml:space="preserve">Section 4.4 </w:t>
      </w:r>
      <w:r w:rsidR="00FD6226" w:rsidRPr="00B2426F">
        <w:rPr>
          <w:b/>
        </w:rPr>
        <w:t>Special Warnings and Precautions for Use</w:t>
      </w:r>
      <w:r w:rsidR="00FD6226" w:rsidRPr="00B2426F">
        <w:rPr>
          <w:lang w:val="en-US"/>
        </w:rPr>
        <w:t>).  Four alcohol swabs are also provided in the carton.</w:t>
      </w:r>
    </w:p>
    <w:p w14:paraId="4960863C" w14:textId="62578D9E" w:rsidR="00A81654" w:rsidRDefault="00A81654" w:rsidP="0021426A">
      <w:pPr>
        <w:pStyle w:val="NormalIndent1"/>
        <w:jc w:val="left"/>
        <w:rPr>
          <w:lang w:val="en-US"/>
        </w:rPr>
      </w:pPr>
    </w:p>
    <w:p w14:paraId="09371595" w14:textId="443E987F" w:rsidR="00A81654" w:rsidRDefault="00260DE9" w:rsidP="0021426A">
      <w:pPr>
        <w:pStyle w:val="NormalIndent1"/>
        <w:jc w:val="left"/>
        <w:rPr>
          <w:lang w:val="en-US"/>
        </w:rPr>
      </w:pPr>
      <w:r>
        <w:rPr>
          <w:lang w:val="en-US"/>
        </w:rPr>
        <w:t>^</w:t>
      </w:r>
      <w:r w:rsidR="00A81654">
        <w:rPr>
          <w:lang w:val="en-US"/>
        </w:rPr>
        <w:t xml:space="preserve">Not all pack sizes may be marketed. </w:t>
      </w:r>
    </w:p>
    <w:p w14:paraId="670437E8" w14:textId="77777777" w:rsidR="0088138D" w:rsidRDefault="0088138D" w:rsidP="0021426A">
      <w:pPr>
        <w:pStyle w:val="NormalIndent1"/>
        <w:jc w:val="left"/>
      </w:pPr>
    </w:p>
    <w:p w14:paraId="27E1A4F6" w14:textId="77777777" w:rsidR="0088138D" w:rsidRDefault="0088138D" w:rsidP="0021426A">
      <w:pPr>
        <w:pStyle w:val="Heading3"/>
        <w:jc w:val="left"/>
      </w:pPr>
      <w:r>
        <w:t>Australian Registration Numbers</w:t>
      </w:r>
    </w:p>
    <w:p w14:paraId="16823781" w14:textId="77777777" w:rsidR="0088138D" w:rsidRDefault="0088138D" w:rsidP="0021426A">
      <w:pPr>
        <w:pStyle w:val="NormalIndent1"/>
        <w:jc w:val="left"/>
      </w:pPr>
    </w:p>
    <w:p w14:paraId="1C9803F1" w14:textId="6ECB7697" w:rsidR="0088138D" w:rsidRDefault="0088138D" w:rsidP="0021426A">
      <w:pPr>
        <w:pStyle w:val="NormalIndent1"/>
        <w:jc w:val="left"/>
        <w:rPr>
          <w:lang w:val="en-US"/>
        </w:rPr>
      </w:pPr>
      <w:r>
        <w:rPr>
          <w:lang w:val="en-US"/>
        </w:rPr>
        <w:t xml:space="preserve">AUST R XXXXXX - </w:t>
      </w:r>
      <w:r w:rsidR="003D1456">
        <w:rPr>
          <w:lang w:val="en-US"/>
        </w:rPr>
        <w:t>Rymti</w:t>
      </w:r>
      <w:r w:rsidRPr="0099734A">
        <w:rPr>
          <w:lang w:val="en-US"/>
        </w:rPr>
        <w:t xml:space="preserve"> (</w:t>
      </w:r>
      <w:r>
        <w:rPr>
          <w:lang w:val="en-US"/>
        </w:rPr>
        <w:t>e</w:t>
      </w:r>
      <w:r w:rsidRPr="0099734A">
        <w:rPr>
          <w:lang w:val="en-US"/>
        </w:rPr>
        <w:t>tanercept) 25 mg solution for injection pre-filled syringe</w:t>
      </w:r>
      <w:r>
        <w:rPr>
          <w:lang w:val="en-US"/>
        </w:rPr>
        <w:t>.</w:t>
      </w:r>
    </w:p>
    <w:p w14:paraId="0EDBF13F" w14:textId="186DFC86" w:rsidR="0088138D" w:rsidRDefault="0088138D" w:rsidP="0021426A">
      <w:pPr>
        <w:pStyle w:val="NormalIndent1"/>
        <w:jc w:val="left"/>
        <w:rPr>
          <w:lang w:val="en-US"/>
        </w:rPr>
      </w:pPr>
      <w:r>
        <w:rPr>
          <w:lang w:val="en-US"/>
        </w:rPr>
        <w:t xml:space="preserve">AUST R XXXXXX - </w:t>
      </w:r>
      <w:r w:rsidR="003D1456">
        <w:rPr>
          <w:lang w:val="en-US"/>
        </w:rPr>
        <w:t>Rymti</w:t>
      </w:r>
      <w:r w:rsidRPr="0099734A">
        <w:rPr>
          <w:lang w:val="en-US"/>
        </w:rPr>
        <w:t xml:space="preserve"> (</w:t>
      </w:r>
      <w:r>
        <w:rPr>
          <w:lang w:val="en-US"/>
        </w:rPr>
        <w:t>e</w:t>
      </w:r>
      <w:r w:rsidRPr="0099734A">
        <w:rPr>
          <w:lang w:val="en-US"/>
        </w:rPr>
        <w:t>tanercept) 5</w:t>
      </w:r>
      <w:r>
        <w:rPr>
          <w:lang w:val="en-US"/>
        </w:rPr>
        <w:t>0</w:t>
      </w:r>
      <w:r w:rsidRPr="0099734A">
        <w:rPr>
          <w:lang w:val="en-US"/>
        </w:rPr>
        <w:t xml:space="preserve"> mg solution for injection pre-filled syringe</w:t>
      </w:r>
      <w:r>
        <w:rPr>
          <w:lang w:val="en-US"/>
        </w:rPr>
        <w:t>.</w:t>
      </w:r>
    </w:p>
    <w:p w14:paraId="16D8C5ED" w14:textId="5CCF1F39" w:rsidR="0088138D" w:rsidRPr="005D690B" w:rsidRDefault="0088138D" w:rsidP="0021426A">
      <w:pPr>
        <w:pStyle w:val="NormalIndent1"/>
        <w:jc w:val="left"/>
      </w:pPr>
    </w:p>
    <w:p w14:paraId="152DC4AE" w14:textId="77777777" w:rsidR="001A3992" w:rsidRPr="00EB03C8" w:rsidRDefault="004A3628" w:rsidP="0021426A">
      <w:pPr>
        <w:pStyle w:val="Heading2"/>
        <w:jc w:val="left"/>
        <w:rPr>
          <w:smallCaps/>
          <w:lang w:val="en-US"/>
        </w:rPr>
      </w:pPr>
      <w:r>
        <w:rPr>
          <w:lang w:val="en-US"/>
        </w:rPr>
        <w:t>6.6</w:t>
      </w:r>
      <w:r>
        <w:rPr>
          <w:lang w:val="en-US"/>
        </w:rPr>
        <w:tab/>
      </w:r>
      <w:r w:rsidR="001A3992" w:rsidRPr="00EB03C8">
        <w:rPr>
          <w:lang w:val="en-US"/>
        </w:rPr>
        <w:t xml:space="preserve">Special </w:t>
      </w:r>
      <w:r w:rsidR="00EB03C8" w:rsidRPr="00EB03C8">
        <w:rPr>
          <w:lang w:val="en-US"/>
        </w:rPr>
        <w:t xml:space="preserve">Precautions </w:t>
      </w:r>
      <w:r w:rsidR="001A3992" w:rsidRPr="00EB03C8">
        <w:rPr>
          <w:lang w:val="en-US"/>
        </w:rPr>
        <w:t xml:space="preserve">for </w:t>
      </w:r>
      <w:r w:rsidR="00EB03C8" w:rsidRPr="00EB03C8">
        <w:rPr>
          <w:lang w:val="en-US"/>
        </w:rPr>
        <w:t>Disposal</w:t>
      </w:r>
    </w:p>
    <w:p w14:paraId="17DF07CD" w14:textId="77777777" w:rsidR="00EB03C8" w:rsidRDefault="00EB03C8" w:rsidP="0021426A">
      <w:pPr>
        <w:pStyle w:val="NormalIndent1"/>
        <w:jc w:val="left"/>
        <w:rPr>
          <w:lang w:val="en"/>
        </w:rPr>
      </w:pPr>
    </w:p>
    <w:p w14:paraId="623B0CFA" w14:textId="77777777" w:rsidR="00FD6226" w:rsidRDefault="00FD6226" w:rsidP="0021426A">
      <w:pPr>
        <w:pStyle w:val="NormalIndent1"/>
        <w:jc w:val="left"/>
        <w:rPr>
          <w:lang w:val="en-US"/>
        </w:rPr>
      </w:pPr>
      <w:r w:rsidRPr="00FD6226">
        <w:rPr>
          <w:lang w:val="en-US"/>
        </w:rPr>
        <w:t>Contains no antimicrobial agent.  Product is for single use only in one patient only.  Discard any residue</w:t>
      </w:r>
      <w:r>
        <w:rPr>
          <w:lang w:val="en-US"/>
        </w:rPr>
        <w:t xml:space="preserve">. </w:t>
      </w:r>
    </w:p>
    <w:p w14:paraId="0E6DB3EE" w14:textId="77777777" w:rsidR="00FD6226" w:rsidRDefault="00FD6226" w:rsidP="0021426A">
      <w:pPr>
        <w:pStyle w:val="NormalIndent1"/>
        <w:jc w:val="left"/>
        <w:rPr>
          <w:lang w:val="en"/>
        </w:rPr>
      </w:pPr>
    </w:p>
    <w:p w14:paraId="219C7486" w14:textId="77777777" w:rsidR="00497C85" w:rsidRPr="00AE47CE" w:rsidRDefault="00497C85" w:rsidP="0021426A">
      <w:pPr>
        <w:pStyle w:val="NormalIndent1"/>
        <w:jc w:val="left"/>
        <w:rPr>
          <w:lang w:val="en"/>
        </w:rPr>
      </w:pPr>
      <w:r w:rsidRPr="00EB03C8">
        <w:rPr>
          <w:lang w:val="en"/>
        </w:rPr>
        <w:t xml:space="preserve">In Australia, any unused medicine or waste material should be disposed of by taking to your local pharmacy. </w:t>
      </w:r>
    </w:p>
    <w:p w14:paraId="0A2F01F7" w14:textId="77777777" w:rsidR="00EB03C8" w:rsidRPr="00EB03C8" w:rsidRDefault="00EB03C8" w:rsidP="0021426A">
      <w:pPr>
        <w:pStyle w:val="NormalIndent1"/>
        <w:jc w:val="left"/>
        <w:rPr>
          <w:lang w:val="en-US"/>
        </w:rPr>
      </w:pPr>
    </w:p>
    <w:p w14:paraId="486B0692" w14:textId="77777777" w:rsidR="001A3992" w:rsidRDefault="004A3628" w:rsidP="0021426A">
      <w:pPr>
        <w:pStyle w:val="Heading2"/>
        <w:jc w:val="left"/>
        <w:rPr>
          <w:smallCaps/>
          <w:lang w:val="en-US"/>
        </w:rPr>
      </w:pPr>
      <w:r>
        <w:rPr>
          <w:lang w:val="en-US"/>
        </w:rPr>
        <w:t>6.7</w:t>
      </w:r>
      <w:r>
        <w:rPr>
          <w:lang w:val="en-US"/>
        </w:rPr>
        <w:tab/>
      </w:r>
      <w:r w:rsidR="001A3992" w:rsidRPr="00EB03C8">
        <w:rPr>
          <w:lang w:val="en-US"/>
        </w:rPr>
        <w:t xml:space="preserve">Physicochemical </w:t>
      </w:r>
      <w:r w:rsidR="00EB03C8" w:rsidRPr="00EB03C8">
        <w:rPr>
          <w:lang w:val="en-US"/>
        </w:rPr>
        <w:t>Properties</w:t>
      </w:r>
    </w:p>
    <w:p w14:paraId="4CE7DE76" w14:textId="77777777" w:rsidR="00EB03C8" w:rsidRPr="00F70019" w:rsidRDefault="00EB03C8" w:rsidP="0021426A">
      <w:pPr>
        <w:jc w:val="left"/>
      </w:pPr>
    </w:p>
    <w:p w14:paraId="787944F4" w14:textId="77777777" w:rsidR="00D24208" w:rsidRPr="0099734A" w:rsidRDefault="00D24208" w:rsidP="0021426A">
      <w:pPr>
        <w:pStyle w:val="NormalIndent1"/>
        <w:jc w:val="left"/>
        <w:rPr>
          <w:lang w:val="en-US"/>
        </w:rPr>
      </w:pPr>
      <w:r w:rsidRPr="0099734A">
        <w:rPr>
          <w:lang w:val="en-US"/>
        </w:rPr>
        <w:t xml:space="preserve">Etanercept is a human </w:t>
      </w:r>
      <w:proofErr w:type="spellStart"/>
      <w:r w:rsidRPr="0099734A">
        <w:rPr>
          <w:lang w:val="en-US"/>
        </w:rPr>
        <w:t>tumour</w:t>
      </w:r>
      <w:proofErr w:type="spellEnd"/>
      <w:r w:rsidRPr="0099734A">
        <w:rPr>
          <w:lang w:val="en-US"/>
        </w:rPr>
        <w:t xml:space="preserve"> necrosis factor receptor p75 Fc fusion protein produced by recombinant DNA technology in a Chinese hamster ovary (CHO) mammalian expression system. </w:t>
      </w:r>
      <w:r>
        <w:rPr>
          <w:lang w:val="en-US"/>
        </w:rPr>
        <w:t xml:space="preserve"> </w:t>
      </w:r>
      <w:r w:rsidRPr="0099734A">
        <w:rPr>
          <w:lang w:val="en-US"/>
        </w:rPr>
        <w:t xml:space="preserve">Etanercept is a dimer of a protein genetically engineered by fusing the extracellular ligand-binding domain of human </w:t>
      </w:r>
      <w:proofErr w:type="spellStart"/>
      <w:r w:rsidRPr="0099734A">
        <w:rPr>
          <w:lang w:val="en-US"/>
        </w:rPr>
        <w:t>tumour</w:t>
      </w:r>
      <w:proofErr w:type="spellEnd"/>
      <w:r w:rsidRPr="0099734A">
        <w:rPr>
          <w:lang w:val="en-US"/>
        </w:rPr>
        <w:t xml:space="preserve"> necrosis factor receptor-2 (TNFR2/p75) to the Fc domain of human </w:t>
      </w:r>
      <w:r>
        <w:rPr>
          <w:lang w:val="en-US"/>
        </w:rPr>
        <w:t>I</w:t>
      </w:r>
      <w:r w:rsidRPr="0099734A">
        <w:rPr>
          <w:lang w:val="en-US"/>
        </w:rPr>
        <w:t xml:space="preserve">gG1. </w:t>
      </w:r>
      <w:r>
        <w:rPr>
          <w:lang w:val="en-US"/>
        </w:rPr>
        <w:t xml:space="preserve"> </w:t>
      </w:r>
      <w:r w:rsidRPr="0099734A">
        <w:rPr>
          <w:lang w:val="en-US"/>
        </w:rPr>
        <w:t>This Fc component contains the hinge, CH</w:t>
      </w:r>
      <w:r w:rsidRPr="0046124E">
        <w:rPr>
          <w:vertAlign w:val="subscript"/>
          <w:lang w:val="en-US"/>
        </w:rPr>
        <w:t>2</w:t>
      </w:r>
      <w:r w:rsidRPr="0099734A">
        <w:rPr>
          <w:lang w:val="en-US"/>
        </w:rPr>
        <w:t xml:space="preserve"> and CH</w:t>
      </w:r>
      <w:r w:rsidRPr="0046124E">
        <w:rPr>
          <w:vertAlign w:val="subscript"/>
          <w:lang w:val="en-US"/>
        </w:rPr>
        <w:t>3</w:t>
      </w:r>
      <w:r w:rsidRPr="0099734A">
        <w:rPr>
          <w:lang w:val="en-US"/>
        </w:rPr>
        <w:t xml:space="preserve"> regions but not the CH</w:t>
      </w:r>
      <w:r w:rsidRPr="0046124E">
        <w:rPr>
          <w:vertAlign w:val="subscript"/>
          <w:lang w:val="en-US"/>
        </w:rPr>
        <w:t>1</w:t>
      </w:r>
      <w:r w:rsidRPr="0099734A">
        <w:rPr>
          <w:lang w:val="en-US"/>
        </w:rPr>
        <w:t xml:space="preserve"> region of IgG1. </w:t>
      </w:r>
      <w:r>
        <w:rPr>
          <w:lang w:val="en-US"/>
        </w:rPr>
        <w:t xml:space="preserve"> </w:t>
      </w:r>
      <w:r w:rsidRPr="0099734A">
        <w:rPr>
          <w:lang w:val="en-US"/>
        </w:rPr>
        <w:t>Etanercept contains 934 amino acids and has an apparent molecular weight of approximately</w:t>
      </w:r>
      <w:r>
        <w:rPr>
          <w:lang w:val="en-US"/>
        </w:rPr>
        <w:t xml:space="preserve"> </w:t>
      </w:r>
      <w:r w:rsidRPr="0099734A">
        <w:rPr>
          <w:lang w:val="en-US"/>
        </w:rPr>
        <w:t xml:space="preserve">150 kilodaltons.  </w:t>
      </w:r>
    </w:p>
    <w:p w14:paraId="5F573B40" w14:textId="77777777" w:rsidR="00D24208" w:rsidRPr="0099734A" w:rsidRDefault="00D24208" w:rsidP="0021426A">
      <w:pPr>
        <w:pStyle w:val="NormalIndent1"/>
        <w:jc w:val="left"/>
        <w:rPr>
          <w:lang w:val="en-US"/>
        </w:rPr>
      </w:pPr>
    </w:p>
    <w:p w14:paraId="3088F4C5" w14:textId="77777777" w:rsidR="00D24208" w:rsidRDefault="00D24208" w:rsidP="0021426A">
      <w:pPr>
        <w:pStyle w:val="NormalIndent1"/>
        <w:jc w:val="left"/>
        <w:rPr>
          <w:lang w:val="en-US"/>
        </w:rPr>
      </w:pPr>
      <w:r w:rsidRPr="0099734A">
        <w:rPr>
          <w:lang w:val="en-US"/>
        </w:rPr>
        <w:t xml:space="preserve">The potency is determined by measuring the ability of </w:t>
      </w:r>
      <w:proofErr w:type="spellStart"/>
      <w:r w:rsidRPr="0099734A">
        <w:rPr>
          <w:lang w:val="en-US"/>
        </w:rPr>
        <w:t>etanercept</w:t>
      </w:r>
      <w:proofErr w:type="spellEnd"/>
      <w:r w:rsidRPr="0099734A">
        <w:rPr>
          <w:lang w:val="en-US"/>
        </w:rPr>
        <w:t xml:space="preserve"> to </w:t>
      </w:r>
      <w:proofErr w:type="spellStart"/>
      <w:r w:rsidRPr="0099734A">
        <w:rPr>
          <w:lang w:val="en-US"/>
        </w:rPr>
        <w:t>neutralise</w:t>
      </w:r>
      <w:proofErr w:type="spellEnd"/>
      <w:r w:rsidRPr="0099734A">
        <w:rPr>
          <w:lang w:val="en-US"/>
        </w:rPr>
        <w:t xml:space="preserve"> the TNF</w:t>
      </w:r>
      <w:r>
        <w:rPr>
          <w:lang w:val="en-US"/>
        </w:rPr>
        <w:sym w:font="Symbol" w:char="F061"/>
      </w:r>
      <w:r>
        <w:rPr>
          <w:lang w:val="en-US"/>
        </w:rPr>
        <w:t>-</w:t>
      </w:r>
      <w:r w:rsidRPr="0099734A">
        <w:rPr>
          <w:lang w:val="en-US"/>
        </w:rPr>
        <w:t>mediated growth inhibition of A375 cells.  The specific activity of etanercept is 1.7 x 10</w:t>
      </w:r>
      <w:r w:rsidRPr="0046124E">
        <w:rPr>
          <w:vertAlign w:val="superscript"/>
          <w:lang w:val="en-US"/>
        </w:rPr>
        <w:t>6</w:t>
      </w:r>
      <w:r w:rsidRPr="0099734A">
        <w:rPr>
          <w:lang w:val="en-US"/>
        </w:rPr>
        <w:t xml:space="preserve"> units/mg.</w:t>
      </w:r>
    </w:p>
    <w:p w14:paraId="7E28A61B" w14:textId="77777777" w:rsidR="00D24208" w:rsidRDefault="00D24208" w:rsidP="0021426A">
      <w:pPr>
        <w:jc w:val="left"/>
        <w:rPr>
          <w:lang w:val="en-US"/>
        </w:rPr>
      </w:pPr>
    </w:p>
    <w:p w14:paraId="764E4362" w14:textId="20692E79" w:rsidR="001A3992" w:rsidRPr="00EB03C8" w:rsidRDefault="001A3992" w:rsidP="0021426A">
      <w:pPr>
        <w:pStyle w:val="Heading3"/>
        <w:jc w:val="left"/>
        <w:rPr>
          <w:lang w:val="en-US"/>
        </w:rPr>
      </w:pPr>
      <w:r w:rsidRPr="00EB03C8">
        <w:rPr>
          <w:lang w:val="en-US"/>
        </w:rPr>
        <w:t xml:space="preserve">CAS </w:t>
      </w:r>
      <w:r w:rsidR="00EB03C8" w:rsidRPr="00EB03C8">
        <w:rPr>
          <w:lang w:val="en-US"/>
        </w:rPr>
        <w:t>Number</w:t>
      </w:r>
    </w:p>
    <w:p w14:paraId="337C03BC" w14:textId="77777777" w:rsidR="00EB03C8" w:rsidRPr="005D690B" w:rsidRDefault="00EB03C8" w:rsidP="0021426A">
      <w:pPr>
        <w:pStyle w:val="NormalIndent1"/>
        <w:jc w:val="left"/>
      </w:pPr>
    </w:p>
    <w:p w14:paraId="37A803F6" w14:textId="77777777" w:rsidR="00FD6226" w:rsidRPr="00FD6226" w:rsidRDefault="00FD6226" w:rsidP="0021426A">
      <w:pPr>
        <w:pStyle w:val="NormalIndent1"/>
        <w:jc w:val="left"/>
      </w:pPr>
      <w:r w:rsidRPr="00FD6226">
        <w:t>185243-69-0.</w:t>
      </w:r>
    </w:p>
    <w:p w14:paraId="56084917" w14:textId="77777777" w:rsidR="005D690B" w:rsidRPr="005D690B" w:rsidRDefault="005D690B" w:rsidP="0021426A">
      <w:pPr>
        <w:pStyle w:val="NormalIndent1"/>
        <w:jc w:val="left"/>
        <w:rPr>
          <w:lang w:val="en-US"/>
        </w:rPr>
      </w:pPr>
    </w:p>
    <w:p w14:paraId="16E8E128" w14:textId="77777777" w:rsidR="001A3992" w:rsidRDefault="005D690B" w:rsidP="0021426A">
      <w:pPr>
        <w:pStyle w:val="Heading1"/>
        <w:jc w:val="left"/>
        <w:rPr>
          <w:caps/>
          <w:lang w:val="en-US"/>
        </w:rPr>
      </w:pPr>
      <w:r w:rsidRPr="005D690B">
        <w:rPr>
          <w:lang w:val="en-US"/>
        </w:rPr>
        <w:t>MEDICINE SCHEDULE (POISONS STANDARD)</w:t>
      </w:r>
    </w:p>
    <w:p w14:paraId="7F128149" w14:textId="77777777" w:rsidR="00EB03C8" w:rsidRPr="00F70019" w:rsidRDefault="00EB03C8" w:rsidP="0021426A">
      <w:pPr>
        <w:pStyle w:val="NormalIndent1"/>
        <w:jc w:val="left"/>
      </w:pPr>
    </w:p>
    <w:p w14:paraId="03F6D1D9" w14:textId="77777777" w:rsidR="00EB03C8" w:rsidRPr="00F70019" w:rsidRDefault="00FD6226" w:rsidP="0021426A">
      <w:pPr>
        <w:pStyle w:val="NormalIndent1"/>
        <w:jc w:val="left"/>
      </w:pPr>
      <w:r>
        <w:t>S4 - Prescription Only Medicine.</w:t>
      </w:r>
    </w:p>
    <w:p w14:paraId="2EDD1CEB" w14:textId="77777777" w:rsidR="00EB03C8" w:rsidRPr="005D690B" w:rsidRDefault="00EB03C8" w:rsidP="0021426A">
      <w:pPr>
        <w:pStyle w:val="NormalIndent1"/>
        <w:jc w:val="left"/>
        <w:rPr>
          <w:lang w:val="en-US"/>
        </w:rPr>
      </w:pPr>
    </w:p>
    <w:p w14:paraId="1658C462" w14:textId="77777777" w:rsidR="00CE0D44" w:rsidRDefault="00CE0D44" w:rsidP="0021426A">
      <w:pPr>
        <w:pStyle w:val="Heading1"/>
        <w:jc w:val="left"/>
        <w:rPr>
          <w:caps/>
          <w:lang w:val="en-US"/>
        </w:rPr>
      </w:pPr>
      <w:r w:rsidRPr="005D690B">
        <w:rPr>
          <w:lang w:val="en-US"/>
        </w:rPr>
        <w:t>SPONSOR</w:t>
      </w:r>
    </w:p>
    <w:p w14:paraId="6672A935" w14:textId="77777777" w:rsidR="00CE0D44" w:rsidRPr="00F70019" w:rsidRDefault="00CE0D44" w:rsidP="0021426A">
      <w:pPr>
        <w:pStyle w:val="NormalIndent1"/>
        <w:keepNext/>
        <w:keepLines/>
        <w:jc w:val="left"/>
      </w:pPr>
    </w:p>
    <w:p w14:paraId="57D24CA4" w14:textId="77777777" w:rsidR="00CE0D44" w:rsidRDefault="00CE0D44" w:rsidP="0021426A">
      <w:pPr>
        <w:pStyle w:val="NormalIndent1"/>
        <w:keepNext/>
        <w:keepLines/>
        <w:jc w:val="left"/>
        <w:rPr>
          <w:lang w:val="en-US"/>
        </w:rPr>
      </w:pPr>
      <w:r>
        <w:rPr>
          <w:lang w:val="en-US"/>
        </w:rPr>
        <w:t>Lupin Australia Pty Ltd</w:t>
      </w:r>
    </w:p>
    <w:p w14:paraId="39D3091E" w14:textId="77777777" w:rsidR="00CE0D44" w:rsidRDefault="00CE0D44" w:rsidP="0021426A">
      <w:pPr>
        <w:pStyle w:val="NormalIndent1"/>
        <w:keepNext/>
        <w:keepLines/>
        <w:jc w:val="left"/>
        <w:rPr>
          <w:lang w:val="en-US"/>
        </w:rPr>
      </w:pPr>
      <w:r>
        <w:rPr>
          <w:lang w:val="en-US"/>
        </w:rPr>
        <w:t xml:space="preserve">Suite 2, Level 2 </w:t>
      </w:r>
    </w:p>
    <w:p w14:paraId="7011A00F" w14:textId="77777777" w:rsidR="00CE0D44" w:rsidRDefault="00CE0D44" w:rsidP="0021426A">
      <w:pPr>
        <w:pStyle w:val="NormalIndent1"/>
        <w:keepNext/>
        <w:keepLines/>
        <w:jc w:val="left"/>
        <w:rPr>
          <w:lang w:val="en-US"/>
        </w:rPr>
      </w:pPr>
      <w:r>
        <w:rPr>
          <w:lang w:val="en-US"/>
        </w:rPr>
        <w:t>19-23 Prospect St</w:t>
      </w:r>
    </w:p>
    <w:p w14:paraId="6F364952" w14:textId="77777777" w:rsidR="00CE0D44" w:rsidRDefault="00CE0D44" w:rsidP="0021426A">
      <w:pPr>
        <w:pStyle w:val="NormalIndent1"/>
        <w:keepNext/>
        <w:keepLines/>
        <w:jc w:val="left"/>
        <w:rPr>
          <w:lang w:val="en-US"/>
        </w:rPr>
      </w:pPr>
      <w:r>
        <w:rPr>
          <w:lang w:val="en-US"/>
        </w:rPr>
        <w:t>Box Hill, VIC 3128</w:t>
      </w:r>
    </w:p>
    <w:p w14:paraId="10A7C1F5" w14:textId="77777777" w:rsidR="00CE0D44" w:rsidRDefault="00CE0D44" w:rsidP="0021426A">
      <w:pPr>
        <w:pStyle w:val="NormalIndent1"/>
        <w:keepNext/>
        <w:keepLines/>
        <w:jc w:val="left"/>
        <w:rPr>
          <w:lang w:val="en-US"/>
        </w:rPr>
      </w:pPr>
      <w:r>
        <w:rPr>
          <w:lang w:val="en-US"/>
        </w:rPr>
        <w:t>Australia</w:t>
      </w:r>
    </w:p>
    <w:p w14:paraId="328B9B3D" w14:textId="77777777" w:rsidR="003272FD" w:rsidRDefault="003272FD" w:rsidP="0021426A">
      <w:pPr>
        <w:pStyle w:val="NormalIndent1"/>
        <w:keepNext/>
        <w:keepLines/>
        <w:jc w:val="left"/>
      </w:pPr>
    </w:p>
    <w:p w14:paraId="30CF3121" w14:textId="77777777" w:rsidR="003272FD" w:rsidRPr="00AE47CE" w:rsidRDefault="003272FD" w:rsidP="0021426A">
      <w:pPr>
        <w:pStyle w:val="Heading3"/>
        <w:jc w:val="left"/>
      </w:pPr>
      <w:r>
        <w:t>Distributor</w:t>
      </w:r>
    </w:p>
    <w:p w14:paraId="179C7AC9" w14:textId="77777777" w:rsidR="003272FD" w:rsidRPr="00F70019" w:rsidRDefault="003272FD" w:rsidP="0021426A">
      <w:pPr>
        <w:pStyle w:val="NormalIndent1"/>
        <w:keepNext/>
        <w:keepLines/>
        <w:jc w:val="left"/>
      </w:pPr>
    </w:p>
    <w:p w14:paraId="691F228C" w14:textId="77777777" w:rsidR="003272FD" w:rsidRDefault="003272FD" w:rsidP="0021426A">
      <w:pPr>
        <w:pStyle w:val="NormalIndent1"/>
        <w:keepNext/>
        <w:keepLines/>
        <w:jc w:val="left"/>
      </w:pPr>
      <w:r>
        <w:t>Generic Health Pty Ltd</w:t>
      </w:r>
    </w:p>
    <w:p w14:paraId="5CC8FC29" w14:textId="3516DB5E" w:rsidR="006C3C1A" w:rsidRDefault="008B6010" w:rsidP="0021426A">
      <w:pPr>
        <w:pStyle w:val="NormalIndent1"/>
        <w:keepNext/>
        <w:keepLines/>
        <w:jc w:val="left"/>
        <w:rPr>
          <w:lang w:val="en-US"/>
        </w:rPr>
      </w:pPr>
      <w:r>
        <w:rPr>
          <w:lang w:val="en-US"/>
        </w:rPr>
        <w:t xml:space="preserve">Suite 2, Level 2 </w:t>
      </w:r>
    </w:p>
    <w:p w14:paraId="61A89831" w14:textId="7912AECE" w:rsidR="008B6010" w:rsidRDefault="008B6010" w:rsidP="0021426A">
      <w:pPr>
        <w:pStyle w:val="NormalIndent1"/>
        <w:keepNext/>
        <w:keepLines/>
        <w:jc w:val="left"/>
        <w:rPr>
          <w:lang w:val="en-US"/>
        </w:rPr>
      </w:pPr>
      <w:r>
        <w:rPr>
          <w:lang w:val="en-US"/>
        </w:rPr>
        <w:t>19-23 Prospect St</w:t>
      </w:r>
    </w:p>
    <w:p w14:paraId="1BE3716F" w14:textId="77777777" w:rsidR="008B6010" w:rsidRDefault="008B6010" w:rsidP="0021426A">
      <w:pPr>
        <w:pStyle w:val="NormalIndent1"/>
        <w:keepNext/>
        <w:keepLines/>
        <w:jc w:val="left"/>
        <w:rPr>
          <w:lang w:val="en-US"/>
        </w:rPr>
      </w:pPr>
      <w:r>
        <w:rPr>
          <w:lang w:val="en-US"/>
        </w:rPr>
        <w:t>Box Hill, VIC 3128</w:t>
      </w:r>
    </w:p>
    <w:p w14:paraId="7F837CCC" w14:textId="77777777" w:rsidR="008B6010" w:rsidRDefault="008B6010" w:rsidP="0021426A">
      <w:pPr>
        <w:pStyle w:val="NormalIndent1"/>
        <w:keepNext/>
        <w:keepLines/>
        <w:jc w:val="left"/>
        <w:rPr>
          <w:lang w:val="en-US"/>
        </w:rPr>
      </w:pPr>
      <w:r>
        <w:rPr>
          <w:lang w:val="en-US"/>
        </w:rPr>
        <w:t>Australia</w:t>
      </w:r>
    </w:p>
    <w:p w14:paraId="057A53CB" w14:textId="77777777" w:rsidR="003272FD" w:rsidRPr="00F70019" w:rsidRDefault="003272FD" w:rsidP="0021426A">
      <w:pPr>
        <w:pStyle w:val="NormalIndent1"/>
        <w:keepNext/>
        <w:keepLines/>
        <w:jc w:val="left"/>
      </w:pPr>
    </w:p>
    <w:p w14:paraId="40ED3716" w14:textId="77777777" w:rsidR="003272FD" w:rsidRPr="00AE47CE" w:rsidRDefault="003272FD" w:rsidP="0021426A">
      <w:pPr>
        <w:pStyle w:val="NormalIndent1"/>
        <w:keepNext/>
        <w:keepLines/>
        <w:jc w:val="left"/>
      </w:pPr>
      <w:r w:rsidRPr="00AE47CE">
        <w:t>Email:</w:t>
      </w:r>
      <w:r>
        <w:tab/>
      </w:r>
      <w:r w:rsidRPr="00AE47CE">
        <w:t>ghinfo@generichealth.com.au</w:t>
      </w:r>
    </w:p>
    <w:p w14:paraId="67672480" w14:textId="77777777" w:rsidR="003272FD" w:rsidRPr="00AE47CE" w:rsidRDefault="003272FD" w:rsidP="0021426A">
      <w:pPr>
        <w:pStyle w:val="NormalIndent1"/>
        <w:keepNext/>
        <w:keepLines/>
        <w:jc w:val="left"/>
      </w:pPr>
      <w:r w:rsidRPr="00AE47CE">
        <w:t>Phone:</w:t>
      </w:r>
      <w:r>
        <w:tab/>
      </w:r>
      <w:r w:rsidRPr="00AE47CE">
        <w:t>+61</w:t>
      </w:r>
      <w:r>
        <w:t xml:space="preserve"> </w:t>
      </w:r>
      <w:r w:rsidRPr="00AE47CE">
        <w:t>3 9809 7900</w:t>
      </w:r>
    </w:p>
    <w:p w14:paraId="7AF036B6" w14:textId="77777777" w:rsidR="003272FD" w:rsidRPr="00AE47CE" w:rsidRDefault="003272FD" w:rsidP="0021426A">
      <w:pPr>
        <w:pStyle w:val="NormalIndent1"/>
        <w:keepNext/>
        <w:keepLines/>
        <w:jc w:val="left"/>
      </w:pPr>
      <w:r w:rsidRPr="00AE47CE">
        <w:t>Website:</w:t>
      </w:r>
      <w:r>
        <w:tab/>
      </w:r>
      <w:r w:rsidRPr="00AE47CE">
        <w:t>www.generichealth.com.au</w:t>
      </w:r>
    </w:p>
    <w:p w14:paraId="6C6FD9C1" w14:textId="77777777" w:rsidR="005D690B" w:rsidRDefault="005D690B" w:rsidP="0021426A">
      <w:pPr>
        <w:pStyle w:val="NormalIndent1"/>
        <w:jc w:val="left"/>
        <w:rPr>
          <w:lang w:val="en-US"/>
        </w:rPr>
      </w:pPr>
    </w:p>
    <w:p w14:paraId="1A01A1D9" w14:textId="77777777" w:rsidR="005D690B" w:rsidRPr="005D690B" w:rsidRDefault="005D690B" w:rsidP="0021426A">
      <w:pPr>
        <w:pStyle w:val="NormalIndent1"/>
        <w:jc w:val="left"/>
        <w:rPr>
          <w:lang w:val="en-US"/>
        </w:rPr>
      </w:pPr>
    </w:p>
    <w:p w14:paraId="4BAAC87D" w14:textId="77777777" w:rsidR="001A3992" w:rsidRDefault="005D690B" w:rsidP="0021426A">
      <w:pPr>
        <w:pStyle w:val="Heading1"/>
        <w:jc w:val="left"/>
        <w:rPr>
          <w:caps/>
          <w:lang w:val="en-US"/>
        </w:rPr>
      </w:pPr>
      <w:r w:rsidRPr="005D690B">
        <w:rPr>
          <w:lang w:val="en-US"/>
        </w:rPr>
        <w:t xml:space="preserve">DATE OF FIRST APPROVAL  </w:t>
      </w:r>
    </w:p>
    <w:p w14:paraId="71DA4843" w14:textId="77777777" w:rsidR="00EB03C8" w:rsidRPr="00F70019" w:rsidRDefault="00EB03C8" w:rsidP="0021426A">
      <w:pPr>
        <w:pStyle w:val="NormalIndent1"/>
        <w:jc w:val="left"/>
      </w:pPr>
    </w:p>
    <w:p w14:paraId="5E131EE9" w14:textId="7E438730" w:rsidR="00EB03C8" w:rsidRPr="00F70019" w:rsidRDefault="00391732" w:rsidP="0021426A">
      <w:pPr>
        <w:pStyle w:val="NormalIndent1"/>
        <w:jc w:val="left"/>
      </w:pPr>
      <w:r>
        <w:t>28 January 2020</w:t>
      </w:r>
    </w:p>
    <w:p w14:paraId="6FDF5B86" w14:textId="77777777" w:rsidR="005D690B" w:rsidRPr="005D690B" w:rsidRDefault="005D690B" w:rsidP="0021426A">
      <w:pPr>
        <w:pStyle w:val="NormalIndent1"/>
        <w:jc w:val="left"/>
        <w:rPr>
          <w:lang w:val="en-US"/>
        </w:rPr>
      </w:pPr>
    </w:p>
    <w:p w14:paraId="66C72514" w14:textId="77777777" w:rsidR="001A3992" w:rsidRDefault="005D690B" w:rsidP="0021426A">
      <w:pPr>
        <w:pStyle w:val="Heading1"/>
        <w:jc w:val="left"/>
        <w:rPr>
          <w:caps/>
          <w:lang w:val="en-US"/>
        </w:rPr>
      </w:pPr>
      <w:r w:rsidRPr="005D690B">
        <w:rPr>
          <w:lang w:val="en-US"/>
        </w:rPr>
        <w:t xml:space="preserve">DATE OF REVISION </w:t>
      </w:r>
    </w:p>
    <w:p w14:paraId="00E664C9" w14:textId="77777777" w:rsidR="00EB03C8" w:rsidRPr="00F70019" w:rsidRDefault="00EB03C8" w:rsidP="0021426A">
      <w:pPr>
        <w:pStyle w:val="NormalIndent1"/>
        <w:jc w:val="left"/>
      </w:pPr>
    </w:p>
    <w:p w14:paraId="21B51171" w14:textId="314BD98C" w:rsidR="00EB03C8" w:rsidRPr="00F70019" w:rsidRDefault="00391732" w:rsidP="0021426A">
      <w:pPr>
        <w:pStyle w:val="NormalIndent1"/>
        <w:jc w:val="left"/>
      </w:pPr>
      <w:r>
        <w:t>28 January 2020</w:t>
      </w:r>
    </w:p>
    <w:p w14:paraId="62E75244" w14:textId="77777777" w:rsidR="007B2952" w:rsidRPr="007B2952" w:rsidRDefault="007B2952" w:rsidP="0021426A">
      <w:pPr>
        <w:jc w:val="left"/>
        <w:rPr>
          <w:rFonts w:cstheme="minorHAnsi"/>
        </w:rPr>
      </w:pPr>
    </w:p>
    <w:sectPr w:rsidR="007B2952" w:rsidRPr="007B2952" w:rsidSect="007D0F66">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C5BF9" w14:textId="77777777" w:rsidR="0021426A" w:rsidRDefault="0021426A" w:rsidP="001A3992">
      <w:r>
        <w:separator/>
      </w:r>
    </w:p>
  </w:endnote>
  <w:endnote w:type="continuationSeparator" w:id="0">
    <w:p w14:paraId="12D786BC" w14:textId="77777777" w:rsidR="0021426A" w:rsidRDefault="0021426A" w:rsidP="001A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80A62" w14:textId="77777777" w:rsidR="0021426A" w:rsidRDefault="002142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B6C13" w14:textId="77777777" w:rsidR="0021426A" w:rsidRDefault="0021426A"/>
  <w:p w14:paraId="0147E4E9" w14:textId="4F032A75" w:rsidR="0021426A" w:rsidRDefault="0021426A" w:rsidP="007301B2">
    <w:pPr>
      <w:pStyle w:val="Footer"/>
      <w:pBdr>
        <w:top w:val="single" w:sz="4" w:space="1" w:color="auto"/>
      </w:pBdr>
    </w:pPr>
    <w:r>
      <w:t>Rymti v1.0</w:t>
    </w:r>
    <w:r>
      <w:tab/>
    </w:r>
    <w:r w:rsidRPr="0097382C">
      <w:t xml:space="preserve">Page </w:t>
    </w:r>
    <w:r w:rsidRPr="0097382C">
      <w:fldChar w:fldCharType="begin"/>
    </w:r>
    <w:r w:rsidRPr="0097382C">
      <w:instrText xml:space="preserve"> PAGE  \* Arabic  \* MERGEFORMAT </w:instrText>
    </w:r>
    <w:r w:rsidRPr="0097382C">
      <w:fldChar w:fldCharType="separate"/>
    </w:r>
    <w:r w:rsidR="005468DE">
      <w:rPr>
        <w:noProof/>
      </w:rPr>
      <w:t>10</w:t>
    </w:r>
    <w:r w:rsidRPr="0097382C">
      <w:fldChar w:fldCharType="end"/>
    </w:r>
    <w:r w:rsidRPr="0097382C">
      <w:t xml:space="preserve"> of </w:t>
    </w:r>
    <w:r>
      <w:rPr>
        <w:noProof/>
      </w:rPr>
      <w:fldChar w:fldCharType="begin"/>
    </w:r>
    <w:r>
      <w:rPr>
        <w:noProof/>
      </w:rPr>
      <w:instrText xml:space="preserve"> NUMPAGES  \* Arabic  \* MERGEFORMAT </w:instrText>
    </w:r>
    <w:r>
      <w:rPr>
        <w:noProof/>
      </w:rPr>
      <w:fldChar w:fldCharType="separate"/>
    </w:r>
    <w:r w:rsidR="005468DE">
      <w:rPr>
        <w:noProof/>
      </w:rPr>
      <w:t>49</w:t>
    </w:r>
    <w:r>
      <w:rPr>
        <w:noProof/>
      </w:rPr>
      <w:fldChar w:fldCharType="end"/>
    </w:r>
  </w:p>
  <w:p w14:paraId="3E2574AB" w14:textId="067B5DEF" w:rsidR="0021426A" w:rsidRDefault="0021426A" w:rsidP="007301B2">
    <w:pPr>
      <w:pStyle w:val="Footer"/>
      <w:pBdr>
        <w:top w:val="single" w:sz="4" w:space="1" w:color="auto"/>
      </w:pBdr>
    </w:pPr>
    <w:r>
      <w:t>(etanercept) solution for injection</w:t>
    </w:r>
  </w:p>
  <w:p w14:paraId="3DF99C8A" w14:textId="77777777" w:rsidR="0021426A" w:rsidRDefault="0021426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E8736" w14:textId="77777777" w:rsidR="0021426A" w:rsidRDefault="00214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8DF659" w14:textId="77777777" w:rsidR="0021426A" w:rsidRDefault="0021426A" w:rsidP="001A3992">
      <w:r>
        <w:separator/>
      </w:r>
    </w:p>
  </w:footnote>
  <w:footnote w:type="continuationSeparator" w:id="0">
    <w:p w14:paraId="506F03CB" w14:textId="77777777" w:rsidR="0021426A" w:rsidRDefault="0021426A" w:rsidP="001A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5321" w14:textId="77777777" w:rsidR="0021426A" w:rsidRDefault="00214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897"/>
    </w:tblGrid>
    <w:tr w:rsidR="0021426A" w:rsidRPr="000B2145" w14:paraId="75666F53" w14:textId="77777777" w:rsidTr="0021426A">
      <w:trPr>
        <w:trHeight w:val="1012"/>
      </w:trPr>
      <w:tc>
        <w:tcPr>
          <w:tcW w:w="8897" w:type="dxa"/>
          <w:shd w:val="clear" w:color="auto" w:fill="E4F2E0"/>
        </w:tcPr>
        <w:p w14:paraId="788D7F7A" w14:textId="42138EEE" w:rsidR="0021426A" w:rsidRPr="00B00E2E" w:rsidRDefault="0021426A" w:rsidP="005468DE">
          <w:pPr>
            <w:pStyle w:val="Footer"/>
            <w:tabs>
              <w:tab w:val="center" w:pos="4513"/>
              <w:tab w:val="right" w:pos="9026"/>
            </w:tabs>
            <w:jc w:val="left"/>
            <w:rPr>
              <w:b/>
            </w:rPr>
          </w:pPr>
          <w:r w:rsidRPr="00EA0C3C">
            <w:rPr>
              <w:b/>
              <w:sz w:val="18"/>
              <w:szCs w:val="18"/>
            </w:rPr>
            <w:t>Attachment 1:</w:t>
          </w:r>
          <w:r>
            <w:t xml:space="preserve"> </w:t>
          </w:r>
          <w:r w:rsidRPr="00B00E2E">
            <w:rPr>
              <w:b/>
            </w:rPr>
            <w:t xml:space="preserve">AusPAR - Rymti/Etera - </w:t>
          </w:r>
          <w:proofErr w:type="spellStart"/>
          <w:r w:rsidRPr="00B00E2E">
            <w:rPr>
              <w:b/>
            </w:rPr>
            <w:t>etanercept</w:t>
          </w:r>
          <w:proofErr w:type="spellEnd"/>
          <w:r w:rsidRPr="00B00E2E">
            <w:rPr>
              <w:b/>
            </w:rPr>
            <w:t xml:space="preserve"> - Lupin Australia Pty Ltd - PM-2018-03223-1-3</w:t>
          </w:r>
          <w:r w:rsidR="005468DE">
            <w:rPr>
              <w:b/>
            </w:rPr>
            <w:t xml:space="preserve"> </w:t>
          </w:r>
          <w:bookmarkStart w:id="12" w:name="_GoBack"/>
          <w:bookmarkEnd w:id="12"/>
        </w:p>
        <w:p w14:paraId="6760533E" w14:textId="77777777" w:rsidR="0021426A" w:rsidRPr="000B2145" w:rsidRDefault="0021426A" w:rsidP="005468DE">
          <w:pPr>
            <w:pStyle w:val="Footer"/>
            <w:jc w:val="left"/>
            <w:rPr>
              <w:b/>
              <w:sz w:val="18"/>
              <w:szCs w:val="18"/>
            </w:rPr>
          </w:pPr>
          <w:r w:rsidRPr="00B00E2E">
            <w:rPr>
              <w:b/>
            </w:rPr>
            <w:t>FINAL 24 February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43654BDE" w14:textId="77777777" w:rsidR="0021426A" w:rsidRDefault="002142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shd w:val="clear" w:color="auto" w:fill="E4F2E0"/>
      <w:tblLook w:val="04A0" w:firstRow="1" w:lastRow="0" w:firstColumn="1" w:lastColumn="0" w:noHBand="0" w:noVBand="1"/>
    </w:tblPr>
    <w:tblGrid>
      <w:gridCol w:w="8897"/>
    </w:tblGrid>
    <w:tr w:rsidR="0021426A" w:rsidRPr="000B2145" w14:paraId="59AB74EB" w14:textId="77777777" w:rsidTr="0021426A">
      <w:trPr>
        <w:trHeight w:val="1012"/>
      </w:trPr>
      <w:tc>
        <w:tcPr>
          <w:tcW w:w="8897" w:type="dxa"/>
          <w:shd w:val="clear" w:color="auto" w:fill="E4F2E0"/>
        </w:tcPr>
        <w:p w14:paraId="3B7DCAE9" w14:textId="77777777" w:rsidR="0021426A" w:rsidRPr="00B00E2E" w:rsidRDefault="0021426A" w:rsidP="005468DE">
          <w:pPr>
            <w:pStyle w:val="Footer"/>
            <w:tabs>
              <w:tab w:val="center" w:pos="4513"/>
              <w:tab w:val="right" w:pos="9026"/>
            </w:tabs>
            <w:jc w:val="left"/>
            <w:rPr>
              <w:b/>
            </w:rPr>
          </w:pPr>
          <w:r w:rsidRPr="00EA0C3C">
            <w:rPr>
              <w:b/>
              <w:sz w:val="18"/>
              <w:szCs w:val="18"/>
            </w:rPr>
            <w:t>Attachment 1:</w:t>
          </w:r>
          <w:r>
            <w:t xml:space="preserve"> </w:t>
          </w:r>
          <w:r w:rsidRPr="00B00E2E">
            <w:rPr>
              <w:b/>
            </w:rPr>
            <w:t xml:space="preserve">AusPAR - Rymti/Etera - </w:t>
          </w:r>
          <w:proofErr w:type="spellStart"/>
          <w:r w:rsidRPr="00B00E2E">
            <w:rPr>
              <w:b/>
            </w:rPr>
            <w:t>etanercept</w:t>
          </w:r>
          <w:proofErr w:type="spellEnd"/>
          <w:r w:rsidRPr="00B00E2E">
            <w:rPr>
              <w:b/>
            </w:rPr>
            <w:t xml:space="preserve"> - Lupin Australia Pty Ltd - PM-2018-03223-1-3</w:t>
          </w:r>
        </w:p>
        <w:p w14:paraId="63DE13D3" w14:textId="77777777" w:rsidR="0021426A" w:rsidRPr="000B2145" w:rsidRDefault="0021426A" w:rsidP="005468DE">
          <w:pPr>
            <w:pStyle w:val="Footer"/>
            <w:jc w:val="left"/>
            <w:rPr>
              <w:b/>
              <w:sz w:val="18"/>
              <w:szCs w:val="18"/>
            </w:rPr>
          </w:pPr>
          <w:r w:rsidRPr="00B00E2E">
            <w:rPr>
              <w:b/>
            </w:rPr>
            <w:t>FINAL 24 February 2021</w:t>
          </w:r>
          <w:r>
            <w:rPr>
              <w:b/>
              <w:sz w:val="18"/>
              <w:szCs w:val="18"/>
            </w:rPr>
            <w:t xml:space="preserve">. </w:t>
          </w:r>
          <w:r w:rsidRPr="000B2145">
            <w:rPr>
              <w:b/>
              <w:sz w:val="18"/>
              <w:szCs w:val="18"/>
            </w:rPr>
            <w:t>This is the Product Information that was approved with the submission described in this AusPAR. It may have been superseded. For the most recent PI, please refer to the TGA website at &lt;</w:t>
          </w:r>
          <w:hyperlink r:id="rId1" w:history="1">
            <w:r w:rsidRPr="000B2145">
              <w:rPr>
                <w:rStyle w:val="Hyperlink"/>
                <w:b/>
                <w:sz w:val="18"/>
                <w:szCs w:val="18"/>
              </w:rPr>
              <w:t>https://www.tga.gov.au/product-information-pi</w:t>
            </w:r>
          </w:hyperlink>
          <w:r w:rsidRPr="000B2145">
            <w:rPr>
              <w:b/>
              <w:sz w:val="18"/>
              <w:szCs w:val="18"/>
              <w:u w:val="single"/>
            </w:rPr>
            <w:t>&gt;</w:t>
          </w:r>
        </w:p>
      </w:tc>
    </w:tr>
  </w:tbl>
  <w:p w14:paraId="43782150" w14:textId="717F99D5" w:rsidR="0021426A" w:rsidRDefault="0021426A" w:rsidP="007D0F66">
    <w:pPr>
      <w:jc w:val="right"/>
    </w:pPr>
    <w:r>
      <w:rPr>
        <w:noProof/>
        <w:lang w:eastAsia="en-AU"/>
      </w:rPr>
      <w:drawing>
        <wp:inline distT="0" distB="0" distL="0" distR="0" wp14:anchorId="77319A0D" wp14:editId="44EFEEF7">
          <wp:extent cx="1622425" cy="523875"/>
          <wp:effectExtent l="0" t="0" r="0" b="9525"/>
          <wp:docPr id="6" name="Picture 6" descr="generic_fax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ic_faxHeade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0370" t="7787" r="12464" b="10467"/>
                  <a:stretch/>
                </pic:blipFill>
                <pic:spPr bwMode="auto">
                  <a:xfrm>
                    <a:off x="0" y="0"/>
                    <a:ext cx="1622425" cy="5238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E6260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7A9D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0AE6D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A278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E58E7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280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1C3D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16C5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AEE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6E87B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3F3E"/>
    <w:multiLevelType w:val="hybridMultilevel"/>
    <w:tmpl w:val="5AB64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B7660B4"/>
    <w:multiLevelType w:val="hybridMultilevel"/>
    <w:tmpl w:val="87043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8677B8"/>
    <w:multiLevelType w:val="hybridMultilevel"/>
    <w:tmpl w:val="1D3E4472"/>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7957B7"/>
    <w:multiLevelType w:val="hybridMultilevel"/>
    <w:tmpl w:val="674AE19E"/>
    <w:lvl w:ilvl="0" w:tplc="B08C7656">
      <w:start w:val="1"/>
      <w:numFmt w:val="decimal"/>
      <w:lvlText w:val="%1"/>
      <w:lvlJc w:val="left"/>
      <w:pPr>
        <w:ind w:left="780" w:hanging="4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A7710F"/>
    <w:multiLevelType w:val="hybridMultilevel"/>
    <w:tmpl w:val="FB6266A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15:restartNumberingAfterBreak="0">
    <w:nsid w:val="17415CF8"/>
    <w:multiLevelType w:val="hybridMultilevel"/>
    <w:tmpl w:val="53762E0C"/>
    <w:lvl w:ilvl="0" w:tplc="CEC8751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D90485"/>
    <w:multiLevelType w:val="hybridMultilevel"/>
    <w:tmpl w:val="E9A646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435439"/>
    <w:multiLevelType w:val="hybridMultilevel"/>
    <w:tmpl w:val="D23AB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8FF6C1F"/>
    <w:multiLevelType w:val="hybridMultilevel"/>
    <w:tmpl w:val="136A2BEA"/>
    <w:lvl w:ilvl="0" w:tplc="038C7E22">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C91290"/>
    <w:multiLevelType w:val="hybridMultilevel"/>
    <w:tmpl w:val="6B04D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03A64A7"/>
    <w:multiLevelType w:val="hybridMultilevel"/>
    <w:tmpl w:val="4F889224"/>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1" w15:restartNumberingAfterBreak="0">
    <w:nsid w:val="57507084"/>
    <w:multiLevelType w:val="hybridMultilevel"/>
    <w:tmpl w:val="B91605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D42C05"/>
    <w:multiLevelType w:val="multilevel"/>
    <w:tmpl w:val="88CA3A76"/>
    <w:lvl w:ilvl="0">
      <w:start w:val="1"/>
      <w:numFmt w:val="decimal"/>
      <w:lvlText w:val="Note %1:"/>
      <w:lvlJc w:val="left"/>
      <w:pPr>
        <w:ind w:left="1021" w:hanging="1021"/>
      </w:pPr>
      <w:rPr>
        <w:rFonts w:ascii="Cambria" w:hAnsi="Cambria"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76F49FC"/>
    <w:multiLevelType w:val="hybridMultilevel"/>
    <w:tmpl w:val="76C6F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7B42D63"/>
    <w:multiLevelType w:val="hybridMultilevel"/>
    <w:tmpl w:val="28327402"/>
    <w:lvl w:ilvl="0" w:tplc="659A4636">
      <w:start w:val="1"/>
      <w:numFmt w:val="bullet"/>
      <w:pStyle w:val="Bullet1"/>
      <w:lvlText w:val=""/>
      <w:lvlJc w:val="left"/>
      <w:pPr>
        <w:ind w:left="720" w:hanging="360"/>
      </w:pPr>
      <w:rPr>
        <w:rFonts w:ascii="Symbol" w:hAnsi="Symbol" w:hint="default"/>
      </w:rPr>
    </w:lvl>
    <w:lvl w:ilvl="1" w:tplc="DC0086FC">
      <w:start w:val="1"/>
      <w:numFmt w:val="bullet"/>
      <w:pStyle w:val="Bullet2"/>
      <w:lvlText w:val="-"/>
      <w:lvlJc w:val="left"/>
      <w:pPr>
        <w:ind w:left="1440" w:hanging="360"/>
      </w:pPr>
      <w:rPr>
        <w:rFonts w:ascii="Calibri"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F27CF4"/>
    <w:multiLevelType w:val="multilevel"/>
    <w:tmpl w:val="D4624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32797"/>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03A2DC3"/>
    <w:multiLevelType w:val="multilevel"/>
    <w:tmpl w:val="93909A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2613446"/>
    <w:multiLevelType w:val="hybridMultilevel"/>
    <w:tmpl w:val="D384F4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311220D"/>
    <w:multiLevelType w:val="hybridMultilevel"/>
    <w:tmpl w:val="E814E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C91298"/>
    <w:multiLevelType w:val="hybridMultilevel"/>
    <w:tmpl w:val="07FE00C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FB401D6"/>
    <w:multiLevelType w:val="hybridMultilevel"/>
    <w:tmpl w:val="270C46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0"/>
  </w:num>
  <w:num w:numId="4">
    <w:abstractNumId w:val="21"/>
  </w:num>
  <w:num w:numId="5">
    <w:abstractNumId w:val="31"/>
  </w:num>
  <w:num w:numId="6">
    <w:abstractNumId w:val="28"/>
  </w:num>
  <w:num w:numId="7">
    <w:abstractNumId w:val="23"/>
  </w:num>
  <w:num w:numId="8">
    <w:abstractNumId w:val="29"/>
  </w:num>
  <w:num w:numId="9">
    <w:abstractNumId w:val="17"/>
  </w:num>
  <w:num w:numId="10">
    <w:abstractNumId w:val="22"/>
  </w:num>
  <w:num w:numId="11">
    <w:abstractNumId w:val="12"/>
  </w:num>
  <w:num w:numId="12">
    <w:abstractNumId w:val="25"/>
  </w:num>
  <w:num w:numId="13">
    <w:abstractNumId w:val="20"/>
  </w:num>
  <w:num w:numId="14">
    <w:abstractNumId w:val="18"/>
  </w:num>
  <w:num w:numId="15">
    <w:abstractNumId w:val="13"/>
  </w:num>
  <w:num w:numId="16">
    <w:abstractNumId w:val="24"/>
  </w:num>
  <w:num w:numId="17">
    <w:abstractNumId w:val="9"/>
  </w:num>
  <w:num w:numId="18">
    <w:abstractNumId w:val="8"/>
  </w:num>
  <w:num w:numId="19">
    <w:abstractNumId w:val="7"/>
  </w:num>
  <w:num w:numId="20">
    <w:abstractNumId w:val="6"/>
  </w:num>
  <w:num w:numId="21">
    <w:abstractNumId w:val="5"/>
  </w:num>
  <w:num w:numId="22">
    <w:abstractNumId w:val="4"/>
  </w:num>
  <w:num w:numId="23">
    <w:abstractNumId w:val="3"/>
  </w:num>
  <w:num w:numId="24">
    <w:abstractNumId w:val="2"/>
  </w:num>
  <w:num w:numId="25">
    <w:abstractNumId w:val="1"/>
  </w:num>
  <w:num w:numId="26">
    <w:abstractNumId w:val="0"/>
  </w:num>
  <w:num w:numId="27">
    <w:abstractNumId w:val="27"/>
  </w:num>
  <w:num w:numId="28">
    <w:abstractNumId w:val="16"/>
  </w:num>
  <w:num w:numId="29">
    <w:abstractNumId w:val="30"/>
  </w:num>
  <w:num w:numId="30">
    <w:abstractNumId w:val="15"/>
  </w:num>
  <w:num w:numId="31">
    <w:abstractNumId w:val="19"/>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5FD"/>
    <w:rsid w:val="00005610"/>
    <w:rsid w:val="000073ED"/>
    <w:rsid w:val="000161DB"/>
    <w:rsid w:val="00016DEC"/>
    <w:rsid w:val="000212D8"/>
    <w:rsid w:val="000259A3"/>
    <w:rsid w:val="00026B25"/>
    <w:rsid w:val="0002752B"/>
    <w:rsid w:val="00027BCD"/>
    <w:rsid w:val="0003502E"/>
    <w:rsid w:val="0003544A"/>
    <w:rsid w:val="0003643E"/>
    <w:rsid w:val="000411BF"/>
    <w:rsid w:val="00041231"/>
    <w:rsid w:val="000479E1"/>
    <w:rsid w:val="00053FE6"/>
    <w:rsid w:val="0006309D"/>
    <w:rsid w:val="00066677"/>
    <w:rsid w:val="000671C8"/>
    <w:rsid w:val="00073160"/>
    <w:rsid w:val="0007470B"/>
    <w:rsid w:val="00076AD2"/>
    <w:rsid w:val="00080C0E"/>
    <w:rsid w:val="000841BE"/>
    <w:rsid w:val="0008591E"/>
    <w:rsid w:val="00093183"/>
    <w:rsid w:val="00093879"/>
    <w:rsid w:val="00095687"/>
    <w:rsid w:val="000A004C"/>
    <w:rsid w:val="000A06AA"/>
    <w:rsid w:val="000A0B31"/>
    <w:rsid w:val="000A13A1"/>
    <w:rsid w:val="000A5F32"/>
    <w:rsid w:val="000A67BD"/>
    <w:rsid w:val="000C0B82"/>
    <w:rsid w:val="000E0ECA"/>
    <w:rsid w:val="000E2C9E"/>
    <w:rsid w:val="000E5EB5"/>
    <w:rsid w:val="000F36B8"/>
    <w:rsid w:val="000F6484"/>
    <w:rsid w:val="000F6F40"/>
    <w:rsid w:val="000F7B00"/>
    <w:rsid w:val="00100AE1"/>
    <w:rsid w:val="00104D91"/>
    <w:rsid w:val="00105335"/>
    <w:rsid w:val="001117DA"/>
    <w:rsid w:val="00111871"/>
    <w:rsid w:val="00116F09"/>
    <w:rsid w:val="001209CD"/>
    <w:rsid w:val="00124D84"/>
    <w:rsid w:val="00130AED"/>
    <w:rsid w:val="001355FD"/>
    <w:rsid w:val="001379A9"/>
    <w:rsid w:val="00141CAF"/>
    <w:rsid w:val="00142A22"/>
    <w:rsid w:val="00151041"/>
    <w:rsid w:val="00155668"/>
    <w:rsid w:val="00160F16"/>
    <w:rsid w:val="00167735"/>
    <w:rsid w:val="0017311F"/>
    <w:rsid w:val="001778C2"/>
    <w:rsid w:val="00182187"/>
    <w:rsid w:val="00185601"/>
    <w:rsid w:val="001A0063"/>
    <w:rsid w:val="001A3992"/>
    <w:rsid w:val="001A5DEC"/>
    <w:rsid w:val="001B62DB"/>
    <w:rsid w:val="001B6FF0"/>
    <w:rsid w:val="001B7D74"/>
    <w:rsid w:val="001C5686"/>
    <w:rsid w:val="001C61BA"/>
    <w:rsid w:val="001C67B7"/>
    <w:rsid w:val="001D227E"/>
    <w:rsid w:val="001D41C0"/>
    <w:rsid w:val="001E0672"/>
    <w:rsid w:val="001E171C"/>
    <w:rsid w:val="001E4F7F"/>
    <w:rsid w:val="001F0ED9"/>
    <w:rsid w:val="001F3F12"/>
    <w:rsid w:val="001F71F8"/>
    <w:rsid w:val="002015AF"/>
    <w:rsid w:val="00204575"/>
    <w:rsid w:val="00205ADA"/>
    <w:rsid w:val="0021426A"/>
    <w:rsid w:val="00216B5E"/>
    <w:rsid w:val="00216E64"/>
    <w:rsid w:val="0021736A"/>
    <w:rsid w:val="002247D5"/>
    <w:rsid w:val="0024642F"/>
    <w:rsid w:val="00260DE9"/>
    <w:rsid w:val="00261FA5"/>
    <w:rsid w:val="0026594D"/>
    <w:rsid w:val="00276B94"/>
    <w:rsid w:val="002814A2"/>
    <w:rsid w:val="00285068"/>
    <w:rsid w:val="002861E3"/>
    <w:rsid w:val="002862B2"/>
    <w:rsid w:val="002930BA"/>
    <w:rsid w:val="0029610E"/>
    <w:rsid w:val="002B09BC"/>
    <w:rsid w:val="002B5D25"/>
    <w:rsid w:val="002C24BD"/>
    <w:rsid w:val="002C353F"/>
    <w:rsid w:val="002D4A48"/>
    <w:rsid w:val="002D789F"/>
    <w:rsid w:val="002E277D"/>
    <w:rsid w:val="002E49B2"/>
    <w:rsid w:val="002F4A96"/>
    <w:rsid w:val="002F57A6"/>
    <w:rsid w:val="002F6237"/>
    <w:rsid w:val="002F769B"/>
    <w:rsid w:val="003028D3"/>
    <w:rsid w:val="00302A1E"/>
    <w:rsid w:val="00303788"/>
    <w:rsid w:val="0030494B"/>
    <w:rsid w:val="00304989"/>
    <w:rsid w:val="00305FF9"/>
    <w:rsid w:val="0030673C"/>
    <w:rsid w:val="003117C7"/>
    <w:rsid w:val="00312C7B"/>
    <w:rsid w:val="00313C3D"/>
    <w:rsid w:val="00313D37"/>
    <w:rsid w:val="00316815"/>
    <w:rsid w:val="00317011"/>
    <w:rsid w:val="00323A9F"/>
    <w:rsid w:val="003241EA"/>
    <w:rsid w:val="003262C1"/>
    <w:rsid w:val="00326D80"/>
    <w:rsid w:val="003272FD"/>
    <w:rsid w:val="00344B6B"/>
    <w:rsid w:val="00344B74"/>
    <w:rsid w:val="003461B7"/>
    <w:rsid w:val="003502C3"/>
    <w:rsid w:val="00354724"/>
    <w:rsid w:val="003571D4"/>
    <w:rsid w:val="00363145"/>
    <w:rsid w:val="003671F5"/>
    <w:rsid w:val="00376052"/>
    <w:rsid w:val="00391732"/>
    <w:rsid w:val="0039335C"/>
    <w:rsid w:val="003957E6"/>
    <w:rsid w:val="003A117D"/>
    <w:rsid w:val="003A259B"/>
    <w:rsid w:val="003A2D3A"/>
    <w:rsid w:val="003A2DFB"/>
    <w:rsid w:val="003A3986"/>
    <w:rsid w:val="003A4178"/>
    <w:rsid w:val="003A6D9A"/>
    <w:rsid w:val="003B0A76"/>
    <w:rsid w:val="003B50EB"/>
    <w:rsid w:val="003B54DC"/>
    <w:rsid w:val="003B5F7D"/>
    <w:rsid w:val="003C1B1C"/>
    <w:rsid w:val="003C343C"/>
    <w:rsid w:val="003C4B91"/>
    <w:rsid w:val="003D1456"/>
    <w:rsid w:val="003E3333"/>
    <w:rsid w:val="003E579F"/>
    <w:rsid w:val="003F0C05"/>
    <w:rsid w:val="003F2FA8"/>
    <w:rsid w:val="003F3D2F"/>
    <w:rsid w:val="004032BD"/>
    <w:rsid w:val="00403497"/>
    <w:rsid w:val="004051BE"/>
    <w:rsid w:val="004070F0"/>
    <w:rsid w:val="004166C4"/>
    <w:rsid w:val="0042025F"/>
    <w:rsid w:val="004207F3"/>
    <w:rsid w:val="0043042E"/>
    <w:rsid w:val="0043135A"/>
    <w:rsid w:val="0043165B"/>
    <w:rsid w:val="00431920"/>
    <w:rsid w:val="00431ACD"/>
    <w:rsid w:val="004364BD"/>
    <w:rsid w:val="0044146E"/>
    <w:rsid w:val="004470B8"/>
    <w:rsid w:val="004552E7"/>
    <w:rsid w:val="0046124E"/>
    <w:rsid w:val="00465447"/>
    <w:rsid w:val="004676EE"/>
    <w:rsid w:val="0047515D"/>
    <w:rsid w:val="00483C2F"/>
    <w:rsid w:val="00485977"/>
    <w:rsid w:val="0049036B"/>
    <w:rsid w:val="00491316"/>
    <w:rsid w:val="004918EA"/>
    <w:rsid w:val="00491B09"/>
    <w:rsid w:val="004946CF"/>
    <w:rsid w:val="004968B6"/>
    <w:rsid w:val="00497C85"/>
    <w:rsid w:val="004A3628"/>
    <w:rsid w:val="004B0763"/>
    <w:rsid w:val="004B107A"/>
    <w:rsid w:val="004B22B2"/>
    <w:rsid w:val="004C1E87"/>
    <w:rsid w:val="004C6046"/>
    <w:rsid w:val="004D28A6"/>
    <w:rsid w:val="004D42F8"/>
    <w:rsid w:val="004D7BE7"/>
    <w:rsid w:val="004E1EA1"/>
    <w:rsid w:val="004E2838"/>
    <w:rsid w:val="004E45B9"/>
    <w:rsid w:val="004E6BF7"/>
    <w:rsid w:val="004F140A"/>
    <w:rsid w:val="004F2409"/>
    <w:rsid w:val="004F2CDB"/>
    <w:rsid w:val="004F69ED"/>
    <w:rsid w:val="00500FA9"/>
    <w:rsid w:val="0050167E"/>
    <w:rsid w:val="00512BA0"/>
    <w:rsid w:val="00526F47"/>
    <w:rsid w:val="00533958"/>
    <w:rsid w:val="005373D6"/>
    <w:rsid w:val="00541DFC"/>
    <w:rsid w:val="00541FDD"/>
    <w:rsid w:val="005468DE"/>
    <w:rsid w:val="00551B6C"/>
    <w:rsid w:val="005563B9"/>
    <w:rsid w:val="00557E24"/>
    <w:rsid w:val="00563BFD"/>
    <w:rsid w:val="00563D40"/>
    <w:rsid w:val="005642C5"/>
    <w:rsid w:val="00566191"/>
    <w:rsid w:val="00572FBD"/>
    <w:rsid w:val="005779C4"/>
    <w:rsid w:val="005812FB"/>
    <w:rsid w:val="0058453A"/>
    <w:rsid w:val="00584FA2"/>
    <w:rsid w:val="005950AF"/>
    <w:rsid w:val="005C2B7D"/>
    <w:rsid w:val="005D690B"/>
    <w:rsid w:val="005E0D63"/>
    <w:rsid w:val="005E25B2"/>
    <w:rsid w:val="005E7AB9"/>
    <w:rsid w:val="005F37D1"/>
    <w:rsid w:val="005F3D73"/>
    <w:rsid w:val="00601332"/>
    <w:rsid w:val="0060751A"/>
    <w:rsid w:val="006104E4"/>
    <w:rsid w:val="00612C4E"/>
    <w:rsid w:val="006163B6"/>
    <w:rsid w:val="006203E4"/>
    <w:rsid w:val="00621FA6"/>
    <w:rsid w:val="00623456"/>
    <w:rsid w:val="006328D2"/>
    <w:rsid w:val="00634163"/>
    <w:rsid w:val="00635E24"/>
    <w:rsid w:val="00637CBE"/>
    <w:rsid w:val="00640543"/>
    <w:rsid w:val="00643274"/>
    <w:rsid w:val="00645C5C"/>
    <w:rsid w:val="006473E0"/>
    <w:rsid w:val="006528D0"/>
    <w:rsid w:val="0066164C"/>
    <w:rsid w:val="006623BC"/>
    <w:rsid w:val="00667193"/>
    <w:rsid w:val="006671B7"/>
    <w:rsid w:val="00671452"/>
    <w:rsid w:val="00683DE3"/>
    <w:rsid w:val="006867B3"/>
    <w:rsid w:val="006961CC"/>
    <w:rsid w:val="00696C6A"/>
    <w:rsid w:val="00697E88"/>
    <w:rsid w:val="006A0722"/>
    <w:rsid w:val="006A12C9"/>
    <w:rsid w:val="006A3849"/>
    <w:rsid w:val="006B3E6D"/>
    <w:rsid w:val="006C0FEB"/>
    <w:rsid w:val="006C3C1A"/>
    <w:rsid w:val="006C46E3"/>
    <w:rsid w:val="006D07EB"/>
    <w:rsid w:val="006D0F4A"/>
    <w:rsid w:val="006D4A57"/>
    <w:rsid w:val="006E544D"/>
    <w:rsid w:val="006E62CB"/>
    <w:rsid w:val="006E6A98"/>
    <w:rsid w:val="006F5AEC"/>
    <w:rsid w:val="007021EF"/>
    <w:rsid w:val="0071357F"/>
    <w:rsid w:val="007167A1"/>
    <w:rsid w:val="00716FA6"/>
    <w:rsid w:val="00721140"/>
    <w:rsid w:val="00723384"/>
    <w:rsid w:val="0072391A"/>
    <w:rsid w:val="00723E5D"/>
    <w:rsid w:val="007254F9"/>
    <w:rsid w:val="00725B44"/>
    <w:rsid w:val="0072616A"/>
    <w:rsid w:val="007267A9"/>
    <w:rsid w:val="007301B2"/>
    <w:rsid w:val="00745BB2"/>
    <w:rsid w:val="00746DB7"/>
    <w:rsid w:val="00751E1F"/>
    <w:rsid w:val="00757C63"/>
    <w:rsid w:val="00757FBD"/>
    <w:rsid w:val="00761AAB"/>
    <w:rsid w:val="007649DE"/>
    <w:rsid w:val="0077399C"/>
    <w:rsid w:val="007842D6"/>
    <w:rsid w:val="007A16A8"/>
    <w:rsid w:val="007A50AB"/>
    <w:rsid w:val="007A5291"/>
    <w:rsid w:val="007B2952"/>
    <w:rsid w:val="007B31EE"/>
    <w:rsid w:val="007B760A"/>
    <w:rsid w:val="007B7E8F"/>
    <w:rsid w:val="007C28F3"/>
    <w:rsid w:val="007C3146"/>
    <w:rsid w:val="007C4C71"/>
    <w:rsid w:val="007C6CFA"/>
    <w:rsid w:val="007D0F66"/>
    <w:rsid w:val="007D4E40"/>
    <w:rsid w:val="007E641C"/>
    <w:rsid w:val="007E693C"/>
    <w:rsid w:val="007F424C"/>
    <w:rsid w:val="00811F1A"/>
    <w:rsid w:val="00813788"/>
    <w:rsid w:val="008166A6"/>
    <w:rsid w:val="008326C1"/>
    <w:rsid w:val="00833EFD"/>
    <w:rsid w:val="00835224"/>
    <w:rsid w:val="0083573C"/>
    <w:rsid w:val="00835C48"/>
    <w:rsid w:val="008476AB"/>
    <w:rsid w:val="00850324"/>
    <w:rsid w:val="00855205"/>
    <w:rsid w:val="0085733B"/>
    <w:rsid w:val="0086006F"/>
    <w:rsid w:val="00864452"/>
    <w:rsid w:val="008663E9"/>
    <w:rsid w:val="00871375"/>
    <w:rsid w:val="008718AA"/>
    <w:rsid w:val="008719D8"/>
    <w:rsid w:val="0088138D"/>
    <w:rsid w:val="00882590"/>
    <w:rsid w:val="00886947"/>
    <w:rsid w:val="00886A5A"/>
    <w:rsid w:val="008935F7"/>
    <w:rsid w:val="008A23DE"/>
    <w:rsid w:val="008B3EA0"/>
    <w:rsid w:val="008B6010"/>
    <w:rsid w:val="008B61D9"/>
    <w:rsid w:val="008B6D98"/>
    <w:rsid w:val="008B73F6"/>
    <w:rsid w:val="008C53C4"/>
    <w:rsid w:val="008D7C16"/>
    <w:rsid w:val="008E2368"/>
    <w:rsid w:val="008E29AC"/>
    <w:rsid w:val="008E5A9D"/>
    <w:rsid w:val="008E76B1"/>
    <w:rsid w:val="008F59DA"/>
    <w:rsid w:val="008F5A84"/>
    <w:rsid w:val="00901B14"/>
    <w:rsid w:val="00901BE8"/>
    <w:rsid w:val="00901D90"/>
    <w:rsid w:val="009052FB"/>
    <w:rsid w:val="009067ED"/>
    <w:rsid w:val="00910913"/>
    <w:rsid w:val="00910FCE"/>
    <w:rsid w:val="0091106A"/>
    <w:rsid w:val="00916CB9"/>
    <w:rsid w:val="009203AD"/>
    <w:rsid w:val="00924C5E"/>
    <w:rsid w:val="00935DC8"/>
    <w:rsid w:val="00937C3F"/>
    <w:rsid w:val="00945BFB"/>
    <w:rsid w:val="00946600"/>
    <w:rsid w:val="009517F9"/>
    <w:rsid w:val="00952984"/>
    <w:rsid w:val="00960149"/>
    <w:rsid w:val="009601E0"/>
    <w:rsid w:val="00960CD5"/>
    <w:rsid w:val="0096130B"/>
    <w:rsid w:val="00965328"/>
    <w:rsid w:val="00970C1C"/>
    <w:rsid w:val="0097382C"/>
    <w:rsid w:val="0097483B"/>
    <w:rsid w:val="00975D23"/>
    <w:rsid w:val="0097657E"/>
    <w:rsid w:val="00982D5D"/>
    <w:rsid w:val="009832B5"/>
    <w:rsid w:val="009846A0"/>
    <w:rsid w:val="0098538F"/>
    <w:rsid w:val="0099059B"/>
    <w:rsid w:val="00991D3F"/>
    <w:rsid w:val="00991E50"/>
    <w:rsid w:val="009948C6"/>
    <w:rsid w:val="00995179"/>
    <w:rsid w:val="0099734A"/>
    <w:rsid w:val="009A1444"/>
    <w:rsid w:val="009A5F0E"/>
    <w:rsid w:val="009A7B06"/>
    <w:rsid w:val="009B2295"/>
    <w:rsid w:val="009B71BE"/>
    <w:rsid w:val="009C07DD"/>
    <w:rsid w:val="009C148B"/>
    <w:rsid w:val="009C5890"/>
    <w:rsid w:val="009C6380"/>
    <w:rsid w:val="009C6E42"/>
    <w:rsid w:val="009D3BD4"/>
    <w:rsid w:val="009E2FBF"/>
    <w:rsid w:val="009E4B36"/>
    <w:rsid w:val="009E5E62"/>
    <w:rsid w:val="009F1189"/>
    <w:rsid w:val="009F1622"/>
    <w:rsid w:val="00A07E85"/>
    <w:rsid w:val="00A11866"/>
    <w:rsid w:val="00A14B27"/>
    <w:rsid w:val="00A171B6"/>
    <w:rsid w:val="00A31667"/>
    <w:rsid w:val="00A3176C"/>
    <w:rsid w:val="00A33828"/>
    <w:rsid w:val="00A35AAA"/>
    <w:rsid w:val="00A36679"/>
    <w:rsid w:val="00A41E57"/>
    <w:rsid w:val="00A431CA"/>
    <w:rsid w:val="00A519BA"/>
    <w:rsid w:val="00A5774D"/>
    <w:rsid w:val="00A609F3"/>
    <w:rsid w:val="00A67BB1"/>
    <w:rsid w:val="00A72B64"/>
    <w:rsid w:val="00A73F4D"/>
    <w:rsid w:val="00A7452E"/>
    <w:rsid w:val="00A74F8F"/>
    <w:rsid w:val="00A81654"/>
    <w:rsid w:val="00A828C8"/>
    <w:rsid w:val="00A923B2"/>
    <w:rsid w:val="00A95F5E"/>
    <w:rsid w:val="00AA1A3D"/>
    <w:rsid w:val="00AA1E39"/>
    <w:rsid w:val="00AA4174"/>
    <w:rsid w:val="00AA4CBF"/>
    <w:rsid w:val="00AA7727"/>
    <w:rsid w:val="00AB0E24"/>
    <w:rsid w:val="00AC06E4"/>
    <w:rsid w:val="00AC1A39"/>
    <w:rsid w:val="00AC4A58"/>
    <w:rsid w:val="00AD111C"/>
    <w:rsid w:val="00AD2D99"/>
    <w:rsid w:val="00AD5164"/>
    <w:rsid w:val="00AD6387"/>
    <w:rsid w:val="00AE45CE"/>
    <w:rsid w:val="00AE47CE"/>
    <w:rsid w:val="00AF0929"/>
    <w:rsid w:val="00AF0DB8"/>
    <w:rsid w:val="00AF5609"/>
    <w:rsid w:val="00B00942"/>
    <w:rsid w:val="00B01B4F"/>
    <w:rsid w:val="00B13D35"/>
    <w:rsid w:val="00B20D25"/>
    <w:rsid w:val="00B2426F"/>
    <w:rsid w:val="00B36021"/>
    <w:rsid w:val="00B37960"/>
    <w:rsid w:val="00B41482"/>
    <w:rsid w:val="00B43FC4"/>
    <w:rsid w:val="00B442D7"/>
    <w:rsid w:val="00B51C3E"/>
    <w:rsid w:val="00B619FA"/>
    <w:rsid w:val="00B664B5"/>
    <w:rsid w:val="00B750CD"/>
    <w:rsid w:val="00B83708"/>
    <w:rsid w:val="00B85969"/>
    <w:rsid w:val="00B86E1C"/>
    <w:rsid w:val="00B87082"/>
    <w:rsid w:val="00B917A5"/>
    <w:rsid w:val="00B92973"/>
    <w:rsid w:val="00B929B6"/>
    <w:rsid w:val="00B929BD"/>
    <w:rsid w:val="00B92CEF"/>
    <w:rsid w:val="00B93ACA"/>
    <w:rsid w:val="00B96185"/>
    <w:rsid w:val="00BB2801"/>
    <w:rsid w:val="00BB365D"/>
    <w:rsid w:val="00BB37C4"/>
    <w:rsid w:val="00BB5A25"/>
    <w:rsid w:val="00BC72A0"/>
    <w:rsid w:val="00BD6BDB"/>
    <w:rsid w:val="00BE19DE"/>
    <w:rsid w:val="00BE1CFA"/>
    <w:rsid w:val="00BE6C49"/>
    <w:rsid w:val="00BE7800"/>
    <w:rsid w:val="00BF1E70"/>
    <w:rsid w:val="00BF3577"/>
    <w:rsid w:val="00BF7A3C"/>
    <w:rsid w:val="00BF7C06"/>
    <w:rsid w:val="00C03C1D"/>
    <w:rsid w:val="00C03DBF"/>
    <w:rsid w:val="00C17FE4"/>
    <w:rsid w:val="00C21551"/>
    <w:rsid w:val="00C3527A"/>
    <w:rsid w:val="00C3585C"/>
    <w:rsid w:val="00C35E70"/>
    <w:rsid w:val="00C36EA6"/>
    <w:rsid w:val="00C43E3D"/>
    <w:rsid w:val="00C449B8"/>
    <w:rsid w:val="00C47741"/>
    <w:rsid w:val="00C54FC2"/>
    <w:rsid w:val="00C60EE7"/>
    <w:rsid w:val="00C631FB"/>
    <w:rsid w:val="00C636F4"/>
    <w:rsid w:val="00C70854"/>
    <w:rsid w:val="00C731D0"/>
    <w:rsid w:val="00C73BE7"/>
    <w:rsid w:val="00C7548D"/>
    <w:rsid w:val="00C75DB7"/>
    <w:rsid w:val="00C77107"/>
    <w:rsid w:val="00C80E94"/>
    <w:rsid w:val="00C839B8"/>
    <w:rsid w:val="00C840C6"/>
    <w:rsid w:val="00C86504"/>
    <w:rsid w:val="00C86928"/>
    <w:rsid w:val="00CA102F"/>
    <w:rsid w:val="00CA1D98"/>
    <w:rsid w:val="00CA325D"/>
    <w:rsid w:val="00CA5669"/>
    <w:rsid w:val="00CA6CCF"/>
    <w:rsid w:val="00CB0FEC"/>
    <w:rsid w:val="00CC7F83"/>
    <w:rsid w:val="00CD5905"/>
    <w:rsid w:val="00CE0D44"/>
    <w:rsid w:val="00CE27B1"/>
    <w:rsid w:val="00CE3728"/>
    <w:rsid w:val="00D0173F"/>
    <w:rsid w:val="00D01B1D"/>
    <w:rsid w:val="00D02A39"/>
    <w:rsid w:val="00D032BE"/>
    <w:rsid w:val="00D04423"/>
    <w:rsid w:val="00D05543"/>
    <w:rsid w:val="00D074FF"/>
    <w:rsid w:val="00D22760"/>
    <w:rsid w:val="00D23577"/>
    <w:rsid w:val="00D24208"/>
    <w:rsid w:val="00D248A4"/>
    <w:rsid w:val="00D3224F"/>
    <w:rsid w:val="00D33898"/>
    <w:rsid w:val="00D33FE1"/>
    <w:rsid w:val="00D34830"/>
    <w:rsid w:val="00D36C12"/>
    <w:rsid w:val="00D42B6F"/>
    <w:rsid w:val="00D44BA0"/>
    <w:rsid w:val="00D51731"/>
    <w:rsid w:val="00D540AE"/>
    <w:rsid w:val="00D631A3"/>
    <w:rsid w:val="00D655D9"/>
    <w:rsid w:val="00D66049"/>
    <w:rsid w:val="00D66195"/>
    <w:rsid w:val="00D719A2"/>
    <w:rsid w:val="00D71FB8"/>
    <w:rsid w:val="00D73DC9"/>
    <w:rsid w:val="00D74022"/>
    <w:rsid w:val="00D83FD5"/>
    <w:rsid w:val="00D86225"/>
    <w:rsid w:val="00D87E0B"/>
    <w:rsid w:val="00D90078"/>
    <w:rsid w:val="00D943AF"/>
    <w:rsid w:val="00D94DD1"/>
    <w:rsid w:val="00DA28CA"/>
    <w:rsid w:val="00DA5D20"/>
    <w:rsid w:val="00DB2C03"/>
    <w:rsid w:val="00DB5D17"/>
    <w:rsid w:val="00DC07B1"/>
    <w:rsid w:val="00DC5CB5"/>
    <w:rsid w:val="00DD0032"/>
    <w:rsid w:val="00DD271F"/>
    <w:rsid w:val="00DD37C5"/>
    <w:rsid w:val="00DD4D06"/>
    <w:rsid w:val="00DE4AA8"/>
    <w:rsid w:val="00DE5FCB"/>
    <w:rsid w:val="00DF4A3B"/>
    <w:rsid w:val="00DF5E99"/>
    <w:rsid w:val="00DF7836"/>
    <w:rsid w:val="00E129E4"/>
    <w:rsid w:val="00E32029"/>
    <w:rsid w:val="00E34728"/>
    <w:rsid w:val="00E3626C"/>
    <w:rsid w:val="00E36A52"/>
    <w:rsid w:val="00E4351A"/>
    <w:rsid w:val="00E56BC6"/>
    <w:rsid w:val="00E62555"/>
    <w:rsid w:val="00E62B99"/>
    <w:rsid w:val="00E73897"/>
    <w:rsid w:val="00E7390A"/>
    <w:rsid w:val="00E740B3"/>
    <w:rsid w:val="00E74294"/>
    <w:rsid w:val="00E744DE"/>
    <w:rsid w:val="00E74A56"/>
    <w:rsid w:val="00E778AB"/>
    <w:rsid w:val="00E816B5"/>
    <w:rsid w:val="00E819E4"/>
    <w:rsid w:val="00E83690"/>
    <w:rsid w:val="00E90973"/>
    <w:rsid w:val="00E90FF8"/>
    <w:rsid w:val="00EA1B35"/>
    <w:rsid w:val="00EA1F77"/>
    <w:rsid w:val="00EA2B37"/>
    <w:rsid w:val="00EA7B47"/>
    <w:rsid w:val="00EB03C8"/>
    <w:rsid w:val="00EB6A27"/>
    <w:rsid w:val="00EC07EF"/>
    <w:rsid w:val="00EC1CA0"/>
    <w:rsid w:val="00EC4FF1"/>
    <w:rsid w:val="00EC69B5"/>
    <w:rsid w:val="00ED0937"/>
    <w:rsid w:val="00ED6BB5"/>
    <w:rsid w:val="00EE1A06"/>
    <w:rsid w:val="00EE1D37"/>
    <w:rsid w:val="00EE2B0E"/>
    <w:rsid w:val="00EE379B"/>
    <w:rsid w:val="00EE7324"/>
    <w:rsid w:val="00EF63D4"/>
    <w:rsid w:val="00F00C2B"/>
    <w:rsid w:val="00F11967"/>
    <w:rsid w:val="00F16082"/>
    <w:rsid w:val="00F2534A"/>
    <w:rsid w:val="00F25542"/>
    <w:rsid w:val="00F2758A"/>
    <w:rsid w:val="00F30F67"/>
    <w:rsid w:val="00F34897"/>
    <w:rsid w:val="00F3788D"/>
    <w:rsid w:val="00F44F92"/>
    <w:rsid w:val="00F472D0"/>
    <w:rsid w:val="00F531A2"/>
    <w:rsid w:val="00F561C9"/>
    <w:rsid w:val="00F67143"/>
    <w:rsid w:val="00F70019"/>
    <w:rsid w:val="00F72396"/>
    <w:rsid w:val="00F81993"/>
    <w:rsid w:val="00F84680"/>
    <w:rsid w:val="00F8520F"/>
    <w:rsid w:val="00F85BE7"/>
    <w:rsid w:val="00F875F4"/>
    <w:rsid w:val="00F921E0"/>
    <w:rsid w:val="00F9224E"/>
    <w:rsid w:val="00FA791F"/>
    <w:rsid w:val="00FB2023"/>
    <w:rsid w:val="00FC0F5A"/>
    <w:rsid w:val="00FC41C6"/>
    <w:rsid w:val="00FC4B44"/>
    <w:rsid w:val="00FC50CD"/>
    <w:rsid w:val="00FC6ABC"/>
    <w:rsid w:val="00FD1680"/>
    <w:rsid w:val="00FD24B9"/>
    <w:rsid w:val="00FD6226"/>
    <w:rsid w:val="00FD6C0B"/>
    <w:rsid w:val="00FE4023"/>
    <w:rsid w:val="00FE6474"/>
    <w:rsid w:val="00FF2D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DCECD40"/>
  <w15:docId w15:val="{6901AA63-0B02-4D7C-B309-0C299216C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1B2"/>
    <w:pPr>
      <w:jc w:val="both"/>
    </w:pPr>
  </w:style>
  <w:style w:type="paragraph" w:styleId="Heading1">
    <w:name w:val="heading 1"/>
    <w:basedOn w:val="Normal"/>
    <w:next w:val="Normal"/>
    <w:link w:val="Heading1Char"/>
    <w:uiPriority w:val="9"/>
    <w:qFormat/>
    <w:rsid w:val="009F1189"/>
    <w:pPr>
      <w:keepNext/>
      <w:keepLines/>
      <w:numPr>
        <w:numId w:val="14"/>
      </w:numPr>
      <w:tabs>
        <w:tab w:val="left" w:pos="426"/>
      </w:tabs>
      <w:ind w:left="0" w:firstLine="0"/>
      <w:outlineLvl w:val="0"/>
    </w:pPr>
    <w:rPr>
      <w:rFonts w:eastAsiaTheme="majorEastAsia" w:cstheme="minorHAnsi"/>
      <w:b/>
      <w:bCs/>
      <w:sz w:val="28"/>
      <w:szCs w:val="28"/>
    </w:rPr>
  </w:style>
  <w:style w:type="paragraph" w:styleId="Heading2">
    <w:name w:val="heading 2"/>
    <w:basedOn w:val="Heading1"/>
    <w:next w:val="Normal"/>
    <w:link w:val="Heading2Char"/>
    <w:uiPriority w:val="9"/>
    <w:unhideWhenUsed/>
    <w:qFormat/>
    <w:rsid w:val="009F1189"/>
    <w:pPr>
      <w:numPr>
        <w:numId w:val="0"/>
      </w:numPr>
      <w:outlineLvl w:val="1"/>
    </w:pPr>
  </w:style>
  <w:style w:type="paragraph" w:styleId="Heading3">
    <w:name w:val="heading 3"/>
    <w:basedOn w:val="Normal"/>
    <w:next w:val="Normal"/>
    <w:link w:val="Heading3Char"/>
    <w:uiPriority w:val="9"/>
    <w:unhideWhenUsed/>
    <w:qFormat/>
    <w:rsid w:val="00AA1A3D"/>
    <w:pPr>
      <w:keepNext/>
      <w:keepLines/>
      <w:ind w:left="425"/>
      <w:outlineLvl w:val="2"/>
    </w:pPr>
    <w:rPr>
      <w:rFonts w:eastAsiaTheme="majorEastAsia" w:cstheme="minorHAnsi"/>
      <w:b/>
      <w:bCs/>
      <w:sz w:val="24"/>
      <w:szCs w:val="24"/>
      <w:u w:val="single"/>
    </w:rPr>
  </w:style>
  <w:style w:type="paragraph" w:styleId="Heading4">
    <w:name w:val="heading 4"/>
    <w:basedOn w:val="Normal"/>
    <w:next w:val="Normal"/>
    <w:link w:val="Heading4Char"/>
    <w:uiPriority w:val="9"/>
    <w:unhideWhenUsed/>
    <w:qFormat/>
    <w:rsid w:val="00AA1A3D"/>
    <w:pPr>
      <w:ind w:left="425"/>
      <w:outlineLvl w:val="3"/>
    </w:pPr>
    <w:rPr>
      <w:sz w:val="24"/>
      <w:szCs w:val="24"/>
      <w:u w:val="single"/>
    </w:rPr>
  </w:style>
  <w:style w:type="paragraph" w:styleId="Heading5">
    <w:name w:val="heading 5"/>
    <w:basedOn w:val="Normal"/>
    <w:next w:val="Normal"/>
    <w:link w:val="Heading5Char"/>
    <w:uiPriority w:val="9"/>
    <w:unhideWhenUsed/>
    <w:qFormat/>
    <w:rsid w:val="00AA1A3D"/>
    <w:pPr>
      <w:ind w:left="425"/>
      <w:outlineLvl w:val="4"/>
    </w:pPr>
    <w:rPr>
      <w:rFonts w:ascii="Calibri" w:hAnsi="Calibri" w:cstheme="minorHAnsi"/>
      <w:i/>
    </w:rPr>
  </w:style>
  <w:style w:type="paragraph" w:styleId="Heading6">
    <w:name w:val="heading 6"/>
    <w:basedOn w:val="Normal"/>
    <w:next w:val="Normal"/>
    <w:link w:val="Heading6Char"/>
    <w:unhideWhenUsed/>
    <w:qFormat/>
    <w:rsid w:val="001A399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A399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399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399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1189"/>
    <w:rPr>
      <w:rFonts w:eastAsiaTheme="majorEastAsia" w:cstheme="minorHAnsi"/>
      <w:b/>
      <w:bCs/>
      <w:sz w:val="28"/>
      <w:szCs w:val="28"/>
    </w:rPr>
  </w:style>
  <w:style w:type="character" w:customStyle="1" w:styleId="Heading2Char">
    <w:name w:val="Heading 2 Char"/>
    <w:basedOn w:val="DefaultParagraphFont"/>
    <w:link w:val="Heading2"/>
    <w:uiPriority w:val="9"/>
    <w:rsid w:val="009F1189"/>
    <w:rPr>
      <w:rFonts w:eastAsiaTheme="majorEastAsia" w:cstheme="minorHAnsi"/>
      <w:b/>
      <w:bCs/>
      <w:sz w:val="28"/>
      <w:szCs w:val="28"/>
    </w:rPr>
  </w:style>
  <w:style w:type="character" w:customStyle="1" w:styleId="Heading3Char">
    <w:name w:val="Heading 3 Char"/>
    <w:basedOn w:val="DefaultParagraphFont"/>
    <w:link w:val="Heading3"/>
    <w:uiPriority w:val="9"/>
    <w:rsid w:val="00AA1A3D"/>
    <w:rPr>
      <w:rFonts w:eastAsiaTheme="majorEastAsia" w:cstheme="minorHAnsi"/>
      <w:b/>
      <w:bCs/>
      <w:sz w:val="24"/>
      <w:szCs w:val="24"/>
      <w:u w:val="single"/>
    </w:rPr>
  </w:style>
  <w:style w:type="character" w:customStyle="1" w:styleId="Heading4Char">
    <w:name w:val="Heading 4 Char"/>
    <w:basedOn w:val="DefaultParagraphFont"/>
    <w:link w:val="Heading4"/>
    <w:uiPriority w:val="9"/>
    <w:rsid w:val="00AA1A3D"/>
    <w:rPr>
      <w:sz w:val="24"/>
      <w:szCs w:val="24"/>
      <w:u w:val="single"/>
    </w:rPr>
  </w:style>
  <w:style w:type="character" w:customStyle="1" w:styleId="Heading5Char">
    <w:name w:val="Heading 5 Char"/>
    <w:basedOn w:val="DefaultParagraphFont"/>
    <w:link w:val="Heading5"/>
    <w:uiPriority w:val="9"/>
    <w:rsid w:val="00AA1A3D"/>
    <w:rPr>
      <w:rFonts w:ascii="Calibri" w:hAnsi="Calibri" w:cstheme="minorHAnsi"/>
      <w:i/>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semiHidden/>
    <w:unhideWhenUsed/>
    <w:rsid w:val="001A3992"/>
    <w:rPr>
      <w:sz w:val="16"/>
      <w:szCs w:val="16"/>
    </w:rPr>
  </w:style>
  <w:style w:type="paragraph" w:styleId="CommentText">
    <w:name w:val="annotation text"/>
    <w:basedOn w:val="Normal"/>
    <w:link w:val="CommentTextChar"/>
    <w:uiPriority w:val="99"/>
    <w:unhideWhenUsed/>
    <w:qFormat/>
    <w:rsid w:val="007301B2"/>
    <w:rPr>
      <w:rFonts w:ascii="Arial" w:hAnsi="Arial"/>
      <w:szCs w:val="20"/>
    </w:rPr>
  </w:style>
  <w:style w:type="character" w:customStyle="1" w:styleId="CommentTextChar">
    <w:name w:val="Comment Text Char"/>
    <w:basedOn w:val="DefaultParagraphFont"/>
    <w:link w:val="CommentText"/>
    <w:uiPriority w:val="99"/>
    <w:rsid w:val="007301B2"/>
    <w:rPr>
      <w:rFonts w:ascii="Arial" w:hAnsi="Arial"/>
      <w:szCs w:val="20"/>
    </w:rPr>
  </w:style>
  <w:style w:type="table" w:styleId="LightGrid">
    <w:name w:val="Light Grid"/>
    <w:basedOn w:val="TableNormal"/>
    <w:uiPriority w:val="62"/>
    <w:rsid w:val="001A399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97382C"/>
    <w:pPr>
      <w:tabs>
        <w:tab w:val="right" w:pos="9638"/>
      </w:tabs>
    </w:pPr>
    <w:rPr>
      <w:rFonts w:cstheme="minorHAnsi"/>
      <w:sz w:val="20"/>
      <w:szCs w:val="20"/>
    </w:rPr>
  </w:style>
  <w:style w:type="character" w:customStyle="1" w:styleId="FooterChar">
    <w:name w:val="Footer Char"/>
    <w:basedOn w:val="DefaultParagraphFont"/>
    <w:link w:val="Footer"/>
    <w:rsid w:val="0097382C"/>
    <w:rPr>
      <w:rFonts w:cstheme="minorHAnsi"/>
      <w:sz w:val="20"/>
      <w:szCs w:val="20"/>
    </w:rPr>
  </w:style>
  <w:style w:type="paragraph" w:styleId="BalloonText">
    <w:name w:val="Balloon Text"/>
    <w:basedOn w:val="Normal"/>
    <w:link w:val="BalloonTextChar"/>
    <w:uiPriority w:val="99"/>
    <w:semiHidden/>
    <w:unhideWhenUsed/>
    <w:rsid w:val="001A3992"/>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qFormat/>
    <w:rsid w:val="007301B2"/>
    <w:rPr>
      <w:b/>
      <w:bCs/>
    </w:rPr>
  </w:style>
  <w:style w:type="character" w:customStyle="1" w:styleId="CommentSubjectChar">
    <w:name w:val="Comment Subject Char"/>
    <w:basedOn w:val="CommentTextChar"/>
    <w:link w:val="CommentSubject"/>
    <w:uiPriority w:val="99"/>
    <w:semiHidden/>
    <w:rsid w:val="007301B2"/>
    <w:rPr>
      <w:rFonts w:ascii="Arial" w:hAnsi="Arial"/>
      <w:b/>
      <w:bCs/>
      <w:szCs w:val="20"/>
    </w:rPr>
  </w:style>
  <w:style w:type="paragraph" w:styleId="Title">
    <w:name w:val="Title"/>
    <w:basedOn w:val="Heading1"/>
    <w:next w:val="Normal"/>
    <w:link w:val="TitleChar"/>
    <w:uiPriority w:val="10"/>
    <w:qFormat/>
    <w:rsid w:val="009F1189"/>
    <w:pPr>
      <w:numPr>
        <w:numId w:val="0"/>
      </w:numPr>
    </w:pPr>
    <w:rPr>
      <w:rFonts w:eastAsia="SimSun"/>
      <w:sz w:val="32"/>
      <w:szCs w:val="32"/>
    </w:rPr>
  </w:style>
  <w:style w:type="character" w:customStyle="1" w:styleId="TitleChar">
    <w:name w:val="Title Char"/>
    <w:basedOn w:val="DefaultParagraphFont"/>
    <w:link w:val="Title"/>
    <w:uiPriority w:val="10"/>
    <w:rsid w:val="009F1189"/>
    <w:rPr>
      <w:rFonts w:eastAsia="SimSun" w:cstheme="minorHAnsi"/>
      <w:b/>
      <w:bCs/>
      <w:sz w:val="32"/>
      <w:szCs w:val="32"/>
    </w:rPr>
  </w:style>
  <w:style w:type="paragraph" w:styleId="Subtitle">
    <w:name w:val="Subtitle"/>
    <w:basedOn w:val="Heading1"/>
    <w:next w:val="Normal"/>
    <w:link w:val="SubtitleChar"/>
    <w:uiPriority w:val="11"/>
    <w:qFormat/>
    <w:rsid w:val="009F1189"/>
    <w:pPr>
      <w:numPr>
        <w:numId w:val="0"/>
      </w:numPr>
    </w:pPr>
    <w:rPr>
      <w:rFonts w:eastAsia="SimSun"/>
      <w:sz w:val="32"/>
      <w:szCs w:val="32"/>
    </w:rPr>
  </w:style>
  <w:style w:type="character" w:customStyle="1" w:styleId="SubtitleChar">
    <w:name w:val="Subtitle Char"/>
    <w:basedOn w:val="DefaultParagraphFont"/>
    <w:link w:val="Subtitle"/>
    <w:uiPriority w:val="11"/>
    <w:rsid w:val="009F1189"/>
    <w:rPr>
      <w:rFonts w:eastAsia="SimSun" w:cstheme="minorHAnsi"/>
      <w:b/>
      <w:bCs/>
      <w:sz w:val="32"/>
      <w:szCs w:val="32"/>
    </w:rPr>
  </w:style>
  <w:style w:type="paragraph" w:customStyle="1" w:styleId="HeadingTable">
    <w:name w:val="Heading Table"/>
    <w:basedOn w:val="Normal"/>
    <w:qFormat/>
    <w:rsid w:val="0030494B"/>
    <w:pPr>
      <w:jc w:val="center"/>
    </w:pPr>
    <w:rPr>
      <w:rFonts w:ascii="Calibri" w:eastAsiaTheme="majorEastAsia" w:hAnsi="Calibri" w:cstheme="minorHAnsi"/>
      <w:bCs/>
      <w:lang w:val="en-US"/>
    </w:rPr>
  </w:style>
  <w:style w:type="paragraph" w:customStyle="1" w:styleId="SummaryTableHeading">
    <w:name w:val="Summary Table Heading"/>
    <w:basedOn w:val="Normal"/>
    <w:qFormat/>
    <w:rsid w:val="00835C48"/>
    <w:rPr>
      <w:b/>
      <w:sz w:val="28"/>
      <w:szCs w:val="28"/>
    </w:rPr>
  </w:style>
  <w:style w:type="paragraph" w:customStyle="1" w:styleId="NormalIndent1">
    <w:name w:val="Normal Indent1"/>
    <w:basedOn w:val="Normal"/>
    <w:qFormat/>
    <w:rsid w:val="00AA1A3D"/>
    <w:pPr>
      <w:ind w:left="425"/>
    </w:pPr>
  </w:style>
  <w:style w:type="paragraph" w:customStyle="1" w:styleId="Bullet1">
    <w:name w:val="Bullet1"/>
    <w:basedOn w:val="ListParagraph"/>
    <w:qFormat/>
    <w:rsid w:val="00AA1A3D"/>
    <w:pPr>
      <w:numPr>
        <w:numId w:val="16"/>
      </w:numPr>
      <w:ind w:left="850" w:hanging="425"/>
    </w:pPr>
    <w:rPr>
      <w:rFonts w:ascii="Calibri" w:hAnsi="Calibri"/>
    </w:rPr>
  </w:style>
  <w:style w:type="paragraph" w:customStyle="1" w:styleId="Bullet2">
    <w:name w:val="Bullet2"/>
    <w:basedOn w:val="Bullet1"/>
    <w:qFormat/>
    <w:rsid w:val="00AA1A3D"/>
    <w:pPr>
      <w:numPr>
        <w:ilvl w:val="1"/>
      </w:numPr>
      <w:ind w:left="1276" w:hanging="425"/>
    </w:pPr>
  </w:style>
  <w:style w:type="paragraph" w:styleId="Header">
    <w:name w:val="header"/>
    <w:basedOn w:val="Normal"/>
    <w:link w:val="HeaderChar"/>
    <w:uiPriority w:val="99"/>
    <w:unhideWhenUsed/>
    <w:rsid w:val="002C24BD"/>
    <w:pPr>
      <w:tabs>
        <w:tab w:val="center" w:pos="4513"/>
        <w:tab w:val="right" w:pos="9026"/>
      </w:tabs>
    </w:pPr>
  </w:style>
  <w:style w:type="character" w:customStyle="1" w:styleId="HeaderChar">
    <w:name w:val="Header Char"/>
    <w:basedOn w:val="DefaultParagraphFont"/>
    <w:link w:val="Header"/>
    <w:uiPriority w:val="99"/>
    <w:rsid w:val="002C24BD"/>
  </w:style>
  <w:style w:type="table" w:styleId="TableGrid">
    <w:name w:val="Table Grid"/>
    <w:basedOn w:val="TableNormal"/>
    <w:uiPriority w:val="59"/>
    <w:rsid w:val="00C731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31EE"/>
    <w:rPr>
      <w:color w:val="808080"/>
    </w:rPr>
  </w:style>
  <w:style w:type="paragraph" w:styleId="Revision">
    <w:name w:val="Revision"/>
    <w:hidden/>
    <w:uiPriority w:val="99"/>
    <w:semiHidden/>
    <w:rsid w:val="00BD6BDB"/>
  </w:style>
  <w:style w:type="table" w:customStyle="1" w:styleId="TableGrid0">
    <w:name w:val="TableGrid"/>
    <w:rsid w:val="00491316"/>
    <w:rPr>
      <w:rFonts w:eastAsiaTheme="minorEastAsia"/>
      <w:lang w:val="en-US"/>
    </w:rPr>
    <w:tblPr>
      <w:tblCellMar>
        <w:top w:w="0" w:type="dxa"/>
        <w:left w:w="0" w:type="dxa"/>
        <w:bottom w:w="0" w:type="dxa"/>
        <w:right w:w="0" w:type="dxa"/>
      </w:tblCellMar>
    </w:tblPr>
  </w:style>
  <w:style w:type="paragraph" w:customStyle="1" w:styleId="Default">
    <w:name w:val="Default"/>
    <w:rsid w:val="00491316"/>
    <w:pPr>
      <w:autoSpaceDE w:val="0"/>
      <w:autoSpaceDN w:val="0"/>
      <w:adjustRightInd w:val="0"/>
    </w:pPr>
    <w:rPr>
      <w:rFonts w:ascii="Times New Roman" w:hAnsi="Times New Roman" w:cs="Times New Roman"/>
      <w:color w:val="000000"/>
      <w:sz w:val="24"/>
      <w:szCs w:val="24"/>
      <w:lang w:val="en-US"/>
    </w:rPr>
  </w:style>
  <w:style w:type="character" w:styleId="Hyperlink">
    <w:name w:val="Hyperlink"/>
    <w:basedOn w:val="DefaultParagraphFont"/>
    <w:uiPriority w:val="99"/>
    <w:unhideWhenUsed/>
    <w:rsid w:val="002142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26345">
      <w:bodyDiv w:val="1"/>
      <w:marLeft w:val="0"/>
      <w:marRight w:val="0"/>
      <w:marTop w:val="0"/>
      <w:marBottom w:val="0"/>
      <w:divBdr>
        <w:top w:val="none" w:sz="0" w:space="0" w:color="auto"/>
        <w:left w:val="none" w:sz="0" w:space="0" w:color="auto"/>
        <w:bottom w:val="none" w:sz="0" w:space="0" w:color="auto"/>
        <w:right w:val="none" w:sz="0" w:space="0" w:color="auto"/>
      </w:divBdr>
    </w:div>
    <w:div w:id="532033416">
      <w:bodyDiv w:val="1"/>
      <w:marLeft w:val="0"/>
      <w:marRight w:val="0"/>
      <w:marTop w:val="0"/>
      <w:marBottom w:val="0"/>
      <w:divBdr>
        <w:top w:val="none" w:sz="0" w:space="0" w:color="auto"/>
        <w:left w:val="none" w:sz="0" w:space="0" w:color="auto"/>
        <w:bottom w:val="none" w:sz="0" w:space="0" w:color="auto"/>
        <w:right w:val="none" w:sz="0" w:space="0" w:color="auto"/>
      </w:divBdr>
    </w:div>
    <w:div w:id="817382140">
      <w:bodyDiv w:val="1"/>
      <w:marLeft w:val="0"/>
      <w:marRight w:val="0"/>
      <w:marTop w:val="0"/>
      <w:marBottom w:val="0"/>
      <w:divBdr>
        <w:top w:val="none" w:sz="0" w:space="0" w:color="auto"/>
        <w:left w:val="none" w:sz="0" w:space="0" w:color="auto"/>
        <w:bottom w:val="none" w:sz="0" w:space="0" w:color="auto"/>
        <w:right w:val="none" w:sz="0" w:space="0" w:color="auto"/>
      </w:divBdr>
    </w:div>
    <w:div w:id="834959121">
      <w:bodyDiv w:val="1"/>
      <w:marLeft w:val="0"/>
      <w:marRight w:val="0"/>
      <w:marTop w:val="0"/>
      <w:marBottom w:val="0"/>
      <w:divBdr>
        <w:top w:val="none" w:sz="0" w:space="0" w:color="auto"/>
        <w:left w:val="none" w:sz="0" w:space="0" w:color="auto"/>
        <w:bottom w:val="none" w:sz="0" w:space="0" w:color="auto"/>
        <w:right w:val="none" w:sz="0" w:space="0" w:color="auto"/>
      </w:divBdr>
    </w:div>
    <w:div w:id="1014577776">
      <w:bodyDiv w:val="1"/>
      <w:marLeft w:val="0"/>
      <w:marRight w:val="0"/>
      <w:marTop w:val="0"/>
      <w:marBottom w:val="0"/>
      <w:divBdr>
        <w:top w:val="none" w:sz="0" w:space="0" w:color="auto"/>
        <w:left w:val="none" w:sz="0" w:space="0" w:color="auto"/>
        <w:bottom w:val="none" w:sz="0" w:space="0" w:color="auto"/>
        <w:right w:val="none" w:sz="0" w:space="0" w:color="auto"/>
      </w:divBdr>
    </w:div>
    <w:div w:id="1093211644">
      <w:bodyDiv w:val="1"/>
      <w:marLeft w:val="0"/>
      <w:marRight w:val="0"/>
      <w:marTop w:val="0"/>
      <w:marBottom w:val="0"/>
      <w:divBdr>
        <w:top w:val="none" w:sz="0" w:space="0" w:color="auto"/>
        <w:left w:val="none" w:sz="0" w:space="0" w:color="auto"/>
        <w:bottom w:val="none" w:sz="0" w:space="0" w:color="auto"/>
        <w:right w:val="none" w:sz="0" w:space="0" w:color="auto"/>
      </w:divBdr>
    </w:div>
    <w:div w:id="1234969343">
      <w:bodyDiv w:val="1"/>
      <w:marLeft w:val="0"/>
      <w:marRight w:val="0"/>
      <w:marTop w:val="0"/>
      <w:marBottom w:val="0"/>
      <w:divBdr>
        <w:top w:val="none" w:sz="0" w:space="0" w:color="auto"/>
        <w:left w:val="none" w:sz="0" w:space="0" w:color="auto"/>
        <w:bottom w:val="none" w:sz="0" w:space="0" w:color="auto"/>
        <w:right w:val="none" w:sz="0" w:space="0" w:color="auto"/>
      </w:divBdr>
    </w:div>
    <w:div w:id="1499691681">
      <w:bodyDiv w:val="1"/>
      <w:marLeft w:val="0"/>
      <w:marRight w:val="0"/>
      <w:marTop w:val="0"/>
      <w:marBottom w:val="0"/>
      <w:divBdr>
        <w:top w:val="none" w:sz="0" w:space="0" w:color="auto"/>
        <w:left w:val="none" w:sz="0" w:space="0" w:color="auto"/>
        <w:bottom w:val="none" w:sz="0" w:space="0" w:color="auto"/>
        <w:right w:val="none" w:sz="0" w:space="0" w:color="auto"/>
      </w:divBdr>
    </w:div>
    <w:div w:id="1516766197">
      <w:bodyDiv w:val="1"/>
      <w:marLeft w:val="0"/>
      <w:marRight w:val="0"/>
      <w:marTop w:val="0"/>
      <w:marBottom w:val="0"/>
      <w:divBdr>
        <w:top w:val="none" w:sz="0" w:space="0" w:color="auto"/>
        <w:left w:val="none" w:sz="0" w:space="0" w:color="auto"/>
        <w:bottom w:val="none" w:sz="0" w:space="0" w:color="auto"/>
        <w:right w:val="none" w:sz="0" w:space="0" w:color="auto"/>
      </w:divBdr>
    </w:div>
    <w:div w:id="212102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ga.gov.au/reporting-problems"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information-pi"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hyperlink" Target="https://www.tga.gov.au/product-information-p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61DADDBBB5134CBBA1CFAE077B502E" ma:contentTypeVersion="4" ma:contentTypeDescription="Create a new document." ma:contentTypeScope="" ma:versionID="0d1f880b8e0bb080c970d35586975a4b">
  <xsd:schema xmlns:xsd="http://www.w3.org/2001/XMLSchema" xmlns:xs="http://www.w3.org/2001/XMLSchema" xmlns:p="http://schemas.microsoft.com/office/2006/metadata/properties" xmlns:ns2="7b120a46-bb9b-40af-9e5d-e1a30218631f" xmlns:ns3="d00d98ec-d0a9-450b-a8b1-8dc24a01405f" targetNamespace="http://schemas.microsoft.com/office/2006/metadata/properties" ma:root="true" ma:fieldsID="6d2d27ad95090d4f72fbd35c60a358cb" ns2:_="" ns3:_="">
    <xsd:import namespace="7b120a46-bb9b-40af-9e5d-e1a30218631f"/>
    <xsd:import namespace="d00d98ec-d0a9-450b-a8b1-8dc24a0140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20a46-bb9b-40af-9e5d-e1a3021863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0d98ec-d0a9-450b-a8b1-8dc24a0140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03210-4AE3-4DFD-89C8-3BB842E621CF}">
  <ds:schemaRefs>
    <ds:schemaRef ds:uri="http://purl.org/dc/elements/1.1/"/>
    <ds:schemaRef ds:uri="http://schemas.microsoft.com/office/2006/metadata/properties"/>
    <ds:schemaRef ds:uri="d00d98ec-d0a9-450b-a8b1-8dc24a01405f"/>
    <ds:schemaRef ds:uri="http://purl.org/dc/terms/"/>
    <ds:schemaRef ds:uri="7b120a46-bb9b-40af-9e5d-e1a30218631f"/>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F6DEF687-D34E-4A1A-A1D3-EEC5CB773AA7}">
  <ds:schemaRefs>
    <ds:schemaRef ds:uri="http://schemas.microsoft.com/sharepoint/v3/contenttype/forms"/>
  </ds:schemaRefs>
</ds:datastoreItem>
</file>

<file path=customXml/itemProps3.xml><?xml version="1.0" encoding="utf-8"?>
<ds:datastoreItem xmlns:ds="http://schemas.openxmlformats.org/officeDocument/2006/customXml" ds:itemID="{025EFEC3-62CD-4FFD-946E-09DFA7F84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20a46-bb9b-40af-9e5d-e1a30218631f"/>
    <ds:schemaRef ds:uri="d00d98ec-d0a9-450b-a8b1-8dc24a014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AA9B64-0DD1-4AD3-8834-F9D2E579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49</Pages>
  <Words>18499</Words>
  <Characters>103228</Characters>
  <Application>Microsoft Office Word</Application>
  <DocSecurity>0</DocSecurity>
  <Lines>3225</Lines>
  <Paragraphs>1816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Lupin Australia Pty Ltd</Company>
  <LinksUpToDate>false</LinksUpToDate>
  <CharactersWithSpaces>119911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for Etanercept - Rymti</dc:title>
  <dc:subject>prescription medicines</dc:subject>
  <dc:creator>Lupin Australia Pty Ltd</dc:creator>
  <cp:lastPrinted>2020-01-20T07:37:00Z</cp:lastPrinted>
  <dcterms:created xsi:type="dcterms:W3CDTF">2021-02-25T04:50:00Z</dcterms:created>
  <dcterms:modified xsi:type="dcterms:W3CDTF">2021-02-25T05:14:00Z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0x010100CF61DADDBBB5134CBBA1CFAE077B502E</vt:lpwstr>
  </property>
</Properties>
</file>